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0EC8A" w14:textId="7C51E96D" w:rsidR="006920A5" w:rsidRPr="00497554" w:rsidRDefault="006920A5" w:rsidP="006920A5">
      <w:pPr>
        <w:rPr>
          <w:rFonts w:cs="Calibri"/>
          <w:b/>
          <w:u w:val="single"/>
        </w:rPr>
      </w:pPr>
      <w:r w:rsidRPr="00497554">
        <w:rPr>
          <w:rFonts w:cs="Calibri"/>
          <w:b/>
          <w:u w:val="single"/>
        </w:rPr>
        <w:t xml:space="preserve">REFERRAL FROM MINISTER FOR ADVICE ON </w:t>
      </w:r>
      <w:r w:rsidR="00AE235D">
        <w:rPr>
          <w:rFonts w:cs="Calibri"/>
          <w:b/>
          <w:u w:val="single"/>
        </w:rPr>
        <w:t xml:space="preserve">EQUITABLE ACCESS TO OBESITY TREATMENTS </w:t>
      </w:r>
    </w:p>
    <w:p w14:paraId="03CF4CAB" w14:textId="77777777" w:rsidR="006920A5" w:rsidRPr="00497554" w:rsidRDefault="006920A5" w:rsidP="006920A5">
      <w:pPr>
        <w:rPr>
          <w:rFonts w:cs="Calibri"/>
        </w:rPr>
      </w:pPr>
    </w:p>
    <w:p w14:paraId="42BCEA21" w14:textId="77F60925" w:rsidR="006920A5" w:rsidRPr="00497554" w:rsidRDefault="006920A5" w:rsidP="006920A5">
      <w:pPr>
        <w:rPr>
          <w:rFonts w:cs="Calibri"/>
        </w:rPr>
      </w:pPr>
      <w:r w:rsidRPr="00497554">
        <w:rPr>
          <w:rFonts w:cs="Calibri"/>
        </w:rPr>
        <w:t xml:space="preserve">The Minister referred to </w:t>
      </w:r>
      <w:r>
        <w:rPr>
          <w:rFonts w:cs="Calibri"/>
        </w:rPr>
        <w:t xml:space="preserve">the </w:t>
      </w:r>
      <w:r w:rsidRPr="00497554">
        <w:rPr>
          <w:rFonts w:cs="Calibri"/>
        </w:rPr>
        <w:t xml:space="preserve">PBAC the matter of </w:t>
      </w:r>
      <w:r w:rsidR="00EF601B">
        <w:rPr>
          <w:rFonts w:cs="Calibri"/>
        </w:rPr>
        <w:t>equitable access to glucagon-like peptide-1 receptor agonist (GLP-1) obesity treatment</w:t>
      </w:r>
      <w:r w:rsidR="00B6148C">
        <w:rPr>
          <w:rFonts w:cs="Calibri"/>
        </w:rPr>
        <w:t>s in Australia</w:t>
      </w:r>
      <w:r w:rsidRPr="00497554">
        <w:rPr>
          <w:rFonts w:cs="Calibri"/>
        </w:rPr>
        <w:t xml:space="preserve"> for advice.</w:t>
      </w:r>
    </w:p>
    <w:p w14:paraId="646EBBB1" w14:textId="77777777" w:rsidR="006920A5" w:rsidRPr="00497554" w:rsidRDefault="006920A5" w:rsidP="006920A5">
      <w:pPr>
        <w:rPr>
          <w:rFonts w:cs="Calibri"/>
        </w:rPr>
      </w:pPr>
    </w:p>
    <w:p w14:paraId="07236EFD" w14:textId="768A58BB" w:rsidR="006920A5" w:rsidRPr="00497554" w:rsidRDefault="006920A5" w:rsidP="006920A5">
      <w:pPr>
        <w:rPr>
          <w:rFonts w:cs="Calibri"/>
        </w:rPr>
      </w:pPr>
      <w:r w:rsidRPr="00497554">
        <w:rPr>
          <w:rFonts w:cs="Calibri"/>
        </w:rPr>
        <w:t xml:space="preserve">At its meeting between </w:t>
      </w:r>
      <w:r w:rsidR="00B6148C" w:rsidRPr="00B6148C">
        <w:rPr>
          <w:rFonts w:cs="Calibri"/>
          <w:b/>
        </w:rPr>
        <w:t>5</w:t>
      </w:r>
      <w:r w:rsidRPr="00B6148C">
        <w:rPr>
          <w:rFonts w:cs="Calibri"/>
        </w:rPr>
        <w:t xml:space="preserve"> – </w:t>
      </w:r>
      <w:r w:rsidR="00B6148C" w:rsidRPr="00B6148C">
        <w:rPr>
          <w:rFonts w:cs="Calibri"/>
          <w:b/>
        </w:rPr>
        <w:t>7</w:t>
      </w:r>
      <w:r w:rsidRPr="00B6148C">
        <w:rPr>
          <w:rFonts w:cs="Calibri"/>
        </w:rPr>
        <w:t xml:space="preserve"> </w:t>
      </w:r>
      <w:r w:rsidR="00B6148C" w:rsidRPr="00B6148C">
        <w:rPr>
          <w:rFonts w:cs="Calibri"/>
          <w:b/>
        </w:rPr>
        <w:t>November</w:t>
      </w:r>
      <w:r w:rsidRPr="00B6148C">
        <w:rPr>
          <w:rFonts w:cs="Calibri"/>
        </w:rPr>
        <w:t xml:space="preserve"> </w:t>
      </w:r>
      <w:r w:rsidR="00B6148C" w:rsidRPr="00B6148C">
        <w:rPr>
          <w:rFonts w:cs="Calibri"/>
          <w:b/>
        </w:rPr>
        <w:t>2025</w:t>
      </w:r>
      <w:r w:rsidRPr="00911324">
        <w:rPr>
          <w:rFonts w:cs="Calibri"/>
        </w:rPr>
        <w:t xml:space="preserve"> </w:t>
      </w:r>
      <w:r w:rsidRPr="00497554">
        <w:rPr>
          <w:rFonts w:cs="Calibri"/>
        </w:rPr>
        <w:t xml:space="preserve">the PBAC </w:t>
      </w:r>
      <w:r w:rsidR="00FB23BA">
        <w:rPr>
          <w:rFonts w:cs="Calibri"/>
        </w:rPr>
        <w:t xml:space="preserve">provided the following </w:t>
      </w:r>
      <w:r w:rsidR="00306DB5">
        <w:rPr>
          <w:rFonts w:cs="Calibri"/>
        </w:rPr>
        <w:t xml:space="preserve">advice to the </w:t>
      </w:r>
      <w:r w:rsidRPr="00497554">
        <w:rPr>
          <w:rFonts w:cs="Calibri"/>
        </w:rPr>
        <w:t xml:space="preserve">Minister (under section 101(3) of the </w:t>
      </w:r>
      <w:r w:rsidRPr="00497554">
        <w:rPr>
          <w:rFonts w:cs="Calibri"/>
          <w:i/>
        </w:rPr>
        <w:t>National Health Act 1953</w:t>
      </w:r>
      <w:r w:rsidRPr="00497554">
        <w:rPr>
          <w:rFonts w:cs="Calibri"/>
        </w:rPr>
        <w:t>)</w:t>
      </w:r>
      <w:r w:rsidR="00306DB5">
        <w:rPr>
          <w:rFonts w:cs="Calibri"/>
        </w:rPr>
        <w:t>.</w:t>
      </w:r>
    </w:p>
    <w:p w14:paraId="34BA2E59" w14:textId="77777777" w:rsidR="006920A5" w:rsidRDefault="006920A5" w:rsidP="00306DB5">
      <w:pPr>
        <w:pStyle w:val="1MainTitle"/>
        <w:ind w:left="0" w:firstLine="0"/>
        <w:jc w:val="left"/>
      </w:pPr>
    </w:p>
    <w:p w14:paraId="181DB627" w14:textId="46E0AF84" w:rsidR="00872E8F" w:rsidRPr="00A6439B" w:rsidRDefault="00A54F60" w:rsidP="007A5C88">
      <w:pPr>
        <w:pStyle w:val="1MainTitle"/>
        <w:jc w:val="left"/>
      </w:pPr>
      <w:r>
        <w:t xml:space="preserve">9.02 </w:t>
      </w:r>
      <w:r w:rsidR="00553B44">
        <w:t xml:space="preserve">Minister’s request for PBAC advice on </w:t>
      </w:r>
      <w:r>
        <w:t xml:space="preserve">equitable access to </w:t>
      </w:r>
      <w:r w:rsidR="00553B44">
        <w:t>obesity treatments</w:t>
      </w:r>
    </w:p>
    <w:p w14:paraId="5F4D54C1" w14:textId="39F62316" w:rsidR="00E11F44" w:rsidRPr="00A6439B" w:rsidRDefault="007E490F" w:rsidP="00CD6257">
      <w:pPr>
        <w:pStyle w:val="2-SectionHeading"/>
        <w:rPr>
          <w:rFonts w:cstheme="minorHAnsi"/>
          <w:color w:val="FF0000"/>
        </w:rPr>
      </w:pPr>
      <w:bookmarkStart w:id="0" w:name="_Hlk194916651"/>
      <w:bookmarkStart w:id="1" w:name="_Hlk194916715"/>
      <w:r w:rsidRPr="00A6439B">
        <w:t xml:space="preserve">Purpose of </w:t>
      </w:r>
      <w:r w:rsidR="005A3CC9">
        <w:t>Item</w:t>
      </w:r>
      <w:r w:rsidRPr="00A6439B">
        <w:t xml:space="preserve"> </w:t>
      </w:r>
    </w:p>
    <w:p w14:paraId="5D5943E8" w14:textId="062F1AF5" w:rsidR="00410A2C" w:rsidRDefault="006C6C10" w:rsidP="00825536">
      <w:pPr>
        <w:pStyle w:val="3Bodytext"/>
        <w:numPr>
          <w:ilvl w:val="0"/>
          <w:numId w:val="0"/>
        </w:numPr>
        <w:jc w:val="both"/>
        <w:rPr>
          <w:rFonts w:cstheme="minorHAnsi"/>
          <w:szCs w:val="24"/>
        </w:rPr>
      </w:pPr>
      <w:r w:rsidRPr="00A6439B">
        <w:rPr>
          <w:rFonts w:cstheme="minorHAnsi"/>
          <w:szCs w:val="24"/>
        </w:rPr>
        <w:t>Th</w:t>
      </w:r>
      <w:r w:rsidR="00825536">
        <w:rPr>
          <w:rFonts w:cstheme="minorHAnsi"/>
          <w:szCs w:val="24"/>
        </w:rPr>
        <w:t>at</w:t>
      </w:r>
      <w:r w:rsidR="00CE42AF">
        <w:rPr>
          <w:rFonts w:cstheme="minorHAnsi"/>
          <w:szCs w:val="24"/>
        </w:rPr>
        <w:t xml:space="preserve"> the </w:t>
      </w:r>
      <w:r w:rsidR="000A1A98">
        <w:rPr>
          <w:rFonts w:cstheme="minorHAnsi"/>
          <w:szCs w:val="24"/>
        </w:rPr>
        <w:t>PBAC</w:t>
      </w:r>
      <w:r w:rsidR="00410A2C">
        <w:rPr>
          <w:rFonts w:cstheme="minorHAnsi"/>
          <w:szCs w:val="24"/>
        </w:rPr>
        <w:t>:</w:t>
      </w:r>
    </w:p>
    <w:bookmarkEnd w:id="0"/>
    <w:bookmarkEnd w:id="1"/>
    <w:p w14:paraId="1B876AAF" w14:textId="08ACACFB" w:rsidR="002A427F" w:rsidRPr="002A427F" w:rsidRDefault="002A427F" w:rsidP="00825536">
      <w:pPr>
        <w:pStyle w:val="3Bodytext"/>
        <w:rPr>
          <w:rStyle w:val="cf01"/>
          <w:rFonts w:asciiTheme="minorHAnsi" w:hAnsiTheme="minorHAnsi" w:cstheme="minorHAnsi"/>
          <w:sz w:val="24"/>
          <w:szCs w:val="24"/>
        </w:rPr>
      </w:pPr>
      <w:r w:rsidRPr="002A427F">
        <w:rPr>
          <w:rStyle w:val="cf01"/>
          <w:rFonts w:asciiTheme="minorHAnsi" w:hAnsiTheme="minorHAnsi" w:cstheme="minorHAnsi"/>
          <w:b/>
          <w:bCs/>
          <w:sz w:val="24"/>
          <w:szCs w:val="24"/>
        </w:rPr>
        <w:t>Discuss and agree</w:t>
      </w:r>
      <w:r w:rsidRPr="002A427F">
        <w:rPr>
          <w:rStyle w:val="cf01"/>
          <w:rFonts w:asciiTheme="minorHAnsi" w:hAnsiTheme="minorHAnsi" w:cstheme="minorHAnsi"/>
          <w:sz w:val="24"/>
          <w:szCs w:val="24"/>
        </w:rPr>
        <w:t xml:space="preserve"> </w:t>
      </w:r>
      <w:r w:rsidR="00AE3269">
        <w:rPr>
          <w:rStyle w:val="cf01"/>
          <w:rFonts w:asciiTheme="minorHAnsi" w:hAnsiTheme="minorHAnsi" w:cstheme="minorHAnsi"/>
          <w:sz w:val="24"/>
          <w:szCs w:val="24"/>
        </w:rPr>
        <w:t xml:space="preserve">on a response </w:t>
      </w:r>
      <w:r w:rsidRPr="002A427F">
        <w:rPr>
          <w:rStyle w:val="cf01"/>
          <w:rFonts w:asciiTheme="minorHAnsi" w:hAnsiTheme="minorHAnsi" w:cstheme="minorHAnsi"/>
          <w:sz w:val="24"/>
          <w:szCs w:val="24"/>
        </w:rPr>
        <w:t>to the request from the Minister for Health</w:t>
      </w:r>
      <w:r w:rsidR="00CE2DE6">
        <w:rPr>
          <w:rStyle w:val="cf01"/>
          <w:rFonts w:asciiTheme="minorHAnsi" w:hAnsiTheme="minorHAnsi" w:cstheme="minorHAnsi"/>
          <w:sz w:val="24"/>
          <w:szCs w:val="24"/>
        </w:rPr>
        <w:t xml:space="preserve"> </w:t>
      </w:r>
      <w:r w:rsidR="00AE3269">
        <w:rPr>
          <w:rStyle w:val="cf01"/>
          <w:rFonts w:asciiTheme="minorHAnsi" w:hAnsiTheme="minorHAnsi" w:cstheme="minorHAnsi"/>
          <w:sz w:val="24"/>
          <w:szCs w:val="24"/>
        </w:rPr>
        <w:t>and Ageing</w:t>
      </w:r>
      <w:r w:rsidR="001D5084">
        <w:rPr>
          <w:rStyle w:val="cf01"/>
          <w:rFonts w:asciiTheme="minorHAnsi" w:hAnsiTheme="minorHAnsi" w:cstheme="minorHAnsi"/>
          <w:sz w:val="24"/>
          <w:szCs w:val="24"/>
        </w:rPr>
        <w:t xml:space="preserve"> and Minister for Disability and the National Disability Insurance Scheme</w:t>
      </w:r>
      <w:r w:rsidR="00D32B60">
        <w:rPr>
          <w:rStyle w:val="cf01"/>
          <w:rFonts w:asciiTheme="minorHAnsi" w:hAnsiTheme="minorHAnsi" w:cstheme="minorHAnsi"/>
          <w:sz w:val="24"/>
          <w:szCs w:val="24"/>
        </w:rPr>
        <w:t xml:space="preserve"> (NDIS)</w:t>
      </w:r>
      <w:r w:rsidR="001D5084">
        <w:rPr>
          <w:rStyle w:val="cf01"/>
          <w:rFonts w:asciiTheme="minorHAnsi" w:hAnsiTheme="minorHAnsi" w:cstheme="minorHAnsi"/>
          <w:sz w:val="24"/>
          <w:szCs w:val="24"/>
        </w:rPr>
        <w:t>,</w:t>
      </w:r>
      <w:r w:rsidR="00AE3269">
        <w:rPr>
          <w:rStyle w:val="cf01"/>
          <w:rFonts w:asciiTheme="minorHAnsi" w:hAnsiTheme="minorHAnsi" w:cstheme="minorHAnsi"/>
          <w:sz w:val="24"/>
          <w:szCs w:val="24"/>
        </w:rPr>
        <w:t xml:space="preserve"> for advice </w:t>
      </w:r>
      <w:r w:rsidRPr="002A427F">
        <w:rPr>
          <w:rStyle w:val="cf01"/>
          <w:rFonts w:asciiTheme="minorHAnsi" w:hAnsiTheme="minorHAnsi" w:cstheme="minorHAnsi"/>
          <w:sz w:val="24"/>
          <w:szCs w:val="24"/>
        </w:rPr>
        <w:t xml:space="preserve">on equitable access to obesity treatments through the </w:t>
      </w:r>
      <w:r w:rsidR="00AE3269">
        <w:rPr>
          <w:rStyle w:val="cf01"/>
          <w:rFonts w:asciiTheme="minorHAnsi" w:hAnsiTheme="minorHAnsi" w:cstheme="minorHAnsi"/>
          <w:sz w:val="24"/>
          <w:szCs w:val="24"/>
        </w:rPr>
        <w:t>Pharmaceutical Benefits Scheme (</w:t>
      </w:r>
      <w:r w:rsidRPr="002A427F">
        <w:rPr>
          <w:rStyle w:val="cf01"/>
          <w:rFonts w:asciiTheme="minorHAnsi" w:hAnsiTheme="minorHAnsi" w:cstheme="minorHAnsi"/>
          <w:sz w:val="24"/>
          <w:szCs w:val="24"/>
        </w:rPr>
        <w:t>PBS</w:t>
      </w:r>
      <w:r w:rsidR="00AE3269">
        <w:rPr>
          <w:rStyle w:val="cf01"/>
          <w:rFonts w:asciiTheme="minorHAnsi" w:hAnsiTheme="minorHAnsi" w:cstheme="minorHAnsi"/>
          <w:sz w:val="24"/>
          <w:szCs w:val="24"/>
        </w:rPr>
        <w:t>)</w:t>
      </w:r>
      <w:r w:rsidRPr="002A427F">
        <w:rPr>
          <w:rStyle w:val="cf01"/>
          <w:rFonts w:asciiTheme="minorHAnsi" w:hAnsiTheme="minorHAnsi" w:cstheme="minorHAnsi"/>
          <w:sz w:val="24"/>
          <w:szCs w:val="24"/>
        </w:rPr>
        <w:t>.</w:t>
      </w:r>
    </w:p>
    <w:p w14:paraId="3D1D4320" w14:textId="77777777" w:rsidR="007E490F" w:rsidRPr="00A6439B" w:rsidRDefault="007E490F" w:rsidP="001F2311">
      <w:pPr>
        <w:pStyle w:val="2-SectionHeading"/>
      </w:pPr>
      <w:r w:rsidRPr="00A6439B">
        <w:t xml:space="preserve">Background </w:t>
      </w:r>
    </w:p>
    <w:p w14:paraId="39F49362" w14:textId="6F2E6B3A" w:rsidR="002A427F" w:rsidRPr="00172FE9" w:rsidRDefault="002A427F" w:rsidP="002A427F">
      <w:pPr>
        <w:pStyle w:val="3Bodytext"/>
        <w:spacing w:before="120"/>
        <w:jc w:val="both"/>
      </w:pPr>
      <w:r>
        <w:t>On</w:t>
      </w:r>
      <w:r w:rsidRPr="7CB984AF">
        <w:rPr>
          <w:b/>
        </w:rPr>
        <w:t xml:space="preserve"> </w:t>
      </w:r>
      <w:r>
        <w:t>6 March 2025, the</w:t>
      </w:r>
      <w:r w:rsidRPr="7CB984AF">
        <w:rPr>
          <w:b/>
        </w:rPr>
        <w:t xml:space="preserve"> </w:t>
      </w:r>
      <w:r>
        <w:t>Minister for Health</w:t>
      </w:r>
      <w:r w:rsidR="008B2307">
        <w:t xml:space="preserve"> </w:t>
      </w:r>
      <w:r w:rsidR="00AE3269">
        <w:t>and Ageing</w:t>
      </w:r>
      <w:r w:rsidR="007658CF">
        <w:t xml:space="preserve"> and Minister for Disability </w:t>
      </w:r>
      <w:r w:rsidR="00473EA4">
        <w:t>and the</w:t>
      </w:r>
      <w:r w:rsidR="00D32B60">
        <w:t xml:space="preserve"> NDIS</w:t>
      </w:r>
      <w:r w:rsidR="00AE3269">
        <w:t xml:space="preserve">, </w:t>
      </w:r>
      <w:r>
        <w:t xml:space="preserve">wrote to the PBAC Chair to request the committee’s advice on access to </w:t>
      </w:r>
      <w:r w:rsidR="00AE3269">
        <w:t xml:space="preserve">glucagon-like peptide-1 receptor agonist (GLP-1) </w:t>
      </w:r>
      <w:r>
        <w:t>obesity treatments through the PBS. The Minister requested</w:t>
      </w:r>
      <w:r w:rsidRPr="7CB984AF">
        <w:rPr>
          <w:rFonts w:ascii="Calibri" w:hAnsi="Calibri" w:cs="Calibri"/>
        </w:rPr>
        <w:t xml:space="preserve"> advice </w:t>
      </w:r>
      <w:r w:rsidRPr="069EE29B">
        <w:rPr>
          <w:rFonts w:ascii="Calibri" w:hAnsi="Calibri" w:cs="Calibri"/>
        </w:rPr>
        <w:t>on</w:t>
      </w:r>
      <w:r w:rsidRPr="7CB984AF">
        <w:rPr>
          <w:rFonts w:ascii="Calibri" w:hAnsi="Calibri" w:cs="Calibri"/>
        </w:rPr>
        <w:t xml:space="preserve"> the </w:t>
      </w:r>
      <w:r w:rsidR="00ED05D8" w:rsidRPr="7CB984AF">
        <w:rPr>
          <w:rFonts w:ascii="Calibri" w:hAnsi="Calibri" w:cs="Calibri"/>
        </w:rPr>
        <w:t>potential future PBS subsidy of obesity treatments</w:t>
      </w:r>
      <w:r w:rsidR="00ED05D8">
        <w:rPr>
          <w:rFonts w:ascii="Calibri" w:hAnsi="Calibri" w:cs="Calibri"/>
        </w:rPr>
        <w:t>, including the</w:t>
      </w:r>
      <w:r w:rsidR="00ED05D8" w:rsidRPr="7CB984AF">
        <w:rPr>
          <w:rFonts w:ascii="Calibri" w:hAnsi="Calibri" w:cs="Calibri"/>
        </w:rPr>
        <w:t xml:space="preserve"> </w:t>
      </w:r>
      <w:r w:rsidRPr="7CB984AF">
        <w:rPr>
          <w:rFonts w:ascii="Calibri" w:hAnsi="Calibri" w:cs="Calibri"/>
        </w:rPr>
        <w:t xml:space="preserve">most appropriate patient populations, duration of therapy and place in therapy. </w:t>
      </w:r>
    </w:p>
    <w:p w14:paraId="23078B6E" w14:textId="77777777" w:rsidR="00AE3269" w:rsidRPr="00172FE9" w:rsidRDefault="00AE3269" w:rsidP="00AE3269">
      <w:pPr>
        <w:pStyle w:val="3Bodytext"/>
        <w:jc w:val="both"/>
        <w:rPr>
          <w:b/>
          <w:bCs/>
          <w:szCs w:val="24"/>
        </w:rPr>
      </w:pPr>
      <w:r w:rsidRPr="00172FE9">
        <w:rPr>
          <w:szCs w:val="24"/>
        </w:rPr>
        <w:t>Minister Butler’s request included several key questions for PBAC:</w:t>
      </w:r>
    </w:p>
    <w:p w14:paraId="737CBCF8" w14:textId="77777777" w:rsidR="00173920" w:rsidRDefault="00AE3269" w:rsidP="00173920">
      <w:pPr>
        <w:pStyle w:val="3Bodytext"/>
        <w:numPr>
          <w:ilvl w:val="2"/>
          <w:numId w:val="1"/>
        </w:numPr>
        <w:ind w:left="1066" w:hanging="357"/>
        <w:jc w:val="both"/>
        <w:rPr>
          <w:szCs w:val="24"/>
        </w:rPr>
      </w:pPr>
      <w:r w:rsidRPr="00172FE9">
        <w:rPr>
          <w:szCs w:val="24"/>
        </w:rPr>
        <w:t>Which Australian cohorts are most likely to benefit from potential availability of obesity medicines through the PBS?</w:t>
      </w:r>
      <w:bookmarkStart w:id="2" w:name="_Hlk211424019"/>
    </w:p>
    <w:p w14:paraId="136A7746" w14:textId="526363C5" w:rsidR="00AE3269" w:rsidRPr="00173920" w:rsidRDefault="00AE3269" w:rsidP="00173920">
      <w:pPr>
        <w:pStyle w:val="3Bodytext"/>
        <w:numPr>
          <w:ilvl w:val="2"/>
          <w:numId w:val="1"/>
        </w:numPr>
        <w:ind w:left="1066" w:hanging="357"/>
        <w:jc w:val="both"/>
        <w:rPr>
          <w:szCs w:val="24"/>
        </w:rPr>
      </w:pPr>
      <w:r w:rsidRPr="00173920">
        <w:rPr>
          <w:szCs w:val="24"/>
        </w:rPr>
        <w:t>Are obesity medicines effective as standalone therapies or best used in combination with other interventions, along with supporting models of care?</w:t>
      </w:r>
    </w:p>
    <w:bookmarkEnd w:id="2"/>
    <w:p w14:paraId="766E7199" w14:textId="77777777" w:rsidR="00AE3269" w:rsidRPr="00172FE9" w:rsidRDefault="00AE3269" w:rsidP="00AE3269">
      <w:pPr>
        <w:pStyle w:val="3Bodytext"/>
        <w:numPr>
          <w:ilvl w:val="2"/>
          <w:numId w:val="1"/>
        </w:numPr>
        <w:ind w:left="1069"/>
        <w:jc w:val="both"/>
        <w:rPr>
          <w:szCs w:val="24"/>
        </w:rPr>
      </w:pPr>
      <w:r w:rsidRPr="00172FE9">
        <w:rPr>
          <w:szCs w:val="24"/>
        </w:rPr>
        <w:t>Are they most effectively used as the sole intervention, in association with bariatric surgery, or combination of options?</w:t>
      </w:r>
    </w:p>
    <w:p w14:paraId="63B49D68" w14:textId="6DA53EB2" w:rsidR="00AE3269" w:rsidRPr="00172FE9" w:rsidRDefault="00AE3269" w:rsidP="00AE3269">
      <w:pPr>
        <w:pStyle w:val="3Bodytext"/>
        <w:numPr>
          <w:ilvl w:val="2"/>
          <w:numId w:val="1"/>
        </w:numPr>
        <w:ind w:left="1069"/>
        <w:jc w:val="both"/>
        <w:rPr>
          <w:szCs w:val="24"/>
        </w:rPr>
      </w:pPr>
      <w:r w:rsidRPr="00172FE9">
        <w:rPr>
          <w:szCs w:val="24"/>
        </w:rPr>
        <w:t xml:space="preserve">What is the optimal duration of subsidisation? </w:t>
      </w:r>
    </w:p>
    <w:p w14:paraId="2CA576FF" w14:textId="12A3D3B2" w:rsidR="002A427F" w:rsidRPr="00425EF9" w:rsidRDefault="002A427F" w:rsidP="00425EF9">
      <w:pPr>
        <w:pStyle w:val="3Bodytext"/>
        <w:rPr>
          <w:rFonts w:cs="Calibri"/>
        </w:rPr>
      </w:pPr>
      <w:r w:rsidRPr="288B564B">
        <w:rPr>
          <w:rFonts w:ascii="Calibri" w:hAnsi="Calibri" w:cs="Calibri"/>
        </w:rPr>
        <w:t xml:space="preserve">The PBAC considered this request in March 2025 and agreed to form a </w:t>
      </w:r>
      <w:r w:rsidR="00AE3269" w:rsidRPr="288B564B">
        <w:rPr>
          <w:rFonts w:ascii="Calibri" w:hAnsi="Calibri" w:cs="Calibri"/>
        </w:rPr>
        <w:t>W</w:t>
      </w:r>
      <w:r w:rsidRPr="288B564B">
        <w:rPr>
          <w:rFonts w:ascii="Calibri" w:hAnsi="Calibri" w:cs="Calibri"/>
        </w:rPr>
        <w:t xml:space="preserve">orking </w:t>
      </w:r>
      <w:r w:rsidR="00AE3269" w:rsidRPr="288B564B">
        <w:rPr>
          <w:rFonts w:ascii="Calibri" w:hAnsi="Calibri" w:cs="Calibri"/>
        </w:rPr>
        <w:t>G</w:t>
      </w:r>
      <w:r w:rsidRPr="288B564B">
        <w:rPr>
          <w:rFonts w:ascii="Calibri" w:hAnsi="Calibri" w:cs="Calibri"/>
        </w:rPr>
        <w:t>roup of interested PBAC members to guide the development of PBAC’s response.</w:t>
      </w:r>
      <w:r w:rsidR="00AE3269" w:rsidRPr="288B564B">
        <w:rPr>
          <w:rFonts w:ascii="Calibri" w:hAnsi="Calibri" w:cs="Calibri"/>
        </w:rPr>
        <w:t xml:space="preserve"> </w:t>
      </w:r>
      <w:r w:rsidR="00AE3269" w:rsidRPr="002A2DA6">
        <w:rPr>
          <w:rFonts w:ascii="Calibri" w:hAnsi="Calibri" w:cs="Calibri"/>
        </w:rPr>
        <w:t xml:space="preserve">The Working Group consisted of: </w:t>
      </w:r>
      <w:r w:rsidR="00425EF9" w:rsidRPr="00425EF9">
        <w:rPr>
          <w:rFonts w:cs="Calibri"/>
        </w:rPr>
        <w:t xml:space="preserve">Adjunct Associate Professor Jo Watson, Associate </w:t>
      </w:r>
      <w:r w:rsidR="00425EF9" w:rsidRPr="00425EF9">
        <w:rPr>
          <w:rFonts w:cs="Calibri"/>
        </w:rPr>
        <w:lastRenderedPageBreak/>
        <w:t>Professor (Peter) Shane Hamblin, Dr Susannah Morris, Professor Richard Norman, Associate Professor Ines Rio and Associate Professor Melanie Turner.</w:t>
      </w:r>
    </w:p>
    <w:p w14:paraId="6C8055AE" w14:textId="38E55C6C" w:rsidR="00172FE9" w:rsidRPr="00172FE9" w:rsidRDefault="00AE3269" w:rsidP="00172FE9">
      <w:pPr>
        <w:pStyle w:val="3Bodytext"/>
        <w:rPr>
          <w:lang w:val="en-US"/>
        </w:rPr>
      </w:pPr>
      <w:r w:rsidRPr="00172FE9">
        <w:t xml:space="preserve">The Working </w:t>
      </w:r>
      <w:r w:rsidR="00172FE9" w:rsidRPr="00172FE9">
        <w:t xml:space="preserve">Group met on 14 April </w:t>
      </w:r>
      <w:r w:rsidR="00172FE9">
        <w:t>2025</w:t>
      </w:r>
      <w:r w:rsidR="153C3F65">
        <w:t>,</w:t>
      </w:r>
      <w:r w:rsidR="00172FE9" w:rsidRPr="00172FE9">
        <w:t xml:space="preserve"> to discuss and agree on the approach for responding to the Minister’s request, and to provide advice on research projects proposed by the Department to assist PBAC in formulating its advice to the Minister</w:t>
      </w:r>
      <w:r w:rsidR="00172FE9">
        <w:t>.</w:t>
      </w:r>
      <w:r w:rsidR="00AC0B28">
        <w:t xml:space="preserve"> The Working Group identified several issues and risks associated with PBS subsidy of GLP-1 obesity treatments at this meeting, and </w:t>
      </w:r>
      <w:r w:rsidR="00172FE9" w:rsidRPr="00172FE9">
        <w:rPr>
          <w:lang w:val="en-US"/>
        </w:rPr>
        <w:t>agreed that the Department should prioritise the following research projects:</w:t>
      </w:r>
    </w:p>
    <w:p w14:paraId="4CB3E408" w14:textId="37427C11" w:rsidR="00172FE9" w:rsidRDefault="00172FE9" w:rsidP="00172FE9">
      <w:pPr>
        <w:pStyle w:val="ListParagraph"/>
        <w:numPr>
          <w:ilvl w:val="0"/>
          <w:numId w:val="22"/>
        </w:numPr>
        <w:ind w:left="1066" w:hanging="357"/>
        <w:contextualSpacing/>
        <w:rPr>
          <w:rFonts w:ascii="Calibri" w:hAnsi="Calibri" w:cs="Calibri"/>
        </w:rPr>
      </w:pPr>
      <w:r w:rsidRPr="00172FE9">
        <w:rPr>
          <w:rFonts w:ascii="Calibri" w:hAnsi="Calibri" w:cs="Calibri"/>
        </w:rPr>
        <w:t>Epidemiological modelling of population cohorts that might benefit most from PBS subsidy</w:t>
      </w:r>
      <w:r>
        <w:rPr>
          <w:rFonts w:ascii="Calibri" w:hAnsi="Calibri" w:cs="Calibri"/>
        </w:rPr>
        <w:t>, e</w:t>
      </w:r>
      <w:r w:rsidRPr="00172FE9">
        <w:rPr>
          <w:rFonts w:ascii="Calibri" w:hAnsi="Calibri" w:cs="Calibri"/>
        </w:rPr>
        <w:t xml:space="preserve">.g. adolescents, Aboriginal and Torres Strait Islander persons, </w:t>
      </w:r>
      <w:r>
        <w:rPr>
          <w:rFonts w:ascii="Calibri" w:hAnsi="Calibri" w:cs="Calibri"/>
        </w:rPr>
        <w:t xml:space="preserve">and </w:t>
      </w:r>
      <w:r w:rsidRPr="00172FE9">
        <w:rPr>
          <w:rFonts w:ascii="Calibri" w:hAnsi="Calibri" w:cs="Calibri"/>
        </w:rPr>
        <w:t xml:space="preserve">patients with </w:t>
      </w:r>
      <w:r>
        <w:rPr>
          <w:rFonts w:ascii="Calibri" w:hAnsi="Calibri" w:cs="Calibri"/>
        </w:rPr>
        <w:t>cardiovascular disease (</w:t>
      </w:r>
      <w:r w:rsidRPr="00172FE9">
        <w:rPr>
          <w:rFonts w:ascii="Calibri" w:hAnsi="Calibri" w:cs="Calibri"/>
        </w:rPr>
        <w:t>CVD</w:t>
      </w:r>
      <w:r>
        <w:rPr>
          <w:rFonts w:ascii="Calibri" w:hAnsi="Calibri" w:cs="Calibri"/>
        </w:rPr>
        <w:t>)</w:t>
      </w:r>
      <w:r w:rsidRPr="00172FE9">
        <w:rPr>
          <w:rFonts w:ascii="Calibri" w:hAnsi="Calibri" w:cs="Calibri"/>
        </w:rPr>
        <w:t>, type 2 diabetes,</w:t>
      </w:r>
      <w:r>
        <w:rPr>
          <w:rFonts w:ascii="Calibri" w:hAnsi="Calibri" w:cs="Calibri"/>
        </w:rPr>
        <w:t xml:space="preserve"> or</w:t>
      </w:r>
      <w:r w:rsidRPr="00172FE9">
        <w:rPr>
          <w:rFonts w:ascii="Calibri" w:hAnsi="Calibri" w:cs="Calibri"/>
        </w:rPr>
        <w:t xml:space="preserve"> other </w:t>
      </w:r>
      <w:r>
        <w:rPr>
          <w:rFonts w:ascii="Calibri" w:hAnsi="Calibri" w:cs="Calibri"/>
        </w:rPr>
        <w:t xml:space="preserve">specified </w:t>
      </w:r>
      <w:r w:rsidRPr="00172FE9">
        <w:rPr>
          <w:rFonts w:ascii="Calibri" w:hAnsi="Calibri" w:cs="Calibri"/>
        </w:rPr>
        <w:t xml:space="preserve">comorbidities. </w:t>
      </w:r>
      <w:r w:rsidR="0070655E">
        <w:t xml:space="preserve">Further details provided in </w:t>
      </w:r>
      <w:hyperlink w:anchor="Section3" w:history="1">
        <w:r w:rsidR="0070655E" w:rsidRPr="001B36D0">
          <w:rPr>
            <w:rStyle w:val="Hyperlink"/>
          </w:rPr>
          <w:t>Section 3</w:t>
        </w:r>
      </w:hyperlink>
      <w:r w:rsidR="0070655E">
        <w:t>.</w:t>
      </w:r>
    </w:p>
    <w:p w14:paraId="1627A733" w14:textId="0DFF6A3F" w:rsidR="0070655E" w:rsidRPr="00172FE9" w:rsidRDefault="00172FE9" w:rsidP="0070655E">
      <w:pPr>
        <w:pStyle w:val="ListParagraph"/>
        <w:numPr>
          <w:ilvl w:val="0"/>
          <w:numId w:val="22"/>
        </w:numPr>
        <w:ind w:left="1066" w:hanging="357"/>
        <w:contextualSpacing/>
        <w:rPr>
          <w:rFonts w:ascii="Calibri" w:hAnsi="Calibri" w:cs="Calibri"/>
        </w:rPr>
      </w:pPr>
      <w:r w:rsidRPr="00172FE9">
        <w:rPr>
          <w:rFonts w:cs="Calibri"/>
        </w:rPr>
        <w:t xml:space="preserve">International </w:t>
      </w:r>
      <w:r>
        <w:rPr>
          <w:rFonts w:cs="Calibri"/>
        </w:rPr>
        <w:t>‘</w:t>
      </w:r>
      <w:r w:rsidRPr="00172FE9">
        <w:rPr>
          <w:rFonts w:cs="Calibri"/>
        </w:rPr>
        <w:t>landscape</w:t>
      </w:r>
      <w:r>
        <w:rPr>
          <w:rFonts w:cs="Calibri"/>
        </w:rPr>
        <w:t>’</w:t>
      </w:r>
      <w:r w:rsidRPr="00172FE9">
        <w:rPr>
          <w:rFonts w:cs="Calibri"/>
        </w:rPr>
        <w:t xml:space="preserve"> analysis of subsidisation </w:t>
      </w:r>
      <w:r>
        <w:rPr>
          <w:rFonts w:cs="Calibri"/>
        </w:rPr>
        <w:t xml:space="preserve">of obesity treatments </w:t>
      </w:r>
      <w:r w:rsidRPr="00172FE9">
        <w:rPr>
          <w:rFonts w:cs="Calibri"/>
        </w:rPr>
        <w:t xml:space="preserve">including implementation issues. </w:t>
      </w:r>
      <w:r w:rsidR="0070655E">
        <w:rPr>
          <w:rFonts w:ascii="Calibri" w:hAnsi="Calibri" w:cs="Calibri"/>
        </w:rPr>
        <w:t>M</w:t>
      </w:r>
      <w:r w:rsidR="0070655E" w:rsidRPr="00172FE9">
        <w:rPr>
          <w:rFonts w:ascii="Calibri" w:hAnsi="Calibri" w:cs="Calibri"/>
        </w:rPr>
        <w:t>eeting with health department representatives from the UK and/or Canada to gain an understanding of their deliberations about the roll-out of these medicines in their</w:t>
      </w:r>
      <w:r w:rsidR="0070655E">
        <w:rPr>
          <w:rFonts w:ascii="Calibri" w:hAnsi="Calibri" w:cs="Calibri"/>
        </w:rPr>
        <w:t xml:space="preserve"> health</w:t>
      </w:r>
      <w:r w:rsidR="0070655E" w:rsidRPr="00172FE9">
        <w:rPr>
          <w:rFonts w:ascii="Calibri" w:hAnsi="Calibri" w:cs="Calibri"/>
        </w:rPr>
        <w:t xml:space="preserve"> systems, </w:t>
      </w:r>
      <w:r w:rsidR="0070655E">
        <w:rPr>
          <w:rFonts w:ascii="Calibri" w:hAnsi="Calibri" w:cs="Calibri"/>
        </w:rPr>
        <w:t>including</w:t>
      </w:r>
      <w:r w:rsidR="0070655E" w:rsidRPr="00172FE9">
        <w:rPr>
          <w:rFonts w:ascii="Calibri" w:hAnsi="Calibri" w:cs="Calibri"/>
        </w:rPr>
        <w:t xml:space="preserve"> real-</w:t>
      </w:r>
      <w:r w:rsidR="0070655E">
        <w:rPr>
          <w:rFonts w:ascii="Calibri" w:hAnsi="Calibri" w:cs="Calibri"/>
        </w:rPr>
        <w:t>world</w:t>
      </w:r>
      <w:r w:rsidR="0070655E" w:rsidRPr="00172FE9">
        <w:rPr>
          <w:rFonts w:ascii="Calibri" w:hAnsi="Calibri" w:cs="Calibri"/>
        </w:rPr>
        <w:t xml:space="preserve"> data </w:t>
      </w:r>
      <w:r w:rsidR="0070655E">
        <w:rPr>
          <w:rFonts w:ascii="Calibri" w:hAnsi="Calibri" w:cs="Calibri"/>
        </w:rPr>
        <w:t xml:space="preserve">analysis, wraparound care </w:t>
      </w:r>
      <w:r w:rsidR="0070655E" w:rsidRPr="00172FE9">
        <w:rPr>
          <w:rFonts w:ascii="Calibri" w:hAnsi="Calibri" w:cs="Calibri"/>
        </w:rPr>
        <w:t xml:space="preserve">and </w:t>
      </w:r>
      <w:r w:rsidR="0070655E">
        <w:rPr>
          <w:rFonts w:ascii="Calibri" w:hAnsi="Calibri" w:cs="Calibri"/>
        </w:rPr>
        <w:t>access restrictions/</w:t>
      </w:r>
      <w:r w:rsidR="0070655E" w:rsidRPr="00172FE9">
        <w:rPr>
          <w:rFonts w:ascii="Calibri" w:hAnsi="Calibri" w:cs="Calibri"/>
        </w:rPr>
        <w:t>protocols.</w:t>
      </w:r>
      <w:r w:rsidR="0070655E">
        <w:rPr>
          <w:rFonts w:ascii="Calibri" w:hAnsi="Calibri" w:cs="Calibri"/>
        </w:rPr>
        <w:t xml:space="preserve"> </w:t>
      </w:r>
      <w:r w:rsidR="0070655E">
        <w:t xml:space="preserve">Further details provided in </w:t>
      </w:r>
      <w:hyperlink w:anchor="Section4" w:history="1">
        <w:r w:rsidR="0070655E" w:rsidRPr="0070655E">
          <w:rPr>
            <w:rStyle w:val="Hyperlink"/>
          </w:rPr>
          <w:t>Section 4</w:t>
        </w:r>
      </w:hyperlink>
      <w:r w:rsidR="0070655E">
        <w:t>.</w:t>
      </w:r>
    </w:p>
    <w:p w14:paraId="1E1D69D8" w14:textId="67A87084" w:rsidR="00172FE9" w:rsidRPr="0070655E" w:rsidRDefault="0070655E" w:rsidP="0070655E">
      <w:pPr>
        <w:pStyle w:val="ListParagraph"/>
        <w:numPr>
          <w:ilvl w:val="0"/>
          <w:numId w:val="22"/>
        </w:numPr>
        <w:ind w:left="1066" w:hanging="357"/>
        <w:contextualSpacing/>
        <w:rPr>
          <w:rFonts w:ascii="Calibri" w:hAnsi="Calibri" w:cs="Calibri"/>
        </w:rPr>
      </w:pPr>
      <w:r>
        <w:rPr>
          <w:rFonts w:cs="Calibri"/>
        </w:rPr>
        <w:t>H</w:t>
      </w:r>
      <w:r w:rsidR="00172FE9" w:rsidRPr="00172FE9">
        <w:rPr>
          <w:rFonts w:cs="Calibri"/>
        </w:rPr>
        <w:t>orizon scanning analysis for new obesity treatments, including contemporary generics</w:t>
      </w:r>
      <w:r w:rsidR="66D0EA00" w:rsidRPr="1E8A5144">
        <w:rPr>
          <w:rFonts w:cs="Calibri"/>
        </w:rPr>
        <w:t>/biosimilars</w:t>
      </w:r>
      <w:r w:rsidR="00172FE9" w:rsidRPr="1E8A5144">
        <w:rPr>
          <w:rFonts w:cs="Calibri"/>
        </w:rPr>
        <w:t>.</w:t>
      </w:r>
      <w:r>
        <w:t xml:space="preserve"> Further details provided in </w:t>
      </w:r>
      <w:hyperlink w:anchor="Section5">
        <w:r w:rsidRPr="1E8A5144">
          <w:rPr>
            <w:rStyle w:val="Hyperlink"/>
          </w:rPr>
          <w:t>Section 5</w:t>
        </w:r>
      </w:hyperlink>
      <w:r>
        <w:t>.</w:t>
      </w:r>
    </w:p>
    <w:p w14:paraId="622D9FFC" w14:textId="09394831" w:rsidR="00172FE9" w:rsidRPr="00172FE9" w:rsidRDefault="00172FE9" w:rsidP="00172FE9">
      <w:pPr>
        <w:pStyle w:val="ListParagraph"/>
        <w:numPr>
          <w:ilvl w:val="0"/>
          <w:numId w:val="22"/>
        </w:numPr>
        <w:ind w:left="1066" w:hanging="357"/>
        <w:contextualSpacing/>
        <w:rPr>
          <w:rFonts w:ascii="Calibri" w:hAnsi="Calibri" w:cs="Calibri"/>
        </w:rPr>
      </w:pPr>
      <w:r w:rsidRPr="00172FE9">
        <w:rPr>
          <w:rFonts w:ascii="Calibri" w:hAnsi="Calibri" w:cs="Calibri"/>
        </w:rPr>
        <w:t xml:space="preserve">Conducting an analysis of </w:t>
      </w:r>
      <w:r w:rsidR="00AC0B28">
        <w:rPr>
          <w:rFonts w:ascii="Calibri" w:hAnsi="Calibri" w:cs="Calibri"/>
        </w:rPr>
        <w:t xml:space="preserve">pharmacy </w:t>
      </w:r>
      <w:r w:rsidRPr="00172FE9">
        <w:rPr>
          <w:rFonts w:ascii="Calibri" w:hAnsi="Calibri" w:cs="Calibri"/>
        </w:rPr>
        <w:t>wholesaler data for</w:t>
      </w:r>
      <w:r w:rsidR="00AC0B28">
        <w:rPr>
          <w:rFonts w:ascii="Calibri" w:hAnsi="Calibri" w:cs="Calibri"/>
        </w:rPr>
        <w:t xml:space="preserve"> obesity medicines</w:t>
      </w:r>
      <w:r w:rsidRPr="00172FE9">
        <w:rPr>
          <w:rFonts w:ascii="Calibri" w:hAnsi="Calibri" w:cs="Calibri"/>
        </w:rPr>
        <w:t xml:space="preserve"> to give an indication of private supply. </w:t>
      </w:r>
      <w:r w:rsidR="0070655E">
        <w:t xml:space="preserve">Further details provided in </w:t>
      </w:r>
      <w:hyperlink w:anchor="Section6" w:history="1">
        <w:r w:rsidR="0070655E" w:rsidRPr="0070655E">
          <w:rPr>
            <w:rStyle w:val="Hyperlink"/>
          </w:rPr>
          <w:t>Section 6</w:t>
        </w:r>
      </w:hyperlink>
      <w:r w:rsidR="0070655E">
        <w:t>.</w:t>
      </w:r>
    </w:p>
    <w:p w14:paraId="20D934E0" w14:textId="4CD584EA" w:rsidR="00AE3269" w:rsidRDefault="00AC0B28" w:rsidP="002A427F">
      <w:pPr>
        <w:pStyle w:val="3Bodytext"/>
        <w:spacing w:before="120"/>
        <w:jc w:val="both"/>
        <w:rPr>
          <w:szCs w:val="24"/>
        </w:rPr>
      </w:pPr>
      <w:r>
        <w:rPr>
          <w:szCs w:val="24"/>
        </w:rPr>
        <w:t>The PBAC was provided with a verbal progress update from the Department at the July 2025 PBAC meeting. The Chair and Deputy Chair of the PBAC subsequently wrote to the Minister</w:t>
      </w:r>
      <w:r w:rsidR="00C64525">
        <w:rPr>
          <w:szCs w:val="24"/>
        </w:rPr>
        <w:t xml:space="preserve"> on 27 August 2025,</w:t>
      </w:r>
      <w:r>
        <w:rPr>
          <w:szCs w:val="24"/>
        </w:rPr>
        <w:t xml:space="preserve"> to provide a status update regarding the response. </w:t>
      </w:r>
    </w:p>
    <w:p w14:paraId="61E1C021" w14:textId="67830DBF" w:rsidR="007946E1" w:rsidRDefault="00C64525" w:rsidP="002A427F">
      <w:pPr>
        <w:pStyle w:val="3Bodytext"/>
        <w:spacing w:before="120"/>
        <w:jc w:val="both"/>
        <w:rPr>
          <w:szCs w:val="24"/>
        </w:rPr>
      </w:pPr>
      <w:r>
        <w:rPr>
          <w:szCs w:val="24"/>
        </w:rPr>
        <w:t xml:space="preserve">The Working Group met </w:t>
      </w:r>
      <w:r w:rsidR="001467FD">
        <w:rPr>
          <w:szCs w:val="24"/>
        </w:rPr>
        <w:t xml:space="preserve">again </w:t>
      </w:r>
      <w:r>
        <w:rPr>
          <w:szCs w:val="24"/>
        </w:rPr>
        <w:t>on 26 August 2025, to provide advice to the Department on the epidemiological modelling research project, including data sources and cohorts to be modelled</w:t>
      </w:r>
      <w:r w:rsidR="007946E1">
        <w:rPr>
          <w:szCs w:val="24"/>
        </w:rPr>
        <w:t>.</w:t>
      </w:r>
    </w:p>
    <w:p w14:paraId="7E404B22" w14:textId="20B2C8A2" w:rsidR="002A427F" w:rsidRPr="002A427F" w:rsidRDefault="005A1CD0" w:rsidP="002A427F">
      <w:pPr>
        <w:pStyle w:val="3Bodytext"/>
      </w:pPr>
      <w:r w:rsidRPr="0B8F77E4">
        <w:t>T</w:t>
      </w:r>
      <w:r w:rsidR="00FF0E01" w:rsidRPr="0B8F77E4">
        <w:t>he b</w:t>
      </w:r>
      <w:r w:rsidR="003D29BC" w:rsidRPr="0B8F77E4">
        <w:t>ackground information below includes</w:t>
      </w:r>
      <w:r w:rsidR="003D29BC" w:rsidRPr="0B8F77E4">
        <w:rPr>
          <w:b/>
        </w:rPr>
        <w:t xml:space="preserve"> </w:t>
      </w:r>
      <w:r w:rsidR="003D29BC" w:rsidRPr="0B8F77E4">
        <w:t xml:space="preserve">the history of PBAC consideration of </w:t>
      </w:r>
      <w:r w:rsidR="001A276F" w:rsidRPr="0B8F77E4">
        <w:t xml:space="preserve">GLP-1 </w:t>
      </w:r>
      <w:r w:rsidR="003D29BC" w:rsidRPr="0B8F77E4">
        <w:t xml:space="preserve">obesity treatments, </w:t>
      </w:r>
      <w:r w:rsidR="00EC44B5" w:rsidRPr="0B8F77E4">
        <w:t xml:space="preserve">relevant </w:t>
      </w:r>
      <w:r w:rsidR="002258CB" w:rsidRPr="0B8F77E4">
        <w:t>issues associated wit</w:t>
      </w:r>
      <w:r w:rsidR="00271042" w:rsidRPr="0B8F77E4">
        <w:t xml:space="preserve">h </w:t>
      </w:r>
      <w:r w:rsidR="002A427F" w:rsidRPr="0B8F77E4">
        <w:t xml:space="preserve">wraparound care services and models of service delivery, </w:t>
      </w:r>
      <w:r w:rsidR="00F44670">
        <w:t xml:space="preserve">information on metabolic bariatric surgery, </w:t>
      </w:r>
      <w:r w:rsidR="003D29BC" w:rsidRPr="0B8F77E4">
        <w:t xml:space="preserve">and </w:t>
      </w:r>
      <w:r w:rsidR="002A427F" w:rsidRPr="0B8F77E4">
        <w:t xml:space="preserve">development of </w:t>
      </w:r>
      <w:r w:rsidR="00C64525" w:rsidRPr="0B8F77E4">
        <w:t xml:space="preserve">the revised </w:t>
      </w:r>
      <w:r w:rsidR="002A427F" w:rsidRPr="0B8F77E4">
        <w:t>Australian clinical guidelines for obesity management.</w:t>
      </w:r>
    </w:p>
    <w:p w14:paraId="7A454A74" w14:textId="3668E3C2" w:rsidR="002A427F" w:rsidRDefault="002A427F" w:rsidP="002A427F">
      <w:pPr>
        <w:pStyle w:val="3Subheading1"/>
      </w:pPr>
      <w:r>
        <w:t>PBAC consideration of GLP-1</w:t>
      </w:r>
      <w:r w:rsidR="008B7D73">
        <w:t xml:space="preserve">s registered </w:t>
      </w:r>
      <w:r w:rsidR="006F387C">
        <w:t xml:space="preserve">in Australia </w:t>
      </w:r>
      <w:r w:rsidR="008B7D73">
        <w:t>for the treatment of</w:t>
      </w:r>
      <w:r>
        <w:t xml:space="preserve"> obesity</w:t>
      </w:r>
    </w:p>
    <w:p w14:paraId="04E4755B" w14:textId="5382172F" w:rsidR="00DB5D89" w:rsidRDefault="002C2281" w:rsidP="00682AAF">
      <w:pPr>
        <w:pStyle w:val="3Bodytext"/>
      </w:pPr>
      <w:r>
        <w:t xml:space="preserve">Three GLP-1s are registered in Australia for the </w:t>
      </w:r>
      <w:r w:rsidR="00814E2C">
        <w:t>treatment</w:t>
      </w:r>
      <w:r>
        <w:t xml:space="preserve"> of overweight/obesity: liraglutide, semaglutide (Wegovy</w:t>
      </w:r>
      <w:r w:rsidR="00814E2C">
        <w:t>® only</w:t>
      </w:r>
      <w:r>
        <w:t xml:space="preserve">) and tirzepatide. </w:t>
      </w:r>
      <w:r w:rsidR="00DB5D89">
        <w:t xml:space="preserve">The PBAC has not yet recommended any medicine be listed on the PBS for weight management or treatment of obesity. </w:t>
      </w:r>
    </w:p>
    <w:p w14:paraId="316364DE" w14:textId="63111DD4" w:rsidR="00B93159" w:rsidRDefault="00DB5D89" w:rsidP="00515DDB">
      <w:pPr>
        <w:pStyle w:val="3Bodytext"/>
      </w:pPr>
      <w:r>
        <w:t>The PBAC has considered submissions to list semaglutide (Wegovy</w:t>
      </w:r>
      <w:r w:rsidR="007F6306">
        <w:t>, Novo Nordisk</w:t>
      </w:r>
      <w:r>
        <w:t xml:space="preserve">) for </w:t>
      </w:r>
      <w:r w:rsidR="00327A5D">
        <w:t xml:space="preserve">people with </w:t>
      </w:r>
      <w:r>
        <w:t>obesity</w:t>
      </w:r>
      <w:r w:rsidR="00025059">
        <w:t xml:space="preserve">, </w:t>
      </w:r>
      <w:r w:rsidR="00D4710B">
        <w:t xml:space="preserve">and the </w:t>
      </w:r>
      <w:r w:rsidR="00025059">
        <w:t>GLP-1</w:t>
      </w:r>
      <w:r w:rsidR="003E5380">
        <w:t>-</w:t>
      </w:r>
      <w:r w:rsidR="00B23028">
        <w:t xml:space="preserve">glucose-dependent </w:t>
      </w:r>
      <w:r w:rsidR="001E04BB">
        <w:t>insulinotropic</w:t>
      </w:r>
      <w:r w:rsidR="00B23028">
        <w:t xml:space="preserve"> </w:t>
      </w:r>
      <w:r w:rsidR="001E04BB">
        <w:t>polypeptide (GIP)</w:t>
      </w:r>
      <w:r w:rsidR="003E5380">
        <w:t xml:space="preserve"> </w:t>
      </w:r>
      <w:r w:rsidR="008A3ECF">
        <w:t>receptor agonist</w:t>
      </w:r>
      <w:r w:rsidR="00EA0B05">
        <w:t xml:space="preserve"> </w:t>
      </w:r>
      <w:r>
        <w:t>tirzepatide (Mou</w:t>
      </w:r>
      <w:r w:rsidR="00C64525">
        <w:t>n</w:t>
      </w:r>
      <w:r>
        <w:t>jaro®</w:t>
      </w:r>
      <w:r w:rsidR="007F6306">
        <w:t>, Eli Lilly</w:t>
      </w:r>
      <w:r>
        <w:t xml:space="preserve">) for type 2 </w:t>
      </w:r>
      <w:r>
        <w:lastRenderedPageBreak/>
        <w:t xml:space="preserve">diabetes with severe obesity, but considered these medicines were not cost-effective at the proposed prices. </w:t>
      </w:r>
    </w:p>
    <w:p w14:paraId="41A66566" w14:textId="2ED77ED7" w:rsidR="00952366" w:rsidRDefault="00952366" w:rsidP="00952366">
      <w:pPr>
        <w:pStyle w:val="3Bodytext"/>
      </w:pPr>
      <w:r>
        <w:t xml:space="preserve">The following background information provides </w:t>
      </w:r>
      <w:r w:rsidR="0066231B">
        <w:t xml:space="preserve">an overview of </w:t>
      </w:r>
      <w:r w:rsidR="00563A2F">
        <w:t xml:space="preserve">PBAC consideration </w:t>
      </w:r>
      <w:r w:rsidR="00DE6961">
        <w:t>of GLP-1</w:t>
      </w:r>
      <w:r w:rsidR="00354F11">
        <w:t xml:space="preserve">s registered in Australia for the treatment of obesity, with a focus on </w:t>
      </w:r>
      <w:r w:rsidR="00B47CD2">
        <w:t>PBAC’s</w:t>
      </w:r>
      <w:r w:rsidR="008D31B7">
        <w:t xml:space="preserve"> views on the appropriate population</w:t>
      </w:r>
      <w:r w:rsidR="00D72F25">
        <w:t>s</w:t>
      </w:r>
      <w:r w:rsidR="008D31B7">
        <w:t xml:space="preserve"> for access.</w:t>
      </w:r>
    </w:p>
    <w:p w14:paraId="12BFB5D7" w14:textId="7F5B9F5F" w:rsidR="00176E48" w:rsidRPr="00176E48" w:rsidRDefault="00176E48" w:rsidP="00781AAE">
      <w:pPr>
        <w:pStyle w:val="3Bodytext"/>
        <w:keepNext/>
        <w:keepLines/>
        <w:numPr>
          <w:ilvl w:val="0"/>
          <w:numId w:val="0"/>
        </w:numPr>
        <w:rPr>
          <w:u w:val="single"/>
        </w:rPr>
      </w:pPr>
      <w:r>
        <w:rPr>
          <w:u w:val="single"/>
        </w:rPr>
        <w:t>Semaglutide (</w:t>
      </w:r>
      <w:r w:rsidRPr="00176E48">
        <w:rPr>
          <w:u w:val="single"/>
        </w:rPr>
        <w:t>Wegovy</w:t>
      </w:r>
      <w:r w:rsidR="00A82665">
        <w:rPr>
          <w:u w:val="single"/>
        </w:rPr>
        <w:t>®</w:t>
      </w:r>
      <w:r>
        <w:rPr>
          <w:u w:val="single"/>
        </w:rPr>
        <w:t>)</w:t>
      </w:r>
      <w:r w:rsidR="007F6306">
        <w:rPr>
          <w:u w:val="single"/>
        </w:rPr>
        <w:t>; Novo Nordisk</w:t>
      </w:r>
    </w:p>
    <w:p w14:paraId="184BCFDA" w14:textId="0C8E0C71" w:rsidR="0039333C" w:rsidRDefault="003C6EA5" w:rsidP="00763817">
      <w:pPr>
        <w:pStyle w:val="3Bodytext"/>
        <w:keepNext/>
        <w:keepLines/>
      </w:pPr>
      <w:r>
        <w:t>The PBAC considered submissions for</w:t>
      </w:r>
      <w:r w:rsidR="00A20C9C">
        <w:t xml:space="preserve"> semaglutide for</w:t>
      </w:r>
      <w:r w:rsidR="005E30C2">
        <w:t xml:space="preserve"> people with</w:t>
      </w:r>
      <w:r>
        <w:t xml:space="preserve"> severe obesity</w:t>
      </w:r>
      <w:r w:rsidR="005E30C2">
        <w:t xml:space="preserve"> and weight-related comorbidities, but without diabetes, at the </w:t>
      </w:r>
      <w:r w:rsidR="00FB14C4">
        <w:t xml:space="preserve">March 2022 and November 2023 meetings. </w:t>
      </w:r>
    </w:p>
    <w:p w14:paraId="383B7E42" w14:textId="69A27412" w:rsidR="00CF383E" w:rsidRDefault="00E677B1" w:rsidP="00763817">
      <w:pPr>
        <w:pStyle w:val="3Bodytext"/>
        <w:keepNext/>
        <w:keepLines/>
      </w:pPr>
      <w:r>
        <w:t xml:space="preserve">A PBAC stakeholder meeting for semaglutide was held in August 2021. The outcome statement is available on the </w:t>
      </w:r>
      <w:hyperlink r:id="rId11" w:history="1">
        <w:r w:rsidRPr="00E677B1">
          <w:rPr>
            <w:rStyle w:val="Hyperlink"/>
          </w:rPr>
          <w:t>PBS website</w:t>
        </w:r>
      </w:hyperlink>
      <w:r>
        <w:t>.</w:t>
      </w:r>
      <w:r w:rsidR="00F4242D">
        <w:t xml:space="preserve"> </w:t>
      </w:r>
    </w:p>
    <w:p w14:paraId="666234A9" w14:textId="3605A0CF" w:rsidR="006B4FEC" w:rsidRDefault="00DB5D89" w:rsidP="00742A88">
      <w:pPr>
        <w:pStyle w:val="3Bodytext"/>
        <w:keepNext/>
        <w:keepLines/>
      </w:pPr>
      <w:r>
        <w:t>When considering</w:t>
      </w:r>
      <w:r w:rsidR="003D78DB">
        <w:t xml:space="preserve"> semaglutide (</w:t>
      </w:r>
      <w:r>
        <w:t>Wegovy</w:t>
      </w:r>
      <w:r w:rsidR="003D78DB">
        <w:t>) in November 2023</w:t>
      </w:r>
      <w:r>
        <w:t>,</w:t>
      </w:r>
      <w:r w:rsidR="00361BD0">
        <w:t xml:space="preserve"> based on the information ava</w:t>
      </w:r>
      <w:r w:rsidR="00560DAE">
        <w:t>i</w:t>
      </w:r>
      <w:r w:rsidR="00C63DC7">
        <w:t>lable at the time,</w:t>
      </w:r>
      <w:r>
        <w:t xml:space="preserve"> the PBAC provided advice that </w:t>
      </w:r>
      <w:r w:rsidRPr="007C269C">
        <w:t xml:space="preserve">the most appropriate target population </w:t>
      </w:r>
      <w:r>
        <w:t xml:space="preserve">was people </w:t>
      </w:r>
      <w:r w:rsidRPr="007C269C">
        <w:t>with</w:t>
      </w:r>
      <w:r w:rsidR="006B4FEC">
        <w:t>:</w:t>
      </w:r>
    </w:p>
    <w:p w14:paraId="05396049" w14:textId="77777777" w:rsidR="006B4FEC" w:rsidRDefault="00DB5D89" w:rsidP="00742A88">
      <w:pPr>
        <w:pStyle w:val="3Bodytext"/>
        <w:keepNext/>
        <w:keepLines/>
        <w:numPr>
          <w:ilvl w:val="2"/>
          <w:numId w:val="1"/>
        </w:numPr>
        <w:ind w:left="697" w:hanging="357"/>
      </w:pPr>
      <w:r w:rsidRPr="007C269C">
        <w:t xml:space="preserve">a </w:t>
      </w:r>
      <w:r>
        <w:t xml:space="preserve">Body Mass Index (BMI) </w:t>
      </w:r>
      <w:r w:rsidRPr="007C269C">
        <w:t>≥ 40 kg/m</w:t>
      </w:r>
      <w:r w:rsidRPr="007C269C">
        <w:rPr>
          <w:vertAlign w:val="superscript"/>
        </w:rPr>
        <w:t>2</w:t>
      </w:r>
      <w:r w:rsidRPr="007C269C">
        <w:t xml:space="preserve"> (≥ 37 kg/m</w:t>
      </w:r>
      <w:r w:rsidRPr="007C269C">
        <w:rPr>
          <w:vertAlign w:val="superscript"/>
        </w:rPr>
        <w:t>2</w:t>
      </w:r>
      <w:r w:rsidRPr="007C269C">
        <w:t xml:space="preserve"> for Aboriginal and Torres Strait Islander people/Asian ethnicity) AND </w:t>
      </w:r>
    </w:p>
    <w:p w14:paraId="7CED0167" w14:textId="4E902A2B" w:rsidR="00DB5D89" w:rsidRPr="00C26D5E" w:rsidRDefault="00DB5D89" w:rsidP="003625D5">
      <w:pPr>
        <w:pStyle w:val="3Bodytext"/>
        <w:numPr>
          <w:ilvl w:val="2"/>
          <w:numId w:val="1"/>
        </w:numPr>
        <w:ind w:left="697" w:hanging="357"/>
      </w:pPr>
      <w:r w:rsidRPr="007C269C">
        <w:t xml:space="preserve">pre-existing </w:t>
      </w:r>
      <w:r w:rsidR="00177B84">
        <w:t>cardiovascular disease (</w:t>
      </w:r>
      <w:r w:rsidRPr="007C269C">
        <w:t>CVD</w:t>
      </w:r>
      <w:r w:rsidR="00177B84">
        <w:t>)</w:t>
      </w:r>
      <w:r w:rsidRPr="007C269C">
        <w:t>,</w:t>
      </w:r>
      <w:r>
        <w:t xml:space="preserve"> OR type 2 diabetes,</w:t>
      </w:r>
      <w:r w:rsidRPr="007C269C">
        <w:t xml:space="preserve"> OR</w:t>
      </w:r>
      <w:r>
        <w:t> </w:t>
      </w:r>
      <w:r w:rsidRPr="007C269C">
        <w:t>≥</w:t>
      </w:r>
      <w:r>
        <w:t> </w:t>
      </w:r>
      <w:r w:rsidRPr="007C269C">
        <w:t>2</w:t>
      </w:r>
      <w:r>
        <w:t> </w:t>
      </w:r>
      <w:r w:rsidRPr="007C269C">
        <w:t>weight-related comorbidities consistent with high cardiometabolic risk</w:t>
      </w:r>
      <w:r>
        <w:t xml:space="preserve"> (e.g. hypertension, </w:t>
      </w:r>
      <w:r w:rsidRPr="00C26D5E">
        <w:t>dyslipidaemia, chronic kidney disease, fatty liver disease, pre-diabetes).</w:t>
      </w:r>
    </w:p>
    <w:p w14:paraId="08B1794F" w14:textId="7157CEBB" w:rsidR="00BC7F18" w:rsidRPr="00C26D5E" w:rsidRDefault="00700C1E" w:rsidP="00BC7F18">
      <w:pPr>
        <w:pStyle w:val="3Bodytext"/>
      </w:pPr>
      <w:r w:rsidRPr="00C26D5E">
        <w:t>I</w:t>
      </w:r>
      <w:r w:rsidR="00271B6F" w:rsidRPr="00C26D5E">
        <w:t>n November 2023</w:t>
      </w:r>
      <w:r w:rsidRPr="00C26D5E">
        <w:t>, t</w:t>
      </w:r>
      <w:r w:rsidR="00BC7F18" w:rsidRPr="00C26D5E">
        <w:t>he PBAC offered Novo Nordisk a facilitated resolution workshop with one or more PBAC members</w:t>
      </w:r>
      <w:r w:rsidR="00E72453">
        <w:t xml:space="preserve">. </w:t>
      </w:r>
      <w:r w:rsidR="00C26D5E" w:rsidRPr="00C26D5E">
        <w:rPr>
          <w:b/>
          <w:bCs/>
        </w:rPr>
        <w:t>Redacted text</w:t>
      </w:r>
      <w:r w:rsidR="00C26D5E" w:rsidRPr="00C26D5E">
        <w:t>.</w:t>
      </w:r>
      <w:r w:rsidR="00BC7F18" w:rsidRPr="00C26D5E">
        <w:t xml:space="preserve">  </w:t>
      </w:r>
    </w:p>
    <w:p w14:paraId="2AF446C0" w14:textId="5A710DA1" w:rsidR="00CC73F5" w:rsidRDefault="00CC73F5" w:rsidP="005C02F6">
      <w:pPr>
        <w:pStyle w:val="3Bodytext"/>
      </w:pPr>
      <w:r>
        <w:t xml:space="preserve">A </w:t>
      </w:r>
      <w:r w:rsidR="00255289">
        <w:t>submission from Novo Nordisk to list semaglutide</w:t>
      </w:r>
      <w:r>
        <w:t xml:space="preserve"> on the PBS</w:t>
      </w:r>
      <w:r w:rsidR="00255289">
        <w:t xml:space="preserve"> for </w:t>
      </w:r>
      <w:r>
        <w:t xml:space="preserve">the treatment of patients with established CVD living with overweight or obesity </w:t>
      </w:r>
      <w:r w:rsidR="006013DC">
        <w:t xml:space="preserve">was also </w:t>
      </w:r>
      <w:r>
        <w:t>considered separately at th</w:t>
      </w:r>
      <w:r w:rsidR="00255289">
        <w:t>e November 2025 PBAC meeting.</w:t>
      </w:r>
      <w:r w:rsidR="005C02F6">
        <w:t xml:space="preserve"> </w:t>
      </w:r>
    </w:p>
    <w:p w14:paraId="1C793584" w14:textId="104D5E60" w:rsidR="005F6101" w:rsidRDefault="00CC73F5" w:rsidP="002D1E57">
      <w:pPr>
        <w:pStyle w:val="3Bodytext"/>
      </w:pPr>
      <w:r>
        <w:t xml:space="preserve">Novo Nordisk </w:t>
      </w:r>
      <w:r w:rsidR="002D1E57">
        <w:t xml:space="preserve">provides </w:t>
      </w:r>
      <w:r w:rsidR="004672D6" w:rsidRPr="00115080">
        <w:t>w</w:t>
      </w:r>
      <w:r w:rsidR="002D1E57" w:rsidRPr="00115080">
        <w:t>egovy</w:t>
      </w:r>
      <w:r w:rsidR="002D1E57" w:rsidRPr="00115080">
        <w:rPr>
          <w:i/>
          <w:iCs/>
        </w:rPr>
        <w:t>care</w:t>
      </w:r>
      <w:r w:rsidR="002D1E57" w:rsidRPr="00115080">
        <w:t>®</w:t>
      </w:r>
      <w:r w:rsidR="00115080">
        <w:rPr>
          <w:rStyle w:val="FootnoteReference"/>
        </w:rPr>
        <w:footnoteReference w:id="2"/>
      </w:r>
      <w:r w:rsidR="002D1E57">
        <w:t xml:space="preserve"> an online patient support program for </w:t>
      </w:r>
      <w:r w:rsidR="004672D6">
        <w:t>people prescribed Wegovy</w:t>
      </w:r>
      <w:r w:rsidR="008F53B5">
        <w:t xml:space="preserve"> in Australia</w:t>
      </w:r>
      <w:r w:rsidR="004672D6">
        <w:t>.</w:t>
      </w:r>
    </w:p>
    <w:p w14:paraId="0ED6F772" w14:textId="1E6065E4" w:rsidR="00A16F84" w:rsidRPr="00A16F84" w:rsidRDefault="00A16F84" w:rsidP="00A16F84">
      <w:pPr>
        <w:pStyle w:val="3Bodytext"/>
        <w:numPr>
          <w:ilvl w:val="0"/>
          <w:numId w:val="0"/>
        </w:numPr>
        <w:rPr>
          <w:u w:val="single"/>
        </w:rPr>
      </w:pPr>
      <w:r w:rsidRPr="00A16F84">
        <w:rPr>
          <w:u w:val="single"/>
        </w:rPr>
        <w:t>Tirzepatide</w:t>
      </w:r>
      <w:r w:rsidR="004726D4">
        <w:rPr>
          <w:u w:val="single"/>
        </w:rPr>
        <w:t xml:space="preserve"> (Mounjaro</w:t>
      </w:r>
      <w:r w:rsidR="00A82665">
        <w:rPr>
          <w:u w:val="single"/>
        </w:rPr>
        <w:t>®</w:t>
      </w:r>
      <w:r w:rsidR="004726D4">
        <w:rPr>
          <w:u w:val="single"/>
        </w:rPr>
        <w:t>)</w:t>
      </w:r>
      <w:r w:rsidR="007F6306">
        <w:rPr>
          <w:u w:val="single"/>
        </w:rPr>
        <w:t>, Eli Lilly</w:t>
      </w:r>
    </w:p>
    <w:p w14:paraId="391613BC" w14:textId="4502D42A" w:rsidR="006F17AA" w:rsidRPr="006F17AA" w:rsidRDefault="006F17AA" w:rsidP="003625D5">
      <w:pPr>
        <w:widowControl w:val="0"/>
        <w:numPr>
          <w:ilvl w:val="1"/>
          <w:numId w:val="1"/>
        </w:numPr>
        <w:spacing w:after="120"/>
        <w:rPr>
          <w:rFonts w:asciiTheme="minorHAnsi" w:hAnsiTheme="minorHAnsi"/>
          <w:snapToGrid w:val="0"/>
          <w:lang w:val="en-GB" w:eastAsia="en-US"/>
        </w:rPr>
      </w:pPr>
      <w:r>
        <w:rPr>
          <w:rFonts w:asciiTheme="minorHAnsi" w:hAnsiTheme="minorHAnsi"/>
          <w:snapToGrid w:val="0"/>
          <w:lang w:val="en-GB" w:eastAsia="en-US"/>
        </w:rPr>
        <w:t xml:space="preserve">Eli Lilly has not made a submission to list tirzepatide on the PBS for </w:t>
      </w:r>
      <w:r w:rsidR="00C80080">
        <w:rPr>
          <w:rFonts w:asciiTheme="minorHAnsi" w:hAnsiTheme="minorHAnsi"/>
          <w:snapToGrid w:val="0"/>
          <w:lang w:val="en-GB" w:eastAsia="en-US"/>
        </w:rPr>
        <w:t xml:space="preserve">its TGA-registered </w:t>
      </w:r>
      <w:r>
        <w:rPr>
          <w:rFonts w:asciiTheme="minorHAnsi" w:hAnsiTheme="minorHAnsi"/>
          <w:snapToGrid w:val="0"/>
          <w:lang w:val="en-GB" w:eastAsia="en-US"/>
        </w:rPr>
        <w:t>indication</w:t>
      </w:r>
      <w:r w:rsidR="00C80080">
        <w:rPr>
          <w:rFonts w:asciiTheme="minorHAnsi" w:hAnsiTheme="minorHAnsi"/>
          <w:snapToGrid w:val="0"/>
          <w:lang w:val="en-GB" w:eastAsia="en-US"/>
        </w:rPr>
        <w:t>s</w:t>
      </w:r>
      <w:r>
        <w:rPr>
          <w:rFonts w:asciiTheme="minorHAnsi" w:hAnsiTheme="minorHAnsi"/>
          <w:snapToGrid w:val="0"/>
          <w:lang w:val="en-GB" w:eastAsia="en-US"/>
        </w:rPr>
        <w:t xml:space="preserve"> of weight management or treatment of obstructive sleep apnoea.</w:t>
      </w:r>
    </w:p>
    <w:p w14:paraId="5377D1A2" w14:textId="43717C5B" w:rsidR="00411A80" w:rsidRPr="00411A80" w:rsidRDefault="00A5502C" w:rsidP="003625D5">
      <w:pPr>
        <w:widowControl w:val="0"/>
        <w:numPr>
          <w:ilvl w:val="1"/>
          <w:numId w:val="1"/>
        </w:numPr>
        <w:spacing w:after="120"/>
        <w:rPr>
          <w:rFonts w:asciiTheme="minorHAnsi" w:hAnsiTheme="minorHAnsi"/>
          <w:snapToGrid w:val="0"/>
          <w:lang w:val="en-GB" w:eastAsia="en-US"/>
        </w:rPr>
      </w:pPr>
      <w:r>
        <w:rPr>
          <w:snapToGrid w:val="0"/>
          <w:lang w:val="en-GB" w:eastAsia="en-US"/>
        </w:rPr>
        <w:t xml:space="preserve">The PBAC </w:t>
      </w:r>
      <w:r w:rsidR="00C80080">
        <w:rPr>
          <w:snapToGrid w:val="0"/>
          <w:lang w:val="en-GB" w:eastAsia="en-US"/>
        </w:rPr>
        <w:t xml:space="preserve">first considered and did not recommend a </w:t>
      </w:r>
      <w:r>
        <w:rPr>
          <w:snapToGrid w:val="0"/>
          <w:lang w:val="en-GB" w:eastAsia="en-US"/>
        </w:rPr>
        <w:t xml:space="preserve">submission for tirzepatide </w:t>
      </w:r>
      <w:r w:rsidR="006F17AA">
        <w:rPr>
          <w:snapToGrid w:val="0"/>
          <w:lang w:val="en-GB" w:eastAsia="en-US"/>
        </w:rPr>
        <w:t>for the indication of type 2 diabetes mellitus (T2DM)</w:t>
      </w:r>
      <w:r w:rsidR="00C80080">
        <w:rPr>
          <w:snapToGrid w:val="0"/>
          <w:lang w:val="en-GB" w:eastAsia="en-US"/>
        </w:rPr>
        <w:t xml:space="preserve"> </w:t>
      </w:r>
      <w:r>
        <w:rPr>
          <w:snapToGrid w:val="0"/>
          <w:lang w:val="en-GB" w:eastAsia="en-US"/>
        </w:rPr>
        <w:t>in July 2023</w:t>
      </w:r>
      <w:r w:rsidR="006F17AA">
        <w:rPr>
          <w:snapToGrid w:val="0"/>
          <w:lang w:val="en-GB" w:eastAsia="en-US"/>
        </w:rPr>
        <w:t xml:space="preserve">. The submission did not include a </w:t>
      </w:r>
      <w:r>
        <w:rPr>
          <w:snapToGrid w:val="0"/>
          <w:lang w:val="en-GB" w:eastAsia="en-US"/>
        </w:rPr>
        <w:t xml:space="preserve">clinical criterion related to obesity. </w:t>
      </w:r>
    </w:p>
    <w:p w14:paraId="7E80F0B4" w14:textId="5881B175" w:rsidR="00DA466B" w:rsidRPr="00411A80" w:rsidRDefault="00EF4BBC" w:rsidP="00411A80">
      <w:pPr>
        <w:widowControl w:val="0"/>
        <w:numPr>
          <w:ilvl w:val="1"/>
          <w:numId w:val="1"/>
        </w:numPr>
        <w:spacing w:after="120"/>
        <w:rPr>
          <w:rFonts w:asciiTheme="minorHAnsi" w:hAnsiTheme="minorHAnsi"/>
          <w:snapToGrid w:val="0"/>
          <w:lang w:val="en-GB" w:eastAsia="en-US"/>
        </w:rPr>
      </w:pPr>
      <w:r>
        <w:rPr>
          <w:snapToGrid w:val="0"/>
          <w:lang w:val="en-GB" w:eastAsia="en-US"/>
        </w:rPr>
        <w:t xml:space="preserve">In November 2024, </w:t>
      </w:r>
      <w:r w:rsidR="004726D4">
        <w:rPr>
          <w:snapToGrid w:val="0"/>
          <w:lang w:val="en-GB" w:eastAsia="en-US"/>
        </w:rPr>
        <w:t>when considering</w:t>
      </w:r>
      <w:r w:rsidR="00411A80">
        <w:rPr>
          <w:snapToGrid w:val="0"/>
          <w:lang w:val="en-GB" w:eastAsia="en-US"/>
        </w:rPr>
        <w:t xml:space="preserve"> a resubmission for</w:t>
      </w:r>
      <w:r w:rsidR="004726D4">
        <w:rPr>
          <w:snapToGrid w:val="0"/>
          <w:lang w:val="en-GB" w:eastAsia="en-US"/>
        </w:rPr>
        <w:t xml:space="preserve"> tirzepatide</w:t>
      </w:r>
      <w:r w:rsidR="00D90907">
        <w:rPr>
          <w:snapToGrid w:val="0"/>
          <w:lang w:val="en-GB" w:eastAsia="en-US"/>
        </w:rPr>
        <w:t xml:space="preserve">, </w:t>
      </w:r>
      <w:r>
        <w:rPr>
          <w:snapToGrid w:val="0"/>
          <w:lang w:val="en-GB" w:eastAsia="en-US"/>
        </w:rPr>
        <w:t xml:space="preserve">the PBAC </w:t>
      </w:r>
      <w:r w:rsidR="00FE7810">
        <w:rPr>
          <w:rFonts w:asciiTheme="minorHAnsi" w:hAnsiTheme="minorHAnsi"/>
          <w:snapToGrid w:val="0"/>
          <w:lang w:val="en-GB" w:eastAsia="en-US"/>
        </w:rPr>
        <w:t xml:space="preserve">advised that the proposed narrower </w:t>
      </w:r>
      <w:r w:rsidR="00411A80">
        <w:rPr>
          <w:rFonts w:asciiTheme="minorHAnsi" w:hAnsiTheme="minorHAnsi"/>
          <w:snapToGrid w:val="0"/>
          <w:lang w:val="en-GB" w:eastAsia="en-US"/>
        </w:rPr>
        <w:t xml:space="preserve">T2DM </w:t>
      </w:r>
      <w:r w:rsidR="00FE7810">
        <w:rPr>
          <w:rFonts w:asciiTheme="minorHAnsi" w:hAnsiTheme="minorHAnsi"/>
          <w:snapToGrid w:val="0"/>
          <w:lang w:val="en-GB" w:eastAsia="en-US"/>
        </w:rPr>
        <w:t xml:space="preserve">restriction, </w:t>
      </w:r>
      <w:r w:rsidR="00B81F1B">
        <w:rPr>
          <w:rFonts w:asciiTheme="minorHAnsi" w:hAnsiTheme="minorHAnsi"/>
          <w:snapToGrid w:val="0"/>
          <w:lang w:val="en-GB" w:eastAsia="en-US"/>
        </w:rPr>
        <w:t xml:space="preserve">for </w:t>
      </w:r>
      <w:r w:rsidR="00FE7810">
        <w:rPr>
          <w:rFonts w:asciiTheme="minorHAnsi" w:hAnsiTheme="minorHAnsi"/>
          <w:snapToGrid w:val="0"/>
          <w:lang w:val="en-GB" w:eastAsia="en-US"/>
        </w:rPr>
        <w:t xml:space="preserve">patients with </w:t>
      </w:r>
      <w:r w:rsidR="00FE7810" w:rsidRPr="008649AD">
        <w:rPr>
          <w:rFonts w:asciiTheme="minorHAnsi" w:hAnsiTheme="minorHAnsi"/>
          <w:snapToGrid w:val="0"/>
          <w:lang w:val="en-GB" w:eastAsia="en-US"/>
        </w:rPr>
        <w:t>inadequately controlled</w:t>
      </w:r>
      <w:r w:rsidR="00FE7810">
        <w:rPr>
          <w:rFonts w:asciiTheme="minorHAnsi" w:hAnsiTheme="minorHAnsi"/>
          <w:snapToGrid w:val="0"/>
          <w:lang w:val="en-GB" w:eastAsia="en-US"/>
        </w:rPr>
        <w:t xml:space="preserve"> T2DM and who either have a BMI </w:t>
      </w:r>
      <w:r w:rsidR="00FE7810" w:rsidRPr="00AA709B">
        <w:t>≥35</w:t>
      </w:r>
      <w:r w:rsidR="00570ABA">
        <w:t> </w:t>
      </w:r>
      <w:r w:rsidR="00FE7810" w:rsidRPr="00AA709B">
        <w:t>kg/m</w:t>
      </w:r>
      <w:r w:rsidR="00FE7810" w:rsidRPr="00AA709B">
        <w:rPr>
          <w:vertAlign w:val="superscript"/>
        </w:rPr>
        <w:t>2</w:t>
      </w:r>
      <w:r w:rsidR="00FE7810">
        <w:rPr>
          <w:vertAlign w:val="superscript"/>
        </w:rPr>
        <w:t xml:space="preserve"> </w:t>
      </w:r>
      <w:r w:rsidR="00FE7810">
        <w:rPr>
          <w:rFonts w:asciiTheme="minorHAnsi" w:hAnsiTheme="minorHAnsi"/>
          <w:snapToGrid w:val="0"/>
          <w:lang w:val="en-GB" w:eastAsia="en-US"/>
        </w:rPr>
        <w:t xml:space="preserve">or </w:t>
      </w:r>
      <w:r w:rsidR="00FE7810" w:rsidRPr="008649AD">
        <w:rPr>
          <w:rFonts w:asciiTheme="minorHAnsi" w:hAnsiTheme="minorHAnsi"/>
          <w:snapToGrid w:val="0"/>
          <w:lang w:val="en-GB" w:eastAsia="en-US"/>
        </w:rPr>
        <w:t xml:space="preserve">identify as Aboriginal </w:t>
      </w:r>
      <w:r w:rsidR="005B538F">
        <w:rPr>
          <w:rFonts w:asciiTheme="minorHAnsi" w:hAnsiTheme="minorHAnsi"/>
          <w:snapToGrid w:val="0"/>
          <w:lang w:val="en-GB" w:eastAsia="en-US"/>
        </w:rPr>
        <w:t xml:space="preserve">or </w:t>
      </w:r>
      <w:r w:rsidR="00FE7810" w:rsidRPr="008649AD">
        <w:rPr>
          <w:rFonts w:asciiTheme="minorHAnsi" w:hAnsiTheme="minorHAnsi"/>
          <w:snapToGrid w:val="0"/>
          <w:lang w:val="en-GB" w:eastAsia="en-US"/>
        </w:rPr>
        <w:lastRenderedPageBreak/>
        <w:t>Torres Strait Islander</w:t>
      </w:r>
      <w:r w:rsidR="00FE7810">
        <w:rPr>
          <w:rFonts w:asciiTheme="minorHAnsi" w:hAnsiTheme="minorHAnsi"/>
          <w:snapToGrid w:val="0"/>
          <w:lang w:val="en-GB" w:eastAsia="en-US"/>
        </w:rPr>
        <w:t>, appropriately targeted subpopulations at high risk of diabetes</w:t>
      </w:r>
      <w:r w:rsidR="6B925E81" w:rsidRPr="552F56DA">
        <w:rPr>
          <w:rFonts w:asciiTheme="minorHAnsi" w:hAnsiTheme="minorHAnsi"/>
          <w:snapToGrid w:val="0"/>
          <w:lang w:val="en-GB" w:eastAsia="en-US"/>
        </w:rPr>
        <w:t xml:space="preserve"> </w:t>
      </w:r>
      <w:r w:rsidR="00FE7810">
        <w:rPr>
          <w:rFonts w:asciiTheme="minorHAnsi" w:hAnsiTheme="minorHAnsi"/>
          <w:snapToGrid w:val="0"/>
          <w:lang w:val="en-GB" w:eastAsia="en-US"/>
        </w:rPr>
        <w:t xml:space="preserve">related complications. However, it was noted this still represented a very large eligible population. </w:t>
      </w:r>
      <w:r w:rsidR="002259AA" w:rsidRPr="00411A80">
        <w:rPr>
          <w:snapToGrid w:val="0"/>
          <w:lang w:val="en-GB" w:eastAsia="en-US"/>
        </w:rPr>
        <w:t xml:space="preserve">The PBAC </w:t>
      </w:r>
      <w:r w:rsidRPr="00411A80">
        <w:rPr>
          <w:snapToGrid w:val="0"/>
          <w:lang w:val="en-GB" w:eastAsia="en-US"/>
        </w:rPr>
        <w:t>considered that the ICER was high, inadequately justified, and uncertain</w:t>
      </w:r>
      <w:r w:rsidR="00F150E5" w:rsidRPr="00411A80">
        <w:rPr>
          <w:snapToGrid w:val="0"/>
          <w:lang w:val="en-GB" w:eastAsia="en-US"/>
        </w:rPr>
        <w:t xml:space="preserve">, and </w:t>
      </w:r>
      <w:r w:rsidRPr="00411A80">
        <w:rPr>
          <w:snapToGrid w:val="0"/>
          <w:lang w:val="en-GB" w:eastAsia="en-US"/>
        </w:rPr>
        <w:t xml:space="preserve">that a price reduction would be required. The PBAC noted the financial impact </w:t>
      </w:r>
      <w:r w:rsidR="00EA797D">
        <w:rPr>
          <w:snapToGrid w:val="0"/>
          <w:lang w:val="en-GB" w:eastAsia="en-US"/>
        </w:rPr>
        <w:t>for</w:t>
      </w:r>
      <w:r w:rsidR="009F0C3A">
        <w:rPr>
          <w:snapToGrid w:val="0"/>
          <w:lang w:val="en-GB" w:eastAsia="en-US"/>
        </w:rPr>
        <w:t xml:space="preserve"> the </w:t>
      </w:r>
      <w:r w:rsidR="00EA797D">
        <w:rPr>
          <w:snapToGrid w:val="0"/>
          <w:lang w:val="en-GB" w:eastAsia="en-US"/>
        </w:rPr>
        <w:t xml:space="preserve">PBS </w:t>
      </w:r>
      <w:r w:rsidRPr="00411A80">
        <w:rPr>
          <w:snapToGrid w:val="0"/>
          <w:lang w:val="en-GB" w:eastAsia="en-US"/>
        </w:rPr>
        <w:t>was extremely high at the prices proposed, although considered it likely</w:t>
      </w:r>
      <w:r w:rsidR="002259AA" w:rsidRPr="00411A80">
        <w:rPr>
          <w:snapToGrid w:val="0"/>
          <w:lang w:val="en-GB" w:eastAsia="en-US"/>
        </w:rPr>
        <w:t xml:space="preserve"> </w:t>
      </w:r>
      <w:r w:rsidRPr="00411A80">
        <w:rPr>
          <w:snapToGrid w:val="0"/>
          <w:lang w:val="en-GB" w:eastAsia="en-US"/>
        </w:rPr>
        <w:t>overestimated</w:t>
      </w:r>
      <w:r w:rsidR="00F150E5" w:rsidRPr="00411A80">
        <w:rPr>
          <w:snapToGrid w:val="0"/>
          <w:lang w:val="en-GB" w:eastAsia="en-US"/>
        </w:rPr>
        <w:t xml:space="preserve">, and that the </w:t>
      </w:r>
      <w:r w:rsidR="004511E6" w:rsidRPr="00411A80">
        <w:rPr>
          <w:snapToGrid w:val="0"/>
          <w:lang w:val="en-GB" w:eastAsia="en-US"/>
        </w:rPr>
        <w:t>p</w:t>
      </w:r>
      <w:r w:rsidR="00F150E5" w:rsidRPr="00411A80">
        <w:rPr>
          <w:snapToGrid w:val="0"/>
          <w:lang w:val="en-GB" w:eastAsia="en-US"/>
        </w:rPr>
        <w:t xml:space="preserve">roposed </w:t>
      </w:r>
      <w:r w:rsidR="00E00ADC" w:rsidRPr="00411A80">
        <w:rPr>
          <w:snapToGrid w:val="0"/>
          <w:lang w:val="en-GB" w:eastAsia="en-US"/>
        </w:rPr>
        <w:t>Risk Share Agreement (</w:t>
      </w:r>
      <w:r w:rsidRPr="00411A80">
        <w:rPr>
          <w:snapToGrid w:val="0"/>
          <w:lang w:val="en-GB" w:eastAsia="en-US"/>
        </w:rPr>
        <w:t>RSA</w:t>
      </w:r>
      <w:r w:rsidR="00E00ADC" w:rsidRPr="00411A80">
        <w:rPr>
          <w:snapToGrid w:val="0"/>
          <w:lang w:val="en-GB" w:eastAsia="en-US"/>
        </w:rPr>
        <w:t>)</w:t>
      </w:r>
      <w:r w:rsidR="00F150E5" w:rsidRPr="00411A80">
        <w:rPr>
          <w:snapToGrid w:val="0"/>
          <w:lang w:val="en-GB" w:eastAsia="en-US"/>
        </w:rPr>
        <w:t xml:space="preserve"> was</w:t>
      </w:r>
      <w:r w:rsidRPr="00411A80">
        <w:rPr>
          <w:snapToGrid w:val="0"/>
          <w:lang w:val="en-GB" w:eastAsia="en-US"/>
        </w:rPr>
        <w:t xml:space="preserve"> unlikely to satisfactorily mitigate the risk to government of use outside of the proposed restriction. </w:t>
      </w:r>
    </w:p>
    <w:p w14:paraId="7B2D686F" w14:textId="6E595137" w:rsidR="00DB5D89" w:rsidRDefault="00DB5D89" w:rsidP="00601634">
      <w:pPr>
        <w:pStyle w:val="3Bodytext"/>
      </w:pPr>
      <w:r>
        <w:t xml:space="preserve">The PBAC considered that an ICER of $25,000-$35,000 per quality-adjusted life year (QALY) would be appropriate for tirzepatide for the </w:t>
      </w:r>
      <w:r w:rsidR="00411A80">
        <w:t xml:space="preserve">T2DM </w:t>
      </w:r>
      <w:r>
        <w:t>population with comorbid severe obesity.</w:t>
      </w:r>
    </w:p>
    <w:p w14:paraId="2324CD7B" w14:textId="7B38584A" w:rsidR="006F17AA" w:rsidRPr="005066B4" w:rsidRDefault="00BD7819" w:rsidP="00252DC3">
      <w:pPr>
        <w:pStyle w:val="3Bodytext"/>
        <w:rPr>
          <w:b/>
          <w:bCs/>
          <w:snapToGrid w:val="0"/>
          <w:lang w:val="en-GB"/>
        </w:rPr>
      </w:pPr>
      <w:r>
        <w:t xml:space="preserve">The </w:t>
      </w:r>
      <w:r w:rsidR="00255289">
        <w:t xml:space="preserve">PBAC </w:t>
      </w:r>
      <w:r w:rsidR="00411A80">
        <w:t xml:space="preserve">deferred </w:t>
      </w:r>
      <w:r w:rsidR="00255289">
        <w:t xml:space="preserve">a </w:t>
      </w:r>
      <w:r w:rsidR="00411A80">
        <w:t xml:space="preserve">third </w:t>
      </w:r>
      <w:r w:rsidR="00255289">
        <w:t xml:space="preserve">submission </w:t>
      </w:r>
      <w:r w:rsidR="00411A80">
        <w:t xml:space="preserve">to list tirzepatide on the PBS for T2DM </w:t>
      </w:r>
      <w:r w:rsidR="00BF4E7E">
        <w:t xml:space="preserve">in </w:t>
      </w:r>
      <w:r w:rsidR="00255289">
        <w:t>July 2025.</w:t>
      </w:r>
      <w:r w:rsidR="00411A80">
        <w:t xml:space="preserve"> </w:t>
      </w:r>
      <w:r w:rsidR="00411A80" w:rsidRPr="00D96868">
        <w:rPr>
          <w:lang w:eastAsia="en-US"/>
        </w:rPr>
        <w:t xml:space="preserve">The PBAC was concerned </w:t>
      </w:r>
      <w:r w:rsidR="00411A80">
        <w:rPr>
          <w:lang w:eastAsia="en-US"/>
        </w:rPr>
        <w:t xml:space="preserve">about the </w:t>
      </w:r>
      <w:r w:rsidR="00411A80" w:rsidRPr="00D96868">
        <w:rPr>
          <w:lang w:eastAsia="en-US"/>
        </w:rPr>
        <w:t xml:space="preserve">high likelihood that tirzepatide would </w:t>
      </w:r>
      <w:r w:rsidR="00583FB0">
        <w:rPr>
          <w:lang w:eastAsia="en-US"/>
        </w:rPr>
        <w:t xml:space="preserve">be used </w:t>
      </w:r>
      <w:r w:rsidR="00624F22">
        <w:rPr>
          <w:lang w:eastAsia="en-US"/>
        </w:rPr>
        <w:t xml:space="preserve">outside the </w:t>
      </w:r>
      <w:r w:rsidR="00112E8D">
        <w:rPr>
          <w:lang w:eastAsia="en-US"/>
        </w:rPr>
        <w:t xml:space="preserve">proposed </w:t>
      </w:r>
      <w:r w:rsidR="00624F22">
        <w:rPr>
          <w:lang w:eastAsia="en-US"/>
        </w:rPr>
        <w:t xml:space="preserve">PBS restrictions </w:t>
      </w:r>
      <w:r w:rsidR="00411A80" w:rsidRPr="00D96868">
        <w:rPr>
          <w:lang w:eastAsia="en-US"/>
        </w:rPr>
        <w:t>for purposes other than the treatment of T2DM</w:t>
      </w:r>
      <w:r w:rsidR="003979F1">
        <w:rPr>
          <w:lang w:eastAsia="en-US"/>
        </w:rPr>
        <w:t xml:space="preserve">. The PBAC </w:t>
      </w:r>
      <w:r w:rsidR="00411A80" w:rsidRPr="00D96868">
        <w:rPr>
          <w:lang w:eastAsia="en-US"/>
        </w:rPr>
        <w:t xml:space="preserve">did not </w:t>
      </w:r>
      <w:r w:rsidR="00411A80" w:rsidRPr="002A2DA6">
        <w:rPr>
          <w:lang w:eastAsia="en-US"/>
        </w:rPr>
        <w:t xml:space="preserve">consider that the proposed financial arrangements </w:t>
      </w:r>
      <w:r w:rsidR="006F17AA" w:rsidRPr="002A2DA6">
        <w:rPr>
          <w:lang w:eastAsia="en-US"/>
        </w:rPr>
        <w:t xml:space="preserve">would </w:t>
      </w:r>
      <w:r w:rsidR="00411A80" w:rsidRPr="002A2DA6">
        <w:rPr>
          <w:lang w:eastAsia="en-US"/>
        </w:rPr>
        <w:t xml:space="preserve">adequately manage this risk. </w:t>
      </w:r>
      <w:r w:rsidR="008A6884" w:rsidRPr="008A6884">
        <w:rPr>
          <w:b/>
          <w:bCs/>
        </w:rPr>
        <w:t>Redacted text.</w:t>
      </w:r>
      <w:r w:rsidR="008A6884">
        <w:t xml:space="preserve"> </w:t>
      </w:r>
      <w:r w:rsidR="00411A80" w:rsidRPr="002A2DA6">
        <w:rPr>
          <w:lang w:eastAsia="en-US"/>
        </w:rPr>
        <w:t xml:space="preserve">The PBAC deferred its decision so that it could have further discussions with the sponsor about listing tirzepatide on the PBS at a price consistent with expected benefits and with arrangements that would appropriately share financial risk. </w:t>
      </w:r>
      <w:r w:rsidR="005066B4" w:rsidRPr="005066B4">
        <w:rPr>
          <w:b/>
          <w:bCs/>
        </w:rPr>
        <w:t>Redacted text.</w:t>
      </w:r>
    </w:p>
    <w:p w14:paraId="54FA78F8" w14:textId="149C6D80" w:rsidR="000E4334" w:rsidRPr="000E4334" w:rsidRDefault="000E4334" w:rsidP="00601634">
      <w:pPr>
        <w:pStyle w:val="3Bodytext"/>
        <w:rPr>
          <w:b/>
          <w:bCs/>
        </w:rPr>
      </w:pPr>
      <w:r w:rsidRPr="000E4334">
        <w:rPr>
          <w:b/>
          <w:bCs/>
        </w:rPr>
        <w:t>Redacted text.</w:t>
      </w:r>
    </w:p>
    <w:p w14:paraId="4492B52C" w14:textId="6FDBD683" w:rsidR="00255289" w:rsidRPr="000E4334" w:rsidRDefault="000E4334" w:rsidP="00601634">
      <w:pPr>
        <w:pStyle w:val="3Bodytext"/>
        <w:rPr>
          <w:b/>
          <w:bCs/>
        </w:rPr>
      </w:pPr>
      <w:r w:rsidRPr="000E4334">
        <w:rPr>
          <w:b/>
          <w:bCs/>
        </w:rPr>
        <w:t>Redacted text.</w:t>
      </w:r>
    </w:p>
    <w:p w14:paraId="3B5F1D80" w14:textId="5616E013" w:rsidR="00A16F84" w:rsidRPr="00A16F84" w:rsidRDefault="00A16F84" w:rsidP="0070078E">
      <w:pPr>
        <w:pStyle w:val="3Bodytext"/>
        <w:numPr>
          <w:ilvl w:val="0"/>
          <w:numId w:val="0"/>
        </w:numPr>
        <w:rPr>
          <w:u w:val="single"/>
        </w:rPr>
      </w:pPr>
      <w:r w:rsidRPr="00A16F84">
        <w:rPr>
          <w:u w:val="single"/>
        </w:rPr>
        <w:t>Liraglutide (Saxenda®</w:t>
      </w:r>
      <w:r w:rsidR="00485438">
        <w:rPr>
          <w:u w:val="single"/>
        </w:rPr>
        <w:t>, Novo Nordisk</w:t>
      </w:r>
      <w:r w:rsidRPr="00A16F84">
        <w:rPr>
          <w:u w:val="single"/>
        </w:rPr>
        <w:t xml:space="preserve">) and </w:t>
      </w:r>
      <w:r w:rsidR="2211DE58" w:rsidRPr="1E8A5144">
        <w:rPr>
          <w:u w:val="single"/>
        </w:rPr>
        <w:t>biosimilars</w:t>
      </w:r>
    </w:p>
    <w:p w14:paraId="5C1EC639" w14:textId="0CED3EFE" w:rsidR="002A7844" w:rsidRPr="001A48CC" w:rsidRDefault="002A7844" w:rsidP="0070078E">
      <w:pPr>
        <w:pStyle w:val="3Bodytext"/>
      </w:pPr>
      <w:r>
        <w:t xml:space="preserve">Novo Nordisk, the sponsor of both semaglutide and liraglutide, has not made a submission to list </w:t>
      </w:r>
      <w:r w:rsidR="00AA28A7">
        <w:t xml:space="preserve">liraglutide </w:t>
      </w:r>
      <w:r w:rsidR="00B53206">
        <w:t>(Saxenda</w:t>
      </w:r>
      <w:r w:rsidR="00133281">
        <w:t>®</w:t>
      </w:r>
      <w:r w:rsidR="00B53206">
        <w:t xml:space="preserve">) </w:t>
      </w:r>
      <w:r>
        <w:t xml:space="preserve">on the PBS for treatment of obesity. However, in March 2013, the PBAC recommended liraglutide </w:t>
      </w:r>
      <w:r w:rsidR="00AA28A7">
        <w:t xml:space="preserve">(Victoza®) </w:t>
      </w:r>
      <w:r>
        <w:t xml:space="preserve">once daily injection for PBS listing for the treatment of </w:t>
      </w:r>
      <w:r w:rsidR="00AA28A7">
        <w:t xml:space="preserve">T2DM </w:t>
      </w:r>
      <w:r>
        <w:t>on a cost-minimisation basis to exenatide</w:t>
      </w:r>
      <w:r w:rsidR="0075180A">
        <w:t xml:space="preserve"> (Byetta®)</w:t>
      </w:r>
      <w:r>
        <w:t xml:space="preserve"> twice daily injections. </w:t>
      </w:r>
      <w:r w:rsidR="6E7E4CC8">
        <w:t xml:space="preserve">The March 2013 recommendation to list liraglutide on the PBS was subsequently rescinded as the sponsor did not proceed with listing. </w:t>
      </w:r>
      <w:r w:rsidRPr="001A48CC">
        <w:t>Liraglutide has not been listed on the PBS to date</w:t>
      </w:r>
      <w:r w:rsidR="00F5282A">
        <w:t>. L</w:t>
      </w:r>
      <w:r w:rsidR="00AE76DF">
        <w:t xml:space="preserve">iraglutide (Saxenda) </w:t>
      </w:r>
      <w:r w:rsidR="0064633F">
        <w:t xml:space="preserve">is being </w:t>
      </w:r>
      <w:r w:rsidR="00AE76DF">
        <w:t xml:space="preserve">discontinued in Australia </w:t>
      </w:r>
      <w:r w:rsidR="0064633F">
        <w:t xml:space="preserve">and will not be available for purchase after </w:t>
      </w:r>
      <w:r w:rsidR="00F5282A">
        <w:t>December 2025.</w:t>
      </w:r>
      <w:r w:rsidR="0064633F">
        <w:rPr>
          <w:rStyle w:val="FootnoteReference"/>
        </w:rPr>
        <w:footnoteReference w:id="3"/>
      </w:r>
    </w:p>
    <w:p w14:paraId="22444A7F" w14:textId="3F2672B6" w:rsidR="00A5502C" w:rsidRDefault="002A7844" w:rsidP="002A7844">
      <w:pPr>
        <w:pStyle w:val="3Bodytext"/>
      </w:pPr>
      <w:r>
        <w:t xml:space="preserve">In March 2025, six </w:t>
      </w:r>
      <w:r w:rsidR="01991820">
        <w:t>biosimilar</w:t>
      </w:r>
      <w:r>
        <w:t xml:space="preserve"> brands of liraglutide were registered on the Australian Register of Therapeutic Goods (ARTG), with an indication of weight management. Sponsors of these medications are Cipla Australia (3 brands) and Sun Pharma ANZ (3 brands). </w:t>
      </w:r>
      <w:r w:rsidR="00E57CC0">
        <w:t xml:space="preserve">As of </w:t>
      </w:r>
      <w:r w:rsidR="009652E1">
        <w:t>October 2025, t</w:t>
      </w:r>
      <w:r w:rsidR="00AA28A7">
        <w:t xml:space="preserve">hese brands </w:t>
      </w:r>
      <w:r w:rsidR="000B74B5">
        <w:t xml:space="preserve">are not </w:t>
      </w:r>
      <w:r w:rsidR="00AA28A7">
        <w:t>available for sale at Australian pharmacies.</w:t>
      </w:r>
    </w:p>
    <w:p w14:paraId="1D637A3D" w14:textId="5B0BE202" w:rsidR="007A31A7" w:rsidRDefault="00900EE2" w:rsidP="00900EE2">
      <w:pPr>
        <w:pStyle w:val="3Subheading1"/>
      </w:pPr>
      <w:r>
        <w:lastRenderedPageBreak/>
        <w:t xml:space="preserve">Models of service delivery </w:t>
      </w:r>
      <w:r w:rsidR="00127A9B">
        <w:t>and wraparound allied health care</w:t>
      </w:r>
    </w:p>
    <w:p w14:paraId="4D33A83D" w14:textId="0E7633CF" w:rsidR="00C163B5" w:rsidRPr="00C163B5" w:rsidRDefault="00C163B5" w:rsidP="00C163B5">
      <w:pPr>
        <w:pStyle w:val="3Bodytext"/>
      </w:pPr>
      <w:r>
        <w:t xml:space="preserve">Minister Butler’s request asked </w:t>
      </w:r>
      <w:r w:rsidR="00B45260">
        <w:t xml:space="preserve">the </w:t>
      </w:r>
      <w:r>
        <w:t>PBAC to consider whether GLP-1s for the treatment of obesity a</w:t>
      </w:r>
      <w:r w:rsidRPr="00C163B5">
        <w:t xml:space="preserve">re effective as standalone therapies or best used in combination with other interventions, </w:t>
      </w:r>
      <w:r>
        <w:t>including</w:t>
      </w:r>
      <w:r w:rsidRPr="00C163B5">
        <w:t xml:space="preserve"> supporting </w:t>
      </w:r>
      <w:r>
        <w:t xml:space="preserve">wraparound </w:t>
      </w:r>
      <w:r w:rsidRPr="00C163B5">
        <w:t>care</w:t>
      </w:r>
      <w:r>
        <w:t xml:space="preserve">. </w:t>
      </w:r>
    </w:p>
    <w:p w14:paraId="6A572728" w14:textId="15A37066" w:rsidR="00CE5CDA" w:rsidRPr="00CE5CDA" w:rsidRDefault="00B4453C" w:rsidP="00900EE2">
      <w:pPr>
        <w:pStyle w:val="3Bodytext"/>
        <w:rPr>
          <w:u w:val="single"/>
        </w:rPr>
      </w:pPr>
      <w:r w:rsidRPr="004D50F6">
        <w:t>While there is global heterogeneity in how pharmacotherapies are used and subsidised for the management of obesity, it is generally recognised</w:t>
      </w:r>
      <w:r w:rsidR="00A277C7">
        <w:t xml:space="preserve"> based on clinical guidelines</w:t>
      </w:r>
      <w:r w:rsidR="00003390">
        <w:t xml:space="preserve"> </w:t>
      </w:r>
      <w:r w:rsidR="00995C42">
        <w:t>and stakeholder inputs</w:t>
      </w:r>
      <w:r w:rsidR="002A7306">
        <w:t xml:space="preserve"> received </w:t>
      </w:r>
      <w:r w:rsidR="00E666D7">
        <w:t>by the Department</w:t>
      </w:r>
      <w:r w:rsidR="00D07B09">
        <w:t>,</w:t>
      </w:r>
      <w:r w:rsidRPr="004D50F6">
        <w:t xml:space="preserve"> that models of care </w:t>
      </w:r>
      <w:r w:rsidR="009B1A65">
        <w:t xml:space="preserve">that provide holistic care </w:t>
      </w:r>
      <w:r w:rsidRPr="004D50F6">
        <w:t xml:space="preserve">and wraparound allied health services are </w:t>
      </w:r>
      <w:r w:rsidR="00443D4B">
        <w:t xml:space="preserve">needed </w:t>
      </w:r>
      <w:r w:rsidRPr="004D50F6">
        <w:t>to achieve optimal outcomes</w:t>
      </w:r>
      <w:r w:rsidR="00565B8D">
        <w:t xml:space="preserve"> from </w:t>
      </w:r>
      <w:r w:rsidR="00CD303F">
        <w:t xml:space="preserve">GLP-1 </w:t>
      </w:r>
      <w:r w:rsidR="00565B8D">
        <w:t>obesity treatments</w:t>
      </w:r>
      <w:r w:rsidRPr="004D50F6">
        <w:t xml:space="preserve">. </w:t>
      </w:r>
      <w:r w:rsidR="00B8316C">
        <w:t>P</w:t>
      </w:r>
      <w:r w:rsidR="00554E96">
        <w:t xml:space="preserve">atients with obesity are already </w:t>
      </w:r>
      <w:r w:rsidR="000218A0">
        <w:t xml:space="preserve">receiving care for this condition through </w:t>
      </w:r>
      <w:r w:rsidR="00074E38">
        <w:t>primary care and specialist services in Australia</w:t>
      </w:r>
      <w:r w:rsidR="00B52E93">
        <w:t xml:space="preserve">, although there may be access issues for </w:t>
      </w:r>
      <w:r w:rsidR="00633E8B">
        <w:t xml:space="preserve">allied health </w:t>
      </w:r>
      <w:r w:rsidR="00B52E93">
        <w:t xml:space="preserve">services (refer to </w:t>
      </w:r>
      <w:hyperlink w:anchor="Section8" w:history="1">
        <w:r w:rsidR="0062509A" w:rsidRPr="00E51A17">
          <w:rPr>
            <w:rStyle w:val="Hyperlink"/>
          </w:rPr>
          <w:t>Section</w:t>
        </w:r>
        <w:r w:rsidR="00EA761B" w:rsidRPr="00E51A17">
          <w:rPr>
            <w:rStyle w:val="Hyperlink"/>
          </w:rPr>
          <w:t xml:space="preserve"> 8</w:t>
        </w:r>
      </w:hyperlink>
      <w:r w:rsidR="00B52E93">
        <w:t>)</w:t>
      </w:r>
      <w:r w:rsidR="00B8316C">
        <w:t xml:space="preserve">. </w:t>
      </w:r>
      <w:r w:rsidR="00FA3EB4">
        <w:t>However, additional research into t</w:t>
      </w:r>
      <w:r w:rsidR="001749B2">
        <w:t xml:space="preserve">he most effective and cost-effective models of service delivery and wraparound care for patients using </w:t>
      </w:r>
      <w:r w:rsidR="00A975B0">
        <w:t>GLP-1s</w:t>
      </w:r>
      <w:r w:rsidR="00247457">
        <w:t xml:space="preserve"> would be beneficial.</w:t>
      </w:r>
    </w:p>
    <w:p w14:paraId="35C101B2" w14:textId="3A1BAC75" w:rsidR="00B4453C" w:rsidRPr="000B7D03" w:rsidRDefault="00CE348E" w:rsidP="00900EE2">
      <w:pPr>
        <w:pStyle w:val="3Bodytext"/>
        <w:rPr>
          <w:u w:val="single"/>
        </w:rPr>
      </w:pPr>
      <w:r>
        <w:t xml:space="preserve">It is unclear </w:t>
      </w:r>
      <w:r w:rsidR="00542932">
        <w:t xml:space="preserve">whether </w:t>
      </w:r>
      <w:r w:rsidR="00BC2373">
        <w:t>there are sufficient allied health professionals</w:t>
      </w:r>
      <w:r w:rsidR="00027929">
        <w:t>, particularly in regional and remote areas,</w:t>
      </w:r>
      <w:r w:rsidR="00BC2373">
        <w:t xml:space="preserve"> to meet likely demand</w:t>
      </w:r>
      <w:r w:rsidR="003C00B4">
        <w:t xml:space="preserve"> if </w:t>
      </w:r>
      <w:r w:rsidR="007F18E9">
        <w:t>a requirement</w:t>
      </w:r>
      <w:r w:rsidR="00422544">
        <w:t xml:space="preserve"> </w:t>
      </w:r>
      <w:r w:rsidR="00292B54">
        <w:t>for the patient to have seen a dieti</w:t>
      </w:r>
      <w:r w:rsidR="0065481A">
        <w:t>t</w:t>
      </w:r>
      <w:r w:rsidR="00292B54">
        <w:t xml:space="preserve">ian or exercise physiologist </w:t>
      </w:r>
      <w:r w:rsidR="00422544">
        <w:t xml:space="preserve">was included in a </w:t>
      </w:r>
      <w:r w:rsidR="0024097F">
        <w:t xml:space="preserve">potential </w:t>
      </w:r>
      <w:r w:rsidR="00422544">
        <w:t>PBS restriction</w:t>
      </w:r>
      <w:r w:rsidR="001D6DC6">
        <w:t xml:space="preserve">. In addition, </w:t>
      </w:r>
      <w:r w:rsidR="00BE3217">
        <w:t xml:space="preserve">the </w:t>
      </w:r>
      <w:r w:rsidR="009B58F8">
        <w:t>provision</w:t>
      </w:r>
      <w:r w:rsidR="00D559A1">
        <w:t>s for</w:t>
      </w:r>
      <w:r w:rsidR="009B58F8">
        <w:t xml:space="preserve"> </w:t>
      </w:r>
      <w:r w:rsidR="0024097F">
        <w:t>Medicare Benefits Scheme (MBS)</w:t>
      </w:r>
      <w:r w:rsidR="00DC490B">
        <w:t xml:space="preserve"> </w:t>
      </w:r>
      <w:r w:rsidR="009B58F8">
        <w:t>rebated services for chronic condition</w:t>
      </w:r>
      <w:r w:rsidR="001D6DC6">
        <w:t xml:space="preserve"> management</w:t>
      </w:r>
      <w:r w:rsidR="009B58F8">
        <w:t xml:space="preserve"> </w:t>
      </w:r>
      <w:r w:rsidR="00D559A1">
        <w:t>are</w:t>
      </w:r>
      <w:r w:rsidR="009B58F8">
        <w:t xml:space="preserve"> currently being reviewed</w:t>
      </w:r>
      <w:r w:rsidR="3A7C1B8C">
        <w:t>.</w:t>
      </w:r>
      <w:r w:rsidR="00201F24">
        <w:t xml:space="preserve"> </w:t>
      </w:r>
      <w:r w:rsidR="00F76DF9">
        <w:t>S</w:t>
      </w:r>
      <w:r w:rsidR="00EF1F34" w:rsidRPr="00EF1F34">
        <w:t xml:space="preserve">ome stakeholders have advised they can use existing MBS items to provide wraparound care to support effective use of </w:t>
      </w:r>
      <w:r w:rsidR="00EF1F34">
        <w:t xml:space="preserve">GLP-1 </w:t>
      </w:r>
      <w:r w:rsidR="00EF1F34" w:rsidRPr="00EF1F34">
        <w:t>obesity treatments</w:t>
      </w:r>
      <w:r w:rsidR="00F76DF9">
        <w:t>. O</w:t>
      </w:r>
      <w:r w:rsidR="00EF1F34" w:rsidRPr="00EF1F34">
        <w:t>thers</w:t>
      </w:r>
      <w:r w:rsidR="00EF1F34" w:rsidRPr="00EF1F34" w:rsidDel="00F76DF9">
        <w:t xml:space="preserve"> </w:t>
      </w:r>
      <w:r w:rsidR="00702EBA">
        <w:t>consider</w:t>
      </w:r>
      <w:r w:rsidR="00D01DF7">
        <w:t xml:space="preserve"> </w:t>
      </w:r>
      <w:r w:rsidR="008B7217">
        <w:t>that the</w:t>
      </w:r>
      <w:r w:rsidR="00D46D7D">
        <w:t>se service</w:t>
      </w:r>
      <w:r w:rsidR="00B42148">
        <w:t>s</w:t>
      </w:r>
      <w:r w:rsidR="00D46D7D">
        <w:t xml:space="preserve"> could </w:t>
      </w:r>
      <w:r w:rsidR="006321A9">
        <w:t xml:space="preserve">be </w:t>
      </w:r>
      <w:r w:rsidR="00D01DF7">
        <w:t>be</w:t>
      </w:r>
      <w:r w:rsidR="007E024D">
        <w:t>tter tailored</w:t>
      </w:r>
      <w:r w:rsidR="00201F24">
        <w:t xml:space="preserve"> for obesity management</w:t>
      </w:r>
      <w:r w:rsidR="00BC2373">
        <w:t>.</w:t>
      </w:r>
    </w:p>
    <w:p w14:paraId="63B8CDF2" w14:textId="22E95894" w:rsidR="00DD023D" w:rsidRPr="00DD023D" w:rsidRDefault="00DD023D" w:rsidP="000B7D03">
      <w:pPr>
        <w:pStyle w:val="3Bodytext"/>
        <w:numPr>
          <w:ilvl w:val="0"/>
          <w:numId w:val="0"/>
        </w:numPr>
        <w:rPr>
          <w:u w:val="single"/>
        </w:rPr>
      </w:pPr>
      <w:r w:rsidRPr="000B7D03">
        <w:rPr>
          <w:u w:val="single"/>
        </w:rPr>
        <w:t>Models of service delivery</w:t>
      </w:r>
    </w:p>
    <w:p w14:paraId="7B61B5FD" w14:textId="572101C3" w:rsidR="00D4678E" w:rsidRDefault="00900EE2" w:rsidP="00D4678E">
      <w:pPr>
        <w:pStyle w:val="3Bodytext"/>
      </w:pPr>
      <w:r w:rsidRPr="004D50F6">
        <w:t>A recent publication</w:t>
      </w:r>
      <w:r w:rsidR="00B81C29">
        <w:t xml:space="preserve"> </w:t>
      </w:r>
      <w:r w:rsidR="009C0F12">
        <w:t>(</w:t>
      </w:r>
      <w:r w:rsidR="00B81C29">
        <w:t xml:space="preserve">Kanellis et al. </w:t>
      </w:r>
      <w:r w:rsidR="009C0F12">
        <w:t xml:space="preserve">2025) </w:t>
      </w:r>
      <w:r w:rsidRPr="004D50F6">
        <w:t xml:space="preserve">proposes three </w:t>
      </w:r>
      <w:r w:rsidR="00292204">
        <w:t xml:space="preserve">service delivery </w:t>
      </w:r>
      <w:r w:rsidRPr="004D50F6">
        <w:t>models</w:t>
      </w:r>
      <w:r>
        <w:t xml:space="preserve"> in the Australian context</w:t>
      </w:r>
      <w:r w:rsidRPr="004D50F6">
        <w:t xml:space="preserve">, all supported by wraparound allied health care: digital delivery; shared care initiated by specialist services with </w:t>
      </w:r>
      <w:r>
        <w:t xml:space="preserve">GP </w:t>
      </w:r>
      <w:r w:rsidRPr="004D50F6">
        <w:t>follow‐up; and sole prescriber (</w:t>
      </w:r>
      <w:r>
        <w:t>GP</w:t>
      </w:r>
      <w:r w:rsidRPr="004D50F6">
        <w:t>,</w:t>
      </w:r>
      <w:r>
        <w:t xml:space="preserve"> nurse practitioner (NP)).</w:t>
      </w:r>
      <w:r w:rsidRPr="004D50F6">
        <w:t xml:space="preserve"> </w:t>
      </w:r>
      <w:r w:rsidR="006024A8">
        <w:t xml:space="preserve">These models of service delivery are </w:t>
      </w:r>
      <w:r w:rsidR="00CD20F0">
        <w:t xml:space="preserve">currently operating in Australia for </w:t>
      </w:r>
      <w:r w:rsidR="00B81C29">
        <w:t xml:space="preserve">some </w:t>
      </w:r>
      <w:r w:rsidR="00CD20F0">
        <w:t>people accessing GLP-1s</w:t>
      </w:r>
      <w:r w:rsidR="00DD6C6C">
        <w:t xml:space="preserve"> for weight management.</w:t>
      </w:r>
      <w:r w:rsidR="00AD7977">
        <w:t xml:space="preserve"> </w:t>
      </w:r>
      <w:r w:rsidR="002D4783">
        <w:t>The article notes that t</w:t>
      </w:r>
      <w:r w:rsidR="00D85659">
        <w:t>elehealth service delivery models</w:t>
      </w:r>
      <w:r w:rsidR="00E4269D">
        <w:t xml:space="preserve"> </w:t>
      </w:r>
      <w:r w:rsidR="00811589" w:rsidRPr="00811589">
        <w:t xml:space="preserve">may provide avenues to meet demand for medical weight loss services </w:t>
      </w:r>
      <w:r w:rsidR="00E4269D">
        <w:t xml:space="preserve">that </w:t>
      </w:r>
      <w:r w:rsidR="00811589" w:rsidRPr="00811589">
        <w:t>cannot be met by conventional models</w:t>
      </w:r>
      <w:r w:rsidR="00811589">
        <w:t xml:space="preserve"> and </w:t>
      </w:r>
      <w:r w:rsidR="00AD7977">
        <w:t>may improve access to clinical care in rural and remote areas</w:t>
      </w:r>
      <w:r w:rsidR="00811589">
        <w:t xml:space="preserve">. However, these models have attracted criticism for having a sole </w:t>
      </w:r>
      <w:r w:rsidR="00E4269D">
        <w:t>focus on prescribing of weight loss medications</w:t>
      </w:r>
      <w:r w:rsidR="00377223">
        <w:t xml:space="preserve"> </w:t>
      </w:r>
      <w:r w:rsidR="00811589">
        <w:t xml:space="preserve">which </w:t>
      </w:r>
      <w:r w:rsidR="00AB4FAC">
        <w:t xml:space="preserve">may result in reduced clinical governance and a </w:t>
      </w:r>
      <w:r w:rsidR="00E4269D">
        <w:t>lack of holistic care</w:t>
      </w:r>
      <w:r w:rsidR="00B9611D">
        <w:t xml:space="preserve">, </w:t>
      </w:r>
      <w:r w:rsidR="00F001EA">
        <w:t xml:space="preserve">potentially resulting in </w:t>
      </w:r>
      <w:r w:rsidR="00C81718">
        <w:t>suboptimal health outcomes for weight management and poorer health outcomes overall. This is exacerbated by</w:t>
      </w:r>
      <w:r w:rsidR="0040103E">
        <w:t xml:space="preserve"> </w:t>
      </w:r>
      <w:r w:rsidR="00B9611D">
        <w:t>the potential for</w:t>
      </w:r>
      <w:r w:rsidR="007B3889">
        <w:t xml:space="preserve"> health practitioners to have a</w:t>
      </w:r>
      <w:r w:rsidR="00B9611D">
        <w:t xml:space="preserve"> financial conflict of interest</w:t>
      </w:r>
      <w:r w:rsidR="00D942C6">
        <w:t>.</w:t>
      </w:r>
      <w:r w:rsidR="00481D1A">
        <w:rPr>
          <w:rStyle w:val="FootnoteReference"/>
        </w:rPr>
        <w:footnoteReference w:id="4"/>
      </w:r>
      <w:r w:rsidR="008C3060" w:rsidRPr="008C3060">
        <w:t xml:space="preserve"> </w:t>
      </w:r>
    </w:p>
    <w:p w14:paraId="6A2C34D0" w14:textId="36572445" w:rsidR="00D92148" w:rsidRDefault="00D92148" w:rsidP="00D92148">
      <w:pPr>
        <w:pStyle w:val="3Bodytext"/>
      </w:pPr>
      <w:r>
        <w:lastRenderedPageBreak/>
        <w:t>Service delivery in Australia currently enables a non-</w:t>
      </w:r>
      <w:r w:rsidR="00B60206">
        <w:t>Medicare Benefits Scheme (</w:t>
      </w:r>
      <w:r>
        <w:t>MBS</w:t>
      </w:r>
      <w:r w:rsidR="00B60206">
        <w:t>)</w:t>
      </w:r>
      <w:r>
        <w:t xml:space="preserve"> service to generate a PBS</w:t>
      </w:r>
      <w:r w:rsidR="00526B55">
        <w:t xml:space="preserve"> eligible prescription</w:t>
      </w:r>
      <w:r>
        <w:t xml:space="preserve">. MBS service provision requires elements </w:t>
      </w:r>
      <w:r w:rsidR="00221465">
        <w:t>that support appr</w:t>
      </w:r>
      <w:r w:rsidR="0047052D">
        <w:t xml:space="preserve">opriate clinical care, e.g. </w:t>
      </w:r>
      <w:r>
        <w:t>face</w:t>
      </w:r>
      <w:r w:rsidR="0047052D">
        <w:t>-</w:t>
      </w:r>
      <w:r>
        <w:t>to</w:t>
      </w:r>
      <w:r w:rsidR="0047052D">
        <w:t>-</w:t>
      </w:r>
      <w:r>
        <w:t xml:space="preserve">face </w:t>
      </w:r>
      <w:r w:rsidR="00624D7B">
        <w:t xml:space="preserve">consultation </w:t>
      </w:r>
      <w:r>
        <w:t>provision in the previous 12 months</w:t>
      </w:r>
      <w:r w:rsidR="00CC6101">
        <w:t>, and referral requirements</w:t>
      </w:r>
      <w:r>
        <w:t>. The disconnect between the requirement to have a</w:t>
      </w:r>
      <w:r w:rsidR="008933A6">
        <w:t>n</w:t>
      </w:r>
      <w:r>
        <w:t xml:space="preserve"> MBS eligible service for PBS provision of medicine is considered by some to be an important factor that underpins inappropriate and fragmented single care models.</w:t>
      </w:r>
    </w:p>
    <w:p w14:paraId="1CE6DF56" w14:textId="0ED1C0DE" w:rsidR="005E2300" w:rsidRPr="00201185" w:rsidRDefault="00201185" w:rsidP="00201185">
      <w:pPr>
        <w:pStyle w:val="3Bodytext"/>
      </w:pPr>
      <w:r>
        <w:t>The Eating Disorder Alliance</w:t>
      </w:r>
      <w:r w:rsidR="00C60845">
        <w:t xml:space="preserve">, a </w:t>
      </w:r>
      <w:r w:rsidR="007D7336">
        <w:t xml:space="preserve">collective of Australian national and state </w:t>
      </w:r>
      <w:r w:rsidR="00C60845">
        <w:t>consumer</w:t>
      </w:r>
      <w:r w:rsidR="00467D40">
        <w:t xml:space="preserve"> </w:t>
      </w:r>
      <w:r w:rsidR="00291203">
        <w:t xml:space="preserve">and health professional </w:t>
      </w:r>
      <w:r w:rsidR="00467D40">
        <w:t>representative group</w:t>
      </w:r>
      <w:r w:rsidR="007D7336">
        <w:t>s</w:t>
      </w:r>
      <w:r w:rsidR="00467D40">
        <w:t>,</w:t>
      </w:r>
      <w:r>
        <w:t xml:space="preserve"> has raised concerns </w:t>
      </w:r>
      <w:r w:rsidR="003E0F2F">
        <w:t xml:space="preserve">about the risk of inappropriate </w:t>
      </w:r>
      <w:r w:rsidR="000A31D3">
        <w:t xml:space="preserve">prescribing of </w:t>
      </w:r>
      <w:r w:rsidR="003E0F2F">
        <w:t xml:space="preserve">GLP-1s for </w:t>
      </w:r>
      <w:r w:rsidR="008050AF">
        <w:t>people with</w:t>
      </w:r>
      <w:r w:rsidR="00C52B9C">
        <w:t>,</w:t>
      </w:r>
      <w:r w:rsidR="008050AF">
        <w:t xml:space="preserve"> or at risk of</w:t>
      </w:r>
      <w:r w:rsidR="00C52B9C">
        <w:t>,</w:t>
      </w:r>
      <w:r w:rsidR="008050AF">
        <w:t xml:space="preserve"> an eating disorder</w:t>
      </w:r>
      <w:r w:rsidR="00525FEF">
        <w:t>. Th</w:t>
      </w:r>
      <w:r w:rsidR="006A17E4">
        <w:t xml:space="preserve">is group have </w:t>
      </w:r>
      <w:r w:rsidR="00475FC5">
        <w:t>requested</w:t>
      </w:r>
      <w:r w:rsidR="00A76124">
        <w:t xml:space="preserve"> </w:t>
      </w:r>
      <w:r w:rsidR="003505AE">
        <w:t>introduction of measures to ensure telehealth providers prescribing GLP</w:t>
      </w:r>
      <w:r w:rsidR="00CD0472">
        <w:noBreakHyphen/>
      </w:r>
      <w:r w:rsidR="003505AE">
        <w:t xml:space="preserve">1s </w:t>
      </w:r>
      <w:r w:rsidR="00DB5EFB">
        <w:t>are accountable to a safe standard of practice</w:t>
      </w:r>
      <w:r w:rsidR="00EF3142">
        <w:t xml:space="preserve"> and to e</w:t>
      </w:r>
      <w:r w:rsidR="000A3E95">
        <w:t>nsure that patients have a comprehensive medical assessment prior to prescribing GLP-1s</w:t>
      </w:r>
      <w:r w:rsidR="00525FEF">
        <w:t xml:space="preserve"> to identify eating </w:t>
      </w:r>
      <w:r w:rsidR="006A17E4">
        <w:t>disorders</w:t>
      </w:r>
      <w:r w:rsidR="00525FEF">
        <w:t xml:space="preserve"> and/or disordered eating behaviours.</w:t>
      </w:r>
      <w:r w:rsidR="00287B00">
        <w:rPr>
          <w:rStyle w:val="FootnoteReference"/>
        </w:rPr>
        <w:footnoteReference w:id="5"/>
      </w:r>
    </w:p>
    <w:p w14:paraId="5F74D016" w14:textId="52BA81A6" w:rsidR="00425A30" w:rsidRDefault="008C3060" w:rsidP="006B6589">
      <w:pPr>
        <w:pStyle w:val="3Bodytext"/>
      </w:pPr>
      <w:r w:rsidRPr="008C3060">
        <w:t>The Australian Commission on Safety and Quality in Health Care</w:t>
      </w:r>
      <w:r w:rsidR="00713199">
        <w:t xml:space="preserve"> (ACSQHC)</w:t>
      </w:r>
      <w:r w:rsidRPr="008C3060">
        <w:t xml:space="preserve"> is </w:t>
      </w:r>
      <w:r w:rsidR="006A17E4">
        <w:t xml:space="preserve">currently </w:t>
      </w:r>
      <w:r w:rsidR="00053168">
        <w:t xml:space="preserve">undertaking research into the safety and </w:t>
      </w:r>
      <w:r w:rsidR="00045F28">
        <w:t>quality</w:t>
      </w:r>
      <w:r w:rsidR="00053168">
        <w:t xml:space="preserve"> of </w:t>
      </w:r>
      <w:r w:rsidR="00045F28">
        <w:t>virtual (telehealth) care</w:t>
      </w:r>
      <w:r w:rsidR="0083354B">
        <w:t xml:space="preserve"> with the aim of developing a framework for </w:t>
      </w:r>
      <w:r w:rsidR="00E31B7D">
        <w:t>safe and high</w:t>
      </w:r>
      <w:r w:rsidR="005E2300">
        <w:t>-</w:t>
      </w:r>
      <w:r w:rsidR="00E31B7D">
        <w:t>quality virtual care delivery</w:t>
      </w:r>
      <w:r w:rsidR="00045F28">
        <w:t>.</w:t>
      </w:r>
      <w:r w:rsidR="00713199">
        <w:rPr>
          <w:rStyle w:val="FootnoteReference"/>
        </w:rPr>
        <w:footnoteReference w:id="6"/>
      </w:r>
      <w:r w:rsidR="005E2300">
        <w:t xml:space="preserve"> </w:t>
      </w:r>
      <w:r w:rsidR="00AF4C29">
        <w:t>From 1 November 2025, the established clinical relationship criteria will be introduced to MBS NP telehealth items to align with current GP telehealth requirements</w:t>
      </w:r>
      <w:r w:rsidR="006B6589">
        <w:t xml:space="preserve">. </w:t>
      </w:r>
      <w:r w:rsidR="00AF4C29">
        <w:t>This change will mean patients wanting to claim an MBS telehealth consultation will need to have had one face-to-face consultation with their NP, or another practitioner at the same practice, within 12 months preceding the telehealth service</w:t>
      </w:r>
      <w:r w:rsidR="00606D6F">
        <w:t>, with exemptions for selected services and patient groups</w:t>
      </w:r>
      <w:r w:rsidR="00AF4C29">
        <w:t>.</w:t>
      </w:r>
    </w:p>
    <w:p w14:paraId="246BB38C" w14:textId="014CE5DB" w:rsidR="00DD023D" w:rsidRPr="00347208" w:rsidRDefault="00DD023D" w:rsidP="00347208">
      <w:pPr>
        <w:pStyle w:val="3Bodytext"/>
        <w:numPr>
          <w:ilvl w:val="0"/>
          <w:numId w:val="0"/>
        </w:numPr>
        <w:rPr>
          <w:u w:val="single"/>
        </w:rPr>
      </w:pPr>
      <w:r w:rsidRPr="00347208">
        <w:rPr>
          <w:u w:val="single"/>
        </w:rPr>
        <w:t xml:space="preserve">Wraparound </w:t>
      </w:r>
      <w:r>
        <w:rPr>
          <w:u w:val="single"/>
        </w:rPr>
        <w:t xml:space="preserve">allied health </w:t>
      </w:r>
      <w:r w:rsidRPr="00347208">
        <w:rPr>
          <w:u w:val="single"/>
        </w:rPr>
        <w:t>care</w:t>
      </w:r>
    </w:p>
    <w:p w14:paraId="3D419030" w14:textId="3D1221E3" w:rsidR="00DB5D89" w:rsidRPr="004D50F6" w:rsidRDefault="19918F5C" w:rsidP="00531C04">
      <w:pPr>
        <w:pStyle w:val="3Bodytext"/>
      </w:pPr>
      <w:r>
        <w:t>GLP-1</w:t>
      </w:r>
      <w:r w:rsidR="4BA183BB">
        <w:t xml:space="preserve"> treatment can result in </w:t>
      </w:r>
      <w:r>
        <w:t>loss of mu</w:t>
      </w:r>
      <w:r w:rsidR="3DC2B32F">
        <w:t>s</w:t>
      </w:r>
      <w:r>
        <w:t xml:space="preserve">cle </w:t>
      </w:r>
      <w:r w:rsidR="0E3B9412">
        <w:t xml:space="preserve">and bone </w:t>
      </w:r>
      <w:r>
        <w:t>mass</w:t>
      </w:r>
      <w:r w:rsidR="35768A77">
        <w:t xml:space="preserve">, nutritional </w:t>
      </w:r>
      <w:r w:rsidR="534EE677">
        <w:t>deficiencies</w:t>
      </w:r>
      <w:r w:rsidR="16CAF0B6">
        <w:t xml:space="preserve"> and dehydration</w:t>
      </w:r>
      <w:r w:rsidR="2792FB72">
        <w:t xml:space="preserve">, </w:t>
      </w:r>
      <w:r w:rsidR="3BCB01D3">
        <w:t xml:space="preserve">and </w:t>
      </w:r>
      <w:r w:rsidR="16CAF0B6">
        <w:t xml:space="preserve">appropriate diet and exercise </w:t>
      </w:r>
      <w:r w:rsidR="2C46D0C1">
        <w:t xml:space="preserve">counselling and </w:t>
      </w:r>
      <w:r w:rsidR="2792FB72">
        <w:t xml:space="preserve">interventions </w:t>
      </w:r>
      <w:r w:rsidR="60D13CBB">
        <w:t xml:space="preserve">may be </w:t>
      </w:r>
      <w:r w:rsidR="2792FB72">
        <w:t>needed to minimise these side effects.</w:t>
      </w:r>
      <w:r w:rsidR="00E02BB3">
        <w:rPr>
          <w:rStyle w:val="FootnoteReference"/>
        </w:rPr>
        <w:footnoteReference w:id="7"/>
      </w:r>
      <w:r w:rsidR="47399B6F" w:rsidRPr="00531C04">
        <w:t xml:space="preserve"> </w:t>
      </w:r>
      <w:r w:rsidR="47399B6F">
        <w:t>It remains unclear whether lifestyle interventions are required to achieve safe and cost-effectiveness use of GLP-1 treatments for obesity in the Australian health care setting.</w:t>
      </w:r>
      <w:r w:rsidR="00860E2B">
        <w:t xml:space="preserve"> </w:t>
      </w:r>
      <w:r w:rsidR="00182DD6">
        <w:t xml:space="preserve">Any </w:t>
      </w:r>
      <w:r w:rsidR="005B266B">
        <w:t xml:space="preserve">potential PBS </w:t>
      </w:r>
      <w:r w:rsidR="00182DD6">
        <w:t xml:space="preserve">requirements for </w:t>
      </w:r>
      <w:r w:rsidR="00B01CE0">
        <w:t>wraparound care may impact on the estimated cost-effectiveness of pharmacological treatments.</w:t>
      </w:r>
    </w:p>
    <w:p w14:paraId="42F4FFAF" w14:textId="0FF7D34F" w:rsidR="00DD2E79" w:rsidRDefault="002E4F67">
      <w:pPr>
        <w:pStyle w:val="3Bodytext"/>
      </w:pPr>
      <w:r>
        <w:t xml:space="preserve">In Australia, </w:t>
      </w:r>
      <w:r w:rsidR="00DC5F2D" w:rsidRPr="00DC5F2D">
        <w:t xml:space="preserve">GP chronic condition management plans (GPCCMP) are available to patients with at least one medical condition that has been (or is likely to be) present for at least 6 months or is terminal. The GPCCMP is intended to support patients that </w:t>
      </w:r>
      <w:r w:rsidR="00DC5F2D" w:rsidRPr="00DC5F2D">
        <w:lastRenderedPageBreak/>
        <w:t xml:space="preserve">would benefit from a structured approach to the management of their chronic condition, </w:t>
      </w:r>
      <w:proofErr w:type="gramStart"/>
      <w:r w:rsidR="00DC5F2D" w:rsidRPr="00DC5F2D">
        <w:t>whether or not</w:t>
      </w:r>
      <w:proofErr w:type="gramEnd"/>
      <w:r w:rsidR="00DC5F2D" w:rsidRPr="00DC5F2D">
        <w:t xml:space="preserve"> multidisciplinary care is required. There is no list of eligible conditions.</w:t>
      </w:r>
      <w:r>
        <w:t xml:space="preserve"> </w:t>
      </w:r>
      <w:r w:rsidR="00DC5F2D" w:rsidRPr="00DC5F2D">
        <w:t>GPs can refer patients with a GPCCMP for up to five individual MBS rebated allied health services per calendar year (10 services for patients of Aboriginal or Torres Strait Islander descent).</w:t>
      </w:r>
      <w:r w:rsidR="00DB34DE">
        <w:t xml:space="preserve"> </w:t>
      </w:r>
    </w:p>
    <w:p w14:paraId="13281C9E" w14:textId="1148279A" w:rsidR="00357A85" w:rsidRDefault="00DC5F2D">
      <w:pPr>
        <w:pStyle w:val="3Bodytext"/>
      </w:pPr>
      <w:r w:rsidRPr="00DC5F2D">
        <w:t xml:space="preserve">Patients with </w:t>
      </w:r>
      <w:r w:rsidR="00123A11">
        <w:t xml:space="preserve">T2DM </w:t>
      </w:r>
      <w:r w:rsidRPr="00DC5F2D">
        <w:t xml:space="preserve">may also be eligible for group allied health services. Eligible patients </w:t>
      </w:r>
      <w:r w:rsidR="00123A11">
        <w:t xml:space="preserve">with T2DM </w:t>
      </w:r>
      <w:r w:rsidRPr="00DC5F2D">
        <w:t>can access group diabetes education, exercise physiology or dietetics services. Suitability can be assessed once per calendar year and, if found suitable, a patient can utilise up to 8 group services per calendar year.</w:t>
      </w:r>
      <w:r w:rsidR="00373CB6">
        <w:t xml:space="preserve"> </w:t>
      </w:r>
    </w:p>
    <w:p w14:paraId="2586617D" w14:textId="6DC8C65D" w:rsidR="000731E3" w:rsidRDefault="00373CB6" w:rsidP="00DC5F2D">
      <w:pPr>
        <w:pStyle w:val="3Bodytext"/>
      </w:pPr>
      <w:r>
        <w:t>Some patients may also be eligible for a</w:t>
      </w:r>
      <w:r w:rsidR="007469A3">
        <w:t>n</w:t>
      </w:r>
      <w:r>
        <w:t xml:space="preserve"> </w:t>
      </w:r>
      <w:r w:rsidR="00E2353D">
        <w:t>Eating Disorder Treatment and Management Plan (EDP)</w:t>
      </w:r>
      <w:r w:rsidR="00F16F90">
        <w:t xml:space="preserve">, </w:t>
      </w:r>
      <w:r w:rsidR="007F5E7B">
        <w:t>which provides access to</w:t>
      </w:r>
      <w:r w:rsidR="005C4816">
        <w:t xml:space="preserve"> </w:t>
      </w:r>
      <w:r w:rsidR="005C4816" w:rsidRPr="00DC5F2D">
        <w:t>MBS rebated</w:t>
      </w:r>
      <w:r w:rsidR="007F5E7B">
        <w:t xml:space="preserve"> dietetic and psychology</w:t>
      </w:r>
      <w:r w:rsidR="005C4816">
        <w:t xml:space="preserve"> services; </w:t>
      </w:r>
      <w:r w:rsidR="00F16F90">
        <w:t xml:space="preserve">or a </w:t>
      </w:r>
      <w:r w:rsidR="006019C6">
        <w:t xml:space="preserve">GP </w:t>
      </w:r>
      <w:r w:rsidR="00F16F90">
        <w:t>Mental Health</w:t>
      </w:r>
      <w:r w:rsidR="0015791E">
        <w:t xml:space="preserve"> Treatment Plan (GPMHTP)</w:t>
      </w:r>
      <w:r w:rsidR="00D709D7" w:rsidRPr="00D709D7">
        <w:t xml:space="preserve"> </w:t>
      </w:r>
      <w:r w:rsidR="00D709D7">
        <w:t xml:space="preserve">which provides access to </w:t>
      </w:r>
      <w:r w:rsidR="00D709D7" w:rsidRPr="00DC5F2D">
        <w:t>MBS rebated</w:t>
      </w:r>
      <w:r w:rsidR="00D709D7">
        <w:t xml:space="preserve"> psychology services.</w:t>
      </w:r>
    </w:p>
    <w:p w14:paraId="00A4F127" w14:textId="5CE86B99" w:rsidR="00271F6E" w:rsidRDefault="42B77733" w:rsidP="00DC5F2D">
      <w:pPr>
        <w:pStyle w:val="3Bodytext"/>
      </w:pPr>
      <w:r>
        <w:t xml:space="preserve">The MBS Review Advisory Committee (MRAC) </w:t>
      </w:r>
      <w:r w:rsidR="426B9282">
        <w:t>commenced a review of allied health chronic disease management services on 20 August 2024.</w:t>
      </w:r>
      <w:r w:rsidR="611B7D28">
        <w:t xml:space="preserve"> </w:t>
      </w:r>
      <w:r w:rsidR="611B7D28" w:rsidRPr="00DF64B7">
        <w:t>The MRAC will assess whether these services are adequately supporting patients with chronic conditions and whether individual and group MBS allied health services could be improved to better support eligible patients.</w:t>
      </w:r>
      <w:r w:rsidR="611B7D28">
        <w:t xml:space="preserve"> This review will include consideration of the </w:t>
      </w:r>
      <w:r w:rsidR="19A41526">
        <w:t xml:space="preserve">calendar year limits for individual allied health services, </w:t>
      </w:r>
      <w:r w:rsidR="72F24CFF">
        <w:t>and whether group allied health services should be expanded beyon</w:t>
      </w:r>
      <w:r w:rsidR="4D86E0DC">
        <w:t>d</w:t>
      </w:r>
      <w:r w:rsidR="1586E7CB">
        <w:t xml:space="preserve"> T2DM</w:t>
      </w:r>
      <w:r w:rsidR="4D86E0DC">
        <w:t xml:space="preserve">, including the </w:t>
      </w:r>
      <w:r w:rsidR="004F291F">
        <w:t xml:space="preserve">health </w:t>
      </w:r>
      <w:r w:rsidR="4D86E0DC">
        <w:t xml:space="preserve">conditions and </w:t>
      </w:r>
      <w:r w:rsidR="004F291F">
        <w:t xml:space="preserve">allied health </w:t>
      </w:r>
      <w:r w:rsidR="4D86E0DC">
        <w:t>services for which group therapy may be appropriate</w:t>
      </w:r>
      <w:r w:rsidR="6848B0F8">
        <w:t>. The review is expected to take 18 months to complete.</w:t>
      </w:r>
      <w:r w:rsidR="00055488">
        <w:rPr>
          <w:rStyle w:val="FootnoteReference"/>
        </w:rPr>
        <w:footnoteReference w:id="8"/>
      </w:r>
    </w:p>
    <w:p w14:paraId="1D0C1700" w14:textId="40C85323" w:rsidR="00F6386F" w:rsidRDefault="00F6386F" w:rsidP="00F6386F">
      <w:pPr>
        <w:pStyle w:val="3Bodytext"/>
      </w:pPr>
      <w:r>
        <w:t>Dietitians Australia</w:t>
      </w:r>
      <w:r w:rsidR="00F03A34">
        <w:t xml:space="preserve"> has requested that the Australian Government </w:t>
      </w:r>
      <w:r w:rsidR="00897DAA">
        <w:t xml:space="preserve">require </w:t>
      </w:r>
      <w:r w:rsidR="001D3C05">
        <w:t xml:space="preserve">a </w:t>
      </w:r>
      <w:r w:rsidR="00897DAA">
        <w:t>referra</w:t>
      </w:r>
      <w:r w:rsidR="00B5735D">
        <w:t xml:space="preserve">l to an Accredited Practising Dietitian </w:t>
      </w:r>
      <w:r w:rsidR="004C7D51">
        <w:t>on prescription of a GLP-1</w:t>
      </w:r>
      <w:r w:rsidR="00665E55">
        <w:t xml:space="preserve"> and expand </w:t>
      </w:r>
      <w:r w:rsidR="003B1E95">
        <w:t xml:space="preserve">MBS </w:t>
      </w:r>
      <w:r w:rsidR="005C33EB">
        <w:t>items to improve access to nutritional suppor</w:t>
      </w:r>
      <w:r w:rsidR="008B510D">
        <w:t>t.</w:t>
      </w:r>
      <w:r w:rsidR="00BB179D">
        <w:rPr>
          <w:rStyle w:val="FootnoteReference"/>
        </w:rPr>
        <w:footnoteReference w:id="9"/>
      </w:r>
      <w:r w:rsidR="00301DD8">
        <w:t xml:space="preserve"> </w:t>
      </w:r>
      <w:r w:rsidR="0079652D">
        <w:t>Dietitians</w:t>
      </w:r>
      <w:r w:rsidR="00301DD8">
        <w:t xml:space="preserve"> Australia cite a</w:t>
      </w:r>
      <w:r w:rsidR="002D4BB5">
        <w:t xml:space="preserve"> recent retrospective observational study showing that </w:t>
      </w:r>
      <w:r w:rsidR="008E7FEC">
        <w:t xml:space="preserve">12.7% of </w:t>
      </w:r>
      <w:r w:rsidR="002D4BB5">
        <w:t xml:space="preserve">patients </w:t>
      </w:r>
      <w:r w:rsidR="00304F2D">
        <w:t xml:space="preserve">starting GLP-1 therapy had nutritional deficiencies within </w:t>
      </w:r>
      <w:r w:rsidR="005B71C4">
        <w:t>6 months of GLP-1 co</w:t>
      </w:r>
      <w:r w:rsidR="00304F2D">
        <w:t>mmencement</w:t>
      </w:r>
      <w:r w:rsidR="005B71C4">
        <w:t xml:space="preserve"> and 22.4% of patients had nutritional deficiencies at </w:t>
      </w:r>
      <w:r w:rsidR="00EC2781">
        <w:t>one year</w:t>
      </w:r>
      <w:r w:rsidR="00391902">
        <w:t>, most commonly vitamin D deficiency</w:t>
      </w:r>
      <w:r w:rsidR="00304F2D">
        <w:t>.</w:t>
      </w:r>
      <w:r w:rsidR="00F50692">
        <w:rPr>
          <w:rStyle w:val="FootnoteReference"/>
        </w:rPr>
        <w:footnoteReference w:id="10"/>
      </w:r>
      <w:r w:rsidR="00301DD8">
        <w:t xml:space="preserve"> </w:t>
      </w:r>
    </w:p>
    <w:p w14:paraId="2FD24DC9" w14:textId="68987E9A" w:rsidR="00957470" w:rsidRDefault="00957470" w:rsidP="00E72453">
      <w:pPr>
        <w:pStyle w:val="3Bodytext"/>
        <w:keepNext/>
      </w:pPr>
      <w:r>
        <w:lastRenderedPageBreak/>
        <w:t xml:space="preserve">The Department met with representatives from Dietitians Australia on </w:t>
      </w:r>
      <w:r w:rsidR="002C5BDD">
        <w:t>9 September 2025</w:t>
      </w:r>
      <w:r w:rsidR="008E2F54">
        <w:t>. Dietitians Australia noted:</w:t>
      </w:r>
    </w:p>
    <w:p w14:paraId="4D8195C1" w14:textId="36A694F8" w:rsidR="009B15D5" w:rsidRDefault="00CB2452" w:rsidP="00E72453">
      <w:pPr>
        <w:pStyle w:val="3Bodytext"/>
        <w:keepNext/>
        <w:numPr>
          <w:ilvl w:val="2"/>
          <w:numId w:val="1"/>
        </w:numPr>
      </w:pPr>
      <w:r>
        <w:t>t</w:t>
      </w:r>
      <w:r w:rsidR="002A2927">
        <w:t xml:space="preserve">here are around 7,500 Accredited Practising Dietitians </w:t>
      </w:r>
      <w:r w:rsidR="001D3C05">
        <w:t xml:space="preserve">(APDs) </w:t>
      </w:r>
      <w:r w:rsidR="002A2927">
        <w:t>in Australia</w:t>
      </w:r>
      <w:r w:rsidR="001D3C05">
        <w:t xml:space="preserve"> and this number is growing by almost 1000 per year with new graduates entering the APD program</w:t>
      </w:r>
    </w:p>
    <w:p w14:paraId="678A8FDE" w14:textId="2D364A72" w:rsidR="003442B8" w:rsidRDefault="3B6BE49C" w:rsidP="001D49DB">
      <w:pPr>
        <w:pStyle w:val="3Bodytext"/>
        <w:numPr>
          <w:ilvl w:val="2"/>
          <w:numId w:val="1"/>
        </w:numPr>
      </w:pPr>
      <w:r>
        <w:t>t</w:t>
      </w:r>
      <w:r w:rsidR="15517B97">
        <w:t xml:space="preserve">here was a need to explore </w:t>
      </w:r>
      <w:r w:rsidR="003459B6">
        <w:t xml:space="preserve">and compare the effectiveness of </w:t>
      </w:r>
      <w:r w:rsidR="15517B97">
        <w:t xml:space="preserve">different models of </w:t>
      </w:r>
      <w:r w:rsidR="006B4377">
        <w:t xml:space="preserve">wraparound </w:t>
      </w:r>
      <w:r w:rsidR="15517B97">
        <w:t xml:space="preserve">care and </w:t>
      </w:r>
      <w:r w:rsidR="1018A2AE">
        <w:t>funding, such as group allied health</w:t>
      </w:r>
      <w:r w:rsidR="0BBD9AEA">
        <w:t xml:space="preserve"> sessions</w:t>
      </w:r>
    </w:p>
    <w:p w14:paraId="0652B6E4" w14:textId="2F8ED32A" w:rsidR="00A27CD4" w:rsidRDefault="00CB2452" w:rsidP="001D49DB">
      <w:pPr>
        <w:pStyle w:val="3Bodytext"/>
        <w:numPr>
          <w:ilvl w:val="2"/>
          <w:numId w:val="1"/>
        </w:numPr>
      </w:pPr>
      <w:r>
        <w:t>t</w:t>
      </w:r>
      <w:r w:rsidR="00A27CD4">
        <w:t>hat dietitians could play a role in identifying patients with eating disorders and/or disorde</w:t>
      </w:r>
      <w:r w:rsidR="00CA6B7F">
        <w:t xml:space="preserve">red eating behaviours, </w:t>
      </w:r>
      <w:r w:rsidR="00555B32">
        <w:t>improving safety of prescribing</w:t>
      </w:r>
    </w:p>
    <w:p w14:paraId="443D5215" w14:textId="70FA76BB" w:rsidR="00FA0E4F" w:rsidRDefault="00CB2452" w:rsidP="001D49DB">
      <w:pPr>
        <w:pStyle w:val="3Bodytext"/>
        <w:numPr>
          <w:ilvl w:val="2"/>
          <w:numId w:val="1"/>
        </w:numPr>
      </w:pPr>
      <w:r>
        <w:t>t</w:t>
      </w:r>
      <w:r w:rsidR="00FA0E4F">
        <w:t>hat in other countries, such as Switzerland and the UK, there was a requirement for patients to undergo 6 months of lifestyle interventions prior to accessing GLP-1 therapy.</w:t>
      </w:r>
    </w:p>
    <w:p w14:paraId="2B6F6763" w14:textId="51A17D30" w:rsidR="002E0B01" w:rsidRDefault="00CC3D0C" w:rsidP="002E0B01">
      <w:pPr>
        <w:pStyle w:val="3Bodytext"/>
      </w:pPr>
      <w:r>
        <w:t xml:space="preserve">Some </w:t>
      </w:r>
      <w:r w:rsidR="006A15AA">
        <w:t xml:space="preserve">Australian </w:t>
      </w:r>
      <w:r>
        <w:t xml:space="preserve">states and territories provide </w:t>
      </w:r>
      <w:r w:rsidR="004E69A3">
        <w:t>free</w:t>
      </w:r>
      <w:r w:rsidR="006A15AA">
        <w:t xml:space="preserve"> </w:t>
      </w:r>
      <w:r w:rsidR="004E69A3">
        <w:t>health coaching</w:t>
      </w:r>
      <w:r w:rsidR="0078599B">
        <w:t xml:space="preserve"> to make lifestyle changes</w:t>
      </w:r>
      <w:r w:rsidR="00C174FA">
        <w:t xml:space="preserve">, e.g. the New South Wales </w:t>
      </w:r>
      <w:r w:rsidR="00F345A4">
        <w:t>‘</w:t>
      </w:r>
      <w:r w:rsidR="00C174FA">
        <w:t>Get Healthy Service</w:t>
      </w:r>
      <w:r w:rsidR="00F345A4">
        <w:t>’</w:t>
      </w:r>
      <w:r w:rsidR="00C174FA">
        <w:t>,</w:t>
      </w:r>
      <w:r w:rsidR="006621BC">
        <w:rPr>
          <w:rStyle w:val="FootnoteReference"/>
        </w:rPr>
        <w:footnoteReference w:id="11"/>
      </w:r>
      <w:r w:rsidR="00C174FA">
        <w:t xml:space="preserve"> or the Queen</w:t>
      </w:r>
      <w:r w:rsidR="001379E1">
        <w:t xml:space="preserve">sland </w:t>
      </w:r>
      <w:r w:rsidR="00F345A4">
        <w:t>‘</w:t>
      </w:r>
      <w:r w:rsidR="00353A45">
        <w:t>My Health for Life</w:t>
      </w:r>
      <w:r w:rsidR="00F345A4">
        <w:t>’</w:t>
      </w:r>
      <w:r w:rsidR="00353A45">
        <w:t xml:space="preserve"> program</w:t>
      </w:r>
      <w:r w:rsidR="006A15AA">
        <w:t>.</w:t>
      </w:r>
      <w:r w:rsidR="000D0D22">
        <w:rPr>
          <w:rStyle w:val="FootnoteReference"/>
        </w:rPr>
        <w:footnoteReference w:id="12"/>
      </w:r>
      <w:r w:rsidR="006A15AA">
        <w:t xml:space="preserve"> For some services, participants </w:t>
      </w:r>
      <w:r w:rsidR="00576DB5">
        <w:t>can</w:t>
      </w:r>
      <w:r w:rsidR="00C174FA">
        <w:t xml:space="preserve"> </w:t>
      </w:r>
      <w:r w:rsidR="006A15AA">
        <w:t>choose the delivery method, such a</w:t>
      </w:r>
      <w:r w:rsidR="001379E1">
        <w:t>s</w:t>
      </w:r>
      <w:r w:rsidR="006A15AA">
        <w:t xml:space="preserve"> online, telephone, or in-person delivery</w:t>
      </w:r>
      <w:r w:rsidR="00D0168E">
        <w:t>,</w:t>
      </w:r>
      <w:r w:rsidR="006A15AA">
        <w:t xml:space="preserve"> and group or individual sessions.</w:t>
      </w:r>
      <w:r w:rsidR="008B003F">
        <w:t xml:space="preserve"> </w:t>
      </w:r>
      <w:r w:rsidR="00F0604C">
        <w:t xml:space="preserve">State and territory health services may also provide health coaching </w:t>
      </w:r>
      <w:r w:rsidR="006539B2">
        <w:t>for patients with specific conditions</w:t>
      </w:r>
      <w:r w:rsidR="006F0EBC">
        <w:t xml:space="preserve">, </w:t>
      </w:r>
      <w:r w:rsidR="0079159A">
        <w:t>such as cardiac rehabilitation programs</w:t>
      </w:r>
      <w:r w:rsidR="00B74086">
        <w:t xml:space="preserve">, and Queensland’s </w:t>
      </w:r>
      <w:r w:rsidR="00336692">
        <w:t>‘</w:t>
      </w:r>
      <w:r w:rsidR="00B74086">
        <w:t>Self-Management of Chronic Conditions Service</w:t>
      </w:r>
      <w:r w:rsidR="00336692">
        <w:t>’</w:t>
      </w:r>
      <w:r w:rsidR="00B74086">
        <w:t xml:space="preserve"> which </w:t>
      </w:r>
      <w:r w:rsidR="004631AA">
        <w:t xml:space="preserve">uses The COACH Program® and </w:t>
      </w:r>
      <w:r w:rsidR="00B74086">
        <w:t xml:space="preserve">is available to people with </w:t>
      </w:r>
      <w:r w:rsidR="00CB78A0">
        <w:t xml:space="preserve">coronary artery disease, </w:t>
      </w:r>
      <w:r w:rsidR="00336692">
        <w:t>T2DM</w:t>
      </w:r>
      <w:r w:rsidR="00CB78A0">
        <w:t>, pre</w:t>
      </w:r>
      <w:r w:rsidR="00BD7949">
        <w:noBreakHyphen/>
      </w:r>
      <w:r w:rsidR="00CB78A0">
        <w:t>diabetes and chronic obstructive pulmonary disease</w:t>
      </w:r>
      <w:r w:rsidR="00E56FD7">
        <w:t xml:space="preserve"> (COPD)</w:t>
      </w:r>
      <w:r w:rsidR="006539B2">
        <w:t>.</w:t>
      </w:r>
      <w:r w:rsidR="007E1BC7">
        <w:rPr>
          <w:rStyle w:val="FootnoteReference"/>
        </w:rPr>
        <w:footnoteReference w:id="13"/>
      </w:r>
    </w:p>
    <w:p w14:paraId="3922AA18" w14:textId="284D8A0E" w:rsidR="005172B6" w:rsidRDefault="006C152A" w:rsidP="006C152A">
      <w:pPr>
        <w:pStyle w:val="3Bodytext"/>
      </w:pPr>
      <w:r w:rsidRPr="00C55C9D">
        <w:t>The R</w:t>
      </w:r>
      <w:r w:rsidR="000C6DC3">
        <w:t xml:space="preserve">epatriation </w:t>
      </w:r>
      <w:r w:rsidRPr="00C55C9D">
        <w:t>PBS</w:t>
      </w:r>
      <w:r w:rsidR="000C6DC3">
        <w:t xml:space="preserve"> (RPBS)</w:t>
      </w:r>
      <w:r w:rsidRPr="00C55C9D">
        <w:t xml:space="preserve"> restrictions for </w:t>
      </w:r>
      <w:r>
        <w:t>orlistat</w:t>
      </w:r>
      <w:r w:rsidRPr="007957CC">
        <w:t xml:space="preserve"> </w:t>
      </w:r>
      <w:r>
        <w:t>require that the “p</w:t>
      </w:r>
      <w:r w:rsidRPr="007957CC">
        <w:t>atient must be receiving, or enrolled to receive, professional dietetic and weight management advice (where this is available)</w:t>
      </w:r>
      <w:r>
        <w:t xml:space="preserve">”. The PBS restrictions for </w:t>
      </w:r>
      <w:r w:rsidR="00E56FD7">
        <w:t xml:space="preserve">T2DM medicines </w:t>
      </w:r>
      <w:r>
        <w:t>including semaglutide (Ozempic</w:t>
      </w:r>
      <w:r w:rsidR="0062330E">
        <w:t>®</w:t>
      </w:r>
      <w:r>
        <w:t>) do not require patients to engage in any specific lifestyle measures; however</w:t>
      </w:r>
      <w:r w:rsidR="000C6DC3">
        <w:t>,</w:t>
      </w:r>
      <w:r>
        <w:t xml:space="preserve"> the TGA indication for these medicines generally lists them as an “adjunct to diet and exercise”. The PBS restrictions to initiate therapy with evolocumab, inclisiran, or icosapent ethyl, state that “The treatment </w:t>
      </w:r>
      <w:r w:rsidRPr="00CD18DC">
        <w:t>must be in conjunction with dietary therapy and exercise</w:t>
      </w:r>
      <w:r>
        <w:t>”.</w:t>
      </w:r>
      <w:r w:rsidR="003643B7">
        <w:t xml:space="preserve"> </w:t>
      </w:r>
    </w:p>
    <w:p w14:paraId="4E0F28D8" w14:textId="257FC54B" w:rsidR="006C152A" w:rsidRPr="00C55C9D" w:rsidRDefault="51FB1635" w:rsidP="006C152A">
      <w:pPr>
        <w:pStyle w:val="3Bodytext"/>
      </w:pPr>
      <w:r>
        <w:t>PBS restriction officers have noted i</w:t>
      </w:r>
      <w:r w:rsidR="59B27E80">
        <w:t>t</w:t>
      </w:r>
      <w:r w:rsidR="374DB860">
        <w:t xml:space="preserve"> would be difficult to monitor and ensure compliance with any potential PBS criterion related to </w:t>
      </w:r>
      <w:r w:rsidR="732DCFCF">
        <w:t xml:space="preserve">medicines being used in conjunction with dietary therapy </w:t>
      </w:r>
      <w:r w:rsidR="43C66906">
        <w:t xml:space="preserve">and </w:t>
      </w:r>
      <w:r w:rsidR="6C01BA51">
        <w:t>exercise</w:t>
      </w:r>
      <w:r w:rsidR="199F56B4">
        <w:t>. Monitoring could be undertaken</w:t>
      </w:r>
      <w:r w:rsidR="73AA0683">
        <w:t xml:space="preserve"> by the Department</w:t>
      </w:r>
      <w:r w:rsidR="199F56B4">
        <w:t xml:space="preserve"> if</w:t>
      </w:r>
      <w:r w:rsidR="6F026FDA">
        <w:t xml:space="preserve"> there was a specific requirement for patients to </w:t>
      </w:r>
      <w:r w:rsidR="1E47A233">
        <w:t>have a GPCCMP</w:t>
      </w:r>
      <w:r w:rsidR="4995C168">
        <w:t xml:space="preserve"> in place and to have accessed </w:t>
      </w:r>
      <w:r w:rsidR="32EC271F">
        <w:t>MBS dietetic and exercise physiology services</w:t>
      </w:r>
      <w:r w:rsidR="142B3870">
        <w:t>.</w:t>
      </w:r>
      <w:r w:rsidR="20234899">
        <w:t xml:space="preserve"> However, accessing</w:t>
      </w:r>
      <w:r w:rsidR="142B3870">
        <w:t xml:space="preserve"> </w:t>
      </w:r>
      <w:r w:rsidR="46B192A8">
        <w:t xml:space="preserve">these services does not </w:t>
      </w:r>
      <w:r w:rsidR="150C8D13">
        <w:t xml:space="preserve">in itself </w:t>
      </w:r>
      <w:r w:rsidR="46B192A8">
        <w:t>ensure patient compliance</w:t>
      </w:r>
      <w:r w:rsidR="00AD2F8F">
        <w:t xml:space="preserve"> and i</w:t>
      </w:r>
      <w:r w:rsidR="158A3581">
        <w:t xml:space="preserve">t </w:t>
      </w:r>
      <w:r w:rsidR="00AD2F8F">
        <w:t xml:space="preserve">would </w:t>
      </w:r>
      <w:r w:rsidR="158A3581">
        <w:lastRenderedPageBreak/>
        <w:t xml:space="preserve">increase the cost of </w:t>
      </w:r>
      <w:r w:rsidR="7D80AAA8">
        <w:t xml:space="preserve">treatment </w:t>
      </w:r>
      <w:r w:rsidR="4B2E98B8">
        <w:t>which may impact on equity of access.</w:t>
      </w:r>
      <w:r w:rsidR="00923396">
        <w:t xml:space="preserve"> In addition</w:t>
      </w:r>
      <w:r w:rsidR="00967FBF">
        <w:t>, relevant specialists, such as endocrinologists</w:t>
      </w:r>
      <w:r w:rsidR="00967154">
        <w:t xml:space="preserve">, </w:t>
      </w:r>
      <w:r w:rsidR="0045306D">
        <w:t xml:space="preserve">who may prescribe GLP-1s </w:t>
      </w:r>
      <w:r w:rsidR="00967154">
        <w:t>are not able to request a GPCCMP</w:t>
      </w:r>
      <w:r w:rsidR="0045306D">
        <w:t xml:space="preserve"> as these plans are only available to GPs</w:t>
      </w:r>
      <w:r w:rsidR="00967154">
        <w:t>.</w:t>
      </w:r>
    </w:p>
    <w:p w14:paraId="4CB8FAE4" w14:textId="63614658" w:rsidR="001334CB" w:rsidRPr="001334CB" w:rsidRDefault="00B560E1" w:rsidP="00BB76C3">
      <w:pPr>
        <w:pStyle w:val="3Bodytext"/>
        <w:rPr>
          <w:u w:val="single"/>
        </w:rPr>
      </w:pPr>
      <w:r>
        <w:t>T</w:t>
      </w:r>
      <w:r w:rsidR="00BB76C3">
        <w:t xml:space="preserve">he Department met with representatives of the RACGP </w:t>
      </w:r>
      <w:r w:rsidR="00BB76C3" w:rsidRPr="00D343D4">
        <w:t xml:space="preserve">Obesity </w:t>
      </w:r>
      <w:r w:rsidR="00BB76C3">
        <w:t>Spe</w:t>
      </w:r>
      <w:r w:rsidR="00380D1C">
        <w:t>cific</w:t>
      </w:r>
      <w:r w:rsidR="00BB76C3">
        <w:t xml:space="preserve"> Interest Group </w:t>
      </w:r>
      <w:r w:rsidR="00742CD9">
        <w:t xml:space="preserve">on 24 March </w:t>
      </w:r>
      <w:r>
        <w:t>2025 and 7 August 2025</w:t>
      </w:r>
      <w:r w:rsidR="00BB76C3">
        <w:t xml:space="preserve">, who advised that the group </w:t>
      </w:r>
      <w:r w:rsidR="009610F6">
        <w:t xml:space="preserve">has </w:t>
      </w:r>
      <w:r w:rsidR="00BB76C3">
        <w:t>reach</w:t>
      </w:r>
      <w:r w:rsidR="009610F6">
        <w:t>ed</w:t>
      </w:r>
      <w:r w:rsidR="00BB76C3">
        <w:t xml:space="preserve"> consensus on models of service delivery</w:t>
      </w:r>
      <w:r w:rsidR="00A12E3B">
        <w:t xml:space="preserve"> </w:t>
      </w:r>
      <w:r w:rsidR="00BB76C3">
        <w:t>for patients with obesity</w:t>
      </w:r>
      <w:r w:rsidR="00B3256D">
        <w:t xml:space="preserve"> prescribed GLP-1s</w:t>
      </w:r>
      <w:r w:rsidR="008029EA">
        <w:t xml:space="preserve">. </w:t>
      </w:r>
      <w:r w:rsidR="000F766B">
        <w:t>The RACGP representatives consider</w:t>
      </w:r>
      <w:r w:rsidR="001334CB">
        <w:t>ed</w:t>
      </w:r>
      <w:r w:rsidR="00CD090F">
        <w:t xml:space="preserve"> that</w:t>
      </w:r>
      <w:r w:rsidR="000F766B">
        <w:t>:</w:t>
      </w:r>
    </w:p>
    <w:p w14:paraId="5F7AE27D" w14:textId="1B643604" w:rsidR="00C008B4" w:rsidRPr="00C008B4" w:rsidRDefault="00CB2452" w:rsidP="001334CB">
      <w:pPr>
        <w:pStyle w:val="3Bodytext"/>
        <w:numPr>
          <w:ilvl w:val="2"/>
          <w:numId w:val="1"/>
        </w:numPr>
        <w:rPr>
          <w:u w:val="single"/>
        </w:rPr>
      </w:pPr>
      <w:r>
        <w:t xml:space="preserve">existing MBS care plans and allied health referral pathways </w:t>
      </w:r>
      <w:r w:rsidR="00BB362E">
        <w:t xml:space="preserve">were currently being </w:t>
      </w:r>
      <w:r>
        <w:t xml:space="preserve">used </w:t>
      </w:r>
      <w:r w:rsidR="0048634D">
        <w:t xml:space="preserve">by GPs </w:t>
      </w:r>
      <w:r>
        <w:t>to support patients being prescribed GLP-1s</w:t>
      </w:r>
      <w:r w:rsidR="0048634D">
        <w:t xml:space="preserve">, but </w:t>
      </w:r>
      <w:r w:rsidR="00C008B4">
        <w:t>that increased education</w:t>
      </w:r>
      <w:r w:rsidR="005F7BFB">
        <w:t>,</w:t>
      </w:r>
      <w:r w:rsidR="00C008B4">
        <w:t xml:space="preserve"> and prescribing frameworks w</w:t>
      </w:r>
      <w:r w:rsidR="00A12E3B">
        <w:t>ould be beneficial</w:t>
      </w:r>
    </w:p>
    <w:p w14:paraId="052BDDBB" w14:textId="0A9EC53F" w:rsidR="000F766B" w:rsidRPr="000F766B" w:rsidRDefault="00BB76C3" w:rsidP="001334CB">
      <w:pPr>
        <w:pStyle w:val="3Bodytext"/>
        <w:numPr>
          <w:ilvl w:val="2"/>
          <w:numId w:val="1"/>
        </w:numPr>
        <w:rPr>
          <w:u w:val="single"/>
        </w:rPr>
      </w:pPr>
      <w:r>
        <w:t xml:space="preserve">there are shortages in the allied health workforce (exercise physiologists, dietitians, psychologists), particularly in public settings </w:t>
      </w:r>
    </w:p>
    <w:p w14:paraId="2A9A200C" w14:textId="22AA53BD" w:rsidR="0058234F" w:rsidRPr="008029EA" w:rsidRDefault="008643D0" w:rsidP="000F766B">
      <w:pPr>
        <w:pStyle w:val="3Bodytext"/>
        <w:numPr>
          <w:ilvl w:val="2"/>
          <w:numId w:val="1"/>
        </w:numPr>
        <w:rPr>
          <w:u w:val="single"/>
        </w:rPr>
      </w:pPr>
      <w:r>
        <w:t xml:space="preserve">the Government could adopt a phased roll-out of subsidised access to obesity treatments, </w:t>
      </w:r>
      <w:proofErr w:type="gramStart"/>
      <w:r>
        <w:t>similar to</w:t>
      </w:r>
      <w:proofErr w:type="gramEnd"/>
      <w:r>
        <w:t xml:space="preserve"> that in the UK, that prioritises </w:t>
      </w:r>
      <w:r w:rsidR="00837D01">
        <w:t>patients</w:t>
      </w:r>
      <w:r>
        <w:t xml:space="preserve"> </w:t>
      </w:r>
      <w:r w:rsidR="00837D01">
        <w:t xml:space="preserve">with high BMI and increased number </w:t>
      </w:r>
      <w:r w:rsidR="00F039AC">
        <w:t xml:space="preserve">or severity </w:t>
      </w:r>
      <w:r w:rsidR="00837D01">
        <w:t>of weight-related comorbidities</w:t>
      </w:r>
    </w:p>
    <w:p w14:paraId="40B1021E" w14:textId="61AB1D13" w:rsidR="008029EA" w:rsidRPr="0058234F" w:rsidRDefault="008029EA" w:rsidP="000F766B">
      <w:pPr>
        <w:pStyle w:val="3Bodytext"/>
        <w:numPr>
          <w:ilvl w:val="2"/>
          <w:numId w:val="1"/>
        </w:numPr>
        <w:rPr>
          <w:u w:val="single"/>
        </w:rPr>
      </w:pPr>
      <w:r>
        <w:t>specific needs for wraparound care should be individualised to the patient</w:t>
      </w:r>
    </w:p>
    <w:p w14:paraId="5B0501E1" w14:textId="7EB783D0" w:rsidR="00DB5D89" w:rsidRPr="002B2ED5" w:rsidRDefault="00371089" w:rsidP="00B720D7">
      <w:pPr>
        <w:pStyle w:val="3Bodytext"/>
        <w:numPr>
          <w:ilvl w:val="2"/>
          <w:numId w:val="1"/>
        </w:numPr>
        <w:rPr>
          <w:u w:val="single"/>
        </w:rPr>
      </w:pPr>
      <w:r>
        <w:t xml:space="preserve">there was a need </w:t>
      </w:r>
      <w:r w:rsidR="00745D47">
        <w:t xml:space="preserve">to provide </w:t>
      </w:r>
      <w:r>
        <w:t xml:space="preserve">patients </w:t>
      </w:r>
      <w:r w:rsidR="0076753D">
        <w:t>with obesity</w:t>
      </w:r>
      <w:r w:rsidR="00745D47">
        <w:t xml:space="preserve"> and those using GLP-1s with coordinated access to </w:t>
      </w:r>
      <w:r w:rsidR="00066465">
        <w:t xml:space="preserve">information that would assist them in managing their condition, such as </w:t>
      </w:r>
      <w:r w:rsidR="0076753D">
        <w:t xml:space="preserve">high-quality </w:t>
      </w:r>
      <w:r w:rsidR="00C4491E">
        <w:t>online health advice</w:t>
      </w:r>
      <w:r w:rsidR="00016B8A">
        <w:t>;</w:t>
      </w:r>
      <w:r w:rsidR="00F955BE">
        <w:t xml:space="preserve"> and</w:t>
      </w:r>
      <w:r w:rsidR="00016B8A">
        <w:t xml:space="preserve"> </w:t>
      </w:r>
      <w:r w:rsidR="002A0C79">
        <w:t xml:space="preserve">state and territory and local wraparound care services (e.g. Get Healthy Service, </w:t>
      </w:r>
      <w:r w:rsidR="00F955BE">
        <w:t xml:space="preserve">National Heart Foundation </w:t>
      </w:r>
      <w:r w:rsidR="00390C7E">
        <w:t>Walking</w:t>
      </w:r>
      <w:r w:rsidR="00F955BE">
        <w:t xml:space="preserve"> Groups, etc.)</w:t>
      </w:r>
      <w:r w:rsidR="00EB4697">
        <w:t>.</w:t>
      </w:r>
    </w:p>
    <w:p w14:paraId="53D5D7D4" w14:textId="7F9B16C2" w:rsidR="00FD382B" w:rsidRDefault="00BD11EB" w:rsidP="00FD382B">
      <w:pPr>
        <w:pStyle w:val="3Bodytext"/>
      </w:pPr>
      <w:r>
        <w:t>In Jun</w:t>
      </w:r>
      <w:r w:rsidR="002909CE">
        <w:t>e</w:t>
      </w:r>
      <w:r>
        <w:t xml:space="preserve"> 2025, the RACGP </w:t>
      </w:r>
      <w:r w:rsidRPr="00D343D4">
        <w:t xml:space="preserve">Obesity </w:t>
      </w:r>
      <w:r>
        <w:t>Speci</w:t>
      </w:r>
      <w:r w:rsidR="00380D1C">
        <w:t>fic</w:t>
      </w:r>
      <w:r>
        <w:t xml:space="preserve"> Interest Group wrote to Minister Butler </w:t>
      </w:r>
      <w:r w:rsidR="005B345D">
        <w:t xml:space="preserve">and to the Department </w:t>
      </w:r>
      <w:r>
        <w:t xml:space="preserve">providing </w:t>
      </w:r>
      <w:r w:rsidR="005B345D">
        <w:t>a</w:t>
      </w:r>
      <w:r>
        <w:t xml:space="preserve"> proposal, </w:t>
      </w:r>
      <w:r w:rsidR="00FD382B">
        <w:t>‘</w:t>
      </w:r>
      <w:r w:rsidRPr="007154FE">
        <w:rPr>
          <w:i/>
          <w:iCs/>
        </w:rPr>
        <w:t xml:space="preserve">Health </w:t>
      </w:r>
      <w:r w:rsidR="005B345D" w:rsidRPr="007154FE">
        <w:rPr>
          <w:i/>
          <w:iCs/>
        </w:rPr>
        <w:t>Equity for All: Addressing the Need for Treatment for People with Obesity in Australia</w:t>
      </w:r>
      <w:r w:rsidR="00FD382B" w:rsidRPr="007154FE">
        <w:rPr>
          <w:i/>
          <w:iCs/>
        </w:rPr>
        <w:t>’</w:t>
      </w:r>
      <w:r w:rsidR="005B345D" w:rsidRPr="007154FE">
        <w:rPr>
          <w:i/>
          <w:iCs/>
        </w:rPr>
        <w:t>,</w:t>
      </w:r>
      <w:r w:rsidR="005B345D">
        <w:rPr>
          <w:i/>
          <w:iCs/>
        </w:rPr>
        <w:t xml:space="preserve"> </w:t>
      </w:r>
      <w:r w:rsidR="004352CC">
        <w:t xml:space="preserve">which is also endorsed by the Australian and New Zealand Obesity Society (ANZOS) and the </w:t>
      </w:r>
      <w:r w:rsidR="00960B28" w:rsidRPr="00960B28">
        <w:t>National Association of Clinical Obesity Services (NACOS)</w:t>
      </w:r>
      <w:r w:rsidR="00960B28">
        <w:t xml:space="preserve">. The proposal </w:t>
      </w:r>
      <w:r w:rsidR="006675A9">
        <w:t xml:space="preserve">recommends (as a first step) that access to funded pharmacotherapies for obesity be prioritised </w:t>
      </w:r>
      <w:r w:rsidR="00502D9C">
        <w:t xml:space="preserve">for adults with clinical obesity that meet the following criteria: </w:t>
      </w:r>
    </w:p>
    <w:p w14:paraId="71122852" w14:textId="2DFB6F6F" w:rsidR="004B510B" w:rsidRPr="004B510B" w:rsidRDefault="004B510B" w:rsidP="00BA466A">
      <w:pPr>
        <w:pStyle w:val="ListParagraph"/>
        <w:numPr>
          <w:ilvl w:val="0"/>
          <w:numId w:val="42"/>
        </w:numPr>
        <w:autoSpaceDE w:val="0"/>
        <w:autoSpaceDN w:val="0"/>
        <w:adjustRightInd w:val="0"/>
        <w:spacing w:after="392"/>
        <w:ind w:left="1208" w:hanging="357"/>
        <w:contextualSpacing/>
        <w:rPr>
          <w:rFonts w:cstheme="minorHAnsi"/>
        </w:rPr>
      </w:pPr>
      <w:r w:rsidRPr="004B510B">
        <w:rPr>
          <w:rFonts w:cstheme="minorHAnsi"/>
          <w:color w:val="000000"/>
        </w:rPr>
        <w:t>BMI ≥40</w:t>
      </w:r>
      <w:r w:rsidR="00247C75">
        <w:rPr>
          <w:rFonts w:cstheme="minorHAnsi"/>
          <w:color w:val="000000"/>
        </w:rPr>
        <w:t xml:space="preserve"> </w:t>
      </w:r>
      <w:r w:rsidR="00247C75" w:rsidRPr="002C3CAF">
        <w:rPr>
          <w:rFonts w:cstheme="minorHAnsi"/>
        </w:rPr>
        <w:t>kg/m</w:t>
      </w:r>
      <w:r w:rsidR="00247C75" w:rsidRPr="0079178B">
        <w:rPr>
          <w:rFonts w:cstheme="minorHAnsi"/>
          <w:vertAlign w:val="superscript"/>
        </w:rPr>
        <w:t>2</w:t>
      </w:r>
      <w:r w:rsidR="00D6404F">
        <w:rPr>
          <w:rFonts w:cstheme="minorHAnsi"/>
          <w:color w:val="000000"/>
        </w:rPr>
        <w:t xml:space="preserve">, </w:t>
      </w:r>
      <w:r w:rsidRPr="004B510B">
        <w:rPr>
          <w:rFonts w:cstheme="minorHAnsi"/>
          <w:color w:val="000000"/>
        </w:rPr>
        <w:t xml:space="preserve">or &gt;35 </w:t>
      </w:r>
      <w:r w:rsidR="00247C75" w:rsidRPr="002C3CAF">
        <w:rPr>
          <w:rFonts w:cstheme="minorHAnsi"/>
        </w:rPr>
        <w:t>kg/m</w:t>
      </w:r>
      <w:r w:rsidR="00247C75" w:rsidRPr="0079178B">
        <w:rPr>
          <w:rFonts w:cstheme="minorHAnsi"/>
          <w:vertAlign w:val="superscript"/>
        </w:rPr>
        <w:t>2</w:t>
      </w:r>
      <w:r w:rsidR="00247C75">
        <w:rPr>
          <w:rFonts w:cstheme="minorHAnsi"/>
          <w:vertAlign w:val="superscript"/>
        </w:rPr>
        <w:t xml:space="preserve"> </w:t>
      </w:r>
      <w:r w:rsidRPr="004B510B">
        <w:rPr>
          <w:rFonts w:cstheme="minorHAnsi"/>
          <w:color w:val="000000"/>
        </w:rPr>
        <w:t xml:space="preserve">for Aboriginal and Torres Strait Islander (First Nations) peoples with adjustments for other specific populations*, and </w:t>
      </w:r>
    </w:p>
    <w:p w14:paraId="5B075E57" w14:textId="2AB4B1B5" w:rsidR="004B510B" w:rsidRPr="004B510B" w:rsidRDefault="004B510B" w:rsidP="006149FF">
      <w:pPr>
        <w:pStyle w:val="ListParagraph"/>
        <w:numPr>
          <w:ilvl w:val="0"/>
          <w:numId w:val="42"/>
        </w:numPr>
        <w:autoSpaceDE w:val="0"/>
        <w:autoSpaceDN w:val="0"/>
        <w:adjustRightInd w:val="0"/>
        <w:spacing w:after="0"/>
        <w:ind w:left="1208" w:hanging="357"/>
        <w:contextualSpacing/>
        <w:rPr>
          <w:rFonts w:cstheme="minorHAnsi"/>
        </w:rPr>
      </w:pPr>
      <w:r w:rsidRPr="004B510B">
        <w:rPr>
          <w:rFonts w:cstheme="minorHAnsi"/>
        </w:rPr>
        <w:t xml:space="preserve">Either: </w:t>
      </w:r>
    </w:p>
    <w:p w14:paraId="3FB3E930" w14:textId="5729008F" w:rsidR="004B510B" w:rsidRPr="004B510B" w:rsidRDefault="004B510B" w:rsidP="0079178B">
      <w:pPr>
        <w:pStyle w:val="3Bodytext"/>
        <w:numPr>
          <w:ilvl w:val="1"/>
          <w:numId w:val="42"/>
        </w:numPr>
        <w:ind w:left="2069" w:hanging="357"/>
        <w:rPr>
          <w:rFonts w:cstheme="minorHAnsi"/>
          <w:szCs w:val="24"/>
        </w:rPr>
      </w:pPr>
      <w:r w:rsidRPr="004B510B">
        <w:rPr>
          <w:rFonts w:cstheme="minorHAnsi"/>
          <w:szCs w:val="24"/>
        </w:rPr>
        <w:t xml:space="preserve">At least three serious obesity-related health impairments** regardless of severity, or </w:t>
      </w:r>
    </w:p>
    <w:p w14:paraId="74059B85" w14:textId="77777777" w:rsidR="004B510B" w:rsidRDefault="004B510B" w:rsidP="004B510B">
      <w:pPr>
        <w:pStyle w:val="3Bodytext"/>
        <w:numPr>
          <w:ilvl w:val="1"/>
          <w:numId w:val="42"/>
        </w:numPr>
        <w:rPr>
          <w:rFonts w:cstheme="minorHAnsi"/>
          <w:szCs w:val="24"/>
        </w:rPr>
      </w:pPr>
      <w:r w:rsidRPr="004B510B">
        <w:rPr>
          <w:rFonts w:cstheme="minorHAnsi"/>
          <w:szCs w:val="24"/>
        </w:rPr>
        <w:t xml:space="preserve">One severe obesity related health impairment** </w:t>
      </w:r>
    </w:p>
    <w:p w14:paraId="5810E81D" w14:textId="745635C9" w:rsidR="002C3CAF" w:rsidRPr="002C3CAF" w:rsidRDefault="002C3CAF" w:rsidP="002C3CAF">
      <w:pPr>
        <w:pStyle w:val="3Bodytext"/>
        <w:numPr>
          <w:ilvl w:val="0"/>
          <w:numId w:val="0"/>
        </w:numPr>
        <w:ind w:left="720"/>
        <w:rPr>
          <w:rFonts w:cstheme="minorHAnsi"/>
        </w:rPr>
      </w:pPr>
      <w:r>
        <w:rPr>
          <w:rFonts w:cstheme="minorHAnsi"/>
        </w:rPr>
        <w:t>*</w:t>
      </w:r>
      <w:r w:rsidRPr="002C3CAF">
        <w:rPr>
          <w:rFonts w:cstheme="minorHAnsi"/>
        </w:rPr>
        <w:t>BMI adjustments for specific populations reflect World Health Organisation recommendations (usually reduced by 2.5 kg/m</w:t>
      </w:r>
      <w:r w:rsidRPr="0079178B">
        <w:rPr>
          <w:rFonts w:cstheme="minorHAnsi"/>
          <w:vertAlign w:val="superscript"/>
        </w:rPr>
        <w:t>2</w:t>
      </w:r>
      <w:r w:rsidRPr="002C3CAF">
        <w:rPr>
          <w:rFonts w:cstheme="minorHAnsi"/>
        </w:rPr>
        <w:t xml:space="preserve"> for people of South Asian, Chinese, other Asian, Middle Eastern, Black African or African-Caribbean ethnic backgrounds) and consensus agreement for Aboriginal and Torres Strait Islander (First Nations) peoples. </w:t>
      </w:r>
    </w:p>
    <w:p w14:paraId="703E65CD" w14:textId="6A6BDE84" w:rsidR="002C3CAF" w:rsidRPr="004B510B" w:rsidRDefault="002C3CAF" w:rsidP="002C3CAF">
      <w:pPr>
        <w:pStyle w:val="3Bodytext"/>
        <w:numPr>
          <w:ilvl w:val="0"/>
          <w:numId w:val="0"/>
        </w:numPr>
        <w:ind w:left="720"/>
        <w:rPr>
          <w:rFonts w:cstheme="minorHAnsi"/>
          <w:szCs w:val="24"/>
        </w:rPr>
      </w:pPr>
      <w:r w:rsidRPr="002C3CAF">
        <w:rPr>
          <w:rFonts w:cstheme="minorHAnsi"/>
          <w:szCs w:val="24"/>
        </w:rPr>
        <w:lastRenderedPageBreak/>
        <w:t xml:space="preserve">**Obesity-related health impairments include cardiovascular diseases, non-diabetic hyperglycaemia, </w:t>
      </w:r>
      <w:r w:rsidR="004F3B03">
        <w:rPr>
          <w:rFonts w:cstheme="minorHAnsi"/>
          <w:szCs w:val="24"/>
        </w:rPr>
        <w:t>T2DM</w:t>
      </w:r>
      <w:r w:rsidRPr="002C3CAF">
        <w:rPr>
          <w:rFonts w:cstheme="minorHAnsi"/>
          <w:szCs w:val="24"/>
        </w:rPr>
        <w:t>, chronic kidney disease, metabolic dysfunction-associated fatty liver disease, obstructive sleep apnoea, obesity hypoventilation syndrome, hypertension, dyslipidaemia, male hypogonadism, polycystic ovary syndrome, and hip or knee osteoarthritis.</w:t>
      </w:r>
    </w:p>
    <w:p w14:paraId="2DD7A33C" w14:textId="2A3E871D" w:rsidR="0034283D" w:rsidRPr="00401ED1" w:rsidRDefault="000B2B55" w:rsidP="00C26D5E">
      <w:pPr>
        <w:pStyle w:val="3Bodytext"/>
        <w:widowControl w:val="0"/>
        <w:numPr>
          <w:ilvl w:val="0"/>
          <w:numId w:val="0"/>
        </w:numPr>
        <w:ind w:left="720" w:hanging="720"/>
        <w:rPr>
          <w:u w:val="single"/>
        </w:rPr>
      </w:pPr>
      <w:r>
        <w:rPr>
          <w:u w:val="single"/>
        </w:rPr>
        <w:t xml:space="preserve">Lifestyle </w:t>
      </w:r>
      <w:r w:rsidR="004B0C1D">
        <w:rPr>
          <w:u w:val="single"/>
        </w:rPr>
        <w:t xml:space="preserve">interventions and effect on </w:t>
      </w:r>
      <w:r w:rsidR="00191079">
        <w:rPr>
          <w:u w:val="single"/>
        </w:rPr>
        <w:t xml:space="preserve">weight regain following </w:t>
      </w:r>
      <w:r w:rsidR="004B0C1D">
        <w:rPr>
          <w:u w:val="single"/>
        </w:rPr>
        <w:t xml:space="preserve">GLP-1 </w:t>
      </w:r>
      <w:r w:rsidR="00BE38DA" w:rsidRPr="00401ED1">
        <w:rPr>
          <w:u w:val="single"/>
        </w:rPr>
        <w:t xml:space="preserve">discontinuation </w:t>
      </w:r>
    </w:p>
    <w:p w14:paraId="3BDE5E0C" w14:textId="5B2D5A58" w:rsidR="00A10231" w:rsidRDefault="1E393A8F" w:rsidP="00C26D5E">
      <w:pPr>
        <w:pStyle w:val="3Bodytext"/>
        <w:widowControl w:val="0"/>
      </w:pPr>
      <w:r>
        <w:t>Clinical trials have generally shown substantial weight regain following discontinuation of GLP-1s</w:t>
      </w:r>
      <w:r w:rsidR="3E60E7B3">
        <w:t xml:space="preserve">, but a recent </w:t>
      </w:r>
      <w:r w:rsidR="03C92719">
        <w:t>retrospective cohort study</w:t>
      </w:r>
      <w:r w:rsidR="179B84B1">
        <w:t xml:space="preserve"> using US electronic health record data </w:t>
      </w:r>
      <w:r w:rsidR="66AD487C">
        <w:t>found relatively stable weight trajectories following discontinuation</w:t>
      </w:r>
      <w:r w:rsidR="51ED7497">
        <w:t>. The reason for this was unclear</w:t>
      </w:r>
      <w:r w:rsidR="55640A33">
        <w:t xml:space="preserve"> </w:t>
      </w:r>
      <w:r w:rsidR="51ED7497">
        <w:t xml:space="preserve">but </w:t>
      </w:r>
      <w:r w:rsidR="00E0144E">
        <w:t xml:space="preserve">the author’s suggested that this </w:t>
      </w:r>
      <w:r w:rsidR="51ED7497">
        <w:t xml:space="preserve">may be due to </w:t>
      </w:r>
      <w:r w:rsidR="57067A6C">
        <w:t>additional weight management efforts used by people in real-world settings</w:t>
      </w:r>
      <w:r w:rsidR="18418E99">
        <w:t>, or use of other non-GLP-1 medications</w:t>
      </w:r>
      <w:r w:rsidR="57067A6C">
        <w:t>.</w:t>
      </w:r>
      <w:r w:rsidR="00AB1105">
        <w:rPr>
          <w:rStyle w:val="FootnoteReference"/>
        </w:rPr>
        <w:footnoteReference w:id="14"/>
      </w:r>
      <w:r w:rsidR="3990F3A6">
        <w:t xml:space="preserve"> </w:t>
      </w:r>
      <w:r w:rsidR="007C29A7">
        <w:t xml:space="preserve">Additional </w:t>
      </w:r>
      <w:r w:rsidR="0063392A">
        <w:t xml:space="preserve">real-world studies may </w:t>
      </w:r>
      <w:r w:rsidR="007C29A7">
        <w:t xml:space="preserve">provide further insight </w:t>
      </w:r>
      <w:r w:rsidR="00BB6763">
        <w:t xml:space="preserve">into </w:t>
      </w:r>
      <w:r w:rsidR="00F32253">
        <w:t>weight regain following discontinuation of GLP-1s.</w:t>
      </w:r>
    </w:p>
    <w:p w14:paraId="6810D3EB" w14:textId="339D32BA" w:rsidR="007000A3" w:rsidRDefault="59C24303" w:rsidP="002B2ED5">
      <w:pPr>
        <w:pStyle w:val="3Bodytext"/>
      </w:pPr>
      <w:r>
        <w:t xml:space="preserve">Weight regain also </w:t>
      </w:r>
      <w:r w:rsidR="00C4262F">
        <w:t xml:space="preserve">often </w:t>
      </w:r>
      <w:r>
        <w:t xml:space="preserve">occurs following </w:t>
      </w:r>
      <w:r w:rsidR="3C320587">
        <w:t xml:space="preserve">behavioural weight management interventions. </w:t>
      </w:r>
      <w:r w:rsidR="136FC486">
        <w:t>A review of weight regain after behavioural weight management</w:t>
      </w:r>
      <w:r w:rsidR="36461301">
        <w:t xml:space="preserve"> interventions</w:t>
      </w:r>
      <w:r w:rsidR="136FC486">
        <w:t xml:space="preserve"> found that </w:t>
      </w:r>
      <w:r w:rsidR="26B216C6" w:rsidRPr="00345A27">
        <w:t>weight regain occur</w:t>
      </w:r>
      <w:r w:rsidR="36461301">
        <w:t>red</w:t>
      </w:r>
      <w:r w:rsidR="26B216C6" w:rsidRPr="00345A27">
        <w:t xml:space="preserve"> at a rate of </w:t>
      </w:r>
      <w:r w:rsidR="36461301">
        <w:t xml:space="preserve">around </w:t>
      </w:r>
      <w:r w:rsidR="26B216C6" w:rsidRPr="00345A27">
        <w:t>0.12</w:t>
      </w:r>
      <w:r w:rsidR="00FD382B">
        <w:noBreakHyphen/>
      </w:r>
      <w:r w:rsidR="26B216C6" w:rsidRPr="00345A27">
        <w:t>0.32 kg/year</w:t>
      </w:r>
      <w:r w:rsidR="36461301">
        <w:t xml:space="preserve"> for intervention versus</w:t>
      </w:r>
      <w:r w:rsidR="26B216C6" w:rsidRPr="00345A27">
        <w:t xml:space="preserve"> comparator groups, </w:t>
      </w:r>
      <w:r w:rsidR="3E332F0D">
        <w:t>equating to at l</w:t>
      </w:r>
      <w:r w:rsidR="26B216C6" w:rsidRPr="00345A27">
        <w:t xml:space="preserve">east 5 years after the program to reach no difference </w:t>
      </w:r>
      <w:r w:rsidR="0C70D5C1">
        <w:t xml:space="preserve">in weight </w:t>
      </w:r>
      <w:r w:rsidR="26B216C6" w:rsidRPr="00345A27">
        <w:t xml:space="preserve">between </w:t>
      </w:r>
      <w:r w:rsidR="0C70D5C1">
        <w:t xml:space="preserve">the </w:t>
      </w:r>
      <w:r w:rsidR="26B216C6" w:rsidRPr="00345A27">
        <w:t>intervention and</w:t>
      </w:r>
      <w:r w:rsidR="3E332F0D">
        <w:t xml:space="preserve"> </w:t>
      </w:r>
      <w:r w:rsidR="0C70D5C1">
        <w:t>comparator</w:t>
      </w:r>
      <w:r w:rsidR="02F76070">
        <w:t xml:space="preserve"> groups</w:t>
      </w:r>
      <w:r w:rsidR="26B216C6" w:rsidRPr="00345A27">
        <w:t>.</w:t>
      </w:r>
      <w:r w:rsidR="004E1B0E">
        <w:rPr>
          <w:rStyle w:val="FootnoteReference"/>
        </w:rPr>
        <w:footnoteReference w:id="15"/>
      </w:r>
    </w:p>
    <w:p w14:paraId="2DE645E6" w14:textId="4262C97F" w:rsidR="00873C70" w:rsidRDefault="2E5D42B2" w:rsidP="002B2ED5">
      <w:pPr>
        <w:pStyle w:val="3Bodytext"/>
      </w:pPr>
      <w:r>
        <w:t xml:space="preserve">One study considered weight regain </w:t>
      </w:r>
      <w:r w:rsidR="2DB8540A">
        <w:t xml:space="preserve">for patients randomised to </w:t>
      </w:r>
      <w:r w:rsidR="4F67DD10">
        <w:t xml:space="preserve">one year of </w:t>
      </w:r>
      <w:r w:rsidR="2DB8540A">
        <w:t>supervised exercise, or supervised exercise plus liraglutide</w:t>
      </w:r>
      <w:r w:rsidR="4F67DD10">
        <w:t>,</w:t>
      </w:r>
      <w:r w:rsidR="2DB8540A">
        <w:t xml:space="preserve"> </w:t>
      </w:r>
      <w:r w:rsidR="62129B54">
        <w:t xml:space="preserve">with assessment at </w:t>
      </w:r>
      <w:r w:rsidR="53397C04">
        <w:t>one year</w:t>
      </w:r>
      <w:r w:rsidR="006753A8">
        <w:noBreakHyphen/>
      </w:r>
      <w:r w:rsidR="62129B54">
        <w:t xml:space="preserve">post </w:t>
      </w:r>
      <w:r w:rsidR="4F67DD10">
        <w:t>intervention</w:t>
      </w:r>
      <w:r w:rsidR="02B51BCE">
        <w:t xml:space="preserve"> termination</w:t>
      </w:r>
      <w:r w:rsidR="4F67DD10">
        <w:t>.</w:t>
      </w:r>
      <w:r w:rsidR="5C8F6E82">
        <w:t xml:space="preserve"> All patients also participated in a pre</w:t>
      </w:r>
      <w:r w:rsidR="006753A8">
        <w:noBreakHyphen/>
      </w:r>
      <w:r w:rsidR="25894C31">
        <w:t xml:space="preserve">intervention eight-week low-calorie diet. </w:t>
      </w:r>
      <w:r w:rsidR="5C8F6E82">
        <w:t>The study concluded that supervised exercise</w:t>
      </w:r>
      <w:r w:rsidR="27F75DB0">
        <w:t xml:space="preserve"> </w:t>
      </w:r>
      <w:r w:rsidR="2535CC0C">
        <w:t xml:space="preserve">plus GLP-1 therapy </w:t>
      </w:r>
      <w:r w:rsidR="27F75DB0">
        <w:t xml:space="preserve">reduced weight regain after treatment cessation </w:t>
      </w:r>
      <w:r w:rsidR="11694FDE">
        <w:t>versus treatment with a GLP-1 alone.</w:t>
      </w:r>
      <w:r w:rsidR="00DC5EC6">
        <w:rPr>
          <w:rStyle w:val="FootnoteReference"/>
        </w:rPr>
        <w:footnoteReference w:id="16"/>
      </w:r>
    </w:p>
    <w:p w14:paraId="5C770B49" w14:textId="5DF28280" w:rsidR="002B2ED5" w:rsidRPr="00B76348" w:rsidRDefault="307E63F7" w:rsidP="002B2ED5">
      <w:pPr>
        <w:pStyle w:val="3Bodytext"/>
      </w:pPr>
      <w:r>
        <w:t>H</w:t>
      </w:r>
      <w:r w:rsidR="1ECC74E6">
        <w:t>igh discontinuation rates seen in real-world settings</w:t>
      </w:r>
      <w:r>
        <w:t xml:space="preserve"> </w:t>
      </w:r>
      <w:r w:rsidR="1ECC74E6">
        <w:t>may have a significant impact on cost-effectiveness of subsidising GLP-1 treatments.</w:t>
      </w:r>
      <w:r w:rsidR="79D27108">
        <w:t xml:space="preserve"> An analysis of</w:t>
      </w:r>
      <w:r w:rsidR="647D3DC1">
        <w:t xml:space="preserve"> US patients using GLP-1s for </w:t>
      </w:r>
      <w:r w:rsidR="149A6DC9">
        <w:t xml:space="preserve">T2DM </w:t>
      </w:r>
      <w:r w:rsidR="19F2FF4F">
        <w:t xml:space="preserve">in a closed health care plan, found that around 70% of </w:t>
      </w:r>
      <w:r w:rsidR="19F2FF4F">
        <w:lastRenderedPageBreak/>
        <w:t>patients had discontinued therapy by two years.</w:t>
      </w:r>
      <w:r w:rsidR="00EF72D3">
        <w:rPr>
          <w:rStyle w:val="FootnoteReference"/>
        </w:rPr>
        <w:footnoteReference w:id="17"/>
      </w:r>
      <w:r w:rsidR="037A1494">
        <w:t xml:space="preserve"> A UK study found </w:t>
      </w:r>
      <w:r w:rsidR="4B726289">
        <w:t xml:space="preserve">that around 65% of patients using GLP-1s for </w:t>
      </w:r>
      <w:r w:rsidR="149A6DC9">
        <w:t xml:space="preserve">T2DM </w:t>
      </w:r>
      <w:r w:rsidR="4B726289">
        <w:t>had discontinued therapy by two years.</w:t>
      </w:r>
      <w:r w:rsidR="00F61ACE">
        <w:rPr>
          <w:rStyle w:val="FootnoteReference"/>
        </w:rPr>
        <w:footnoteReference w:id="18"/>
      </w:r>
    </w:p>
    <w:p w14:paraId="2C244BD2" w14:textId="4571DC4B" w:rsidR="004A4C12" w:rsidRDefault="004A4C12" w:rsidP="005252CF">
      <w:pPr>
        <w:pStyle w:val="3Subheading1"/>
      </w:pPr>
      <w:r>
        <w:t>Obesity in Australia</w:t>
      </w:r>
    </w:p>
    <w:p w14:paraId="72C0B2CD" w14:textId="37349180" w:rsidR="00BB05F0" w:rsidRDefault="051C8A12" w:rsidP="00E550EE">
      <w:pPr>
        <w:pStyle w:val="3Bodytext"/>
      </w:pPr>
      <w:r>
        <w:t xml:space="preserve">A large proportion of the Australian population could potentially benefit from </w:t>
      </w:r>
      <w:r w:rsidR="6083CB7E">
        <w:t>use of GLP-1 obesity treatments</w:t>
      </w:r>
      <w:r w:rsidR="6B122830">
        <w:t xml:space="preserve"> given the high prevalence of overweight and </w:t>
      </w:r>
      <w:r w:rsidR="0FC042FC">
        <w:t>obesity</w:t>
      </w:r>
      <w:r w:rsidR="68B0BA3B">
        <w:t>. W</w:t>
      </w:r>
      <w:r w:rsidR="0CBA42C9">
        <w:t>hile the mainstay</w:t>
      </w:r>
      <w:r w:rsidR="103BDE90">
        <w:t xml:space="preserve"> of obesity </w:t>
      </w:r>
      <w:r w:rsidR="775F01DD">
        <w:t xml:space="preserve">management consists of diet and exercise </w:t>
      </w:r>
      <w:r w:rsidR="72844682">
        <w:t>support</w:t>
      </w:r>
      <w:r w:rsidR="7AD150D7">
        <w:t xml:space="preserve">, very few Australians </w:t>
      </w:r>
      <w:r w:rsidR="7391038B">
        <w:t xml:space="preserve">are following </w:t>
      </w:r>
      <w:r w:rsidR="42C086B3">
        <w:t>guideline</w:t>
      </w:r>
      <w:r w:rsidR="093BAD0E">
        <w:t xml:space="preserve"> recommendations</w:t>
      </w:r>
      <w:r w:rsidR="42C086B3">
        <w:t xml:space="preserve"> </w:t>
      </w:r>
      <w:r w:rsidR="119ED61D">
        <w:t xml:space="preserve">for </w:t>
      </w:r>
      <w:r w:rsidR="093BAD0E">
        <w:t xml:space="preserve">adequate </w:t>
      </w:r>
      <w:r w:rsidR="119ED61D">
        <w:t xml:space="preserve">exercise and </w:t>
      </w:r>
      <w:r w:rsidR="093BAD0E">
        <w:t xml:space="preserve">a </w:t>
      </w:r>
      <w:r w:rsidR="42C086B3">
        <w:t>healthy diet</w:t>
      </w:r>
      <w:r w:rsidR="1B4B823E">
        <w:t>.</w:t>
      </w:r>
      <w:r w:rsidR="629DAA93">
        <w:t xml:space="preserve"> </w:t>
      </w:r>
      <w:r w:rsidR="00295BD6">
        <w:t xml:space="preserve">As noted in Australia’s </w:t>
      </w:r>
      <w:r w:rsidR="001805AC">
        <w:t>‘National Obesity Strategy</w:t>
      </w:r>
      <w:r w:rsidR="009F050F">
        <w:t xml:space="preserve"> 2022-2032’, </w:t>
      </w:r>
      <w:r w:rsidR="009245E2">
        <w:t>“</w:t>
      </w:r>
      <w:r w:rsidR="009245E2" w:rsidRPr="009245E2">
        <w:t>The root causes of overweight and obesity are complex and deeply embedded in the way we live. It is not simply a lack of self-control</w:t>
      </w:r>
      <w:r w:rsidR="009245E2">
        <w:t>.</w:t>
      </w:r>
      <w:r w:rsidR="00253F24">
        <w:t>”</w:t>
      </w:r>
      <w:r w:rsidR="006C0F9C">
        <w:rPr>
          <w:rStyle w:val="FootnoteReference"/>
        </w:rPr>
        <w:footnoteReference w:id="19"/>
      </w:r>
      <w:r w:rsidR="009245E2">
        <w:t xml:space="preserve"> </w:t>
      </w:r>
      <w:r w:rsidR="00A21831">
        <w:t>The reasons for this are complex</w:t>
      </w:r>
      <w:r w:rsidR="0088113D">
        <w:t xml:space="preserve"> and include</w:t>
      </w:r>
      <w:r w:rsidR="00C54F00">
        <w:t>:</w:t>
      </w:r>
      <w:r w:rsidR="0088113D">
        <w:t xml:space="preserve"> convenience, </w:t>
      </w:r>
      <w:r w:rsidR="004B3A65">
        <w:t>ubiquitousness</w:t>
      </w:r>
      <w:r w:rsidR="0088113D">
        <w:t xml:space="preserve"> and promotion of unhealthy foods</w:t>
      </w:r>
      <w:r w:rsidR="00CD709C">
        <w:t>;</w:t>
      </w:r>
      <w:r w:rsidR="0088113D">
        <w:t xml:space="preserve"> </w:t>
      </w:r>
      <w:r w:rsidR="004B3A65">
        <w:t xml:space="preserve">high cost </w:t>
      </w:r>
      <w:r w:rsidR="00C54F00">
        <w:t>of healthy foods</w:t>
      </w:r>
      <w:r w:rsidR="00253F24">
        <w:t xml:space="preserve"> and their </w:t>
      </w:r>
      <w:r w:rsidR="005D09B1">
        <w:t xml:space="preserve">limited availability </w:t>
      </w:r>
      <w:r w:rsidR="00C54F00">
        <w:t>in</w:t>
      </w:r>
      <w:r w:rsidR="005D09B1">
        <w:t xml:space="preserve"> some</w:t>
      </w:r>
      <w:r w:rsidR="00C54F00">
        <w:t xml:space="preserve"> rural and remote areas</w:t>
      </w:r>
      <w:r w:rsidR="00CD709C">
        <w:t>;</w:t>
      </w:r>
      <w:r w:rsidR="00483087">
        <w:t xml:space="preserve"> limited time for exercise due to work, study and </w:t>
      </w:r>
      <w:r w:rsidR="009F77DA">
        <w:t xml:space="preserve">other </w:t>
      </w:r>
      <w:r w:rsidR="00483087">
        <w:t xml:space="preserve">responsibilities; </w:t>
      </w:r>
      <w:r w:rsidR="00533A46">
        <w:t xml:space="preserve">and the </w:t>
      </w:r>
      <w:r w:rsidR="003568BF">
        <w:t xml:space="preserve">convenience and cost of </w:t>
      </w:r>
      <w:r w:rsidR="00533A46">
        <w:t xml:space="preserve">participating in </w:t>
      </w:r>
      <w:r w:rsidR="006A7DA4">
        <w:t>physical activit</w:t>
      </w:r>
      <w:r w:rsidR="00533A46">
        <w:t>y</w:t>
      </w:r>
      <w:r w:rsidR="00AF5CD7">
        <w:t>.</w:t>
      </w:r>
      <w:r w:rsidR="0058523B">
        <w:t xml:space="preserve"> </w:t>
      </w:r>
    </w:p>
    <w:p w14:paraId="4DCD01F6" w14:textId="58AFFE6E" w:rsidR="00883D58" w:rsidRDefault="071D034C" w:rsidP="00E550EE">
      <w:pPr>
        <w:pStyle w:val="3Bodytext"/>
      </w:pPr>
      <w:r>
        <w:t xml:space="preserve">Patients who do not follow </w:t>
      </w:r>
      <w:r w:rsidR="41670CA5">
        <w:t xml:space="preserve">diet and exercise advice when using </w:t>
      </w:r>
      <w:r w:rsidR="0212A45D">
        <w:t>a GLP-1 for weight man</w:t>
      </w:r>
      <w:r w:rsidR="1D4BF673">
        <w:t>agement may experience worse side effects, increased loss of muscle mass, reduced weight loss</w:t>
      </w:r>
      <w:r w:rsidR="4232B718">
        <w:t xml:space="preserve">, and </w:t>
      </w:r>
      <w:r w:rsidR="10BA51AE">
        <w:t>nutritional deficiencies</w:t>
      </w:r>
      <w:r w:rsidR="1A0589F0">
        <w:t xml:space="preserve">, reducing the benefits of treatment. </w:t>
      </w:r>
      <w:r w:rsidR="2B923A55">
        <w:t>Conversely</w:t>
      </w:r>
      <w:r w:rsidR="193C3F08">
        <w:t xml:space="preserve">, </w:t>
      </w:r>
      <w:r w:rsidR="3E8F8976">
        <w:t xml:space="preserve">a </w:t>
      </w:r>
      <w:r w:rsidR="6072C2FE">
        <w:t>healthy</w:t>
      </w:r>
      <w:r w:rsidR="193C3F08">
        <w:t xml:space="preserve"> </w:t>
      </w:r>
      <w:r w:rsidR="4EC9DE00">
        <w:t>diet and increas</w:t>
      </w:r>
      <w:r w:rsidR="3E8F8976">
        <w:t>ed</w:t>
      </w:r>
      <w:r w:rsidR="4EC9DE00">
        <w:t xml:space="preserve"> physical activity </w:t>
      </w:r>
      <w:r w:rsidR="3E8F8976">
        <w:t xml:space="preserve">can </w:t>
      </w:r>
      <w:r w:rsidR="2B923A55">
        <w:t>improve</w:t>
      </w:r>
      <w:r w:rsidR="466EA9C8">
        <w:t xml:space="preserve"> health outcomes </w:t>
      </w:r>
      <w:r w:rsidR="3E8F8976">
        <w:t>for</w:t>
      </w:r>
      <w:r w:rsidR="702002E0">
        <w:t xml:space="preserve"> people</w:t>
      </w:r>
      <w:r w:rsidR="02964AA1">
        <w:t xml:space="preserve"> even if their weight/BMI does not change</w:t>
      </w:r>
      <w:r w:rsidR="2B8395BB">
        <w:t>.</w:t>
      </w:r>
    </w:p>
    <w:p w14:paraId="51FD0AB6" w14:textId="7646B38A" w:rsidR="000A39B9" w:rsidRDefault="3F4584B1" w:rsidP="00E550EE">
      <w:pPr>
        <w:pStyle w:val="3Bodytext"/>
      </w:pPr>
      <w:r>
        <w:t xml:space="preserve">In 2022, </w:t>
      </w:r>
      <w:r w:rsidR="629221DD">
        <w:t>34%</w:t>
      </w:r>
      <w:r w:rsidR="54BAB68E">
        <w:t xml:space="preserve"> of Australian adults were living with overweight</w:t>
      </w:r>
      <w:r w:rsidR="775CC3FC">
        <w:t xml:space="preserve"> </w:t>
      </w:r>
      <w:r w:rsidR="3F8831D7">
        <w:t xml:space="preserve">and </w:t>
      </w:r>
      <w:r w:rsidR="775CC3FC">
        <w:t xml:space="preserve">32% </w:t>
      </w:r>
      <w:r w:rsidR="2E9B185B">
        <w:t>were living with obesity</w:t>
      </w:r>
      <w:r w:rsidR="702E65A5">
        <w:t xml:space="preserve"> (</w:t>
      </w:r>
      <w:r w:rsidR="2E9B185B">
        <w:t xml:space="preserve">13% were living with severe obesity defined as a BMI </w:t>
      </w:r>
      <w:r w:rsidR="2E9B185B" w:rsidRPr="63789F2A">
        <w:t>≥</w:t>
      </w:r>
      <w:r w:rsidR="2E9B185B">
        <w:t xml:space="preserve"> 35 kg/m</w:t>
      </w:r>
      <w:r w:rsidR="2E9B185B" w:rsidRPr="000A39B9">
        <w:rPr>
          <w:vertAlign w:val="superscript"/>
        </w:rPr>
        <w:t>2</w:t>
      </w:r>
      <w:r w:rsidR="2E9B185B">
        <w:t>).</w:t>
      </w:r>
      <w:r w:rsidR="39F54B25">
        <w:t xml:space="preserve"> </w:t>
      </w:r>
      <w:r w:rsidR="52FEC105">
        <w:t xml:space="preserve">In 2022, </w:t>
      </w:r>
      <w:r w:rsidR="670D439F">
        <w:t>18% of Australian children and adolescents aged 2-17 years</w:t>
      </w:r>
      <w:r w:rsidR="3F8831D7">
        <w:t xml:space="preserve"> were living with overweight and </w:t>
      </w:r>
      <w:r w:rsidR="166DBB24">
        <w:t>8.1% were living with obesity.</w:t>
      </w:r>
      <w:r w:rsidR="480D72A2">
        <w:t xml:space="preserve"> Rates of </w:t>
      </w:r>
      <w:r w:rsidR="251FDDD1">
        <w:t>overweight</w:t>
      </w:r>
      <w:r w:rsidR="480D72A2">
        <w:t xml:space="preserve"> and obesity are higher in Aboriginal and Torres </w:t>
      </w:r>
      <w:r w:rsidR="251FDDD1">
        <w:t>Strait</w:t>
      </w:r>
      <w:r w:rsidR="480D72A2">
        <w:t xml:space="preserve"> Islander people</w:t>
      </w:r>
      <w:r w:rsidR="2A018452">
        <w:t>;</w:t>
      </w:r>
      <w:r w:rsidR="480D72A2">
        <w:t xml:space="preserve"> </w:t>
      </w:r>
      <w:r w:rsidR="251FDDD1">
        <w:t xml:space="preserve">in lower socioeconomic areas compared to </w:t>
      </w:r>
      <w:r w:rsidR="496E4A01">
        <w:t>higher socioeconomic areas</w:t>
      </w:r>
      <w:r w:rsidR="2A018452">
        <w:t>;</w:t>
      </w:r>
      <w:r w:rsidR="496E4A01">
        <w:t xml:space="preserve"> and in </w:t>
      </w:r>
      <w:r w:rsidR="2A018452">
        <w:t>inner regional, outer regional and remote are</w:t>
      </w:r>
      <w:r w:rsidR="43DB0FB5">
        <w:t>a</w:t>
      </w:r>
      <w:r w:rsidR="2A018452">
        <w:t>s compared to major cities.</w:t>
      </w:r>
      <w:r w:rsidR="00E550EE">
        <w:rPr>
          <w:rStyle w:val="FootnoteReference"/>
        </w:rPr>
        <w:footnoteReference w:id="20"/>
      </w:r>
    </w:p>
    <w:p w14:paraId="404EDF79" w14:textId="7D6EBE12" w:rsidR="00E900E4" w:rsidRDefault="00E900E4" w:rsidP="00E550EE">
      <w:pPr>
        <w:pStyle w:val="3Bodytext"/>
      </w:pPr>
      <w:r>
        <w:t xml:space="preserve">In 2022, </w:t>
      </w:r>
      <w:r w:rsidR="007075A6">
        <w:t xml:space="preserve">based on data from the </w:t>
      </w:r>
      <w:r w:rsidR="00BB6B00">
        <w:t>National Health Survey (</w:t>
      </w:r>
      <w:r w:rsidR="007075A6">
        <w:t>NHS</w:t>
      </w:r>
      <w:r w:rsidR="00BB6B00">
        <w:t>)</w:t>
      </w:r>
      <w:r w:rsidR="007075A6">
        <w:t xml:space="preserve">, </w:t>
      </w:r>
      <w:r w:rsidR="00F70B77">
        <w:t xml:space="preserve">around </w:t>
      </w:r>
      <w:r w:rsidR="007075A6">
        <w:t xml:space="preserve">78% </w:t>
      </w:r>
      <w:r w:rsidR="00F70B77">
        <w:t xml:space="preserve">of adults aged 18-64 years were insufficiently physically active </w:t>
      </w:r>
      <w:r w:rsidR="003A158A">
        <w:t xml:space="preserve">(did not complete </w:t>
      </w:r>
      <w:r w:rsidR="00C607FC">
        <w:t xml:space="preserve">at least </w:t>
      </w:r>
      <w:r w:rsidR="003A158A">
        <w:t>150 min</w:t>
      </w:r>
      <w:r w:rsidR="00C607FC">
        <w:t>utes of moderate to vigorous activity</w:t>
      </w:r>
      <w:r w:rsidR="009A1C1C">
        <w:t xml:space="preserve"> across 5 or more days a week</w:t>
      </w:r>
      <w:r w:rsidR="00C607FC">
        <w:t xml:space="preserve">) </w:t>
      </w:r>
      <w:r w:rsidR="003A158A">
        <w:t>and also did not mee</w:t>
      </w:r>
      <w:r w:rsidR="009A1C1C">
        <w:t>t</w:t>
      </w:r>
      <w:r w:rsidR="003A158A">
        <w:t xml:space="preserve"> the muscle strengthening component of the </w:t>
      </w:r>
      <w:r w:rsidR="005077F7">
        <w:t xml:space="preserve">Australian Government </w:t>
      </w:r>
      <w:r w:rsidR="00824525">
        <w:t>‘</w:t>
      </w:r>
      <w:hyperlink r:id="rId12" w:history="1">
        <w:r w:rsidR="00824525" w:rsidRPr="0065638F">
          <w:rPr>
            <w:rStyle w:val="Hyperlink"/>
          </w:rPr>
          <w:t>Physical activity and exercise guidelines for all Australians</w:t>
        </w:r>
      </w:hyperlink>
      <w:r w:rsidR="00824525">
        <w:t>’.</w:t>
      </w:r>
      <w:r w:rsidR="00BC500F">
        <w:t xml:space="preserve"> </w:t>
      </w:r>
      <w:r w:rsidR="00FE72F2">
        <w:t>In 2022, a</w:t>
      </w:r>
      <w:r w:rsidR="00B57BD8">
        <w:t>round 80-90% of children and adolescents did not mee</w:t>
      </w:r>
      <w:r w:rsidR="00D4564E">
        <w:t>t</w:t>
      </w:r>
      <w:r w:rsidR="00B57BD8">
        <w:t xml:space="preserve"> the </w:t>
      </w:r>
      <w:r w:rsidR="00D4564E">
        <w:t xml:space="preserve">physical activity and screen-based </w:t>
      </w:r>
      <w:r w:rsidR="00D4564E">
        <w:lastRenderedPageBreak/>
        <w:t>activity components</w:t>
      </w:r>
      <w:r w:rsidR="00486CA0">
        <w:t xml:space="preserve"> </w:t>
      </w:r>
      <w:r w:rsidR="00BC1C71">
        <w:t xml:space="preserve">(or physical activity components only for </w:t>
      </w:r>
      <w:r w:rsidR="00910C85">
        <w:t xml:space="preserve">people aged 15-17 years) </w:t>
      </w:r>
      <w:r w:rsidR="00486CA0">
        <w:t>of these guidelines.</w:t>
      </w:r>
      <w:r w:rsidR="0016507D">
        <w:rPr>
          <w:rStyle w:val="FootnoteReference"/>
        </w:rPr>
        <w:footnoteReference w:id="21"/>
      </w:r>
      <w:r w:rsidR="0050557A">
        <w:t xml:space="preserve"> </w:t>
      </w:r>
    </w:p>
    <w:p w14:paraId="2F518E03" w14:textId="730D75C9" w:rsidR="00F00E4B" w:rsidRDefault="00F00E4B" w:rsidP="00E550EE">
      <w:pPr>
        <w:pStyle w:val="3Bodytext"/>
      </w:pPr>
      <w:r>
        <w:t>In 2022</w:t>
      </w:r>
      <w:r w:rsidR="0089400A">
        <w:t xml:space="preserve">, 96% of children </w:t>
      </w:r>
      <w:r w:rsidR="00C02386">
        <w:t>and adolescents aged 2-17 years</w:t>
      </w:r>
      <w:r w:rsidR="001B7FAB">
        <w:t xml:space="preserve"> and 94% of adults</w:t>
      </w:r>
      <w:r w:rsidR="00C02386">
        <w:t xml:space="preserve"> did not meet the </w:t>
      </w:r>
      <w:r w:rsidR="001B7FAB">
        <w:t xml:space="preserve">recommended daily serves of vegetables; </w:t>
      </w:r>
      <w:r w:rsidR="001073D8">
        <w:t>and 36% of children and adolescents aged 2-17 years and 56% of adults did not meet the recommended</w:t>
      </w:r>
      <w:r w:rsidR="004B7026">
        <w:t xml:space="preserve"> daily serves of fruit</w:t>
      </w:r>
      <w:r w:rsidR="00B23212">
        <w:t xml:space="preserve"> in the ‘Australian Dietary Guidelines’</w:t>
      </w:r>
      <w:r w:rsidR="004B7026">
        <w:t>.</w:t>
      </w:r>
      <w:r w:rsidR="00E71A7C">
        <w:t xml:space="preserve"> </w:t>
      </w:r>
      <w:r w:rsidR="006833E2">
        <w:t>In 2023-24</w:t>
      </w:r>
      <w:r w:rsidR="00931B48">
        <w:t>,</w:t>
      </w:r>
      <w:r w:rsidR="006833E2">
        <w:t xml:space="preserve"> </w:t>
      </w:r>
      <w:r w:rsidR="00FE5F05" w:rsidRPr="00FE5F05">
        <w:t>31.3% of the average daily energy intake came from discretionary foods (including sugar-sweetened beverages and alcoholic beverages</w:t>
      </w:r>
      <w:r w:rsidR="00FE5F05">
        <w:t xml:space="preserve"> </w:t>
      </w:r>
      <w:r w:rsidR="00E728C5">
        <w:t>)</w:t>
      </w:r>
      <w:r w:rsidR="00CA424F">
        <w:t>.</w:t>
      </w:r>
      <w:r w:rsidR="004B7026">
        <w:rPr>
          <w:rStyle w:val="FootnoteReference"/>
        </w:rPr>
        <w:footnoteReference w:id="22"/>
      </w:r>
    </w:p>
    <w:p w14:paraId="59852F0C" w14:textId="477101CE" w:rsidR="0036601D" w:rsidRDefault="0036601D" w:rsidP="00A117C5">
      <w:pPr>
        <w:pStyle w:val="3Bodytext"/>
      </w:pPr>
      <w:r>
        <w:t>It is not known what proportion of Australian patients are likely to follow diet and exercise advice provided to assist with weight management</w:t>
      </w:r>
      <w:r w:rsidR="00B05A55">
        <w:t>.</w:t>
      </w:r>
      <w:r w:rsidR="00A117C5">
        <w:t xml:space="preserve"> </w:t>
      </w:r>
      <w:r w:rsidR="00B05A55">
        <w:t>B</w:t>
      </w:r>
      <w:r w:rsidR="00A117C5">
        <w:t>ased on the above information it seems likely that less than 5% of</w:t>
      </w:r>
      <w:r w:rsidR="00C717F2">
        <w:t xml:space="preserve"> Australians would be </w:t>
      </w:r>
      <w:r w:rsidR="005F7894">
        <w:t xml:space="preserve">following this advice and this may </w:t>
      </w:r>
      <w:r w:rsidR="00CE10FD">
        <w:t>impact on the cost-effectiveness of GLP-1 treatment.</w:t>
      </w:r>
    </w:p>
    <w:p w14:paraId="4751B03F" w14:textId="1D56D884" w:rsidR="006D6622" w:rsidRDefault="006D6622" w:rsidP="00A117C5">
      <w:pPr>
        <w:pStyle w:val="3Bodytext"/>
      </w:pPr>
      <w:r>
        <w:t xml:space="preserve">The PBAC noted inputs from consumers </w:t>
      </w:r>
      <w:r w:rsidR="009B35A8">
        <w:t xml:space="preserve">(refer to </w:t>
      </w:r>
      <w:hyperlink w:anchor="Section8" w:history="1">
        <w:r w:rsidR="009B35A8" w:rsidRPr="00697F4E">
          <w:rPr>
            <w:rStyle w:val="Hyperlink"/>
          </w:rPr>
          <w:t>Section 8</w:t>
        </w:r>
      </w:hyperlink>
      <w:r w:rsidR="009B35A8">
        <w:t xml:space="preserve">) </w:t>
      </w:r>
      <w:r w:rsidR="00456C54">
        <w:t xml:space="preserve">which indicated that </w:t>
      </w:r>
      <w:r w:rsidR="003863CA">
        <w:t xml:space="preserve">many </w:t>
      </w:r>
      <w:r w:rsidR="002C2B46">
        <w:t>had previously found dietary changes and physical activity to be ineffective</w:t>
      </w:r>
      <w:r w:rsidR="00FB5544">
        <w:t>, or not sufficiently effective, to manage their weight</w:t>
      </w:r>
      <w:r w:rsidR="00AC1F56">
        <w:t xml:space="preserve">. </w:t>
      </w:r>
      <w:r w:rsidR="009B35A8">
        <w:t>Some consumers noted that increased weight made it more difficult to exercise</w:t>
      </w:r>
      <w:r w:rsidR="009A6729">
        <w:t xml:space="preserve">, which in turn </w:t>
      </w:r>
      <w:r w:rsidR="00B75A73">
        <w:t>led to increased weight gain, creating a ‘downward spiral’</w:t>
      </w:r>
      <w:r w:rsidR="00FF4921">
        <w:t>.</w:t>
      </w:r>
    </w:p>
    <w:p w14:paraId="098515B2" w14:textId="386716C6" w:rsidR="00DB5D89" w:rsidRDefault="00DB5D89" w:rsidP="005252CF">
      <w:pPr>
        <w:pStyle w:val="3Subheading1"/>
      </w:pPr>
      <w:r>
        <w:t xml:space="preserve">Obesity </w:t>
      </w:r>
      <w:r w:rsidR="00FD382B">
        <w:t>s</w:t>
      </w:r>
      <w:r>
        <w:t xml:space="preserve">trategy </w:t>
      </w:r>
      <w:r w:rsidR="00C459A0">
        <w:t xml:space="preserve">and </w:t>
      </w:r>
      <w:r w:rsidR="00FD382B">
        <w:t>Australian c</w:t>
      </w:r>
      <w:r>
        <w:t xml:space="preserve">linical </w:t>
      </w:r>
      <w:r w:rsidR="00FD382B">
        <w:t>g</w:t>
      </w:r>
      <w:r>
        <w:t xml:space="preserve">uidelines </w:t>
      </w:r>
      <w:r w:rsidRPr="00F34A8F">
        <w:t>update</w:t>
      </w:r>
    </w:p>
    <w:p w14:paraId="1E2869E4" w14:textId="7B6BC878" w:rsidR="00624FC9" w:rsidRDefault="00624FC9" w:rsidP="002B79E0">
      <w:pPr>
        <w:pStyle w:val="3Bodytext"/>
      </w:pPr>
      <w:r>
        <w:t>The treatment of obesity in Australia is evolving</w:t>
      </w:r>
      <w:r w:rsidR="008D3B19">
        <w:t xml:space="preserve">, with </w:t>
      </w:r>
      <w:r w:rsidR="005D7ECA">
        <w:t>revised clinical definitions and updated clinical guidelines currently being developed.</w:t>
      </w:r>
      <w:r w:rsidR="008D30E1">
        <w:t xml:space="preserve"> The use of BMI as a measure of</w:t>
      </w:r>
      <w:r w:rsidR="000B505D">
        <w:t xml:space="preserve"> overw</w:t>
      </w:r>
      <w:r w:rsidR="00D53BA6">
        <w:t>e</w:t>
      </w:r>
      <w:r w:rsidR="000B505D">
        <w:t>ight and</w:t>
      </w:r>
      <w:r w:rsidR="008D30E1">
        <w:t xml:space="preserve"> obesity</w:t>
      </w:r>
      <w:r w:rsidR="00CE52AA">
        <w:t xml:space="preserve">, while practical </w:t>
      </w:r>
      <w:r w:rsidR="00D53BA6">
        <w:t>in a clinical setting, has been criticised as inaccurate</w:t>
      </w:r>
      <w:r w:rsidR="00E47A91">
        <w:t xml:space="preserve"> for identifying</w:t>
      </w:r>
      <w:r w:rsidR="00014540">
        <w:t xml:space="preserve"> </w:t>
      </w:r>
      <w:r w:rsidR="00114E33">
        <w:t xml:space="preserve">excess </w:t>
      </w:r>
      <w:r w:rsidR="00014540">
        <w:t>adiposity</w:t>
      </w:r>
      <w:r w:rsidR="00114E33">
        <w:t xml:space="preserve"> </w:t>
      </w:r>
      <w:r w:rsidR="00E47A91">
        <w:t>complicating its potential use in a PBS restriction</w:t>
      </w:r>
      <w:r w:rsidR="00D53BA6">
        <w:t>.</w:t>
      </w:r>
      <w:r w:rsidR="004732E4">
        <w:t xml:space="preserve"> For example, BMI might overestimate adiposity in people with high muscle mass (such as athletes) and underestimate adiposity in people with low muscle mass (such as those with spinal cord injury).</w:t>
      </w:r>
    </w:p>
    <w:p w14:paraId="18BA4EE2" w14:textId="41B60A5C" w:rsidR="00DC70E5" w:rsidRDefault="00DC70E5" w:rsidP="00DC70E5">
      <w:pPr>
        <w:pStyle w:val="3Bodytext"/>
      </w:pPr>
      <w:r>
        <w:t xml:space="preserve">There is significant variation between countries </w:t>
      </w:r>
      <w:proofErr w:type="gramStart"/>
      <w:r>
        <w:t>with regard to</w:t>
      </w:r>
      <w:proofErr w:type="gramEnd"/>
      <w:r>
        <w:t xml:space="preserve"> prevalence of overweight and obesity. </w:t>
      </w:r>
      <w:r w:rsidR="72BB3D58" w:rsidRPr="552F56DA">
        <w:rPr>
          <w:rFonts w:eastAsiaTheme="minorEastAsia"/>
        </w:rPr>
        <w:t>Addressing the wider determinants of health and creating environments that enable people to consume healthier diets, be physical active and get adequate sleep</w:t>
      </w:r>
      <w:r w:rsidRPr="552F56DA">
        <w:rPr>
          <w:rFonts w:eastAsiaTheme="minorEastAsia"/>
        </w:rPr>
        <w:t xml:space="preserve"> </w:t>
      </w:r>
      <w:r>
        <w:t>could reduce the requirement for GLP-1 obesity treatments in Australia and the overall costs of overweight and obesity to the health care system.</w:t>
      </w:r>
      <w:r w:rsidR="00B94393">
        <w:t xml:space="preserve"> Microsimulation modelling by the Sax Institute </w:t>
      </w:r>
      <w:r w:rsidR="00683FE7">
        <w:t xml:space="preserve">found that significant savings </w:t>
      </w:r>
      <w:r w:rsidR="00726D03">
        <w:t xml:space="preserve">of around $7.44 billion could be achieved by reducing childhood overweight and obesity </w:t>
      </w:r>
      <w:r w:rsidR="00914F8E">
        <w:t>by 5% by 2030 (from 25% to 20%).</w:t>
      </w:r>
      <w:r w:rsidR="006426CD">
        <w:rPr>
          <w:rStyle w:val="FootnoteReference"/>
        </w:rPr>
        <w:footnoteReference w:id="23"/>
      </w:r>
      <w:r w:rsidR="00914F8E">
        <w:t xml:space="preserve"> Howeve</w:t>
      </w:r>
      <w:r w:rsidR="0030037F">
        <w:t xml:space="preserve">r, </w:t>
      </w:r>
      <w:r w:rsidR="00217EE0">
        <w:t>a system dynamics model exp</w:t>
      </w:r>
      <w:r w:rsidR="00E566CA">
        <w:t>l</w:t>
      </w:r>
      <w:r w:rsidR="00217EE0">
        <w:t>oring the impacts of different interventions on rate</w:t>
      </w:r>
      <w:r w:rsidR="00E566CA">
        <w:t>s</w:t>
      </w:r>
      <w:r w:rsidR="00217EE0">
        <w:t xml:space="preserve"> of child</w:t>
      </w:r>
      <w:r w:rsidR="00E566CA">
        <w:t xml:space="preserve">hood and adolescent overweight and obesity </w:t>
      </w:r>
      <w:r w:rsidR="003B65BC">
        <w:t xml:space="preserve">found that </w:t>
      </w:r>
      <w:r w:rsidR="00E566CA">
        <w:t xml:space="preserve">most </w:t>
      </w:r>
      <w:r w:rsidR="003B65BC">
        <w:t>interventions would have very little impact</w:t>
      </w:r>
      <w:r w:rsidR="00E566CA">
        <w:t xml:space="preserve">, </w:t>
      </w:r>
      <w:r w:rsidR="004B69A6">
        <w:lastRenderedPageBreak/>
        <w:t xml:space="preserve">with individual interventions </w:t>
      </w:r>
      <w:r w:rsidR="004510F9">
        <w:t>only reducing rates by</w:t>
      </w:r>
      <w:r w:rsidR="004B69A6">
        <w:t xml:space="preserve"> around</w:t>
      </w:r>
      <w:r w:rsidR="004510F9">
        <w:t xml:space="preserve"> 0.5% or less</w:t>
      </w:r>
      <w:r w:rsidR="000C0861">
        <w:t xml:space="preserve">, highlighting </w:t>
      </w:r>
      <w:r w:rsidR="73FDDF5B">
        <w:t>a need for a suite of interventions across all life stages</w:t>
      </w:r>
      <w:r w:rsidR="004510F9">
        <w:t>.</w:t>
      </w:r>
      <w:r w:rsidR="00901031">
        <w:t xml:space="preserve"> A sugar-sweetened beverage tax was the most effective and cost-effective intervention modelled.</w:t>
      </w:r>
      <w:r w:rsidR="00EF232B">
        <w:rPr>
          <w:rStyle w:val="FootnoteReference"/>
        </w:rPr>
        <w:footnoteReference w:id="24"/>
      </w:r>
      <w:r w:rsidR="007818E0">
        <w:t xml:space="preserve"> </w:t>
      </w:r>
      <w:r w:rsidR="00EE5736">
        <w:t>Other c</w:t>
      </w:r>
      <w:r w:rsidR="007818E0">
        <w:t xml:space="preserve">ountries </w:t>
      </w:r>
      <w:r w:rsidR="0090554A">
        <w:t xml:space="preserve">have successfully implemented </w:t>
      </w:r>
      <w:r w:rsidR="001E5A2C">
        <w:t>population</w:t>
      </w:r>
      <w:r w:rsidR="00E70C12">
        <w:t xml:space="preserve">-level </w:t>
      </w:r>
      <w:r w:rsidR="0090554A">
        <w:t>dietary changes</w:t>
      </w:r>
      <w:r w:rsidR="006D2E32">
        <w:t xml:space="preserve">, </w:t>
      </w:r>
      <w:r w:rsidR="008A596E">
        <w:t>s</w:t>
      </w:r>
      <w:r w:rsidR="006753A8">
        <w:t>uch as in Denmark</w:t>
      </w:r>
      <w:r w:rsidR="00D22C6F">
        <w:t>,</w:t>
      </w:r>
      <w:r w:rsidR="006753A8">
        <w:t xml:space="preserve"> where</w:t>
      </w:r>
      <w:r w:rsidR="006D2E32">
        <w:t xml:space="preserve"> intake of whole</w:t>
      </w:r>
      <w:r w:rsidR="00605F05">
        <w:t xml:space="preserve"> </w:t>
      </w:r>
      <w:r w:rsidR="006D2E32">
        <w:t>grains</w:t>
      </w:r>
      <w:r w:rsidR="00A10D4D">
        <w:t xml:space="preserve"> </w:t>
      </w:r>
      <w:r w:rsidR="006753A8">
        <w:t xml:space="preserve">has increased </w:t>
      </w:r>
      <w:r w:rsidR="00A10D4D">
        <w:t>through the Danish Whole</w:t>
      </w:r>
      <w:r w:rsidR="0031172C">
        <w:t xml:space="preserve"> G</w:t>
      </w:r>
      <w:r w:rsidR="00A10D4D">
        <w:t xml:space="preserve">rain </w:t>
      </w:r>
      <w:r w:rsidR="0031172C">
        <w:t>Partnership.</w:t>
      </w:r>
      <w:r w:rsidR="00F653F0">
        <w:rPr>
          <w:rStyle w:val="FootnoteReference"/>
        </w:rPr>
        <w:footnoteReference w:id="25"/>
      </w:r>
      <w:r w:rsidR="006C2BE1">
        <w:t xml:space="preserve"> Further </w:t>
      </w:r>
      <w:r w:rsidR="00667F6C">
        <w:t>research</w:t>
      </w:r>
      <w:r w:rsidR="006C2BE1">
        <w:t xml:space="preserve"> is needed to identify the most effective and cost</w:t>
      </w:r>
      <w:r w:rsidR="1756786E">
        <w:t>-</w:t>
      </w:r>
      <w:r w:rsidR="006C2BE1">
        <w:t xml:space="preserve">effective interventions </w:t>
      </w:r>
      <w:r w:rsidR="00667F6C">
        <w:t>to reduce overweight and obesity in Australia.</w:t>
      </w:r>
    </w:p>
    <w:p w14:paraId="519E0808" w14:textId="40635F1A" w:rsidR="00DB5D89" w:rsidRDefault="00DB5D89" w:rsidP="002B79E0">
      <w:pPr>
        <w:pStyle w:val="3Bodytext"/>
      </w:pPr>
      <w:r w:rsidRPr="00B7256A">
        <w:t xml:space="preserve">The </w:t>
      </w:r>
      <w:hyperlink r:id="rId13" w:history="1">
        <w:r w:rsidRPr="00B7256A">
          <w:rPr>
            <w:rStyle w:val="Hyperlink"/>
            <w:rFonts w:ascii="Calibri" w:hAnsi="Calibri" w:cs="Calibri"/>
          </w:rPr>
          <w:t>National Obesity Strategy 2022-2032</w:t>
        </w:r>
      </w:hyperlink>
      <w:r w:rsidRPr="00B7256A">
        <w:t xml:space="preserve"> provides a framework for preventing, reducing and treating overweight and obesity in Australia. Ambition 3.3 in the Strategy is ‘</w:t>
      </w:r>
      <w:r w:rsidRPr="004D50F6">
        <w:rPr>
          <w:i/>
          <w:iCs/>
        </w:rPr>
        <w:t>Addressing and treating unhealthy weight while preventing weight stigma’</w:t>
      </w:r>
      <w:r w:rsidRPr="00B7256A">
        <w:t xml:space="preserve">, with example actions including building the evidence base for pharmacotherapies and improving equitable access to </w:t>
      </w:r>
      <w:r w:rsidR="009572E0">
        <w:t>TGA-approved obesity medications</w:t>
      </w:r>
      <w:r w:rsidRPr="00B7256A">
        <w:t xml:space="preserve">. </w:t>
      </w:r>
    </w:p>
    <w:p w14:paraId="36A707DA" w14:textId="1D4439E9" w:rsidR="00DB5D89" w:rsidRPr="00B7256A" w:rsidRDefault="0A922DFE" w:rsidP="002B79E0">
      <w:pPr>
        <w:pStyle w:val="3Bodytext"/>
      </w:pPr>
      <w:r>
        <w:t xml:space="preserve">In January 2025, a global </w:t>
      </w:r>
      <w:r w:rsidRPr="006B686C">
        <w:t>Commission on Clinical Obesity</w:t>
      </w:r>
      <w:r>
        <w:t xml:space="preserve"> published in the </w:t>
      </w:r>
      <w:hyperlink r:id="rId14" w:history="1">
        <w:r w:rsidRPr="00F34A8F">
          <w:rPr>
            <w:rStyle w:val="Hyperlink"/>
            <w:rFonts w:ascii="Calibri" w:hAnsi="Calibri" w:cs="Calibri"/>
          </w:rPr>
          <w:t>Lancet Diabetes &amp; Endocrinology</w:t>
        </w:r>
      </w:hyperlink>
      <w:r>
        <w:t xml:space="preserve"> proposed </w:t>
      </w:r>
      <w:r w:rsidRPr="006B686C">
        <w:t>two new diagnostic categories of obesity based on objective measures of illness at the individual level</w:t>
      </w:r>
      <w:r>
        <w:t xml:space="preserve"> (rather than solely using BMI). The Commission proposed ‘c</w:t>
      </w:r>
      <w:r w:rsidRPr="006B686C">
        <w:t xml:space="preserve">linical obesity’ </w:t>
      </w:r>
      <w:r w:rsidR="003C08C5">
        <w:t>“…</w:t>
      </w:r>
      <w:r w:rsidR="003C08C5" w:rsidRPr="003C08C5">
        <w:t>as a chronic, systemic illness characterised by alterations in the function of tissues, organs, the entire individual, or a combination thereof, due to excess adiposity</w:t>
      </w:r>
      <w:r w:rsidR="003C08C5">
        <w:t>”</w:t>
      </w:r>
      <w:r>
        <w:t>;</w:t>
      </w:r>
      <w:r w:rsidRPr="006B686C">
        <w:t xml:space="preserve"> and ‘pre-clinical obesity’ </w:t>
      </w:r>
      <w:r>
        <w:t xml:space="preserve">as being </w:t>
      </w:r>
      <w:r w:rsidRPr="006B686C">
        <w:t>associated with a variable level of health risk, but no ongoing illness.</w:t>
      </w:r>
      <w:r w:rsidR="00EE1BE6">
        <w:rPr>
          <w:rStyle w:val="FootnoteReference"/>
        </w:rPr>
        <w:footnoteReference w:id="26"/>
      </w:r>
      <w:r>
        <w:t xml:space="preserve"> </w:t>
      </w:r>
    </w:p>
    <w:p w14:paraId="66804711" w14:textId="0D06D7E3" w:rsidR="00510F46" w:rsidRDefault="00236FA6" w:rsidP="002B79E0">
      <w:pPr>
        <w:pStyle w:val="3Bodytext"/>
      </w:pPr>
      <w:r>
        <w:t>The Department</w:t>
      </w:r>
      <w:r w:rsidR="00DB5D89" w:rsidRPr="00F27C5B">
        <w:t xml:space="preserve"> is working with Deakin University to update the ‘</w:t>
      </w:r>
      <w:r w:rsidR="00DB5D89" w:rsidRPr="00F27C5B">
        <w:rPr>
          <w:i/>
          <w:iCs/>
        </w:rPr>
        <w:t>Clinical Practice Guidelines for the Management of Overweight and Obesity in Adults, Adolescents and Children in Australia</w:t>
      </w:r>
      <w:r w:rsidR="00DB5D89" w:rsidRPr="00F27C5B">
        <w:t xml:space="preserve">’. The </w:t>
      </w:r>
      <w:hyperlink r:id="rId15" w:history="1">
        <w:r w:rsidR="00DB5D89" w:rsidRPr="00F27C5B">
          <w:rPr>
            <w:rStyle w:val="Hyperlink"/>
            <w:rFonts w:ascii="Calibri" w:hAnsi="Calibri" w:cs="Calibri"/>
          </w:rPr>
          <w:t>draft Guidelines</w:t>
        </w:r>
      </w:hyperlink>
      <w:r w:rsidR="00DB5D89" w:rsidRPr="00F27C5B">
        <w:t xml:space="preserve"> were available for comment in late 2024 and the final </w:t>
      </w:r>
      <w:r w:rsidR="00053FAE">
        <w:t xml:space="preserve">updated </w:t>
      </w:r>
      <w:r w:rsidR="00DB5D89" w:rsidRPr="00F27C5B">
        <w:t xml:space="preserve">Guidelines </w:t>
      </w:r>
      <w:r w:rsidR="00053FAE">
        <w:t>were endorsed by the National Health and Medical Research Council on 3 September 2025. The updated Guidelines</w:t>
      </w:r>
      <w:r w:rsidR="00EB1E8F">
        <w:t>, including material to support implementation,</w:t>
      </w:r>
      <w:r w:rsidR="00053FAE">
        <w:t xml:space="preserve"> </w:t>
      </w:r>
      <w:r w:rsidR="00DB5D89" w:rsidRPr="00F27C5B">
        <w:t xml:space="preserve">are expected to be published in </w:t>
      </w:r>
      <w:r w:rsidR="00466976">
        <w:t>early </w:t>
      </w:r>
      <w:r w:rsidR="00DB5D89" w:rsidRPr="00F27C5B">
        <w:t>202</w:t>
      </w:r>
      <w:r w:rsidR="00466976">
        <w:t>6</w:t>
      </w:r>
      <w:r w:rsidR="00DB5D89" w:rsidRPr="00F27C5B">
        <w:t xml:space="preserve">. </w:t>
      </w:r>
    </w:p>
    <w:p w14:paraId="13D8E99E" w14:textId="4D5346B0" w:rsidR="00C31D93" w:rsidRPr="00F27C5B" w:rsidRDefault="008E1938" w:rsidP="00510F46">
      <w:pPr>
        <w:pStyle w:val="3Bodytext"/>
      </w:pPr>
      <w:r>
        <w:t xml:space="preserve">The draft Guidelines provide advice for four age groups (children, </w:t>
      </w:r>
      <w:r w:rsidR="000E5C71">
        <w:t>adolescents</w:t>
      </w:r>
      <w:r>
        <w:t>, young and middle-aged adults, and older adults)</w:t>
      </w:r>
      <w:r w:rsidR="004A61CD">
        <w:t>. Considerations for specific subgroups are also included where evidence is available.</w:t>
      </w:r>
      <w:r w:rsidR="00CA58D1">
        <w:t xml:space="preserve"> </w:t>
      </w:r>
      <w:r w:rsidR="000E5C71" w:rsidRPr="00F27C5B">
        <w:t>The draft Guidelines</w:t>
      </w:r>
      <w:r w:rsidR="000E5C71">
        <w:t xml:space="preserve"> </w:t>
      </w:r>
      <w:r w:rsidR="000E5C71" w:rsidRPr="00F27C5B">
        <w:t>recommend that pharmacological interventions be considered, where clinically appropriate, as part of a comprehensive treatment program for adolescents and adults with overweight and obesity.</w:t>
      </w:r>
      <w:r w:rsidR="000E5C71">
        <w:t xml:space="preserve"> </w:t>
      </w:r>
      <w:r w:rsidR="003517B2">
        <w:t>N</w:t>
      </w:r>
      <w:r w:rsidR="009C3A42">
        <w:t xml:space="preserve">o recommendation is provided for children or older adults </w:t>
      </w:r>
      <w:r w:rsidR="00DC63D4">
        <w:t xml:space="preserve">(&gt;65 years) </w:t>
      </w:r>
      <w:r w:rsidR="009C3A42">
        <w:t xml:space="preserve">due to a lack of available data </w:t>
      </w:r>
      <w:r w:rsidR="00F709B3">
        <w:t>for the population/subgroup.</w:t>
      </w:r>
    </w:p>
    <w:p w14:paraId="12B9817F" w14:textId="4B3F96C7" w:rsidR="0041108C" w:rsidRPr="00F1061E" w:rsidRDefault="006540AE" w:rsidP="00A63934">
      <w:pPr>
        <w:pStyle w:val="3Subheading1"/>
      </w:pPr>
      <w:r>
        <w:lastRenderedPageBreak/>
        <w:t>B</w:t>
      </w:r>
      <w:r w:rsidR="0041108C">
        <w:t>ariatric surgery in Australia</w:t>
      </w:r>
    </w:p>
    <w:p w14:paraId="48065A6C" w14:textId="6E790274" w:rsidR="00BC603E" w:rsidRDefault="0BF6B391" w:rsidP="006911B1">
      <w:pPr>
        <w:pStyle w:val="3Bodytext"/>
      </w:pPr>
      <w:r>
        <w:t xml:space="preserve">Bariatric surgery </w:t>
      </w:r>
      <w:r w:rsidR="15278634">
        <w:t xml:space="preserve">is </w:t>
      </w:r>
      <w:r w:rsidR="00FE1A38">
        <w:t xml:space="preserve">generally </w:t>
      </w:r>
      <w:r w:rsidR="15278634">
        <w:t xml:space="preserve">more effective for weight management than </w:t>
      </w:r>
      <w:r w:rsidR="7105BA70">
        <w:t xml:space="preserve">currently available </w:t>
      </w:r>
      <w:r w:rsidR="15278634">
        <w:t>GLP-1 treatment</w:t>
      </w:r>
      <w:r w:rsidR="7105BA70">
        <w:t>s</w:t>
      </w:r>
      <w:r w:rsidR="5AE7F4E4">
        <w:t xml:space="preserve"> but </w:t>
      </w:r>
      <w:r w:rsidR="0012450B">
        <w:t>may be</w:t>
      </w:r>
      <w:r w:rsidR="363583EB">
        <w:t xml:space="preserve"> less safe.</w:t>
      </w:r>
      <w:r w:rsidR="006C4378">
        <w:rPr>
          <w:rStyle w:val="FootnoteReference"/>
        </w:rPr>
        <w:footnoteReference w:id="27"/>
      </w:r>
      <w:r w:rsidR="363583EB">
        <w:t xml:space="preserve"> A</w:t>
      </w:r>
      <w:r w:rsidR="5AE7F4E4">
        <w:t xml:space="preserve">ccess in Australia is limited </w:t>
      </w:r>
      <w:r w:rsidR="1403FB52">
        <w:t>due to high up-front costs for patients</w:t>
      </w:r>
      <w:r w:rsidR="280BEE28">
        <w:t>, with around 95% of patients accessing surgery privately</w:t>
      </w:r>
      <w:r w:rsidR="1403FB52">
        <w:t xml:space="preserve">. </w:t>
      </w:r>
    </w:p>
    <w:p w14:paraId="104AAA9C" w14:textId="5C48A15F" w:rsidR="007C2C61" w:rsidRDefault="005D1499" w:rsidP="00E47CFE">
      <w:pPr>
        <w:pStyle w:val="3Bodytext"/>
      </w:pPr>
      <w:r>
        <w:t xml:space="preserve">The </w:t>
      </w:r>
      <w:hyperlink r:id="rId16" w:history="1">
        <w:r w:rsidR="006E4BFE" w:rsidRPr="00960BDC">
          <w:rPr>
            <w:rStyle w:val="Hyperlink"/>
          </w:rPr>
          <w:t>draft Australian Clinical Practice Guidelines</w:t>
        </w:r>
      </w:hyperlink>
      <w:r w:rsidR="006E4BFE">
        <w:t xml:space="preserve"> contain a strong recommendation</w:t>
      </w:r>
      <w:r w:rsidR="00AD313B">
        <w:t xml:space="preserve"> to consider bariatric surgery for adolescents with severe obesity</w:t>
      </w:r>
      <w:r w:rsidR="00E32E0E">
        <w:t xml:space="preserve">, and a conditional recommendation to consider bariatric surgery for adults aged to </w:t>
      </w:r>
      <w:r w:rsidR="00444AC0">
        <w:t>&lt;65 years</w:t>
      </w:r>
      <w:r w:rsidR="00270881">
        <w:t xml:space="preserve">. </w:t>
      </w:r>
      <w:r w:rsidR="00D64A9C">
        <w:t xml:space="preserve">The Practice </w:t>
      </w:r>
      <w:r w:rsidR="00960BDC">
        <w:t>P</w:t>
      </w:r>
      <w:r w:rsidR="00D64A9C">
        <w:t xml:space="preserve">oints note that bariatric surgery may be considered for </w:t>
      </w:r>
      <w:r w:rsidR="003968BE">
        <w:t xml:space="preserve">adults with class </w:t>
      </w:r>
      <w:r w:rsidR="00EB337E">
        <w:t>1</w:t>
      </w:r>
      <w:r w:rsidR="003968BE">
        <w:t xml:space="preserve"> obesity</w:t>
      </w:r>
      <w:r w:rsidR="00191287">
        <w:t xml:space="preserve"> (</w:t>
      </w:r>
      <w:r w:rsidR="00A55A27">
        <w:t xml:space="preserve">BMI </w:t>
      </w:r>
      <w:r w:rsidR="00A55A27">
        <w:rPr>
          <w:rFonts w:cstheme="minorHAnsi"/>
        </w:rPr>
        <w:t>≥</w:t>
      </w:r>
      <w:r w:rsidR="00A55A27">
        <w:t xml:space="preserve"> 30</w:t>
      </w:r>
      <w:r w:rsidR="004849CD">
        <w:t xml:space="preserve"> to 34.9</w:t>
      </w:r>
      <w:r w:rsidR="00A55A27">
        <w:t xml:space="preserve"> kg/m</w:t>
      </w:r>
      <w:r w:rsidR="00A55A27" w:rsidRPr="0070078E">
        <w:rPr>
          <w:vertAlign w:val="superscript"/>
        </w:rPr>
        <w:t>2</w:t>
      </w:r>
      <w:r w:rsidR="00A55A27">
        <w:t>)</w:t>
      </w:r>
      <w:r w:rsidR="003968BE">
        <w:t xml:space="preserve"> and related comorbidities, </w:t>
      </w:r>
      <w:r w:rsidR="009D4953">
        <w:t xml:space="preserve">and people with class </w:t>
      </w:r>
      <w:r w:rsidR="00EB337E">
        <w:t>2</w:t>
      </w:r>
      <w:r w:rsidR="009D4953">
        <w:t xml:space="preserve"> or more obesity </w:t>
      </w:r>
      <w:r w:rsidR="00A55A27">
        <w:t xml:space="preserve">(BMI </w:t>
      </w:r>
      <w:r w:rsidR="00A55A27">
        <w:rPr>
          <w:rFonts w:cstheme="minorHAnsi"/>
        </w:rPr>
        <w:t>≥</w:t>
      </w:r>
      <w:r w:rsidR="00A55A27">
        <w:t xml:space="preserve"> 35 kg/m</w:t>
      </w:r>
      <w:r w:rsidR="00A55A27" w:rsidRPr="00360458">
        <w:rPr>
          <w:vertAlign w:val="superscript"/>
        </w:rPr>
        <w:t>2</w:t>
      </w:r>
      <w:r w:rsidR="00A55A27" w:rsidRPr="0070078E">
        <w:t>)</w:t>
      </w:r>
      <w:r w:rsidR="00A55A27">
        <w:rPr>
          <w:vertAlign w:val="superscript"/>
        </w:rPr>
        <w:t xml:space="preserve"> </w:t>
      </w:r>
      <w:r w:rsidR="009D4953">
        <w:t>regardless of comorbidities.</w:t>
      </w:r>
      <w:r w:rsidR="00113488">
        <w:t xml:space="preserve"> For further information on clas</w:t>
      </w:r>
      <w:r w:rsidR="00826F79">
        <w:t>sification of obesity based on BMI,</w:t>
      </w:r>
      <w:r w:rsidR="00503AE3">
        <w:t xml:space="preserve"> including population-specific cut-offs,</w:t>
      </w:r>
      <w:r w:rsidR="00826F79">
        <w:t xml:space="preserve"> please refer to Appendix A in the draft </w:t>
      </w:r>
      <w:r w:rsidR="007D2D94">
        <w:t>Guidelines.</w:t>
      </w:r>
    </w:p>
    <w:p w14:paraId="1692472C" w14:textId="77FBD7C1" w:rsidR="00481F6A" w:rsidRPr="0008601E" w:rsidRDefault="00481F6A" w:rsidP="00EB1E8F">
      <w:pPr>
        <w:pStyle w:val="3Bodytext"/>
        <w:keepNext/>
        <w:keepLines/>
        <w:numPr>
          <w:ilvl w:val="0"/>
          <w:numId w:val="0"/>
        </w:numPr>
        <w:rPr>
          <w:u w:val="single"/>
        </w:rPr>
      </w:pPr>
      <w:r w:rsidRPr="0008601E">
        <w:rPr>
          <w:u w:val="single"/>
        </w:rPr>
        <w:t xml:space="preserve">Access to bariatric </w:t>
      </w:r>
      <w:r w:rsidR="00D10EB0" w:rsidRPr="0008601E">
        <w:rPr>
          <w:u w:val="single"/>
        </w:rPr>
        <w:t>surgery</w:t>
      </w:r>
    </w:p>
    <w:p w14:paraId="1829CFA7" w14:textId="5E6C21F2" w:rsidR="009E6380" w:rsidRDefault="1AEA30A5" w:rsidP="006911B1">
      <w:pPr>
        <w:pStyle w:val="3Bodytext"/>
      </w:pPr>
      <w:r>
        <w:t>In Australia, access to bariatric surgery is predominantly</w:t>
      </w:r>
      <w:r w:rsidR="1BD6F67D">
        <w:t xml:space="preserve"> through the private sector, </w:t>
      </w:r>
      <w:r w:rsidR="404E0318">
        <w:t xml:space="preserve">with many patients accessing </w:t>
      </w:r>
      <w:r w:rsidR="5E886C71">
        <w:t xml:space="preserve">partial </w:t>
      </w:r>
      <w:r w:rsidR="404E0318">
        <w:t xml:space="preserve">financial support for bariatric procedures through private health insurance. </w:t>
      </w:r>
      <w:r w:rsidR="1CA05D8C">
        <w:t>Some patients may also be able to claim relevant MBS items</w:t>
      </w:r>
      <w:r w:rsidR="3500518C">
        <w:t xml:space="preserve"> (</w:t>
      </w:r>
      <w:r w:rsidR="4276ABBD">
        <w:t xml:space="preserve">bariatric procedures </w:t>
      </w:r>
      <w:r w:rsidR="10713F50">
        <w:t>31569</w:t>
      </w:r>
      <w:r w:rsidR="71250A70">
        <w:t xml:space="preserve"> to </w:t>
      </w:r>
      <w:r w:rsidR="10713F50">
        <w:t>31581</w:t>
      </w:r>
      <w:r w:rsidR="4276ABBD">
        <w:t>;</w:t>
      </w:r>
      <w:r w:rsidR="10713F50">
        <w:t xml:space="preserve"> and</w:t>
      </w:r>
      <w:r w:rsidR="4276ABBD">
        <w:t xml:space="preserve"> </w:t>
      </w:r>
      <w:r w:rsidR="5EDF3CAB">
        <w:t>anaesthesia</w:t>
      </w:r>
      <w:r w:rsidR="4276ABBD">
        <w:t xml:space="preserve"> </w:t>
      </w:r>
      <w:r w:rsidR="5EDF3CAB">
        <w:t xml:space="preserve">item </w:t>
      </w:r>
      <w:r w:rsidR="10713F50">
        <w:t>20791</w:t>
      </w:r>
      <w:r w:rsidR="5EDF3CAB">
        <w:t>)</w:t>
      </w:r>
      <w:r w:rsidR="292D8809">
        <w:t xml:space="preserve"> if they have “clinically severe obesity”, defined as </w:t>
      </w:r>
      <w:r w:rsidR="634ADDCB" w:rsidRPr="00706232">
        <w:t xml:space="preserve">BMI of </w:t>
      </w:r>
      <w:r w:rsidR="634ADDCB" w:rsidRPr="63789F2A">
        <w:t>≥</w:t>
      </w:r>
      <w:r w:rsidR="634ADDCB" w:rsidRPr="00706232">
        <w:t>40</w:t>
      </w:r>
      <w:r w:rsidR="634ADDCB">
        <w:t xml:space="preserve"> </w:t>
      </w:r>
      <w:r w:rsidR="634ADDCB" w:rsidRPr="00706232">
        <w:t>kg/m</w:t>
      </w:r>
      <w:r w:rsidR="634ADDCB" w:rsidRPr="00706232">
        <w:rPr>
          <w:vertAlign w:val="superscript"/>
        </w:rPr>
        <w:t>2</w:t>
      </w:r>
      <w:r w:rsidR="634ADDCB" w:rsidRPr="00706232">
        <w:t xml:space="preserve">, or BMI of </w:t>
      </w:r>
      <w:r w:rsidR="634ADDCB" w:rsidRPr="63789F2A">
        <w:t>≥</w:t>
      </w:r>
      <w:r w:rsidR="634ADDCB" w:rsidRPr="00706232">
        <w:t>35kg/m</w:t>
      </w:r>
      <w:r w:rsidR="634ADDCB" w:rsidRPr="00706232">
        <w:rPr>
          <w:vertAlign w:val="superscript"/>
        </w:rPr>
        <w:t>2 </w:t>
      </w:r>
      <w:r w:rsidR="634ADDCB" w:rsidRPr="00706232">
        <w:t xml:space="preserve">with other major medical co-morbidities (such as diabetes, </w:t>
      </w:r>
      <w:r w:rsidR="634ADDCB">
        <w:t>CVD</w:t>
      </w:r>
      <w:r w:rsidR="634ADDCB" w:rsidRPr="00706232">
        <w:t>, cancer</w:t>
      </w:r>
      <w:r w:rsidR="634ADDCB">
        <w:t xml:space="preserve">). </w:t>
      </w:r>
      <w:r w:rsidR="46A8D454">
        <w:t>The MBS Notes for these items state “</w:t>
      </w:r>
      <w:r w:rsidR="18D62F93" w:rsidRPr="00E13685">
        <w:t>The decision to undertake obesity surgery remains a matter for the clinical judgment of the surgeon</w:t>
      </w:r>
      <w:r w:rsidR="46A8D454">
        <w:t>”</w:t>
      </w:r>
      <w:r w:rsidR="4B9FC909">
        <w:t xml:space="preserve"> after noting that </w:t>
      </w:r>
      <w:r w:rsidR="120F9862">
        <w:t>different ethnic groups may experience major health risks at BMI threshold below those in the definition</w:t>
      </w:r>
      <w:r w:rsidR="18D62F93" w:rsidRPr="00E13685">
        <w:t>.</w:t>
      </w:r>
      <w:r w:rsidR="00006C9C">
        <w:rPr>
          <w:rStyle w:val="FootnoteReference"/>
        </w:rPr>
        <w:footnoteReference w:id="28"/>
      </w:r>
    </w:p>
    <w:p w14:paraId="074C6134" w14:textId="7DE6318B" w:rsidR="00A32750" w:rsidRDefault="00245CB2" w:rsidP="006911B1">
      <w:pPr>
        <w:pStyle w:val="3Bodytext"/>
      </w:pPr>
      <w:r>
        <w:t xml:space="preserve">A population-based study of bariatric procedures in NSW found </w:t>
      </w:r>
      <w:r w:rsidR="0044406B">
        <w:t>inequit</w:t>
      </w:r>
      <w:r w:rsidR="00281F13">
        <w:t>ies</w:t>
      </w:r>
      <w:r w:rsidR="0044406B">
        <w:t xml:space="preserve"> in access</w:t>
      </w:r>
      <w:r w:rsidR="00916452">
        <w:t>, including that regi</w:t>
      </w:r>
      <w:r w:rsidR="00084BBD">
        <w:t>o</w:t>
      </w:r>
      <w:r w:rsidR="00916452">
        <w:t xml:space="preserve">nal patients undergo surgery at higher rates than </w:t>
      </w:r>
      <w:r w:rsidR="00563F9B">
        <w:t>rural patients</w:t>
      </w:r>
      <w:r w:rsidR="006753B4">
        <w:t xml:space="preserve"> despite obesity being more prevalent in rural areas</w:t>
      </w:r>
      <w:r w:rsidR="00780AC5">
        <w:t>. Between 2013</w:t>
      </w:r>
      <w:r w:rsidR="0096361B">
        <w:t>-</w:t>
      </w:r>
      <w:r w:rsidR="00780AC5">
        <w:t>14 and 2021</w:t>
      </w:r>
      <w:r w:rsidR="0096361B">
        <w:t>-</w:t>
      </w:r>
      <w:r w:rsidR="00780AC5">
        <w:t xml:space="preserve">22, </w:t>
      </w:r>
      <w:r w:rsidR="00686EDF">
        <w:t>private hospital rates for bariatric procedures were 15.6 times higher than public hospital rates and pri</w:t>
      </w:r>
      <w:r w:rsidR="00537B67">
        <w:t>vate hospital rates rose 92.3%, whi</w:t>
      </w:r>
      <w:r w:rsidR="00602222">
        <w:t>le</w:t>
      </w:r>
      <w:r w:rsidR="00537B67">
        <w:t xml:space="preserve"> public hospital rates</w:t>
      </w:r>
      <w:r w:rsidR="006911B1">
        <w:t xml:space="preserve"> declined 17.9%.</w:t>
      </w:r>
      <w:r w:rsidR="006911B1">
        <w:rPr>
          <w:rStyle w:val="FootnoteReference"/>
        </w:rPr>
        <w:footnoteReference w:id="29"/>
      </w:r>
    </w:p>
    <w:p w14:paraId="357883E0" w14:textId="2DF02029" w:rsidR="007C3837" w:rsidRPr="002C5A18" w:rsidRDefault="006F5A35" w:rsidP="00995806">
      <w:pPr>
        <w:pStyle w:val="3Bodytext"/>
      </w:pPr>
      <w:r>
        <w:t xml:space="preserve">The 2024 Annual Report of the </w:t>
      </w:r>
      <w:r w:rsidR="003B172A">
        <w:t>Bariatric Surgery Registry</w:t>
      </w:r>
      <w:r w:rsidR="000464AA">
        <w:t xml:space="preserve"> has found declining rates of primary bariatric procedures in Australia</w:t>
      </w:r>
      <w:r w:rsidR="00C36315">
        <w:t>, w</w:t>
      </w:r>
      <w:r w:rsidR="002469C5">
        <w:t>ith</w:t>
      </w:r>
      <w:r w:rsidR="00C36315">
        <w:t xml:space="preserve"> rates having peaked in 2021</w:t>
      </w:r>
      <w:r w:rsidR="000464AA">
        <w:t>.</w:t>
      </w:r>
      <w:r w:rsidR="00B77A79">
        <w:t xml:space="preserve"> In 2024, there were 15,98</w:t>
      </w:r>
      <w:r w:rsidR="00DD0369">
        <w:t xml:space="preserve">3 completed bariatric surgery procedures, of which </w:t>
      </w:r>
      <w:r w:rsidR="001F4ECE">
        <w:t>13,141 were primary procedures</w:t>
      </w:r>
      <w:r w:rsidR="002E4DF0">
        <w:t xml:space="preserve"> (</w:t>
      </w:r>
      <w:r w:rsidR="001873F9">
        <w:t>77% sleeve gastrectomy and 22% gastric bypass)</w:t>
      </w:r>
      <w:r w:rsidR="001F4ECE">
        <w:t xml:space="preserve"> and 2,842 </w:t>
      </w:r>
      <w:r w:rsidR="001F4ECE">
        <w:lastRenderedPageBreak/>
        <w:t>were revision procedures.</w:t>
      </w:r>
      <w:r w:rsidR="00E967E9">
        <w:t xml:space="preserve"> In 2024, there were </w:t>
      </w:r>
      <w:r w:rsidR="00B77CB2">
        <w:t>17,294 bariatric procedures recorded in MBS data</w:t>
      </w:r>
      <w:r w:rsidR="002E5AF1">
        <w:t>.</w:t>
      </w:r>
      <w:r w:rsidR="00F04EE1">
        <w:t xml:space="preserve"> In 2024, </w:t>
      </w:r>
      <w:r w:rsidR="006179DA">
        <w:t xml:space="preserve">of people who underwent a primary bariatric procedure </w:t>
      </w:r>
      <w:r w:rsidR="003C0760">
        <w:t xml:space="preserve">around 79% </w:t>
      </w:r>
      <w:r w:rsidR="006179DA">
        <w:t xml:space="preserve">were female, </w:t>
      </w:r>
      <w:r w:rsidR="00F04EE1">
        <w:t>the</w:t>
      </w:r>
      <w:r w:rsidR="003C0760">
        <w:t>ir</w:t>
      </w:r>
      <w:r w:rsidR="00F04EE1">
        <w:t xml:space="preserve"> average age was </w:t>
      </w:r>
      <w:r w:rsidR="009C0F93">
        <w:t>42 years</w:t>
      </w:r>
      <w:r w:rsidR="003C0760">
        <w:t xml:space="preserve">, and around 90% had class </w:t>
      </w:r>
      <w:r w:rsidR="00170B5F">
        <w:t>2</w:t>
      </w:r>
      <w:r w:rsidR="003C0760">
        <w:t xml:space="preserve"> or </w:t>
      </w:r>
      <w:r w:rsidR="00170B5F">
        <w:t>3</w:t>
      </w:r>
      <w:r w:rsidR="003C0760">
        <w:t xml:space="preserve"> obesity</w:t>
      </w:r>
      <w:r w:rsidR="00170B5F">
        <w:t xml:space="preserve"> (i.e. </w:t>
      </w:r>
      <w:r w:rsidR="00C70028">
        <w:t xml:space="preserve">BMI </w:t>
      </w:r>
      <w:r w:rsidR="00C70028">
        <w:rPr>
          <w:rFonts w:cstheme="minorHAnsi"/>
        </w:rPr>
        <w:t>≥</w:t>
      </w:r>
      <w:r w:rsidR="00C70028">
        <w:t xml:space="preserve"> 35 kg/m</w:t>
      </w:r>
      <w:r w:rsidR="00C70028" w:rsidRPr="00360458">
        <w:rPr>
          <w:vertAlign w:val="superscript"/>
        </w:rPr>
        <w:t>2</w:t>
      </w:r>
      <w:r w:rsidR="00C70028" w:rsidRPr="0070078E">
        <w:t>)</w:t>
      </w:r>
      <w:r w:rsidR="00084BBD">
        <w:t>.</w:t>
      </w:r>
      <w:r w:rsidR="00F04EE1" w:rsidRPr="00F04EE1">
        <w:t xml:space="preserve"> </w:t>
      </w:r>
      <w:r w:rsidR="00F04EE1">
        <w:t>Funding for primary surgery in 2024 was 94.5% private</w:t>
      </w:r>
      <w:r w:rsidR="00652FD6">
        <w:t>.</w:t>
      </w:r>
      <w:r w:rsidR="00577C53">
        <w:rPr>
          <w:rStyle w:val="FootnoteReference"/>
        </w:rPr>
        <w:footnoteReference w:id="30"/>
      </w:r>
      <w:r w:rsidR="007353F3">
        <w:t xml:space="preserve"> </w:t>
      </w:r>
    </w:p>
    <w:p w14:paraId="304B818F" w14:textId="7180AD0A" w:rsidR="002C5A18" w:rsidRPr="00072E54" w:rsidRDefault="00853D60" w:rsidP="00A32885">
      <w:pPr>
        <w:pStyle w:val="3Bodytext"/>
        <w:numPr>
          <w:ilvl w:val="0"/>
          <w:numId w:val="0"/>
        </w:numPr>
        <w:rPr>
          <w:u w:val="single"/>
        </w:rPr>
      </w:pPr>
      <w:r w:rsidRPr="00072E54">
        <w:rPr>
          <w:u w:val="single"/>
        </w:rPr>
        <w:t>S</w:t>
      </w:r>
      <w:r w:rsidR="00E90413" w:rsidRPr="00072E54">
        <w:rPr>
          <w:u w:val="single"/>
        </w:rPr>
        <w:t>afety and effectiveness of bariatric surgery</w:t>
      </w:r>
    </w:p>
    <w:p w14:paraId="17034E77" w14:textId="0B1A3758" w:rsidR="009F39BC" w:rsidRDefault="009F39BC" w:rsidP="00CE5D83">
      <w:pPr>
        <w:pStyle w:val="3Bodytext"/>
      </w:pPr>
      <w:r>
        <w:t xml:space="preserve">The PBAC did not request that the Department </w:t>
      </w:r>
      <w:r w:rsidR="00F4448D">
        <w:t xml:space="preserve">undertake </w:t>
      </w:r>
      <w:r>
        <w:t xml:space="preserve">a </w:t>
      </w:r>
      <w:r w:rsidR="00F4448D">
        <w:t xml:space="preserve">systematic literature </w:t>
      </w:r>
      <w:r>
        <w:t>review of the comparative safety and effectiveness of bariatric surgery</w:t>
      </w:r>
      <w:r w:rsidR="00BC21A7">
        <w:t xml:space="preserve"> versus GLP-1 therapy. This section</w:t>
      </w:r>
      <w:r w:rsidR="00E144DA">
        <w:t>, and the following section</w:t>
      </w:r>
      <w:r w:rsidR="0084425C">
        <w:t>s</w:t>
      </w:r>
      <w:r w:rsidR="00E144DA">
        <w:t>, are</w:t>
      </w:r>
      <w:r w:rsidR="00BC21A7">
        <w:t xml:space="preserve"> intended to provide background information only.</w:t>
      </w:r>
    </w:p>
    <w:p w14:paraId="4628F03B" w14:textId="784ECD9C" w:rsidR="00CE5D83" w:rsidRPr="00CE5D83" w:rsidRDefault="00CE5D83" w:rsidP="00CE5D83">
      <w:pPr>
        <w:pStyle w:val="3Bodytext"/>
      </w:pPr>
      <w:r w:rsidRPr="00CE5D83">
        <w:t xml:space="preserve">Bariatric Surgery Registry </w:t>
      </w:r>
      <w:r w:rsidR="00B82BAE">
        <w:t xml:space="preserve">data indicate that </w:t>
      </w:r>
      <w:r w:rsidR="00FC5B3A">
        <w:t>a</w:t>
      </w:r>
      <w:r w:rsidRPr="00CE5D83">
        <w:t xml:space="preserve">verage total percentage weight loss after bariatric procedures in Australia </w:t>
      </w:r>
      <w:r w:rsidR="007D12E5">
        <w:t>i</w:t>
      </w:r>
      <w:r w:rsidRPr="00CE5D83">
        <w:t xml:space="preserve">s </w:t>
      </w:r>
      <w:r w:rsidR="007D12E5">
        <w:t xml:space="preserve">around </w:t>
      </w:r>
      <w:r w:rsidR="00127632">
        <w:t>24</w:t>
      </w:r>
      <w:r w:rsidRPr="00CE5D83">
        <w:t>-</w:t>
      </w:r>
      <w:r w:rsidR="00127632">
        <w:t>3</w:t>
      </w:r>
      <w:r w:rsidR="00923793">
        <w:t>1</w:t>
      </w:r>
      <w:r w:rsidRPr="00CE5D83">
        <w:t>% after one year and 29-35% after four years, depending on the procedure. Of patients on insulin therapy prior to bariatric surgery, 69% no longer needed insulin and 49% required no diabetes medication after one year. For patients on other diabetes medications, 71-78% of patients were off all diabetes medications by one year.</w:t>
      </w:r>
      <w:r w:rsidR="00FA4D8C">
        <w:t xml:space="preserve"> After five years, around 61%</w:t>
      </w:r>
      <w:r w:rsidR="0064543E">
        <w:t xml:space="preserve"> of patients on prior diabetes treatment, required no diabetes medications.</w:t>
      </w:r>
      <w:r w:rsidR="0064543E">
        <w:rPr>
          <w:rStyle w:val="FootnoteReference"/>
        </w:rPr>
        <w:footnoteReference w:id="31"/>
      </w:r>
      <w:r w:rsidR="002F4A79">
        <w:t xml:space="preserve"> For patients with</w:t>
      </w:r>
      <w:r w:rsidR="00B7606E">
        <w:t xml:space="preserve"> T2DM</w:t>
      </w:r>
      <w:r w:rsidR="002F4A79">
        <w:t>, bariatric surgery typically results in reductions in HbA1c of around 2%</w:t>
      </w:r>
      <w:r w:rsidR="00C03456">
        <w:t>.</w:t>
      </w:r>
      <w:r w:rsidR="00A200E0">
        <w:rPr>
          <w:rStyle w:val="FootnoteReference"/>
        </w:rPr>
        <w:footnoteReference w:id="32"/>
      </w:r>
    </w:p>
    <w:p w14:paraId="09BEC96A" w14:textId="38258F57" w:rsidR="00EE2984" w:rsidRDefault="00F57724" w:rsidP="00A005AE">
      <w:pPr>
        <w:pStyle w:val="3Bodytext"/>
      </w:pPr>
      <w:r w:rsidRPr="00CE5D83">
        <w:t xml:space="preserve">Bariatric Surgery Registry </w:t>
      </w:r>
      <w:r>
        <w:t>data show that s</w:t>
      </w:r>
      <w:r w:rsidR="00591DDD">
        <w:t xml:space="preserve">leeve </w:t>
      </w:r>
      <w:r w:rsidR="00692093">
        <w:t>gastrectomy is the most common primary metabolic bariatric surgery procedure in Australia</w:t>
      </w:r>
      <w:r w:rsidR="002A6E14">
        <w:t xml:space="preserve">, however weight loss is </w:t>
      </w:r>
      <w:r w:rsidR="00A3281B">
        <w:t>significantly better with bypass procedures</w:t>
      </w:r>
      <w:r w:rsidR="00692093">
        <w:t xml:space="preserve">. </w:t>
      </w:r>
      <w:r w:rsidR="000B46E5">
        <w:t>Of patients undergoing sleeve gastrectomy in 2023</w:t>
      </w:r>
      <w:r w:rsidR="00907F23">
        <w:t>-</w:t>
      </w:r>
      <w:r w:rsidR="000B46E5">
        <w:t>24, 1.5% reported a complication within 90 days of surgery, such as unplanned admission to ICU or readmission to hospital</w:t>
      </w:r>
      <w:r w:rsidR="0031103B">
        <w:t>, but complication rates wer</w:t>
      </w:r>
      <w:r w:rsidR="00606744">
        <w:t>e higher for bypass procedures</w:t>
      </w:r>
      <w:r w:rsidR="000B46E5">
        <w:t xml:space="preserve">. </w:t>
      </w:r>
      <w:r w:rsidR="00C21EAE">
        <w:t>3.7% of participants</w:t>
      </w:r>
      <w:r w:rsidR="000B46E5">
        <w:t xml:space="preserve"> in the Registry for which data were available,</w:t>
      </w:r>
      <w:r w:rsidR="00C21EAE">
        <w:t xml:space="preserve"> </w:t>
      </w:r>
      <w:r w:rsidR="00270BDD">
        <w:t xml:space="preserve">underwent a subsequent bariatric procedure, </w:t>
      </w:r>
      <w:r w:rsidR="00662434">
        <w:t xml:space="preserve">of which around 45% were conversion procedures. </w:t>
      </w:r>
      <w:r w:rsidR="005D0151">
        <w:t xml:space="preserve">The most common reasons for subsequent procedures were: reflux, </w:t>
      </w:r>
      <w:r w:rsidR="003B1B47">
        <w:t>stricture or stenosis</w:t>
      </w:r>
      <w:r w:rsidR="00E76D1E">
        <w:t>;</w:t>
      </w:r>
      <w:r w:rsidR="003B1B47">
        <w:t xml:space="preserve"> leak from staple line or anastomosis</w:t>
      </w:r>
      <w:r w:rsidR="00E76D1E">
        <w:t>;</w:t>
      </w:r>
      <w:r w:rsidR="003B1B47">
        <w:t xml:space="preserve"> weight regain</w:t>
      </w:r>
      <w:r w:rsidR="00E76D1E">
        <w:t>;</w:t>
      </w:r>
      <w:r w:rsidR="003B1B47">
        <w:t xml:space="preserve"> and AGB port replacement.</w:t>
      </w:r>
      <w:r w:rsidR="006C383E">
        <w:t xml:space="preserve"> Since the Registry commenced in 2012, </w:t>
      </w:r>
      <w:r w:rsidR="005965D9" w:rsidRPr="005965D9">
        <w:t>62</w:t>
      </w:r>
      <w:r w:rsidR="009B1C62">
        <w:t> </w:t>
      </w:r>
      <w:r w:rsidR="005965D9" w:rsidRPr="005965D9">
        <w:t>deaths</w:t>
      </w:r>
      <w:r w:rsidR="006C383E">
        <w:t xml:space="preserve"> have been recorded</w:t>
      </w:r>
      <w:r w:rsidR="005965D9" w:rsidRPr="005965D9">
        <w:t xml:space="preserve"> within 90-days of a primary or revision procedure </w:t>
      </w:r>
      <w:r w:rsidR="00191E7D">
        <w:t>out of</w:t>
      </w:r>
      <w:r w:rsidR="005965D9" w:rsidRPr="005965D9">
        <w:t xml:space="preserve"> 179,690 Australian procedures.</w:t>
      </w:r>
      <w:r w:rsidR="005642F2">
        <w:rPr>
          <w:rStyle w:val="FootnoteReference"/>
        </w:rPr>
        <w:footnoteReference w:id="33"/>
      </w:r>
      <w:r w:rsidR="00A005AE">
        <w:t xml:space="preserve"> </w:t>
      </w:r>
      <w:r w:rsidR="00EE2984">
        <w:t>Bariatric surgery is also associated with micronutrient deficiencies</w:t>
      </w:r>
      <w:r w:rsidR="00A005AE">
        <w:t xml:space="preserve"> and dumping syndrome.</w:t>
      </w:r>
    </w:p>
    <w:p w14:paraId="49D2DA1A" w14:textId="7960B9E1" w:rsidR="009A0739" w:rsidRDefault="00EA5EF3" w:rsidP="002F4A79">
      <w:pPr>
        <w:pStyle w:val="3Bodytext"/>
      </w:pPr>
      <w:r>
        <w:lastRenderedPageBreak/>
        <w:t xml:space="preserve">A systematic review and meta-analysis of </w:t>
      </w:r>
      <w:r w:rsidR="00EC42FB">
        <w:t>the effects of bariatric surgery on</w:t>
      </w:r>
      <w:r w:rsidR="0013653E">
        <w:t xml:space="preserve"> CVD outcomes</w:t>
      </w:r>
      <w:r w:rsidR="00EC42FB">
        <w:t xml:space="preserve"> </w:t>
      </w:r>
      <w:r w:rsidR="0013653E">
        <w:t xml:space="preserve">and mortality, </w:t>
      </w:r>
      <w:r w:rsidR="00067032">
        <w:t xml:space="preserve">identified 49 studies </w:t>
      </w:r>
      <w:r w:rsidR="00355524">
        <w:t>in adult patients with BMI &gt;</w:t>
      </w:r>
      <w:r w:rsidR="00782572">
        <w:t>30 kg/m</w:t>
      </w:r>
      <w:r w:rsidR="00782572" w:rsidRPr="00782572">
        <w:rPr>
          <w:vertAlign w:val="superscript"/>
        </w:rPr>
        <w:t>2</w:t>
      </w:r>
      <w:r w:rsidR="00782572">
        <w:t xml:space="preserve">, </w:t>
      </w:r>
      <w:r w:rsidR="00067032">
        <w:t xml:space="preserve">and </w:t>
      </w:r>
      <w:r w:rsidR="00367628">
        <w:t xml:space="preserve">concluded that bariatric surgery </w:t>
      </w:r>
      <w:r w:rsidR="00DB793C">
        <w:t xml:space="preserve">showed </w:t>
      </w:r>
      <w:r w:rsidR="00ED5055">
        <w:t>significant</w:t>
      </w:r>
      <w:r w:rsidR="00DB793C">
        <w:t xml:space="preserve"> benefits for coronary artery disease</w:t>
      </w:r>
      <w:r w:rsidR="00952F37">
        <w:t xml:space="preserve"> (HR 0.68; </w:t>
      </w:r>
      <w:r w:rsidR="001248CC">
        <w:t>95% CI: 0.52-0.91)</w:t>
      </w:r>
      <w:r w:rsidR="00DB793C">
        <w:t>, myocardial infarction (MI)</w:t>
      </w:r>
      <w:r w:rsidR="001248CC">
        <w:t xml:space="preserve"> (HR </w:t>
      </w:r>
      <w:r w:rsidR="00693400">
        <w:t>0.53; 95% CI: 0.44-0.64)</w:t>
      </w:r>
      <w:r w:rsidR="00ED5055">
        <w:t xml:space="preserve">, </w:t>
      </w:r>
      <w:r w:rsidR="00CA1FE8">
        <w:t>heart failure (</w:t>
      </w:r>
      <w:r w:rsidR="00ED5055">
        <w:t>HF</w:t>
      </w:r>
      <w:r w:rsidR="00CA1FE8">
        <w:t>)</w:t>
      </w:r>
      <w:r w:rsidR="00C2688D">
        <w:t xml:space="preserve"> (HR 0.45; 95% CI: </w:t>
      </w:r>
      <w:r w:rsidR="00926E05">
        <w:t>0.37-0.55)</w:t>
      </w:r>
      <w:r w:rsidR="00ED5055">
        <w:t xml:space="preserve">, cerebrovascular accident </w:t>
      </w:r>
      <w:r w:rsidR="00926E05">
        <w:t xml:space="preserve">(HR 0.68; 95% CI: 0.59-0.78) </w:t>
      </w:r>
      <w:r w:rsidR="00ED5055">
        <w:t>and CV mortality</w:t>
      </w:r>
      <w:r w:rsidR="00926E05">
        <w:t xml:space="preserve"> (HR </w:t>
      </w:r>
      <w:r w:rsidR="00EE6EAC">
        <w:t>0.48; 95% CI: 0.40-0.57)</w:t>
      </w:r>
      <w:r w:rsidR="00952F37">
        <w:t>.</w:t>
      </w:r>
      <w:r w:rsidR="008159F9">
        <w:rPr>
          <w:rStyle w:val="FootnoteReference"/>
        </w:rPr>
        <w:footnoteReference w:id="34"/>
      </w:r>
      <w:r w:rsidR="00ED5055">
        <w:t xml:space="preserve"> </w:t>
      </w:r>
      <w:r w:rsidR="00EC42FB">
        <w:t>One</w:t>
      </w:r>
      <w:r w:rsidR="008258C7">
        <w:t xml:space="preserve"> US </w:t>
      </w:r>
      <w:r w:rsidR="00314F69">
        <w:t>st</w:t>
      </w:r>
      <w:r w:rsidR="008258C7">
        <w:t xml:space="preserve">udy considering matched surgical and non-surgical patients between 1998 and 2017, found that </w:t>
      </w:r>
      <w:r w:rsidR="00352FF4">
        <w:t>bariatric surgery</w:t>
      </w:r>
      <w:r w:rsidR="00596AD9">
        <w:t xml:space="preserve"> </w:t>
      </w:r>
      <w:r w:rsidR="008258C7">
        <w:t>in</w:t>
      </w:r>
      <w:r w:rsidR="00596AD9">
        <w:t xml:space="preserve"> patients with </w:t>
      </w:r>
      <w:r w:rsidR="00CA1FE8">
        <w:t xml:space="preserve">T2DM </w:t>
      </w:r>
      <w:r w:rsidR="00596AD9">
        <w:t>and obesity</w:t>
      </w:r>
      <w:r w:rsidR="00352FF4">
        <w:t xml:space="preserve"> </w:t>
      </w:r>
      <w:r w:rsidR="008258C7">
        <w:t>wa</w:t>
      </w:r>
      <w:r w:rsidR="00352FF4">
        <w:t xml:space="preserve">s </w:t>
      </w:r>
      <w:r w:rsidR="00E610D7">
        <w:t xml:space="preserve">associated with </w:t>
      </w:r>
      <w:r w:rsidR="00596AD9">
        <w:t xml:space="preserve">a lower </w:t>
      </w:r>
      <w:r w:rsidR="008258C7">
        <w:t xml:space="preserve">risk of </w:t>
      </w:r>
      <w:r w:rsidR="005B1421">
        <w:t xml:space="preserve">major adverse cardiovascular outcomes (MACE) with all </w:t>
      </w:r>
      <w:r w:rsidR="005B1421" w:rsidRPr="005B1421">
        <w:t>prespecified secondary outcomes show</w:t>
      </w:r>
      <w:r w:rsidR="003917DC">
        <w:t>ing</w:t>
      </w:r>
      <w:r w:rsidR="005B1421" w:rsidRPr="005B1421">
        <w:t xml:space="preserve"> statistically significant differences in favo</w:t>
      </w:r>
      <w:r w:rsidR="005B1421">
        <w:t>u</w:t>
      </w:r>
      <w:r w:rsidR="005B1421" w:rsidRPr="005B1421">
        <w:t xml:space="preserve">r of surgery, including </w:t>
      </w:r>
      <w:r w:rsidR="005B40D5">
        <w:t xml:space="preserve">all-cause </w:t>
      </w:r>
      <w:r w:rsidR="005B1421" w:rsidRPr="005B1421">
        <w:t>mortality</w:t>
      </w:r>
      <w:r w:rsidR="00594D8C">
        <w:t xml:space="preserve"> (adjusted HR 0.59</w:t>
      </w:r>
      <w:r w:rsidR="00EF1A72">
        <w:t xml:space="preserve">; </w:t>
      </w:r>
      <w:r w:rsidR="00594D8C">
        <w:t>95% CI: 0.48-0.72</w:t>
      </w:r>
      <w:r w:rsidR="009900F0">
        <w:t>) at eight years</w:t>
      </w:r>
      <w:r w:rsidR="005B1421" w:rsidRPr="005B1421">
        <w:t>.</w:t>
      </w:r>
      <w:r w:rsidR="009900F0">
        <w:rPr>
          <w:rStyle w:val="FootnoteReference"/>
        </w:rPr>
        <w:footnoteReference w:id="35"/>
      </w:r>
      <w:r w:rsidR="00685042">
        <w:t xml:space="preserve"> A retrospective, </w:t>
      </w:r>
      <w:r w:rsidR="00C549BA">
        <w:t xml:space="preserve">matched, controlled cohort study of UK patients </w:t>
      </w:r>
      <w:r w:rsidR="00E37CB7">
        <w:t xml:space="preserve">similarly </w:t>
      </w:r>
      <w:r w:rsidR="00C549BA">
        <w:t xml:space="preserve">found that bariatric surgery was associated with a </w:t>
      </w:r>
      <w:r w:rsidR="00EF1A72">
        <w:t xml:space="preserve">significant </w:t>
      </w:r>
      <w:r w:rsidR="00E21951">
        <w:t>reduction in all-cause mortality (</w:t>
      </w:r>
      <w:r w:rsidR="00E21951" w:rsidRPr="00E21951">
        <w:t>adjusted HR 0·70</w:t>
      </w:r>
      <w:r w:rsidR="00EF1A72">
        <w:t xml:space="preserve">; </w:t>
      </w:r>
      <w:r w:rsidR="00E21951" w:rsidRPr="00E21951">
        <w:t xml:space="preserve"> </w:t>
      </w:r>
      <w:r w:rsidR="00EF1A72">
        <w:t xml:space="preserve">95% CI: </w:t>
      </w:r>
      <w:r w:rsidR="00E21951" w:rsidRPr="00E21951">
        <w:t>0·55</w:t>
      </w:r>
      <w:r w:rsidR="004A0D3F">
        <w:t>-</w:t>
      </w:r>
      <w:r w:rsidR="00E21951" w:rsidRPr="00E21951">
        <w:t>0·89</w:t>
      </w:r>
      <w:r w:rsidR="00EF1A72">
        <w:t xml:space="preserve">), as well as significantly reduced </w:t>
      </w:r>
      <w:r w:rsidR="00C549BA">
        <w:t>risk of hypertension</w:t>
      </w:r>
      <w:r w:rsidR="0026151A">
        <w:t xml:space="preserve"> and </w:t>
      </w:r>
      <w:r w:rsidR="00633BFD">
        <w:t>HF</w:t>
      </w:r>
      <w:r w:rsidR="0026151A">
        <w:t>. A significantly reduced risk of CV</w:t>
      </w:r>
      <w:r w:rsidR="003637B4">
        <w:t xml:space="preserve">D was noted only for the gastric bypass group but did not reach statistical significance for all </w:t>
      </w:r>
      <w:r w:rsidR="00FE0A27">
        <w:t>bariatric</w:t>
      </w:r>
      <w:r w:rsidR="003637B4">
        <w:t xml:space="preserve"> surgery</w:t>
      </w:r>
      <w:r w:rsidR="00FE0A27">
        <w:t xml:space="preserve"> procedures (</w:t>
      </w:r>
      <w:r w:rsidR="00FE0A27" w:rsidRPr="00FE0A27">
        <w:t xml:space="preserve">adjusted HR 0·80; 95 </w:t>
      </w:r>
      <w:r w:rsidR="00FE0A27">
        <w:t xml:space="preserve">% CI: </w:t>
      </w:r>
      <w:r w:rsidR="00FE0A27" w:rsidRPr="00FE0A27">
        <w:t>0·62</w:t>
      </w:r>
      <w:r w:rsidR="004A0D3F">
        <w:t>-</w:t>
      </w:r>
      <w:r w:rsidR="00FE0A27" w:rsidRPr="00FE0A27">
        <w:t>1·02; P = 0·074</w:t>
      </w:r>
      <w:r w:rsidR="008E3AC4">
        <w:t>).</w:t>
      </w:r>
      <w:r w:rsidR="009477EA">
        <w:rPr>
          <w:rStyle w:val="FootnoteReference"/>
        </w:rPr>
        <w:footnoteReference w:id="36"/>
      </w:r>
    </w:p>
    <w:p w14:paraId="57021CBE" w14:textId="1DE3B52B" w:rsidR="00785389" w:rsidRPr="000741A6" w:rsidRDefault="00785389" w:rsidP="00DC1956">
      <w:pPr>
        <w:pStyle w:val="3Bodytext"/>
        <w:numPr>
          <w:ilvl w:val="0"/>
          <w:numId w:val="0"/>
        </w:numPr>
        <w:rPr>
          <w:u w:val="single"/>
        </w:rPr>
      </w:pPr>
      <w:r w:rsidRPr="000741A6">
        <w:rPr>
          <w:u w:val="single"/>
        </w:rPr>
        <w:t>Comparative</w:t>
      </w:r>
      <w:r w:rsidR="000741A6" w:rsidRPr="000741A6">
        <w:rPr>
          <w:u w:val="single"/>
        </w:rPr>
        <w:t xml:space="preserve"> effectiveness </w:t>
      </w:r>
      <w:r w:rsidR="00526A2B">
        <w:rPr>
          <w:u w:val="single"/>
        </w:rPr>
        <w:t xml:space="preserve">of bariatric surgery </w:t>
      </w:r>
      <w:r w:rsidR="000741A6" w:rsidRPr="000741A6">
        <w:rPr>
          <w:u w:val="single"/>
        </w:rPr>
        <w:t>versus GLP-1s</w:t>
      </w:r>
    </w:p>
    <w:p w14:paraId="422CA771" w14:textId="5903D7B0" w:rsidR="00660F5B" w:rsidRDefault="00833B8B" w:rsidP="00DC1956">
      <w:pPr>
        <w:pStyle w:val="3Bodytext"/>
      </w:pPr>
      <w:r>
        <w:t xml:space="preserve">Most </w:t>
      </w:r>
      <w:r w:rsidR="001E2187">
        <w:t>studies</w:t>
      </w:r>
      <w:r>
        <w:t xml:space="preserve"> comparing GL</w:t>
      </w:r>
      <w:r w:rsidR="001E2187">
        <w:t>P</w:t>
      </w:r>
      <w:r>
        <w:t>-1</w:t>
      </w:r>
      <w:r w:rsidR="001E2187">
        <w:t xml:space="preserve">s to bariatric surgery </w:t>
      </w:r>
      <w:r w:rsidR="00BF0302">
        <w:t>have concluded that metabolic bariatric surgery results in greater weight loss</w:t>
      </w:r>
      <w:r w:rsidR="00DC1956">
        <w:t xml:space="preserve">, </w:t>
      </w:r>
      <w:r w:rsidR="00DC1956" w:rsidRPr="00DC1956">
        <w:t>noting that these studies generally pooled results across GLP-1s and included patients on early generation GLP-1s that are associated with lower mean weight loss</w:t>
      </w:r>
      <w:r w:rsidR="006A7641">
        <w:t>.</w:t>
      </w:r>
      <w:r w:rsidR="00BF29EF">
        <w:rPr>
          <w:rStyle w:val="FootnoteReference"/>
        </w:rPr>
        <w:footnoteReference w:id="37"/>
      </w:r>
      <w:r w:rsidR="008309F9" w:rsidRPr="008309F9">
        <w:rPr>
          <w:vertAlign w:val="superscript"/>
        </w:rPr>
        <w:t>,</w:t>
      </w:r>
      <w:r w:rsidR="001E2187">
        <w:rPr>
          <w:rStyle w:val="FootnoteReference"/>
        </w:rPr>
        <w:footnoteReference w:id="38"/>
      </w:r>
      <w:r w:rsidR="00BA4EBD">
        <w:t xml:space="preserve"> </w:t>
      </w:r>
    </w:p>
    <w:p w14:paraId="51B02AA5" w14:textId="2807C5FC" w:rsidR="00D171B2" w:rsidRDefault="00BA4EBD" w:rsidP="003B1B47">
      <w:pPr>
        <w:pStyle w:val="3Bodytext"/>
      </w:pPr>
      <w:r>
        <w:t xml:space="preserve">One study </w:t>
      </w:r>
      <w:r w:rsidR="00F86E68">
        <w:t xml:space="preserve">that considered </w:t>
      </w:r>
      <w:r w:rsidR="00F152B6">
        <w:t xml:space="preserve">the effects of GLP-1s </w:t>
      </w:r>
      <w:r w:rsidR="00C577FD">
        <w:t xml:space="preserve">(primarily liraglutide) </w:t>
      </w:r>
      <w:r w:rsidR="00F152B6">
        <w:t xml:space="preserve">versus bariatric surgery on </w:t>
      </w:r>
      <w:r w:rsidR="00F86E68">
        <w:t xml:space="preserve">rates on obesity-related cancers </w:t>
      </w:r>
      <w:r w:rsidR="00880407">
        <w:t xml:space="preserve">for adults with obesity and diabetes </w:t>
      </w:r>
      <w:r w:rsidR="0094552B">
        <w:t>found similar rates between the two groups despite the greater weight loss benefits of bariatric surgery</w:t>
      </w:r>
      <w:r w:rsidR="004043CA">
        <w:t xml:space="preserve">, and </w:t>
      </w:r>
      <w:r w:rsidR="0010291A">
        <w:t xml:space="preserve">concluded that </w:t>
      </w:r>
      <w:r w:rsidR="004043CA">
        <w:t xml:space="preserve">GLP-1s may work through a different pathway than </w:t>
      </w:r>
      <w:r w:rsidR="00703CBD">
        <w:t>weight loss alone to decrease the risk of obesity-related cancers.</w:t>
      </w:r>
      <w:r w:rsidR="003C7973">
        <w:rPr>
          <w:rStyle w:val="FootnoteReference"/>
        </w:rPr>
        <w:footnoteReference w:id="39"/>
      </w:r>
    </w:p>
    <w:p w14:paraId="647FF8AC" w14:textId="0232C9B2" w:rsidR="0051578D" w:rsidRDefault="007306EC" w:rsidP="003B1B47">
      <w:pPr>
        <w:pStyle w:val="3Bodytext"/>
      </w:pPr>
      <w:r>
        <w:lastRenderedPageBreak/>
        <w:t xml:space="preserve">One study </w:t>
      </w:r>
      <w:r w:rsidR="00861761">
        <w:t xml:space="preserve">using real-world </w:t>
      </w:r>
      <w:r w:rsidR="00B54BD7">
        <w:t xml:space="preserve">administrative </w:t>
      </w:r>
      <w:r w:rsidR="00B14BC8">
        <w:t xml:space="preserve">health </w:t>
      </w:r>
      <w:r w:rsidR="00861761">
        <w:t>data</w:t>
      </w:r>
      <w:r w:rsidR="00B54BD7">
        <w:t xml:space="preserve"> (TriNetX data)</w:t>
      </w:r>
      <w:r w:rsidR="00861761">
        <w:t xml:space="preserve"> </w:t>
      </w:r>
      <w:r>
        <w:t xml:space="preserve">that considered comparative </w:t>
      </w:r>
      <w:r w:rsidR="00D4635A">
        <w:t>cardiovascular (CV)</w:t>
      </w:r>
      <w:r>
        <w:t xml:space="preserve"> outcomes</w:t>
      </w:r>
      <w:r w:rsidR="003246B1">
        <w:t xml:space="preserve"> concluded that there was a lower risk of adverse CV outcomes, </w:t>
      </w:r>
      <w:r w:rsidR="00BF066A">
        <w:t>coronary artery disease, cerebrovascular disease and incident HF afte</w:t>
      </w:r>
      <w:r w:rsidR="00E0646A">
        <w:t>r</w:t>
      </w:r>
      <w:r w:rsidR="00BF066A">
        <w:t xml:space="preserve"> metabolic bariatric surgery versus GLP-1 therapy</w:t>
      </w:r>
      <w:r w:rsidR="00406E0D">
        <w:t xml:space="preserve"> for </w:t>
      </w:r>
      <w:r w:rsidR="00406E0D" w:rsidRPr="552F56DA">
        <w:t>≥2 years</w:t>
      </w:r>
      <w:r w:rsidR="00BF066A">
        <w:t xml:space="preserve"> in </w:t>
      </w:r>
      <w:r w:rsidR="00E0646A">
        <w:t xml:space="preserve">adults with BMI </w:t>
      </w:r>
      <w:r w:rsidR="00617382" w:rsidRPr="552F56DA">
        <w:t>≥</w:t>
      </w:r>
      <w:r w:rsidR="00E0646A">
        <w:t>35</w:t>
      </w:r>
      <w:r w:rsidR="00617382">
        <w:t> </w:t>
      </w:r>
      <w:r w:rsidR="00E0646A">
        <w:t>kg/m</w:t>
      </w:r>
      <w:r w:rsidR="00E0646A" w:rsidRPr="008C06C2">
        <w:rPr>
          <w:vertAlign w:val="superscript"/>
        </w:rPr>
        <w:t>2</w:t>
      </w:r>
      <w:r w:rsidR="00406E0D">
        <w:t>.</w:t>
      </w:r>
      <w:r w:rsidR="008C06C2">
        <w:rPr>
          <w:rStyle w:val="FootnoteReference"/>
        </w:rPr>
        <w:footnoteReference w:id="40"/>
      </w:r>
      <w:r w:rsidR="00E0646A">
        <w:t xml:space="preserve"> </w:t>
      </w:r>
      <w:r w:rsidR="00B26A11">
        <w:t xml:space="preserve">Another </w:t>
      </w:r>
      <w:r w:rsidR="00607EB9">
        <w:t xml:space="preserve">observational </w:t>
      </w:r>
      <w:r w:rsidR="00B26A11">
        <w:t xml:space="preserve">study considering comparative effects of metabolic </w:t>
      </w:r>
      <w:r w:rsidR="007E7ACD">
        <w:t>bariatric</w:t>
      </w:r>
      <w:r w:rsidR="00B26A11">
        <w:t xml:space="preserve"> surgery versus GLP-1s </w:t>
      </w:r>
      <w:r w:rsidR="00D673F2">
        <w:t xml:space="preserve">in patients with type 2 diabetes and obesity </w:t>
      </w:r>
      <w:r w:rsidR="00B26A11">
        <w:t xml:space="preserve">on microvascular and macrovascular outcomes also </w:t>
      </w:r>
      <w:r w:rsidR="00510CD2">
        <w:t>found a reduced incidence of all</w:t>
      </w:r>
      <w:r w:rsidR="61D72AA6">
        <w:t>-</w:t>
      </w:r>
      <w:r w:rsidR="00510CD2">
        <w:t>cause mortality (adjust HR</w:t>
      </w:r>
      <w:r w:rsidR="007E7ACD">
        <w:t xml:space="preserve"> 0.68; 95% CI: </w:t>
      </w:r>
      <w:r w:rsidR="00C327E6">
        <w:t xml:space="preserve">0.48-0.96) and </w:t>
      </w:r>
      <w:r w:rsidR="008F6C51">
        <w:t>significantly</w:t>
      </w:r>
      <w:r w:rsidR="00C327E6">
        <w:t xml:space="preserve"> lower risks for MACE, nep</w:t>
      </w:r>
      <w:r w:rsidR="008F6C51">
        <w:t>h</w:t>
      </w:r>
      <w:r w:rsidR="00C327E6">
        <w:t xml:space="preserve">ropathy and </w:t>
      </w:r>
      <w:r w:rsidR="008F6C51">
        <w:t>retinopathy</w:t>
      </w:r>
      <w:r w:rsidR="007E7ACD">
        <w:t xml:space="preserve"> </w:t>
      </w:r>
      <w:r w:rsidR="008F6C51">
        <w:t>with</w:t>
      </w:r>
      <w:r w:rsidR="007E7ACD">
        <w:t xml:space="preserve"> bariatric surgery</w:t>
      </w:r>
      <w:r w:rsidR="0042109F">
        <w:t xml:space="preserve">. The study concluded that bariatric surgery was superior to </w:t>
      </w:r>
      <w:r w:rsidR="003846F7">
        <w:t>early generation GLP-1s and that comparative studies with newer GLP-1s</w:t>
      </w:r>
      <w:r w:rsidR="00981B0C">
        <w:t xml:space="preserve"> with more effective weight reduction</w:t>
      </w:r>
      <w:r w:rsidR="003846F7">
        <w:t xml:space="preserve"> were warranted.</w:t>
      </w:r>
      <w:r w:rsidR="002566D5">
        <w:rPr>
          <w:rStyle w:val="FootnoteReference"/>
        </w:rPr>
        <w:footnoteReference w:id="41"/>
      </w:r>
    </w:p>
    <w:p w14:paraId="786AA22C" w14:textId="277C1912" w:rsidR="00B83964" w:rsidRDefault="00B83964" w:rsidP="003B1B47">
      <w:pPr>
        <w:pStyle w:val="3Bodytext"/>
      </w:pPr>
      <w:r>
        <w:t xml:space="preserve">An observational, retrospective cohort study found </w:t>
      </w:r>
      <w:r w:rsidR="00C041E2">
        <w:t>a lower risk of incident</w:t>
      </w:r>
      <w:r w:rsidR="00922EC6">
        <w:t xml:space="preserve"> </w:t>
      </w:r>
      <w:r w:rsidR="00C041E2">
        <w:t xml:space="preserve">congestive heart failure </w:t>
      </w:r>
      <w:r w:rsidR="009E671E">
        <w:t>for adults with diabetes and obesity</w:t>
      </w:r>
      <w:r w:rsidR="00C041E2">
        <w:t xml:space="preserve"> with metabolic bariatric surgery than GLP-1 use</w:t>
      </w:r>
      <w:r w:rsidR="009F7BD4">
        <w:t xml:space="preserve"> (adjusted HR</w:t>
      </w:r>
      <w:r w:rsidR="00526A2B">
        <w:t xml:space="preserve"> 0.43; 95% CI: 0.27-0.68)</w:t>
      </w:r>
      <w:r w:rsidR="00C041E2">
        <w:t>.</w:t>
      </w:r>
      <w:r w:rsidR="00D270E5">
        <w:t xml:space="preserve"> Patients were</w:t>
      </w:r>
      <w:r w:rsidR="005836F0">
        <w:t xml:space="preserve"> identified who initiated therapy between 20</w:t>
      </w:r>
      <w:r w:rsidR="00911782">
        <w:t>1</w:t>
      </w:r>
      <w:r w:rsidR="005836F0">
        <w:t>8 and 2021</w:t>
      </w:r>
      <w:r w:rsidR="00526A2B">
        <w:t>,</w:t>
      </w:r>
      <w:r w:rsidR="003B4503">
        <w:t xml:space="preserve"> and were</w:t>
      </w:r>
      <w:r w:rsidR="00D270E5">
        <w:t xml:space="preserve"> followed for a median of 6.6 years.</w:t>
      </w:r>
      <w:r w:rsidR="009E671E">
        <w:t xml:space="preserve"> </w:t>
      </w:r>
      <w:r w:rsidR="00B13439">
        <w:t xml:space="preserve">The effect was maintained after adjusting for </w:t>
      </w:r>
      <w:r w:rsidR="007C1DF2">
        <w:t xml:space="preserve">weight reduction, indicating that the effect was not mediated through the greater weight reduction associated with </w:t>
      </w:r>
      <w:r w:rsidR="00134C5A">
        <w:t xml:space="preserve">bariatric surgery. </w:t>
      </w:r>
      <w:r w:rsidR="003B4503">
        <w:t xml:space="preserve">The study concluded that comparative longer-term studies </w:t>
      </w:r>
      <w:r w:rsidR="002E7D47">
        <w:t>for newer generation GLP-1s were warranted.</w:t>
      </w:r>
      <w:r w:rsidR="002E7D47">
        <w:rPr>
          <w:rStyle w:val="FootnoteReference"/>
        </w:rPr>
        <w:footnoteReference w:id="42"/>
      </w:r>
    </w:p>
    <w:p w14:paraId="57812076" w14:textId="77985CF8" w:rsidR="00853D60" w:rsidRPr="005D1499" w:rsidRDefault="0052394D" w:rsidP="0052394D">
      <w:pPr>
        <w:pStyle w:val="3Bodytext"/>
        <w:keepNext/>
        <w:keepLines/>
        <w:numPr>
          <w:ilvl w:val="0"/>
          <w:numId w:val="0"/>
        </w:numPr>
        <w:rPr>
          <w:u w:val="single"/>
        </w:rPr>
      </w:pPr>
      <w:r>
        <w:rPr>
          <w:rFonts w:cstheme="minorHAnsi"/>
          <w:u w:val="single"/>
        </w:rPr>
        <w:t xml:space="preserve">Use of metabolic bariatric surgery </w:t>
      </w:r>
      <w:r w:rsidR="0070320D">
        <w:rPr>
          <w:rFonts w:cstheme="minorHAnsi"/>
          <w:u w:val="single"/>
        </w:rPr>
        <w:t xml:space="preserve">with </w:t>
      </w:r>
      <w:r w:rsidR="00853D60" w:rsidRPr="005D1499">
        <w:rPr>
          <w:rFonts w:cstheme="minorHAnsi"/>
          <w:u w:val="single"/>
        </w:rPr>
        <w:t>GLP-1 therapy</w:t>
      </w:r>
    </w:p>
    <w:p w14:paraId="24298B38" w14:textId="11AF01DC" w:rsidR="0024222C" w:rsidRPr="0024222C" w:rsidRDefault="00853D60" w:rsidP="0052394D">
      <w:pPr>
        <w:pStyle w:val="3Bodytext"/>
        <w:keepNext/>
        <w:keepLines/>
      </w:pPr>
      <w:r>
        <w:rPr>
          <w:rFonts w:cstheme="minorHAnsi"/>
        </w:rPr>
        <w:t>In the USA, one study found that 14% of patients who had undergone bariatric surgery commenced a GLP-1 within 5 years of surgery, with GLP-1 initiation greater among those who had sleeve gastrectomy, those with</w:t>
      </w:r>
      <w:r w:rsidR="00544A57">
        <w:rPr>
          <w:rFonts w:cstheme="minorHAnsi"/>
        </w:rPr>
        <w:t xml:space="preserve"> T2DM</w:t>
      </w:r>
      <w:r>
        <w:rPr>
          <w:rFonts w:cstheme="minorHAnsi"/>
        </w:rPr>
        <w:t>, and those who experienced less post-surgical weight loss.</w:t>
      </w:r>
      <w:r>
        <w:rPr>
          <w:rStyle w:val="FootnoteReference"/>
          <w:rFonts w:cstheme="minorHAnsi"/>
        </w:rPr>
        <w:footnoteReference w:id="43"/>
      </w:r>
      <w:r>
        <w:rPr>
          <w:rFonts w:cstheme="minorHAnsi"/>
        </w:rPr>
        <w:t xml:space="preserve"> </w:t>
      </w:r>
    </w:p>
    <w:p w14:paraId="50DCA45F" w14:textId="77777777" w:rsidR="00B67E53" w:rsidRPr="00B67E53" w:rsidRDefault="00853D60" w:rsidP="00853D60">
      <w:pPr>
        <w:pStyle w:val="3Bodytext"/>
      </w:pPr>
      <w:r>
        <w:rPr>
          <w:rFonts w:cstheme="minorHAnsi"/>
        </w:rPr>
        <w:t>The Australian Bariatric Surgery Registry indicates that there are declining rates of bariatric revision procedures, which have been suggested to be due to increasing use of pharmaceutical weight loss options for these patients rather than opting for bypass surgeries.</w:t>
      </w:r>
      <w:r>
        <w:rPr>
          <w:rStyle w:val="FootnoteReference"/>
          <w:rFonts w:cstheme="minorHAnsi"/>
        </w:rPr>
        <w:footnoteReference w:id="44"/>
      </w:r>
      <w:r>
        <w:rPr>
          <w:rFonts w:cstheme="minorHAnsi"/>
        </w:rPr>
        <w:t xml:space="preserve"> </w:t>
      </w:r>
    </w:p>
    <w:p w14:paraId="5F384469" w14:textId="1DFD0771" w:rsidR="00DC09A0" w:rsidRPr="0070078E" w:rsidRDefault="004E0161" w:rsidP="000E35D2">
      <w:pPr>
        <w:pStyle w:val="3Bodytext"/>
        <w:rPr>
          <w:rFonts w:cstheme="minorHAnsi"/>
          <w:u w:val="single"/>
        </w:rPr>
      </w:pPr>
      <w:r w:rsidRPr="552F56DA">
        <w:t xml:space="preserve">A systematic review and meta-analysis </w:t>
      </w:r>
      <w:r w:rsidR="00543EA4" w:rsidRPr="552F56DA">
        <w:t xml:space="preserve">of the </w:t>
      </w:r>
      <w:r w:rsidR="004B1BE4" w:rsidRPr="552F56DA">
        <w:t>safety</w:t>
      </w:r>
      <w:r w:rsidR="00543EA4" w:rsidRPr="552F56DA">
        <w:t xml:space="preserve"> and effectiveness of GLP-1</w:t>
      </w:r>
      <w:r w:rsidR="0035529B" w:rsidRPr="552F56DA">
        <w:t xml:space="preserve"> use</w:t>
      </w:r>
      <w:r w:rsidR="00543EA4" w:rsidRPr="552F56DA">
        <w:t xml:space="preserve"> </w:t>
      </w:r>
      <w:r w:rsidR="00B658D6" w:rsidRPr="552F56DA">
        <w:t xml:space="preserve">(liraglutide </w:t>
      </w:r>
      <w:r w:rsidR="0035529B" w:rsidRPr="552F56DA">
        <w:t>daily</w:t>
      </w:r>
      <w:r w:rsidR="00B658D6" w:rsidRPr="552F56DA">
        <w:t xml:space="preserve"> 3 mg or </w:t>
      </w:r>
      <w:r w:rsidR="0035529B" w:rsidRPr="552F56DA">
        <w:t xml:space="preserve">semaglutide 1 mg once-weekly) </w:t>
      </w:r>
      <w:r w:rsidR="00543EA4" w:rsidRPr="552F56DA">
        <w:t xml:space="preserve">in patients </w:t>
      </w:r>
      <w:r w:rsidR="004B1BE4" w:rsidRPr="552F56DA">
        <w:t xml:space="preserve">with weight </w:t>
      </w:r>
      <w:r w:rsidR="004B1BE4" w:rsidRPr="552F56DA">
        <w:lastRenderedPageBreak/>
        <w:t>regain or insufficient weight loss after bariatric surgery concluded that GLP</w:t>
      </w:r>
      <w:r w:rsidR="00B658D6" w:rsidRPr="552F56DA">
        <w:t>-1</w:t>
      </w:r>
      <w:r w:rsidR="00CA13E3" w:rsidRPr="552F56DA">
        <w:t>s</w:t>
      </w:r>
      <w:r w:rsidR="00B658D6" w:rsidRPr="552F56DA">
        <w:t xml:space="preserve"> were safe and effective</w:t>
      </w:r>
      <w:r w:rsidR="004B1BE4" w:rsidRPr="552F56DA">
        <w:t>.</w:t>
      </w:r>
      <w:r w:rsidR="006C6F8C" w:rsidRPr="552F56DA">
        <w:rPr>
          <w:rStyle w:val="FootnoteReference"/>
        </w:rPr>
        <w:footnoteReference w:id="45"/>
      </w:r>
      <w:r w:rsidR="004B1BE4" w:rsidRPr="552F56DA">
        <w:t xml:space="preserve"> One included trial, t</w:t>
      </w:r>
      <w:r w:rsidR="00853D60" w:rsidRPr="552F56DA">
        <w:t>he BARI-OPTIMISE trial, a small placebo</w:t>
      </w:r>
      <w:r w:rsidR="7089642E" w:rsidRPr="552F56DA">
        <w:t xml:space="preserve"> </w:t>
      </w:r>
      <w:r w:rsidR="00FE5E89">
        <w:rPr>
          <w:rFonts w:cstheme="minorHAnsi"/>
        </w:rPr>
        <w:noBreakHyphen/>
      </w:r>
      <w:r w:rsidR="00853D60" w:rsidRPr="552F56DA">
        <w:t>controlled RCT of once-daily liraglutide 3</w:t>
      </w:r>
      <w:r w:rsidR="00B67E53" w:rsidRPr="552F56DA">
        <w:t> </w:t>
      </w:r>
      <w:r w:rsidR="00853D60" w:rsidRPr="552F56DA">
        <w:t xml:space="preserve">mg for patients with poor weight loss following bariatric surgery (≤20% after one year from surgery) demonstrated that liraglutide treatment resulted in a mean difference in percentage body weight of around </w:t>
      </w:r>
      <w:r w:rsidR="00512AF6" w:rsidRPr="552F56DA">
        <w:t>-</w:t>
      </w:r>
      <w:r w:rsidR="00853D60" w:rsidRPr="552F56DA">
        <w:t>8%.</w:t>
      </w:r>
      <w:r w:rsidR="00853D60" w:rsidRPr="552F56DA">
        <w:rPr>
          <w:rStyle w:val="FootnoteReference"/>
        </w:rPr>
        <w:footnoteReference w:id="46"/>
      </w:r>
    </w:p>
    <w:p w14:paraId="67717A53" w14:textId="5A1E7F0C" w:rsidR="001752F7" w:rsidRPr="00C62CD9" w:rsidRDefault="001752F7" w:rsidP="000E35D2">
      <w:pPr>
        <w:pStyle w:val="3Bodytext"/>
        <w:rPr>
          <w:rFonts w:cstheme="minorHAnsi"/>
          <w:u w:val="single"/>
        </w:rPr>
      </w:pPr>
      <w:r>
        <w:t>The PBAC noted inputs received from several consumers</w:t>
      </w:r>
      <w:r w:rsidR="00705278">
        <w:t xml:space="preserve"> who indicated that </w:t>
      </w:r>
      <w:r w:rsidR="00D059BA">
        <w:t xml:space="preserve">they were using GLP-1s post-bariatric surgery, as the </w:t>
      </w:r>
      <w:r w:rsidR="00705278">
        <w:t xml:space="preserve">bariatric surgery was </w:t>
      </w:r>
      <w:r w:rsidR="004C6614">
        <w:t>ineffective for them in achieving weight loss, or the b</w:t>
      </w:r>
      <w:r w:rsidR="00D059BA">
        <w:t xml:space="preserve">enefits were not sustained over time (refer to </w:t>
      </w:r>
      <w:hyperlink w:anchor="Section8" w:history="1">
        <w:r w:rsidR="00D059BA" w:rsidRPr="00D61B62">
          <w:rPr>
            <w:rStyle w:val="Hyperlink"/>
          </w:rPr>
          <w:t>Section 8</w:t>
        </w:r>
      </w:hyperlink>
      <w:r w:rsidR="00D059BA">
        <w:t>).</w:t>
      </w:r>
    </w:p>
    <w:p w14:paraId="0DA09A12" w14:textId="1435EB43" w:rsidR="000D5D8C" w:rsidRPr="00A63934" w:rsidRDefault="00B64ECB" w:rsidP="00BD4014">
      <w:pPr>
        <w:pStyle w:val="3Bodytext"/>
      </w:pPr>
      <w:r>
        <w:t>GLP-1s have been suggested as an alternative to bariatric surgery, or for use in addition to bariatric surgery, for patients who require weight loss to be eligible for solid organ transplant.</w:t>
      </w:r>
      <w:r>
        <w:rPr>
          <w:rStyle w:val="FootnoteReference"/>
        </w:rPr>
        <w:footnoteReference w:id="47"/>
      </w:r>
    </w:p>
    <w:p w14:paraId="66DEC9FA" w14:textId="7C5EAEEF" w:rsidR="00A63934" w:rsidRDefault="00A63934" w:rsidP="00A63934">
      <w:pPr>
        <w:pStyle w:val="3Subheading1"/>
      </w:pPr>
      <w:r>
        <w:t>Use of PBS-listed GLP-1s outside of PBS restrictions</w:t>
      </w:r>
    </w:p>
    <w:p w14:paraId="7859AA17" w14:textId="7D55853C" w:rsidR="0071190A" w:rsidRDefault="0071190A" w:rsidP="008444D3">
      <w:pPr>
        <w:pStyle w:val="3Bodytext"/>
      </w:pPr>
      <w:r>
        <w:t>The PBAC</w:t>
      </w:r>
      <w:r w:rsidR="000F2829">
        <w:t xml:space="preserve"> </w:t>
      </w:r>
      <w:r w:rsidR="00F408E8">
        <w:t>has</w:t>
      </w:r>
      <w:r w:rsidR="000F2829">
        <w:t xml:space="preserve"> </w:t>
      </w:r>
      <w:r w:rsidR="001814EC">
        <w:t>previously advised that the</w:t>
      </w:r>
      <w:r w:rsidR="00C55388">
        <w:t xml:space="preserve">re is likely to be a high risk of </w:t>
      </w:r>
      <w:r w:rsidR="00F53DE7">
        <w:t xml:space="preserve">use </w:t>
      </w:r>
      <w:r w:rsidR="007D66A5">
        <w:t xml:space="preserve">of GLP-1 obesity treatment </w:t>
      </w:r>
      <w:r w:rsidR="00F53DE7">
        <w:t>outside of</w:t>
      </w:r>
      <w:r w:rsidR="007D66A5">
        <w:t xml:space="preserve"> any potential PBS restrictions. This is supported by the current high use of GLP-1s for T2DM outside of the </w:t>
      </w:r>
      <w:r w:rsidR="00237E67">
        <w:t xml:space="preserve">PBS </w:t>
      </w:r>
      <w:r w:rsidR="007D66A5">
        <w:t>restrictions.</w:t>
      </w:r>
      <w:r w:rsidR="00DF65C8">
        <w:t xml:space="preserve"> </w:t>
      </w:r>
      <w:r w:rsidR="0072058E">
        <w:t xml:space="preserve">It may be important to ensure potential PBS restrictions for GLP-1 obesity treatments are framed in way that </w:t>
      </w:r>
      <w:r w:rsidR="00483740">
        <w:t xml:space="preserve">allows for compliance activities, </w:t>
      </w:r>
      <w:r w:rsidR="008D0123">
        <w:t xml:space="preserve">is supported by strong </w:t>
      </w:r>
      <w:r w:rsidR="00F92155">
        <w:t>risk</w:t>
      </w:r>
      <w:r w:rsidR="00715CA7">
        <w:t xml:space="preserve"> </w:t>
      </w:r>
      <w:r w:rsidR="00F92155">
        <w:t xml:space="preserve">sharing arrangements, </w:t>
      </w:r>
      <w:r w:rsidR="00483740">
        <w:t>and t</w:t>
      </w:r>
      <w:r w:rsidR="002366E4">
        <w:t>hat usage is monitored closely.</w:t>
      </w:r>
    </w:p>
    <w:p w14:paraId="64DA3079" w14:textId="4BAAF3D9" w:rsidR="0005073C" w:rsidRDefault="0089447E" w:rsidP="008444D3">
      <w:pPr>
        <w:pStyle w:val="3Bodytext"/>
      </w:pPr>
      <w:r>
        <w:t xml:space="preserve">A Drug Utilisation Sub-Committee (DUSC) review of </w:t>
      </w:r>
      <w:r w:rsidR="00A01645">
        <w:t xml:space="preserve">utilisation of medicines for the treatment of </w:t>
      </w:r>
      <w:r w:rsidR="00547396">
        <w:t xml:space="preserve">T2DM </w:t>
      </w:r>
      <w:r w:rsidR="00A01645">
        <w:t xml:space="preserve">through the PBS </w:t>
      </w:r>
      <w:r w:rsidR="002E3F8C">
        <w:t>(September 2022)</w:t>
      </w:r>
      <w:r w:rsidR="00342FD2">
        <w:t xml:space="preserve"> found</w:t>
      </w:r>
      <w:r w:rsidR="00F33E6A">
        <w:t>:</w:t>
      </w:r>
    </w:p>
    <w:p w14:paraId="7FF1B32C" w14:textId="0DC0E8DA" w:rsidR="00F33E6A" w:rsidRDefault="00F33E6A" w:rsidP="00F33E6A">
      <w:pPr>
        <w:pStyle w:val="3Bodytext"/>
        <w:numPr>
          <w:ilvl w:val="2"/>
          <w:numId w:val="1"/>
        </w:numPr>
      </w:pPr>
      <w:r w:rsidRPr="00F33E6A">
        <w:t xml:space="preserve">From 2017 to mid-2022, 18% of people initiating GLP-1 therapy were not supplied metformin, a </w:t>
      </w:r>
      <w:r>
        <w:t>sulfonylure</w:t>
      </w:r>
      <w:r w:rsidR="00446EE7">
        <w:t>a</w:t>
      </w:r>
      <w:r w:rsidRPr="00F33E6A">
        <w:t xml:space="preserve"> or insulin prior to or at initiation, indicating clear use outside of the PBS restrictions. </w:t>
      </w:r>
    </w:p>
    <w:p w14:paraId="39C566D8" w14:textId="3169ADA4" w:rsidR="00490F52" w:rsidRDefault="00490F52" w:rsidP="00490F52">
      <w:pPr>
        <w:pStyle w:val="3Bodytext"/>
        <w:numPr>
          <w:ilvl w:val="2"/>
          <w:numId w:val="1"/>
        </w:numPr>
      </w:pPr>
      <w:r>
        <w:t>According to analysis of the prevalent population in 2021, almost 60% of people supplied a GLP-1 received this medicine in a regimen that is inconsistent with the PBS restrictions:</w:t>
      </w:r>
    </w:p>
    <w:p w14:paraId="65073A78" w14:textId="298FC2DD" w:rsidR="00490F52" w:rsidRDefault="00490F52" w:rsidP="00B97DDA">
      <w:pPr>
        <w:pStyle w:val="3Bodytext"/>
        <w:numPr>
          <w:ilvl w:val="3"/>
          <w:numId w:val="1"/>
        </w:numPr>
        <w:ind w:left="1491" w:hanging="357"/>
      </w:pPr>
      <w:r>
        <w:t>42% were supplied a GLP-1 in combination with another GLP</w:t>
      </w:r>
      <w:r w:rsidR="002C36CF">
        <w:t>-</w:t>
      </w:r>
      <w:r>
        <w:t xml:space="preserve">1, a </w:t>
      </w:r>
      <w:r w:rsidR="005C3518">
        <w:t>di-peptidyl peptidase-4 (</w:t>
      </w:r>
      <w:r>
        <w:t>DPP4</w:t>
      </w:r>
      <w:r w:rsidR="005C3518">
        <w:t>)</w:t>
      </w:r>
      <w:r>
        <w:t xml:space="preserve"> inhibitor, a</w:t>
      </w:r>
      <w:r w:rsidR="00906D3B">
        <w:t xml:space="preserve"> sodium-glucose cotransporter 2 (</w:t>
      </w:r>
      <w:r>
        <w:t>SGLT2</w:t>
      </w:r>
      <w:r w:rsidR="00256E12">
        <w:t>)</w:t>
      </w:r>
      <w:r>
        <w:t xml:space="preserve"> inhibitor</w:t>
      </w:r>
      <w:r w:rsidR="005C3518">
        <w:t>,</w:t>
      </w:r>
      <w:r>
        <w:t xml:space="preserve"> or a combination of these medicines.</w:t>
      </w:r>
    </w:p>
    <w:p w14:paraId="01C4D814" w14:textId="77777777" w:rsidR="00C9106C" w:rsidRDefault="00490F52" w:rsidP="00C9106C">
      <w:pPr>
        <w:pStyle w:val="3Bodytext"/>
        <w:numPr>
          <w:ilvl w:val="3"/>
          <w:numId w:val="1"/>
        </w:numPr>
        <w:ind w:left="1491" w:hanging="357"/>
      </w:pPr>
      <w:r>
        <w:lastRenderedPageBreak/>
        <w:t xml:space="preserve">27% were supplied a GLP-1 without concomitant use of metformin, </w:t>
      </w:r>
      <w:r w:rsidR="00256E12">
        <w:t>a sulfonylure</w:t>
      </w:r>
      <w:r w:rsidR="006910F9">
        <w:t>a</w:t>
      </w:r>
      <w:r>
        <w:t xml:space="preserve"> or insulin.</w:t>
      </w:r>
    </w:p>
    <w:p w14:paraId="77EEB92C" w14:textId="679C0E5D" w:rsidR="00490F52" w:rsidRDefault="00490F52" w:rsidP="00C9106C">
      <w:pPr>
        <w:pStyle w:val="3Bodytext"/>
        <w:numPr>
          <w:ilvl w:val="3"/>
          <w:numId w:val="1"/>
        </w:numPr>
        <w:ind w:left="1491" w:hanging="357"/>
      </w:pPr>
      <w:r>
        <w:t>9.5% crossed both above categories</w:t>
      </w:r>
      <w:r w:rsidR="002C36CF">
        <w:t xml:space="preserve"> (i.e. were supplied a GLP-1 in combination with another GLP-1, a D</w:t>
      </w:r>
      <w:r w:rsidR="002D280D">
        <w:t>P</w:t>
      </w:r>
      <w:r w:rsidR="002C36CF">
        <w:t xml:space="preserve">P4 </w:t>
      </w:r>
      <w:r w:rsidR="00D12F2F">
        <w:t>inhibitor</w:t>
      </w:r>
      <w:r w:rsidR="002C36CF">
        <w:t xml:space="preserve">, or an SGLT2 </w:t>
      </w:r>
      <w:r w:rsidR="00D12F2F">
        <w:t>inhibitor; and</w:t>
      </w:r>
      <w:r w:rsidR="00520400">
        <w:t xml:space="preserve"> without concomitant</w:t>
      </w:r>
      <w:r w:rsidR="00520400" w:rsidRPr="00520400">
        <w:t xml:space="preserve"> metformin, sulfonylurea or insulin</w:t>
      </w:r>
      <w:r w:rsidR="00071D30">
        <w:t>)</w:t>
      </w:r>
      <w:r>
        <w:t>.</w:t>
      </w:r>
      <w:r w:rsidR="0034162F">
        <w:rPr>
          <w:rStyle w:val="FootnoteReference"/>
        </w:rPr>
        <w:footnoteReference w:id="48"/>
      </w:r>
    </w:p>
    <w:p w14:paraId="00B5B81C" w14:textId="2CC5CDEF" w:rsidR="00721890" w:rsidRDefault="00721890" w:rsidP="0016189B">
      <w:pPr>
        <w:pStyle w:val="3Bodytext"/>
      </w:pPr>
      <w:r>
        <w:t xml:space="preserve">On 1 June 2024, changes were made to the PBS restrictions for GLP-1s </w:t>
      </w:r>
      <w:r w:rsidR="00E24F9B">
        <w:t xml:space="preserve">to </w:t>
      </w:r>
      <w:r w:rsidR="00E24F9B" w:rsidRPr="00E24F9B">
        <w:t>ensure use in accordance with the PBS restrictions and align the restrictions with current clinical guidelines while considering the cost-effectiveness of comparative treatments.</w:t>
      </w:r>
      <w:r w:rsidR="00D2540D">
        <w:t xml:space="preserve"> </w:t>
      </w:r>
      <w:r w:rsidR="00D2540D" w:rsidRPr="00D2540D">
        <w:t>The authority type for therapy initiation for GLP-1</w:t>
      </w:r>
      <w:r w:rsidR="00D2540D">
        <w:t>s</w:t>
      </w:r>
      <w:r w:rsidR="00D2540D" w:rsidRPr="00D2540D">
        <w:t xml:space="preserve"> </w:t>
      </w:r>
      <w:r w:rsidR="00D2540D">
        <w:t xml:space="preserve">was changed </w:t>
      </w:r>
      <w:r w:rsidR="00D2540D" w:rsidRPr="00D2540D">
        <w:t xml:space="preserve">to </w:t>
      </w:r>
      <w:r w:rsidR="00D2540D">
        <w:t xml:space="preserve">an </w:t>
      </w:r>
      <w:r w:rsidR="00D2540D" w:rsidRPr="00D2540D">
        <w:t>Authority Required (telephone/electronic)</w:t>
      </w:r>
      <w:r w:rsidR="00D2540D">
        <w:t xml:space="preserve"> listing, with c</w:t>
      </w:r>
      <w:r w:rsidR="00D2540D" w:rsidRPr="00D2540D">
        <w:t>ontinuing access to GLP-1</w:t>
      </w:r>
      <w:r w:rsidR="00D2540D">
        <w:t>s</w:t>
      </w:r>
      <w:r w:rsidR="00D2540D" w:rsidRPr="00D2540D">
        <w:t xml:space="preserve"> via an Authority Required (STREAMLINED) listing.</w:t>
      </w:r>
      <w:r w:rsidR="0016189B">
        <w:t xml:space="preserve"> GLP-1s </w:t>
      </w:r>
      <w:r w:rsidR="0016189B" w:rsidRPr="0016189B">
        <w:t xml:space="preserve">are only </w:t>
      </w:r>
      <w:r w:rsidR="0016189B">
        <w:t>PBS-</w:t>
      </w:r>
      <w:r w:rsidR="0016189B" w:rsidRPr="0016189B">
        <w:t xml:space="preserve">subsidised for use in combination with at least one of: metformin, a sulfonylurea, </w:t>
      </w:r>
      <w:r w:rsidR="0016189B">
        <w:t xml:space="preserve">or </w:t>
      </w:r>
      <w:r w:rsidR="0016189B" w:rsidRPr="0016189B">
        <w:t>insulin</w:t>
      </w:r>
      <w:r w:rsidR="0016189B">
        <w:t>.</w:t>
      </w:r>
    </w:p>
    <w:p w14:paraId="0A79EB9D" w14:textId="51D4D5AB" w:rsidR="00490F52" w:rsidRDefault="00CC213C" w:rsidP="00B97DDA">
      <w:pPr>
        <w:pStyle w:val="3Bodytext"/>
      </w:pPr>
      <w:r>
        <w:t xml:space="preserve">A </w:t>
      </w:r>
      <w:r w:rsidR="003C3DB5">
        <w:t xml:space="preserve">later </w:t>
      </w:r>
      <w:r>
        <w:t xml:space="preserve">DUSC review of semaglutide utilisation </w:t>
      </w:r>
      <w:r w:rsidR="003C3DB5">
        <w:t xml:space="preserve">(June 2024), identified increasing use of PBS semaglutide in </w:t>
      </w:r>
      <w:r w:rsidR="004A3919">
        <w:t xml:space="preserve">patients aged 20-39 years, which the DUSC considered suggested use for weight loss and </w:t>
      </w:r>
      <w:r w:rsidR="00381BE4">
        <w:t>other reasons such as fertility.</w:t>
      </w:r>
      <w:r w:rsidR="00164385" w:rsidRPr="00164385">
        <w:t xml:space="preserve"> </w:t>
      </w:r>
      <w:r w:rsidR="000D5712">
        <w:t xml:space="preserve">The review also found that </w:t>
      </w:r>
      <w:r w:rsidR="00164385" w:rsidRPr="00164385">
        <w:t xml:space="preserve">12% of patients who initiated semaglutide in 2023 had no prior supplies of any other diabetes medicine, and </w:t>
      </w:r>
      <w:r w:rsidR="000D5712">
        <w:t xml:space="preserve">that </w:t>
      </w:r>
      <w:r w:rsidR="00C61CA9">
        <w:t xml:space="preserve">this had increased from 10% in 2022. </w:t>
      </w:r>
      <w:r w:rsidR="00B97B9C">
        <w:t>O</w:t>
      </w:r>
      <w:r w:rsidR="00164385" w:rsidRPr="00164385">
        <w:t>f patients supplied a GLP-1 in 2023</w:t>
      </w:r>
      <w:r w:rsidR="00B97B9C">
        <w:t xml:space="preserve">, </w:t>
      </w:r>
      <w:r w:rsidR="00B97B9C" w:rsidRPr="00164385">
        <w:t xml:space="preserve">42% </w:t>
      </w:r>
      <w:r w:rsidR="00164385" w:rsidRPr="00164385">
        <w:t xml:space="preserve">were not supplied concomitant metformin, </w:t>
      </w:r>
      <w:r w:rsidR="000D5712">
        <w:t>a sulfonylurea</w:t>
      </w:r>
      <w:r w:rsidR="00164385" w:rsidRPr="00164385">
        <w:t xml:space="preserve"> or insulin</w:t>
      </w:r>
      <w:r w:rsidR="004E0602">
        <w:t xml:space="preserve"> in line with the PBS restrictions</w:t>
      </w:r>
      <w:r w:rsidR="00164385" w:rsidRPr="00164385">
        <w:t>.</w:t>
      </w:r>
      <w:r w:rsidR="000D5712">
        <w:rPr>
          <w:rStyle w:val="FootnoteReference"/>
        </w:rPr>
        <w:footnoteReference w:id="49"/>
      </w:r>
    </w:p>
    <w:p w14:paraId="6645D624" w14:textId="77777777" w:rsidR="00B97B9C" w:rsidRDefault="00B97B9C" w:rsidP="00B97B9C">
      <w:pPr>
        <w:pStyle w:val="3Bodytext"/>
      </w:pPr>
      <w:r>
        <w:t xml:space="preserve">In November 2024, the Department dispatched approximately 400 letters to approved pharmacists where they had consistently claimed high volumes of semaglutide since April 2022 despite the global shortage. The purpose of this letter was to remind pharmacists that compounded replica versions were not claimable and to ensure they do not make a claim where there has not been a supply to a patient. </w:t>
      </w:r>
    </w:p>
    <w:p w14:paraId="2775B904" w14:textId="77777777" w:rsidR="0054286D" w:rsidRDefault="008444D3" w:rsidP="0054286D">
      <w:pPr>
        <w:pStyle w:val="3Bodytext"/>
      </w:pPr>
      <w:r>
        <w:t xml:space="preserve">In March 2025, the Department dispatched over 1,000 letters to medical practitioners who have prescribed semaglutide (Ozempic®) through the PBS to </w:t>
      </w:r>
      <w:r w:rsidRPr="0054286D">
        <w:t xml:space="preserve">patients with no history of </w:t>
      </w:r>
      <w:r w:rsidR="008A609E" w:rsidRPr="0054286D">
        <w:t>T2DM</w:t>
      </w:r>
      <w:r w:rsidRPr="0054286D">
        <w:t xml:space="preserve">, to remind them that prescribing </w:t>
      </w:r>
      <w:proofErr w:type="gramStart"/>
      <w:r w:rsidRPr="0054286D">
        <w:t>off-label</w:t>
      </w:r>
      <w:proofErr w:type="gramEnd"/>
      <w:r w:rsidRPr="0054286D">
        <w:t xml:space="preserve"> must be private (not PBS). </w:t>
      </w:r>
    </w:p>
    <w:p w14:paraId="4C92F559" w14:textId="0B23113A" w:rsidR="0035017B" w:rsidRPr="0035017B" w:rsidRDefault="0035017B" w:rsidP="0054286D">
      <w:pPr>
        <w:pStyle w:val="3Bodytext"/>
        <w:rPr>
          <w:b/>
          <w:bCs/>
        </w:rPr>
      </w:pPr>
      <w:r w:rsidRPr="0035017B">
        <w:rPr>
          <w:b/>
          <w:bCs/>
        </w:rPr>
        <w:t>Redacted text.</w:t>
      </w:r>
    </w:p>
    <w:p w14:paraId="3D1FCF15" w14:textId="1FCCDBAD" w:rsidR="00446443" w:rsidRPr="0070078E" w:rsidRDefault="00446443" w:rsidP="0070078E">
      <w:pPr>
        <w:pStyle w:val="3Subheading1"/>
      </w:pPr>
      <w:r w:rsidRPr="0070078E">
        <w:t>Adverse events and side effects of GLP-1s</w:t>
      </w:r>
    </w:p>
    <w:p w14:paraId="58E4B458" w14:textId="1A6EF1C1" w:rsidR="009B3050" w:rsidRDefault="0048306D" w:rsidP="00037EB3">
      <w:pPr>
        <w:pStyle w:val="3Bodytext"/>
      </w:pPr>
      <w:r>
        <w:t>Potential adverse events</w:t>
      </w:r>
      <w:r w:rsidR="00B82E9C">
        <w:t xml:space="preserve"> or side effects associated with GLP-1 use include:</w:t>
      </w:r>
    </w:p>
    <w:p w14:paraId="41EF6B3C" w14:textId="6B58A166" w:rsidR="002F1CAB" w:rsidRDefault="00111FE3" w:rsidP="00B82E9C">
      <w:pPr>
        <w:pStyle w:val="3Bodytext"/>
        <w:numPr>
          <w:ilvl w:val="2"/>
          <w:numId w:val="1"/>
        </w:numPr>
      </w:pPr>
      <w:r>
        <w:t>g</w:t>
      </w:r>
      <w:r w:rsidR="00424338">
        <w:t>astrointestinal effect, such as n</w:t>
      </w:r>
      <w:r>
        <w:t>ausea, vomiting, diarrhoea</w:t>
      </w:r>
      <w:r w:rsidR="001961B1">
        <w:t xml:space="preserve"> and constipation</w:t>
      </w:r>
    </w:p>
    <w:p w14:paraId="085D66E2" w14:textId="08AA4422" w:rsidR="00111FE3" w:rsidRDefault="00111FE3" w:rsidP="00B82E9C">
      <w:pPr>
        <w:pStyle w:val="3Bodytext"/>
        <w:numPr>
          <w:ilvl w:val="2"/>
          <w:numId w:val="1"/>
        </w:numPr>
      </w:pPr>
      <w:r>
        <w:lastRenderedPageBreak/>
        <w:t>dehydration</w:t>
      </w:r>
      <w:r w:rsidR="002F1CAB">
        <w:t xml:space="preserve"> and malnutrition</w:t>
      </w:r>
    </w:p>
    <w:p w14:paraId="21FD3F3C" w14:textId="77F196CF" w:rsidR="002F1CAB" w:rsidRDefault="002F1CAB" w:rsidP="00B82E9C">
      <w:pPr>
        <w:pStyle w:val="3Bodytext"/>
        <w:numPr>
          <w:ilvl w:val="2"/>
          <w:numId w:val="1"/>
        </w:numPr>
      </w:pPr>
      <w:r>
        <w:t>gastroparesis</w:t>
      </w:r>
    </w:p>
    <w:p w14:paraId="53A2DC85" w14:textId="654E4FEF" w:rsidR="00B82E9C" w:rsidRDefault="00424338" w:rsidP="00B82E9C">
      <w:pPr>
        <w:pStyle w:val="3Bodytext"/>
        <w:numPr>
          <w:ilvl w:val="2"/>
          <w:numId w:val="1"/>
        </w:numPr>
      </w:pPr>
      <w:r>
        <w:t>a</w:t>
      </w:r>
      <w:r w:rsidR="00B82E9C">
        <w:t>cute pancreatitis</w:t>
      </w:r>
    </w:p>
    <w:p w14:paraId="6D2DA439" w14:textId="514D3BAB" w:rsidR="00424338" w:rsidRDefault="00D25936" w:rsidP="00B82E9C">
      <w:pPr>
        <w:pStyle w:val="3Bodytext"/>
        <w:numPr>
          <w:ilvl w:val="2"/>
          <w:numId w:val="1"/>
        </w:numPr>
      </w:pPr>
      <w:r>
        <w:t>pulmonary aspiration for patients under general anaesthesia</w:t>
      </w:r>
      <w:r w:rsidR="006C63B5">
        <w:t xml:space="preserve"> or deep sedation</w:t>
      </w:r>
    </w:p>
    <w:p w14:paraId="41CE59CC" w14:textId="32321A86" w:rsidR="006C63B5" w:rsidRDefault="006C63B5" w:rsidP="00B82E9C">
      <w:pPr>
        <w:pStyle w:val="3Bodytext"/>
        <w:numPr>
          <w:ilvl w:val="2"/>
          <w:numId w:val="1"/>
        </w:numPr>
      </w:pPr>
      <w:r>
        <w:t>suicidal behaviour and ideation</w:t>
      </w:r>
    </w:p>
    <w:p w14:paraId="3D997265" w14:textId="3BF51C68" w:rsidR="00794DEF" w:rsidRDefault="00794DEF" w:rsidP="00B82E9C">
      <w:pPr>
        <w:pStyle w:val="3Bodytext"/>
        <w:numPr>
          <w:ilvl w:val="2"/>
          <w:numId w:val="1"/>
        </w:numPr>
      </w:pPr>
      <w:r>
        <w:t xml:space="preserve">delayed effects of oral medical products, which may be particularly important for </w:t>
      </w:r>
      <w:r w:rsidR="00586AEB">
        <w:t xml:space="preserve">medicines where rapid onset of effect is </w:t>
      </w:r>
      <w:r w:rsidR="009A67CC">
        <w:t>required</w:t>
      </w:r>
    </w:p>
    <w:p w14:paraId="3C6BCF58" w14:textId="2B3DCD19" w:rsidR="00656A82" w:rsidRDefault="00656A82" w:rsidP="00B82E9C">
      <w:pPr>
        <w:pStyle w:val="3Bodytext"/>
        <w:numPr>
          <w:ilvl w:val="2"/>
          <w:numId w:val="1"/>
        </w:numPr>
      </w:pPr>
      <w:r>
        <w:t>reduced efficacy of oral contraceptives</w:t>
      </w:r>
    </w:p>
    <w:p w14:paraId="24053F3F" w14:textId="16F39A6D" w:rsidR="004B78F9" w:rsidRDefault="004064E9" w:rsidP="00B82E9C">
      <w:pPr>
        <w:pStyle w:val="3Bodytext"/>
        <w:numPr>
          <w:ilvl w:val="2"/>
          <w:numId w:val="1"/>
        </w:numPr>
      </w:pPr>
      <w:r>
        <w:t xml:space="preserve">reproductive toxicity </w:t>
      </w:r>
      <w:r w:rsidR="00D7458B">
        <w:t xml:space="preserve">and </w:t>
      </w:r>
      <w:r w:rsidR="00565D3C">
        <w:t xml:space="preserve">excretion in breast milk </w:t>
      </w:r>
      <w:r>
        <w:t xml:space="preserve">based </w:t>
      </w:r>
      <w:r w:rsidR="00390FF8">
        <w:t>on animal studies</w:t>
      </w:r>
    </w:p>
    <w:p w14:paraId="7FA617B2" w14:textId="77777777" w:rsidR="004B78F9" w:rsidRDefault="004B78F9" w:rsidP="00B82E9C">
      <w:pPr>
        <w:pStyle w:val="3Bodytext"/>
        <w:numPr>
          <w:ilvl w:val="2"/>
          <w:numId w:val="1"/>
        </w:numPr>
      </w:pPr>
      <w:r>
        <w:t>thyroid cancer</w:t>
      </w:r>
    </w:p>
    <w:p w14:paraId="278E3CDE" w14:textId="1CB6DC71" w:rsidR="004064E9" w:rsidRPr="0070078E" w:rsidRDefault="00931EA6" w:rsidP="00B82E9C">
      <w:pPr>
        <w:pStyle w:val="3Bodytext"/>
        <w:numPr>
          <w:ilvl w:val="2"/>
          <w:numId w:val="1"/>
        </w:numPr>
      </w:pPr>
      <w:r>
        <w:t>n</w:t>
      </w:r>
      <w:r w:rsidR="001A3682">
        <w:t>on</w:t>
      </w:r>
      <w:r>
        <w:t>-arteritic anterior ischaemic optic neuropathy</w:t>
      </w:r>
      <w:r w:rsidR="00FD6FBB">
        <w:t xml:space="preserve"> (NAION)</w:t>
      </w:r>
      <w:r w:rsidR="00390FF8">
        <w:t>.</w:t>
      </w:r>
      <w:r w:rsidR="00390FF8">
        <w:rPr>
          <w:rStyle w:val="FootnoteReference"/>
        </w:rPr>
        <w:footnoteReference w:id="50"/>
      </w:r>
      <w:r w:rsidR="003463D6" w:rsidRPr="0070078E">
        <w:rPr>
          <w:vertAlign w:val="superscript"/>
        </w:rPr>
        <w:t>,</w:t>
      </w:r>
      <w:r w:rsidR="003463D6">
        <w:rPr>
          <w:rStyle w:val="FootnoteReference"/>
        </w:rPr>
        <w:footnoteReference w:id="51"/>
      </w:r>
      <w:r w:rsidR="008F01AD">
        <w:rPr>
          <w:vertAlign w:val="superscript"/>
        </w:rPr>
        <w:t>,</w:t>
      </w:r>
      <w:r w:rsidR="008F01AD">
        <w:rPr>
          <w:rStyle w:val="FootnoteReference"/>
        </w:rPr>
        <w:footnoteReference w:id="52"/>
      </w:r>
    </w:p>
    <w:p w14:paraId="3C9980FF" w14:textId="2D9B4560" w:rsidR="001375E1" w:rsidRDefault="001375E1" w:rsidP="001375E1">
      <w:pPr>
        <w:pStyle w:val="2-SectionHeading"/>
      </w:pPr>
      <w:bookmarkStart w:id="3" w:name="Section3"/>
      <w:r>
        <w:t>Epidemiological modelling</w:t>
      </w:r>
      <w:bookmarkEnd w:id="3"/>
    </w:p>
    <w:p w14:paraId="5327699B" w14:textId="1E13AE38" w:rsidR="00437C9C" w:rsidRPr="00BC1423" w:rsidRDefault="00CE4A87" w:rsidP="00FC1A70">
      <w:pPr>
        <w:pStyle w:val="3Bodytext"/>
      </w:pPr>
      <w:r w:rsidRPr="00CE4A87">
        <w:t xml:space="preserve">The PBAC </w:t>
      </w:r>
      <w:r>
        <w:t xml:space="preserve">noted a report </w:t>
      </w:r>
      <w:r w:rsidR="00C543B9" w:rsidRPr="00FC1A70">
        <w:t xml:space="preserve">developed by the Department </w:t>
      </w:r>
      <w:r w:rsidR="006A746A" w:rsidRPr="00FC1A70">
        <w:t>contain</w:t>
      </w:r>
      <w:r w:rsidR="00CB00F2">
        <w:t>ing</w:t>
      </w:r>
      <w:r w:rsidR="006A746A" w:rsidRPr="00FC1A70">
        <w:t xml:space="preserve"> preli</w:t>
      </w:r>
      <w:r w:rsidR="00556751">
        <w:t xml:space="preserve">minary </w:t>
      </w:r>
      <w:r w:rsidR="005A34D1">
        <w:t>population estimates</w:t>
      </w:r>
      <w:r w:rsidR="00C543B9">
        <w:t xml:space="preserve"> for potential </w:t>
      </w:r>
      <w:r w:rsidR="00DE6745">
        <w:t xml:space="preserve">groups for priority </w:t>
      </w:r>
      <w:r w:rsidR="008E15A6">
        <w:t xml:space="preserve">access to GLP-1 obesity treatments, based on </w:t>
      </w:r>
      <w:r w:rsidR="00BC1423" w:rsidRPr="00FC1A70">
        <w:t>the advice of the PBAC Working Group. Further</w:t>
      </w:r>
      <w:r w:rsidR="005C2F57">
        <w:t xml:space="preserve"> information on data sources, </w:t>
      </w:r>
      <w:r w:rsidR="00D32BEB">
        <w:t>codes used</w:t>
      </w:r>
      <w:r w:rsidR="005C2F57">
        <w:t>, issues</w:t>
      </w:r>
      <w:r w:rsidR="008D54B7">
        <w:t>/caveats, and further work</w:t>
      </w:r>
      <w:r w:rsidR="004633A4">
        <w:t>,</w:t>
      </w:r>
      <w:r w:rsidR="008D54B7">
        <w:t xml:space="preserve"> are provided below.</w:t>
      </w:r>
    </w:p>
    <w:p w14:paraId="49ABB1A1" w14:textId="63446D71" w:rsidR="00F53B64" w:rsidRPr="006D79F7" w:rsidRDefault="00F53B64" w:rsidP="00FC1A70">
      <w:pPr>
        <w:pStyle w:val="3Subheading1"/>
      </w:pPr>
      <w:r w:rsidRPr="006D79F7">
        <w:t>Background</w:t>
      </w:r>
      <w:r w:rsidR="00AE5E50">
        <w:t>: Advice from the PBAC Working Group</w:t>
      </w:r>
    </w:p>
    <w:p w14:paraId="77E74F53" w14:textId="2C356E09" w:rsidR="0070655E" w:rsidRDefault="00473610" w:rsidP="0070655E">
      <w:pPr>
        <w:pStyle w:val="3Bodytext"/>
        <w:spacing w:before="120"/>
        <w:jc w:val="both"/>
        <w:rPr>
          <w:szCs w:val="24"/>
        </w:rPr>
      </w:pPr>
      <w:r>
        <w:rPr>
          <w:szCs w:val="24"/>
        </w:rPr>
        <w:t>T</w:t>
      </w:r>
      <w:r w:rsidR="001A2F16">
        <w:rPr>
          <w:szCs w:val="24"/>
        </w:rPr>
        <w:t xml:space="preserve">he PBAC Working Group provided </w:t>
      </w:r>
      <w:r w:rsidR="0070655E">
        <w:rPr>
          <w:szCs w:val="24"/>
        </w:rPr>
        <w:t>advice on the population cohorts to be modelled</w:t>
      </w:r>
      <w:r w:rsidR="00B43DF7">
        <w:rPr>
          <w:szCs w:val="24"/>
        </w:rPr>
        <w:t>.</w:t>
      </w:r>
      <w:r w:rsidR="0070655E">
        <w:rPr>
          <w:szCs w:val="24"/>
        </w:rPr>
        <w:t xml:space="preserve"> </w:t>
      </w:r>
      <w:r w:rsidR="00B43DF7">
        <w:rPr>
          <w:szCs w:val="24"/>
        </w:rPr>
        <w:t xml:space="preserve">In providing this advice, the </w:t>
      </w:r>
      <w:r w:rsidR="0070655E">
        <w:rPr>
          <w:szCs w:val="24"/>
        </w:rPr>
        <w:t xml:space="preserve">Working Group considered: </w:t>
      </w:r>
    </w:p>
    <w:p w14:paraId="7FDB1E68" w14:textId="77777777" w:rsidR="0070655E" w:rsidRDefault="0070655E" w:rsidP="0070655E">
      <w:pPr>
        <w:pStyle w:val="3Bodytext"/>
        <w:numPr>
          <w:ilvl w:val="2"/>
          <w:numId w:val="1"/>
        </w:numPr>
        <w:spacing w:before="120"/>
        <w:ind w:left="1208" w:hanging="357"/>
        <w:jc w:val="both"/>
        <w:rPr>
          <w:szCs w:val="24"/>
        </w:rPr>
      </w:pPr>
      <w:r>
        <w:rPr>
          <w:szCs w:val="24"/>
        </w:rPr>
        <w:t>the previous PBAC advice provided to sponsors about the appropriate populations for access to obesity treatments</w:t>
      </w:r>
    </w:p>
    <w:p w14:paraId="142A7458" w14:textId="77777777" w:rsidR="0070655E" w:rsidRDefault="0070655E" w:rsidP="0070655E">
      <w:pPr>
        <w:pStyle w:val="3Bodytext"/>
        <w:numPr>
          <w:ilvl w:val="2"/>
          <w:numId w:val="1"/>
        </w:numPr>
        <w:spacing w:before="120"/>
        <w:jc w:val="both"/>
        <w:rPr>
          <w:szCs w:val="24"/>
        </w:rPr>
      </w:pPr>
      <w:r>
        <w:rPr>
          <w:szCs w:val="24"/>
        </w:rPr>
        <w:t>current TGA indications for obesity treatments</w:t>
      </w:r>
    </w:p>
    <w:p w14:paraId="3BBE117C" w14:textId="3D84FFFB" w:rsidR="0070655E" w:rsidRDefault="0070655E" w:rsidP="0070655E">
      <w:pPr>
        <w:pStyle w:val="3Bodytext"/>
        <w:numPr>
          <w:ilvl w:val="2"/>
          <w:numId w:val="1"/>
        </w:numPr>
        <w:spacing w:before="120"/>
        <w:jc w:val="both"/>
        <w:rPr>
          <w:szCs w:val="24"/>
        </w:rPr>
      </w:pPr>
      <w:r>
        <w:rPr>
          <w:szCs w:val="24"/>
        </w:rPr>
        <w:t xml:space="preserve">a proposal on proposed populations for access to obesity treatments provided by the RACGP </w:t>
      </w:r>
      <w:r w:rsidR="00D90F53">
        <w:rPr>
          <w:szCs w:val="24"/>
        </w:rPr>
        <w:t xml:space="preserve">Obesity </w:t>
      </w:r>
      <w:r>
        <w:rPr>
          <w:szCs w:val="24"/>
        </w:rPr>
        <w:t>Specific Interest Group</w:t>
      </w:r>
    </w:p>
    <w:p w14:paraId="05B1A0C3" w14:textId="77777777" w:rsidR="0070655E" w:rsidRDefault="0070655E" w:rsidP="0070655E">
      <w:pPr>
        <w:pStyle w:val="3Bodytext"/>
        <w:numPr>
          <w:ilvl w:val="2"/>
          <w:numId w:val="1"/>
        </w:numPr>
        <w:spacing w:before="120"/>
        <w:jc w:val="both"/>
        <w:rPr>
          <w:szCs w:val="24"/>
        </w:rPr>
      </w:pPr>
      <w:r>
        <w:rPr>
          <w:szCs w:val="24"/>
        </w:rPr>
        <w:t>populations with subsidised access to obesity treatments in the UK</w:t>
      </w:r>
    </w:p>
    <w:p w14:paraId="0A70FCBC" w14:textId="77777777" w:rsidR="0070655E" w:rsidRDefault="0070655E" w:rsidP="0070655E">
      <w:pPr>
        <w:pStyle w:val="3Bodytext"/>
        <w:numPr>
          <w:ilvl w:val="2"/>
          <w:numId w:val="1"/>
        </w:numPr>
        <w:spacing w:before="120"/>
        <w:jc w:val="both"/>
        <w:rPr>
          <w:szCs w:val="24"/>
        </w:rPr>
      </w:pPr>
      <w:r>
        <w:rPr>
          <w:szCs w:val="24"/>
        </w:rPr>
        <w:t xml:space="preserve">other potential priority populations identified by the Department through journal and media articles, letters to the Minister, consumer comments on previous PBAC items, and previous PBAC advice. </w:t>
      </w:r>
    </w:p>
    <w:p w14:paraId="2F9A7999" w14:textId="1B162296" w:rsidR="00877E89" w:rsidRDefault="00877E89" w:rsidP="00877E89">
      <w:pPr>
        <w:pStyle w:val="3Bodytext"/>
        <w:keepNext/>
        <w:keepLines/>
        <w:jc w:val="both"/>
      </w:pPr>
      <w:r w:rsidRPr="002760E3">
        <w:lastRenderedPageBreak/>
        <w:t>Other potential priority populations</w:t>
      </w:r>
      <w:r>
        <w:t xml:space="preserve"> for access to obesity treatments </w:t>
      </w:r>
      <w:r w:rsidR="00566F3E">
        <w:t>may</w:t>
      </w:r>
      <w:r>
        <w:t xml:space="preserve"> include:</w:t>
      </w:r>
    </w:p>
    <w:p w14:paraId="5437BF0B" w14:textId="0B7DC6AF" w:rsidR="00877E89" w:rsidRDefault="00877E89" w:rsidP="00D31F60">
      <w:pPr>
        <w:pStyle w:val="3Bodytext"/>
        <w:numPr>
          <w:ilvl w:val="0"/>
          <w:numId w:val="44"/>
        </w:numPr>
        <w:ind w:left="1208" w:hanging="357"/>
        <w:jc w:val="both"/>
      </w:pPr>
      <w:r>
        <w:t xml:space="preserve">people with </w:t>
      </w:r>
      <w:r w:rsidRPr="002760E3">
        <w:t>monogenic</w:t>
      </w:r>
      <w:r>
        <w:t xml:space="preserve"> obesity e.g. mutations in </w:t>
      </w:r>
      <w:r w:rsidR="0013124E">
        <w:t xml:space="preserve">the </w:t>
      </w:r>
      <w:r>
        <w:t>leptin</w:t>
      </w:r>
      <w:r w:rsidR="0013124E">
        <w:t>-</w:t>
      </w:r>
      <w:r>
        <w:t>melanocortin pathway</w:t>
      </w:r>
    </w:p>
    <w:p w14:paraId="79A8E860" w14:textId="77777777" w:rsidR="00877E89" w:rsidRDefault="00877E89" w:rsidP="00D31F60">
      <w:pPr>
        <w:pStyle w:val="3Bodytext"/>
        <w:numPr>
          <w:ilvl w:val="0"/>
          <w:numId w:val="44"/>
        </w:numPr>
        <w:ind w:left="1208" w:hanging="357"/>
        <w:jc w:val="both"/>
      </w:pPr>
      <w:r>
        <w:t xml:space="preserve">people with </w:t>
      </w:r>
      <w:r w:rsidRPr="002760E3">
        <w:t>syndromic obesity</w:t>
      </w:r>
      <w:r>
        <w:t xml:space="preserve"> e.g. Prader-Willi syndrome</w:t>
      </w:r>
    </w:p>
    <w:p w14:paraId="5FE7B3D8" w14:textId="77777777" w:rsidR="00877E89" w:rsidRDefault="00877E89" w:rsidP="00D31F60">
      <w:pPr>
        <w:pStyle w:val="3Bodytext"/>
        <w:numPr>
          <w:ilvl w:val="0"/>
          <w:numId w:val="44"/>
        </w:numPr>
        <w:ind w:left="1208" w:hanging="357"/>
        <w:jc w:val="both"/>
      </w:pPr>
      <w:r w:rsidRPr="002760E3">
        <w:t xml:space="preserve">people with </w:t>
      </w:r>
      <w:r>
        <w:t xml:space="preserve">disability </w:t>
      </w:r>
      <w:r w:rsidRPr="002760E3">
        <w:t xml:space="preserve">e.g. </w:t>
      </w:r>
      <w:r>
        <w:t>spinal cord injury</w:t>
      </w:r>
    </w:p>
    <w:p w14:paraId="56EB40CE" w14:textId="77777777" w:rsidR="00877E89" w:rsidRDefault="00877E89" w:rsidP="00D31F60">
      <w:pPr>
        <w:pStyle w:val="3Bodytext"/>
        <w:numPr>
          <w:ilvl w:val="0"/>
          <w:numId w:val="44"/>
        </w:numPr>
        <w:ind w:left="1208" w:hanging="357"/>
        <w:jc w:val="both"/>
      </w:pPr>
      <w:r>
        <w:t xml:space="preserve">people with </w:t>
      </w:r>
      <w:r w:rsidRPr="002760E3">
        <w:t xml:space="preserve">medical conditions that cause weight gain, e.g. hypothyroidism, </w:t>
      </w:r>
      <w:r>
        <w:t>polycystic ovary syndrome (</w:t>
      </w:r>
      <w:r w:rsidRPr="002760E3">
        <w:t>PCOS</w:t>
      </w:r>
      <w:r>
        <w:t>)</w:t>
      </w:r>
    </w:p>
    <w:p w14:paraId="1A2208CA" w14:textId="77777777" w:rsidR="00877E89" w:rsidRDefault="00877E89" w:rsidP="00D31F60">
      <w:pPr>
        <w:pStyle w:val="3Bodytext"/>
        <w:numPr>
          <w:ilvl w:val="0"/>
          <w:numId w:val="44"/>
        </w:numPr>
        <w:ind w:left="1208" w:hanging="357"/>
        <w:jc w:val="both"/>
      </w:pPr>
      <w:r>
        <w:t xml:space="preserve">people using </w:t>
      </w:r>
      <w:r w:rsidRPr="002760E3">
        <w:t>medications that cause weight gain, e.g. anti-psychotics</w:t>
      </w:r>
      <w:r>
        <w:t>, steroids</w:t>
      </w:r>
    </w:p>
    <w:p w14:paraId="26B7DAB7" w14:textId="77777777" w:rsidR="00877E89" w:rsidRDefault="00877E89" w:rsidP="00D31F60">
      <w:pPr>
        <w:pStyle w:val="3Bodytext"/>
        <w:numPr>
          <w:ilvl w:val="0"/>
          <w:numId w:val="44"/>
        </w:numPr>
        <w:ind w:left="1208" w:hanging="357"/>
        <w:jc w:val="both"/>
      </w:pPr>
      <w:r>
        <w:t>people with severe mental health illness experiencing weight-related comorbidities</w:t>
      </w:r>
    </w:p>
    <w:p w14:paraId="764E7432" w14:textId="77777777" w:rsidR="00877E89" w:rsidRDefault="00877E89" w:rsidP="00D31F60">
      <w:pPr>
        <w:pStyle w:val="3Bodytext"/>
        <w:numPr>
          <w:ilvl w:val="0"/>
          <w:numId w:val="44"/>
        </w:numPr>
        <w:ind w:left="1208" w:hanging="357"/>
        <w:jc w:val="both"/>
      </w:pPr>
      <w:r>
        <w:t>adolescents and young adults with obesity</w:t>
      </w:r>
    </w:p>
    <w:p w14:paraId="217A88BC" w14:textId="77777777" w:rsidR="00533A4F" w:rsidRDefault="00877E89" w:rsidP="00566F3E">
      <w:pPr>
        <w:pStyle w:val="3Bodytext"/>
        <w:numPr>
          <w:ilvl w:val="0"/>
          <w:numId w:val="44"/>
        </w:numPr>
        <w:ind w:left="1208" w:hanging="357"/>
        <w:jc w:val="both"/>
      </w:pPr>
      <w:r>
        <w:t>Aboriginal and Torres Strait Islander adolescents on a growth trajectory towards obesity</w:t>
      </w:r>
    </w:p>
    <w:p w14:paraId="508CD05D" w14:textId="46CE8346" w:rsidR="00877E89" w:rsidRPr="00EA1FA2" w:rsidRDefault="000C57CB" w:rsidP="00D31F60">
      <w:pPr>
        <w:pStyle w:val="3Bodytext"/>
        <w:numPr>
          <w:ilvl w:val="0"/>
          <w:numId w:val="44"/>
        </w:numPr>
        <w:ind w:left="1208" w:hanging="357"/>
        <w:jc w:val="both"/>
      </w:pPr>
      <w:r>
        <w:t>people on low incomes, unable to afford to access GLP-1 therapy privately</w:t>
      </w:r>
      <w:r w:rsidR="00877E89">
        <w:t>.</w:t>
      </w:r>
    </w:p>
    <w:p w14:paraId="2B9C6C00" w14:textId="5D8DC843" w:rsidR="0070655E" w:rsidRDefault="0070655E" w:rsidP="0070655E">
      <w:pPr>
        <w:pStyle w:val="3Bodytext"/>
        <w:rPr>
          <w:szCs w:val="24"/>
        </w:rPr>
      </w:pPr>
      <w:r>
        <w:rPr>
          <w:szCs w:val="24"/>
        </w:rPr>
        <w:t>The Working Group agreed that the modelling work could be undertaken using the</w:t>
      </w:r>
      <w:r w:rsidRPr="008B2E75">
        <w:t xml:space="preserve"> </w:t>
      </w:r>
      <w:r>
        <w:t>Person Level Integrated Data Asset (PLIDA) linked to the 2022 National Health Survey (NHS) and the National Aboriginal and Torres Strait Islander Health Survey (NATSIHS) 2022-23</w:t>
      </w:r>
      <w:r>
        <w:rPr>
          <w:szCs w:val="24"/>
        </w:rPr>
        <w:t xml:space="preserve">, and the </w:t>
      </w:r>
      <w:r w:rsidR="00ED5996">
        <w:rPr>
          <w:szCs w:val="24"/>
        </w:rPr>
        <w:t xml:space="preserve">2021 </w:t>
      </w:r>
      <w:r>
        <w:rPr>
          <w:szCs w:val="24"/>
        </w:rPr>
        <w:t xml:space="preserve">Census </w:t>
      </w:r>
      <w:r w:rsidR="00425EF9">
        <w:rPr>
          <w:szCs w:val="24"/>
        </w:rPr>
        <w:t xml:space="preserve">of Population and Housing </w:t>
      </w:r>
      <w:r>
        <w:rPr>
          <w:szCs w:val="24"/>
        </w:rPr>
        <w:t xml:space="preserve">(for cultural/ethnicity data). </w:t>
      </w:r>
    </w:p>
    <w:p w14:paraId="2AE7FC37" w14:textId="77777777" w:rsidR="0070655E" w:rsidRDefault="0070655E" w:rsidP="00FA3702">
      <w:pPr>
        <w:pStyle w:val="3Bodytext"/>
        <w:spacing w:before="120"/>
        <w:rPr>
          <w:szCs w:val="24"/>
        </w:rPr>
      </w:pPr>
      <w:r>
        <w:rPr>
          <w:szCs w:val="24"/>
        </w:rPr>
        <w:t>The Working Group agreed to model the following cohorts:</w:t>
      </w:r>
    </w:p>
    <w:p w14:paraId="20C39702" w14:textId="17ED523E" w:rsidR="0070655E" w:rsidRPr="008B2E75" w:rsidRDefault="0070655E" w:rsidP="00FA3702">
      <w:pPr>
        <w:pStyle w:val="3Bodytext"/>
        <w:numPr>
          <w:ilvl w:val="2"/>
          <w:numId w:val="1"/>
        </w:numPr>
        <w:spacing w:before="120"/>
        <w:ind w:left="1208" w:hanging="357"/>
        <w:jc w:val="both"/>
        <w:rPr>
          <w:szCs w:val="24"/>
        </w:rPr>
      </w:pPr>
      <w:r>
        <w:rPr>
          <w:szCs w:val="24"/>
        </w:rPr>
        <w:t>P</w:t>
      </w:r>
      <w:r w:rsidR="00FA3702">
        <w:rPr>
          <w:szCs w:val="24"/>
        </w:rPr>
        <w:t>eople</w:t>
      </w:r>
      <w:r>
        <w:rPr>
          <w:szCs w:val="24"/>
        </w:rPr>
        <w:t xml:space="preserve"> with BMI </w:t>
      </w:r>
      <w:r>
        <w:t>≥35 kg/m</w:t>
      </w:r>
      <w:r w:rsidRPr="008B2E75">
        <w:rPr>
          <w:vertAlign w:val="superscript"/>
        </w:rPr>
        <w:t>2</w:t>
      </w:r>
      <w:r>
        <w:t>, or with BMI ≥32.5</w:t>
      </w:r>
      <w:r w:rsidRPr="00925602">
        <w:t xml:space="preserve"> </w:t>
      </w:r>
      <w:r>
        <w:t>kg/m</w:t>
      </w:r>
      <w:r w:rsidRPr="008B2E75">
        <w:rPr>
          <w:vertAlign w:val="superscript"/>
        </w:rPr>
        <w:t>2</w:t>
      </w:r>
      <w:r>
        <w:rPr>
          <w:vertAlign w:val="superscript"/>
        </w:rPr>
        <w:t xml:space="preserve"> </w:t>
      </w:r>
      <w:r>
        <w:t xml:space="preserve">for all ethnicities considered to be at higher cardiometabolic risk (including Aboriginal and Torres Strait Islander, Asian, Arab, African, Black Caribbean, </w:t>
      </w:r>
      <w:r w:rsidR="00425EF9">
        <w:t xml:space="preserve">Pacific Islander, </w:t>
      </w:r>
      <w:r>
        <w:t xml:space="preserve">or </w:t>
      </w:r>
      <w:r w:rsidR="00425EF9">
        <w:t xml:space="preserve">other </w:t>
      </w:r>
      <w:r>
        <w:t>First Nations ethnicity), AND</w:t>
      </w:r>
      <w:r w:rsidR="00E42141">
        <w:t xml:space="preserve"> </w:t>
      </w:r>
      <w:r w:rsidR="003256D0">
        <w:t xml:space="preserve">any of the following </w:t>
      </w:r>
      <w:r w:rsidR="00000A7B">
        <w:t xml:space="preserve">‘restrictive’ </w:t>
      </w:r>
      <w:r w:rsidR="003256D0">
        <w:t>list of co-morbidities:</w:t>
      </w:r>
    </w:p>
    <w:p w14:paraId="0A84F714" w14:textId="15708EA5" w:rsidR="0070655E" w:rsidRDefault="00D90F53" w:rsidP="00FA3702">
      <w:pPr>
        <w:pStyle w:val="3Bodytext"/>
        <w:numPr>
          <w:ilvl w:val="3"/>
          <w:numId w:val="1"/>
        </w:numPr>
        <w:spacing w:after="0"/>
        <w:ind w:left="1491" w:hanging="357"/>
      </w:pPr>
      <w:r>
        <w:t>e</w:t>
      </w:r>
      <w:r w:rsidR="0070655E">
        <w:t>stablished cardiovascular disease (CVD), OR</w:t>
      </w:r>
    </w:p>
    <w:p w14:paraId="2A077B74" w14:textId="685217EF" w:rsidR="0070655E" w:rsidRDefault="00D90F53" w:rsidP="005208EA">
      <w:pPr>
        <w:pStyle w:val="3Bodytext"/>
        <w:numPr>
          <w:ilvl w:val="3"/>
          <w:numId w:val="1"/>
        </w:numPr>
        <w:spacing w:after="0"/>
        <w:ind w:left="1491" w:hanging="357"/>
      </w:pPr>
      <w:r>
        <w:t>c</w:t>
      </w:r>
      <w:r w:rsidR="0070655E">
        <w:t>hronic kidney disease (CKD), OR</w:t>
      </w:r>
    </w:p>
    <w:p w14:paraId="7C17EC06" w14:textId="0F091DEC" w:rsidR="0070655E" w:rsidRDefault="00D90F53" w:rsidP="00FA3702">
      <w:pPr>
        <w:pStyle w:val="3Bodytext"/>
        <w:numPr>
          <w:ilvl w:val="3"/>
          <w:numId w:val="1"/>
        </w:numPr>
        <w:spacing w:after="0"/>
        <w:ind w:left="1491" w:hanging="357"/>
      </w:pPr>
      <w:r>
        <w:t>type 2 diabetes mellitus (T2DM)</w:t>
      </w:r>
      <w:r w:rsidR="0070655E">
        <w:t>, OR</w:t>
      </w:r>
    </w:p>
    <w:p w14:paraId="3CC6AF0C" w14:textId="2B609512" w:rsidR="0070655E" w:rsidRDefault="00D90F53" w:rsidP="00FA3702">
      <w:pPr>
        <w:pStyle w:val="3Bodytext"/>
        <w:numPr>
          <w:ilvl w:val="3"/>
          <w:numId w:val="1"/>
        </w:numPr>
        <w:spacing w:after="0"/>
        <w:ind w:left="1491" w:hanging="357"/>
      </w:pPr>
      <w:r>
        <w:t>o</w:t>
      </w:r>
      <w:r w:rsidR="0070655E">
        <w:t>bstructive sleep apnoea (OSA).</w:t>
      </w:r>
    </w:p>
    <w:p w14:paraId="2D36256B" w14:textId="6E5E2EA4" w:rsidR="0070655E" w:rsidRDefault="00D90F53" w:rsidP="00FA3702">
      <w:pPr>
        <w:pStyle w:val="ListParagraph"/>
        <w:numPr>
          <w:ilvl w:val="2"/>
          <w:numId w:val="1"/>
        </w:numPr>
        <w:spacing w:before="120"/>
        <w:rPr>
          <w:rFonts w:eastAsiaTheme="minorHAnsi" w:cstheme="minorBidi"/>
          <w:snapToGrid/>
        </w:rPr>
      </w:pPr>
      <w:r w:rsidRPr="00D90F53">
        <w:rPr>
          <w:rFonts w:eastAsiaTheme="minorHAnsi" w:cstheme="minorBidi"/>
          <w:snapToGrid/>
        </w:rPr>
        <w:t xml:space="preserve">Aboriginal and Torres Strait Islanders </w:t>
      </w:r>
      <w:r>
        <w:rPr>
          <w:rFonts w:eastAsiaTheme="minorHAnsi" w:cstheme="minorBidi"/>
          <w:snapToGrid/>
        </w:rPr>
        <w:t xml:space="preserve">with </w:t>
      </w:r>
      <w:r w:rsidRPr="00D90F53">
        <w:rPr>
          <w:rFonts w:eastAsiaTheme="minorHAnsi" w:cstheme="minorBidi"/>
          <w:snapToGrid/>
        </w:rPr>
        <w:t>BMI ≥32.5</w:t>
      </w:r>
      <w:r>
        <w:rPr>
          <w:rFonts w:eastAsiaTheme="minorHAnsi" w:cstheme="minorBidi"/>
          <w:snapToGrid/>
        </w:rPr>
        <w:t xml:space="preserve"> </w:t>
      </w:r>
      <w:r>
        <w:t>kg/m</w:t>
      </w:r>
      <w:r w:rsidRPr="008B2E75">
        <w:rPr>
          <w:vertAlign w:val="superscript"/>
        </w:rPr>
        <w:t>2</w:t>
      </w:r>
      <w:r w:rsidRPr="00D90F53">
        <w:rPr>
          <w:rFonts w:eastAsiaTheme="minorHAnsi" w:cstheme="minorBidi"/>
          <w:snapToGrid/>
        </w:rPr>
        <w:t>.</w:t>
      </w:r>
    </w:p>
    <w:p w14:paraId="00F3C7D4" w14:textId="1DA1B6A6" w:rsidR="00FA3702" w:rsidRPr="008B2E75" w:rsidRDefault="00FA3702" w:rsidP="00FA3702">
      <w:pPr>
        <w:pStyle w:val="3Bodytext"/>
        <w:numPr>
          <w:ilvl w:val="2"/>
          <w:numId w:val="1"/>
        </w:numPr>
        <w:spacing w:before="120"/>
        <w:ind w:left="1208" w:hanging="357"/>
        <w:jc w:val="both"/>
        <w:rPr>
          <w:szCs w:val="24"/>
        </w:rPr>
      </w:pPr>
      <w:r>
        <w:rPr>
          <w:szCs w:val="24"/>
        </w:rPr>
        <w:t xml:space="preserve">People with BMI </w:t>
      </w:r>
      <w:r>
        <w:t>≥35 kg/m</w:t>
      </w:r>
      <w:r w:rsidRPr="008B2E75">
        <w:rPr>
          <w:vertAlign w:val="superscript"/>
        </w:rPr>
        <w:t>2</w:t>
      </w:r>
      <w:r>
        <w:t>, or with BMI ≥32.5</w:t>
      </w:r>
      <w:r w:rsidRPr="00925602">
        <w:t xml:space="preserve"> </w:t>
      </w:r>
      <w:r>
        <w:t>kg/m</w:t>
      </w:r>
      <w:r w:rsidRPr="008B2E75">
        <w:rPr>
          <w:vertAlign w:val="superscript"/>
        </w:rPr>
        <w:t>2</w:t>
      </w:r>
      <w:r>
        <w:rPr>
          <w:vertAlign w:val="superscript"/>
        </w:rPr>
        <w:t xml:space="preserve"> </w:t>
      </w:r>
      <w:r>
        <w:t>for all ethnicities considered to be at higher cardiometabolic risk (see above), AND</w:t>
      </w:r>
      <w:r w:rsidR="003256D0">
        <w:t xml:space="preserve"> </w:t>
      </w:r>
    </w:p>
    <w:p w14:paraId="45A43E73" w14:textId="7D3B7790" w:rsidR="008D3D3D" w:rsidRDefault="00FA3702" w:rsidP="005208EA">
      <w:pPr>
        <w:pStyle w:val="3Bodytext"/>
        <w:numPr>
          <w:ilvl w:val="3"/>
          <w:numId w:val="1"/>
        </w:numPr>
        <w:spacing w:after="0"/>
        <w:ind w:left="1491" w:hanging="357"/>
      </w:pPr>
      <w:r>
        <w:rPr>
          <w:rFonts w:cs="Calibri"/>
        </w:rPr>
        <w:t>≥</w:t>
      </w:r>
      <w:r>
        <w:t xml:space="preserve"> 5 weight-related comorbidities</w:t>
      </w:r>
    </w:p>
    <w:p w14:paraId="1D619F0C" w14:textId="5E4CA8D7" w:rsidR="00FA3702" w:rsidRDefault="00FA3702" w:rsidP="005208EA">
      <w:pPr>
        <w:pStyle w:val="3Bodytext"/>
        <w:numPr>
          <w:ilvl w:val="3"/>
          <w:numId w:val="1"/>
        </w:numPr>
        <w:spacing w:after="0"/>
        <w:ind w:left="1491" w:hanging="357"/>
      </w:pPr>
      <w:r>
        <w:rPr>
          <w:rFonts w:cs="Calibri"/>
        </w:rPr>
        <w:t>≥</w:t>
      </w:r>
      <w:r>
        <w:t xml:space="preserve"> 4 weight-related comorbidities</w:t>
      </w:r>
    </w:p>
    <w:p w14:paraId="053D1F25" w14:textId="27DAAD3B" w:rsidR="00FA3702" w:rsidRDefault="00FA3702" w:rsidP="005208EA">
      <w:pPr>
        <w:pStyle w:val="3Bodytext"/>
        <w:numPr>
          <w:ilvl w:val="3"/>
          <w:numId w:val="1"/>
        </w:numPr>
        <w:spacing w:after="0"/>
        <w:ind w:left="1491" w:hanging="357"/>
      </w:pPr>
      <w:r>
        <w:rPr>
          <w:rFonts w:cs="Calibri"/>
        </w:rPr>
        <w:t>≥</w:t>
      </w:r>
      <w:r>
        <w:t xml:space="preserve"> 3</w:t>
      </w:r>
      <w:r w:rsidRPr="00FA3702">
        <w:t xml:space="preserve"> </w:t>
      </w:r>
      <w:r>
        <w:t>weight-related comorbidities</w:t>
      </w:r>
    </w:p>
    <w:p w14:paraId="482C6C6B" w14:textId="77777777" w:rsidR="00D41C3C" w:rsidRDefault="00FA3702" w:rsidP="005208EA">
      <w:pPr>
        <w:pStyle w:val="3Bodytext"/>
        <w:numPr>
          <w:ilvl w:val="3"/>
          <w:numId w:val="1"/>
        </w:numPr>
        <w:spacing w:after="0"/>
        <w:ind w:left="1491" w:hanging="357"/>
      </w:pPr>
      <w:r>
        <w:rPr>
          <w:rFonts w:cs="Calibri"/>
        </w:rPr>
        <w:t>≥</w:t>
      </w:r>
      <w:r>
        <w:t xml:space="preserve"> 2</w:t>
      </w:r>
      <w:r w:rsidRPr="00FA3702">
        <w:t xml:space="preserve"> </w:t>
      </w:r>
      <w:r>
        <w:t>weight-related comorbidities</w:t>
      </w:r>
    </w:p>
    <w:p w14:paraId="115FA7C1" w14:textId="7307CEE1" w:rsidR="00FA3702" w:rsidRDefault="000A70C4" w:rsidP="000A70C4">
      <w:pPr>
        <w:pStyle w:val="3Bodytext"/>
        <w:numPr>
          <w:ilvl w:val="3"/>
          <w:numId w:val="1"/>
        </w:numPr>
        <w:spacing w:after="0"/>
        <w:ind w:left="1491" w:hanging="357"/>
      </w:pPr>
      <w:r>
        <w:rPr>
          <w:rFonts w:cs="Calibri"/>
        </w:rPr>
        <w:t>≥</w:t>
      </w:r>
      <w:r>
        <w:t xml:space="preserve"> 1</w:t>
      </w:r>
      <w:r w:rsidRPr="00FA3702">
        <w:t xml:space="preserve"> </w:t>
      </w:r>
      <w:r>
        <w:t>weight-related comorbidity</w:t>
      </w:r>
      <w:r w:rsidR="00FA3702">
        <w:t>.</w:t>
      </w:r>
    </w:p>
    <w:p w14:paraId="502F84FB" w14:textId="7534F886" w:rsidR="00813771" w:rsidRDefault="00601DAE" w:rsidP="00E773E9">
      <w:pPr>
        <w:pStyle w:val="3Bodytext"/>
        <w:keepNext/>
        <w:keepLines/>
        <w:spacing w:before="120"/>
      </w:pPr>
      <w:r>
        <w:lastRenderedPageBreak/>
        <w:t xml:space="preserve">For </w:t>
      </w:r>
      <w:r w:rsidR="00B520E8">
        <w:t xml:space="preserve">the </w:t>
      </w:r>
      <w:r w:rsidR="00F71406">
        <w:t>analysis</w:t>
      </w:r>
      <w:r w:rsidR="003C21FF">
        <w:t xml:space="preserve"> </w:t>
      </w:r>
      <w:r w:rsidR="00FC1596">
        <w:t xml:space="preserve">above </w:t>
      </w:r>
      <w:r w:rsidR="009F3F1C">
        <w:t>considering the number of weight-related comorbidities</w:t>
      </w:r>
      <w:r w:rsidR="00D9102F">
        <w:t>, t</w:t>
      </w:r>
      <w:r w:rsidR="00813771">
        <w:t xml:space="preserve">he PBAC Working Group recommended the following </w:t>
      </w:r>
      <w:r w:rsidR="00F71406">
        <w:t>‘</w:t>
      </w:r>
      <w:r w:rsidR="00813771">
        <w:t>broad</w:t>
      </w:r>
      <w:r w:rsidR="003C21FF">
        <w:t>er</w:t>
      </w:r>
      <w:r w:rsidR="00F71406">
        <w:t>’</w:t>
      </w:r>
      <w:r w:rsidR="00813771">
        <w:t xml:space="preserve"> list be included: </w:t>
      </w:r>
    </w:p>
    <w:p w14:paraId="4A0D66C1" w14:textId="770CD622" w:rsidR="00813771" w:rsidRDefault="00813771" w:rsidP="00E773E9">
      <w:pPr>
        <w:pStyle w:val="3Bodytext"/>
        <w:keepNext/>
        <w:keepLines/>
        <w:numPr>
          <w:ilvl w:val="2"/>
          <w:numId w:val="1"/>
        </w:numPr>
        <w:spacing w:after="0"/>
        <w:ind w:left="1208" w:hanging="357"/>
      </w:pPr>
      <w:r>
        <w:t>CVD</w:t>
      </w:r>
      <w:r w:rsidR="00DF1F60">
        <w:t xml:space="preserve"> (included in ‘restrictive’ list)</w:t>
      </w:r>
    </w:p>
    <w:p w14:paraId="7F2BD539" w14:textId="2D86FDD0" w:rsidR="00813771" w:rsidRDefault="00813771" w:rsidP="00813771">
      <w:pPr>
        <w:pStyle w:val="3Bodytext"/>
        <w:numPr>
          <w:ilvl w:val="2"/>
          <w:numId w:val="1"/>
        </w:numPr>
        <w:spacing w:after="0"/>
        <w:ind w:left="1208" w:hanging="357"/>
      </w:pPr>
      <w:r>
        <w:t>CKD</w:t>
      </w:r>
      <w:r w:rsidR="00DF1F60">
        <w:t xml:space="preserve"> (included in ‘restrictive’ list)</w:t>
      </w:r>
    </w:p>
    <w:p w14:paraId="4F9FE71D" w14:textId="2BDE68D6" w:rsidR="00813771" w:rsidRDefault="00813771" w:rsidP="00813771">
      <w:pPr>
        <w:pStyle w:val="3Bodytext"/>
        <w:numPr>
          <w:ilvl w:val="2"/>
          <w:numId w:val="1"/>
        </w:numPr>
        <w:spacing w:after="0"/>
        <w:ind w:left="1208" w:hanging="357"/>
      </w:pPr>
      <w:r>
        <w:t>T2DM</w:t>
      </w:r>
      <w:r w:rsidR="00DF1F60">
        <w:t xml:space="preserve"> (included in ‘restrictive’ list)</w:t>
      </w:r>
    </w:p>
    <w:p w14:paraId="447223AB" w14:textId="67D8B75D" w:rsidR="00813771" w:rsidRDefault="00813771" w:rsidP="00813771">
      <w:pPr>
        <w:pStyle w:val="3Bodytext"/>
        <w:numPr>
          <w:ilvl w:val="2"/>
          <w:numId w:val="1"/>
        </w:numPr>
        <w:spacing w:after="0"/>
        <w:ind w:left="1208" w:hanging="357"/>
      </w:pPr>
      <w:r>
        <w:t>OSA</w:t>
      </w:r>
      <w:r w:rsidR="00DF1F60">
        <w:t xml:space="preserve"> (included in ‘restrictive’ list)</w:t>
      </w:r>
    </w:p>
    <w:p w14:paraId="69CF32AE" w14:textId="77777777" w:rsidR="00813771" w:rsidRDefault="00813771" w:rsidP="00813771">
      <w:pPr>
        <w:pStyle w:val="3Bodytext"/>
        <w:numPr>
          <w:ilvl w:val="2"/>
          <w:numId w:val="1"/>
        </w:numPr>
        <w:spacing w:after="0"/>
        <w:ind w:left="1208" w:hanging="357"/>
      </w:pPr>
      <w:r>
        <w:t>Dyslipidaemia</w:t>
      </w:r>
    </w:p>
    <w:p w14:paraId="4CD83C10" w14:textId="77777777" w:rsidR="00813771" w:rsidRDefault="00813771" w:rsidP="00813771">
      <w:pPr>
        <w:pStyle w:val="3Bodytext"/>
        <w:numPr>
          <w:ilvl w:val="2"/>
          <w:numId w:val="1"/>
        </w:numPr>
        <w:spacing w:after="0"/>
        <w:ind w:left="1208" w:hanging="357"/>
      </w:pPr>
      <w:r>
        <w:t>Prediabetes</w:t>
      </w:r>
    </w:p>
    <w:p w14:paraId="1E851F83" w14:textId="77777777" w:rsidR="00813771" w:rsidRDefault="00813771" w:rsidP="00813771">
      <w:pPr>
        <w:pStyle w:val="3Bodytext"/>
        <w:numPr>
          <w:ilvl w:val="2"/>
          <w:numId w:val="1"/>
        </w:numPr>
        <w:spacing w:after="0"/>
        <w:ind w:left="1208" w:hanging="357"/>
      </w:pPr>
      <w:r>
        <w:t>Fatty liver disease</w:t>
      </w:r>
    </w:p>
    <w:p w14:paraId="74169511" w14:textId="77777777" w:rsidR="00813771" w:rsidRDefault="00813771" w:rsidP="00813771">
      <w:pPr>
        <w:pStyle w:val="3Bodytext"/>
        <w:numPr>
          <w:ilvl w:val="2"/>
          <w:numId w:val="1"/>
        </w:numPr>
        <w:spacing w:after="0"/>
        <w:ind w:left="1208" w:hanging="357"/>
      </w:pPr>
      <w:r>
        <w:t>Polycystic ovary syndrome (PCOS)</w:t>
      </w:r>
    </w:p>
    <w:p w14:paraId="21619B06" w14:textId="77777777" w:rsidR="00813771" w:rsidRDefault="00813771" w:rsidP="00813771">
      <w:pPr>
        <w:pStyle w:val="3Bodytext"/>
        <w:numPr>
          <w:ilvl w:val="2"/>
          <w:numId w:val="1"/>
        </w:numPr>
        <w:spacing w:after="0"/>
        <w:ind w:left="1208" w:hanging="357"/>
      </w:pPr>
      <w:r>
        <w:t>Hip and knee osteoarthritis</w:t>
      </w:r>
    </w:p>
    <w:p w14:paraId="3884F3BF" w14:textId="77777777" w:rsidR="00813771" w:rsidRDefault="00813771" w:rsidP="00813771">
      <w:pPr>
        <w:pStyle w:val="3Bodytext"/>
        <w:numPr>
          <w:ilvl w:val="2"/>
          <w:numId w:val="1"/>
        </w:numPr>
        <w:spacing w:after="0"/>
        <w:ind w:left="1208" w:hanging="357"/>
      </w:pPr>
      <w:r>
        <w:t>Hypertension</w:t>
      </w:r>
    </w:p>
    <w:p w14:paraId="5F87B390" w14:textId="77777777" w:rsidR="00813771" w:rsidRDefault="00813771" w:rsidP="00813771">
      <w:pPr>
        <w:pStyle w:val="3Bodytext"/>
        <w:numPr>
          <w:ilvl w:val="2"/>
          <w:numId w:val="1"/>
        </w:numPr>
        <w:spacing w:after="0"/>
        <w:ind w:left="1208" w:hanging="357"/>
      </w:pPr>
      <w:r>
        <w:t>Male hypogonadism.</w:t>
      </w:r>
    </w:p>
    <w:p w14:paraId="06F90818" w14:textId="1D29D76A" w:rsidR="00EC3299" w:rsidRDefault="00EC3299" w:rsidP="00EC3299">
      <w:pPr>
        <w:pStyle w:val="3Bodytext"/>
        <w:spacing w:before="120"/>
      </w:pPr>
      <w:r>
        <w:t xml:space="preserve">The </w:t>
      </w:r>
      <w:r w:rsidR="008C6393">
        <w:t xml:space="preserve">PBAC noted the </w:t>
      </w:r>
      <w:r>
        <w:t xml:space="preserve">NHS/NATSIHS codes related to these comorbidities and used for the population modelling. </w:t>
      </w:r>
      <w:r w:rsidR="0022297D">
        <w:t>F</w:t>
      </w:r>
      <w:r>
        <w:t>or many conditions, specific codes were not available and broad codes that may have included additional conditions were used.</w:t>
      </w:r>
    </w:p>
    <w:p w14:paraId="0AED3FD7" w14:textId="71A8B5F0" w:rsidR="004D2AD5" w:rsidRDefault="0099566D" w:rsidP="00F60681">
      <w:pPr>
        <w:pStyle w:val="3Bodytext"/>
        <w:spacing w:before="120"/>
      </w:pPr>
      <w:r>
        <w:t xml:space="preserve">The Working Group members agreed to model </w:t>
      </w:r>
      <w:r w:rsidR="000D7D78">
        <w:t>two definitions of CVD in the preliminary analysis</w:t>
      </w:r>
      <w:r w:rsidR="007A4C12">
        <w:t xml:space="preserve">. </w:t>
      </w:r>
      <w:r w:rsidR="00737C1B">
        <w:t>T</w:t>
      </w:r>
      <w:r w:rsidR="007A4C12">
        <w:t>he</w:t>
      </w:r>
      <w:r w:rsidR="000B48AE">
        <w:t xml:space="preserve"> CVD1 </w:t>
      </w:r>
      <w:r w:rsidR="00320185">
        <w:t>group broadly aligned with people</w:t>
      </w:r>
      <w:r w:rsidR="00AE5ED2">
        <w:t xml:space="preserve"> with established CVD (e.g. prior stroke or </w:t>
      </w:r>
      <w:r w:rsidR="002A7CA3">
        <w:t>m</w:t>
      </w:r>
      <w:r w:rsidR="00AE5ED2">
        <w:t>yocardial infarction</w:t>
      </w:r>
      <w:r w:rsidR="002A7CA3">
        <w:t>)</w:t>
      </w:r>
      <w:r w:rsidR="00320185">
        <w:t xml:space="preserve"> </w:t>
      </w:r>
      <w:r w:rsidR="000B48AE">
        <w:t>and CVD2 group</w:t>
      </w:r>
      <w:r w:rsidR="002A7CA3">
        <w:t xml:space="preserve"> contained people with risk factors for CVD</w:t>
      </w:r>
      <w:r w:rsidR="0049727D">
        <w:t xml:space="preserve">. These groups </w:t>
      </w:r>
      <w:r w:rsidR="000B48AE">
        <w:t>are not mutually exclusive,</w:t>
      </w:r>
      <w:r w:rsidR="00D509FD">
        <w:t xml:space="preserve"> i.e.</w:t>
      </w:r>
      <w:r w:rsidR="000B48AE">
        <w:t xml:space="preserve"> some patients may be counted in both groups. </w:t>
      </w:r>
    </w:p>
    <w:p w14:paraId="282FA44F" w14:textId="1ECE0EF1" w:rsidR="003B3F11" w:rsidRDefault="003B3F11" w:rsidP="00FA3702">
      <w:pPr>
        <w:pStyle w:val="3Bodytext"/>
        <w:spacing w:before="120"/>
      </w:pPr>
      <w:r w:rsidRPr="003B3F11">
        <w:t xml:space="preserve">The </w:t>
      </w:r>
      <w:r w:rsidR="0066752C">
        <w:t xml:space="preserve">PBAC noted that the </w:t>
      </w:r>
      <w:r w:rsidRPr="003B3F11">
        <w:t>Census cultural and ethnic groups selected to be included</w:t>
      </w:r>
      <w:r>
        <w:t xml:space="preserve"> in the lower BMI threshold category for modelling</w:t>
      </w:r>
      <w:r w:rsidR="0066752C">
        <w:t xml:space="preserve"> were</w:t>
      </w:r>
      <w:r>
        <w:t xml:space="preserve"> based on the:</w:t>
      </w:r>
    </w:p>
    <w:p w14:paraId="017F9D45" w14:textId="1BBDF4E7" w:rsidR="003B3F11" w:rsidRDefault="003B3F11" w:rsidP="00FA3702">
      <w:pPr>
        <w:pStyle w:val="3Bodytext"/>
        <w:numPr>
          <w:ilvl w:val="2"/>
          <w:numId w:val="1"/>
        </w:numPr>
        <w:spacing w:after="0"/>
        <w:ind w:left="1208" w:hanging="357"/>
      </w:pPr>
      <w:r>
        <w:t>‘Australian guideline and calculator for assessing and managing cardiovascular disease risk’</w:t>
      </w:r>
      <w:r>
        <w:rPr>
          <w:rStyle w:val="FootnoteReference"/>
        </w:rPr>
        <w:footnoteReference w:id="53"/>
      </w:r>
    </w:p>
    <w:p w14:paraId="02BFBCCE" w14:textId="5F6318FB" w:rsidR="003B3F11" w:rsidRDefault="003B3F11" w:rsidP="00FA3702">
      <w:pPr>
        <w:pStyle w:val="3Bodytext"/>
        <w:numPr>
          <w:ilvl w:val="2"/>
          <w:numId w:val="1"/>
        </w:numPr>
        <w:spacing w:after="0"/>
        <w:ind w:left="1208" w:hanging="357"/>
      </w:pPr>
      <w:r>
        <w:t>any First Nations groups (Māori and Pacific Islander peoples were included based on a New Zealand study</w:t>
      </w:r>
      <w:r>
        <w:rPr>
          <w:rStyle w:val="FootnoteReference"/>
        </w:rPr>
        <w:footnoteReference w:id="54"/>
      </w:r>
      <w:r>
        <w:t>)</w:t>
      </w:r>
    </w:p>
    <w:p w14:paraId="2BAF85C4" w14:textId="3F9F0F2E" w:rsidR="00D90F53" w:rsidRDefault="003B3F11" w:rsidP="00FA3702">
      <w:pPr>
        <w:pStyle w:val="3Bodytext"/>
        <w:numPr>
          <w:ilvl w:val="2"/>
          <w:numId w:val="1"/>
        </w:numPr>
        <w:spacing w:after="0"/>
        <w:ind w:left="1208" w:hanging="357"/>
      </w:pPr>
      <w:r>
        <w:t>any groups identified in Caleyachetty R et al, 2021</w:t>
      </w:r>
      <w:r>
        <w:rPr>
          <w:rStyle w:val="FootnoteReference"/>
        </w:rPr>
        <w:footnoteReference w:id="55"/>
      </w:r>
      <w:r>
        <w:t xml:space="preserve"> as having a BMI threshold for obesity less than White/European populations (e.g. Asian, </w:t>
      </w:r>
      <w:r w:rsidR="0092544C">
        <w:t xml:space="preserve">Arab, </w:t>
      </w:r>
      <w:r>
        <w:t>Black Caribbean, African)</w:t>
      </w:r>
    </w:p>
    <w:p w14:paraId="7E707B60" w14:textId="0FB9B1B4" w:rsidR="003B3F11" w:rsidRDefault="000A2204" w:rsidP="00FA3702">
      <w:pPr>
        <w:pStyle w:val="3Bodytext"/>
        <w:numPr>
          <w:ilvl w:val="2"/>
          <w:numId w:val="1"/>
        </w:numPr>
        <w:spacing w:after="0"/>
        <w:ind w:left="1208" w:hanging="357"/>
      </w:pPr>
      <w:r>
        <w:lastRenderedPageBreak/>
        <w:t xml:space="preserve">people of </w:t>
      </w:r>
      <w:r w:rsidR="003B3F11">
        <w:t>Hispanic</w:t>
      </w:r>
      <w:r w:rsidR="0092544C">
        <w:t xml:space="preserve"> ethnicity.</w:t>
      </w:r>
      <w:r w:rsidR="006F18C9">
        <w:rPr>
          <w:rStyle w:val="FootnoteReference"/>
        </w:rPr>
        <w:footnoteReference w:id="56"/>
      </w:r>
      <w:r w:rsidR="0092544C" w:rsidRPr="0092544C">
        <w:rPr>
          <w:vertAlign w:val="superscript"/>
        </w:rPr>
        <w:t>,</w:t>
      </w:r>
      <w:r w:rsidR="00D000FE">
        <w:rPr>
          <w:rStyle w:val="FootnoteReference"/>
        </w:rPr>
        <w:footnoteReference w:id="57"/>
      </w:r>
    </w:p>
    <w:p w14:paraId="20E662DD" w14:textId="2680DACA" w:rsidR="005973ED" w:rsidRDefault="007948E8" w:rsidP="0079348D">
      <w:pPr>
        <w:pStyle w:val="3Bodytext"/>
        <w:spacing w:before="120"/>
      </w:pPr>
      <w:r>
        <w:t>The PBAC Working Group noted</w:t>
      </w:r>
      <w:r w:rsidR="005973ED">
        <w:t>:</w:t>
      </w:r>
    </w:p>
    <w:p w14:paraId="05C01111" w14:textId="26B30952" w:rsidR="00141662" w:rsidRDefault="00370222" w:rsidP="005973ED">
      <w:pPr>
        <w:pStyle w:val="3Bodytext"/>
        <w:numPr>
          <w:ilvl w:val="2"/>
          <w:numId w:val="1"/>
        </w:numPr>
        <w:spacing w:before="120"/>
      </w:pPr>
      <w:r>
        <w:t>G</w:t>
      </w:r>
      <w:r w:rsidR="00D71C80">
        <w:t>iven the large number of ethnicities</w:t>
      </w:r>
      <w:r w:rsidR="00DC1F34">
        <w:t xml:space="preserve"> potentially</w:t>
      </w:r>
      <w:r>
        <w:t xml:space="preserve"> at </w:t>
      </w:r>
      <w:r w:rsidR="00DC1F34">
        <w:t>higher cardiometabolic risk than White/European populations</w:t>
      </w:r>
      <w:r w:rsidR="00D71C80">
        <w:t xml:space="preserve">, there may need to be a pragmatic solution regarding wording for any potential PBS restriction. </w:t>
      </w:r>
    </w:p>
    <w:p w14:paraId="54E0856E" w14:textId="77777777" w:rsidR="00787330" w:rsidRDefault="00787330" w:rsidP="00787330">
      <w:pPr>
        <w:pStyle w:val="3Bodytext"/>
        <w:numPr>
          <w:ilvl w:val="2"/>
          <w:numId w:val="1"/>
        </w:numPr>
        <w:spacing w:before="120"/>
      </w:pPr>
      <w:r>
        <w:t>It may be challenging for prescribers and Services Australia to determine ethnicity and interpret PBS restrictions related to this patient characteristic.</w:t>
      </w:r>
    </w:p>
    <w:p w14:paraId="7BAA71E6" w14:textId="57E92CDC" w:rsidR="00787330" w:rsidRDefault="00787330" w:rsidP="00787330">
      <w:pPr>
        <w:pStyle w:val="3Bodytext"/>
        <w:numPr>
          <w:ilvl w:val="2"/>
          <w:numId w:val="1"/>
        </w:numPr>
        <w:spacing w:before="120"/>
      </w:pPr>
      <w:r>
        <w:t xml:space="preserve">It would be difficult to undertake PBS compliance activities related to BMI. </w:t>
      </w:r>
    </w:p>
    <w:p w14:paraId="167A7DC9" w14:textId="6384C7D2" w:rsidR="007948E8" w:rsidRDefault="004F7F53" w:rsidP="005973ED">
      <w:pPr>
        <w:pStyle w:val="3Bodytext"/>
        <w:numPr>
          <w:ilvl w:val="2"/>
          <w:numId w:val="1"/>
        </w:numPr>
        <w:spacing w:before="120"/>
      </w:pPr>
      <w:r>
        <w:t xml:space="preserve">The modelling work could be used to highlight </w:t>
      </w:r>
      <w:r w:rsidR="00141662">
        <w:t xml:space="preserve">the </w:t>
      </w:r>
      <w:r>
        <w:t>potential limitations of the available datasets and data collection to inform compliance with PBS restrictions.</w:t>
      </w:r>
    </w:p>
    <w:p w14:paraId="29628904" w14:textId="736B250E" w:rsidR="00370222" w:rsidRPr="00370222" w:rsidRDefault="00787330" w:rsidP="00370222">
      <w:pPr>
        <w:pStyle w:val="ListParagraph"/>
        <w:numPr>
          <w:ilvl w:val="2"/>
          <w:numId w:val="1"/>
        </w:numPr>
        <w:rPr>
          <w:rFonts w:eastAsiaTheme="minorHAnsi" w:cstheme="minorBidi"/>
          <w:snapToGrid/>
          <w:szCs w:val="22"/>
        </w:rPr>
      </w:pPr>
      <w:r>
        <w:rPr>
          <w:rFonts w:eastAsiaTheme="minorHAnsi" w:cstheme="minorBidi"/>
          <w:snapToGrid/>
          <w:szCs w:val="22"/>
        </w:rPr>
        <w:t>O</w:t>
      </w:r>
      <w:r w:rsidR="00370222" w:rsidRPr="00370222">
        <w:rPr>
          <w:rFonts w:eastAsiaTheme="minorHAnsi" w:cstheme="minorBidi"/>
          <w:snapToGrid/>
          <w:szCs w:val="22"/>
        </w:rPr>
        <w:t xml:space="preserve">ther measures such as </w:t>
      </w:r>
      <w:r w:rsidR="00BB0D65">
        <w:rPr>
          <w:rFonts w:eastAsiaTheme="minorHAnsi" w:cstheme="minorBidi"/>
          <w:snapToGrid/>
          <w:szCs w:val="22"/>
        </w:rPr>
        <w:t xml:space="preserve">waist circumference or </w:t>
      </w:r>
      <w:r w:rsidR="00370222" w:rsidRPr="00370222">
        <w:rPr>
          <w:rFonts w:eastAsiaTheme="minorHAnsi" w:cstheme="minorBidi"/>
          <w:snapToGrid/>
          <w:szCs w:val="22"/>
        </w:rPr>
        <w:t>waist-to-hip ratio may be more accurate</w:t>
      </w:r>
      <w:r>
        <w:rPr>
          <w:rFonts w:eastAsiaTheme="minorHAnsi" w:cstheme="minorBidi"/>
          <w:snapToGrid/>
          <w:szCs w:val="22"/>
        </w:rPr>
        <w:t xml:space="preserve"> than BMI in determining obesity</w:t>
      </w:r>
      <w:r w:rsidR="00370222" w:rsidRPr="00370222">
        <w:rPr>
          <w:rFonts w:eastAsiaTheme="minorHAnsi" w:cstheme="minorBidi"/>
          <w:snapToGrid/>
          <w:szCs w:val="22"/>
        </w:rPr>
        <w:t xml:space="preserve">. However, it was acknowledged that BMI was the </w:t>
      </w:r>
      <w:r w:rsidRPr="00370222">
        <w:rPr>
          <w:rFonts w:eastAsiaTheme="minorHAnsi" w:cstheme="minorBidi"/>
          <w:snapToGrid/>
          <w:szCs w:val="22"/>
        </w:rPr>
        <w:t>most used</w:t>
      </w:r>
      <w:r w:rsidR="00370222" w:rsidRPr="00370222">
        <w:rPr>
          <w:rFonts w:eastAsiaTheme="minorHAnsi" w:cstheme="minorBidi"/>
          <w:snapToGrid/>
          <w:szCs w:val="22"/>
        </w:rPr>
        <w:t xml:space="preserve"> measure by Australian health practitioners. It was considered that as obesity treatment develops, the appropriateness of using BMI may need to be reviewed.</w:t>
      </w:r>
    </w:p>
    <w:p w14:paraId="12394B2F" w14:textId="6BC1E685" w:rsidR="00370222" w:rsidRDefault="00C84504" w:rsidP="005973ED">
      <w:pPr>
        <w:pStyle w:val="3Bodytext"/>
        <w:numPr>
          <w:ilvl w:val="2"/>
          <w:numId w:val="1"/>
        </w:numPr>
        <w:spacing w:before="120"/>
      </w:pPr>
      <w:r>
        <w:t xml:space="preserve">There is </w:t>
      </w:r>
      <w:r w:rsidR="00690494">
        <w:t>potential</w:t>
      </w:r>
      <w:r>
        <w:t xml:space="preserve"> disagreement between studies regarding populations at higher cardiometabolic risk.</w:t>
      </w:r>
    </w:p>
    <w:p w14:paraId="7123F731" w14:textId="438FE4F2" w:rsidR="00690494" w:rsidRPr="006B265C" w:rsidRDefault="00690494" w:rsidP="005973ED">
      <w:pPr>
        <w:pStyle w:val="3Bodytext"/>
        <w:numPr>
          <w:ilvl w:val="2"/>
          <w:numId w:val="1"/>
        </w:numPr>
        <w:spacing w:before="120"/>
      </w:pPr>
      <w:r w:rsidRPr="006B265C">
        <w:t xml:space="preserve">The </w:t>
      </w:r>
      <w:r w:rsidR="009D2D5C" w:rsidRPr="006B265C">
        <w:t>Census data used self-identified cultural</w:t>
      </w:r>
      <w:r w:rsidR="000F54EF" w:rsidRPr="006B265C">
        <w:t>/ethnic</w:t>
      </w:r>
      <w:r w:rsidR="009D2D5C" w:rsidRPr="006B265C">
        <w:t xml:space="preserve"> group</w:t>
      </w:r>
      <w:r w:rsidR="000F54EF" w:rsidRPr="006B265C">
        <w:t>.</w:t>
      </w:r>
      <w:r w:rsidR="00AA0815" w:rsidRPr="006B265C">
        <w:t xml:space="preserve"> People may identify differently for health risk purposes than their cultural identity for the Census survey, creating a level of uncertainty in these estimates. However, the Census is the only data source that can be linked to PLIDA that provides information on ethnicity, apart from Aboriginal and Torres Strait Islander status.</w:t>
      </w:r>
    </w:p>
    <w:p w14:paraId="0EE31456" w14:textId="2B1EA1B7" w:rsidR="00E17944" w:rsidRDefault="0029265B" w:rsidP="00E17944">
      <w:pPr>
        <w:pStyle w:val="3Bodytext"/>
      </w:pPr>
      <w:r w:rsidRPr="008165A7">
        <w:t>The</w:t>
      </w:r>
      <w:r w:rsidR="008420E2">
        <w:t xml:space="preserve"> recent publication </w:t>
      </w:r>
      <w:r w:rsidR="008165A7" w:rsidRPr="008165A7">
        <w:t>by</w:t>
      </w:r>
      <w:r w:rsidRPr="008165A7">
        <w:t xml:space="preserve"> </w:t>
      </w:r>
      <w:r w:rsidR="008165A7" w:rsidRPr="008165A7">
        <w:t xml:space="preserve">the </w:t>
      </w:r>
      <w:r w:rsidRPr="008165A7">
        <w:t xml:space="preserve">global Commission on Clinical Obesity published </w:t>
      </w:r>
      <w:r w:rsidR="002E2AE1">
        <w:t xml:space="preserve">in </w:t>
      </w:r>
      <w:r w:rsidRPr="008165A7">
        <w:t xml:space="preserve">the </w:t>
      </w:r>
      <w:hyperlink r:id="rId17" w:history="1">
        <w:r w:rsidRPr="008165A7">
          <w:rPr>
            <w:rStyle w:val="Hyperlink"/>
            <w:rFonts w:ascii="Calibri" w:hAnsi="Calibri" w:cs="Calibri"/>
          </w:rPr>
          <w:t>Lancet Diabetes &amp; Endocrinology</w:t>
        </w:r>
      </w:hyperlink>
      <w:r w:rsidR="002E2AE1" w:rsidRPr="008165A7">
        <w:t xml:space="preserve"> </w:t>
      </w:r>
      <w:r w:rsidR="008165A7">
        <w:t>notes</w:t>
      </w:r>
      <w:r w:rsidR="00512F10">
        <w:t xml:space="preserve"> that BMI is a useful screening tool </w:t>
      </w:r>
      <w:r w:rsidR="009114DA">
        <w:t xml:space="preserve">but that </w:t>
      </w:r>
      <w:r w:rsidR="00DB567F">
        <w:t xml:space="preserve">there should be verification of excessive/abnormal adiposity by direct body fat measurement or </w:t>
      </w:r>
      <w:r w:rsidR="00C91289">
        <w:t xml:space="preserve">an additional anthropometric criterion, such as </w:t>
      </w:r>
      <w:r w:rsidR="001D52E8">
        <w:t>waist circumference</w:t>
      </w:r>
      <w:r w:rsidR="00512F10">
        <w:t xml:space="preserve">. The article </w:t>
      </w:r>
      <w:r w:rsidR="00FB2562">
        <w:t>defines clinical obesity as</w:t>
      </w:r>
      <w:r w:rsidR="00B544D5">
        <w:t xml:space="preserve"> “…a chronic, systemic illness characterised by alterations in the function of tissues, organs, the entire individual, or a combination thereof, due to excess adiposit</w:t>
      </w:r>
      <w:r w:rsidR="00E17944">
        <w:t>y….</w:t>
      </w:r>
      <w:r w:rsidR="00E17944" w:rsidRPr="00E17944">
        <w:t xml:space="preserve"> </w:t>
      </w:r>
      <w:r w:rsidR="00E17944">
        <w:t>The diagnosis of Clinical Obesity requires:</w:t>
      </w:r>
    </w:p>
    <w:p w14:paraId="70EA0603" w14:textId="77777777" w:rsidR="00013381" w:rsidRDefault="00E17944" w:rsidP="00013381">
      <w:pPr>
        <w:pStyle w:val="3Bodytext"/>
        <w:numPr>
          <w:ilvl w:val="2"/>
          <w:numId w:val="1"/>
        </w:numPr>
      </w:pPr>
      <w:r>
        <w:t>Clinical confirmation of obesity status by anthropometric criteria or by direct body fat measurement,</w:t>
      </w:r>
    </w:p>
    <w:p w14:paraId="0B188A87" w14:textId="77777777" w:rsidR="00013381" w:rsidRDefault="00E17944" w:rsidP="00013381">
      <w:pPr>
        <w:pStyle w:val="3Bodytext"/>
        <w:numPr>
          <w:ilvl w:val="2"/>
          <w:numId w:val="1"/>
        </w:numPr>
      </w:pPr>
      <w:r>
        <w:lastRenderedPageBreak/>
        <w:t>Plus one or both of the following criteria:</w:t>
      </w:r>
    </w:p>
    <w:p w14:paraId="0ECC16D9" w14:textId="58B8B3E4" w:rsidR="00013381" w:rsidRDefault="00E17944" w:rsidP="002F2B45">
      <w:pPr>
        <w:pStyle w:val="3Bodytext"/>
        <w:numPr>
          <w:ilvl w:val="3"/>
          <w:numId w:val="1"/>
        </w:numPr>
        <w:ind w:left="1491" w:hanging="357"/>
      </w:pPr>
      <w:r>
        <w:t>Evidence of reduced organ/tissue function due to obesity (i</w:t>
      </w:r>
      <w:r w:rsidR="00CA56C2">
        <w:t>.</w:t>
      </w:r>
      <w:r>
        <w:t>e</w:t>
      </w:r>
      <w:r w:rsidR="00CA56C2">
        <w:t>.</w:t>
      </w:r>
      <w:r>
        <w:t>, signs, symptoms and/or diagnostic tests showing</w:t>
      </w:r>
      <w:r w:rsidR="00013381">
        <w:t xml:space="preserve"> </w:t>
      </w:r>
      <w:r>
        <w:t>abnormalities in the function of one or more tissue/organ system),</w:t>
      </w:r>
    </w:p>
    <w:p w14:paraId="403018E1" w14:textId="0857EF61" w:rsidR="002F2B45" w:rsidRDefault="00E17944" w:rsidP="009D0B3C">
      <w:pPr>
        <w:pStyle w:val="3Bodytext"/>
        <w:numPr>
          <w:ilvl w:val="3"/>
          <w:numId w:val="1"/>
        </w:numPr>
        <w:ind w:left="1491" w:hanging="357"/>
      </w:pPr>
      <w:r>
        <w:t>Significant, age-adjusted limitations of day-to-day activities reflecting the specific impact of obesity on mobility and/or</w:t>
      </w:r>
      <w:r w:rsidR="00013381">
        <w:t xml:space="preserve"> </w:t>
      </w:r>
      <w:r>
        <w:t>other basic Activities of Daily Living (ADL=bathing, dressing, toileting, continence, eating)</w:t>
      </w:r>
      <w:r w:rsidR="002F2B45">
        <w:t>”.</w:t>
      </w:r>
      <w:r w:rsidR="001038A3">
        <w:rPr>
          <w:rStyle w:val="FootnoteReference"/>
        </w:rPr>
        <w:footnoteReference w:id="58"/>
      </w:r>
    </w:p>
    <w:p w14:paraId="0BCC3BDC" w14:textId="2DFFA054" w:rsidR="00482AB2" w:rsidRDefault="006354E7" w:rsidP="00482AB2">
      <w:pPr>
        <w:pStyle w:val="3Bodytext"/>
      </w:pPr>
      <w:r>
        <w:t>Similarly, t</w:t>
      </w:r>
      <w:r w:rsidR="00482AB2">
        <w:t>he Edmonton Obesity Staging Sy</w:t>
      </w:r>
      <w:r w:rsidR="0009647C">
        <w:t>s</w:t>
      </w:r>
      <w:r w:rsidR="00482AB2">
        <w:t>tem</w:t>
      </w:r>
      <w:r w:rsidR="00E02CD0">
        <w:t xml:space="preserve"> (EOSS) focuses on functional limitations</w:t>
      </w:r>
      <w:r w:rsidR="003A190F">
        <w:t>, psychological symptoms,</w:t>
      </w:r>
      <w:r w:rsidR="00E02CD0">
        <w:t xml:space="preserve"> and </w:t>
      </w:r>
      <w:r w:rsidR="003A190F">
        <w:t xml:space="preserve">the </w:t>
      </w:r>
      <w:r w:rsidR="00E02CD0">
        <w:t>extent of comorbidities</w:t>
      </w:r>
      <w:r>
        <w:t xml:space="preserve"> associated with excess adiposity</w:t>
      </w:r>
      <w:r w:rsidR="003550D5">
        <w:t>,</w:t>
      </w:r>
      <w:r w:rsidR="000A1F01">
        <w:t xml:space="preserve"> and proposes guidance on the </w:t>
      </w:r>
      <w:r w:rsidR="001E4E1D">
        <w:t>management of obesity based on staging</w:t>
      </w:r>
      <w:r>
        <w:t>.</w:t>
      </w:r>
      <w:r w:rsidR="00E77786">
        <w:rPr>
          <w:rStyle w:val="FootnoteReference"/>
        </w:rPr>
        <w:footnoteReference w:id="59"/>
      </w:r>
    </w:p>
    <w:p w14:paraId="2C60D35F" w14:textId="074AAA32" w:rsidR="003662DA" w:rsidRDefault="003662DA" w:rsidP="003662DA">
      <w:pPr>
        <w:pStyle w:val="3Bodytext"/>
        <w:spacing w:before="120"/>
      </w:pPr>
      <w:r>
        <w:t>The PBAC Working Group also agreed that population estimates for people</w:t>
      </w:r>
      <w:r w:rsidRPr="003B1FE7">
        <w:t xml:space="preserve"> with monogenic and syndromic obesity, such as Prader-Willi Syndrome (PWS), should be </w:t>
      </w:r>
      <w:r>
        <w:t xml:space="preserve">sought </w:t>
      </w:r>
      <w:r w:rsidRPr="003B1FE7">
        <w:t>as this was a narrow patient population with clear benefit from use of obesity treatment</w:t>
      </w:r>
      <w:r>
        <w:t>.</w:t>
      </w:r>
    </w:p>
    <w:p w14:paraId="75E06DC6" w14:textId="0D01447A" w:rsidR="00C30013" w:rsidRDefault="00C30013" w:rsidP="00C30013">
      <w:pPr>
        <w:pStyle w:val="3Subheading1"/>
      </w:pPr>
      <w:r>
        <w:t xml:space="preserve">Key </w:t>
      </w:r>
      <w:r w:rsidR="00713DB3">
        <w:t>f</w:t>
      </w:r>
      <w:r>
        <w:t>indings</w:t>
      </w:r>
      <w:r w:rsidR="003E2FB8">
        <w:t xml:space="preserve"> </w:t>
      </w:r>
    </w:p>
    <w:p w14:paraId="3448D242" w14:textId="6C34D42C" w:rsidR="00584BB4" w:rsidRDefault="003312CD" w:rsidP="002B0938">
      <w:pPr>
        <w:pStyle w:val="3Bodytext"/>
      </w:pPr>
      <w:r>
        <w:t>The PBAC considered the draft, preliminary population estimates provided by the Department</w:t>
      </w:r>
      <w:r w:rsidR="00584BB4">
        <w:t>.</w:t>
      </w:r>
    </w:p>
    <w:p w14:paraId="14B09D9F" w14:textId="5482F3A9" w:rsidR="00435DFF" w:rsidRDefault="008D54D7" w:rsidP="003C50DF">
      <w:pPr>
        <w:pStyle w:val="3Bodytext"/>
      </w:pPr>
      <w:r>
        <w:t xml:space="preserve">There are a very large number of Australians with </w:t>
      </w:r>
      <w:r w:rsidR="009C09C2">
        <w:t xml:space="preserve">obesity-related </w:t>
      </w:r>
      <w:r w:rsidR="004A6EF8">
        <w:t>conditions</w:t>
      </w:r>
      <w:r w:rsidR="00CB7F05">
        <w:t xml:space="preserve"> (</w:t>
      </w:r>
      <w:r w:rsidR="00ED5996">
        <w:rPr>
          <w:b/>
          <w:bCs/>
        </w:rPr>
        <w:t>r</w:t>
      </w:r>
      <w:r w:rsidR="009C6D9B" w:rsidRPr="00545B85">
        <w:rPr>
          <w:b/>
          <w:bCs/>
        </w:rPr>
        <w:t>edacted text</w:t>
      </w:r>
      <w:r w:rsidR="00545B85">
        <w:t>…</w:t>
      </w:r>
      <w:r w:rsidR="005E10D0">
        <w:t>people</w:t>
      </w:r>
      <w:r w:rsidR="00CB7F05">
        <w:t xml:space="preserve"> in 2022) that could potentially benefit from access to GLP-1 treatments.</w:t>
      </w:r>
      <w:r w:rsidR="003C50DF">
        <w:t xml:space="preserve"> </w:t>
      </w:r>
      <w:r w:rsidR="0006253D">
        <w:t>Including</w:t>
      </w:r>
      <w:r w:rsidR="00724122">
        <w:t xml:space="preserve"> a BMI threshold of 35</w:t>
      </w:r>
      <w:r w:rsidR="0006253D">
        <w:t xml:space="preserve"> kg/m</w:t>
      </w:r>
      <w:r w:rsidR="0006253D" w:rsidRPr="008474D4">
        <w:rPr>
          <w:vertAlign w:val="superscript"/>
        </w:rPr>
        <w:t>2</w:t>
      </w:r>
      <w:r w:rsidR="0035521B" w:rsidRPr="008474D4">
        <w:t xml:space="preserve"> </w:t>
      </w:r>
      <w:r w:rsidR="00FD08A1">
        <w:t xml:space="preserve">has </w:t>
      </w:r>
      <w:r w:rsidR="00490B45">
        <w:t>a substantial impact on</w:t>
      </w:r>
      <w:r w:rsidR="001F2546">
        <w:t xml:space="preserve"> patient numbers, reducing these</w:t>
      </w:r>
      <w:r w:rsidR="00ED5996">
        <w:t>…</w:t>
      </w:r>
      <w:r w:rsidR="00ED5996" w:rsidRPr="00ED5996">
        <w:rPr>
          <w:b/>
          <w:bCs/>
        </w:rPr>
        <w:t>redacted text</w:t>
      </w:r>
      <w:r w:rsidR="00ED5996">
        <w:t>…</w:t>
      </w:r>
      <w:r w:rsidR="00D652BA">
        <w:t xml:space="preserve">for many </w:t>
      </w:r>
      <w:r w:rsidR="005C3FCD">
        <w:t xml:space="preserve">obesity-related </w:t>
      </w:r>
      <w:r w:rsidR="00D652BA">
        <w:t>conditions.</w:t>
      </w:r>
      <w:r w:rsidR="0075305D">
        <w:t xml:space="preserve"> This is important</w:t>
      </w:r>
      <w:r w:rsidR="00CB7D05">
        <w:t>,</w:t>
      </w:r>
      <w:r w:rsidR="0075305D">
        <w:t xml:space="preserve"> </w:t>
      </w:r>
      <w:r w:rsidR="008474D4">
        <w:t>given BMI has been criticised as a measure of excess adiposity</w:t>
      </w:r>
      <w:r w:rsidR="00586367">
        <w:t xml:space="preserve"> and i</w:t>
      </w:r>
      <w:r w:rsidR="008474D4">
        <w:t xml:space="preserve">t would be difficult to undertake </w:t>
      </w:r>
      <w:r w:rsidR="008F0A9A">
        <w:t xml:space="preserve">PBS </w:t>
      </w:r>
      <w:r w:rsidR="00183FE2">
        <w:t>compliance activities based on BMI</w:t>
      </w:r>
      <w:r w:rsidR="00C167D9">
        <w:t xml:space="preserve">. However, </w:t>
      </w:r>
      <w:r w:rsidR="00AE4E8E">
        <w:t xml:space="preserve">exclusion of a restriction criterion related to </w:t>
      </w:r>
      <w:r w:rsidR="001A0565">
        <w:t>BMI (or other measure of excess adiposity) may lead to very large numbers of eligible patients</w:t>
      </w:r>
      <w:r w:rsidR="00B13273">
        <w:t>.</w:t>
      </w:r>
      <w:r w:rsidR="00334496">
        <w:t xml:space="preserve"> In addition, it indicates that many people with obesity-related comorbidities do not have</w:t>
      </w:r>
      <w:r w:rsidR="00E5512C">
        <w:t xml:space="preserve"> a BMI</w:t>
      </w:r>
      <w:r w:rsidR="00404B93">
        <w:t> </w:t>
      </w:r>
      <w:r w:rsidR="00404B93">
        <w:rPr>
          <w:rFonts w:cstheme="minorHAnsi"/>
        </w:rPr>
        <w:t>≥</w:t>
      </w:r>
      <w:r w:rsidR="00404B93">
        <w:t> 35 kg/m</w:t>
      </w:r>
      <w:r w:rsidR="00404B93" w:rsidRPr="008474D4">
        <w:rPr>
          <w:vertAlign w:val="superscript"/>
        </w:rPr>
        <w:t>2</w:t>
      </w:r>
      <w:r w:rsidR="00404B93" w:rsidRPr="008474D4">
        <w:t xml:space="preserve"> </w:t>
      </w:r>
      <w:r w:rsidR="00E5512C">
        <w:t>(</w:t>
      </w:r>
      <w:r w:rsidR="00334496">
        <w:t xml:space="preserve">class </w:t>
      </w:r>
      <w:r w:rsidR="0045496B">
        <w:t>2</w:t>
      </w:r>
      <w:r w:rsidR="00334496">
        <w:t xml:space="preserve"> or </w:t>
      </w:r>
      <w:r w:rsidR="00E5512C">
        <w:t>3</w:t>
      </w:r>
      <w:r w:rsidR="00152CB4">
        <w:t xml:space="preserve"> </w:t>
      </w:r>
      <w:r w:rsidR="00334496">
        <w:t>obesity</w:t>
      </w:r>
      <w:r w:rsidR="00E5512C">
        <w:t>)</w:t>
      </w:r>
      <w:r w:rsidR="008A2DF5">
        <w:t xml:space="preserve">, including </w:t>
      </w:r>
      <w:r w:rsidR="00E43375">
        <w:t xml:space="preserve">a substantial </w:t>
      </w:r>
      <w:r w:rsidR="0034747E">
        <w:t>proportion</w:t>
      </w:r>
      <w:r w:rsidR="00E43375">
        <w:t xml:space="preserve"> of people with multiple comorbidities, including those with CVD and </w:t>
      </w:r>
      <w:r w:rsidR="000811B1">
        <w:t xml:space="preserve">either </w:t>
      </w:r>
      <w:r w:rsidR="00744912">
        <w:t xml:space="preserve">T2DM </w:t>
      </w:r>
      <w:r w:rsidR="00E43375">
        <w:t>or</w:t>
      </w:r>
      <w:r w:rsidR="000811B1">
        <w:t xml:space="preserve"> CKD</w:t>
      </w:r>
      <w:r w:rsidR="00334496">
        <w:t>.</w:t>
      </w:r>
    </w:p>
    <w:p w14:paraId="396F4204" w14:textId="68AE04F3" w:rsidR="00487EB5" w:rsidRDefault="00A964F2" w:rsidP="00AF100D">
      <w:pPr>
        <w:pStyle w:val="3Bodytext"/>
      </w:pPr>
      <w:r>
        <w:t xml:space="preserve">Using a lower BMI threshold of </w:t>
      </w:r>
      <w:r w:rsidR="00BA47FB">
        <w:t>32.5 kg/m</w:t>
      </w:r>
      <w:r w:rsidR="00BA47FB" w:rsidRPr="00D76B67">
        <w:rPr>
          <w:vertAlign w:val="superscript"/>
        </w:rPr>
        <w:t>2</w:t>
      </w:r>
      <w:r w:rsidR="001E1518">
        <w:rPr>
          <w:vertAlign w:val="superscript"/>
        </w:rPr>
        <w:t xml:space="preserve"> </w:t>
      </w:r>
      <w:r w:rsidR="001E1518">
        <w:t xml:space="preserve">for ethnicities considered to be at higher cardiometabolic risk had a </w:t>
      </w:r>
      <w:r w:rsidR="00E55BB0">
        <w:t xml:space="preserve">very </w:t>
      </w:r>
      <w:r w:rsidR="001E1518">
        <w:t xml:space="preserve">minor impact on </w:t>
      </w:r>
      <w:r w:rsidR="00E55BB0">
        <w:t>population estimates</w:t>
      </w:r>
      <w:r w:rsidR="006E47B0">
        <w:t>, with changes generally within the confidence intervals for the population estimates without this threshold adjustment</w:t>
      </w:r>
      <w:r w:rsidR="00E55BB0">
        <w:t>.</w:t>
      </w:r>
    </w:p>
    <w:p w14:paraId="7D125F0B" w14:textId="5CC1EBFE" w:rsidR="00AF100D" w:rsidRDefault="00D25A11" w:rsidP="003C14B0">
      <w:pPr>
        <w:pStyle w:val="3Bodytext"/>
        <w:rPr>
          <w:u w:val="single"/>
        </w:rPr>
      </w:pPr>
      <w:r>
        <w:lastRenderedPageBreak/>
        <w:t xml:space="preserve">Population estimates for OSA are likely to have been underestimated. No specific code for this condition was available in the survey data and the code used </w:t>
      </w:r>
      <w:r w:rsidR="00072F7E">
        <w:t xml:space="preserve">(199999 – Other diseases of the respiratory system) </w:t>
      </w:r>
      <w:r w:rsidR="00B619B7">
        <w:t>may have led to under-reporting of this condition.</w:t>
      </w:r>
      <w:r w:rsidR="00056CBB">
        <w:t xml:space="preserve"> </w:t>
      </w:r>
      <w:r w:rsidR="00942F52">
        <w:t xml:space="preserve">A 2016 survey conducted by the National Sleep Foundation </w:t>
      </w:r>
      <w:r w:rsidR="00AC122C">
        <w:t xml:space="preserve">reported </w:t>
      </w:r>
      <w:r w:rsidR="005C32A0">
        <w:t>8%</w:t>
      </w:r>
      <w:r w:rsidR="00473714">
        <w:t xml:space="preserve"> </w:t>
      </w:r>
      <w:r w:rsidR="00302B19">
        <w:t xml:space="preserve">of Australian adults </w:t>
      </w:r>
      <w:r w:rsidR="00AC122C">
        <w:t xml:space="preserve">were </w:t>
      </w:r>
      <w:r w:rsidR="00473714">
        <w:t xml:space="preserve">diagnosed </w:t>
      </w:r>
      <w:r w:rsidR="00AC122C">
        <w:t>with OSA</w:t>
      </w:r>
      <w:r w:rsidR="000B7108">
        <w:t>.</w:t>
      </w:r>
      <w:r w:rsidR="004F28E8">
        <w:rPr>
          <w:rStyle w:val="FootnoteReference"/>
        </w:rPr>
        <w:footnoteReference w:id="60"/>
      </w:r>
      <w:r w:rsidR="00473714">
        <w:t xml:space="preserve"> </w:t>
      </w:r>
    </w:p>
    <w:p w14:paraId="4EDB23BA" w14:textId="386044E7" w:rsidR="00514540" w:rsidRDefault="003E2FB8" w:rsidP="002A4B04">
      <w:pPr>
        <w:pStyle w:val="3Bodytext"/>
        <w:numPr>
          <w:ilvl w:val="0"/>
          <w:numId w:val="0"/>
        </w:numPr>
        <w:rPr>
          <w:u w:val="single"/>
        </w:rPr>
      </w:pPr>
      <w:r w:rsidRPr="00CF088A">
        <w:rPr>
          <w:u w:val="single"/>
        </w:rPr>
        <w:t>Population estimates for monogenic and syndromic obesity</w:t>
      </w:r>
    </w:p>
    <w:p w14:paraId="4DFD35BC" w14:textId="203E6CE9" w:rsidR="00957239" w:rsidRDefault="00514540" w:rsidP="002A4B04">
      <w:pPr>
        <w:pStyle w:val="3Bodytext"/>
      </w:pPr>
      <w:r>
        <w:t xml:space="preserve">Around 40-70% of the variance </w:t>
      </w:r>
      <w:r w:rsidR="005F3400">
        <w:t xml:space="preserve">in adiposity is likely due to genetic factors. </w:t>
      </w:r>
      <w:r w:rsidR="00C5483C">
        <w:t xml:space="preserve">The genetic basis of adiposity is complex </w:t>
      </w:r>
      <w:r w:rsidR="00561671">
        <w:t xml:space="preserve">and </w:t>
      </w:r>
      <w:r w:rsidR="00C5483C">
        <w:t>involve</w:t>
      </w:r>
      <w:r w:rsidR="00561671">
        <w:t>s</w:t>
      </w:r>
      <w:r w:rsidR="00C5483C">
        <w:t xml:space="preserve"> </w:t>
      </w:r>
      <w:r w:rsidR="00F72B52">
        <w:t>many</w:t>
      </w:r>
      <w:r w:rsidR="00C5483C">
        <w:t xml:space="preserve"> genes</w:t>
      </w:r>
      <w:r w:rsidR="00AC4F3A">
        <w:t xml:space="preserve"> with over 500 loci </w:t>
      </w:r>
      <w:r w:rsidR="009C3A7E">
        <w:t>associated with BMI</w:t>
      </w:r>
      <w:r w:rsidR="00B67020">
        <w:t>. P</w:t>
      </w:r>
      <w:r w:rsidR="0062365F">
        <w:t>olygenic</w:t>
      </w:r>
      <w:r w:rsidR="002038A4">
        <w:t xml:space="preserve"> or multifactorial</w:t>
      </w:r>
      <w:r w:rsidR="0062365F">
        <w:t xml:space="preserve"> obesity</w:t>
      </w:r>
      <w:r w:rsidR="00BD55C8">
        <w:t xml:space="preserve"> is more commonly associated with later-onset obesity</w:t>
      </w:r>
      <w:r w:rsidR="002E3F4C">
        <w:t xml:space="preserve"> and involves the interplay of genetic</w:t>
      </w:r>
      <w:r w:rsidR="00ED6144">
        <w:t>, epigenetic</w:t>
      </w:r>
      <w:r w:rsidR="00B739EF">
        <w:t>,</w:t>
      </w:r>
      <w:r w:rsidR="002E3F4C">
        <w:t xml:space="preserve"> and environmental factors</w:t>
      </w:r>
      <w:r w:rsidR="00CF088A">
        <w:t>. M</w:t>
      </w:r>
      <w:r w:rsidR="004B17E4">
        <w:t xml:space="preserve">onogenic and syndromic obesity </w:t>
      </w:r>
      <w:r w:rsidR="00B23655">
        <w:t>are</w:t>
      </w:r>
      <w:r w:rsidR="004B17E4">
        <w:t xml:space="preserve"> </w:t>
      </w:r>
      <w:r w:rsidR="00DA2451">
        <w:t xml:space="preserve">typically </w:t>
      </w:r>
      <w:r w:rsidR="004B17E4">
        <w:t>associated with early-onset severe obesity, hyperphagia</w:t>
      </w:r>
      <w:r w:rsidR="00A83356">
        <w:t xml:space="preserve"> and suboptimal response to nontargeted therapies.</w:t>
      </w:r>
      <w:r w:rsidR="00D518D2">
        <w:rPr>
          <w:rStyle w:val="FootnoteReference"/>
        </w:rPr>
        <w:footnoteReference w:id="61"/>
      </w:r>
      <w:r w:rsidR="0061149A">
        <w:t xml:space="preserve"> </w:t>
      </w:r>
      <w:r w:rsidR="00976C18">
        <w:t xml:space="preserve">Syndromic obesity is also typically associated with </w:t>
      </w:r>
      <w:r w:rsidR="009762BA">
        <w:t xml:space="preserve">dysmorphic features and </w:t>
      </w:r>
      <w:r w:rsidR="00F66BB6">
        <w:t>neurodevelopmental delay.</w:t>
      </w:r>
    </w:p>
    <w:p w14:paraId="3AD9BD1A" w14:textId="51B07241" w:rsidR="00702777" w:rsidRDefault="00CC7C8C" w:rsidP="002A4B04">
      <w:pPr>
        <w:pStyle w:val="3Bodytext"/>
      </w:pPr>
      <w:r>
        <w:t>Non-syndromic monogenic obesity most commonly involves genetic mutations in the leptin</w:t>
      </w:r>
      <w:r w:rsidR="00D3181C">
        <w:t>-</w:t>
      </w:r>
      <w:r>
        <w:t>melanocortin</w:t>
      </w:r>
      <w:r w:rsidR="006E72B6">
        <w:t xml:space="preserve"> pathway</w:t>
      </w:r>
      <w:r w:rsidR="00755370">
        <w:t>.</w:t>
      </w:r>
      <w:r w:rsidR="00162BDC">
        <w:t xml:space="preserve"> </w:t>
      </w:r>
      <w:r w:rsidR="00D85AA4">
        <w:t xml:space="preserve">Monogenic obesity </w:t>
      </w:r>
      <w:r w:rsidR="00D9045D">
        <w:t>is estimated to account for around 5</w:t>
      </w:r>
      <w:r w:rsidR="001A1011">
        <w:t>-6</w:t>
      </w:r>
      <w:r w:rsidR="00D9045D">
        <w:t>% of individuals with obesity</w:t>
      </w:r>
      <w:r w:rsidR="00121766">
        <w:t>,</w:t>
      </w:r>
      <w:r w:rsidR="00EF722C">
        <w:rPr>
          <w:rStyle w:val="FootnoteReference"/>
        </w:rPr>
        <w:footnoteReference w:id="62"/>
      </w:r>
      <w:r w:rsidR="001A1011">
        <w:t xml:space="preserve"> but a further 7%</w:t>
      </w:r>
      <w:r w:rsidR="00F834C8">
        <w:t xml:space="preserve"> of individuals with obesity carry potentially obesogenic variants.</w:t>
      </w:r>
      <w:r w:rsidR="00B53D22">
        <w:rPr>
          <w:rStyle w:val="FootnoteReference"/>
        </w:rPr>
        <w:footnoteReference w:id="63"/>
      </w:r>
      <w:r w:rsidR="00D9045D">
        <w:t xml:space="preserve"> </w:t>
      </w:r>
      <w:r w:rsidR="00755370">
        <w:t>The m</w:t>
      </w:r>
      <w:r w:rsidR="00CE14BE">
        <w:t>ost frequent</w:t>
      </w:r>
      <w:r w:rsidR="007248A0">
        <w:t xml:space="preserve"> cause </w:t>
      </w:r>
      <w:r w:rsidR="00BD2CFB">
        <w:t>is</w:t>
      </w:r>
      <w:r w:rsidR="007248A0">
        <w:t xml:space="preserve"> mutations in</w:t>
      </w:r>
      <w:r w:rsidR="00CE14BE">
        <w:t xml:space="preserve"> the mela</w:t>
      </w:r>
      <w:r w:rsidR="000C6719">
        <w:t>nocortin 4 receptor</w:t>
      </w:r>
      <w:r w:rsidR="00CE375E">
        <w:t xml:space="preserve"> (</w:t>
      </w:r>
      <w:r w:rsidR="00CE375E" w:rsidRPr="00CF088A">
        <w:rPr>
          <w:i/>
          <w:iCs/>
        </w:rPr>
        <w:t>MCR4</w:t>
      </w:r>
      <w:r w:rsidR="00CE375E">
        <w:t>)</w:t>
      </w:r>
      <w:r w:rsidR="007248A0">
        <w:t xml:space="preserve"> gene, accounting for a</w:t>
      </w:r>
      <w:r w:rsidR="00957239">
        <w:t>round</w:t>
      </w:r>
      <w:r w:rsidR="009A2EF8">
        <w:t xml:space="preserve"> 1</w:t>
      </w:r>
      <w:r w:rsidR="0091363D">
        <w:t>-</w:t>
      </w:r>
      <w:r w:rsidR="009A2EF8">
        <w:t xml:space="preserve">6% of cases of </w:t>
      </w:r>
      <w:r w:rsidR="005376BF">
        <w:t xml:space="preserve">early onset or </w:t>
      </w:r>
      <w:r w:rsidR="009A2EF8">
        <w:t xml:space="preserve">severe </w:t>
      </w:r>
      <w:r w:rsidR="005376BF">
        <w:t xml:space="preserve">adult </w:t>
      </w:r>
      <w:r w:rsidR="009A2EF8">
        <w:t>obesity</w:t>
      </w:r>
      <w:r w:rsidR="00877605">
        <w:t>.</w:t>
      </w:r>
      <w:r w:rsidR="000135E4">
        <w:t xml:space="preserve"> </w:t>
      </w:r>
      <w:r w:rsidR="00204E1C">
        <w:t>Other common causes are mutations in the leptin</w:t>
      </w:r>
      <w:r w:rsidR="0030767A">
        <w:t>, leptin receptor (</w:t>
      </w:r>
      <w:r w:rsidR="0030767A" w:rsidRPr="00CF088A">
        <w:rPr>
          <w:i/>
          <w:iCs/>
        </w:rPr>
        <w:t>LEPR</w:t>
      </w:r>
      <w:r w:rsidR="0030767A">
        <w:t>)</w:t>
      </w:r>
      <w:r w:rsidR="0099743E">
        <w:t xml:space="preserve"> and </w:t>
      </w:r>
      <w:r w:rsidR="0030767A">
        <w:t>pro-opiomelanocortin (</w:t>
      </w:r>
      <w:r w:rsidR="0030767A" w:rsidRPr="00CF088A">
        <w:rPr>
          <w:i/>
          <w:iCs/>
        </w:rPr>
        <w:t>POMC</w:t>
      </w:r>
      <w:r w:rsidR="0030767A">
        <w:t xml:space="preserve">) </w:t>
      </w:r>
      <w:r w:rsidR="0099743E">
        <w:t xml:space="preserve">genes. </w:t>
      </w:r>
      <w:r w:rsidR="00C801B3">
        <w:t>A recent study identified that a BMI</w:t>
      </w:r>
      <w:r w:rsidR="00CF3587">
        <w:t> </w:t>
      </w:r>
      <w:r w:rsidR="00C801B3">
        <w:rPr>
          <w:rFonts w:cstheme="minorHAnsi"/>
        </w:rPr>
        <w:t>≥</w:t>
      </w:r>
      <w:r w:rsidR="00CF3587">
        <w:t> </w:t>
      </w:r>
      <w:r w:rsidR="00C801B3">
        <w:t>24 kg/m</w:t>
      </w:r>
      <w:r w:rsidR="00C801B3" w:rsidRPr="00D76B67">
        <w:rPr>
          <w:vertAlign w:val="superscript"/>
        </w:rPr>
        <w:t>2</w:t>
      </w:r>
      <w:r w:rsidR="00C801B3">
        <w:rPr>
          <w:vertAlign w:val="superscript"/>
        </w:rPr>
        <w:t xml:space="preserve"> </w:t>
      </w:r>
      <w:r w:rsidR="00C801B3">
        <w:t>at age 2 years had good diagnostic performance for identifying people with biallelic monogenic obesity, which could be used to prioritise people for genetic testing.</w:t>
      </w:r>
      <w:r w:rsidR="001620BE">
        <w:rPr>
          <w:rStyle w:val="FootnoteReference"/>
        </w:rPr>
        <w:footnoteReference w:id="64"/>
      </w:r>
    </w:p>
    <w:p w14:paraId="7A54A6BC" w14:textId="2D85F4BC" w:rsidR="00503326" w:rsidRDefault="00503326" w:rsidP="00503326">
      <w:pPr>
        <w:pStyle w:val="3Bodytext"/>
      </w:pPr>
      <w:r>
        <w:t>Setmelanotide</w:t>
      </w:r>
      <w:r w:rsidR="00EA24F3">
        <w:t xml:space="preserve"> </w:t>
      </w:r>
      <w:r w:rsidR="00EA24F3" w:rsidRPr="00EA24F3">
        <w:t>(Imcivree®)</w:t>
      </w:r>
      <w:r w:rsidRPr="00EA24F3">
        <w:t xml:space="preserve">, an MC4R agonist, is approved by the </w:t>
      </w:r>
      <w:r w:rsidR="00FD54BF" w:rsidRPr="00EA24F3">
        <w:t>US Food and Drug Administration (</w:t>
      </w:r>
      <w:r w:rsidRPr="00EA24F3">
        <w:t>FDA</w:t>
      </w:r>
      <w:r w:rsidR="00C55281" w:rsidRPr="00EA24F3">
        <w:t>)</w:t>
      </w:r>
      <w:r w:rsidRPr="00EA24F3">
        <w:t xml:space="preserve"> for the treatment</w:t>
      </w:r>
      <w:r>
        <w:t xml:space="preserve"> of specific genetic forms of obesity (</w:t>
      </w:r>
      <w:r w:rsidRPr="001410D4">
        <w:t>POMC, LEPR, or PCSK1 deficits</w:t>
      </w:r>
      <w:r>
        <w:t>).</w:t>
      </w:r>
      <w:r w:rsidR="00E86490">
        <w:t xml:space="preserve"> Recombinant leptin may be </w:t>
      </w:r>
      <w:r w:rsidR="005F7AD4">
        <w:t xml:space="preserve">used </w:t>
      </w:r>
      <w:r w:rsidR="00E86490">
        <w:t>to treat people with leptin deficiency.</w:t>
      </w:r>
      <w:r w:rsidR="003F3008">
        <w:t xml:space="preserve"> </w:t>
      </w:r>
      <w:r w:rsidR="00AC1DD4">
        <w:t xml:space="preserve">Neither setmelanotide </w:t>
      </w:r>
      <w:r w:rsidR="052A076A">
        <w:t>n</w:t>
      </w:r>
      <w:r w:rsidR="00AC1DD4">
        <w:t>or leptin are registered on the ARTG</w:t>
      </w:r>
      <w:r w:rsidR="00EB4B60">
        <w:t xml:space="preserve"> but </w:t>
      </w:r>
      <w:r w:rsidR="00EA62A3">
        <w:t>could potentially</w:t>
      </w:r>
      <w:r w:rsidR="00EB4B60">
        <w:t xml:space="preserve"> be imported by patients via the TGA’s Personal Importation Scheme. </w:t>
      </w:r>
      <w:r w:rsidR="003F3008">
        <w:t>GLP</w:t>
      </w:r>
      <w:r w:rsidR="00EA24F3">
        <w:noBreakHyphen/>
      </w:r>
      <w:r w:rsidR="003F3008">
        <w:t xml:space="preserve">1s </w:t>
      </w:r>
      <w:r w:rsidR="00F84949">
        <w:t>may</w:t>
      </w:r>
      <w:r w:rsidR="009A50CB">
        <w:t xml:space="preserve"> assist in treating obesity in people with monogenic forms</w:t>
      </w:r>
      <w:r w:rsidR="00F84949">
        <w:t>.</w:t>
      </w:r>
      <w:r w:rsidR="007062B3">
        <w:t xml:space="preserve"> Case studies </w:t>
      </w:r>
      <w:r w:rsidR="007062B3">
        <w:lastRenderedPageBreak/>
        <w:t xml:space="preserve">in people with </w:t>
      </w:r>
      <w:r w:rsidR="007062B3" w:rsidRPr="00EA24F3">
        <w:rPr>
          <w:i/>
          <w:iCs/>
        </w:rPr>
        <w:t>MCR4</w:t>
      </w:r>
      <w:r w:rsidR="007062B3">
        <w:t xml:space="preserve"> </w:t>
      </w:r>
      <w:r w:rsidR="00C142FB">
        <w:t>variants</w:t>
      </w:r>
      <w:r w:rsidR="007062B3">
        <w:t xml:space="preserve"> indicate </w:t>
      </w:r>
      <w:r w:rsidR="009C1386">
        <w:t xml:space="preserve">that GLP-1 treatment results in similar levels of </w:t>
      </w:r>
      <w:r w:rsidR="007062B3">
        <w:t>weight loss</w:t>
      </w:r>
      <w:r w:rsidR="009C1386">
        <w:t xml:space="preserve"> to patients who do not have </w:t>
      </w:r>
      <w:r w:rsidR="009928A8" w:rsidRPr="00D76B67">
        <w:rPr>
          <w:i/>
          <w:iCs/>
        </w:rPr>
        <w:t>MCR4</w:t>
      </w:r>
      <w:r w:rsidR="009928A8">
        <w:t xml:space="preserve"> variants.</w:t>
      </w:r>
      <w:r w:rsidR="0039020A">
        <w:rPr>
          <w:rStyle w:val="FootnoteReference"/>
        </w:rPr>
        <w:footnoteReference w:id="65"/>
      </w:r>
    </w:p>
    <w:p w14:paraId="1460DEC2" w14:textId="7A8BB34A" w:rsidR="00CB2066" w:rsidRDefault="00CB2066" w:rsidP="00972C2B">
      <w:pPr>
        <w:pStyle w:val="3Bodytext"/>
      </w:pPr>
      <w:r>
        <w:t>Assuming monogenic obesity accounts for 5% of obesity in Australia</w:t>
      </w:r>
      <w:r w:rsidR="000C4743">
        <w:t>n adults</w:t>
      </w:r>
      <w:r w:rsidR="00F4180E">
        <w:t xml:space="preserve"> and around </w:t>
      </w:r>
      <w:r w:rsidR="00D506DF">
        <w:t>1</w:t>
      </w:r>
      <w:r w:rsidR="00F4180E">
        <w:t>0% of obesity in Australian children and adolescents</w:t>
      </w:r>
      <w:r>
        <w:t xml:space="preserve">, </w:t>
      </w:r>
      <w:r w:rsidR="00D41F37">
        <w:t>then approximately</w:t>
      </w:r>
      <w:r w:rsidR="002D4222">
        <w:t xml:space="preserve"> 395</w:t>
      </w:r>
      <w:r>
        <w:t xml:space="preserve">,000 people </w:t>
      </w:r>
      <w:r w:rsidR="005853F7">
        <w:t xml:space="preserve">in Australia in 2025 </w:t>
      </w:r>
      <w:r>
        <w:t>may have monogenic obesity (</w:t>
      </w:r>
      <w:r w:rsidR="002D4222">
        <w:t xml:space="preserve">based on Australian Bureau of Statistics population </w:t>
      </w:r>
      <w:r w:rsidR="008F3227">
        <w:t>estimates for Australia in 2025</w:t>
      </w:r>
      <w:r w:rsidR="00746C19">
        <w:t xml:space="preserve"> of</w:t>
      </w:r>
      <w:r w:rsidR="008F3227">
        <w:t xml:space="preserve"> </w:t>
      </w:r>
      <w:r w:rsidR="003938CE">
        <w:t xml:space="preserve">5.9 million children and adolescents and </w:t>
      </w:r>
      <w:r w:rsidR="00EF69E1">
        <w:t>21.7 million adults</w:t>
      </w:r>
      <w:r w:rsidR="00746C19">
        <w:t xml:space="preserve">, and </w:t>
      </w:r>
      <w:r w:rsidR="002A7546">
        <w:t>prevalence of obesity in adults of 32% and in children/adolescents of 8.1%</w:t>
      </w:r>
      <w:r w:rsidR="005853F7">
        <w:t xml:space="preserve">). </w:t>
      </w:r>
      <w:r>
        <w:t xml:space="preserve">Further research </w:t>
      </w:r>
      <w:r w:rsidR="00AE0BD6">
        <w:t xml:space="preserve">would be </w:t>
      </w:r>
      <w:r w:rsidR="00E605C1">
        <w:t xml:space="preserve">needed to </w:t>
      </w:r>
      <w:r w:rsidR="00022AF1">
        <w:t>accurately</w:t>
      </w:r>
      <w:r w:rsidR="00E605C1">
        <w:t xml:space="preserve"> </w:t>
      </w:r>
      <w:r>
        <w:t>estimate the preval</w:t>
      </w:r>
      <w:r w:rsidR="00F207FC">
        <w:t xml:space="preserve">ence of monogenic obesity in </w:t>
      </w:r>
      <w:r w:rsidR="00667BD7">
        <w:t>the Australian population</w:t>
      </w:r>
      <w:r w:rsidR="0034556B">
        <w:t xml:space="preserve"> if PBAC considered this a priority population</w:t>
      </w:r>
      <w:r w:rsidR="00417E8B">
        <w:t xml:space="preserve"> for GLP-1 access</w:t>
      </w:r>
      <w:r w:rsidR="009254EC">
        <w:t>.</w:t>
      </w:r>
      <w:r w:rsidR="0034556B">
        <w:t xml:space="preserve"> However, a potential PBS restriction requiring </w:t>
      </w:r>
      <w:r w:rsidR="00417E8B">
        <w:t xml:space="preserve">patients to have </w:t>
      </w:r>
      <w:r w:rsidR="009971D5">
        <w:t xml:space="preserve">a </w:t>
      </w:r>
      <w:r w:rsidR="00972C2B">
        <w:t>pathologic variant causing obesity may overwhelm Australia’s genetic testing centres.</w:t>
      </w:r>
    </w:p>
    <w:p w14:paraId="55D77024" w14:textId="41334E69" w:rsidR="007C40C7" w:rsidRDefault="005642F7" w:rsidP="00C111C3">
      <w:pPr>
        <w:pStyle w:val="3Bodytext"/>
      </w:pPr>
      <w:r>
        <w:t xml:space="preserve">There are over 25 </w:t>
      </w:r>
      <w:r w:rsidR="001221AC">
        <w:t xml:space="preserve">syndromic forms of obesity identified, </w:t>
      </w:r>
      <w:r w:rsidR="00FC5B04">
        <w:t>includ</w:t>
      </w:r>
      <w:r w:rsidR="00FC1054">
        <w:t>ing</w:t>
      </w:r>
      <w:r w:rsidR="00454B20">
        <w:t>:</w:t>
      </w:r>
      <w:r w:rsidR="002A7546">
        <w:t xml:space="preserve"> </w:t>
      </w:r>
      <w:r w:rsidR="00FC1054">
        <w:t>Prader-Willi syndrome</w:t>
      </w:r>
      <w:r w:rsidR="005E66AD">
        <w:t xml:space="preserve"> (PWS)</w:t>
      </w:r>
      <w:r w:rsidR="00FC1054">
        <w:t xml:space="preserve">, </w:t>
      </w:r>
      <w:r w:rsidR="00454B20">
        <w:t>Bardet-Biedl</w:t>
      </w:r>
      <w:r w:rsidR="00FC1054">
        <w:t xml:space="preserve"> syndrome</w:t>
      </w:r>
      <w:r w:rsidR="00FC5B04">
        <w:t>, Alstr</w:t>
      </w:r>
      <w:r w:rsidR="00BC2891">
        <w:rPr>
          <w:rFonts w:cstheme="minorHAnsi"/>
        </w:rPr>
        <w:t>ö</w:t>
      </w:r>
      <w:r w:rsidR="00FC5B04">
        <w:t>m syndrome</w:t>
      </w:r>
      <w:r w:rsidR="00E34C73">
        <w:t>, Smith-Magentis syndrome,</w:t>
      </w:r>
      <w:r w:rsidR="00FC5B04">
        <w:t xml:space="preserve"> WAGR syndrome</w:t>
      </w:r>
      <w:r w:rsidR="00BC2891">
        <w:t xml:space="preserve">, Cohen </w:t>
      </w:r>
      <w:r w:rsidR="00FC1054">
        <w:t>syndrome, Carpenter syndrome</w:t>
      </w:r>
      <w:r w:rsidR="00500C9A">
        <w:t>, Kallman syndrome</w:t>
      </w:r>
      <w:r w:rsidR="009541EA">
        <w:t>, 16p11.2 deletion syndrome</w:t>
      </w:r>
      <w:r w:rsidR="00500C9A">
        <w:t xml:space="preserve"> and Down Syndrome,</w:t>
      </w:r>
      <w:r w:rsidR="009541EA">
        <w:t xml:space="preserve"> among others</w:t>
      </w:r>
      <w:r w:rsidR="00FC5B04">
        <w:t>.</w:t>
      </w:r>
      <w:r w:rsidR="0002573E">
        <w:rPr>
          <w:rStyle w:val="FootnoteReference"/>
        </w:rPr>
        <w:footnoteReference w:id="66"/>
      </w:r>
      <w:r w:rsidR="009541EA" w:rsidRPr="003F5F3B">
        <w:rPr>
          <w:rStyle w:val="FootnoteReference"/>
        </w:rPr>
        <w:t>,</w:t>
      </w:r>
      <w:r w:rsidR="009541EA">
        <w:rPr>
          <w:rStyle w:val="FootnoteReference"/>
        </w:rPr>
        <w:footnoteReference w:id="67"/>
      </w:r>
    </w:p>
    <w:p w14:paraId="1AC86635" w14:textId="521AD16F" w:rsidR="005642F7" w:rsidRDefault="001F436D" w:rsidP="00087961">
      <w:pPr>
        <w:pStyle w:val="3Bodytext"/>
      </w:pPr>
      <w:r>
        <w:t xml:space="preserve">PWS has </w:t>
      </w:r>
      <w:r w:rsidR="00694441">
        <w:t xml:space="preserve">a </w:t>
      </w:r>
      <w:r w:rsidR="0025472D">
        <w:t xml:space="preserve">birth incidence </w:t>
      </w:r>
      <w:r>
        <w:t xml:space="preserve">of </w:t>
      </w:r>
      <w:r w:rsidR="003F1492">
        <w:t xml:space="preserve">1 in every </w:t>
      </w:r>
      <w:r>
        <w:t>1</w:t>
      </w:r>
      <w:r w:rsidR="00CF254B">
        <w:t>0</w:t>
      </w:r>
      <w:r>
        <w:t>,</w:t>
      </w:r>
      <w:r w:rsidR="003F1492">
        <w:t>000-</w:t>
      </w:r>
      <w:r w:rsidR="00CF254B">
        <w:t>30</w:t>
      </w:r>
      <w:r w:rsidR="003F1492">
        <w:t>,000</w:t>
      </w:r>
      <w:r w:rsidR="00BE1B74">
        <w:t xml:space="preserve"> births</w:t>
      </w:r>
      <w:r w:rsidR="003F1492">
        <w:t>.</w:t>
      </w:r>
      <w:r w:rsidR="00565500">
        <w:t xml:space="preserve"> Mortality </w:t>
      </w:r>
      <w:r w:rsidR="00970B14">
        <w:t xml:space="preserve">rates </w:t>
      </w:r>
      <w:r w:rsidR="00565500">
        <w:t xml:space="preserve">in people with PWS </w:t>
      </w:r>
      <w:r w:rsidR="00970B14">
        <w:t>are</w:t>
      </w:r>
      <w:r w:rsidR="00565500">
        <w:t xml:space="preserve"> </w:t>
      </w:r>
      <w:r w:rsidR="00970B14">
        <w:t xml:space="preserve">almost three times higher than rates in people without PWS, with </w:t>
      </w:r>
      <w:r w:rsidR="00EF13B4">
        <w:t xml:space="preserve">around a third of deaths related </w:t>
      </w:r>
      <w:r w:rsidR="003C630C">
        <w:t>to gastrointestinal problems that are likely related to hyperphagia and food-seeking be</w:t>
      </w:r>
      <w:r w:rsidR="009270DF">
        <w:t>ha</w:t>
      </w:r>
      <w:r w:rsidR="003C630C">
        <w:t>viours.</w:t>
      </w:r>
      <w:r w:rsidR="00DA53FB">
        <w:t xml:space="preserve"> Hyperphagia has significant impacts on patient and caregiver quality of life, </w:t>
      </w:r>
      <w:r w:rsidR="00A0125E">
        <w:t>requiring food security measures and constant supervision</w:t>
      </w:r>
      <w:r w:rsidR="00CB037F">
        <w:t>.</w:t>
      </w:r>
      <w:r w:rsidR="004E46B9">
        <w:rPr>
          <w:rStyle w:val="FootnoteReference"/>
        </w:rPr>
        <w:footnoteReference w:id="68"/>
      </w:r>
      <w:r w:rsidR="003F1492">
        <w:t xml:space="preserve"> </w:t>
      </w:r>
      <w:r w:rsidR="006D0BA9">
        <w:t>Given high mortality, prevalence is likely to be less than the birth incidence.</w:t>
      </w:r>
      <w:r w:rsidR="00087961">
        <w:t xml:space="preserve"> </w:t>
      </w:r>
      <w:r w:rsidR="003F1492">
        <w:t xml:space="preserve">The </w:t>
      </w:r>
      <w:r w:rsidR="00092C00">
        <w:t>Prader-Willi Research Foundation Australia (PWRFA)</w:t>
      </w:r>
      <w:r w:rsidR="000D6ED4">
        <w:t xml:space="preserve"> has provided a response to the consumer </w:t>
      </w:r>
      <w:r w:rsidR="00691A23">
        <w:t xml:space="preserve">comments </w:t>
      </w:r>
      <w:r w:rsidR="000D6ED4">
        <w:t xml:space="preserve">process for this item </w:t>
      </w:r>
      <w:r w:rsidR="00C11FDB">
        <w:t>supporting a PBS listing for GLP-1 obesity treatments for people with PWS</w:t>
      </w:r>
      <w:r w:rsidR="00F23972">
        <w:t xml:space="preserve"> </w:t>
      </w:r>
      <w:r w:rsidR="00EC48B9">
        <w:t>when prescribed by a specialist</w:t>
      </w:r>
      <w:r w:rsidR="007D5BF0">
        <w:t xml:space="preserve"> to manage safety issues specific to this population</w:t>
      </w:r>
      <w:r w:rsidR="00EC48B9">
        <w:t>. PWRFA estimates that there are around 750 individuals with PWS living in Australia.</w:t>
      </w:r>
      <w:r w:rsidR="00AE7808">
        <w:t xml:space="preserve"> Based on </w:t>
      </w:r>
      <w:r w:rsidR="00965B75">
        <w:t xml:space="preserve">a </w:t>
      </w:r>
      <w:r w:rsidR="00FD29E8">
        <w:t xml:space="preserve">2025 </w:t>
      </w:r>
      <w:r w:rsidR="00965B75">
        <w:t xml:space="preserve">Australian population </w:t>
      </w:r>
      <w:r w:rsidR="00EA244F">
        <w:t xml:space="preserve">of around </w:t>
      </w:r>
      <w:r w:rsidR="00F75C3E">
        <w:t>2</w:t>
      </w:r>
      <w:r w:rsidR="00FD29E8">
        <w:t>7.6</w:t>
      </w:r>
      <w:r w:rsidR="00F75C3E">
        <w:t xml:space="preserve"> million</w:t>
      </w:r>
      <w:r w:rsidR="005C5721">
        <w:t xml:space="preserve">, </w:t>
      </w:r>
      <w:r w:rsidR="00B87EE2">
        <w:t xml:space="preserve">and assuming a prevalence of 1 in 30,000 people, </w:t>
      </w:r>
      <w:r w:rsidR="005C5721">
        <w:t xml:space="preserve">around </w:t>
      </w:r>
      <w:r w:rsidR="005331CB">
        <w:t>9</w:t>
      </w:r>
      <w:r w:rsidR="0097349F">
        <w:t>2</w:t>
      </w:r>
      <w:r w:rsidR="005331CB">
        <w:t xml:space="preserve">0 people with PWS </w:t>
      </w:r>
      <w:r w:rsidR="00B87EE2">
        <w:t>may be living in Australia</w:t>
      </w:r>
      <w:r w:rsidR="00BB4C2A">
        <w:t xml:space="preserve">. </w:t>
      </w:r>
    </w:p>
    <w:p w14:paraId="1CE43A1A" w14:textId="0C31852D" w:rsidR="00350DEF" w:rsidRDefault="00350DEF" w:rsidP="009A6D8E">
      <w:pPr>
        <w:pStyle w:val="3Bodytext"/>
      </w:pPr>
      <w:r>
        <w:t>Smith-Magentis syndrome occurs in around 1 in 25,000 births</w:t>
      </w:r>
      <w:r w:rsidR="00D203C5">
        <w:t>, and</w:t>
      </w:r>
      <w:r w:rsidR="00131712">
        <w:t xml:space="preserve"> therefore population estimates in Australia are likely to be </w:t>
      </w:r>
      <w:proofErr w:type="gramStart"/>
      <w:r w:rsidR="00131712">
        <w:t>similar to</w:t>
      </w:r>
      <w:proofErr w:type="gramEnd"/>
      <w:r w:rsidR="00131712">
        <w:t xml:space="preserve"> PWS</w:t>
      </w:r>
      <w:r w:rsidR="00D203C5">
        <w:t>.</w:t>
      </w:r>
    </w:p>
    <w:p w14:paraId="4AD32726" w14:textId="4220E823" w:rsidR="00E575FE" w:rsidRDefault="00E01428" w:rsidP="009A6D8E">
      <w:pPr>
        <w:pStyle w:val="3Bodytext"/>
      </w:pPr>
      <w:r>
        <w:t xml:space="preserve">16p11.2 deletion syndrome has </w:t>
      </w:r>
      <w:r w:rsidR="00996B8C">
        <w:t>an estimate</w:t>
      </w:r>
      <w:r w:rsidR="00120385">
        <w:t>d</w:t>
      </w:r>
      <w:r w:rsidR="00996B8C">
        <w:t xml:space="preserve"> prevalence of 1 in </w:t>
      </w:r>
      <w:r w:rsidR="00C27610">
        <w:t>3</w:t>
      </w:r>
      <w:r w:rsidR="00996B8C">
        <w:t>,000 to 10,000</w:t>
      </w:r>
      <w:r w:rsidR="00D519AC">
        <w:t>, but with variable sympto</w:t>
      </w:r>
      <w:r w:rsidR="00816BB7">
        <w:t>matic penetrance</w:t>
      </w:r>
      <w:r w:rsidR="00996B8C">
        <w:t>.</w:t>
      </w:r>
      <w:r w:rsidR="008E34A2">
        <w:t xml:space="preserve"> Assuming a prevalence of 1 in 7,000, </w:t>
      </w:r>
      <w:r w:rsidR="008A7007">
        <w:t xml:space="preserve">around </w:t>
      </w:r>
      <w:r w:rsidR="008A7007">
        <w:lastRenderedPageBreak/>
        <w:t>4,000 people with 16p11.2 deletion syndrome</w:t>
      </w:r>
      <w:r w:rsidR="00CE6983">
        <w:t xml:space="preserve"> are expected to be living in Australia in 2025.</w:t>
      </w:r>
    </w:p>
    <w:p w14:paraId="0573A55A" w14:textId="6ACB10F2" w:rsidR="00F960EB" w:rsidRDefault="00F960EB" w:rsidP="009A6D8E">
      <w:pPr>
        <w:pStyle w:val="3Bodytext"/>
      </w:pPr>
      <w:r>
        <w:t>Down syndrome</w:t>
      </w:r>
      <w:r w:rsidR="00E31987">
        <w:t xml:space="preserve"> has an estimated prevalence of </w:t>
      </w:r>
      <w:r w:rsidR="00B13016">
        <w:t>5.14 per 10,000 people in Australia</w:t>
      </w:r>
      <w:r w:rsidR="00781625">
        <w:t>,</w:t>
      </w:r>
      <w:r w:rsidR="00AE310C">
        <w:rPr>
          <w:rStyle w:val="FootnoteReference"/>
        </w:rPr>
        <w:footnoteReference w:id="69"/>
      </w:r>
      <w:r w:rsidR="00781625">
        <w:t xml:space="preserve"> </w:t>
      </w:r>
      <w:r w:rsidR="00BE1B80">
        <w:t xml:space="preserve">resulting in an </w:t>
      </w:r>
      <w:r w:rsidR="00781625">
        <w:t xml:space="preserve">estimated population of </w:t>
      </w:r>
      <w:r w:rsidR="000E2B47">
        <w:t xml:space="preserve">14,200 </w:t>
      </w:r>
      <w:r w:rsidR="00781625">
        <w:t>in 2025.</w:t>
      </w:r>
      <w:r w:rsidR="003563A7">
        <w:t xml:space="preserve"> The Department could not identify any studies on the use of GLP-1s to treat overweight/obesity in people with Down syndrome</w:t>
      </w:r>
      <w:r w:rsidR="001935F8">
        <w:t>. Given the relatively high prevalence of Down syndrome</w:t>
      </w:r>
      <w:r w:rsidR="005C5CC3">
        <w:t xml:space="preserve">, a clinical trial </w:t>
      </w:r>
      <w:r w:rsidR="00FC1278">
        <w:t xml:space="preserve">or publication of case studies examining GLP-1 treatment in this population may </w:t>
      </w:r>
      <w:r w:rsidR="005C5CC3">
        <w:t>be informative.</w:t>
      </w:r>
    </w:p>
    <w:p w14:paraId="7FFFA816" w14:textId="7720F016" w:rsidR="00E40752" w:rsidRDefault="00E12388" w:rsidP="009A6D8E">
      <w:pPr>
        <w:pStyle w:val="3Bodytext"/>
      </w:pPr>
      <w:r>
        <w:t xml:space="preserve">The prevalence of </w:t>
      </w:r>
      <w:r w:rsidR="00E40752">
        <w:t>Bardet-Biedl syndrome</w:t>
      </w:r>
      <w:r w:rsidR="009E2870">
        <w:t xml:space="preserve"> (BBS)</w:t>
      </w:r>
      <w:r>
        <w:t xml:space="preserve"> varies between countries with estimates ranging from </w:t>
      </w:r>
      <w:r w:rsidR="00C53CC6">
        <w:t>around 1 in 50,000 to 1 in 160,000.</w:t>
      </w:r>
      <w:r w:rsidR="009E2870">
        <w:t xml:space="preserve"> People with </w:t>
      </w:r>
      <w:r w:rsidR="00513E86">
        <w:t xml:space="preserve">BBS </w:t>
      </w:r>
      <w:r w:rsidR="009E2870">
        <w:t xml:space="preserve">are typically born with normal weight but </w:t>
      </w:r>
      <w:r w:rsidR="00513E86">
        <w:t xml:space="preserve">90% </w:t>
      </w:r>
      <w:r w:rsidR="009E2870">
        <w:t>develop obesity</w:t>
      </w:r>
      <w:r w:rsidR="00F94692">
        <w:t xml:space="preserve"> by 3 years of age</w:t>
      </w:r>
      <w:r w:rsidR="009E2870">
        <w:t>.</w:t>
      </w:r>
      <w:r w:rsidR="009935F9">
        <w:t xml:space="preserve"> Setmelanotide is approved by the FDA for the treatment of obesity and binge-eating disorders in people with BBS.</w:t>
      </w:r>
    </w:p>
    <w:p w14:paraId="6D9E17B7" w14:textId="7FF4843F" w:rsidR="00C073A2" w:rsidRDefault="00C073A2" w:rsidP="009A6D8E">
      <w:pPr>
        <w:pStyle w:val="3Bodytext"/>
      </w:pPr>
      <w:r>
        <w:t>Alstr</w:t>
      </w:r>
      <w:r w:rsidR="008D4280">
        <w:rPr>
          <w:rFonts w:cstheme="minorHAnsi"/>
        </w:rPr>
        <w:t>ö</w:t>
      </w:r>
      <w:r>
        <w:t>m syndrome has an estimated pre</w:t>
      </w:r>
      <w:r w:rsidR="00467D29">
        <w:t xml:space="preserve">valence of 1 in </w:t>
      </w:r>
      <w:r w:rsidR="004F7A56">
        <w:t xml:space="preserve">500,000 to </w:t>
      </w:r>
      <w:r w:rsidR="00467D29">
        <w:t>1 million</w:t>
      </w:r>
      <w:r w:rsidR="008D4280">
        <w:t xml:space="preserve">. </w:t>
      </w:r>
      <w:r w:rsidR="004F7A56">
        <w:t xml:space="preserve">WAGR syndrome </w:t>
      </w:r>
      <w:r w:rsidR="008D4280">
        <w:t>also has an estimated prevalence of 1 in 500,000.</w:t>
      </w:r>
    </w:p>
    <w:p w14:paraId="2920369C" w14:textId="1F34FEFB" w:rsidR="00534ABF" w:rsidRDefault="00534ABF" w:rsidP="009A6D8E">
      <w:pPr>
        <w:pStyle w:val="3Bodytext"/>
      </w:pPr>
      <w:r>
        <w:t xml:space="preserve">Taken together, the </w:t>
      </w:r>
      <w:r w:rsidR="00E34B83">
        <w:t>Department</w:t>
      </w:r>
      <w:r>
        <w:t xml:space="preserve"> estimates that </w:t>
      </w:r>
      <w:r w:rsidR="00CB618C">
        <w:t xml:space="preserve">around </w:t>
      </w:r>
      <w:r w:rsidR="009A0991">
        <w:t>2</w:t>
      </w:r>
      <w:r w:rsidR="00D81668">
        <w:t>1</w:t>
      </w:r>
      <w:r w:rsidR="00CB618C">
        <w:t>,000</w:t>
      </w:r>
      <w:r w:rsidR="00E34B83">
        <w:t xml:space="preserve"> people would be likely to be living with a syndromic form of obesity in Australia</w:t>
      </w:r>
      <w:r w:rsidR="00DD75D1">
        <w:t xml:space="preserve"> in 2025</w:t>
      </w:r>
      <w:r w:rsidR="00E34B83">
        <w:t xml:space="preserve">. </w:t>
      </w:r>
      <w:r w:rsidR="0009253E">
        <w:t>Further work could be done to better</w:t>
      </w:r>
      <w:r w:rsidR="00C63147">
        <w:t xml:space="preserve"> estimate this population if requested by the PBAC.</w:t>
      </w:r>
    </w:p>
    <w:p w14:paraId="05EE5D9A" w14:textId="5DB5A202" w:rsidR="00713DB3" w:rsidRDefault="00713DB3" w:rsidP="00713DB3">
      <w:pPr>
        <w:pStyle w:val="3Subheading1"/>
      </w:pPr>
      <w:r>
        <w:t>Next steps</w:t>
      </w:r>
    </w:p>
    <w:p w14:paraId="53D19CFC" w14:textId="0272F824" w:rsidR="004C0907" w:rsidRDefault="00D77FDE" w:rsidP="00BE3F99">
      <w:pPr>
        <w:pStyle w:val="3Bodytext"/>
      </w:pPr>
      <w:r>
        <w:t>T</w:t>
      </w:r>
      <w:r w:rsidR="00BE3F99">
        <w:t xml:space="preserve">he PBAC Working Group </w:t>
      </w:r>
      <w:r w:rsidR="00C20DE2">
        <w:t>was</w:t>
      </w:r>
      <w:r w:rsidR="006B07C1">
        <w:t xml:space="preserve"> </w:t>
      </w:r>
      <w:r w:rsidR="00BE3F99">
        <w:t>requested to provide advice on adjustments to the preliminary population estimates</w:t>
      </w:r>
      <w:r>
        <w:t>, including:</w:t>
      </w:r>
    </w:p>
    <w:p w14:paraId="41D6EEF2" w14:textId="6CD7D92D" w:rsidR="00D77FDE" w:rsidRDefault="00D77FDE" w:rsidP="00D77FDE">
      <w:pPr>
        <w:pStyle w:val="3Bodytext"/>
        <w:numPr>
          <w:ilvl w:val="2"/>
          <w:numId w:val="1"/>
        </w:numPr>
      </w:pPr>
      <w:r>
        <w:t xml:space="preserve">The </w:t>
      </w:r>
      <w:r w:rsidR="00875827">
        <w:t xml:space="preserve">codes to be used to define CVD, and whether the CVD1 and CVD2 groups should </w:t>
      </w:r>
      <w:r w:rsidR="006B07C1">
        <w:t>be merged</w:t>
      </w:r>
      <w:r w:rsidR="005738D4">
        <w:t xml:space="preserve"> </w:t>
      </w:r>
      <w:r w:rsidR="001C6DEA">
        <w:t>into a single</w:t>
      </w:r>
      <w:r w:rsidR="00666560">
        <w:t xml:space="preserve"> group or presented separat</w:t>
      </w:r>
      <w:r w:rsidR="00E27618">
        <w:t>ely</w:t>
      </w:r>
      <w:r w:rsidR="005738D4">
        <w:t>.</w:t>
      </w:r>
    </w:p>
    <w:p w14:paraId="7993D1AA" w14:textId="31F0CB58" w:rsidR="00EF2884" w:rsidRDefault="006952AD" w:rsidP="00D77FDE">
      <w:pPr>
        <w:pStyle w:val="3Bodytext"/>
        <w:numPr>
          <w:ilvl w:val="2"/>
          <w:numId w:val="1"/>
        </w:numPr>
      </w:pPr>
      <w:r>
        <w:t>Pre</w:t>
      </w:r>
      <w:r w:rsidR="00871C74">
        <w:t xml:space="preserve">paring an additional table to show the </w:t>
      </w:r>
      <w:r w:rsidR="00D77618">
        <w:t>estimate</w:t>
      </w:r>
      <w:r w:rsidR="00C618EE">
        <w:t>d numbers of</w:t>
      </w:r>
      <w:r w:rsidR="00D77618">
        <w:t xml:space="preserve"> Aboriginal and Torres Strait Islanders with </w:t>
      </w:r>
      <w:r w:rsidR="00655CB4">
        <w:t>obesity-related comorbidities (broad list) with</w:t>
      </w:r>
      <w:r w:rsidR="00C618EE">
        <w:t>out</w:t>
      </w:r>
      <w:r w:rsidR="00655CB4">
        <w:t xml:space="preserve"> a BMI threshold.</w:t>
      </w:r>
    </w:p>
    <w:p w14:paraId="330EAC22" w14:textId="3F290191" w:rsidR="002D47CB" w:rsidRDefault="008C79CE" w:rsidP="00D77FDE">
      <w:pPr>
        <w:pStyle w:val="3Bodytext"/>
        <w:numPr>
          <w:ilvl w:val="2"/>
          <w:numId w:val="1"/>
        </w:numPr>
      </w:pPr>
      <w:r>
        <w:t xml:space="preserve">Providing estimates for the number of people </w:t>
      </w:r>
      <w:r w:rsidR="0017296D">
        <w:t xml:space="preserve">with </w:t>
      </w:r>
      <w:r w:rsidR="00525C4E">
        <w:rPr>
          <w:rFonts w:cstheme="minorHAnsi"/>
        </w:rPr>
        <w:t>≥</w:t>
      </w:r>
      <w:r w:rsidR="00525C4E">
        <w:t xml:space="preserve"> 1 comorbidity, </w:t>
      </w:r>
      <w:r w:rsidR="00525C4E">
        <w:rPr>
          <w:rFonts w:cstheme="minorHAnsi"/>
        </w:rPr>
        <w:t>≥</w:t>
      </w:r>
      <w:r w:rsidR="00525C4E">
        <w:t xml:space="preserve"> 2 comorbidities, etc., </w:t>
      </w:r>
      <w:r>
        <w:t>for the ‘restrictive’ list of comorbidities</w:t>
      </w:r>
      <w:r w:rsidR="00525C4E">
        <w:t>.</w:t>
      </w:r>
      <w:r w:rsidR="002B4006">
        <w:t xml:space="preserve"> </w:t>
      </w:r>
    </w:p>
    <w:p w14:paraId="29ACAADC" w14:textId="7840E59D" w:rsidR="003D1E82" w:rsidRDefault="003D1E82" w:rsidP="00EA24F3">
      <w:pPr>
        <w:pStyle w:val="3Bodytext"/>
      </w:pPr>
      <w:r>
        <w:t xml:space="preserve">The PBAC </w:t>
      </w:r>
      <w:r w:rsidR="00EF519E">
        <w:t>noted that th</w:t>
      </w:r>
      <w:r w:rsidR="00423E04">
        <w:t xml:space="preserve">e population estimates </w:t>
      </w:r>
      <w:r w:rsidR="00EF519E">
        <w:t xml:space="preserve">could </w:t>
      </w:r>
      <w:r w:rsidR="00423E04">
        <w:t xml:space="preserve">be revised based on advice </w:t>
      </w:r>
      <w:r w:rsidR="00CD629D">
        <w:t>from the PBAC or the PBAC Working Group</w:t>
      </w:r>
      <w:r w:rsidR="00FF62F9">
        <w:t xml:space="preserve">, </w:t>
      </w:r>
      <w:r w:rsidR="00423E04">
        <w:t>and be prepared for publication at a future date</w:t>
      </w:r>
      <w:r w:rsidR="002F3C31">
        <w:t xml:space="preserve">, </w:t>
      </w:r>
      <w:r w:rsidR="00114883">
        <w:t xml:space="preserve">dependent </w:t>
      </w:r>
      <w:r w:rsidR="003B319A">
        <w:t xml:space="preserve">on the advice of the PBAC and </w:t>
      </w:r>
      <w:r w:rsidR="002F3C31">
        <w:t>agreement by the Minister</w:t>
      </w:r>
      <w:r w:rsidR="00E96CEF">
        <w:t xml:space="preserve"> and the Australian Bureau of Statistics (ABS)</w:t>
      </w:r>
      <w:r w:rsidR="002F3C31">
        <w:t>.</w:t>
      </w:r>
    </w:p>
    <w:p w14:paraId="70874631" w14:textId="77777777" w:rsidR="007150D3" w:rsidRPr="00631112" w:rsidRDefault="007150D3" w:rsidP="007150D3">
      <w:pPr>
        <w:pStyle w:val="3Bodytext"/>
        <w:numPr>
          <w:ilvl w:val="0"/>
          <w:numId w:val="0"/>
        </w:numPr>
        <w:rPr>
          <w:i/>
          <w:iCs/>
        </w:rPr>
      </w:pPr>
      <w:bookmarkStart w:id="4" w:name="Section4"/>
      <w:r w:rsidRPr="00631112">
        <w:rPr>
          <w:i/>
          <w:iCs/>
        </w:rPr>
        <w:t xml:space="preserve">For more </w:t>
      </w:r>
      <w:r>
        <w:rPr>
          <w:i/>
          <w:iCs/>
        </w:rPr>
        <w:t xml:space="preserve">detail </w:t>
      </w:r>
      <w:r w:rsidRPr="00631112">
        <w:rPr>
          <w:i/>
          <w:iCs/>
        </w:rPr>
        <w:t xml:space="preserve">on PBAC’s view, see </w:t>
      </w:r>
      <w:hyperlink w:anchor="Section10" w:history="1">
        <w:r>
          <w:rPr>
            <w:rStyle w:val="Hyperlink"/>
            <w:i/>
            <w:iCs/>
          </w:rPr>
          <w:t>s</w:t>
        </w:r>
        <w:r w:rsidRPr="00631112">
          <w:rPr>
            <w:rStyle w:val="Hyperlink"/>
            <w:i/>
            <w:iCs/>
          </w:rPr>
          <w:t xml:space="preserve">ection 10 PBAC </w:t>
        </w:r>
        <w:r>
          <w:rPr>
            <w:rStyle w:val="Hyperlink"/>
            <w:i/>
            <w:iCs/>
          </w:rPr>
          <w:t>o</w:t>
        </w:r>
        <w:r w:rsidRPr="00631112">
          <w:rPr>
            <w:rStyle w:val="Hyperlink"/>
            <w:i/>
            <w:iCs/>
          </w:rPr>
          <w:t>utcome</w:t>
        </w:r>
      </w:hyperlink>
      <w:r w:rsidRPr="00631112">
        <w:rPr>
          <w:i/>
          <w:iCs/>
        </w:rPr>
        <w:t>.</w:t>
      </w:r>
    </w:p>
    <w:p w14:paraId="6853F3BB" w14:textId="699D08DC" w:rsidR="001375E1" w:rsidRDefault="001375E1" w:rsidP="001375E1">
      <w:pPr>
        <w:pStyle w:val="2-SectionHeading"/>
      </w:pPr>
      <w:r>
        <w:lastRenderedPageBreak/>
        <w:t>International subsidy arrangements for obesity treatments</w:t>
      </w:r>
      <w:bookmarkEnd w:id="4"/>
    </w:p>
    <w:p w14:paraId="10A195AF" w14:textId="59056DF3" w:rsidR="00F907B9" w:rsidRDefault="005D4BF0" w:rsidP="00F907B9">
      <w:pPr>
        <w:pStyle w:val="3Bodytext"/>
      </w:pPr>
      <w:r>
        <w:t>The</w:t>
      </w:r>
      <w:r w:rsidR="00A41B86">
        <w:t xml:space="preserve"> PBAC noted that the</w:t>
      </w:r>
      <w:r>
        <w:t xml:space="preserve"> Department ha</w:t>
      </w:r>
      <w:r w:rsidR="00A41B86">
        <w:t>d</w:t>
      </w:r>
      <w:r>
        <w:t xml:space="preserve"> not </w:t>
      </w:r>
      <w:r w:rsidR="00687AD5">
        <w:t xml:space="preserve">undertaken a systematic </w:t>
      </w:r>
      <w:r w:rsidR="008C6A86">
        <w:t xml:space="preserve">review </w:t>
      </w:r>
      <w:r w:rsidR="00687AD5">
        <w:t xml:space="preserve">of GLP-1 subsidy arrangements in other </w:t>
      </w:r>
      <w:r w:rsidR="00AB3EAA">
        <w:t>countries</w:t>
      </w:r>
      <w:r w:rsidR="00DC0076">
        <w:t xml:space="preserve"> but ha</w:t>
      </w:r>
      <w:r w:rsidR="00A41B86">
        <w:t>d</w:t>
      </w:r>
      <w:r w:rsidR="00DC0076">
        <w:t xml:space="preserve"> </w:t>
      </w:r>
      <w:r w:rsidR="00B059E7">
        <w:t>obtained information on subsidy ar</w:t>
      </w:r>
      <w:r w:rsidR="004D3DDD">
        <w:t xml:space="preserve">rangements </w:t>
      </w:r>
      <w:r w:rsidR="007E79F3">
        <w:t xml:space="preserve">from </w:t>
      </w:r>
      <w:r w:rsidR="004D3DDD">
        <w:t xml:space="preserve">relevant articles, reports, and </w:t>
      </w:r>
      <w:r w:rsidR="00DC0076">
        <w:t>discuss</w:t>
      </w:r>
      <w:r w:rsidR="004D3DDD">
        <w:t>ions with hea</w:t>
      </w:r>
      <w:r w:rsidR="16CA3FF2">
        <w:t>l</w:t>
      </w:r>
      <w:r w:rsidR="004D3DDD">
        <w:t>th agencies in the UK and Canada.</w:t>
      </w:r>
      <w:r w:rsidR="00DC0076">
        <w:t xml:space="preserve"> </w:t>
      </w:r>
    </w:p>
    <w:p w14:paraId="3C19D3A0" w14:textId="77777777" w:rsidR="00C2092D" w:rsidRDefault="00AB3EAA" w:rsidP="00C2092D">
      <w:pPr>
        <w:pStyle w:val="3Bodytext"/>
      </w:pPr>
      <w:r>
        <w:t xml:space="preserve">One review published in </w:t>
      </w:r>
      <w:r w:rsidR="004A36A0">
        <w:t>2024,</w:t>
      </w:r>
      <w:r w:rsidR="00D26787">
        <w:rPr>
          <w:rStyle w:val="FootnoteReference"/>
        </w:rPr>
        <w:footnoteReference w:id="70"/>
      </w:r>
      <w:r w:rsidR="004A36A0">
        <w:t xml:space="preserve"> found that </w:t>
      </w:r>
      <w:r w:rsidR="00A618DD">
        <w:t xml:space="preserve">9 out of 13 </w:t>
      </w:r>
      <w:r w:rsidR="00C063C2">
        <w:t xml:space="preserve">high-income </w:t>
      </w:r>
      <w:r w:rsidR="00A618DD">
        <w:t>countries investigated did not provide public coverage for GLP-1s for</w:t>
      </w:r>
      <w:r w:rsidR="00215D55">
        <w:t xml:space="preserve"> </w:t>
      </w:r>
      <w:r w:rsidR="00BC4160">
        <w:t>weight management</w:t>
      </w:r>
      <w:r w:rsidR="00695011">
        <w:t xml:space="preserve">, including </w:t>
      </w:r>
      <w:r w:rsidR="00695011" w:rsidRPr="00695011">
        <w:t>Australia, Belgium, Denmark, Finland, Germany, Italy, Israel</w:t>
      </w:r>
      <w:r w:rsidR="008F40D8">
        <w:t xml:space="preserve">, </w:t>
      </w:r>
      <w:r w:rsidR="0003155C">
        <w:t>Netherlands</w:t>
      </w:r>
      <w:r w:rsidR="006E5EC5">
        <w:t xml:space="preserve">, </w:t>
      </w:r>
      <w:r w:rsidR="008F40D8">
        <w:t>Canada and the USA</w:t>
      </w:r>
      <w:r w:rsidR="00A618DD">
        <w:t>.</w:t>
      </w:r>
      <w:r w:rsidR="00FC7658">
        <w:t xml:space="preserve"> </w:t>
      </w:r>
      <w:r w:rsidR="008F40D8">
        <w:t xml:space="preserve">However, in </w:t>
      </w:r>
      <w:r w:rsidR="00FC7658">
        <w:t>the USA</w:t>
      </w:r>
      <w:r w:rsidR="008F40D8">
        <w:t>, nine</w:t>
      </w:r>
      <w:r w:rsidR="00991B14">
        <w:t xml:space="preserve"> US </w:t>
      </w:r>
      <w:r w:rsidR="00B53CBB">
        <w:t>state Medicaid plans provid</w:t>
      </w:r>
      <w:r w:rsidR="008F40D8">
        <w:t>ed</w:t>
      </w:r>
      <w:r w:rsidR="00B53CBB">
        <w:t xml:space="preserve"> some coverage for GLP-1s for weight management.</w:t>
      </w:r>
      <w:r w:rsidR="005728B2">
        <w:t xml:space="preserve"> </w:t>
      </w:r>
      <w:r w:rsidR="00C40160">
        <w:t xml:space="preserve">The review indicates that total cost </w:t>
      </w:r>
      <w:r w:rsidR="006D1321">
        <w:t>and cost-effectiveness</w:t>
      </w:r>
      <w:r w:rsidR="00F16A01">
        <w:t xml:space="preserve"> ha</w:t>
      </w:r>
      <w:r w:rsidR="006D1321">
        <w:t>ve</w:t>
      </w:r>
      <w:r w:rsidR="00F16A01">
        <w:t xml:space="preserve"> been issue</w:t>
      </w:r>
      <w:r w:rsidR="006D1321">
        <w:t>s</w:t>
      </w:r>
      <w:r w:rsidR="00F16A01">
        <w:t xml:space="preserve"> cited by </w:t>
      </w:r>
      <w:r w:rsidR="00D81BD2">
        <w:t>several</w:t>
      </w:r>
      <w:r w:rsidR="00F16A01">
        <w:t xml:space="preserve"> countries</w:t>
      </w:r>
      <w:r w:rsidR="00935FE5">
        <w:t xml:space="preserve"> when not subsidising GLP-1s for obesity treatment</w:t>
      </w:r>
      <w:r w:rsidR="00F16A01">
        <w:t xml:space="preserve">. </w:t>
      </w:r>
      <w:r w:rsidR="00721AB2">
        <w:t>The review found that q</w:t>
      </w:r>
      <w:r w:rsidR="005728B2">
        <w:t xml:space="preserve">ualified </w:t>
      </w:r>
      <w:r w:rsidR="00076478">
        <w:t xml:space="preserve">national coverage for </w:t>
      </w:r>
      <w:r w:rsidR="00B0464E">
        <w:t>semaglutide (Wegovy)</w:t>
      </w:r>
      <w:r w:rsidR="00076478">
        <w:t xml:space="preserve"> for weight management was provided by</w:t>
      </w:r>
      <w:r w:rsidR="00601B88">
        <w:t>:</w:t>
      </w:r>
    </w:p>
    <w:p w14:paraId="6DC2EAA8" w14:textId="1E97AECE" w:rsidR="00601B88" w:rsidRDefault="00076478" w:rsidP="00C2092D">
      <w:pPr>
        <w:pStyle w:val="3Bodytext"/>
        <w:numPr>
          <w:ilvl w:val="2"/>
          <w:numId w:val="1"/>
        </w:numPr>
      </w:pPr>
      <w:r>
        <w:t>France</w:t>
      </w:r>
      <w:r w:rsidR="00601B88">
        <w:t>:</w:t>
      </w:r>
      <w:r w:rsidR="003D1382">
        <w:t xml:space="preserve"> People under the age of 65 years with BMI </w:t>
      </w:r>
      <w:r w:rsidR="004526F9">
        <w:t>&gt;35 kg/m</w:t>
      </w:r>
      <w:r w:rsidR="004526F9" w:rsidRPr="00C2092D">
        <w:rPr>
          <w:vertAlign w:val="superscript"/>
        </w:rPr>
        <w:t>2</w:t>
      </w:r>
      <w:r w:rsidR="000F2F68">
        <w:t xml:space="preserve"> after insufficient weight loss with diet and exercise.</w:t>
      </w:r>
      <w:r w:rsidR="004526F9" w:rsidRPr="004526F9">
        <w:t xml:space="preserve"> </w:t>
      </w:r>
      <w:r w:rsidR="000F2F68">
        <w:t>R</w:t>
      </w:r>
      <w:r w:rsidR="003D1382">
        <w:t>eimbursement rate</w:t>
      </w:r>
      <w:r w:rsidR="000F2F68">
        <w:t>: 65%</w:t>
      </w:r>
      <w:r w:rsidR="003D1382">
        <w:t>.</w:t>
      </w:r>
    </w:p>
    <w:p w14:paraId="44013A3E" w14:textId="7F36E0DD" w:rsidR="00601B88" w:rsidRDefault="00076478" w:rsidP="00B0464E">
      <w:pPr>
        <w:pStyle w:val="3Bodytext"/>
        <w:numPr>
          <w:ilvl w:val="2"/>
          <w:numId w:val="1"/>
        </w:numPr>
      </w:pPr>
      <w:r>
        <w:t>Iceland</w:t>
      </w:r>
      <w:r w:rsidR="000F2F68">
        <w:t>:</w:t>
      </w:r>
      <w:r w:rsidR="009C66E2">
        <w:t xml:space="preserve"> People with BMI &gt;45 kg/m</w:t>
      </w:r>
      <w:r w:rsidR="009C66E2" w:rsidRPr="00262B9F">
        <w:rPr>
          <w:vertAlign w:val="superscript"/>
        </w:rPr>
        <w:t>2</w:t>
      </w:r>
      <w:r w:rsidR="00806BD1">
        <w:t>, or BMI &gt;35 kg/m</w:t>
      </w:r>
      <w:r w:rsidR="00806BD1" w:rsidRPr="00262B9F">
        <w:rPr>
          <w:vertAlign w:val="superscript"/>
        </w:rPr>
        <w:t>2</w:t>
      </w:r>
      <w:r w:rsidR="00806BD1">
        <w:t xml:space="preserve"> and severe comorbidity</w:t>
      </w:r>
      <w:r w:rsidR="007E00FE">
        <w:t xml:space="preserve">. Continuation required </w:t>
      </w:r>
      <w:r w:rsidR="009C02FE">
        <w:t>5% reduction in body weight at 6 months, 10% at 1 year and 15% at 18 months.</w:t>
      </w:r>
    </w:p>
    <w:p w14:paraId="1E362A3D" w14:textId="45971E9A" w:rsidR="00601B88" w:rsidRDefault="00076478" w:rsidP="00B0464E">
      <w:pPr>
        <w:pStyle w:val="3Bodytext"/>
        <w:numPr>
          <w:ilvl w:val="2"/>
          <w:numId w:val="1"/>
        </w:numPr>
      </w:pPr>
      <w:r>
        <w:t>Japan</w:t>
      </w:r>
      <w:r w:rsidR="00766F30">
        <w:t>: BMI &gt;35 kg/m</w:t>
      </w:r>
      <w:r w:rsidR="00766F30" w:rsidRPr="00262B9F">
        <w:rPr>
          <w:vertAlign w:val="superscript"/>
        </w:rPr>
        <w:t>2</w:t>
      </w:r>
      <w:r w:rsidR="00766F30">
        <w:t>, or BMI &gt;27 kg/m</w:t>
      </w:r>
      <w:r w:rsidR="00766F30" w:rsidRPr="00262B9F">
        <w:rPr>
          <w:vertAlign w:val="superscript"/>
        </w:rPr>
        <w:t>2</w:t>
      </w:r>
      <w:r w:rsidR="00505BCD">
        <w:t xml:space="preserve"> and </w:t>
      </w:r>
      <w:r w:rsidR="00505BCD">
        <w:rPr>
          <w:rFonts w:cstheme="minorHAnsi"/>
        </w:rPr>
        <w:t>≥</w:t>
      </w:r>
      <w:r w:rsidR="00505BCD">
        <w:t>2 weight-related health conditions.</w:t>
      </w:r>
    </w:p>
    <w:p w14:paraId="42A5BF55" w14:textId="20A71C15" w:rsidR="005D4BF0" w:rsidRDefault="00076478" w:rsidP="00B0464E">
      <w:pPr>
        <w:pStyle w:val="3Bodytext"/>
        <w:widowControl w:val="0"/>
        <w:numPr>
          <w:ilvl w:val="2"/>
          <w:numId w:val="1"/>
        </w:numPr>
      </w:pPr>
      <w:r>
        <w:t>UK</w:t>
      </w:r>
      <w:r w:rsidR="00BF5CC6">
        <w:t>: BMI &gt;35 kg/m</w:t>
      </w:r>
      <w:r w:rsidR="00BF5CC6" w:rsidRPr="00262B9F">
        <w:rPr>
          <w:vertAlign w:val="superscript"/>
        </w:rPr>
        <w:t>2</w:t>
      </w:r>
      <w:r w:rsidR="00BF5CC6">
        <w:t>, or BMI &gt;27 kg/m</w:t>
      </w:r>
      <w:r w:rsidR="00BF5CC6" w:rsidRPr="00262B9F">
        <w:rPr>
          <w:vertAlign w:val="superscript"/>
        </w:rPr>
        <w:t>2</w:t>
      </w:r>
      <w:r w:rsidR="00BF5CC6">
        <w:t xml:space="preserve"> and </w:t>
      </w:r>
      <w:r w:rsidR="00BF5CC6">
        <w:rPr>
          <w:rFonts w:cstheme="minorHAnsi"/>
        </w:rPr>
        <w:t>≥</w:t>
      </w:r>
      <w:r w:rsidR="00BF5CC6">
        <w:t>1 weight-related health conditions</w:t>
      </w:r>
      <w:r>
        <w:t>.</w:t>
      </w:r>
      <w:r w:rsidR="001963B8">
        <w:t xml:space="preserve"> Patients to receive diet and exercise advi</w:t>
      </w:r>
      <w:r w:rsidR="00590913">
        <w:t>ce and have tried alternative treatment.</w:t>
      </w:r>
      <w:r w:rsidR="00690882">
        <w:t xml:space="preserve"> Can only be prescribed by obesity specialists at weight management clinics.</w:t>
      </w:r>
    </w:p>
    <w:p w14:paraId="7904CE53" w14:textId="77777777" w:rsidR="00ED5996" w:rsidRPr="00ED5996" w:rsidRDefault="00ED5996" w:rsidP="00ED5996">
      <w:pPr>
        <w:pStyle w:val="3Bodytext"/>
        <w:rPr>
          <w:b/>
          <w:bCs/>
        </w:rPr>
      </w:pPr>
      <w:r w:rsidRPr="00ED5996">
        <w:rPr>
          <w:b/>
          <w:bCs/>
        </w:rPr>
        <w:t>Redacted text.</w:t>
      </w:r>
      <w:bookmarkStart w:id="5" w:name="Section4Canada"/>
    </w:p>
    <w:p w14:paraId="75F59329" w14:textId="7BEAC7ED" w:rsidR="0043325D" w:rsidRPr="00ED5996" w:rsidRDefault="0043325D" w:rsidP="00ED5996">
      <w:pPr>
        <w:pStyle w:val="3Bodytext"/>
      </w:pPr>
      <w:r w:rsidRPr="00ED5996">
        <w:rPr>
          <w:b/>
          <w:bCs/>
        </w:rPr>
        <w:t>Redacted text.</w:t>
      </w:r>
    </w:p>
    <w:p w14:paraId="546D7376" w14:textId="77777777" w:rsidR="00ED5996" w:rsidRPr="00ED5996" w:rsidRDefault="00ED5996" w:rsidP="00ED5996">
      <w:pPr>
        <w:pStyle w:val="3Bodytext"/>
      </w:pPr>
      <w:r w:rsidRPr="00ED5996">
        <w:rPr>
          <w:b/>
          <w:bCs/>
        </w:rPr>
        <w:t>Redacted text.</w:t>
      </w:r>
    </w:p>
    <w:p w14:paraId="45C4C430" w14:textId="7179FB4B" w:rsidR="00ED5996" w:rsidRPr="00ED5996" w:rsidRDefault="00ED5996" w:rsidP="00ED5996">
      <w:pPr>
        <w:pStyle w:val="3Bodytext"/>
      </w:pPr>
      <w:r w:rsidRPr="00ED5996">
        <w:rPr>
          <w:b/>
          <w:bCs/>
        </w:rPr>
        <w:t>Redacted text.</w:t>
      </w:r>
    </w:p>
    <w:p w14:paraId="0940A84F" w14:textId="5C8503F4" w:rsidR="004D43D7" w:rsidRPr="0065182F" w:rsidRDefault="004D43D7" w:rsidP="00081743">
      <w:pPr>
        <w:pStyle w:val="3Subheading1"/>
        <w:keepNext w:val="0"/>
        <w:widowControl w:val="0"/>
      </w:pPr>
      <w:r w:rsidRPr="0065182F">
        <w:t>Canada</w:t>
      </w:r>
    </w:p>
    <w:bookmarkEnd w:id="5"/>
    <w:p w14:paraId="38CD4BE2" w14:textId="4AA0A777" w:rsidR="00FC0C06" w:rsidRDefault="00A760C6" w:rsidP="0021651B">
      <w:pPr>
        <w:pStyle w:val="3Bodytext"/>
      </w:pPr>
      <w:r w:rsidRPr="0065182F">
        <w:t xml:space="preserve">In </w:t>
      </w:r>
      <w:r w:rsidR="0050048B" w:rsidRPr="0065182F">
        <w:t>July 2025, C</w:t>
      </w:r>
      <w:r w:rsidRPr="0065182F">
        <w:t>anada</w:t>
      </w:r>
      <w:r w:rsidR="0050048B" w:rsidRPr="0065182F">
        <w:t>’s Drug Agency L’Agence des medicaments du Canada (CD</w:t>
      </w:r>
      <w:r w:rsidR="00FF1353" w:rsidRPr="0065182F">
        <w:t>A</w:t>
      </w:r>
      <w:r w:rsidR="002C6C4F" w:rsidRPr="0065182F">
        <w:noBreakHyphen/>
      </w:r>
      <w:r w:rsidR="00FF1353" w:rsidRPr="0065182F">
        <w:t xml:space="preserve">AMC) recommended the reimbursement of semaglutide (Wegovy) </w:t>
      </w:r>
      <w:r w:rsidR="0089740E" w:rsidRPr="0065182F">
        <w:t>as an adjunct to a reduced calorie diet and increased physical activity for chronic weight</w:t>
      </w:r>
      <w:r w:rsidR="0089740E">
        <w:t xml:space="preserve"> management </w:t>
      </w:r>
      <w:r w:rsidR="001C31D4">
        <w:t>in adult patients with a</w:t>
      </w:r>
      <w:r w:rsidR="0045122C">
        <w:t xml:space="preserve"> </w:t>
      </w:r>
      <w:r w:rsidR="001C31D4">
        <w:t xml:space="preserve">BMI of </w:t>
      </w:r>
      <w:r w:rsidR="00AD3B76">
        <w:rPr>
          <w:rFonts w:cstheme="minorHAnsi"/>
        </w:rPr>
        <w:t>≥</w:t>
      </w:r>
      <w:r w:rsidR="00AD3B76">
        <w:t xml:space="preserve"> </w:t>
      </w:r>
      <w:r w:rsidR="001C31D4">
        <w:t>27 kg/m</w:t>
      </w:r>
      <w:r w:rsidR="001C31D4" w:rsidRPr="00111689">
        <w:rPr>
          <w:vertAlign w:val="superscript"/>
        </w:rPr>
        <w:t>2</w:t>
      </w:r>
      <w:r w:rsidR="00CF59A7">
        <w:t xml:space="preserve"> and pre-existing CVD </w:t>
      </w:r>
      <w:r w:rsidR="00CF59A7" w:rsidRPr="00CF59A7">
        <w:t>including conditions characteri</w:t>
      </w:r>
      <w:r w:rsidR="00CF59A7">
        <w:t>s</w:t>
      </w:r>
      <w:r w:rsidR="00CF59A7" w:rsidRPr="00CF59A7">
        <w:t xml:space="preserve">ed by narrowed arteries leading to reduced blood </w:t>
      </w:r>
      <w:r w:rsidR="00CF59A7" w:rsidRPr="00CF59A7">
        <w:lastRenderedPageBreak/>
        <w:t>flow to the heart, brain, or arms or legs</w:t>
      </w:r>
      <w:r w:rsidR="00840CA3">
        <w:t xml:space="preserve"> (</w:t>
      </w:r>
      <w:r w:rsidR="00840CA3" w:rsidRPr="00840CA3">
        <w:t>prior myocardial infarction [MI], prior stroke, or symptomatic peripheral arterial disease [PAD])</w:t>
      </w:r>
      <w:r w:rsidR="00CF59A7">
        <w:t>.</w:t>
      </w:r>
      <w:r w:rsidR="000071BF">
        <w:t xml:space="preserve"> </w:t>
      </w:r>
      <w:r w:rsidR="002E1ABE">
        <w:t>Continuation of therapy requires a 5% reduction in BMI or body weight</w:t>
      </w:r>
      <w:r w:rsidR="00CD7729">
        <w:t xml:space="preserve"> at one year</w:t>
      </w:r>
      <w:r w:rsidR="00D038F1">
        <w:t>, with reassessment each year</w:t>
      </w:r>
      <w:r w:rsidR="00BF2BF5">
        <w:t xml:space="preserve"> to ensure maintenance of weight loss</w:t>
      </w:r>
      <w:r w:rsidR="00CD7729">
        <w:t>.</w:t>
      </w:r>
      <w:r w:rsidR="0021651B">
        <w:t xml:space="preserve"> </w:t>
      </w:r>
      <w:r w:rsidR="00F60947">
        <w:t>The conditions for reimbursement include that the cost of Wegovy should be reduced</w:t>
      </w:r>
      <w:r w:rsidR="00FB7534">
        <w:t xml:space="preserve"> by </w:t>
      </w:r>
      <w:r w:rsidR="00651791">
        <w:t xml:space="preserve">67% from the </w:t>
      </w:r>
      <w:r w:rsidR="00163F0E">
        <w:t xml:space="preserve">sponsor-submitted price </w:t>
      </w:r>
      <w:r w:rsidR="00651791">
        <w:t>to achieve</w:t>
      </w:r>
      <w:r w:rsidR="00163F0E">
        <w:t xml:space="preserve"> an </w:t>
      </w:r>
      <w:r w:rsidR="00162C48">
        <w:t>i</w:t>
      </w:r>
      <w:r w:rsidR="00163F0E">
        <w:t xml:space="preserve">ncremental </w:t>
      </w:r>
      <w:r w:rsidR="00162C48">
        <w:t>c</w:t>
      </w:r>
      <w:r w:rsidR="00163F0E">
        <w:t>ost-</w:t>
      </w:r>
      <w:r w:rsidR="00162C48">
        <w:t xml:space="preserve">effectiveness ratio of </w:t>
      </w:r>
      <w:r w:rsidR="007F6147">
        <w:t>CAN $50,000</w:t>
      </w:r>
      <w:r w:rsidR="00230B9A">
        <w:t xml:space="preserve"> per quality-adjusted life year (QALY) compared to the current standard of care.</w:t>
      </w:r>
      <w:r w:rsidR="0021651B" w:rsidRPr="0021651B">
        <w:rPr>
          <w:rStyle w:val="FootnoteReference"/>
        </w:rPr>
        <w:t xml:space="preserve"> </w:t>
      </w:r>
      <w:r w:rsidR="0021651B">
        <w:rPr>
          <w:rStyle w:val="FootnoteReference"/>
        </w:rPr>
        <w:footnoteReference w:id="71"/>
      </w:r>
    </w:p>
    <w:p w14:paraId="3B5EB48C" w14:textId="33BC53B7" w:rsidR="00176E3E" w:rsidRDefault="00176E3E" w:rsidP="0021651B">
      <w:pPr>
        <w:pStyle w:val="3Bodytext"/>
      </w:pPr>
      <w:r>
        <w:t>The Pan-</w:t>
      </w:r>
      <w:r w:rsidR="00F57CBF">
        <w:t>Canadian</w:t>
      </w:r>
      <w:r>
        <w:t xml:space="preserve"> </w:t>
      </w:r>
      <w:r w:rsidR="00F57CBF">
        <w:t>Pharmaceutical</w:t>
      </w:r>
      <w:r>
        <w:t xml:space="preserve"> Alliance negotiates </w:t>
      </w:r>
      <w:r w:rsidR="00F57CBF">
        <w:t xml:space="preserve">medicine costs on behalf of the Canadian provinces, </w:t>
      </w:r>
      <w:r w:rsidR="00E7122C">
        <w:t>which</w:t>
      </w:r>
      <w:r w:rsidR="00F57CBF">
        <w:t xml:space="preserve"> </w:t>
      </w:r>
      <w:r w:rsidR="00E7122C">
        <w:t>manage</w:t>
      </w:r>
      <w:r w:rsidR="00F57CBF">
        <w:t xml:space="preserve"> their own health budgets. </w:t>
      </w:r>
      <w:r w:rsidR="00427859">
        <w:t>Semaglutide (Wegovy)</w:t>
      </w:r>
      <w:r w:rsidR="00B217AD">
        <w:t xml:space="preserve"> is currently listed as ‘under consideration for negotiation’.</w:t>
      </w:r>
      <w:r w:rsidR="00784D03">
        <w:rPr>
          <w:rStyle w:val="FootnoteReference"/>
        </w:rPr>
        <w:footnoteReference w:id="72"/>
      </w:r>
      <w:r w:rsidR="009241B4">
        <w:t xml:space="preserve"> Provincial governments are not obliged to fund therapies recommended by the CDA-AMC</w:t>
      </w:r>
      <w:r w:rsidR="00784D03">
        <w:t xml:space="preserve"> </w:t>
      </w:r>
      <w:r w:rsidR="00D01226">
        <w:t>and can make their own decisions about funding and access arrangements.</w:t>
      </w:r>
      <w:r w:rsidR="00B217AD">
        <w:t xml:space="preserve"> </w:t>
      </w:r>
    </w:p>
    <w:p w14:paraId="4C2A461B" w14:textId="2E84818A" w:rsidR="00BF2BF5" w:rsidRDefault="00BE74B7" w:rsidP="00AD3B76">
      <w:pPr>
        <w:pStyle w:val="3Bodytext"/>
      </w:pPr>
      <w:r>
        <w:t xml:space="preserve">Patent protection for semaglutide in Canada is set to expire in </w:t>
      </w:r>
      <w:r w:rsidR="00A8503C">
        <w:t xml:space="preserve">January 2026, and </w:t>
      </w:r>
      <w:r w:rsidR="74B50BF6">
        <w:t>biosimilar</w:t>
      </w:r>
      <w:r w:rsidR="00A8503C">
        <w:t xml:space="preserve"> competition</w:t>
      </w:r>
      <w:r w:rsidR="003E31B0">
        <w:t xml:space="preserve"> is expected to commence in </w:t>
      </w:r>
      <w:r w:rsidR="00AC195B">
        <w:t>the same year.</w:t>
      </w:r>
      <w:r w:rsidR="003145F8">
        <w:t xml:space="preserve"> Generic manufacturer</w:t>
      </w:r>
      <w:r w:rsidR="00AE3502">
        <w:t>,</w:t>
      </w:r>
      <w:r w:rsidR="003145F8">
        <w:t xml:space="preserve"> Sandoz</w:t>
      </w:r>
      <w:r w:rsidR="00AE3502">
        <w:t>,</w:t>
      </w:r>
      <w:r w:rsidR="003145F8">
        <w:t xml:space="preserve"> </w:t>
      </w:r>
      <w:r w:rsidR="007E027E">
        <w:t xml:space="preserve">filed for approval of </w:t>
      </w:r>
      <w:r w:rsidR="006A0C23">
        <w:t>biosimilar</w:t>
      </w:r>
      <w:r w:rsidR="007E027E">
        <w:t xml:space="preserve"> semaglutide </w:t>
      </w:r>
      <w:r w:rsidR="00176E3E">
        <w:t>with Health Canada in June 2025.</w:t>
      </w:r>
      <w:r w:rsidR="00AF2791">
        <w:t xml:space="preserve"> Sandoz </w:t>
      </w:r>
      <w:r w:rsidR="00744F6C">
        <w:t xml:space="preserve">has not yet confirmed a price for </w:t>
      </w:r>
      <w:r w:rsidR="00CB7252">
        <w:t xml:space="preserve">its </w:t>
      </w:r>
      <w:r w:rsidR="00A33106">
        <w:t xml:space="preserve">biosimilar </w:t>
      </w:r>
      <w:r w:rsidR="00744F6C">
        <w:t>semaglutide</w:t>
      </w:r>
      <w:r w:rsidR="00031A67">
        <w:t xml:space="preserve"> but is reported to have indicated that a price reduction of </w:t>
      </w:r>
      <w:r w:rsidR="00711D18">
        <w:t xml:space="preserve">60-70% of the list price may be expected and there is speculation that </w:t>
      </w:r>
      <w:r w:rsidR="00A33106">
        <w:t xml:space="preserve">semaglutide </w:t>
      </w:r>
      <w:r w:rsidR="0019273F">
        <w:t>biosimilar</w:t>
      </w:r>
      <w:r w:rsidR="00711D18">
        <w:t xml:space="preserve">s could cost </w:t>
      </w:r>
      <w:r w:rsidR="00AB5E4D">
        <w:t xml:space="preserve">CAN </w:t>
      </w:r>
      <w:r w:rsidR="00E25B86">
        <w:t>$40-50 per month within a few years</w:t>
      </w:r>
      <w:r w:rsidR="00A33106">
        <w:t xml:space="preserve"> as more companies enter the market</w:t>
      </w:r>
      <w:r w:rsidR="00E25B86">
        <w:t>.</w:t>
      </w:r>
      <w:r w:rsidR="00FC7037">
        <w:rPr>
          <w:rStyle w:val="FootnoteReference"/>
        </w:rPr>
        <w:footnoteReference w:id="73"/>
      </w:r>
      <w:r w:rsidR="00CB66BA">
        <w:rPr>
          <w:vertAlign w:val="superscript"/>
        </w:rPr>
        <w:t>,</w:t>
      </w:r>
      <w:r w:rsidR="00CB66BA">
        <w:rPr>
          <w:rStyle w:val="FootnoteReference"/>
        </w:rPr>
        <w:footnoteReference w:id="74"/>
      </w:r>
    </w:p>
    <w:p w14:paraId="0EA30827" w14:textId="03FFD951" w:rsidR="004875FF" w:rsidRDefault="004875FF" w:rsidP="00684001">
      <w:pPr>
        <w:pStyle w:val="3Subheading1"/>
        <w:keepLines/>
        <w:widowControl w:val="0"/>
      </w:pPr>
      <w:r>
        <w:t>U</w:t>
      </w:r>
      <w:r w:rsidR="00433EB6">
        <w:t>nited Kingdom (UK)</w:t>
      </w:r>
      <w:r>
        <w:t xml:space="preserve"> </w:t>
      </w:r>
    </w:p>
    <w:p w14:paraId="048A8239" w14:textId="3D2F3A3D" w:rsidR="00A1680D" w:rsidRDefault="00DE58C3" w:rsidP="00073624">
      <w:pPr>
        <w:pStyle w:val="3Bodytext"/>
      </w:pPr>
      <w:r>
        <w:t xml:space="preserve">The </w:t>
      </w:r>
      <w:r w:rsidRPr="008B7787">
        <w:t>UK National Institute for Health and Care Excellence (NICE)</w:t>
      </w:r>
      <w:r w:rsidR="00D14BD7">
        <w:t xml:space="preserve"> has recently published a position statement on developing </w:t>
      </w:r>
      <w:r w:rsidR="00B52025">
        <w:t>reference case extension</w:t>
      </w:r>
      <w:r w:rsidR="00F837B6">
        <w:t>s</w:t>
      </w:r>
      <w:r w:rsidR="00B52025">
        <w:t xml:space="preserve"> in selected disease areas and conditions to support standardised</w:t>
      </w:r>
      <w:r w:rsidR="00371627">
        <w:t xml:space="preserve"> and consistent</w:t>
      </w:r>
      <w:r w:rsidR="00B52025">
        <w:t xml:space="preserve"> </w:t>
      </w:r>
      <w:r w:rsidR="00AC1445">
        <w:t>health economic modelling approaches</w:t>
      </w:r>
      <w:r w:rsidR="00371627">
        <w:t xml:space="preserve"> and </w:t>
      </w:r>
      <w:r w:rsidR="00AC1445">
        <w:t xml:space="preserve">inform guidance development. </w:t>
      </w:r>
      <w:r w:rsidR="00DB69FC">
        <w:t xml:space="preserve">The first </w:t>
      </w:r>
      <w:r w:rsidR="00350BDF">
        <w:t>disease-specific reference case extension is for management of overweight and obesity</w:t>
      </w:r>
      <w:r w:rsidR="00BC4E26">
        <w:t xml:space="preserve"> and a scope for this work has been published.</w:t>
      </w:r>
      <w:r w:rsidR="006A6BDD">
        <w:rPr>
          <w:rStyle w:val="FootnoteReference"/>
        </w:rPr>
        <w:footnoteReference w:id="75"/>
      </w:r>
      <w:r w:rsidR="00711ADB">
        <w:t xml:space="preserve"> </w:t>
      </w:r>
    </w:p>
    <w:p w14:paraId="351903FF" w14:textId="1148BCAE" w:rsidR="00FB69FC" w:rsidRPr="00E44567" w:rsidRDefault="00FB69FC" w:rsidP="00684001">
      <w:pPr>
        <w:pStyle w:val="3Bodytext"/>
        <w:keepNext/>
        <w:keepLines/>
        <w:numPr>
          <w:ilvl w:val="0"/>
          <w:numId w:val="0"/>
        </w:numPr>
        <w:ind w:left="720" w:hanging="720"/>
        <w:rPr>
          <w:u w:val="single"/>
        </w:rPr>
      </w:pPr>
      <w:r w:rsidRPr="00E44567">
        <w:rPr>
          <w:u w:val="single"/>
        </w:rPr>
        <w:lastRenderedPageBreak/>
        <w:t>Liraglutide (Saxenda)</w:t>
      </w:r>
    </w:p>
    <w:p w14:paraId="43DE1F7C" w14:textId="12F850D1" w:rsidR="00C764B1" w:rsidRDefault="00E44567" w:rsidP="00684001">
      <w:pPr>
        <w:pStyle w:val="3Bodytext"/>
        <w:keepNext/>
        <w:keepLines/>
      </w:pPr>
      <w:r>
        <w:t xml:space="preserve">In December 2020, </w:t>
      </w:r>
      <w:r w:rsidRPr="008B7787">
        <w:t>NICE published its technology appraisal guid</w:t>
      </w:r>
      <w:r>
        <w:t>ance for l</w:t>
      </w:r>
      <w:r w:rsidR="00FB69FC">
        <w:t>iraglutide (Saxenda)</w:t>
      </w:r>
      <w:r w:rsidR="00122B6D">
        <w:t xml:space="preserve">. </w:t>
      </w:r>
      <w:r w:rsidR="00C764B1">
        <w:t>Liraglutide is recommended as an option for managing overweight/obesity alongside a reduced-calorie diet and increased physical activity in adults with:</w:t>
      </w:r>
      <w:r w:rsidR="00495438">
        <w:t xml:space="preserve"> </w:t>
      </w:r>
    </w:p>
    <w:p w14:paraId="4B889227" w14:textId="470C0D1D" w:rsidR="00880F73" w:rsidRDefault="00C764B1" w:rsidP="00880F73">
      <w:pPr>
        <w:pStyle w:val="3Bodytext"/>
        <w:numPr>
          <w:ilvl w:val="2"/>
          <w:numId w:val="1"/>
        </w:numPr>
      </w:pPr>
      <w:r>
        <w:t xml:space="preserve">BMI </w:t>
      </w:r>
      <w:r w:rsidR="00E656A5">
        <w:rPr>
          <w:rFonts w:cstheme="minorHAnsi"/>
        </w:rPr>
        <w:t>≥</w:t>
      </w:r>
      <w:r>
        <w:t>35 kg/m</w:t>
      </w:r>
      <w:r w:rsidRPr="00E656A5">
        <w:rPr>
          <w:vertAlign w:val="superscript"/>
        </w:rPr>
        <w:t>2</w:t>
      </w:r>
      <w:r>
        <w:t xml:space="preserve"> (or at least 32.5 kg/m</w:t>
      </w:r>
      <w:r w:rsidRPr="00E656A5">
        <w:rPr>
          <w:vertAlign w:val="superscript"/>
        </w:rPr>
        <w:t>2</w:t>
      </w:r>
      <w:r>
        <w:t xml:space="preserve"> for members of minority ethnic groups known to be at equivalent risk of the consequences of obesity at a lower BMI than the white population)</w:t>
      </w:r>
      <w:r w:rsidR="00880F73">
        <w:t>,</w:t>
      </w:r>
      <w:r>
        <w:t xml:space="preserve"> and</w:t>
      </w:r>
    </w:p>
    <w:p w14:paraId="71FBBBB8" w14:textId="77777777" w:rsidR="00880F73" w:rsidRDefault="00C764B1" w:rsidP="00880F73">
      <w:pPr>
        <w:pStyle w:val="3Bodytext"/>
        <w:numPr>
          <w:ilvl w:val="2"/>
          <w:numId w:val="1"/>
        </w:numPr>
      </w:pPr>
      <w:r>
        <w:t>non-diabetic hyperglycaemia (defined as a haemoglobin A1c level of 42 mmol/mol to 47 mmol/mol [6.0% to 6.4%] or a fasting plasma glucose level of 5.5 mmol/litre to 6.9 mmol/litre)</w:t>
      </w:r>
      <w:r w:rsidR="00880F73">
        <w:t>,</w:t>
      </w:r>
      <w:r>
        <w:t xml:space="preserve"> and</w:t>
      </w:r>
    </w:p>
    <w:p w14:paraId="51637F41" w14:textId="77777777" w:rsidR="00344463" w:rsidRDefault="00C764B1" w:rsidP="00344463">
      <w:pPr>
        <w:pStyle w:val="3Bodytext"/>
        <w:numPr>
          <w:ilvl w:val="2"/>
          <w:numId w:val="1"/>
        </w:numPr>
      </w:pPr>
      <w:r>
        <w:t xml:space="preserve">high risk of </w:t>
      </w:r>
      <w:r w:rsidR="00344463">
        <w:t xml:space="preserve">CVD </w:t>
      </w:r>
      <w:r>
        <w:t>based on risk factors such as hypertension and dyslipidaemia</w:t>
      </w:r>
      <w:r w:rsidR="00344463">
        <w:t>,</w:t>
      </w:r>
      <w:r>
        <w:t xml:space="preserve"> and</w:t>
      </w:r>
    </w:p>
    <w:p w14:paraId="7349084A" w14:textId="6DAE6FFC" w:rsidR="00643707" w:rsidRDefault="00C764B1" w:rsidP="00643707">
      <w:pPr>
        <w:pStyle w:val="3Bodytext"/>
        <w:numPr>
          <w:ilvl w:val="2"/>
          <w:numId w:val="1"/>
        </w:numPr>
      </w:pPr>
      <w:r>
        <w:t>it is prescribed in secondary care by a specialist multidisciplinary tier 3 weight management service</w:t>
      </w:r>
      <w:r w:rsidR="00932D9D">
        <w:t xml:space="preserve"> for a maximum duration of two years.</w:t>
      </w:r>
      <w:r w:rsidR="002F3967">
        <w:rPr>
          <w:rStyle w:val="FootnoteReference"/>
        </w:rPr>
        <w:footnoteReference w:id="76"/>
      </w:r>
    </w:p>
    <w:p w14:paraId="3F267875" w14:textId="5239BC48" w:rsidR="007B35EB" w:rsidRDefault="007B35EB" w:rsidP="0043325D">
      <w:pPr>
        <w:pStyle w:val="3Bodytext"/>
        <w:widowControl w:val="0"/>
        <w:numPr>
          <w:ilvl w:val="0"/>
          <w:numId w:val="0"/>
        </w:numPr>
        <w:ind w:left="720" w:hanging="720"/>
        <w:rPr>
          <w:u w:val="single"/>
        </w:rPr>
      </w:pPr>
      <w:r>
        <w:rPr>
          <w:u w:val="single"/>
        </w:rPr>
        <w:t>Semaglutide (Wegovy)</w:t>
      </w:r>
    </w:p>
    <w:p w14:paraId="7A1763AC" w14:textId="40EA792E" w:rsidR="007B35EB" w:rsidRDefault="00CB24D4" w:rsidP="0043325D">
      <w:pPr>
        <w:pStyle w:val="3Bodytext"/>
        <w:widowControl w:val="0"/>
      </w:pPr>
      <w:r>
        <w:t xml:space="preserve">In March 2023, </w:t>
      </w:r>
      <w:r w:rsidRPr="008B7787">
        <w:t>NICE published its technology appraisal guid</w:t>
      </w:r>
      <w:r w:rsidR="004826BD">
        <w:t>ance for semaglutide (Wegovy)</w:t>
      </w:r>
      <w:r w:rsidR="004833DC">
        <w:t xml:space="preserve"> for managing overweight and obesity in adults.</w:t>
      </w:r>
      <w:r w:rsidR="00C95DF7">
        <w:t xml:space="preserve"> Semaglutide is recommended as an option for weight management, alongside </w:t>
      </w:r>
      <w:r w:rsidR="00CB7CB7">
        <w:t xml:space="preserve">a reduced-calorie </w:t>
      </w:r>
      <w:r w:rsidR="00C95DF7">
        <w:t xml:space="preserve">diet and </w:t>
      </w:r>
      <w:r w:rsidR="00CB7CB7">
        <w:t xml:space="preserve">increased </w:t>
      </w:r>
      <w:r w:rsidR="00C95DF7">
        <w:t>physical activity</w:t>
      </w:r>
      <w:r w:rsidR="00CB7CB7">
        <w:t>, for adults</w:t>
      </w:r>
      <w:r w:rsidR="005F31CA">
        <w:t xml:space="preserve"> with at least one weight-related comorbidity</w:t>
      </w:r>
      <w:r w:rsidR="00B34003">
        <w:t xml:space="preserve"> and </w:t>
      </w:r>
      <w:r w:rsidR="00F6461C">
        <w:t xml:space="preserve">either: </w:t>
      </w:r>
      <w:r w:rsidR="00B34003">
        <w:t>BMI</w:t>
      </w:r>
      <w:r w:rsidR="00F6461C">
        <w:t> </w:t>
      </w:r>
      <w:r w:rsidR="00B34003">
        <w:rPr>
          <w:rFonts w:cstheme="minorHAnsi"/>
        </w:rPr>
        <w:t>≥</w:t>
      </w:r>
      <w:r w:rsidR="00F6461C">
        <w:t> </w:t>
      </w:r>
      <w:r w:rsidR="000F696E">
        <w:t>35</w:t>
      </w:r>
      <w:r w:rsidR="00F6461C">
        <w:t> </w:t>
      </w:r>
      <w:r w:rsidR="000F696E">
        <w:t>kg/m</w:t>
      </w:r>
      <w:r w:rsidR="000F696E">
        <w:rPr>
          <w:vertAlign w:val="superscript"/>
        </w:rPr>
        <w:t>2</w:t>
      </w:r>
      <w:r w:rsidR="000F696E">
        <w:t>, or BMI of 30-34.9 kg/m</w:t>
      </w:r>
      <w:r w:rsidR="000F696E">
        <w:rPr>
          <w:vertAlign w:val="superscript"/>
        </w:rPr>
        <w:t>2</w:t>
      </w:r>
      <w:r w:rsidR="0022546C">
        <w:rPr>
          <w:vertAlign w:val="superscript"/>
        </w:rPr>
        <w:t xml:space="preserve"> </w:t>
      </w:r>
      <w:r w:rsidR="0022546C" w:rsidRPr="0022546C">
        <w:t>and</w:t>
      </w:r>
      <w:r w:rsidR="00F6461C">
        <w:t xml:space="preserve"> meeting the criteria for referral to specialist weight management services. </w:t>
      </w:r>
      <w:r w:rsidR="0022546C" w:rsidRPr="0022546C">
        <w:t>BMI thresholds</w:t>
      </w:r>
      <w:r w:rsidR="0022546C">
        <w:rPr>
          <w:vertAlign w:val="superscript"/>
        </w:rPr>
        <w:t xml:space="preserve"> </w:t>
      </w:r>
      <w:r w:rsidR="0022546C">
        <w:t>are 2.5 kg/m</w:t>
      </w:r>
      <w:r w:rsidR="0022546C" w:rsidRPr="00A454C2">
        <w:rPr>
          <w:vertAlign w:val="superscript"/>
        </w:rPr>
        <w:t>2</w:t>
      </w:r>
      <w:r w:rsidR="0022546C">
        <w:t xml:space="preserve"> lower for people from South Asian, Chinese, other Asian, Middle Eastern, Black African or African-Caribbean ethnic backgrounds.</w:t>
      </w:r>
      <w:r w:rsidR="00B97A3B">
        <w:t xml:space="preserve"> The guidance recommends considering stopping semaglutide if weight loss is less than 5% after </w:t>
      </w:r>
      <w:r w:rsidR="00461415">
        <w:t>six months.</w:t>
      </w:r>
      <w:r w:rsidR="00F25D74">
        <w:t xml:space="preserve"> </w:t>
      </w:r>
      <w:r w:rsidR="00645C6B">
        <w:t>Under the guidance, semaglutide is limited to a</w:t>
      </w:r>
      <w:r w:rsidR="00AD1828">
        <w:t xml:space="preserve"> </w:t>
      </w:r>
      <w:r w:rsidR="00645C6B">
        <w:t>two</w:t>
      </w:r>
      <w:r w:rsidR="00AD1828">
        <w:t>-</w:t>
      </w:r>
      <w:r w:rsidR="00645C6B">
        <w:t>year duration of use</w:t>
      </w:r>
      <w:r w:rsidR="00EA7F22">
        <w:t xml:space="preserve">, </w:t>
      </w:r>
      <w:r w:rsidR="00AD1828">
        <w:t xml:space="preserve">and </w:t>
      </w:r>
      <w:r w:rsidR="007F40B2">
        <w:t xml:space="preserve">must be prescribed </w:t>
      </w:r>
      <w:r w:rsidR="00EA7F22">
        <w:t>within specialist weight management services that provide multidisciplinary care</w:t>
      </w:r>
      <w:r w:rsidR="00AD1828">
        <w:t>.</w:t>
      </w:r>
      <w:r w:rsidR="00BC4561">
        <w:rPr>
          <w:rStyle w:val="FootnoteReference"/>
        </w:rPr>
        <w:footnoteReference w:id="77"/>
      </w:r>
    </w:p>
    <w:p w14:paraId="6CCC00DC" w14:textId="3BDA8B26" w:rsidR="006E7467" w:rsidRDefault="003C3357" w:rsidP="00F25D74">
      <w:pPr>
        <w:pStyle w:val="3Bodytext"/>
      </w:pPr>
      <w:r>
        <w:t xml:space="preserve">The </w:t>
      </w:r>
      <w:r w:rsidR="00254BFF">
        <w:t xml:space="preserve">following issues have been raised with the </w:t>
      </w:r>
      <w:r>
        <w:t>NICE guidance for semaglutide</w:t>
      </w:r>
      <w:r w:rsidR="00254BFF">
        <w:t xml:space="preserve"> and its implementation</w:t>
      </w:r>
      <w:r w:rsidR="006E7467">
        <w:t>:</w:t>
      </w:r>
    </w:p>
    <w:p w14:paraId="0A1897CF" w14:textId="5AAE3708" w:rsidR="006E7467" w:rsidRDefault="002D4CE4" w:rsidP="006E7467">
      <w:pPr>
        <w:pStyle w:val="3Bodytext"/>
        <w:numPr>
          <w:ilvl w:val="2"/>
          <w:numId w:val="1"/>
        </w:numPr>
      </w:pPr>
      <w:r>
        <w:t xml:space="preserve">that </w:t>
      </w:r>
      <w:r w:rsidR="00BE2F1E">
        <w:t xml:space="preserve">access to semaglutide </w:t>
      </w:r>
      <w:r>
        <w:t xml:space="preserve">is limited due to the </w:t>
      </w:r>
      <w:r w:rsidR="00BE2F1E">
        <w:t xml:space="preserve">restriction to use in specialist </w:t>
      </w:r>
      <w:r w:rsidR="00341303">
        <w:t>weight management services</w:t>
      </w:r>
    </w:p>
    <w:p w14:paraId="643E1909" w14:textId="78B14277" w:rsidR="009572B2" w:rsidRDefault="002D4CE4" w:rsidP="006E7467">
      <w:pPr>
        <w:pStyle w:val="3Bodytext"/>
        <w:numPr>
          <w:ilvl w:val="2"/>
          <w:numId w:val="1"/>
        </w:numPr>
      </w:pPr>
      <w:r>
        <w:t xml:space="preserve">that the guidance does </w:t>
      </w:r>
      <w:r w:rsidR="006E7467">
        <w:t xml:space="preserve">not specify the </w:t>
      </w:r>
      <w:r w:rsidR="009572B2">
        <w:t>eligible weight-related comorbidities</w:t>
      </w:r>
    </w:p>
    <w:p w14:paraId="0D08237D" w14:textId="3EA21F6A" w:rsidR="003C3357" w:rsidRDefault="00317D9C" w:rsidP="006E7467">
      <w:pPr>
        <w:pStyle w:val="3Bodytext"/>
        <w:numPr>
          <w:ilvl w:val="2"/>
          <w:numId w:val="1"/>
        </w:numPr>
      </w:pPr>
      <w:r>
        <w:lastRenderedPageBreak/>
        <w:t xml:space="preserve">that access is </w:t>
      </w:r>
      <w:r w:rsidR="00E23FA5">
        <w:t>limit</w:t>
      </w:r>
      <w:r>
        <w:t>ed</w:t>
      </w:r>
      <w:r w:rsidR="00E23FA5">
        <w:t xml:space="preserve"> to two years given </w:t>
      </w:r>
      <w:r w:rsidR="00BF6786">
        <w:t xml:space="preserve">evidence of weight regain after cessation, with </w:t>
      </w:r>
      <w:r w:rsidR="00114363" w:rsidRPr="004A79A9">
        <w:t>Integrated Care Board</w:t>
      </w:r>
      <w:r w:rsidR="00114363">
        <w:t>s</w:t>
      </w:r>
      <w:r w:rsidR="00114363" w:rsidRPr="004A79A9">
        <w:t xml:space="preserve"> (ICB</w:t>
      </w:r>
      <w:r w:rsidR="00114363">
        <w:t>s</w:t>
      </w:r>
      <w:r w:rsidR="00114363" w:rsidRPr="004A79A9">
        <w:t>, i.e. local health area)</w:t>
      </w:r>
      <w:r w:rsidR="00114363">
        <w:t xml:space="preserve"> </w:t>
      </w:r>
      <w:r w:rsidR="000F6968">
        <w:t>left to determine if people could be eligible for a subsequent course of treatment</w:t>
      </w:r>
    </w:p>
    <w:p w14:paraId="22594C86" w14:textId="12C06D18" w:rsidR="00D33456" w:rsidRDefault="00E757D7" w:rsidP="006E7467">
      <w:pPr>
        <w:pStyle w:val="3Bodytext"/>
        <w:numPr>
          <w:ilvl w:val="2"/>
          <w:numId w:val="1"/>
        </w:numPr>
      </w:pPr>
      <w:r>
        <w:t xml:space="preserve">the </w:t>
      </w:r>
      <w:r w:rsidR="00D33456">
        <w:t>total cost of treating the eligible population in an environment of restricted health care resources.</w:t>
      </w:r>
      <w:r w:rsidR="006A1BCC">
        <w:rPr>
          <w:rStyle w:val="FootnoteReference"/>
        </w:rPr>
        <w:footnoteReference w:id="78"/>
      </w:r>
    </w:p>
    <w:p w14:paraId="08ED8977" w14:textId="41E7F10D" w:rsidR="001A2E37" w:rsidRPr="001A2E37" w:rsidRDefault="001A2E37" w:rsidP="001A2E37">
      <w:pPr>
        <w:pStyle w:val="3Bodytext"/>
        <w:numPr>
          <w:ilvl w:val="0"/>
          <w:numId w:val="0"/>
        </w:numPr>
        <w:ind w:left="720" w:hanging="720"/>
        <w:rPr>
          <w:u w:val="single"/>
        </w:rPr>
      </w:pPr>
      <w:r w:rsidRPr="001A2E37">
        <w:rPr>
          <w:u w:val="single"/>
        </w:rPr>
        <w:t>Tirzepatide (Mounjaro)</w:t>
      </w:r>
    </w:p>
    <w:p w14:paraId="1F7C7D3D" w14:textId="03D04527" w:rsidR="004875FF" w:rsidRPr="00A454C2" w:rsidRDefault="004875FF" w:rsidP="00E61408">
      <w:pPr>
        <w:pStyle w:val="3Bodytext"/>
      </w:pPr>
      <w:r w:rsidRPr="008B7787">
        <w:t>In December 2024, the NICE published its technology appraisal guid</w:t>
      </w:r>
      <w:r w:rsidR="004826BD">
        <w:t>ance</w:t>
      </w:r>
      <w:r w:rsidRPr="008B7787">
        <w:t xml:space="preserve"> for </w:t>
      </w:r>
      <w:hyperlink r:id="rId18" w:history="1">
        <w:r w:rsidRPr="00A454C2">
          <w:rPr>
            <w:rStyle w:val="Hyperlink"/>
            <w:rFonts w:ascii="Calibri" w:hAnsi="Calibri" w:cs="Calibri"/>
          </w:rPr>
          <w:t>tirzepatide for managing overweight and obesity</w:t>
        </w:r>
      </w:hyperlink>
      <w:r w:rsidRPr="008B7787">
        <w:t>. Tirzepatide has been recommended for patients with BMI &gt;35 kg/m</w:t>
      </w:r>
      <w:r w:rsidRPr="00A454C2">
        <w:rPr>
          <w:vertAlign w:val="superscript"/>
        </w:rPr>
        <w:t>2</w:t>
      </w:r>
      <w:r w:rsidRPr="008B7787">
        <w:t xml:space="preserve"> </w:t>
      </w:r>
      <w:r w:rsidR="00CC0B55">
        <w:t>(2.5 kg/m</w:t>
      </w:r>
      <w:r w:rsidR="00CC0B55" w:rsidRPr="00A454C2">
        <w:rPr>
          <w:vertAlign w:val="superscript"/>
        </w:rPr>
        <w:t>2</w:t>
      </w:r>
      <w:r w:rsidR="00CC0B55">
        <w:t xml:space="preserve"> lower for people from South Asian, Chinese, other Asian, Middle Eastern, Black African or African</w:t>
      </w:r>
      <w:r w:rsidR="2C3713C3">
        <w:t xml:space="preserve"> </w:t>
      </w:r>
      <w:r w:rsidR="003460A8">
        <w:noBreakHyphen/>
      </w:r>
      <w:r w:rsidR="00CC0B55">
        <w:t>Caribbean ethnic backgrounds</w:t>
      </w:r>
      <w:r w:rsidR="00A454C2">
        <w:t xml:space="preserve">) </w:t>
      </w:r>
      <w:r w:rsidRPr="008B7787">
        <w:t xml:space="preserve">and at least one weight-related comorbidity. </w:t>
      </w:r>
      <w:r w:rsidR="00FD270A">
        <w:t>Under NICE guidance, t</w:t>
      </w:r>
      <w:r w:rsidR="005127C6" w:rsidRPr="005127C6">
        <w:t xml:space="preserve">irzepatide can be used in primary care or specialist weight management services. </w:t>
      </w:r>
      <w:r w:rsidRPr="008B7787">
        <w:t>Due to high budget impact, availability of services and clinical capacity, there will be a phased entry over 12 years. Over this period, NICE will gather real</w:t>
      </w:r>
      <w:r w:rsidR="0697ECFF" w:rsidRPr="008B7787">
        <w:t>-</w:t>
      </w:r>
      <w:r w:rsidRPr="008B7787">
        <w:t>world evidence on service implementation, cost</w:t>
      </w:r>
      <w:r w:rsidRPr="008B7787">
        <w:noBreakHyphen/>
        <w:t xml:space="preserve"> and uptake, with a formal review at 3 years. </w:t>
      </w:r>
    </w:p>
    <w:p w14:paraId="47E4D0DA" w14:textId="761C6801" w:rsidR="007148B9" w:rsidRDefault="004875FF" w:rsidP="00DE05D7">
      <w:pPr>
        <w:pStyle w:val="3Bodytext"/>
      </w:pPr>
      <w:r w:rsidRPr="004A79A9">
        <w:t xml:space="preserve">In late March 2025, </w:t>
      </w:r>
      <w:r w:rsidRPr="00CC18CA">
        <w:rPr>
          <w:rFonts w:ascii="Calibri" w:hAnsi="Calibri" w:cs="Calibri"/>
        </w:rPr>
        <w:t>NHS England</w:t>
      </w:r>
      <w:r w:rsidRPr="004A79A9">
        <w:t xml:space="preserve"> released its interim guidance for implementing tirzepatide</w:t>
      </w:r>
      <w:r w:rsidR="00CC18CA">
        <w:rPr>
          <w:rStyle w:val="FootnoteReference"/>
        </w:rPr>
        <w:footnoteReference w:id="79"/>
      </w:r>
      <w:r w:rsidRPr="004A79A9">
        <w:t xml:space="preserve"> into its weight management pathway, noting full guidance will be issued after the 3-year NICE review. NHS England acknowledges that implementation must be carefully aligned with system capacity, workforce readiness and resource availability to ensure equitable and sustainable access for eligible patients.</w:t>
      </w:r>
      <w:r w:rsidR="00A17ECB">
        <w:t xml:space="preserve"> NHS</w:t>
      </w:r>
      <w:r w:rsidR="008334D5">
        <w:t xml:space="preserve"> England has adopted a </w:t>
      </w:r>
      <w:r w:rsidR="00DE05D7">
        <w:t xml:space="preserve">prioritised </w:t>
      </w:r>
      <w:r w:rsidR="008334D5">
        <w:t xml:space="preserve">cohort approach over 2025-2028, where patient eligibility will </w:t>
      </w:r>
      <w:r w:rsidR="00156F16">
        <w:t>increase in stage</w:t>
      </w:r>
      <w:r w:rsidR="00DE05D7">
        <w:t>s</w:t>
      </w:r>
      <w:r w:rsidR="00156F16">
        <w:t xml:space="preserve"> to approximately 220,000 patients after the first three years</w:t>
      </w:r>
      <w:r w:rsidR="00D020FE">
        <w:t xml:space="preserve">. </w:t>
      </w:r>
      <w:r w:rsidR="00EC601D" w:rsidRPr="00A73D69">
        <w:rPr>
          <w:u w:val="single"/>
        </w:rPr>
        <w:t xml:space="preserve">Table </w:t>
      </w:r>
      <w:r w:rsidR="00D020FE" w:rsidRPr="00A73D69">
        <w:rPr>
          <w:u w:val="single"/>
        </w:rPr>
        <w:t>1</w:t>
      </w:r>
      <w:r w:rsidR="00D020FE">
        <w:t xml:space="preserve"> shows the cohorts eligible in the first three years.</w:t>
      </w:r>
      <w:r w:rsidR="000F6CCB">
        <w:t xml:space="preserve"> </w:t>
      </w:r>
    </w:p>
    <w:p w14:paraId="46CA6F89" w14:textId="217E2E52" w:rsidR="00D1230D" w:rsidRPr="00025D6B" w:rsidRDefault="00D020FE" w:rsidP="00280916">
      <w:pPr>
        <w:pStyle w:val="3Bodytext"/>
        <w:keepNext/>
        <w:keepLines/>
        <w:numPr>
          <w:ilvl w:val="0"/>
          <w:numId w:val="0"/>
        </w:numPr>
        <w:rPr>
          <w:rFonts w:ascii="Arial Narrow" w:hAnsi="Arial Narrow"/>
          <w:b/>
          <w:bCs/>
          <w:sz w:val="20"/>
          <w:szCs w:val="20"/>
        </w:rPr>
      </w:pPr>
      <w:r w:rsidRPr="00025D6B">
        <w:rPr>
          <w:rFonts w:ascii="Arial Narrow" w:hAnsi="Arial Narrow"/>
          <w:b/>
          <w:bCs/>
          <w:sz w:val="20"/>
          <w:szCs w:val="20"/>
        </w:rPr>
        <w:lastRenderedPageBreak/>
        <w:t>Table 1</w:t>
      </w:r>
      <w:r w:rsidR="002C7B36" w:rsidRPr="00025D6B">
        <w:rPr>
          <w:rFonts w:ascii="Arial Narrow" w:hAnsi="Arial Narrow"/>
          <w:b/>
          <w:bCs/>
          <w:sz w:val="20"/>
          <w:szCs w:val="20"/>
        </w:rPr>
        <w:t xml:space="preserve">: NHS England </w:t>
      </w:r>
      <w:r w:rsidR="002D7260" w:rsidRPr="00025D6B">
        <w:rPr>
          <w:rFonts w:ascii="Arial Narrow" w:hAnsi="Arial Narrow"/>
          <w:b/>
          <w:bCs/>
          <w:sz w:val="20"/>
          <w:szCs w:val="20"/>
        </w:rPr>
        <w:t xml:space="preserve">interim guidance for implementing tirzepatide into weight management - </w:t>
      </w:r>
      <w:r w:rsidR="002C7B36" w:rsidRPr="00025D6B">
        <w:rPr>
          <w:rFonts w:ascii="Arial Narrow" w:hAnsi="Arial Narrow"/>
          <w:b/>
          <w:bCs/>
          <w:sz w:val="20"/>
          <w:szCs w:val="20"/>
        </w:rPr>
        <w:t>Cohort access groups for implementation in primary care settings</w:t>
      </w:r>
    </w:p>
    <w:tbl>
      <w:tblPr>
        <w:tblStyle w:val="TableGrid"/>
        <w:tblW w:w="9351" w:type="dxa"/>
        <w:tblLook w:val="04A0" w:firstRow="1" w:lastRow="0" w:firstColumn="1" w:lastColumn="0" w:noHBand="0" w:noVBand="1"/>
      </w:tblPr>
      <w:tblGrid>
        <w:gridCol w:w="2122"/>
        <w:gridCol w:w="2409"/>
        <w:gridCol w:w="851"/>
        <w:gridCol w:w="2693"/>
        <w:gridCol w:w="1276"/>
      </w:tblGrid>
      <w:tr w:rsidR="002C1CA6" w14:paraId="6F013172" w14:textId="77777777" w:rsidTr="002C1CA6">
        <w:tc>
          <w:tcPr>
            <w:tcW w:w="2122" w:type="dxa"/>
          </w:tcPr>
          <w:p w14:paraId="6A163310" w14:textId="02BD0B0D"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b/>
                <w:bCs/>
                <w:sz w:val="20"/>
                <w:szCs w:val="20"/>
              </w:rPr>
              <w:t xml:space="preserve">Funding Variation </w:t>
            </w:r>
            <w:proofErr w:type="spellStart"/>
            <w:r w:rsidRPr="001B0861">
              <w:rPr>
                <w:rFonts w:ascii="Arial Narrow" w:hAnsi="Arial Narrow"/>
                <w:b/>
                <w:bCs/>
                <w:sz w:val="20"/>
                <w:szCs w:val="20"/>
              </w:rPr>
              <w:t>Year</w:t>
            </w:r>
            <w:r w:rsidRPr="001B0861">
              <w:rPr>
                <w:rFonts w:ascii="Arial Narrow" w:hAnsi="Arial Narrow"/>
                <w:b/>
                <w:bCs/>
                <w:sz w:val="20"/>
                <w:szCs w:val="20"/>
                <w:vertAlign w:val="superscript"/>
              </w:rPr>
              <w:t>a</w:t>
            </w:r>
            <w:proofErr w:type="spellEnd"/>
          </w:p>
        </w:tc>
        <w:tc>
          <w:tcPr>
            <w:tcW w:w="2409" w:type="dxa"/>
          </w:tcPr>
          <w:p w14:paraId="70B1D3C3" w14:textId="0A180A68"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b/>
                <w:bCs/>
                <w:sz w:val="20"/>
                <w:szCs w:val="20"/>
              </w:rPr>
              <w:t>Estimated Cohort Duration</w:t>
            </w:r>
          </w:p>
        </w:tc>
        <w:tc>
          <w:tcPr>
            <w:tcW w:w="851" w:type="dxa"/>
          </w:tcPr>
          <w:p w14:paraId="7115CFB5" w14:textId="7334F260"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b/>
                <w:bCs/>
                <w:sz w:val="20"/>
                <w:szCs w:val="20"/>
              </w:rPr>
              <w:t>Cohort</w:t>
            </w:r>
          </w:p>
        </w:tc>
        <w:tc>
          <w:tcPr>
            <w:tcW w:w="2693" w:type="dxa"/>
          </w:tcPr>
          <w:p w14:paraId="6CCE33EF" w14:textId="2348546B" w:rsidR="002C1CA6" w:rsidRDefault="002C1CA6" w:rsidP="00280916">
            <w:pPr>
              <w:pStyle w:val="3Bodytext"/>
              <w:keepNext/>
              <w:keepLines/>
              <w:numPr>
                <w:ilvl w:val="0"/>
                <w:numId w:val="0"/>
              </w:numPr>
              <w:rPr>
                <w:rFonts w:ascii="Arial Narrow" w:hAnsi="Arial Narrow"/>
                <w:sz w:val="20"/>
                <w:szCs w:val="20"/>
              </w:rPr>
            </w:pPr>
            <w:r w:rsidRPr="00F13315">
              <w:rPr>
                <w:rFonts w:ascii="Arial Narrow" w:hAnsi="Arial Narrow"/>
                <w:b/>
                <w:bCs/>
                <w:sz w:val="20"/>
                <w:szCs w:val="20"/>
              </w:rPr>
              <w:t>Comorbidities</w:t>
            </w:r>
          </w:p>
        </w:tc>
        <w:tc>
          <w:tcPr>
            <w:tcW w:w="1276" w:type="dxa"/>
          </w:tcPr>
          <w:p w14:paraId="3DAB484B" w14:textId="21EACCAE" w:rsidR="002C1CA6" w:rsidRDefault="002C1CA6" w:rsidP="00280916">
            <w:pPr>
              <w:pStyle w:val="3Bodytext"/>
              <w:keepNext/>
              <w:keepLines/>
              <w:numPr>
                <w:ilvl w:val="0"/>
                <w:numId w:val="0"/>
              </w:numPr>
              <w:rPr>
                <w:rFonts w:ascii="Arial Narrow" w:hAnsi="Arial Narrow"/>
                <w:sz w:val="20"/>
                <w:szCs w:val="20"/>
              </w:rPr>
            </w:pPr>
            <w:proofErr w:type="spellStart"/>
            <w:r w:rsidRPr="00F13315">
              <w:rPr>
                <w:rFonts w:ascii="Arial Narrow" w:hAnsi="Arial Narrow"/>
                <w:b/>
                <w:bCs/>
                <w:sz w:val="20"/>
                <w:szCs w:val="20"/>
              </w:rPr>
              <w:t>BMI</w:t>
            </w:r>
            <w:r w:rsidRPr="00F13315">
              <w:rPr>
                <w:rFonts w:ascii="Arial Narrow" w:hAnsi="Arial Narrow"/>
                <w:b/>
                <w:bCs/>
                <w:sz w:val="20"/>
                <w:szCs w:val="20"/>
                <w:vertAlign w:val="superscript"/>
              </w:rPr>
              <w:t>b</w:t>
            </w:r>
            <w:proofErr w:type="spellEnd"/>
            <w:r>
              <w:rPr>
                <w:rFonts w:ascii="Arial Narrow" w:hAnsi="Arial Narrow"/>
                <w:b/>
                <w:bCs/>
                <w:sz w:val="20"/>
                <w:szCs w:val="20"/>
                <w:vertAlign w:val="superscript"/>
              </w:rPr>
              <w:t xml:space="preserve"> </w:t>
            </w:r>
            <w:r>
              <w:rPr>
                <w:rFonts w:ascii="Arial Narrow" w:hAnsi="Arial Narrow"/>
                <w:b/>
                <w:bCs/>
                <w:sz w:val="20"/>
                <w:szCs w:val="20"/>
              </w:rPr>
              <w:t>(kg/m</w:t>
            </w:r>
            <w:r>
              <w:rPr>
                <w:rFonts w:ascii="Arial Narrow" w:hAnsi="Arial Narrow"/>
                <w:b/>
                <w:bCs/>
                <w:sz w:val="20"/>
                <w:szCs w:val="20"/>
                <w:vertAlign w:val="superscript"/>
              </w:rPr>
              <w:t>2</w:t>
            </w:r>
            <w:r>
              <w:rPr>
                <w:rFonts w:ascii="Arial Narrow" w:hAnsi="Arial Narrow"/>
                <w:b/>
                <w:bCs/>
                <w:sz w:val="20"/>
                <w:szCs w:val="20"/>
              </w:rPr>
              <w:t>)</w:t>
            </w:r>
          </w:p>
        </w:tc>
      </w:tr>
      <w:tr w:rsidR="002C1CA6" w14:paraId="381E4D9D" w14:textId="77777777" w:rsidTr="002C1CA6">
        <w:tc>
          <w:tcPr>
            <w:tcW w:w="2122" w:type="dxa"/>
          </w:tcPr>
          <w:p w14:paraId="76D910D6" w14:textId="78156A11"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2025/26</w:t>
            </w:r>
          </w:p>
        </w:tc>
        <w:tc>
          <w:tcPr>
            <w:tcW w:w="2409" w:type="dxa"/>
          </w:tcPr>
          <w:p w14:paraId="0067E65F" w14:textId="0C2649BE"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12 months</w:t>
            </w:r>
          </w:p>
        </w:tc>
        <w:tc>
          <w:tcPr>
            <w:tcW w:w="851" w:type="dxa"/>
          </w:tcPr>
          <w:p w14:paraId="2CFD6B1B" w14:textId="6A0241C7"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I</w:t>
            </w:r>
          </w:p>
        </w:tc>
        <w:tc>
          <w:tcPr>
            <w:tcW w:w="2693" w:type="dxa"/>
          </w:tcPr>
          <w:p w14:paraId="1102C52D" w14:textId="715373CE" w:rsidR="002C1CA6" w:rsidRPr="00847C46" w:rsidRDefault="002C1CA6" w:rsidP="00280916">
            <w:pPr>
              <w:pStyle w:val="3Bodytext"/>
              <w:keepNext/>
              <w:keepLines/>
              <w:numPr>
                <w:ilvl w:val="0"/>
                <w:numId w:val="0"/>
              </w:numPr>
              <w:rPr>
                <w:rFonts w:ascii="Arial Narrow" w:hAnsi="Arial Narrow"/>
                <w:sz w:val="20"/>
                <w:szCs w:val="20"/>
                <w:vertAlign w:val="superscript"/>
              </w:rPr>
            </w:pPr>
            <w:r>
              <w:rPr>
                <w:rFonts w:ascii="Arial Narrow" w:hAnsi="Arial Narrow"/>
                <w:sz w:val="20"/>
                <w:szCs w:val="20"/>
              </w:rPr>
              <w:t>≥ 4 qualifying comorbidities</w:t>
            </w:r>
            <w:r w:rsidRPr="00A43171">
              <w:rPr>
                <w:rFonts w:ascii="Arial Narrow" w:hAnsi="Arial Narrow"/>
                <w:sz w:val="20"/>
                <w:szCs w:val="20"/>
                <w:vertAlign w:val="superscript"/>
              </w:rPr>
              <w:t>c</w:t>
            </w:r>
          </w:p>
        </w:tc>
        <w:tc>
          <w:tcPr>
            <w:tcW w:w="1276" w:type="dxa"/>
          </w:tcPr>
          <w:p w14:paraId="32531375" w14:textId="1B771181" w:rsidR="002C1CA6" w:rsidRPr="001B0861" w:rsidRDefault="002C1CA6" w:rsidP="00280916">
            <w:pPr>
              <w:pStyle w:val="3Bodytext"/>
              <w:keepNext/>
              <w:keepLines/>
              <w:numPr>
                <w:ilvl w:val="0"/>
                <w:numId w:val="0"/>
              </w:numPr>
              <w:rPr>
                <w:rFonts w:ascii="Arial Narrow" w:hAnsi="Arial Narrow"/>
                <w:sz w:val="20"/>
                <w:szCs w:val="20"/>
              </w:rPr>
            </w:pPr>
            <w:r>
              <w:rPr>
                <w:rFonts w:ascii="Arial Narrow" w:hAnsi="Arial Narrow"/>
                <w:sz w:val="20"/>
                <w:szCs w:val="20"/>
              </w:rPr>
              <w:t>≥ 40</w:t>
            </w:r>
          </w:p>
        </w:tc>
      </w:tr>
      <w:tr w:rsidR="002C1CA6" w14:paraId="6B4F1B0C" w14:textId="77777777" w:rsidTr="002C1CA6">
        <w:tc>
          <w:tcPr>
            <w:tcW w:w="2122" w:type="dxa"/>
          </w:tcPr>
          <w:p w14:paraId="7D945F44" w14:textId="72DBA5D6"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2026/27</w:t>
            </w:r>
          </w:p>
        </w:tc>
        <w:tc>
          <w:tcPr>
            <w:tcW w:w="2409" w:type="dxa"/>
          </w:tcPr>
          <w:p w14:paraId="4017AEBC" w14:textId="6D06E937"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9 months</w:t>
            </w:r>
          </w:p>
        </w:tc>
        <w:tc>
          <w:tcPr>
            <w:tcW w:w="851" w:type="dxa"/>
          </w:tcPr>
          <w:p w14:paraId="67974606" w14:textId="73A26B39"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II</w:t>
            </w:r>
          </w:p>
        </w:tc>
        <w:tc>
          <w:tcPr>
            <w:tcW w:w="2693" w:type="dxa"/>
          </w:tcPr>
          <w:p w14:paraId="31664B51" w14:textId="5EAD3496" w:rsidR="002C1CA6" w:rsidRPr="001B0861" w:rsidRDefault="002C1CA6" w:rsidP="00280916">
            <w:pPr>
              <w:pStyle w:val="3Bodytext"/>
              <w:keepNext/>
              <w:keepLines/>
              <w:numPr>
                <w:ilvl w:val="0"/>
                <w:numId w:val="0"/>
              </w:numPr>
              <w:rPr>
                <w:rFonts w:ascii="Arial Narrow" w:hAnsi="Arial Narrow"/>
                <w:sz w:val="20"/>
                <w:szCs w:val="20"/>
              </w:rPr>
            </w:pPr>
            <w:r>
              <w:rPr>
                <w:rFonts w:ascii="Arial Narrow" w:hAnsi="Arial Narrow"/>
                <w:sz w:val="20"/>
                <w:szCs w:val="20"/>
              </w:rPr>
              <w:t>≥ 4 qualifying comorbidities</w:t>
            </w:r>
            <w:r w:rsidRPr="00A43171">
              <w:rPr>
                <w:rFonts w:ascii="Arial Narrow" w:hAnsi="Arial Narrow"/>
                <w:sz w:val="20"/>
                <w:szCs w:val="20"/>
                <w:vertAlign w:val="superscript"/>
              </w:rPr>
              <w:t>c</w:t>
            </w:r>
          </w:p>
        </w:tc>
        <w:tc>
          <w:tcPr>
            <w:tcW w:w="1276" w:type="dxa"/>
          </w:tcPr>
          <w:p w14:paraId="3C6434EC" w14:textId="2464FEA2" w:rsidR="002C1CA6" w:rsidRPr="001B0861" w:rsidRDefault="002C1CA6" w:rsidP="00280916">
            <w:pPr>
              <w:pStyle w:val="3Bodytext"/>
              <w:keepNext/>
              <w:keepLines/>
              <w:numPr>
                <w:ilvl w:val="0"/>
                <w:numId w:val="0"/>
              </w:numPr>
              <w:rPr>
                <w:rFonts w:ascii="Arial Narrow" w:hAnsi="Arial Narrow"/>
                <w:sz w:val="20"/>
                <w:szCs w:val="20"/>
              </w:rPr>
            </w:pPr>
            <w:r>
              <w:rPr>
                <w:rFonts w:ascii="Arial Narrow" w:hAnsi="Arial Narrow"/>
                <w:sz w:val="20"/>
                <w:szCs w:val="20"/>
              </w:rPr>
              <w:t>35-39.9</w:t>
            </w:r>
          </w:p>
        </w:tc>
      </w:tr>
      <w:tr w:rsidR="002C1CA6" w14:paraId="69EF93AB" w14:textId="77777777" w:rsidTr="002C1CA6">
        <w:tc>
          <w:tcPr>
            <w:tcW w:w="2122" w:type="dxa"/>
          </w:tcPr>
          <w:p w14:paraId="54CD88FB" w14:textId="2FCF6BF6"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2026 &amp; 2027/2028</w:t>
            </w:r>
          </w:p>
        </w:tc>
        <w:tc>
          <w:tcPr>
            <w:tcW w:w="2409" w:type="dxa"/>
          </w:tcPr>
          <w:p w14:paraId="6C0CD521" w14:textId="5CED5A41"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15 months</w:t>
            </w:r>
          </w:p>
        </w:tc>
        <w:tc>
          <w:tcPr>
            <w:tcW w:w="851" w:type="dxa"/>
          </w:tcPr>
          <w:p w14:paraId="43594BEC" w14:textId="38F8542E" w:rsidR="002C1CA6" w:rsidRPr="001B0861" w:rsidRDefault="002C1CA6" w:rsidP="00280916">
            <w:pPr>
              <w:pStyle w:val="3Bodytext"/>
              <w:keepNext/>
              <w:keepLines/>
              <w:numPr>
                <w:ilvl w:val="0"/>
                <w:numId w:val="0"/>
              </w:numPr>
              <w:rPr>
                <w:rFonts w:ascii="Arial Narrow" w:hAnsi="Arial Narrow"/>
                <w:sz w:val="20"/>
                <w:szCs w:val="20"/>
              </w:rPr>
            </w:pPr>
            <w:r w:rsidRPr="001B0861">
              <w:rPr>
                <w:rFonts w:ascii="Arial Narrow" w:hAnsi="Arial Narrow"/>
                <w:sz w:val="20"/>
                <w:szCs w:val="20"/>
              </w:rPr>
              <w:t>III</w:t>
            </w:r>
          </w:p>
        </w:tc>
        <w:tc>
          <w:tcPr>
            <w:tcW w:w="2693" w:type="dxa"/>
          </w:tcPr>
          <w:p w14:paraId="53C27D2B" w14:textId="35C75687" w:rsidR="002C1CA6" w:rsidRPr="001B0861" w:rsidRDefault="002C1CA6" w:rsidP="00280916">
            <w:pPr>
              <w:pStyle w:val="3Bodytext"/>
              <w:keepNext/>
              <w:keepLines/>
              <w:numPr>
                <w:ilvl w:val="0"/>
                <w:numId w:val="0"/>
              </w:numPr>
              <w:rPr>
                <w:rFonts w:ascii="Arial Narrow" w:hAnsi="Arial Narrow"/>
                <w:sz w:val="20"/>
                <w:szCs w:val="20"/>
              </w:rPr>
            </w:pPr>
            <w:r>
              <w:rPr>
                <w:rFonts w:ascii="Arial Narrow" w:hAnsi="Arial Narrow"/>
                <w:sz w:val="20"/>
                <w:szCs w:val="20"/>
              </w:rPr>
              <w:t>3 qualifying comorbidities</w:t>
            </w:r>
            <w:r w:rsidRPr="00A43171">
              <w:rPr>
                <w:rFonts w:ascii="Arial Narrow" w:hAnsi="Arial Narrow"/>
                <w:sz w:val="20"/>
                <w:szCs w:val="20"/>
                <w:vertAlign w:val="superscript"/>
              </w:rPr>
              <w:t>c</w:t>
            </w:r>
          </w:p>
        </w:tc>
        <w:tc>
          <w:tcPr>
            <w:tcW w:w="1276" w:type="dxa"/>
          </w:tcPr>
          <w:p w14:paraId="6748ABB1" w14:textId="19D76F4B" w:rsidR="002C1CA6" w:rsidRPr="001B0861" w:rsidRDefault="002C1CA6" w:rsidP="00280916">
            <w:pPr>
              <w:pStyle w:val="3Bodytext"/>
              <w:keepNext/>
              <w:keepLines/>
              <w:numPr>
                <w:ilvl w:val="0"/>
                <w:numId w:val="0"/>
              </w:numPr>
              <w:rPr>
                <w:rFonts w:ascii="Arial Narrow" w:hAnsi="Arial Narrow"/>
                <w:sz w:val="20"/>
                <w:szCs w:val="20"/>
              </w:rPr>
            </w:pPr>
            <w:r>
              <w:rPr>
                <w:rFonts w:ascii="Arial Narrow" w:hAnsi="Arial Narrow"/>
                <w:sz w:val="20"/>
                <w:szCs w:val="20"/>
              </w:rPr>
              <w:t>≥ 40</w:t>
            </w:r>
          </w:p>
        </w:tc>
      </w:tr>
    </w:tbl>
    <w:p w14:paraId="10D126D6" w14:textId="39D50916" w:rsidR="00F201A7" w:rsidRPr="00F201A7" w:rsidRDefault="00F201A7" w:rsidP="00280916">
      <w:pPr>
        <w:pStyle w:val="3Bodytext"/>
        <w:keepNext/>
        <w:keepLines/>
        <w:numPr>
          <w:ilvl w:val="0"/>
          <w:numId w:val="0"/>
        </w:numPr>
        <w:rPr>
          <w:rFonts w:ascii="Arial Narrow" w:hAnsi="Arial Narrow"/>
          <w:sz w:val="20"/>
          <w:szCs w:val="20"/>
        </w:rPr>
      </w:pPr>
      <w:r w:rsidRPr="00F201A7">
        <w:rPr>
          <w:rFonts w:ascii="Arial Narrow" w:hAnsi="Arial Narrow"/>
          <w:sz w:val="20"/>
          <w:szCs w:val="20"/>
        </w:rPr>
        <w:t xml:space="preserve">Source: NHS England, </w:t>
      </w:r>
      <w:hyperlink r:id="rId19" w:history="1">
        <w:r w:rsidRPr="00F201A7">
          <w:rPr>
            <w:rStyle w:val="Hyperlink"/>
            <w:rFonts w:ascii="Arial Narrow" w:hAnsi="Arial Narrow"/>
            <w:sz w:val="20"/>
            <w:szCs w:val="20"/>
          </w:rPr>
          <w:t>Interim commissioning guidance: Implementation of the NICE Technology Appraisal TA1026 and the NICE funding variation for tirzepatide (Mounjaro®) for the management of obesity</w:t>
        </w:r>
      </w:hyperlink>
      <w:r w:rsidRPr="00F201A7">
        <w:rPr>
          <w:rFonts w:ascii="Arial Narrow" w:hAnsi="Arial Narrow"/>
          <w:sz w:val="20"/>
          <w:szCs w:val="20"/>
        </w:rPr>
        <w:t>, Table 1 and Table 2, page 7-8.</w:t>
      </w:r>
    </w:p>
    <w:p w14:paraId="7CB7B3C4" w14:textId="303588E3" w:rsidR="00025D6B" w:rsidRPr="00F201A7" w:rsidRDefault="00F13315" w:rsidP="00280916">
      <w:pPr>
        <w:pStyle w:val="3Bodytext"/>
        <w:keepNext/>
        <w:keepLines/>
        <w:numPr>
          <w:ilvl w:val="0"/>
          <w:numId w:val="0"/>
        </w:numPr>
        <w:spacing w:after="0"/>
        <w:rPr>
          <w:rFonts w:ascii="Arial Narrow" w:hAnsi="Arial Narrow"/>
          <w:sz w:val="20"/>
          <w:szCs w:val="20"/>
        </w:rPr>
      </w:pPr>
      <w:r w:rsidRPr="00F201A7">
        <w:rPr>
          <w:rFonts w:ascii="Arial Narrow" w:hAnsi="Arial Narrow"/>
          <w:sz w:val="20"/>
          <w:szCs w:val="20"/>
        </w:rPr>
        <w:t>Notes:</w:t>
      </w:r>
    </w:p>
    <w:p w14:paraId="7AFA26F7" w14:textId="2B6EC620" w:rsidR="00F13315" w:rsidRPr="00F201A7" w:rsidRDefault="00F201A7" w:rsidP="00280916">
      <w:pPr>
        <w:pStyle w:val="3Bodytext"/>
        <w:keepNext/>
        <w:numPr>
          <w:ilvl w:val="0"/>
          <w:numId w:val="34"/>
        </w:numPr>
        <w:spacing w:after="0"/>
        <w:rPr>
          <w:rFonts w:ascii="Arial Narrow" w:hAnsi="Arial Narrow"/>
          <w:sz w:val="20"/>
          <w:szCs w:val="20"/>
        </w:rPr>
      </w:pPr>
      <w:r w:rsidRPr="00F201A7">
        <w:rPr>
          <w:rFonts w:ascii="Arial Narrow" w:hAnsi="Arial Narrow"/>
          <w:sz w:val="20"/>
          <w:szCs w:val="20"/>
        </w:rPr>
        <w:t>Funding variation year refers to financial year.</w:t>
      </w:r>
    </w:p>
    <w:p w14:paraId="27A95662" w14:textId="2152DF13" w:rsidR="00F201A7" w:rsidRDefault="00F201A7" w:rsidP="00280916">
      <w:pPr>
        <w:pStyle w:val="3Bodytext"/>
        <w:keepNext/>
        <w:numPr>
          <w:ilvl w:val="0"/>
          <w:numId w:val="34"/>
        </w:numPr>
        <w:spacing w:after="0"/>
        <w:rPr>
          <w:rFonts w:ascii="Arial Narrow" w:hAnsi="Arial Narrow"/>
          <w:sz w:val="20"/>
          <w:szCs w:val="20"/>
        </w:rPr>
      </w:pPr>
      <w:r w:rsidRPr="00F201A7">
        <w:rPr>
          <w:rFonts w:ascii="Arial Narrow" w:hAnsi="Arial Narrow"/>
          <w:sz w:val="20"/>
          <w:szCs w:val="20"/>
        </w:rPr>
        <w:t>Lower BMI thresholds (usually reduced</w:t>
      </w:r>
      <w:r w:rsidR="00384A21">
        <w:rPr>
          <w:rFonts w:ascii="Arial Narrow" w:hAnsi="Arial Narrow"/>
          <w:sz w:val="20"/>
          <w:szCs w:val="20"/>
        </w:rPr>
        <w:t xml:space="preserve"> </w:t>
      </w:r>
      <w:r w:rsidR="00384A21" w:rsidRPr="00384A21">
        <w:rPr>
          <w:rFonts w:ascii="Arial Narrow" w:hAnsi="Arial Narrow"/>
          <w:sz w:val="20"/>
          <w:szCs w:val="20"/>
        </w:rPr>
        <w:t>by 2.5 kg/m</w:t>
      </w:r>
      <w:r w:rsidR="00384A21" w:rsidRPr="00384A21">
        <w:rPr>
          <w:rFonts w:ascii="Arial Narrow" w:hAnsi="Arial Narrow"/>
          <w:sz w:val="20"/>
          <w:szCs w:val="20"/>
          <w:vertAlign w:val="superscript"/>
        </w:rPr>
        <w:t>2</w:t>
      </w:r>
      <w:r w:rsidR="00384A21">
        <w:rPr>
          <w:rFonts w:ascii="Arial Narrow" w:hAnsi="Arial Narrow"/>
          <w:sz w:val="20"/>
          <w:szCs w:val="20"/>
        </w:rPr>
        <w:t>)</w:t>
      </w:r>
      <w:r w:rsidR="00384A21" w:rsidRPr="00384A21">
        <w:rPr>
          <w:rFonts w:ascii="Arial Narrow" w:hAnsi="Arial Narrow"/>
          <w:sz w:val="20"/>
          <w:szCs w:val="20"/>
        </w:rPr>
        <w:t xml:space="preserve"> for people from South Asian, Chinese, other Asian, Middle Eastern, Black African or African-Caribbean ethnic background</w:t>
      </w:r>
      <w:r w:rsidR="00384A21">
        <w:rPr>
          <w:rFonts w:ascii="Arial Narrow" w:hAnsi="Arial Narrow"/>
          <w:sz w:val="20"/>
          <w:szCs w:val="20"/>
        </w:rPr>
        <w:t>.</w:t>
      </w:r>
    </w:p>
    <w:p w14:paraId="5A2D7631" w14:textId="0BA5103B" w:rsidR="00027746" w:rsidRDefault="00027746" w:rsidP="007C0A72">
      <w:pPr>
        <w:pStyle w:val="3Bodytext"/>
        <w:numPr>
          <w:ilvl w:val="0"/>
          <w:numId w:val="34"/>
        </w:numPr>
        <w:spacing w:after="0"/>
        <w:rPr>
          <w:rFonts w:ascii="Arial Narrow" w:hAnsi="Arial Narrow"/>
          <w:sz w:val="20"/>
          <w:szCs w:val="20"/>
        </w:rPr>
      </w:pPr>
      <w:r>
        <w:rPr>
          <w:rFonts w:ascii="Arial Narrow" w:hAnsi="Arial Narrow"/>
          <w:sz w:val="20"/>
          <w:szCs w:val="20"/>
        </w:rPr>
        <w:t>Qualifying comorbidities are:</w:t>
      </w:r>
    </w:p>
    <w:p w14:paraId="15E58E73" w14:textId="77BAA51C" w:rsidR="00027746" w:rsidRDefault="00460253" w:rsidP="007C0A72">
      <w:pPr>
        <w:pStyle w:val="3Bodytext"/>
        <w:numPr>
          <w:ilvl w:val="1"/>
          <w:numId w:val="34"/>
        </w:numPr>
        <w:spacing w:after="0"/>
        <w:ind w:left="1491" w:hanging="357"/>
        <w:rPr>
          <w:rFonts w:ascii="Arial Narrow" w:hAnsi="Arial Narrow"/>
          <w:sz w:val="20"/>
          <w:szCs w:val="20"/>
        </w:rPr>
      </w:pPr>
      <w:r>
        <w:rPr>
          <w:rFonts w:ascii="Arial Narrow" w:hAnsi="Arial Narrow"/>
          <w:sz w:val="20"/>
          <w:szCs w:val="20"/>
        </w:rPr>
        <w:t>Establish</w:t>
      </w:r>
      <w:r w:rsidR="006220DC">
        <w:rPr>
          <w:rFonts w:ascii="Arial Narrow" w:hAnsi="Arial Narrow"/>
          <w:sz w:val="20"/>
          <w:szCs w:val="20"/>
        </w:rPr>
        <w:t>ed</w:t>
      </w:r>
      <w:r w:rsidRPr="00460253">
        <w:t xml:space="preserve"> </w:t>
      </w:r>
      <w:r w:rsidRPr="00460253">
        <w:rPr>
          <w:rFonts w:ascii="Arial Narrow" w:hAnsi="Arial Narrow"/>
          <w:sz w:val="20"/>
          <w:szCs w:val="20"/>
        </w:rPr>
        <w:t>atherosclerotic CVD (ischaemic heart disease, cerebrovascular disease, peripheral vascular disease, heart failure)</w:t>
      </w:r>
    </w:p>
    <w:p w14:paraId="330CE9AC" w14:textId="77777777" w:rsidR="00AA08AB" w:rsidRDefault="00885FF3" w:rsidP="007C0A72">
      <w:pPr>
        <w:pStyle w:val="3Bodytext"/>
        <w:numPr>
          <w:ilvl w:val="1"/>
          <w:numId w:val="34"/>
        </w:numPr>
        <w:spacing w:after="0"/>
        <w:ind w:left="1491" w:hanging="357"/>
        <w:rPr>
          <w:rFonts w:ascii="Arial Narrow" w:hAnsi="Arial Narrow"/>
          <w:sz w:val="20"/>
          <w:szCs w:val="20"/>
        </w:rPr>
      </w:pPr>
      <w:r>
        <w:rPr>
          <w:rFonts w:ascii="Arial Narrow" w:hAnsi="Arial Narrow"/>
          <w:sz w:val="20"/>
          <w:szCs w:val="20"/>
        </w:rPr>
        <w:t>Hypertension – Established diagnosis requiring blood pressure lowering therapy</w:t>
      </w:r>
    </w:p>
    <w:p w14:paraId="33B991B6" w14:textId="77777777" w:rsidR="007C0A72" w:rsidRDefault="00885FF3" w:rsidP="007C0A72">
      <w:pPr>
        <w:pStyle w:val="3Bodytext"/>
        <w:numPr>
          <w:ilvl w:val="1"/>
          <w:numId w:val="34"/>
        </w:numPr>
        <w:spacing w:after="0"/>
        <w:ind w:left="1491" w:hanging="357"/>
        <w:rPr>
          <w:rFonts w:ascii="Arial Narrow" w:hAnsi="Arial Narrow"/>
          <w:sz w:val="20"/>
          <w:szCs w:val="20"/>
        </w:rPr>
      </w:pPr>
      <w:r w:rsidRPr="00AA08AB">
        <w:rPr>
          <w:rFonts w:ascii="Arial Narrow" w:hAnsi="Arial Narrow"/>
          <w:sz w:val="20"/>
          <w:szCs w:val="20"/>
        </w:rPr>
        <w:t xml:space="preserve">Dyslipidaemia: </w:t>
      </w:r>
      <w:r w:rsidR="00AA08AB" w:rsidRPr="00AA08AB">
        <w:rPr>
          <w:rFonts w:ascii="Arial Narrow" w:hAnsi="Arial Narrow"/>
          <w:sz w:val="20"/>
          <w:szCs w:val="20"/>
        </w:rPr>
        <w:t>Treated with lipid-lowering therapy, or with low-density lipoprotein (LDL) ≥ 4.1 mmol/L, or high-density lipoprotein (HDL) &lt;1.0 mmol/L for men or HDL&lt;1.3 mmol/L for women, or fasting (where possible) triglycerides ≥1.7 mmol/L</w:t>
      </w:r>
    </w:p>
    <w:p w14:paraId="096037CC" w14:textId="76101D10" w:rsidR="00885FF3" w:rsidRDefault="00AA08AB" w:rsidP="007C0A72">
      <w:pPr>
        <w:pStyle w:val="3Bodytext"/>
        <w:numPr>
          <w:ilvl w:val="1"/>
          <w:numId w:val="34"/>
        </w:numPr>
        <w:spacing w:after="0"/>
        <w:ind w:left="1491" w:hanging="357"/>
        <w:rPr>
          <w:rFonts w:ascii="Arial Narrow" w:hAnsi="Arial Narrow"/>
          <w:sz w:val="20"/>
          <w:szCs w:val="20"/>
        </w:rPr>
      </w:pPr>
      <w:r w:rsidRPr="007C0A72">
        <w:rPr>
          <w:rFonts w:ascii="Arial Narrow" w:hAnsi="Arial Narrow"/>
          <w:sz w:val="20"/>
          <w:szCs w:val="20"/>
        </w:rPr>
        <w:t>Obstructive sleep apnoea</w:t>
      </w:r>
      <w:r w:rsidR="007C0A72">
        <w:rPr>
          <w:rFonts w:ascii="Arial Narrow" w:hAnsi="Arial Narrow"/>
          <w:sz w:val="20"/>
          <w:szCs w:val="20"/>
        </w:rPr>
        <w:t xml:space="preserve"> (OSA)</w:t>
      </w:r>
      <w:r w:rsidRPr="007C0A72">
        <w:rPr>
          <w:rFonts w:ascii="Arial Narrow" w:hAnsi="Arial Narrow"/>
          <w:sz w:val="20"/>
          <w:szCs w:val="20"/>
        </w:rPr>
        <w:t xml:space="preserve">: </w:t>
      </w:r>
      <w:r w:rsidR="007C0A72" w:rsidRPr="007C0A72">
        <w:rPr>
          <w:rFonts w:ascii="Arial Narrow" w:hAnsi="Arial Narrow"/>
          <w:sz w:val="20"/>
          <w:szCs w:val="20"/>
        </w:rPr>
        <w:t>Established diagnosis (sleep clinic confirmation via sleep study) and treatment indicated i.e. meets criteria for CPAP</w:t>
      </w:r>
      <w:r w:rsidR="007C0A72">
        <w:rPr>
          <w:rFonts w:ascii="Arial Narrow" w:hAnsi="Arial Narrow"/>
          <w:sz w:val="20"/>
          <w:szCs w:val="20"/>
        </w:rPr>
        <w:t xml:space="preserve"> </w:t>
      </w:r>
      <w:r w:rsidR="007C0A72" w:rsidRPr="007C0A72">
        <w:rPr>
          <w:rFonts w:ascii="Arial Narrow" w:hAnsi="Arial Narrow"/>
          <w:sz w:val="20"/>
          <w:szCs w:val="20"/>
        </w:rPr>
        <w:t>or equivalent</w:t>
      </w:r>
    </w:p>
    <w:p w14:paraId="12C6A7A7" w14:textId="77609B99" w:rsidR="007C0A72" w:rsidRDefault="007C0A72" w:rsidP="007C0A72">
      <w:pPr>
        <w:pStyle w:val="3Bodytext"/>
        <w:numPr>
          <w:ilvl w:val="1"/>
          <w:numId w:val="34"/>
        </w:numPr>
        <w:spacing w:after="0"/>
        <w:ind w:left="1491" w:hanging="357"/>
        <w:rPr>
          <w:rFonts w:ascii="Arial Narrow" w:hAnsi="Arial Narrow"/>
          <w:sz w:val="20"/>
          <w:szCs w:val="20"/>
        </w:rPr>
      </w:pPr>
      <w:r>
        <w:rPr>
          <w:rFonts w:ascii="Arial Narrow" w:hAnsi="Arial Narrow"/>
          <w:sz w:val="20"/>
          <w:szCs w:val="20"/>
        </w:rPr>
        <w:t>Type 2 diabetes.</w:t>
      </w:r>
    </w:p>
    <w:p w14:paraId="19887127" w14:textId="77777777" w:rsidR="007C0A72" w:rsidRPr="007C0A72" w:rsidRDefault="007C0A72" w:rsidP="007C0A72">
      <w:pPr>
        <w:pStyle w:val="3Bodytext"/>
        <w:numPr>
          <w:ilvl w:val="0"/>
          <w:numId w:val="0"/>
        </w:numPr>
        <w:spacing w:after="0"/>
        <w:ind w:left="1491"/>
        <w:rPr>
          <w:rFonts w:ascii="Arial Narrow" w:hAnsi="Arial Narrow"/>
          <w:sz w:val="20"/>
          <w:szCs w:val="20"/>
        </w:rPr>
      </w:pPr>
    </w:p>
    <w:p w14:paraId="143C1C6F" w14:textId="48BAA128" w:rsidR="004875FF" w:rsidRDefault="004875FF" w:rsidP="004875FF">
      <w:pPr>
        <w:pStyle w:val="3Bodytext"/>
      </w:pPr>
      <w:r w:rsidRPr="004A79A9">
        <w:t xml:space="preserve">NHS England has allocated funds to each </w:t>
      </w:r>
      <w:r w:rsidR="00114363">
        <w:t xml:space="preserve">ICB </w:t>
      </w:r>
      <w:r w:rsidRPr="004A79A9">
        <w:t xml:space="preserve">to allow for phased implementation of pharmacotherapy and supportive weight management services. </w:t>
      </w:r>
      <w:r w:rsidR="00451C8F" w:rsidRPr="00451C8F">
        <w:t xml:space="preserve">The allocation </w:t>
      </w:r>
      <w:r w:rsidR="00451C8F">
        <w:t>wa</w:t>
      </w:r>
      <w:r w:rsidR="00451C8F" w:rsidRPr="00451C8F">
        <w:t xml:space="preserve">s calculated </w:t>
      </w:r>
      <w:r w:rsidR="00370D23">
        <w:t>based on</w:t>
      </w:r>
      <w:r w:rsidR="00451C8F" w:rsidRPr="00451C8F">
        <w:t xml:space="preserve"> obesity prevalence rates at ICB level. </w:t>
      </w:r>
      <w:r w:rsidRPr="004A79A9">
        <w:t>ICBs have the flexibility to select which model(s) best meet their populations needs (community-based delivery model; GP delivery model; specialist weight management services with community outreach; and/or specialist weight management services with GP shared-care). NHS England intend</w:t>
      </w:r>
      <w:r w:rsidR="0017296F">
        <w:t>ed</w:t>
      </w:r>
      <w:r w:rsidRPr="004A79A9">
        <w:t xml:space="preserve"> to make centrally funded wraparound care services available </w:t>
      </w:r>
      <w:r>
        <w:t>as an option to</w:t>
      </w:r>
      <w:r w:rsidRPr="004A79A9">
        <w:t xml:space="preserve"> all ICBs from June 2025</w:t>
      </w:r>
      <w:r w:rsidR="004F3BD1">
        <w:t xml:space="preserve"> accessible from primary care setting only for the </w:t>
      </w:r>
      <w:r w:rsidR="007148B9">
        <w:t>identified priority cohorts</w:t>
      </w:r>
      <w:r>
        <w:t>.</w:t>
      </w:r>
      <w:r w:rsidR="00822F10">
        <w:t xml:space="preserve"> The NHS also </w:t>
      </w:r>
      <w:r w:rsidR="00510BE2">
        <w:t xml:space="preserve">funds </w:t>
      </w:r>
      <w:r w:rsidR="00822F10">
        <w:t xml:space="preserve">a </w:t>
      </w:r>
      <w:r w:rsidR="00C70854">
        <w:t xml:space="preserve">Digital Weight Management Programme available to people with obesity and </w:t>
      </w:r>
      <w:r w:rsidR="004E436A">
        <w:t xml:space="preserve">either </w:t>
      </w:r>
      <w:r w:rsidR="00C70854">
        <w:t>diabetes</w:t>
      </w:r>
      <w:r w:rsidR="004E436A">
        <w:t xml:space="preserve"> or hypertension</w:t>
      </w:r>
      <w:r w:rsidR="00F83963">
        <w:t xml:space="preserve">, </w:t>
      </w:r>
      <w:r w:rsidR="00575A22">
        <w:t xml:space="preserve">which provides </w:t>
      </w:r>
      <w:r w:rsidR="00510BE2">
        <w:t xml:space="preserve">a 12-week </w:t>
      </w:r>
      <w:r w:rsidR="00575A22">
        <w:t>online</w:t>
      </w:r>
      <w:r w:rsidR="00CC41F8">
        <w:t xml:space="preserve"> behavioural and lifestyle management support</w:t>
      </w:r>
      <w:r w:rsidR="00261A36">
        <w:t xml:space="preserve"> program</w:t>
      </w:r>
      <w:r w:rsidR="004E436A">
        <w:t>.</w:t>
      </w:r>
      <w:r w:rsidR="00B20B73">
        <w:rPr>
          <w:rStyle w:val="FootnoteReference"/>
        </w:rPr>
        <w:footnoteReference w:id="80"/>
      </w:r>
    </w:p>
    <w:p w14:paraId="15E0A3CB" w14:textId="68CA67B6" w:rsidR="00B63AED" w:rsidRDefault="00984384" w:rsidP="004875FF">
      <w:pPr>
        <w:pStyle w:val="3Bodytext"/>
      </w:pPr>
      <w:r>
        <w:t>Following commenc</w:t>
      </w:r>
      <w:r w:rsidR="005B72A3">
        <w:t>ement of the roll-out</w:t>
      </w:r>
      <w:r w:rsidR="00F108A2">
        <w:t xml:space="preserve">, some ICBs </w:t>
      </w:r>
      <w:r w:rsidR="005B72A3">
        <w:t xml:space="preserve">have </w:t>
      </w:r>
      <w:r w:rsidR="00562275">
        <w:t>report</w:t>
      </w:r>
      <w:r w:rsidR="005B72A3">
        <w:t>ed</w:t>
      </w:r>
      <w:r w:rsidR="00562275">
        <w:t xml:space="preserve"> inadequate funding to cover eligible patient </w:t>
      </w:r>
      <w:r w:rsidR="00B26705">
        <w:t>populations</w:t>
      </w:r>
      <w:r w:rsidR="00562275">
        <w:t>.</w:t>
      </w:r>
      <w:r w:rsidR="00423A0A">
        <w:t xml:space="preserve"> Some ICBs are considering further</w:t>
      </w:r>
      <w:r w:rsidR="00B26705">
        <w:t xml:space="preserve"> </w:t>
      </w:r>
      <w:r w:rsidR="0073292D">
        <w:t>tightening prescribing criteria for tirzepatide to meet budget pressures</w:t>
      </w:r>
      <w:r w:rsidR="0073292D" w:rsidDel="001D3A3D">
        <w:t>.</w:t>
      </w:r>
      <w:r w:rsidR="00C963B6">
        <w:rPr>
          <w:rStyle w:val="FootnoteReference"/>
        </w:rPr>
        <w:footnoteReference w:id="81"/>
      </w:r>
    </w:p>
    <w:p w14:paraId="1C3E9C5D" w14:textId="1F4083F3" w:rsidR="007150D3" w:rsidRPr="00631112" w:rsidRDefault="007150D3" w:rsidP="007150D3">
      <w:pPr>
        <w:pStyle w:val="3Bodytext"/>
        <w:numPr>
          <w:ilvl w:val="0"/>
          <w:numId w:val="0"/>
        </w:numPr>
        <w:rPr>
          <w:i/>
          <w:iCs/>
        </w:rPr>
      </w:pPr>
      <w:bookmarkStart w:id="6" w:name="Section5"/>
      <w:r w:rsidRPr="00631112">
        <w:rPr>
          <w:i/>
          <w:iCs/>
        </w:rPr>
        <w:t xml:space="preserve">For more </w:t>
      </w:r>
      <w:r>
        <w:rPr>
          <w:i/>
          <w:iCs/>
        </w:rPr>
        <w:t xml:space="preserve">detail </w:t>
      </w:r>
      <w:r w:rsidRPr="00631112">
        <w:rPr>
          <w:i/>
          <w:iCs/>
        </w:rPr>
        <w:t xml:space="preserve">on PBAC’s view, see </w:t>
      </w:r>
      <w:hyperlink w:anchor="Section10" w:history="1">
        <w:r w:rsidR="00913531">
          <w:rPr>
            <w:rStyle w:val="Hyperlink"/>
            <w:i/>
            <w:iCs/>
          </w:rPr>
          <w:t>S</w:t>
        </w:r>
        <w:r w:rsidRPr="00631112">
          <w:rPr>
            <w:rStyle w:val="Hyperlink"/>
            <w:i/>
            <w:iCs/>
          </w:rPr>
          <w:t>ection 10</w:t>
        </w:r>
        <w:r w:rsidR="00913531">
          <w:rPr>
            <w:rStyle w:val="Hyperlink"/>
            <w:i/>
            <w:iCs/>
          </w:rPr>
          <w:t>.</w:t>
        </w:r>
        <w:r w:rsidRPr="00631112">
          <w:rPr>
            <w:rStyle w:val="Hyperlink"/>
            <w:i/>
            <w:iCs/>
          </w:rPr>
          <w:t xml:space="preserve"> PBAC </w:t>
        </w:r>
        <w:r>
          <w:rPr>
            <w:rStyle w:val="Hyperlink"/>
            <w:i/>
            <w:iCs/>
          </w:rPr>
          <w:t>o</w:t>
        </w:r>
        <w:r w:rsidRPr="00631112">
          <w:rPr>
            <w:rStyle w:val="Hyperlink"/>
            <w:i/>
            <w:iCs/>
          </w:rPr>
          <w:t>utcome</w:t>
        </w:r>
      </w:hyperlink>
      <w:r w:rsidRPr="00631112">
        <w:rPr>
          <w:i/>
          <w:iCs/>
        </w:rPr>
        <w:t>.</w:t>
      </w:r>
    </w:p>
    <w:p w14:paraId="49F5300A" w14:textId="06B4E718" w:rsidR="001375E1" w:rsidRDefault="001375E1" w:rsidP="001375E1">
      <w:pPr>
        <w:pStyle w:val="2-SectionHeading"/>
      </w:pPr>
      <w:r>
        <w:lastRenderedPageBreak/>
        <w:t>Horizon scanning for obesity treatments</w:t>
      </w:r>
    </w:p>
    <w:p w14:paraId="183744B5" w14:textId="53130F45" w:rsidR="00B16C36" w:rsidRDefault="007B0CF9" w:rsidP="00FC0496">
      <w:pPr>
        <w:pStyle w:val="3Bodytext"/>
      </w:pPr>
      <w:r>
        <w:t>There are several GLP-</w:t>
      </w:r>
      <w:r w:rsidR="003C5345">
        <w:t>1s</w:t>
      </w:r>
      <w:r w:rsidR="00297219">
        <w:t>, including dual and triple agonists,</w:t>
      </w:r>
      <w:r w:rsidR="003C5345">
        <w:t xml:space="preserve"> in development</w:t>
      </w:r>
      <w:r w:rsidR="00041987">
        <w:t xml:space="preserve">; </w:t>
      </w:r>
      <w:r w:rsidR="003C5345" w:rsidRPr="001F0B30">
        <w:rPr>
          <w:u w:val="single"/>
        </w:rPr>
        <w:t xml:space="preserve">Table </w:t>
      </w:r>
      <w:r w:rsidR="00A73D69">
        <w:rPr>
          <w:u w:val="single"/>
        </w:rPr>
        <w:t>2</w:t>
      </w:r>
      <w:r w:rsidR="003C5345">
        <w:rPr>
          <w:u w:val="single"/>
        </w:rPr>
        <w:t xml:space="preserve"> </w:t>
      </w:r>
      <w:r w:rsidR="003C5345" w:rsidRPr="00041987">
        <w:t>provides a</w:t>
      </w:r>
      <w:r w:rsidR="002C7DCA">
        <w:t xml:space="preserve"> sample of these</w:t>
      </w:r>
      <w:r w:rsidR="00B16C36">
        <w:t>.</w:t>
      </w:r>
    </w:p>
    <w:p w14:paraId="38B8D331" w14:textId="0C2EA834" w:rsidR="00B84BC5" w:rsidRDefault="00B16C36" w:rsidP="00FC0496">
      <w:pPr>
        <w:pStyle w:val="3Bodytext"/>
      </w:pPr>
      <w:r>
        <w:t xml:space="preserve">In addition to GLP-1s, there are other treatments </w:t>
      </w:r>
      <w:r w:rsidR="004E6D8B">
        <w:t>or devices that have</w:t>
      </w:r>
      <w:r w:rsidR="000304CC">
        <w:t>,</w:t>
      </w:r>
      <w:r w:rsidR="004E6D8B">
        <w:t xml:space="preserve"> or are being</w:t>
      </w:r>
      <w:r w:rsidR="000304CC">
        <w:t>,</w:t>
      </w:r>
      <w:r w:rsidR="004E6D8B">
        <w:t xml:space="preserve"> developed for weight management, including</w:t>
      </w:r>
      <w:r w:rsidR="00B84BC5">
        <w:t>:</w:t>
      </w:r>
    </w:p>
    <w:p w14:paraId="235BF680" w14:textId="34400045" w:rsidR="00B84BC5" w:rsidRDefault="00C27B3B" w:rsidP="00B84BC5">
      <w:pPr>
        <w:pStyle w:val="3Bodytext"/>
        <w:numPr>
          <w:ilvl w:val="2"/>
          <w:numId w:val="1"/>
        </w:numPr>
      </w:pPr>
      <w:r>
        <w:t>W</w:t>
      </w:r>
      <w:r w:rsidR="004E6D8B">
        <w:t>eighted vests</w:t>
      </w:r>
      <w:r w:rsidR="00F747C8">
        <w:t>, which have been shown to reduce fat mass</w:t>
      </w:r>
      <w:r w:rsidR="00C34D79">
        <w:t xml:space="preserve"> and waist circumference and</w:t>
      </w:r>
      <w:r w:rsidR="00F747C8">
        <w:t xml:space="preserve"> increase lean mass</w:t>
      </w:r>
      <w:r w:rsidR="00F24883">
        <w:t>, with no effect on body weight</w:t>
      </w:r>
      <w:r>
        <w:t>.</w:t>
      </w:r>
      <w:r w:rsidR="003A5CF9">
        <w:rPr>
          <w:rStyle w:val="FootnoteReference"/>
        </w:rPr>
        <w:footnoteReference w:id="82"/>
      </w:r>
    </w:p>
    <w:p w14:paraId="5D40980D" w14:textId="40992E2E" w:rsidR="00317938" w:rsidRDefault="00C27B3B" w:rsidP="00B84BC5">
      <w:pPr>
        <w:pStyle w:val="3Bodytext"/>
        <w:numPr>
          <w:ilvl w:val="2"/>
          <w:numId w:val="1"/>
        </w:numPr>
      </w:pPr>
      <w:r>
        <w:t>C</w:t>
      </w:r>
      <w:r w:rsidR="00F24412">
        <w:t xml:space="preserve">ontinuous glucose monitoring devices, </w:t>
      </w:r>
      <w:r w:rsidR="00F33868">
        <w:t xml:space="preserve">which may assist people with and without diabetes to </w:t>
      </w:r>
      <w:r w:rsidR="00985D14">
        <w:t>understand how food and physical activity affect glucose excursions</w:t>
      </w:r>
      <w:r w:rsidR="009D0957">
        <w:t>, encouraging healthier lifestyle choices.</w:t>
      </w:r>
    </w:p>
    <w:p w14:paraId="212FCB17" w14:textId="165724D8" w:rsidR="00041987" w:rsidRDefault="00216114" w:rsidP="00B84BC5">
      <w:pPr>
        <w:pStyle w:val="3Bodytext"/>
        <w:numPr>
          <w:ilvl w:val="2"/>
          <w:numId w:val="1"/>
        </w:numPr>
      </w:pPr>
      <w:r>
        <w:t>H</w:t>
      </w:r>
      <w:r w:rsidR="00B84BC5">
        <w:t>ydrogels such as Plenity®</w:t>
      </w:r>
      <w:r w:rsidR="003A5CF9">
        <w:t>,</w:t>
      </w:r>
      <w:r w:rsidR="00B84BC5">
        <w:t xml:space="preserve"> which is approved in the USA for weight management</w:t>
      </w:r>
      <w:r>
        <w:t>.</w:t>
      </w:r>
      <w:r w:rsidR="006E35AA">
        <w:rPr>
          <w:rStyle w:val="FootnoteReference"/>
        </w:rPr>
        <w:footnoteReference w:id="83"/>
      </w:r>
    </w:p>
    <w:p w14:paraId="65B69EFC" w14:textId="282D3AC7" w:rsidR="00626A1B" w:rsidRDefault="00216114" w:rsidP="00B84BC5">
      <w:pPr>
        <w:pStyle w:val="3Bodytext"/>
        <w:numPr>
          <w:ilvl w:val="2"/>
          <w:numId w:val="1"/>
        </w:numPr>
      </w:pPr>
      <w:r>
        <w:t>T</w:t>
      </w:r>
      <w:r w:rsidR="001E2866">
        <w:t xml:space="preserve">reatments for hyperphagia, e.g. </w:t>
      </w:r>
      <w:r w:rsidR="007B7234">
        <w:t xml:space="preserve">diazoxide choline </w:t>
      </w:r>
      <w:r w:rsidR="00A33714">
        <w:t>has been approved in the USA for the treatment of hyperphagia in patients with PWS</w:t>
      </w:r>
      <w:r>
        <w:t>.</w:t>
      </w:r>
    </w:p>
    <w:p w14:paraId="4BC3D95E" w14:textId="6A34A2A2" w:rsidR="0014233F" w:rsidRDefault="00216114" w:rsidP="00B84BC5">
      <w:pPr>
        <w:pStyle w:val="3Bodytext"/>
        <w:numPr>
          <w:ilvl w:val="2"/>
          <w:numId w:val="1"/>
        </w:numPr>
      </w:pPr>
      <w:r>
        <w:t>T</w:t>
      </w:r>
      <w:r w:rsidR="00A16613">
        <w:t>reatments that target other receptors than GLP-1</w:t>
      </w:r>
      <w:r w:rsidR="00DA50D2">
        <w:t>, e.g. bigrumab</w:t>
      </w:r>
      <w:r w:rsidR="005B4652">
        <w:t>,</w:t>
      </w:r>
      <w:r w:rsidR="00DA50D2">
        <w:t xml:space="preserve"> a human monoclonal antibody</w:t>
      </w:r>
      <w:r w:rsidR="009F564A">
        <w:t xml:space="preserve"> </w:t>
      </w:r>
      <w:r w:rsidR="0048386D">
        <w:t xml:space="preserve">inhibitor </w:t>
      </w:r>
      <w:r w:rsidR="009F564A">
        <w:t xml:space="preserve">of activin </w:t>
      </w:r>
      <w:r w:rsidR="006130A9">
        <w:t>type II receptors</w:t>
      </w:r>
      <w:r w:rsidR="00D73456">
        <w:t xml:space="preserve">, which has been shown in phase II </w:t>
      </w:r>
      <w:r w:rsidR="00D31961">
        <w:t xml:space="preserve">clinical </w:t>
      </w:r>
      <w:r w:rsidR="00D73456">
        <w:t xml:space="preserve">trials to </w:t>
      </w:r>
      <w:r w:rsidR="00D31961">
        <w:t>reduce fat mass</w:t>
      </w:r>
      <w:r w:rsidR="00ED37E8">
        <w:t xml:space="preserve"> and increase lean mass in </w:t>
      </w:r>
      <w:r w:rsidR="00FD3759">
        <w:t xml:space="preserve">people with </w:t>
      </w:r>
      <w:r w:rsidR="00ED37E8">
        <w:t>overweight/obes</w:t>
      </w:r>
      <w:r w:rsidR="00FD3759">
        <w:t>ity</w:t>
      </w:r>
      <w:r w:rsidR="00ED37E8">
        <w:t xml:space="preserve"> </w:t>
      </w:r>
      <w:r w:rsidR="00FD3759">
        <w:t>and T2DM</w:t>
      </w:r>
      <w:r w:rsidR="00A33714">
        <w:t>.</w:t>
      </w:r>
      <w:r w:rsidR="002132F6">
        <w:rPr>
          <w:rStyle w:val="FootnoteReference"/>
        </w:rPr>
        <w:footnoteReference w:id="84"/>
      </w:r>
      <w:r w:rsidR="00C005A1">
        <w:t xml:space="preserve"> Bigrumab is currently being developed by Eli Lilly</w:t>
      </w:r>
      <w:r w:rsidR="00D52C13">
        <w:t xml:space="preserve"> to </w:t>
      </w:r>
      <w:r w:rsidR="000D155F">
        <w:t xml:space="preserve">preserve muscle mass in patients using GLP-1 </w:t>
      </w:r>
      <w:r w:rsidR="00004310">
        <w:t>obesity t</w:t>
      </w:r>
      <w:r w:rsidR="000D155F">
        <w:t>reatments.</w:t>
      </w:r>
      <w:r w:rsidR="00026D06">
        <w:rPr>
          <w:rStyle w:val="FootnoteReference"/>
        </w:rPr>
        <w:footnoteReference w:id="85"/>
      </w:r>
    </w:p>
    <w:p w14:paraId="45EC07C0" w14:textId="602A93EF" w:rsidR="002D06B1" w:rsidRDefault="00616DC7" w:rsidP="00E757D7">
      <w:pPr>
        <w:pStyle w:val="3Bodytext"/>
        <w:keepNext/>
        <w:keepLines/>
        <w:widowControl w:val="0"/>
        <w:numPr>
          <w:ilvl w:val="0"/>
          <w:numId w:val="0"/>
        </w:numPr>
        <w:ind w:left="720" w:hanging="720"/>
        <w:rPr>
          <w:rFonts w:ascii="Arial Narrow" w:hAnsi="Arial Narrow"/>
          <w:b/>
          <w:bCs/>
          <w:sz w:val="20"/>
          <w:szCs w:val="20"/>
        </w:rPr>
      </w:pPr>
      <w:r w:rsidRPr="001F0B30">
        <w:rPr>
          <w:rFonts w:ascii="Arial Narrow" w:hAnsi="Arial Narrow"/>
          <w:b/>
          <w:bCs/>
          <w:sz w:val="20"/>
          <w:szCs w:val="20"/>
        </w:rPr>
        <w:lastRenderedPageBreak/>
        <w:t xml:space="preserve">Table </w:t>
      </w:r>
      <w:r w:rsidR="00A73D69">
        <w:rPr>
          <w:rFonts w:ascii="Arial Narrow" w:hAnsi="Arial Narrow"/>
          <w:b/>
          <w:bCs/>
          <w:sz w:val="20"/>
          <w:szCs w:val="20"/>
        </w:rPr>
        <w:t>2</w:t>
      </w:r>
      <w:r w:rsidRPr="001F0B30">
        <w:rPr>
          <w:rFonts w:ascii="Arial Narrow" w:hAnsi="Arial Narrow"/>
          <w:b/>
          <w:bCs/>
          <w:sz w:val="20"/>
          <w:szCs w:val="20"/>
        </w:rPr>
        <w:t>.</w:t>
      </w:r>
      <w:r w:rsidRPr="005601C4">
        <w:rPr>
          <w:rFonts w:ascii="Arial Narrow" w:hAnsi="Arial Narrow"/>
          <w:b/>
          <w:bCs/>
          <w:sz w:val="20"/>
          <w:szCs w:val="20"/>
        </w:rPr>
        <w:t xml:space="preserve"> </w:t>
      </w:r>
      <w:r w:rsidR="005601C4" w:rsidRPr="005601C4">
        <w:rPr>
          <w:rFonts w:ascii="Arial Narrow" w:hAnsi="Arial Narrow"/>
          <w:b/>
          <w:bCs/>
          <w:sz w:val="20"/>
          <w:szCs w:val="20"/>
        </w:rPr>
        <w:t xml:space="preserve">Sample of </w:t>
      </w:r>
      <w:r w:rsidRPr="005601C4">
        <w:rPr>
          <w:rFonts w:ascii="Arial Narrow" w:hAnsi="Arial Narrow"/>
          <w:b/>
          <w:bCs/>
          <w:sz w:val="20"/>
          <w:szCs w:val="20"/>
        </w:rPr>
        <w:t>GLP-1s in development for the treatment of overweight and obesity</w:t>
      </w:r>
      <w:r w:rsidR="00A13BB4">
        <w:rPr>
          <w:rFonts w:ascii="Arial Narrow" w:hAnsi="Arial Narrow"/>
          <w:b/>
          <w:bCs/>
          <w:sz w:val="20"/>
          <w:szCs w:val="20"/>
        </w:rPr>
        <w:t xml:space="preserve"> (among other conditions)</w:t>
      </w:r>
    </w:p>
    <w:tbl>
      <w:tblPr>
        <w:tblStyle w:val="TableGrid"/>
        <w:tblW w:w="5265" w:type="pct"/>
        <w:tblLook w:val="04A0" w:firstRow="1" w:lastRow="0" w:firstColumn="1" w:lastColumn="0" w:noHBand="0" w:noVBand="1"/>
      </w:tblPr>
      <w:tblGrid>
        <w:gridCol w:w="1419"/>
        <w:gridCol w:w="1797"/>
        <w:gridCol w:w="3067"/>
        <w:gridCol w:w="3211"/>
      </w:tblGrid>
      <w:tr w:rsidR="00073109" w:rsidRPr="002D06B1" w14:paraId="28497167" w14:textId="77777777" w:rsidTr="00E757D7">
        <w:trPr>
          <w:trHeight w:val="505"/>
          <w:tblHeader/>
        </w:trPr>
        <w:tc>
          <w:tcPr>
            <w:tcW w:w="666" w:type="pct"/>
            <w:shd w:val="clear" w:color="auto" w:fill="D9D9D9" w:themeFill="background1" w:themeFillShade="D9"/>
            <w:hideMark/>
          </w:tcPr>
          <w:p w14:paraId="3B216BAE" w14:textId="299057EB" w:rsidR="00F30F08" w:rsidRPr="002D06B1" w:rsidRDefault="00F30F08" w:rsidP="00E757D7">
            <w:pPr>
              <w:keepNext/>
              <w:keepLines/>
              <w:widowControl w:val="0"/>
              <w:spacing w:beforeLines="40" w:before="96" w:afterLines="40" w:after="96" w:line="256" w:lineRule="auto"/>
              <w:jc w:val="left"/>
              <w:rPr>
                <w:rFonts w:ascii="Arial Narrow" w:hAnsi="Arial Narrow" w:cs="Arial"/>
                <w:sz w:val="20"/>
                <w:szCs w:val="20"/>
              </w:rPr>
            </w:pPr>
            <w:r w:rsidRPr="00BD033F">
              <w:rPr>
                <w:rFonts w:ascii="Arial Narrow" w:hAnsi="Arial Narrow"/>
                <w:b/>
                <w:bCs/>
                <w:sz w:val="20"/>
                <w:szCs w:val="20"/>
              </w:rPr>
              <w:t xml:space="preserve"> </w:t>
            </w:r>
            <w:r w:rsidRPr="002D06B1">
              <w:rPr>
                <w:rFonts w:ascii="Arial Narrow" w:hAnsi="Arial Narrow" w:cs="Arial"/>
                <w:b/>
                <w:bCs/>
                <w:kern w:val="2"/>
                <w:sz w:val="20"/>
                <w:szCs w:val="20"/>
              </w:rPr>
              <w:t>Drug Name</w:t>
            </w:r>
          </w:p>
        </w:tc>
        <w:tc>
          <w:tcPr>
            <w:tcW w:w="974" w:type="pct"/>
            <w:shd w:val="clear" w:color="auto" w:fill="D9D9D9" w:themeFill="background1" w:themeFillShade="D9"/>
            <w:hideMark/>
          </w:tcPr>
          <w:p w14:paraId="0C2CC72F" w14:textId="77777777" w:rsidR="00F30F08" w:rsidRPr="002D06B1" w:rsidRDefault="00F30F08" w:rsidP="00E757D7">
            <w:pPr>
              <w:keepNext/>
              <w:keepLines/>
              <w:widowControl w:val="0"/>
              <w:spacing w:beforeLines="40" w:before="96" w:afterLines="40" w:after="96" w:line="256" w:lineRule="auto"/>
              <w:jc w:val="left"/>
              <w:rPr>
                <w:rFonts w:ascii="Arial Narrow" w:hAnsi="Arial Narrow" w:cs="Arial"/>
                <w:sz w:val="20"/>
                <w:szCs w:val="20"/>
              </w:rPr>
            </w:pPr>
            <w:r w:rsidRPr="002D06B1">
              <w:rPr>
                <w:rFonts w:ascii="Arial Narrow" w:hAnsi="Arial Narrow" w:cs="Arial"/>
                <w:b/>
                <w:bCs/>
                <w:kern w:val="2"/>
                <w:sz w:val="20"/>
                <w:szCs w:val="20"/>
              </w:rPr>
              <w:t>Sponsor</w:t>
            </w:r>
          </w:p>
        </w:tc>
        <w:tc>
          <w:tcPr>
            <w:tcW w:w="1642" w:type="pct"/>
            <w:shd w:val="clear" w:color="auto" w:fill="D9D9D9" w:themeFill="background1" w:themeFillShade="D9"/>
            <w:hideMark/>
          </w:tcPr>
          <w:p w14:paraId="2CE208CD" w14:textId="77777777" w:rsidR="00F30F08" w:rsidRPr="002D06B1" w:rsidRDefault="00F30F08" w:rsidP="00E757D7">
            <w:pPr>
              <w:keepNext/>
              <w:keepLines/>
              <w:widowControl w:val="0"/>
              <w:spacing w:beforeLines="40" w:before="96" w:afterLines="40" w:after="96" w:line="256" w:lineRule="auto"/>
              <w:jc w:val="left"/>
              <w:rPr>
                <w:rFonts w:ascii="Arial Narrow" w:hAnsi="Arial Narrow" w:cs="Arial"/>
                <w:sz w:val="20"/>
                <w:szCs w:val="20"/>
              </w:rPr>
            </w:pPr>
            <w:r w:rsidRPr="002D06B1">
              <w:rPr>
                <w:rFonts w:ascii="Arial Narrow" w:hAnsi="Arial Narrow" w:cs="Arial"/>
                <w:b/>
                <w:bCs/>
                <w:kern w:val="2"/>
                <w:sz w:val="20"/>
                <w:szCs w:val="20"/>
              </w:rPr>
              <w:t>Action</w:t>
            </w:r>
          </w:p>
        </w:tc>
        <w:tc>
          <w:tcPr>
            <w:tcW w:w="1718" w:type="pct"/>
            <w:shd w:val="clear" w:color="auto" w:fill="D9D9D9" w:themeFill="background1" w:themeFillShade="D9"/>
            <w:hideMark/>
          </w:tcPr>
          <w:p w14:paraId="7678792F" w14:textId="77777777" w:rsidR="00F30F08" w:rsidRPr="002D06B1" w:rsidRDefault="00F30F08" w:rsidP="00E757D7">
            <w:pPr>
              <w:keepNext/>
              <w:keepLines/>
              <w:widowControl w:val="0"/>
              <w:spacing w:beforeLines="40" w:before="96" w:afterLines="40" w:after="96" w:line="256" w:lineRule="auto"/>
              <w:jc w:val="left"/>
              <w:rPr>
                <w:rFonts w:ascii="Arial Narrow" w:hAnsi="Arial Narrow" w:cs="Arial"/>
                <w:sz w:val="20"/>
                <w:szCs w:val="20"/>
              </w:rPr>
            </w:pPr>
            <w:r w:rsidRPr="002D06B1">
              <w:rPr>
                <w:rFonts w:ascii="Arial Narrow" w:hAnsi="Arial Narrow" w:cs="Arial"/>
                <w:b/>
                <w:bCs/>
                <w:kern w:val="2"/>
                <w:sz w:val="20"/>
                <w:szCs w:val="20"/>
              </w:rPr>
              <w:t>Development Stage</w:t>
            </w:r>
          </w:p>
        </w:tc>
      </w:tr>
      <w:tr w:rsidR="00073109" w:rsidRPr="002D06B1" w14:paraId="6FD4BF20" w14:textId="77777777" w:rsidTr="00073109">
        <w:trPr>
          <w:trHeight w:val="735"/>
        </w:trPr>
        <w:tc>
          <w:tcPr>
            <w:tcW w:w="666" w:type="pct"/>
          </w:tcPr>
          <w:p w14:paraId="32403B6D" w14:textId="4B6D1AC5" w:rsidR="00F30F08" w:rsidRPr="002D06B1" w:rsidRDefault="00F30F08" w:rsidP="00E757D7">
            <w:pPr>
              <w:keepNext/>
              <w:keepLines/>
              <w:widowControl w:val="0"/>
              <w:spacing w:beforeLines="40" w:before="96" w:afterLines="40" w:after="96" w:line="256" w:lineRule="auto"/>
              <w:jc w:val="left"/>
              <w:rPr>
                <w:rFonts w:ascii="Arial Narrow" w:hAnsi="Arial Narrow" w:cs="Arial"/>
                <w:b/>
                <w:bCs/>
                <w:kern w:val="2"/>
                <w:sz w:val="20"/>
                <w:szCs w:val="20"/>
              </w:rPr>
            </w:pPr>
            <w:r w:rsidRPr="002D06B1">
              <w:rPr>
                <w:rFonts w:ascii="Arial Narrow" w:hAnsi="Arial Narrow" w:cs="Arial"/>
                <w:b/>
                <w:bCs/>
                <w:kern w:val="2"/>
                <w:sz w:val="20"/>
                <w:szCs w:val="20"/>
              </w:rPr>
              <w:t>Orforglipron</w:t>
            </w:r>
          </w:p>
        </w:tc>
        <w:tc>
          <w:tcPr>
            <w:tcW w:w="974" w:type="pct"/>
          </w:tcPr>
          <w:p w14:paraId="653488B5" w14:textId="33A8CF9C" w:rsidR="00F30F08" w:rsidRPr="002D06B1" w:rsidRDefault="00F30F08" w:rsidP="00E757D7">
            <w:pPr>
              <w:keepNext/>
              <w:keepLines/>
              <w:widowControl w:val="0"/>
              <w:spacing w:beforeLines="40" w:before="96" w:afterLines="40" w:after="96" w:line="256" w:lineRule="auto"/>
              <w:jc w:val="left"/>
              <w:rPr>
                <w:rFonts w:ascii="Arial Narrow" w:hAnsi="Arial Narrow" w:cs="Arial"/>
                <w:kern w:val="2"/>
                <w:sz w:val="20"/>
                <w:szCs w:val="20"/>
              </w:rPr>
            </w:pPr>
            <w:r w:rsidRPr="002D06B1">
              <w:rPr>
                <w:rFonts w:ascii="Arial Narrow" w:hAnsi="Arial Narrow" w:cs="Arial"/>
                <w:kern w:val="2"/>
                <w:sz w:val="20"/>
                <w:szCs w:val="20"/>
              </w:rPr>
              <w:t>Eli Lilly</w:t>
            </w:r>
          </w:p>
        </w:tc>
        <w:tc>
          <w:tcPr>
            <w:tcW w:w="1642" w:type="pct"/>
          </w:tcPr>
          <w:p w14:paraId="2B6D65DE" w14:textId="6E31578E" w:rsidR="00F30F08" w:rsidRPr="002D06B1" w:rsidRDefault="00F30F08" w:rsidP="00E757D7">
            <w:pPr>
              <w:keepNext/>
              <w:keepLines/>
              <w:widowControl w:val="0"/>
              <w:spacing w:beforeLines="40" w:before="96" w:afterLines="40" w:after="96" w:line="256" w:lineRule="auto"/>
              <w:jc w:val="left"/>
              <w:rPr>
                <w:rFonts w:ascii="Arial Narrow" w:hAnsi="Arial Narrow" w:cs="Arial"/>
                <w:kern w:val="2"/>
                <w:sz w:val="20"/>
                <w:szCs w:val="20"/>
              </w:rPr>
            </w:pPr>
            <w:r w:rsidRPr="002D06B1">
              <w:rPr>
                <w:rFonts w:ascii="Arial Narrow" w:hAnsi="Arial Narrow" w:cs="Arial"/>
                <w:kern w:val="2"/>
                <w:sz w:val="20"/>
                <w:szCs w:val="20"/>
              </w:rPr>
              <w:t>Oral GLP-1</w:t>
            </w:r>
          </w:p>
        </w:tc>
        <w:tc>
          <w:tcPr>
            <w:tcW w:w="1718" w:type="pct"/>
          </w:tcPr>
          <w:p w14:paraId="1EE9AE85" w14:textId="2EE2A8B2" w:rsidR="00F30F08" w:rsidRPr="00454F7C" w:rsidRDefault="00F30F08" w:rsidP="00E757D7">
            <w:pPr>
              <w:keepNext/>
              <w:keepLines/>
              <w:widowControl w:val="0"/>
              <w:spacing w:beforeLines="40" w:before="96" w:afterLines="40" w:after="96" w:line="256" w:lineRule="auto"/>
              <w:jc w:val="left"/>
              <w:rPr>
                <w:rFonts w:ascii="Arial Narrow" w:hAnsi="Arial Narrow" w:cs="Arial"/>
                <w:kern w:val="2"/>
                <w:sz w:val="20"/>
                <w:szCs w:val="20"/>
              </w:rPr>
            </w:pPr>
            <w:r>
              <w:rPr>
                <w:rFonts w:ascii="Arial Narrow" w:hAnsi="Arial Narrow" w:cs="Arial"/>
                <w:kern w:val="2"/>
                <w:sz w:val="20"/>
                <w:szCs w:val="20"/>
              </w:rPr>
              <w:t xml:space="preserve">Phase 3. </w:t>
            </w:r>
            <w:r w:rsidRPr="002D06B1">
              <w:rPr>
                <w:rFonts w:ascii="Arial Narrow" w:hAnsi="Arial Narrow" w:cs="Arial"/>
                <w:kern w:val="2"/>
                <w:sz w:val="20"/>
                <w:szCs w:val="20"/>
              </w:rPr>
              <w:t xml:space="preserve">Aiming for 2025 submission for regulatory approval </w:t>
            </w:r>
            <w:r>
              <w:rPr>
                <w:rFonts w:ascii="Arial Narrow" w:hAnsi="Arial Narrow" w:cs="Arial"/>
                <w:kern w:val="2"/>
                <w:sz w:val="20"/>
                <w:szCs w:val="20"/>
              </w:rPr>
              <w:t>in the USA</w:t>
            </w:r>
            <w:r>
              <w:rPr>
                <w:rStyle w:val="FootnoteReference"/>
                <w:rFonts w:ascii="Arial Narrow" w:hAnsi="Arial Narrow" w:cs="Arial"/>
                <w:kern w:val="2"/>
                <w:sz w:val="20"/>
                <w:szCs w:val="20"/>
              </w:rPr>
              <w:footnoteReference w:id="86"/>
            </w:r>
            <w:r>
              <w:rPr>
                <w:rFonts w:ascii="Arial Narrow" w:hAnsi="Arial Narrow" w:cs="Arial"/>
                <w:kern w:val="2"/>
                <w:sz w:val="20"/>
                <w:szCs w:val="20"/>
                <w:vertAlign w:val="superscript"/>
              </w:rPr>
              <w:t>,</w:t>
            </w:r>
            <w:r>
              <w:rPr>
                <w:rStyle w:val="FootnoteReference"/>
                <w:rFonts w:ascii="Arial Narrow" w:hAnsi="Arial Narrow" w:cs="Arial"/>
                <w:kern w:val="2"/>
                <w:sz w:val="20"/>
                <w:szCs w:val="20"/>
              </w:rPr>
              <w:footnoteReference w:id="87"/>
            </w:r>
            <w:r w:rsidR="00240845">
              <w:rPr>
                <w:rFonts w:ascii="Arial Narrow" w:hAnsi="Arial Narrow" w:cs="Arial"/>
                <w:kern w:val="2"/>
                <w:sz w:val="20"/>
                <w:szCs w:val="20"/>
                <w:vertAlign w:val="superscript"/>
              </w:rPr>
              <w:t xml:space="preserve"> </w:t>
            </w:r>
            <w:r w:rsidR="00EB6BB8">
              <w:rPr>
                <w:rFonts w:ascii="Arial Narrow" w:hAnsi="Arial Narrow" w:cs="Arial"/>
                <w:kern w:val="2"/>
                <w:sz w:val="20"/>
                <w:szCs w:val="20"/>
              </w:rPr>
              <w:t xml:space="preserve">and </w:t>
            </w:r>
            <w:r w:rsidR="008800C9">
              <w:rPr>
                <w:rFonts w:ascii="Arial Narrow" w:hAnsi="Arial Narrow" w:cs="Arial"/>
                <w:kern w:val="2"/>
                <w:sz w:val="20"/>
                <w:szCs w:val="20"/>
              </w:rPr>
              <w:t>late 2026 market launch in Australia.</w:t>
            </w:r>
            <w:r w:rsidR="008800C9">
              <w:rPr>
                <w:rStyle w:val="FootnoteReference"/>
                <w:rFonts w:ascii="Arial Narrow" w:hAnsi="Arial Narrow" w:cs="Arial"/>
                <w:kern w:val="2"/>
                <w:sz w:val="20"/>
                <w:szCs w:val="20"/>
              </w:rPr>
              <w:footnoteReference w:id="88"/>
            </w:r>
          </w:p>
        </w:tc>
      </w:tr>
      <w:tr w:rsidR="00073109" w:rsidRPr="002D06B1" w14:paraId="0E303F89" w14:textId="77777777" w:rsidTr="00073109">
        <w:trPr>
          <w:trHeight w:val="735"/>
        </w:trPr>
        <w:tc>
          <w:tcPr>
            <w:tcW w:w="666" w:type="pct"/>
            <w:hideMark/>
          </w:tcPr>
          <w:p w14:paraId="24904BFE" w14:textId="77777777" w:rsidR="00F30F08" w:rsidRPr="002D06B1" w:rsidRDefault="00F30F08" w:rsidP="00E757D7">
            <w:pPr>
              <w:widowControl w:val="0"/>
              <w:spacing w:beforeLines="40" w:before="96" w:afterLines="40" w:after="96" w:line="256" w:lineRule="auto"/>
              <w:jc w:val="left"/>
              <w:rPr>
                <w:rFonts w:ascii="Arial Narrow" w:hAnsi="Arial Narrow" w:cs="Arial"/>
                <w:sz w:val="20"/>
                <w:szCs w:val="20"/>
              </w:rPr>
            </w:pPr>
            <w:r w:rsidRPr="002D06B1">
              <w:rPr>
                <w:rFonts w:ascii="Arial Narrow" w:hAnsi="Arial Narrow" w:cs="Arial"/>
                <w:b/>
                <w:bCs/>
                <w:kern w:val="2"/>
                <w:sz w:val="20"/>
                <w:szCs w:val="20"/>
              </w:rPr>
              <w:t>Retatrutide</w:t>
            </w:r>
          </w:p>
        </w:tc>
        <w:tc>
          <w:tcPr>
            <w:tcW w:w="974" w:type="pct"/>
            <w:hideMark/>
          </w:tcPr>
          <w:p w14:paraId="4EC0255E" w14:textId="77777777" w:rsidR="00F30F08" w:rsidRPr="002D06B1" w:rsidRDefault="00F30F08" w:rsidP="00E757D7">
            <w:pPr>
              <w:widowControl w:val="0"/>
              <w:spacing w:beforeLines="40" w:before="96" w:afterLines="40" w:after="96" w:line="256" w:lineRule="auto"/>
              <w:jc w:val="left"/>
              <w:rPr>
                <w:rFonts w:ascii="Arial Narrow" w:hAnsi="Arial Narrow" w:cs="Arial"/>
                <w:sz w:val="20"/>
                <w:szCs w:val="20"/>
              </w:rPr>
            </w:pPr>
            <w:r w:rsidRPr="002D06B1">
              <w:rPr>
                <w:rFonts w:ascii="Arial Narrow" w:hAnsi="Arial Narrow" w:cs="Arial"/>
                <w:kern w:val="2"/>
                <w:sz w:val="20"/>
                <w:szCs w:val="20"/>
              </w:rPr>
              <w:t>Eli Lilly</w:t>
            </w:r>
          </w:p>
        </w:tc>
        <w:tc>
          <w:tcPr>
            <w:tcW w:w="1642" w:type="pct"/>
            <w:hideMark/>
          </w:tcPr>
          <w:p w14:paraId="3C6655AD" w14:textId="4B1965C7" w:rsidR="00F30F08" w:rsidRPr="002D06B1" w:rsidRDefault="00F30F08" w:rsidP="00E757D7">
            <w:pPr>
              <w:widowControl w:val="0"/>
              <w:spacing w:beforeLines="40" w:before="96" w:afterLines="40" w:after="96" w:line="256" w:lineRule="auto"/>
              <w:jc w:val="left"/>
              <w:rPr>
                <w:rFonts w:ascii="Arial Narrow" w:hAnsi="Arial Narrow" w:cs="Arial"/>
                <w:sz w:val="20"/>
                <w:szCs w:val="20"/>
              </w:rPr>
            </w:pPr>
            <w:r w:rsidRPr="002D06B1">
              <w:rPr>
                <w:rFonts w:ascii="Arial Narrow" w:hAnsi="Arial Narrow" w:cs="Arial"/>
                <w:kern w:val="2"/>
                <w:sz w:val="20"/>
                <w:szCs w:val="20"/>
              </w:rPr>
              <w:t>Tri-agonist of GLP-1, GIP</w:t>
            </w:r>
            <w:r>
              <w:rPr>
                <w:rFonts w:ascii="Arial Narrow" w:hAnsi="Arial Narrow" w:cs="Arial"/>
                <w:kern w:val="2"/>
                <w:sz w:val="20"/>
                <w:szCs w:val="20"/>
              </w:rPr>
              <w:t>R</w:t>
            </w:r>
            <w:r w:rsidRPr="002D06B1">
              <w:rPr>
                <w:rFonts w:ascii="Arial Narrow" w:hAnsi="Arial Narrow" w:cs="Arial"/>
                <w:kern w:val="2"/>
                <w:sz w:val="20"/>
                <w:szCs w:val="20"/>
              </w:rPr>
              <w:t xml:space="preserve"> &amp; </w:t>
            </w:r>
            <w:r>
              <w:rPr>
                <w:rFonts w:ascii="Arial Narrow" w:hAnsi="Arial Narrow" w:cs="Arial"/>
                <w:kern w:val="2"/>
                <w:sz w:val="20"/>
                <w:szCs w:val="20"/>
              </w:rPr>
              <w:t>GCGR</w:t>
            </w:r>
          </w:p>
        </w:tc>
        <w:tc>
          <w:tcPr>
            <w:tcW w:w="1718" w:type="pct"/>
            <w:hideMark/>
          </w:tcPr>
          <w:p w14:paraId="3CF18F1C" w14:textId="10DA1224" w:rsidR="00F30F08" w:rsidRPr="002D06B1" w:rsidRDefault="00F30F08" w:rsidP="00E757D7">
            <w:pPr>
              <w:widowControl w:val="0"/>
              <w:spacing w:beforeLines="40" w:before="96" w:afterLines="40" w:after="96" w:line="256" w:lineRule="auto"/>
              <w:jc w:val="left"/>
              <w:rPr>
                <w:rFonts w:ascii="Arial Narrow" w:hAnsi="Arial Narrow" w:cs="Arial"/>
                <w:sz w:val="20"/>
                <w:szCs w:val="20"/>
              </w:rPr>
            </w:pPr>
            <w:r w:rsidRPr="002D06B1">
              <w:rPr>
                <w:rFonts w:ascii="Arial Narrow" w:hAnsi="Arial Narrow" w:cs="Arial"/>
                <w:kern w:val="2"/>
                <w:sz w:val="20"/>
                <w:szCs w:val="20"/>
              </w:rPr>
              <w:t>Phase 3</w:t>
            </w:r>
            <w:r>
              <w:rPr>
                <w:rStyle w:val="FootnoteReference"/>
                <w:rFonts w:ascii="Arial Narrow" w:hAnsi="Arial Narrow" w:cs="Arial"/>
                <w:kern w:val="2"/>
                <w:sz w:val="20"/>
                <w:szCs w:val="20"/>
              </w:rPr>
              <w:footnoteReference w:id="89"/>
            </w:r>
            <w:r w:rsidRPr="002D06B1">
              <w:rPr>
                <w:rFonts w:ascii="Arial Narrow" w:hAnsi="Arial Narrow" w:cs="Arial"/>
                <w:kern w:val="2"/>
                <w:sz w:val="20"/>
                <w:szCs w:val="20"/>
              </w:rPr>
              <w:t xml:space="preserve"> </w:t>
            </w:r>
          </w:p>
        </w:tc>
      </w:tr>
      <w:tr w:rsidR="00073109" w:rsidRPr="002D06B1" w14:paraId="29385A16" w14:textId="77777777" w:rsidTr="00073109">
        <w:trPr>
          <w:trHeight w:val="579"/>
        </w:trPr>
        <w:tc>
          <w:tcPr>
            <w:tcW w:w="666" w:type="pct"/>
            <w:hideMark/>
          </w:tcPr>
          <w:p w14:paraId="6C02145A" w14:textId="77777777"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b/>
                <w:bCs/>
                <w:kern w:val="2"/>
                <w:sz w:val="20"/>
                <w:szCs w:val="20"/>
              </w:rPr>
              <w:t>Cagrilintide + semaglutide</w:t>
            </w:r>
          </w:p>
        </w:tc>
        <w:tc>
          <w:tcPr>
            <w:tcW w:w="974" w:type="pct"/>
            <w:hideMark/>
          </w:tcPr>
          <w:p w14:paraId="26D3B9A2" w14:textId="77777777"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kern w:val="2"/>
                <w:sz w:val="20"/>
                <w:szCs w:val="20"/>
              </w:rPr>
              <w:t>Novo Nordisk</w:t>
            </w:r>
          </w:p>
        </w:tc>
        <w:tc>
          <w:tcPr>
            <w:tcW w:w="1642" w:type="pct"/>
            <w:hideMark/>
          </w:tcPr>
          <w:p w14:paraId="238535EC" w14:textId="1C43BF92"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kern w:val="2"/>
                <w:sz w:val="20"/>
                <w:szCs w:val="20"/>
              </w:rPr>
              <w:t>GLP-1</w:t>
            </w:r>
            <w:r>
              <w:rPr>
                <w:rFonts w:ascii="Arial Narrow" w:hAnsi="Arial Narrow" w:cs="Arial"/>
                <w:kern w:val="2"/>
                <w:sz w:val="20"/>
                <w:szCs w:val="20"/>
              </w:rPr>
              <w:t xml:space="preserve"> (semaglutide) + amylin and calcitonin receptor agonist (cagrilintide)</w:t>
            </w:r>
          </w:p>
        </w:tc>
        <w:tc>
          <w:tcPr>
            <w:tcW w:w="1718" w:type="pct"/>
            <w:hideMark/>
          </w:tcPr>
          <w:p w14:paraId="48726FCE" w14:textId="35D8CE0C"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kern w:val="2"/>
                <w:sz w:val="20"/>
                <w:szCs w:val="20"/>
              </w:rPr>
              <w:t xml:space="preserve">Phase </w:t>
            </w:r>
            <w:r>
              <w:rPr>
                <w:rFonts w:ascii="Arial Narrow" w:hAnsi="Arial Narrow" w:cs="Arial"/>
                <w:kern w:val="2"/>
                <w:sz w:val="20"/>
                <w:szCs w:val="20"/>
              </w:rPr>
              <w:t>3</w:t>
            </w:r>
            <w:r>
              <w:rPr>
                <w:rStyle w:val="FootnoteReference"/>
                <w:rFonts w:ascii="Arial Narrow" w:hAnsi="Arial Narrow" w:cs="Arial"/>
                <w:kern w:val="2"/>
                <w:sz w:val="20"/>
                <w:szCs w:val="20"/>
              </w:rPr>
              <w:footnoteReference w:id="90"/>
            </w:r>
          </w:p>
        </w:tc>
      </w:tr>
      <w:tr w:rsidR="00073109" w:rsidRPr="002D06B1" w14:paraId="385FB9BA" w14:textId="77777777" w:rsidTr="00073109">
        <w:trPr>
          <w:trHeight w:val="385"/>
        </w:trPr>
        <w:tc>
          <w:tcPr>
            <w:tcW w:w="666" w:type="pct"/>
            <w:hideMark/>
          </w:tcPr>
          <w:p w14:paraId="0A4507C7" w14:textId="77777777"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eastAsia="Aptos" w:hAnsi="Arial Narrow" w:cs="Arial"/>
                <w:b/>
                <w:bCs/>
                <w:kern w:val="2"/>
                <w:sz w:val="20"/>
                <w:szCs w:val="20"/>
              </w:rPr>
              <w:t>Survodutide</w:t>
            </w:r>
          </w:p>
        </w:tc>
        <w:tc>
          <w:tcPr>
            <w:tcW w:w="974" w:type="pct"/>
            <w:hideMark/>
          </w:tcPr>
          <w:p w14:paraId="15480319" w14:textId="77777777"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eastAsia="Aptos" w:hAnsi="Arial Narrow" w:cs="Arial"/>
                <w:kern w:val="2"/>
                <w:sz w:val="20"/>
                <w:szCs w:val="20"/>
              </w:rPr>
              <w:t>Boehringer Ingelheim</w:t>
            </w:r>
          </w:p>
        </w:tc>
        <w:tc>
          <w:tcPr>
            <w:tcW w:w="1642" w:type="pct"/>
            <w:hideMark/>
          </w:tcPr>
          <w:p w14:paraId="06AB8ED8" w14:textId="06F1F414"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eastAsia="Aptos" w:hAnsi="Arial Narrow" w:cs="Arial"/>
                <w:kern w:val="2"/>
                <w:sz w:val="20"/>
                <w:szCs w:val="20"/>
              </w:rPr>
              <w:t xml:space="preserve">Dual GLP-1/GLP-2 </w:t>
            </w:r>
            <w:r>
              <w:rPr>
                <w:rFonts w:ascii="Arial Narrow" w:eastAsia="Aptos" w:hAnsi="Arial Narrow" w:cs="Arial"/>
                <w:kern w:val="2"/>
                <w:sz w:val="20"/>
                <w:szCs w:val="20"/>
              </w:rPr>
              <w:t>receptor agonist</w:t>
            </w:r>
          </w:p>
        </w:tc>
        <w:tc>
          <w:tcPr>
            <w:tcW w:w="1718" w:type="pct"/>
            <w:hideMark/>
          </w:tcPr>
          <w:p w14:paraId="7E93AB80" w14:textId="745FBAC0" w:rsidR="00F30F08" w:rsidRPr="002D06B1" w:rsidRDefault="00F30F08" w:rsidP="00E757D7">
            <w:pPr>
              <w:widowControl w:val="0"/>
              <w:spacing w:beforeLines="40" w:before="96" w:afterLines="40" w:after="96" w:line="257" w:lineRule="auto"/>
              <w:jc w:val="left"/>
              <w:rPr>
                <w:rFonts w:ascii="Arial Narrow" w:hAnsi="Arial Narrow" w:cs="Arial"/>
                <w:sz w:val="20"/>
                <w:szCs w:val="20"/>
              </w:rPr>
            </w:pPr>
            <w:r w:rsidRPr="002D06B1">
              <w:rPr>
                <w:rFonts w:ascii="Arial Narrow" w:eastAsia="Aptos" w:hAnsi="Arial Narrow" w:cs="Arial"/>
                <w:kern w:val="2"/>
                <w:sz w:val="20"/>
                <w:szCs w:val="20"/>
              </w:rPr>
              <w:t>Phase 3</w:t>
            </w:r>
            <w:r>
              <w:rPr>
                <w:rStyle w:val="FootnoteReference"/>
                <w:rFonts w:ascii="Arial Narrow" w:eastAsia="Aptos" w:hAnsi="Arial Narrow" w:cs="Arial"/>
                <w:kern w:val="2"/>
                <w:sz w:val="20"/>
                <w:szCs w:val="20"/>
              </w:rPr>
              <w:footnoteReference w:id="91"/>
            </w:r>
          </w:p>
        </w:tc>
      </w:tr>
      <w:tr w:rsidR="00073109" w:rsidRPr="002D06B1" w14:paraId="072AFDB9" w14:textId="77777777" w:rsidTr="007C69E8">
        <w:trPr>
          <w:trHeight w:val="173"/>
        </w:trPr>
        <w:tc>
          <w:tcPr>
            <w:tcW w:w="666" w:type="pct"/>
          </w:tcPr>
          <w:p w14:paraId="2B668D75" w14:textId="69C7B385" w:rsidR="00F30F08" w:rsidRPr="002D06B1" w:rsidRDefault="00F30F08" w:rsidP="00E757D7">
            <w:pPr>
              <w:widowControl w:val="0"/>
              <w:spacing w:beforeLines="40" w:before="96" w:afterLines="40" w:after="96" w:line="257" w:lineRule="auto"/>
              <w:jc w:val="left"/>
              <w:rPr>
                <w:rFonts w:ascii="Arial Narrow" w:hAnsi="Arial Narrow" w:cs="Arial"/>
                <w:b/>
                <w:bCs/>
                <w:kern w:val="2"/>
                <w:sz w:val="20"/>
                <w:szCs w:val="20"/>
              </w:rPr>
            </w:pPr>
            <w:r w:rsidRPr="002D06B1">
              <w:rPr>
                <w:rFonts w:ascii="Arial Narrow" w:hAnsi="Arial Narrow" w:cs="Arial"/>
                <w:b/>
                <w:bCs/>
                <w:kern w:val="2"/>
                <w:sz w:val="20"/>
                <w:szCs w:val="20"/>
              </w:rPr>
              <w:t>Ecnoglutide</w:t>
            </w:r>
          </w:p>
        </w:tc>
        <w:tc>
          <w:tcPr>
            <w:tcW w:w="974" w:type="pct"/>
          </w:tcPr>
          <w:p w14:paraId="184D7B80" w14:textId="2D3EDB12"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Sciwind Biosciences</w:t>
            </w:r>
          </w:p>
        </w:tc>
        <w:tc>
          <w:tcPr>
            <w:tcW w:w="1642" w:type="pct"/>
          </w:tcPr>
          <w:p w14:paraId="6F87A79A" w14:textId="661FBA01"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 xml:space="preserve">GLP-1 </w:t>
            </w:r>
            <w:r w:rsidR="0055564A">
              <w:rPr>
                <w:rFonts w:ascii="Arial Narrow" w:hAnsi="Arial Narrow" w:cs="Arial"/>
                <w:kern w:val="2"/>
                <w:sz w:val="20"/>
                <w:szCs w:val="20"/>
              </w:rPr>
              <w:t xml:space="preserve">with </w:t>
            </w:r>
            <w:r w:rsidRPr="002D06B1">
              <w:rPr>
                <w:rFonts w:ascii="Arial Narrow" w:hAnsi="Arial Narrow" w:cs="Arial"/>
                <w:kern w:val="2"/>
                <w:sz w:val="20"/>
                <w:szCs w:val="20"/>
              </w:rPr>
              <w:t>cAMP</w:t>
            </w:r>
            <w:r w:rsidR="0055564A">
              <w:rPr>
                <w:rFonts w:ascii="Arial Narrow" w:hAnsi="Arial Narrow" w:cs="Arial"/>
                <w:kern w:val="2"/>
                <w:sz w:val="20"/>
                <w:szCs w:val="20"/>
              </w:rPr>
              <w:t xml:space="preserve"> bias</w:t>
            </w:r>
          </w:p>
        </w:tc>
        <w:tc>
          <w:tcPr>
            <w:tcW w:w="1718" w:type="pct"/>
          </w:tcPr>
          <w:p w14:paraId="5F60D3EC" w14:textId="77777777" w:rsidR="00B841FC"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Phase 3</w:t>
            </w:r>
            <w:r w:rsidR="00F53E1E">
              <w:rPr>
                <w:rFonts w:ascii="Arial Narrow" w:hAnsi="Arial Narrow" w:cs="Arial"/>
                <w:kern w:val="2"/>
                <w:sz w:val="20"/>
                <w:szCs w:val="20"/>
              </w:rPr>
              <w:t xml:space="preserve"> (injectable</w:t>
            </w:r>
            <w:r w:rsidR="00B841FC">
              <w:rPr>
                <w:rFonts w:ascii="Arial Narrow" w:hAnsi="Arial Narrow" w:cs="Arial"/>
                <w:kern w:val="2"/>
                <w:sz w:val="20"/>
                <w:szCs w:val="20"/>
              </w:rPr>
              <w:t>)</w:t>
            </w:r>
            <w:r w:rsidR="005B5183">
              <w:rPr>
                <w:rStyle w:val="FootnoteReference"/>
                <w:rFonts w:ascii="Arial Narrow" w:hAnsi="Arial Narrow" w:cs="Arial"/>
                <w:kern w:val="2"/>
                <w:sz w:val="20"/>
                <w:szCs w:val="20"/>
              </w:rPr>
              <w:footnoteReference w:id="92"/>
            </w:r>
            <w:r w:rsidR="007C69E8">
              <w:rPr>
                <w:rFonts w:ascii="Arial Narrow" w:hAnsi="Arial Narrow" w:cs="Arial"/>
                <w:kern w:val="2"/>
                <w:sz w:val="20"/>
                <w:szCs w:val="20"/>
              </w:rPr>
              <w:t xml:space="preserve"> </w:t>
            </w:r>
          </w:p>
          <w:p w14:paraId="4235B170" w14:textId="2CFF760E" w:rsidR="00D81B8B" w:rsidRPr="002D06B1" w:rsidRDefault="00D81B8B" w:rsidP="00E757D7">
            <w:pPr>
              <w:widowControl w:val="0"/>
              <w:spacing w:beforeLines="40" w:before="96" w:afterLines="40" w:after="96" w:line="257" w:lineRule="auto"/>
              <w:jc w:val="left"/>
              <w:rPr>
                <w:rFonts w:ascii="Arial Narrow" w:hAnsi="Arial Narrow" w:cs="Arial"/>
                <w:kern w:val="2"/>
                <w:sz w:val="20"/>
                <w:szCs w:val="20"/>
              </w:rPr>
            </w:pPr>
            <w:r>
              <w:rPr>
                <w:rFonts w:ascii="Arial Narrow" w:hAnsi="Arial Narrow" w:cs="Arial"/>
                <w:kern w:val="2"/>
                <w:sz w:val="20"/>
                <w:szCs w:val="20"/>
              </w:rPr>
              <w:t>(Oral ecnoglutide in Phase I)</w:t>
            </w:r>
          </w:p>
        </w:tc>
      </w:tr>
      <w:tr w:rsidR="00073109" w:rsidRPr="002D06B1" w14:paraId="52397C61" w14:textId="77777777" w:rsidTr="00073109">
        <w:trPr>
          <w:trHeight w:val="378"/>
        </w:trPr>
        <w:tc>
          <w:tcPr>
            <w:tcW w:w="666" w:type="pct"/>
          </w:tcPr>
          <w:p w14:paraId="29157D63" w14:textId="64890E08" w:rsidR="00F30F08" w:rsidRPr="002D06B1" w:rsidRDefault="00F30F08" w:rsidP="00E757D7">
            <w:pPr>
              <w:widowControl w:val="0"/>
              <w:spacing w:beforeLines="40" w:before="96" w:afterLines="40" w:after="96" w:line="257" w:lineRule="auto"/>
              <w:jc w:val="left"/>
              <w:rPr>
                <w:rFonts w:ascii="Arial Narrow" w:hAnsi="Arial Narrow" w:cs="Arial"/>
                <w:b/>
                <w:bCs/>
                <w:kern w:val="2"/>
                <w:sz w:val="20"/>
                <w:szCs w:val="20"/>
              </w:rPr>
            </w:pPr>
            <w:r w:rsidRPr="002D06B1">
              <w:rPr>
                <w:rFonts w:ascii="Arial Narrow" w:hAnsi="Arial Narrow" w:cs="Arial"/>
                <w:b/>
                <w:bCs/>
                <w:kern w:val="2"/>
                <w:sz w:val="20"/>
                <w:szCs w:val="20"/>
              </w:rPr>
              <w:t>Maridebart cafraglutide</w:t>
            </w:r>
          </w:p>
        </w:tc>
        <w:tc>
          <w:tcPr>
            <w:tcW w:w="974" w:type="pct"/>
          </w:tcPr>
          <w:p w14:paraId="3878046D" w14:textId="78EC2F8E"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Amgen</w:t>
            </w:r>
          </w:p>
        </w:tc>
        <w:tc>
          <w:tcPr>
            <w:tcW w:w="1642" w:type="pct"/>
          </w:tcPr>
          <w:p w14:paraId="6F4E8BAF" w14:textId="17E954F2"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Dual agonist of GLP-1 and GIPR</w:t>
            </w:r>
          </w:p>
        </w:tc>
        <w:tc>
          <w:tcPr>
            <w:tcW w:w="1718" w:type="pct"/>
          </w:tcPr>
          <w:p w14:paraId="33519A5B" w14:textId="5A0F8E8B"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 xml:space="preserve">Phase </w:t>
            </w:r>
            <w:r w:rsidR="00912A23">
              <w:rPr>
                <w:rFonts w:ascii="Arial Narrow" w:hAnsi="Arial Narrow" w:cs="Arial"/>
                <w:kern w:val="2"/>
                <w:sz w:val="20"/>
                <w:szCs w:val="20"/>
              </w:rPr>
              <w:t>2</w:t>
            </w:r>
            <w:r w:rsidR="00C5686C">
              <w:rPr>
                <w:rStyle w:val="FootnoteReference"/>
                <w:rFonts w:ascii="Arial Narrow" w:hAnsi="Arial Narrow" w:cs="Arial"/>
                <w:kern w:val="2"/>
                <w:sz w:val="20"/>
                <w:szCs w:val="20"/>
              </w:rPr>
              <w:footnoteReference w:id="93"/>
            </w:r>
            <w:r w:rsidR="00912A23">
              <w:rPr>
                <w:rFonts w:ascii="Arial Narrow" w:hAnsi="Arial Narrow" w:cs="Arial"/>
                <w:kern w:val="2"/>
                <w:sz w:val="20"/>
                <w:szCs w:val="20"/>
              </w:rPr>
              <w:t>/</w:t>
            </w:r>
            <w:r w:rsidRPr="002D06B1">
              <w:rPr>
                <w:rFonts w:ascii="Arial Narrow" w:hAnsi="Arial Narrow" w:cs="Arial"/>
                <w:kern w:val="2"/>
                <w:sz w:val="20"/>
                <w:szCs w:val="20"/>
              </w:rPr>
              <w:t>3</w:t>
            </w:r>
            <w:r w:rsidR="005C7850">
              <w:rPr>
                <w:rStyle w:val="FootnoteReference"/>
                <w:rFonts w:ascii="Arial Narrow" w:hAnsi="Arial Narrow" w:cs="Arial"/>
                <w:kern w:val="2"/>
                <w:sz w:val="20"/>
                <w:szCs w:val="20"/>
              </w:rPr>
              <w:footnoteReference w:id="94"/>
            </w:r>
          </w:p>
        </w:tc>
      </w:tr>
      <w:tr w:rsidR="00073109" w:rsidRPr="002D06B1" w14:paraId="03A0913F" w14:textId="77777777" w:rsidTr="007C69E8">
        <w:trPr>
          <w:trHeight w:val="303"/>
        </w:trPr>
        <w:tc>
          <w:tcPr>
            <w:tcW w:w="666" w:type="pct"/>
          </w:tcPr>
          <w:p w14:paraId="56E937D3" w14:textId="35E9651C" w:rsidR="00F30F08" w:rsidRPr="002D06B1" w:rsidRDefault="00F30F08" w:rsidP="00E757D7">
            <w:pPr>
              <w:widowControl w:val="0"/>
              <w:spacing w:beforeLines="40" w:before="96" w:afterLines="40" w:after="96" w:line="257" w:lineRule="auto"/>
              <w:jc w:val="left"/>
              <w:rPr>
                <w:rFonts w:ascii="Arial Narrow" w:hAnsi="Arial Narrow" w:cs="Arial"/>
                <w:b/>
                <w:bCs/>
                <w:kern w:val="2"/>
                <w:sz w:val="20"/>
                <w:szCs w:val="20"/>
              </w:rPr>
            </w:pPr>
            <w:r w:rsidRPr="002D06B1">
              <w:rPr>
                <w:rFonts w:ascii="Arial Narrow" w:hAnsi="Arial Narrow" w:cs="Arial"/>
                <w:b/>
                <w:bCs/>
                <w:kern w:val="2"/>
                <w:sz w:val="20"/>
                <w:szCs w:val="20"/>
              </w:rPr>
              <w:t>Mazdutide</w:t>
            </w:r>
          </w:p>
        </w:tc>
        <w:tc>
          <w:tcPr>
            <w:tcW w:w="974" w:type="pct"/>
          </w:tcPr>
          <w:p w14:paraId="4C0F8F37" w14:textId="55D8AE8C"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Eli Lilly</w:t>
            </w:r>
          </w:p>
        </w:tc>
        <w:tc>
          <w:tcPr>
            <w:tcW w:w="1642" w:type="pct"/>
          </w:tcPr>
          <w:p w14:paraId="0BF60A99" w14:textId="74AD26B8"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 xml:space="preserve">Dual agonist of GLP-1 and </w:t>
            </w:r>
            <w:r>
              <w:rPr>
                <w:rFonts w:ascii="Arial Narrow" w:hAnsi="Arial Narrow" w:cs="Arial"/>
                <w:kern w:val="2"/>
                <w:sz w:val="20"/>
                <w:szCs w:val="20"/>
              </w:rPr>
              <w:t>GCGR</w:t>
            </w:r>
          </w:p>
        </w:tc>
        <w:tc>
          <w:tcPr>
            <w:tcW w:w="1718" w:type="pct"/>
          </w:tcPr>
          <w:p w14:paraId="79014C59" w14:textId="07FAF4C3" w:rsidR="00F30F08" w:rsidRPr="002D06B1" w:rsidRDefault="00F30F08" w:rsidP="00E757D7">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Phase 3</w:t>
            </w:r>
            <w:r w:rsidR="00907581">
              <w:rPr>
                <w:rStyle w:val="FootnoteReference"/>
                <w:rFonts w:ascii="Arial Narrow" w:hAnsi="Arial Narrow" w:cs="Arial"/>
                <w:kern w:val="2"/>
                <w:sz w:val="20"/>
                <w:szCs w:val="20"/>
              </w:rPr>
              <w:footnoteReference w:id="95"/>
            </w:r>
          </w:p>
        </w:tc>
      </w:tr>
      <w:tr w:rsidR="00354413" w:rsidRPr="002D06B1" w14:paraId="4DBB87A2" w14:textId="77777777" w:rsidTr="007C69E8">
        <w:trPr>
          <w:trHeight w:val="303"/>
        </w:trPr>
        <w:tc>
          <w:tcPr>
            <w:tcW w:w="666" w:type="pct"/>
          </w:tcPr>
          <w:p w14:paraId="52225BC8" w14:textId="7E855A85" w:rsidR="00354413" w:rsidRPr="002D06B1" w:rsidRDefault="00354413" w:rsidP="00A32885">
            <w:pPr>
              <w:widowControl w:val="0"/>
              <w:spacing w:beforeLines="40" w:before="96" w:afterLines="40" w:after="96" w:line="257" w:lineRule="auto"/>
              <w:jc w:val="left"/>
              <w:rPr>
                <w:rFonts w:ascii="Arial Narrow" w:hAnsi="Arial Narrow" w:cs="Arial"/>
                <w:b/>
                <w:bCs/>
                <w:kern w:val="2"/>
                <w:sz w:val="20"/>
                <w:szCs w:val="20"/>
              </w:rPr>
            </w:pPr>
            <w:r w:rsidRPr="002D06B1">
              <w:rPr>
                <w:rFonts w:ascii="Arial Narrow" w:hAnsi="Arial Narrow" w:cs="Arial"/>
                <w:b/>
                <w:bCs/>
                <w:kern w:val="2"/>
                <w:sz w:val="20"/>
                <w:szCs w:val="20"/>
              </w:rPr>
              <w:t>HRS-7535</w:t>
            </w:r>
          </w:p>
        </w:tc>
        <w:tc>
          <w:tcPr>
            <w:tcW w:w="974" w:type="pct"/>
          </w:tcPr>
          <w:p w14:paraId="0B27E03A" w14:textId="5CEEA1A4" w:rsidR="00354413" w:rsidRPr="002D06B1" w:rsidRDefault="00354413" w:rsidP="00A32885">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Jiangsu Hengrui Pharmaceuticals</w:t>
            </w:r>
          </w:p>
        </w:tc>
        <w:tc>
          <w:tcPr>
            <w:tcW w:w="1642" w:type="pct"/>
          </w:tcPr>
          <w:p w14:paraId="13D1B903" w14:textId="49BBFE33" w:rsidR="00354413" w:rsidRPr="002D06B1" w:rsidRDefault="00354413" w:rsidP="00A32885">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Oral GLP-1</w:t>
            </w:r>
          </w:p>
        </w:tc>
        <w:tc>
          <w:tcPr>
            <w:tcW w:w="1718" w:type="pct"/>
          </w:tcPr>
          <w:p w14:paraId="6FB35472" w14:textId="502A07E8" w:rsidR="00354413" w:rsidRPr="002D06B1" w:rsidRDefault="00354413" w:rsidP="00A32885">
            <w:pPr>
              <w:widowControl w:val="0"/>
              <w:spacing w:beforeLines="40" w:before="96" w:afterLines="40" w:after="96" w:line="257" w:lineRule="auto"/>
              <w:jc w:val="left"/>
              <w:rPr>
                <w:rFonts w:ascii="Arial Narrow" w:hAnsi="Arial Narrow" w:cs="Arial"/>
                <w:kern w:val="2"/>
                <w:sz w:val="20"/>
                <w:szCs w:val="20"/>
              </w:rPr>
            </w:pPr>
            <w:r w:rsidRPr="002D06B1">
              <w:rPr>
                <w:rFonts w:ascii="Arial Narrow" w:hAnsi="Arial Narrow" w:cs="Arial"/>
                <w:kern w:val="2"/>
                <w:sz w:val="20"/>
                <w:szCs w:val="20"/>
              </w:rPr>
              <w:t>Phase 3</w:t>
            </w:r>
            <w:r>
              <w:rPr>
                <w:rStyle w:val="FootnoteReference"/>
                <w:rFonts w:ascii="Arial Narrow" w:hAnsi="Arial Narrow" w:cs="Arial"/>
                <w:kern w:val="2"/>
                <w:sz w:val="20"/>
                <w:szCs w:val="20"/>
              </w:rPr>
              <w:footnoteReference w:id="96"/>
            </w:r>
          </w:p>
        </w:tc>
      </w:tr>
      <w:tr w:rsidR="00073109" w:rsidRPr="002D06B1" w14:paraId="3E93F0AC" w14:textId="77777777" w:rsidTr="00073109">
        <w:trPr>
          <w:trHeight w:val="579"/>
        </w:trPr>
        <w:tc>
          <w:tcPr>
            <w:tcW w:w="666" w:type="pct"/>
            <w:hideMark/>
          </w:tcPr>
          <w:p w14:paraId="50D1E3B3" w14:textId="77777777" w:rsidR="00F30F08" w:rsidRPr="002D06B1" w:rsidRDefault="00F30F08" w:rsidP="00A32885">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b/>
                <w:bCs/>
                <w:kern w:val="2"/>
                <w:sz w:val="20"/>
                <w:szCs w:val="20"/>
              </w:rPr>
              <w:lastRenderedPageBreak/>
              <w:t>CX11/VCT220</w:t>
            </w:r>
          </w:p>
        </w:tc>
        <w:tc>
          <w:tcPr>
            <w:tcW w:w="974" w:type="pct"/>
            <w:hideMark/>
          </w:tcPr>
          <w:p w14:paraId="1F191C4D" w14:textId="77777777" w:rsidR="00F30F08" w:rsidRPr="002D06B1" w:rsidRDefault="00F30F08" w:rsidP="00A32885">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kern w:val="2"/>
                <w:sz w:val="20"/>
                <w:szCs w:val="20"/>
              </w:rPr>
              <w:t>Corxel Pharmaceuticals</w:t>
            </w:r>
          </w:p>
        </w:tc>
        <w:tc>
          <w:tcPr>
            <w:tcW w:w="1642" w:type="pct"/>
            <w:hideMark/>
          </w:tcPr>
          <w:p w14:paraId="215F7A62" w14:textId="7AA99DFD" w:rsidR="00F30F08" w:rsidRPr="002D06B1" w:rsidRDefault="00F30F08" w:rsidP="00A32885">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kern w:val="2"/>
                <w:sz w:val="20"/>
                <w:szCs w:val="20"/>
              </w:rPr>
              <w:t>Oral GLP-1</w:t>
            </w:r>
          </w:p>
        </w:tc>
        <w:tc>
          <w:tcPr>
            <w:tcW w:w="1718" w:type="pct"/>
            <w:hideMark/>
          </w:tcPr>
          <w:p w14:paraId="66E6D538" w14:textId="3607480C" w:rsidR="00F30F08" w:rsidRPr="002D06B1" w:rsidRDefault="00F30F08" w:rsidP="00A32885">
            <w:pPr>
              <w:widowControl w:val="0"/>
              <w:spacing w:beforeLines="40" w:before="96" w:afterLines="40" w:after="96" w:line="257" w:lineRule="auto"/>
              <w:jc w:val="left"/>
              <w:rPr>
                <w:rFonts w:ascii="Arial Narrow" w:hAnsi="Arial Narrow" w:cs="Arial"/>
                <w:sz w:val="20"/>
                <w:szCs w:val="20"/>
              </w:rPr>
            </w:pPr>
            <w:r w:rsidRPr="002D06B1">
              <w:rPr>
                <w:rFonts w:ascii="Arial Narrow" w:hAnsi="Arial Narrow" w:cs="Arial"/>
                <w:kern w:val="2"/>
                <w:sz w:val="20"/>
                <w:szCs w:val="20"/>
              </w:rPr>
              <w:t>Phase 2</w:t>
            </w:r>
            <w:r w:rsidR="00D33E35">
              <w:rPr>
                <w:rStyle w:val="FootnoteReference"/>
                <w:rFonts w:ascii="Arial Narrow" w:hAnsi="Arial Narrow" w:cs="Arial"/>
                <w:kern w:val="2"/>
                <w:sz w:val="20"/>
                <w:szCs w:val="20"/>
              </w:rPr>
              <w:footnoteReference w:id="97"/>
            </w:r>
          </w:p>
        </w:tc>
      </w:tr>
      <w:tr w:rsidR="00746787" w:rsidRPr="002D06B1" w14:paraId="3E70EF3B" w14:textId="77777777" w:rsidTr="00073109">
        <w:trPr>
          <w:trHeight w:val="579"/>
        </w:trPr>
        <w:tc>
          <w:tcPr>
            <w:tcW w:w="666" w:type="pct"/>
          </w:tcPr>
          <w:p w14:paraId="4CF55D43" w14:textId="1C1AA6A5" w:rsidR="00746787" w:rsidRPr="002D06B1" w:rsidRDefault="00401244" w:rsidP="00AB1020">
            <w:pPr>
              <w:spacing w:beforeLines="40" w:before="96" w:afterLines="40" w:after="96" w:line="256" w:lineRule="auto"/>
              <w:jc w:val="left"/>
              <w:rPr>
                <w:rFonts w:ascii="Arial Narrow" w:hAnsi="Arial Narrow" w:cs="Arial"/>
                <w:b/>
                <w:bCs/>
                <w:kern w:val="2"/>
                <w:sz w:val="20"/>
                <w:szCs w:val="20"/>
              </w:rPr>
            </w:pPr>
            <w:r>
              <w:rPr>
                <w:rFonts w:ascii="Arial Narrow" w:hAnsi="Arial Narrow" w:cs="Arial"/>
                <w:b/>
                <w:bCs/>
                <w:kern w:val="2"/>
                <w:sz w:val="20"/>
                <w:szCs w:val="20"/>
              </w:rPr>
              <w:t>Efocipegtrutide</w:t>
            </w:r>
          </w:p>
        </w:tc>
        <w:tc>
          <w:tcPr>
            <w:tcW w:w="974" w:type="pct"/>
          </w:tcPr>
          <w:p w14:paraId="7C07A216" w14:textId="64969F53" w:rsidR="00746787" w:rsidRPr="002D06B1" w:rsidRDefault="00401244" w:rsidP="00AB1020">
            <w:pPr>
              <w:spacing w:beforeLines="40" w:before="96" w:afterLines="40" w:after="96" w:line="256" w:lineRule="auto"/>
              <w:jc w:val="left"/>
              <w:rPr>
                <w:rFonts w:ascii="Arial Narrow" w:hAnsi="Arial Narrow" w:cs="Arial"/>
                <w:kern w:val="2"/>
                <w:sz w:val="20"/>
                <w:szCs w:val="20"/>
              </w:rPr>
            </w:pPr>
            <w:r>
              <w:rPr>
                <w:rFonts w:ascii="Arial Narrow" w:hAnsi="Arial Narrow" w:cs="Arial"/>
                <w:kern w:val="2"/>
                <w:sz w:val="20"/>
                <w:szCs w:val="20"/>
              </w:rPr>
              <w:t xml:space="preserve">Hanmi </w:t>
            </w:r>
            <w:r w:rsidRPr="002D06B1">
              <w:rPr>
                <w:rFonts w:ascii="Arial Narrow" w:hAnsi="Arial Narrow" w:cs="Arial"/>
                <w:kern w:val="2"/>
                <w:sz w:val="20"/>
                <w:szCs w:val="20"/>
              </w:rPr>
              <w:t>Pharmaceuticals</w:t>
            </w:r>
          </w:p>
        </w:tc>
        <w:tc>
          <w:tcPr>
            <w:tcW w:w="1642" w:type="pct"/>
          </w:tcPr>
          <w:p w14:paraId="4BE22286" w14:textId="1493BC43" w:rsidR="00746787" w:rsidRPr="002D06B1" w:rsidRDefault="008079F2" w:rsidP="00AB1020">
            <w:pPr>
              <w:spacing w:beforeLines="40" w:before="96" w:afterLines="40" w:after="96" w:line="256" w:lineRule="auto"/>
              <w:jc w:val="left"/>
              <w:rPr>
                <w:rFonts w:ascii="Arial Narrow" w:hAnsi="Arial Narrow" w:cs="Arial"/>
                <w:kern w:val="2"/>
                <w:sz w:val="20"/>
                <w:szCs w:val="20"/>
              </w:rPr>
            </w:pPr>
            <w:r>
              <w:rPr>
                <w:rFonts w:ascii="Arial Narrow" w:hAnsi="Arial Narrow" w:cs="Arial"/>
                <w:kern w:val="2"/>
                <w:sz w:val="20"/>
                <w:szCs w:val="20"/>
              </w:rPr>
              <w:t>Triple agonist</w:t>
            </w:r>
            <w:r w:rsidR="00A92290">
              <w:rPr>
                <w:rFonts w:ascii="Arial Narrow" w:hAnsi="Arial Narrow" w:cs="Arial"/>
                <w:kern w:val="2"/>
                <w:sz w:val="20"/>
                <w:szCs w:val="20"/>
              </w:rPr>
              <w:t xml:space="preserve"> of GLP-1, GIP</w:t>
            </w:r>
            <w:r w:rsidR="001F3BDC">
              <w:rPr>
                <w:rFonts w:ascii="Arial Narrow" w:hAnsi="Arial Narrow" w:cs="Arial"/>
                <w:kern w:val="2"/>
                <w:sz w:val="20"/>
                <w:szCs w:val="20"/>
              </w:rPr>
              <w:t>R</w:t>
            </w:r>
            <w:r w:rsidR="00A92290">
              <w:rPr>
                <w:rFonts w:ascii="Arial Narrow" w:hAnsi="Arial Narrow" w:cs="Arial"/>
                <w:kern w:val="2"/>
                <w:sz w:val="20"/>
                <w:szCs w:val="20"/>
              </w:rPr>
              <w:t xml:space="preserve"> and </w:t>
            </w:r>
            <w:r w:rsidR="00933D75">
              <w:rPr>
                <w:rFonts w:ascii="Arial Narrow" w:hAnsi="Arial Narrow" w:cs="Arial"/>
                <w:kern w:val="2"/>
                <w:sz w:val="20"/>
                <w:szCs w:val="20"/>
              </w:rPr>
              <w:t>glucagon</w:t>
            </w:r>
          </w:p>
        </w:tc>
        <w:tc>
          <w:tcPr>
            <w:tcW w:w="1718" w:type="pct"/>
          </w:tcPr>
          <w:p w14:paraId="3D534453" w14:textId="4C390D2B" w:rsidR="00746787" w:rsidRPr="002D06B1" w:rsidRDefault="00A61CEB" w:rsidP="00AB1020">
            <w:pPr>
              <w:spacing w:beforeLines="40" w:before="96" w:afterLines="40" w:after="96" w:line="256" w:lineRule="auto"/>
              <w:jc w:val="left"/>
              <w:rPr>
                <w:rFonts w:ascii="Arial Narrow" w:hAnsi="Arial Narrow" w:cs="Arial"/>
                <w:kern w:val="2"/>
                <w:sz w:val="20"/>
                <w:szCs w:val="20"/>
              </w:rPr>
            </w:pPr>
            <w:r>
              <w:rPr>
                <w:rFonts w:ascii="Arial Narrow" w:hAnsi="Arial Narrow" w:cs="Arial"/>
                <w:kern w:val="2"/>
                <w:sz w:val="20"/>
                <w:szCs w:val="20"/>
              </w:rPr>
              <w:t>Phase 2b</w:t>
            </w:r>
            <w:r w:rsidR="0090193B">
              <w:rPr>
                <w:rStyle w:val="FootnoteReference"/>
                <w:rFonts w:ascii="Arial Narrow" w:hAnsi="Arial Narrow" w:cs="Arial"/>
                <w:kern w:val="2"/>
                <w:sz w:val="20"/>
                <w:szCs w:val="20"/>
              </w:rPr>
              <w:footnoteReference w:id="98"/>
            </w:r>
          </w:p>
        </w:tc>
      </w:tr>
      <w:tr w:rsidR="00073109" w:rsidRPr="002D06B1" w14:paraId="6B1B082B" w14:textId="77777777" w:rsidTr="00073109">
        <w:trPr>
          <w:trHeight w:val="385"/>
        </w:trPr>
        <w:tc>
          <w:tcPr>
            <w:tcW w:w="666" w:type="pct"/>
            <w:hideMark/>
          </w:tcPr>
          <w:p w14:paraId="0A7D2744" w14:textId="77777777" w:rsidR="00F30F08" w:rsidRPr="002D06B1" w:rsidRDefault="00F30F08" w:rsidP="00AB1020">
            <w:pPr>
              <w:spacing w:beforeLines="40" w:before="96" w:afterLines="40" w:after="96" w:line="256" w:lineRule="auto"/>
              <w:jc w:val="left"/>
              <w:rPr>
                <w:rFonts w:ascii="Arial Narrow" w:hAnsi="Arial Narrow" w:cs="Arial"/>
                <w:sz w:val="20"/>
                <w:szCs w:val="20"/>
              </w:rPr>
            </w:pPr>
            <w:r w:rsidRPr="002D06B1">
              <w:rPr>
                <w:rFonts w:ascii="Arial Narrow" w:hAnsi="Arial Narrow" w:cs="Arial"/>
                <w:b/>
                <w:bCs/>
                <w:kern w:val="2"/>
                <w:sz w:val="20"/>
                <w:szCs w:val="20"/>
              </w:rPr>
              <w:t>Amycretin</w:t>
            </w:r>
          </w:p>
        </w:tc>
        <w:tc>
          <w:tcPr>
            <w:tcW w:w="974" w:type="pct"/>
            <w:hideMark/>
          </w:tcPr>
          <w:p w14:paraId="7E581D90" w14:textId="77777777" w:rsidR="00F30F08" w:rsidRPr="002D06B1" w:rsidRDefault="00F30F08" w:rsidP="00AB1020">
            <w:pPr>
              <w:spacing w:beforeLines="40" w:before="96" w:afterLines="40" w:after="96" w:line="256" w:lineRule="auto"/>
              <w:jc w:val="left"/>
              <w:rPr>
                <w:rFonts w:ascii="Arial Narrow" w:hAnsi="Arial Narrow" w:cs="Arial"/>
                <w:sz w:val="20"/>
                <w:szCs w:val="20"/>
              </w:rPr>
            </w:pPr>
            <w:r w:rsidRPr="002D06B1">
              <w:rPr>
                <w:rFonts w:ascii="Arial Narrow" w:hAnsi="Arial Narrow" w:cs="Arial"/>
                <w:kern w:val="2"/>
                <w:sz w:val="20"/>
                <w:szCs w:val="20"/>
              </w:rPr>
              <w:t>Novo Nordisk</w:t>
            </w:r>
          </w:p>
        </w:tc>
        <w:tc>
          <w:tcPr>
            <w:tcW w:w="1642" w:type="pct"/>
            <w:hideMark/>
          </w:tcPr>
          <w:p w14:paraId="15731C0E" w14:textId="78DEB02E" w:rsidR="00F30F08" w:rsidRPr="002D06B1" w:rsidRDefault="00F30F08" w:rsidP="00AB1020">
            <w:pPr>
              <w:spacing w:beforeLines="40" w:before="96" w:afterLines="40" w:after="96" w:line="256" w:lineRule="auto"/>
              <w:jc w:val="left"/>
              <w:rPr>
                <w:rFonts w:ascii="Arial Narrow" w:hAnsi="Arial Narrow" w:cs="Arial"/>
                <w:sz w:val="20"/>
                <w:szCs w:val="20"/>
              </w:rPr>
            </w:pPr>
            <w:r w:rsidRPr="002D06B1">
              <w:rPr>
                <w:rFonts w:ascii="Arial Narrow" w:hAnsi="Arial Narrow" w:cs="Arial"/>
                <w:kern w:val="2"/>
                <w:sz w:val="20"/>
                <w:szCs w:val="20"/>
              </w:rPr>
              <w:t xml:space="preserve">Dual agonist </w:t>
            </w:r>
            <w:r w:rsidR="00657836">
              <w:rPr>
                <w:rFonts w:ascii="Arial Narrow" w:hAnsi="Arial Narrow" w:cs="Arial"/>
                <w:kern w:val="2"/>
                <w:sz w:val="20"/>
                <w:szCs w:val="20"/>
              </w:rPr>
              <w:t xml:space="preserve">of </w:t>
            </w:r>
            <w:r w:rsidRPr="002D06B1">
              <w:rPr>
                <w:rFonts w:ascii="Arial Narrow" w:hAnsi="Arial Narrow" w:cs="Arial"/>
                <w:kern w:val="2"/>
                <w:sz w:val="20"/>
                <w:szCs w:val="20"/>
              </w:rPr>
              <w:t>GLP-1 and amylin</w:t>
            </w:r>
          </w:p>
        </w:tc>
        <w:tc>
          <w:tcPr>
            <w:tcW w:w="1718" w:type="pct"/>
            <w:hideMark/>
          </w:tcPr>
          <w:p w14:paraId="7C08152E" w14:textId="6F59FCB5" w:rsidR="00F30F08" w:rsidRPr="002D06B1" w:rsidRDefault="00F30F08" w:rsidP="00AB1020">
            <w:pPr>
              <w:spacing w:beforeLines="40" w:before="96" w:afterLines="40" w:after="96" w:line="256" w:lineRule="auto"/>
              <w:jc w:val="left"/>
              <w:rPr>
                <w:rFonts w:ascii="Arial Narrow" w:hAnsi="Arial Narrow" w:cs="Arial"/>
                <w:sz w:val="20"/>
                <w:szCs w:val="20"/>
              </w:rPr>
            </w:pPr>
            <w:r w:rsidRPr="002D06B1">
              <w:rPr>
                <w:rFonts w:ascii="Arial Narrow" w:hAnsi="Arial Narrow" w:cs="Arial"/>
                <w:kern w:val="2"/>
                <w:sz w:val="20"/>
                <w:szCs w:val="20"/>
              </w:rPr>
              <w:t>Phase 1b/2a</w:t>
            </w:r>
            <w:r w:rsidR="00AE6C2B">
              <w:rPr>
                <w:rStyle w:val="FootnoteReference"/>
                <w:rFonts w:ascii="Arial Narrow" w:hAnsi="Arial Narrow" w:cs="Arial"/>
                <w:kern w:val="2"/>
                <w:sz w:val="20"/>
                <w:szCs w:val="20"/>
              </w:rPr>
              <w:footnoteReference w:id="99"/>
            </w:r>
          </w:p>
        </w:tc>
      </w:tr>
    </w:tbl>
    <w:p w14:paraId="4538EDD4" w14:textId="0830779A" w:rsidR="009E4BD5" w:rsidRDefault="00F0647D" w:rsidP="009E4BD5">
      <w:pPr>
        <w:pStyle w:val="3Bodytext"/>
        <w:numPr>
          <w:ilvl w:val="0"/>
          <w:numId w:val="0"/>
        </w:numPr>
        <w:ind w:left="720" w:hanging="720"/>
        <w:rPr>
          <w:rFonts w:ascii="Arial Narrow" w:hAnsi="Arial Narrow"/>
          <w:sz w:val="20"/>
          <w:szCs w:val="20"/>
        </w:rPr>
      </w:pPr>
      <w:r w:rsidRPr="00FA2936">
        <w:rPr>
          <w:rFonts w:ascii="Arial Narrow" w:hAnsi="Arial Narrow"/>
          <w:sz w:val="20"/>
          <w:szCs w:val="20"/>
        </w:rPr>
        <w:t xml:space="preserve">Abbreviations: </w:t>
      </w:r>
      <w:r w:rsidR="00D1078C" w:rsidRPr="00FA2936">
        <w:rPr>
          <w:rFonts w:ascii="Arial Narrow" w:hAnsi="Arial Narrow"/>
          <w:sz w:val="20"/>
          <w:szCs w:val="20"/>
        </w:rPr>
        <w:t xml:space="preserve"> </w:t>
      </w:r>
      <w:r w:rsidR="00C82AD3">
        <w:rPr>
          <w:rFonts w:ascii="Arial Narrow" w:hAnsi="Arial Narrow"/>
          <w:sz w:val="20"/>
          <w:szCs w:val="20"/>
        </w:rPr>
        <w:t xml:space="preserve">cAMP - </w:t>
      </w:r>
      <w:r w:rsidR="00C82AD3" w:rsidRPr="002D06B1">
        <w:rPr>
          <w:rFonts w:ascii="Arial Narrow" w:hAnsi="Arial Narrow" w:cs="Arial"/>
          <w:kern w:val="2"/>
          <w:sz w:val="20"/>
          <w:szCs w:val="20"/>
        </w:rPr>
        <w:t>cyclic adenosine monophosphate</w:t>
      </w:r>
      <w:r w:rsidR="00C82AD3">
        <w:rPr>
          <w:rFonts w:ascii="Arial Narrow" w:hAnsi="Arial Narrow" w:cs="Arial"/>
          <w:kern w:val="2"/>
          <w:sz w:val="20"/>
          <w:szCs w:val="20"/>
        </w:rPr>
        <w:t xml:space="preserve">; </w:t>
      </w:r>
      <w:r w:rsidR="00FA2936" w:rsidRPr="00FA2936">
        <w:rPr>
          <w:rFonts w:ascii="Arial Narrow" w:hAnsi="Arial Narrow"/>
          <w:sz w:val="20"/>
          <w:szCs w:val="20"/>
        </w:rPr>
        <w:t xml:space="preserve">GCGR – human glucagon receptor; </w:t>
      </w:r>
      <w:r w:rsidR="0031104A">
        <w:rPr>
          <w:rFonts w:ascii="Arial Narrow" w:hAnsi="Arial Narrow"/>
          <w:sz w:val="20"/>
          <w:szCs w:val="20"/>
        </w:rPr>
        <w:t xml:space="preserve">GIPR - </w:t>
      </w:r>
      <w:r w:rsidR="00BB5414" w:rsidRPr="00BB5414">
        <w:rPr>
          <w:rFonts w:ascii="Arial Narrow" w:hAnsi="Arial Narrow"/>
          <w:sz w:val="20"/>
          <w:szCs w:val="20"/>
        </w:rPr>
        <w:t>glucose</w:t>
      </w:r>
      <w:r w:rsidR="00BB5414" w:rsidRPr="00BB5414">
        <w:rPr>
          <w:rFonts w:ascii="Cambria Math" w:hAnsi="Cambria Math" w:cs="Cambria Math"/>
          <w:sz w:val="20"/>
          <w:szCs w:val="20"/>
        </w:rPr>
        <w:t>‐</w:t>
      </w:r>
      <w:r w:rsidR="00BB5414" w:rsidRPr="00BB5414">
        <w:rPr>
          <w:rFonts w:ascii="Arial Narrow" w:hAnsi="Arial Narrow"/>
          <w:sz w:val="20"/>
          <w:szCs w:val="20"/>
        </w:rPr>
        <w:t>dependent</w:t>
      </w:r>
      <w:r w:rsidR="00E757D7">
        <w:rPr>
          <w:rFonts w:ascii="Arial Narrow" w:hAnsi="Arial Narrow"/>
          <w:sz w:val="20"/>
          <w:szCs w:val="20"/>
        </w:rPr>
        <w:t xml:space="preserve"> </w:t>
      </w:r>
      <w:r w:rsidR="00BB5414" w:rsidRPr="00BB5414">
        <w:rPr>
          <w:rFonts w:ascii="Arial Narrow" w:hAnsi="Arial Narrow"/>
          <w:sz w:val="20"/>
          <w:szCs w:val="20"/>
        </w:rPr>
        <w:t>insulinotropic polypeptide</w:t>
      </w:r>
      <w:r w:rsidR="00BB5414">
        <w:rPr>
          <w:rFonts w:ascii="Arial Narrow" w:hAnsi="Arial Narrow"/>
          <w:sz w:val="20"/>
          <w:szCs w:val="20"/>
        </w:rPr>
        <w:t xml:space="preserve"> receptor </w:t>
      </w:r>
    </w:p>
    <w:p w14:paraId="15798A43" w14:textId="77777777" w:rsidR="00FB213E" w:rsidRDefault="00FB213E" w:rsidP="009E4BD5">
      <w:pPr>
        <w:pStyle w:val="3Bodytext"/>
        <w:numPr>
          <w:ilvl w:val="0"/>
          <w:numId w:val="0"/>
        </w:numPr>
        <w:ind w:left="720" w:hanging="720"/>
        <w:rPr>
          <w:rFonts w:ascii="Arial Narrow" w:hAnsi="Arial Narrow"/>
          <w:sz w:val="20"/>
          <w:szCs w:val="20"/>
        </w:rPr>
      </w:pPr>
    </w:p>
    <w:p w14:paraId="2D06E08E" w14:textId="2F7E3E95" w:rsidR="00AE1767" w:rsidRDefault="00F171C0" w:rsidP="00F11382">
      <w:pPr>
        <w:pStyle w:val="3Bodytext"/>
      </w:pPr>
      <w:r>
        <w:t>Novo Nord</w:t>
      </w:r>
      <w:r w:rsidR="004F3739">
        <w:t>isk holds patent protections in Australia for</w:t>
      </w:r>
      <w:r w:rsidR="0006741C">
        <w:t xml:space="preserve"> </w:t>
      </w:r>
      <w:r w:rsidR="00D1638F">
        <w:t>‘a</w:t>
      </w:r>
      <w:r w:rsidR="00D1638F" w:rsidRPr="00D1638F">
        <w:t>lbumin-binding derivatives of therapeutic peptides</w:t>
      </w:r>
      <w:r w:rsidR="00D1638F">
        <w:t xml:space="preserve">’ including </w:t>
      </w:r>
      <w:r w:rsidR="0006741C">
        <w:t xml:space="preserve">semaglutide </w:t>
      </w:r>
      <w:r w:rsidR="00D042B7">
        <w:t xml:space="preserve">and </w:t>
      </w:r>
      <w:r w:rsidR="00D042B7" w:rsidRPr="00D042B7">
        <w:t xml:space="preserve">related compounds </w:t>
      </w:r>
      <w:r w:rsidR="00D042B7">
        <w:t>through to</w:t>
      </w:r>
      <w:r w:rsidR="00D042B7" w:rsidRPr="00D042B7">
        <w:t xml:space="preserve"> 17</w:t>
      </w:r>
      <w:r w:rsidR="00D1638F">
        <w:t> </w:t>
      </w:r>
      <w:r w:rsidR="00D042B7" w:rsidRPr="00D042B7">
        <w:t>September 2029</w:t>
      </w:r>
      <w:r w:rsidR="00D042B7">
        <w:t xml:space="preserve"> (</w:t>
      </w:r>
      <w:r w:rsidR="00CF6C12" w:rsidRPr="00CF6C12">
        <w:t>AU2004273573</w:t>
      </w:r>
      <w:r w:rsidR="00CF6C12">
        <w:t>)</w:t>
      </w:r>
      <w:r w:rsidR="002D4747">
        <w:t>.</w:t>
      </w:r>
      <w:r w:rsidR="002D4747">
        <w:rPr>
          <w:rStyle w:val="FootnoteReference"/>
        </w:rPr>
        <w:footnoteReference w:id="100"/>
      </w:r>
      <w:r w:rsidR="002D4747">
        <w:t xml:space="preserve"> </w:t>
      </w:r>
      <w:r w:rsidR="00B919B4">
        <w:t xml:space="preserve">Eli Lilly holds patent protections </w:t>
      </w:r>
      <w:r w:rsidR="00E22D57">
        <w:t>for</w:t>
      </w:r>
      <w:r w:rsidR="00B919B4">
        <w:t xml:space="preserve"> </w:t>
      </w:r>
      <w:r w:rsidR="00D1638F">
        <w:t>‘</w:t>
      </w:r>
      <w:r w:rsidR="00E22D57" w:rsidRPr="00E22D57">
        <w:t>GIP and GLP-1 co-agonist compounds</w:t>
      </w:r>
      <w:r w:rsidR="00D1638F">
        <w:t>’</w:t>
      </w:r>
      <w:r w:rsidR="00FB26EF">
        <w:t xml:space="preserve"> </w:t>
      </w:r>
      <w:r w:rsidR="00D1638F">
        <w:t xml:space="preserve">including </w:t>
      </w:r>
      <w:r w:rsidR="00F948E0">
        <w:t xml:space="preserve">tirzepatide </w:t>
      </w:r>
      <w:r w:rsidR="00B919B4">
        <w:t xml:space="preserve">through to </w:t>
      </w:r>
      <w:r w:rsidR="000E5453" w:rsidRPr="000E5453">
        <w:t>23 December 2037</w:t>
      </w:r>
      <w:r w:rsidR="00DD3BA7">
        <w:t xml:space="preserve"> (</w:t>
      </w:r>
      <w:r w:rsidR="002C13BB">
        <w:t>AU</w:t>
      </w:r>
      <w:r w:rsidR="006F61A1" w:rsidRPr="006F61A1">
        <w:t>2016205435</w:t>
      </w:r>
      <w:r w:rsidR="006F61A1">
        <w:t>)</w:t>
      </w:r>
      <w:r w:rsidR="00B919B4">
        <w:t>.</w:t>
      </w:r>
      <w:r w:rsidR="00B919B4">
        <w:rPr>
          <w:rStyle w:val="FootnoteReference"/>
        </w:rPr>
        <w:footnoteReference w:id="101"/>
      </w:r>
      <w:r w:rsidR="00191A7D">
        <w:t xml:space="preserve"> </w:t>
      </w:r>
      <w:r w:rsidR="00A828FC">
        <w:t xml:space="preserve">Novo Nordisk and Eli Lilly hold </w:t>
      </w:r>
      <w:r w:rsidR="007704CB">
        <w:t xml:space="preserve">and have sought </w:t>
      </w:r>
      <w:r w:rsidR="00A828FC">
        <w:t xml:space="preserve">several </w:t>
      </w:r>
      <w:r w:rsidR="002704BD">
        <w:t xml:space="preserve">additional </w:t>
      </w:r>
      <w:r w:rsidR="00A828FC">
        <w:t xml:space="preserve">patents for these </w:t>
      </w:r>
      <w:r w:rsidR="007704CB">
        <w:t xml:space="preserve">respective </w:t>
      </w:r>
      <w:r w:rsidR="00A828FC">
        <w:t>molecules</w:t>
      </w:r>
      <w:r w:rsidR="00AB64E5">
        <w:t xml:space="preserve">, e.g. therapeutic uses and </w:t>
      </w:r>
      <w:r w:rsidR="00A828FC">
        <w:t xml:space="preserve"> </w:t>
      </w:r>
      <w:r w:rsidR="00E6754A">
        <w:t xml:space="preserve">preparation methods, </w:t>
      </w:r>
      <w:r w:rsidR="0098775B">
        <w:t xml:space="preserve">which extend </w:t>
      </w:r>
      <w:r w:rsidR="00F90055">
        <w:t xml:space="preserve">beyond these </w:t>
      </w:r>
      <w:r w:rsidR="007704CB">
        <w:t xml:space="preserve">initial </w:t>
      </w:r>
      <w:r w:rsidR="00F90055">
        <w:t xml:space="preserve">periods. </w:t>
      </w:r>
      <w:r w:rsidR="00A919B2">
        <w:t>Biosimilars</w:t>
      </w:r>
      <w:r w:rsidR="00FE2E94">
        <w:t xml:space="preserve"> (generics)</w:t>
      </w:r>
      <w:r w:rsidR="00A919B2">
        <w:t xml:space="preserve"> </w:t>
      </w:r>
      <w:r w:rsidR="0030681F">
        <w:t xml:space="preserve">of semaglutide and tirzepatide </w:t>
      </w:r>
      <w:r w:rsidR="00A919B2">
        <w:t>may not be available in Australia for several years after expiry of the original compound patent</w:t>
      </w:r>
      <w:r w:rsidR="00FE2E94">
        <w:t>s</w:t>
      </w:r>
      <w:r w:rsidR="00A919B2">
        <w:t>.</w:t>
      </w:r>
    </w:p>
    <w:p w14:paraId="5CFDBCF9" w14:textId="48273506" w:rsidR="004E488C" w:rsidRDefault="00A646C4" w:rsidP="00F11382">
      <w:pPr>
        <w:pStyle w:val="3Bodytext"/>
      </w:pPr>
      <w:r>
        <w:t>Several l</w:t>
      </w:r>
      <w:r w:rsidR="004E488C">
        <w:t>iraglutide biosimilars are registered on the ARTG but not yet available for purchase in Australia.</w:t>
      </w:r>
    </w:p>
    <w:p w14:paraId="0DDF1D39" w14:textId="439ACB6C" w:rsidR="00FC0496" w:rsidRDefault="001839F4" w:rsidP="006C086F">
      <w:pPr>
        <w:pStyle w:val="3Bodytext"/>
      </w:pPr>
      <w:r>
        <w:t xml:space="preserve">In Australia, </w:t>
      </w:r>
      <w:r w:rsidR="00740E17">
        <w:t xml:space="preserve">private market </w:t>
      </w:r>
      <w:r>
        <w:t>prices for semaglutide (Wegovy) have already reduced from launch prices</w:t>
      </w:r>
      <w:r w:rsidR="00740E17">
        <w:t xml:space="preserve">. In </w:t>
      </w:r>
      <w:r w:rsidR="00891F8C">
        <w:t xml:space="preserve">August 2024, </w:t>
      </w:r>
      <w:r w:rsidR="00740E17">
        <w:t xml:space="preserve">the launch price for the Wegovy 2.4 mg dose pen was </w:t>
      </w:r>
      <w:r w:rsidR="00244BA9">
        <w:t>around $460</w:t>
      </w:r>
      <w:r w:rsidR="00740E17">
        <w:t>;</w:t>
      </w:r>
      <w:r w:rsidR="00786FDC">
        <w:rPr>
          <w:rStyle w:val="FootnoteReference"/>
        </w:rPr>
        <w:footnoteReference w:id="102"/>
      </w:r>
      <w:r w:rsidR="00740E17">
        <w:t xml:space="preserve"> current prices are around </w:t>
      </w:r>
      <w:r w:rsidR="000B3FE4">
        <w:t>$370 from discount pharmacies.</w:t>
      </w:r>
      <w:r w:rsidR="000B3FE4">
        <w:rPr>
          <w:rStyle w:val="FootnoteReference"/>
        </w:rPr>
        <w:footnoteReference w:id="103"/>
      </w:r>
      <w:r w:rsidR="00FC6284">
        <w:t xml:space="preserve"> Increased market competition and the entry of semaglutide biosimilars in Canada, expected in 2026 (see </w:t>
      </w:r>
      <w:hyperlink w:anchor="Section4Canada" w:history="1">
        <w:r w:rsidR="00FC6284" w:rsidRPr="00D56210">
          <w:rPr>
            <w:rStyle w:val="Hyperlink"/>
          </w:rPr>
          <w:t>Section 4. Canada</w:t>
        </w:r>
      </w:hyperlink>
      <w:r w:rsidR="00FC6284">
        <w:t xml:space="preserve">), are anticipated to reduce market prices for obesity treatments further. </w:t>
      </w:r>
    </w:p>
    <w:p w14:paraId="7B9D9D66" w14:textId="14E4325A" w:rsidR="006249B3" w:rsidRDefault="007E24A4" w:rsidP="006C086F">
      <w:pPr>
        <w:pStyle w:val="3Bodytext"/>
      </w:pPr>
      <w:r>
        <w:t>In addition to their use for the treatment of overweight</w:t>
      </w:r>
      <w:r w:rsidR="002241A4">
        <w:t>/</w:t>
      </w:r>
      <w:r>
        <w:t xml:space="preserve">obesity, </w:t>
      </w:r>
      <w:r w:rsidR="002241A4">
        <w:t>and other TGA</w:t>
      </w:r>
      <w:r w:rsidR="723AD576">
        <w:t xml:space="preserve"> </w:t>
      </w:r>
      <w:r w:rsidR="00AE1767">
        <w:noBreakHyphen/>
      </w:r>
      <w:r w:rsidR="002241A4">
        <w:t xml:space="preserve">registered indications of </w:t>
      </w:r>
      <w:r w:rsidR="006F3475">
        <w:t>T2DM</w:t>
      </w:r>
      <w:r w:rsidR="002241A4">
        <w:t xml:space="preserve">, </w:t>
      </w:r>
      <w:r w:rsidR="00BA6542">
        <w:t xml:space="preserve">OSA </w:t>
      </w:r>
      <w:r w:rsidR="002241A4">
        <w:t xml:space="preserve">and reduction in CV risk, </w:t>
      </w:r>
      <w:r w:rsidR="00B815F5">
        <w:t xml:space="preserve">GLP-1s are being investigated for use in a variety of other indications. </w:t>
      </w:r>
      <w:r w:rsidR="00206DCE">
        <w:t xml:space="preserve">The US </w:t>
      </w:r>
      <w:r w:rsidR="002F10CA">
        <w:t xml:space="preserve">FDA </w:t>
      </w:r>
      <w:r w:rsidR="00E44FE0">
        <w:t xml:space="preserve">approved semaglutide (Wegovy) for the treatment of metabolic-dysfunction-associated </w:t>
      </w:r>
      <w:r w:rsidR="00E44FE0">
        <w:lastRenderedPageBreak/>
        <w:t xml:space="preserve">steatohepatitis (MASH) </w:t>
      </w:r>
      <w:r w:rsidR="00504EA1">
        <w:t>in adults with moderate-to-advanced fibrosis</w:t>
      </w:r>
      <w:r w:rsidR="00982715">
        <w:t xml:space="preserve"> in August 2025.</w:t>
      </w:r>
      <w:r w:rsidR="00982715">
        <w:rPr>
          <w:rStyle w:val="FootnoteReference"/>
        </w:rPr>
        <w:footnoteReference w:id="104"/>
      </w:r>
      <w:r w:rsidR="00982715">
        <w:t xml:space="preserve"> </w:t>
      </w:r>
      <w:r w:rsidR="00FA287C">
        <w:t>GLP-1s are being investigated for use in</w:t>
      </w:r>
      <w:r w:rsidR="003F0024">
        <w:t xml:space="preserve"> CKD</w:t>
      </w:r>
      <w:r w:rsidR="00463FD1">
        <w:t xml:space="preserve">, </w:t>
      </w:r>
      <w:r w:rsidR="009F394D">
        <w:t>hypertension</w:t>
      </w:r>
      <w:r w:rsidR="00463FD1">
        <w:t xml:space="preserve">, </w:t>
      </w:r>
      <w:r w:rsidR="00705839">
        <w:t xml:space="preserve">neurodegenerative disorders such as </w:t>
      </w:r>
      <w:r w:rsidR="00463FD1">
        <w:t>Alzheimer</w:t>
      </w:r>
      <w:r w:rsidR="001E5930">
        <w:t>’</w:t>
      </w:r>
      <w:r w:rsidR="00463FD1">
        <w:t xml:space="preserve">s </w:t>
      </w:r>
      <w:r w:rsidR="00705839">
        <w:t xml:space="preserve">and </w:t>
      </w:r>
      <w:r w:rsidR="00E322C6">
        <w:t xml:space="preserve">Parkinson’s disease, </w:t>
      </w:r>
      <w:r w:rsidR="00F2453E">
        <w:t xml:space="preserve">allergic airways disease, psoriatic arthritis, </w:t>
      </w:r>
      <w:r w:rsidR="0052410D">
        <w:t xml:space="preserve">and </w:t>
      </w:r>
      <w:r w:rsidR="004C5651">
        <w:t>substance use disorder</w:t>
      </w:r>
      <w:r w:rsidR="00F2453E">
        <w:t>s</w:t>
      </w:r>
      <w:r w:rsidR="00CD1C6F">
        <w:t xml:space="preserve">, </w:t>
      </w:r>
      <w:r w:rsidR="001E5930">
        <w:t>among other conditions.</w:t>
      </w:r>
      <w:r w:rsidR="00437CAC">
        <w:rPr>
          <w:rStyle w:val="FootnoteReference"/>
        </w:rPr>
        <w:footnoteReference w:id="105"/>
      </w:r>
      <w:r w:rsidR="00B815F5">
        <w:t xml:space="preserve"> </w:t>
      </w:r>
      <w:r w:rsidR="005603E3">
        <w:t xml:space="preserve">Liraglutide </w:t>
      </w:r>
      <w:r w:rsidR="0061173F">
        <w:t xml:space="preserve">has been investigated as a </w:t>
      </w:r>
      <w:r w:rsidR="00BC473A">
        <w:t>treatment for unresponsive high-frequency or chronic migraine in patients with obesity.</w:t>
      </w:r>
      <w:r w:rsidR="00BC473A">
        <w:rPr>
          <w:rStyle w:val="FootnoteReference"/>
        </w:rPr>
        <w:footnoteReference w:id="106"/>
      </w:r>
    </w:p>
    <w:p w14:paraId="77F48EF2" w14:textId="0BFD862B" w:rsidR="007150D3" w:rsidRPr="00631112" w:rsidRDefault="007150D3" w:rsidP="007150D3">
      <w:pPr>
        <w:pStyle w:val="3Bodytext"/>
        <w:numPr>
          <w:ilvl w:val="0"/>
          <w:numId w:val="0"/>
        </w:numPr>
        <w:rPr>
          <w:i/>
          <w:iCs/>
        </w:rPr>
      </w:pPr>
      <w:bookmarkStart w:id="7" w:name="Section6"/>
      <w:bookmarkEnd w:id="6"/>
      <w:r w:rsidRPr="00631112">
        <w:rPr>
          <w:i/>
          <w:iCs/>
        </w:rPr>
        <w:t xml:space="preserve">For more </w:t>
      </w:r>
      <w:r>
        <w:rPr>
          <w:i/>
          <w:iCs/>
        </w:rPr>
        <w:t xml:space="preserve">detail </w:t>
      </w:r>
      <w:r w:rsidRPr="00631112">
        <w:rPr>
          <w:i/>
          <w:iCs/>
        </w:rPr>
        <w:t xml:space="preserve">on PBAC’s view, see </w:t>
      </w:r>
      <w:hyperlink w:anchor="Section10" w:history="1">
        <w:r w:rsidR="00913531">
          <w:rPr>
            <w:rStyle w:val="Hyperlink"/>
            <w:i/>
            <w:iCs/>
          </w:rPr>
          <w:t>S</w:t>
        </w:r>
        <w:r w:rsidRPr="00631112">
          <w:rPr>
            <w:rStyle w:val="Hyperlink"/>
            <w:i/>
            <w:iCs/>
          </w:rPr>
          <w:t>ection 10</w:t>
        </w:r>
        <w:r w:rsidR="00913531">
          <w:rPr>
            <w:rStyle w:val="Hyperlink"/>
            <w:i/>
            <w:iCs/>
          </w:rPr>
          <w:t>.</w:t>
        </w:r>
        <w:r w:rsidRPr="00631112">
          <w:rPr>
            <w:rStyle w:val="Hyperlink"/>
            <w:i/>
            <w:iCs/>
          </w:rPr>
          <w:t xml:space="preserve"> PBAC </w:t>
        </w:r>
        <w:r>
          <w:rPr>
            <w:rStyle w:val="Hyperlink"/>
            <w:i/>
            <w:iCs/>
          </w:rPr>
          <w:t>o</w:t>
        </w:r>
        <w:r w:rsidRPr="00631112">
          <w:rPr>
            <w:rStyle w:val="Hyperlink"/>
            <w:i/>
            <w:iCs/>
          </w:rPr>
          <w:t>utcome</w:t>
        </w:r>
      </w:hyperlink>
      <w:r w:rsidRPr="00631112">
        <w:rPr>
          <w:i/>
          <w:iCs/>
        </w:rPr>
        <w:t>.</w:t>
      </w:r>
    </w:p>
    <w:p w14:paraId="044CE853" w14:textId="33464ADB" w:rsidR="001375E1" w:rsidRDefault="001375E1" w:rsidP="001375E1">
      <w:pPr>
        <w:pStyle w:val="2-SectionHeading"/>
      </w:pPr>
      <w:r>
        <w:t xml:space="preserve">Australian </w:t>
      </w:r>
      <w:r w:rsidR="005B118A">
        <w:t xml:space="preserve">GLP-1 </w:t>
      </w:r>
      <w:r>
        <w:t>obesity treatment private market estimation</w:t>
      </w:r>
    </w:p>
    <w:p w14:paraId="65099FB9" w14:textId="1F338B27" w:rsidR="00F81AB7" w:rsidRDefault="00463B41" w:rsidP="00CA64B8">
      <w:pPr>
        <w:pStyle w:val="3-BodyText"/>
        <w:numPr>
          <w:ilvl w:val="1"/>
          <w:numId w:val="1"/>
        </w:numPr>
        <w:spacing w:before="120"/>
        <w:rPr>
          <w:snapToGrid w:val="0"/>
        </w:rPr>
      </w:pPr>
      <w:bookmarkStart w:id="8" w:name="_Hlk192604493"/>
      <w:r w:rsidRPr="00512EB4">
        <w:rPr>
          <w:snapToGrid w:val="0"/>
        </w:rPr>
        <w:t>To estimate the extent of private use of</w:t>
      </w:r>
      <w:bookmarkEnd w:id="8"/>
      <w:r w:rsidR="005B118A" w:rsidRPr="00512EB4">
        <w:rPr>
          <w:snapToGrid w:val="0"/>
        </w:rPr>
        <w:t xml:space="preserve"> GLP-1</w:t>
      </w:r>
      <w:r w:rsidR="001866A2" w:rsidRPr="00512EB4">
        <w:rPr>
          <w:snapToGrid w:val="0"/>
        </w:rPr>
        <w:t>s</w:t>
      </w:r>
      <w:r w:rsidRPr="00512EB4">
        <w:rPr>
          <w:snapToGrid w:val="0"/>
        </w:rPr>
        <w:t xml:space="preserve">, </w:t>
      </w:r>
      <w:r w:rsidR="00AB1F4A">
        <w:rPr>
          <w:snapToGrid w:val="0"/>
        </w:rPr>
        <w:t>t</w:t>
      </w:r>
      <w:r w:rsidR="00AB1F4A" w:rsidRPr="00AB1F4A">
        <w:rPr>
          <w:snapToGrid w:val="0"/>
        </w:rPr>
        <w:t xml:space="preserve">he number of units of </w:t>
      </w:r>
      <w:r w:rsidR="00AB1F4A">
        <w:rPr>
          <w:snapToGrid w:val="0"/>
        </w:rPr>
        <w:t xml:space="preserve">liraglutide, semaglutide and tirzepatide </w:t>
      </w:r>
      <w:r w:rsidR="00AB1F4A" w:rsidRPr="00AB1F4A">
        <w:rPr>
          <w:snapToGrid w:val="0"/>
        </w:rPr>
        <w:t xml:space="preserve">supplied by wholesalers to retail pharmacies </w:t>
      </w:r>
      <w:r w:rsidR="00923B76">
        <w:rPr>
          <w:snapToGrid w:val="0"/>
        </w:rPr>
        <w:t xml:space="preserve">between January 2019 and July 2025, </w:t>
      </w:r>
      <w:r w:rsidR="00AB1F4A" w:rsidRPr="00AB1F4A">
        <w:rPr>
          <w:snapToGrid w:val="0"/>
        </w:rPr>
        <w:t xml:space="preserve">was obtained from the Australian Pharmacy Index (API) dataset sourced by IQVIA. </w:t>
      </w:r>
    </w:p>
    <w:p w14:paraId="6A757AB6" w14:textId="0B046E40" w:rsidR="00900CD5" w:rsidRDefault="00D44169" w:rsidP="00CA64B8">
      <w:pPr>
        <w:pStyle w:val="3-BodyText"/>
        <w:numPr>
          <w:ilvl w:val="1"/>
          <w:numId w:val="1"/>
        </w:numPr>
        <w:spacing w:before="120"/>
        <w:rPr>
          <w:snapToGrid w:val="0"/>
        </w:rPr>
      </w:pPr>
      <w:r>
        <w:rPr>
          <w:snapToGrid w:val="0"/>
        </w:rPr>
        <w:t xml:space="preserve">Monthly </w:t>
      </w:r>
      <w:r w:rsidR="00FB50F6">
        <w:rPr>
          <w:snapToGrid w:val="0"/>
        </w:rPr>
        <w:t>PBS</w:t>
      </w:r>
      <w:r w:rsidR="000B7595">
        <w:rPr>
          <w:snapToGrid w:val="0"/>
        </w:rPr>
        <w:t xml:space="preserve"> prescriptions supplied of semaglutide (Ozempic) </w:t>
      </w:r>
      <w:r w:rsidR="00D753D1">
        <w:rPr>
          <w:snapToGrid w:val="0"/>
        </w:rPr>
        <w:t xml:space="preserve">between January </w:t>
      </w:r>
      <w:proofErr w:type="gramStart"/>
      <w:r w:rsidR="00D753D1">
        <w:rPr>
          <w:snapToGrid w:val="0"/>
        </w:rPr>
        <w:t>2019</w:t>
      </w:r>
      <w:proofErr w:type="gramEnd"/>
      <w:r w:rsidR="00D753D1">
        <w:rPr>
          <w:snapToGrid w:val="0"/>
        </w:rPr>
        <w:t xml:space="preserve"> and July 2025 was obtained from Services Australia data</w:t>
      </w:r>
      <w:r w:rsidR="005476F4">
        <w:rPr>
          <w:snapToGrid w:val="0"/>
        </w:rPr>
        <w:t>.</w:t>
      </w:r>
      <w:r>
        <w:rPr>
          <w:rStyle w:val="FootnoteReference"/>
          <w:snapToGrid w:val="0"/>
        </w:rPr>
        <w:footnoteReference w:id="107"/>
      </w:r>
      <w:r w:rsidR="00C538A0">
        <w:rPr>
          <w:snapToGrid w:val="0"/>
        </w:rPr>
        <w:t xml:space="preserve"> </w:t>
      </w:r>
      <w:r w:rsidR="0072603B">
        <w:rPr>
          <w:snapToGrid w:val="0"/>
        </w:rPr>
        <w:t xml:space="preserve">PBS-subsidised prescriptions supplied for semaglutide were subtracted from the </w:t>
      </w:r>
      <w:r w:rsidR="00A21686">
        <w:rPr>
          <w:snapToGrid w:val="0"/>
        </w:rPr>
        <w:t>wholesaler pharmacy sell-in data to determine the likely private market for semaglutide.</w:t>
      </w:r>
      <w:r w:rsidR="00C538A0">
        <w:rPr>
          <w:snapToGrid w:val="0"/>
        </w:rPr>
        <w:t xml:space="preserve"> </w:t>
      </w:r>
      <w:r w:rsidR="00E96CEF">
        <w:rPr>
          <w:snapToGrid w:val="0"/>
        </w:rPr>
        <w:t>As</w:t>
      </w:r>
      <w:r w:rsidR="007710F2">
        <w:rPr>
          <w:snapToGrid w:val="0"/>
        </w:rPr>
        <w:t xml:space="preserve"> pharmacies may hold stock of medicines, and</w:t>
      </w:r>
      <w:r w:rsidR="00E96CEF">
        <w:rPr>
          <w:snapToGrid w:val="0"/>
        </w:rPr>
        <w:t xml:space="preserve"> supply dates to pharmacies and PBS dispensing dates may be different, </w:t>
      </w:r>
      <w:r w:rsidR="007710F2">
        <w:rPr>
          <w:snapToGrid w:val="0"/>
        </w:rPr>
        <w:t>these monthly analyses should be considered indicative estimates of the private market only.</w:t>
      </w:r>
    </w:p>
    <w:p w14:paraId="7E0E4E87" w14:textId="42F0ED98" w:rsidR="00FD058D" w:rsidRPr="00573B50" w:rsidRDefault="00DB6C83" w:rsidP="00573B50">
      <w:pPr>
        <w:pStyle w:val="3-BodyText"/>
        <w:numPr>
          <w:ilvl w:val="1"/>
          <w:numId w:val="1"/>
        </w:numPr>
        <w:spacing w:before="120"/>
        <w:rPr>
          <w:snapToGrid w:val="0"/>
        </w:rPr>
      </w:pPr>
      <w:r w:rsidRPr="00936B16">
        <w:rPr>
          <w:snapToGrid w:val="0"/>
          <w:u w:val="single"/>
        </w:rPr>
        <w:t>Figure 1</w:t>
      </w:r>
      <w:r w:rsidR="000A4543">
        <w:rPr>
          <w:snapToGrid w:val="0"/>
        </w:rPr>
        <w:t xml:space="preserve"> shows </w:t>
      </w:r>
      <w:r w:rsidR="0048036C">
        <w:rPr>
          <w:snapToGrid w:val="0"/>
        </w:rPr>
        <w:t xml:space="preserve">annual wholesaler pharmacy </w:t>
      </w:r>
      <w:r w:rsidR="00900CD5">
        <w:rPr>
          <w:snapToGrid w:val="0"/>
        </w:rPr>
        <w:t xml:space="preserve">units for liraglutide, semaglutide and </w:t>
      </w:r>
      <w:r w:rsidR="004D073C">
        <w:rPr>
          <w:snapToGrid w:val="0"/>
        </w:rPr>
        <w:t xml:space="preserve">tirzepatide between 2019 and 2024, while </w:t>
      </w:r>
      <w:r w:rsidR="004D073C" w:rsidRPr="00936B16">
        <w:rPr>
          <w:snapToGrid w:val="0"/>
          <w:u w:val="single"/>
        </w:rPr>
        <w:t>Figure 2</w:t>
      </w:r>
      <w:r w:rsidR="004D073C">
        <w:rPr>
          <w:snapToGrid w:val="0"/>
        </w:rPr>
        <w:t xml:space="preserve"> shows the same data </w:t>
      </w:r>
      <w:r w:rsidR="00936B16">
        <w:rPr>
          <w:snapToGrid w:val="0"/>
        </w:rPr>
        <w:t>excluding the PBS semaglutide units</w:t>
      </w:r>
      <w:r w:rsidR="00F33E16">
        <w:rPr>
          <w:snapToGrid w:val="0"/>
        </w:rPr>
        <w:t xml:space="preserve"> supplied over this period</w:t>
      </w:r>
      <w:r w:rsidR="00936B16">
        <w:rPr>
          <w:snapToGrid w:val="0"/>
        </w:rPr>
        <w:t>.</w:t>
      </w:r>
      <w:r w:rsidR="006C2FCD">
        <w:rPr>
          <w:snapToGrid w:val="0"/>
        </w:rPr>
        <w:t xml:space="preserve"> In 2024, </w:t>
      </w:r>
      <w:r w:rsidR="005B6E65">
        <w:rPr>
          <w:snapToGrid w:val="0"/>
        </w:rPr>
        <w:t xml:space="preserve">excluding PBS supplied Ozempic, </w:t>
      </w:r>
      <w:r w:rsidR="0048602E">
        <w:rPr>
          <w:snapToGrid w:val="0"/>
        </w:rPr>
        <w:t xml:space="preserve">there were </w:t>
      </w:r>
      <w:r w:rsidR="006C2FCD">
        <w:rPr>
          <w:snapToGrid w:val="0"/>
        </w:rPr>
        <w:t xml:space="preserve">around 4.1 million units of </w:t>
      </w:r>
      <w:r w:rsidR="00C63E89">
        <w:rPr>
          <w:snapToGrid w:val="0"/>
        </w:rPr>
        <w:t>Ozempic (</w:t>
      </w:r>
      <w:r w:rsidR="006A6C0C">
        <w:rPr>
          <w:snapToGrid w:val="0"/>
        </w:rPr>
        <w:t>1.2 million), Wegovy (800,000)</w:t>
      </w:r>
      <w:r w:rsidR="006C2FCD">
        <w:rPr>
          <w:snapToGrid w:val="0"/>
        </w:rPr>
        <w:t>, ti</w:t>
      </w:r>
      <w:r w:rsidR="00C63E89">
        <w:rPr>
          <w:snapToGrid w:val="0"/>
        </w:rPr>
        <w:t xml:space="preserve">rzepatide </w:t>
      </w:r>
      <w:r w:rsidR="006A6C0C">
        <w:rPr>
          <w:snapToGrid w:val="0"/>
        </w:rPr>
        <w:t>(</w:t>
      </w:r>
      <w:r w:rsidR="00122D27">
        <w:rPr>
          <w:snapToGrid w:val="0"/>
        </w:rPr>
        <w:t>1.6 million) and liraglutide (500,000) supplied to pharmacies</w:t>
      </w:r>
      <w:r w:rsidR="0048602E">
        <w:rPr>
          <w:snapToGrid w:val="0"/>
        </w:rPr>
        <w:t xml:space="preserve">. </w:t>
      </w:r>
      <w:r w:rsidR="00E10062">
        <w:rPr>
          <w:snapToGrid w:val="0"/>
        </w:rPr>
        <w:t xml:space="preserve">This </w:t>
      </w:r>
      <w:r w:rsidR="00D364EC">
        <w:rPr>
          <w:snapToGrid w:val="0"/>
        </w:rPr>
        <w:t xml:space="preserve">would be sufficient supply for continuous 12 months use for around 340,000 people (4.1 million units/12 months). </w:t>
      </w:r>
      <w:r w:rsidR="00C626F3">
        <w:rPr>
          <w:snapToGrid w:val="0"/>
        </w:rPr>
        <w:t xml:space="preserve">The actual number of patients supplied one of these medicines privately is likely to be substantially larger due to </w:t>
      </w:r>
      <w:r w:rsidR="00D94F96">
        <w:rPr>
          <w:snapToGrid w:val="0"/>
        </w:rPr>
        <w:t xml:space="preserve">patients commencing treatment during the period, </w:t>
      </w:r>
      <w:r w:rsidR="00013EE0">
        <w:rPr>
          <w:snapToGrid w:val="0"/>
        </w:rPr>
        <w:t xml:space="preserve">extending the time between </w:t>
      </w:r>
      <w:r w:rsidR="00D94F96">
        <w:rPr>
          <w:snapToGrid w:val="0"/>
        </w:rPr>
        <w:t>dosages</w:t>
      </w:r>
      <w:r w:rsidR="00013EE0">
        <w:rPr>
          <w:snapToGrid w:val="0"/>
        </w:rPr>
        <w:t xml:space="preserve">, </w:t>
      </w:r>
      <w:r w:rsidR="00CE5C05">
        <w:rPr>
          <w:snapToGrid w:val="0"/>
        </w:rPr>
        <w:t xml:space="preserve">microdosing, </w:t>
      </w:r>
      <w:r w:rsidR="00D94F96">
        <w:rPr>
          <w:snapToGrid w:val="0"/>
        </w:rPr>
        <w:t>or ceasing therapy</w:t>
      </w:r>
      <w:r w:rsidR="00C14DF4">
        <w:rPr>
          <w:snapToGrid w:val="0"/>
        </w:rPr>
        <w:t xml:space="preserve"> after a short </w:t>
      </w:r>
      <w:proofErr w:type="gramStart"/>
      <w:r w:rsidR="00C14DF4">
        <w:rPr>
          <w:snapToGrid w:val="0"/>
        </w:rPr>
        <w:t>time</w:t>
      </w:r>
      <w:r w:rsidR="00096EB2">
        <w:rPr>
          <w:snapToGrid w:val="0"/>
        </w:rPr>
        <w:t xml:space="preserve"> period</w:t>
      </w:r>
      <w:proofErr w:type="gramEnd"/>
      <w:r w:rsidR="00096EB2">
        <w:rPr>
          <w:snapToGrid w:val="0"/>
        </w:rPr>
        <w:t>, e.g. due to adverse events or cost</w:t>
      </w:r>
      <w:r w:rsidR="00D94F96">
        <w:rPr>
          <w:snapToGrid w:val="0"/>
        </w:rPr>
        <w:t>.</w:t>
      </w:r>
    </w:p>
    <w:p w14:paraId="23FF2969" w14:textId="031127CC" w:rsidR="00FB2C3E" w:rsidRDefault="00BA4665" w:rsidP="00A32885">
      <w:pPr>
        <w:pStyle w:val="3-BodyText"/>
        <w:keepNext/>
        <w:keepLines/>
        <w:numPr>
          <w:ilvl w:val="0"/>
          <w:numId w:val="0"/>
        </w:numPr>
        <w:spacing w:before="120"/>
        <w:ind w:left="720"/>
        <w:rPr>
          <w:snapToGrid w:val="0"/>
        </w:rPr>
      </w:pPr>
      <w:r>
        <w:rPr>
          <w:noProof/>
          <w:snapToGrid w:val="0"/>
        </w:rPr>
        <w:lastRenderedPageBreak/>
        <w:drawing>
          <wp:inline distT="0" distB="0" distL="0" distR="0" wp14:anchorId="1E94A90B" wp14:editId="3E461BF4">
            <wp:extent cx="5334000" cy="2952750"/>
            <wp:effectExtent l="0" t="0" r="0" b="0"/>
            <wp:docPr id="1566950188" name="Picture 1" descr="Graph of annual wholesaler pharmacy 'sell-in' packs for semaglutide, liraglutide and tirzepatide (2019-2024) showing high supply of semaglutide (Ozempic) to pharma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950188" name="Picture 1" descr="Graph of annual wholesaler pharmacy 'sell-in' packs for semaglutide, liraglutide and tirzepatide (2019-2024) showing high supply of semaglutide (Ozempic) to pharmacie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34000" cy="2952750"/>
                    </a:xfrm>
                    <a:prstGeom prst="rect">
                      <a:avLst/>
                    </a:prstGeom>
                    <a:noFill/>
                  </pic:spPr>
                </pic:pic>
              </a:graphicData>
            </a:graphic>
          </wp:inline>
        </w:drawing>
      </w:r>
    </w:p>
    <w:p w14:paraId="348EC2B4" w14:textId="41EF95DB" w:rsidR="00F33E16" w:rsidRDefault="00F33E16" w:rsidP="00A32885">
      <w:pPr>
        <w:pStyle w:val="3-BodyText"/>
        <w:keepNext/>
        <w:keepLines/>
        <w:numPr>
          <w:ilvl w:val="0"/>
          <w:numId w:val="0"/>
        </w:numPr>
        <w:spacing w:before="120"/>
        <w:ind w:left="720"/>
        <w:rPr>
          <w:rFonts w:ascii="Arial Narrow" w:hAnsi="Arial Narrow"/>
          <w:b/>
          <w:bCs/>
          <w:snapToGrid w:val="0"/>
          <w:sz w:val="20"/>
          <w:szCs w:val="20"/>
        </w:rPr>
      </w:pPr>
      <w:r w:rsidRPr="00793C27">
        <w:rPr>
          <w:rFonts w:ascii="Arial Narrow" w:hAnsi="Arial Narrow"/>
          <w:b/>
          <w:bCs/>
          <w:snapToGrid w:val="0"/>
          <w:sz w:val="20"/>
          <w:szCs w:val="20"/>
        </w:rPr>
        <w:t xml:space="preserve">Figure 1: </w:t>
      </w:r>
      <w:r w:rsidR="00793C27" w:rsidRPr="00793C27">
        <w:rPr>
          <w:rFonts w:ascii="Arial Narrow" w:hAnsi="Arial Narrow"/>
          <w:b/>
          <w:bCs/>
          <w:snapToGrid w:val="0"/>
          <w:sz w:val="20"/>
          <w:szCs w:val="20"/>
        </w:rPr>
        <w:t>Annual wholesaler pharmacy 'sell-in' packs for semaglutide, liraglutide and tirzepatide (2019-2024)</w:t>
      </w:r>
    </w:p>
    <w:p w14:paraId="3BDDBF61" w14:textId="77777777" w:rsidR="00E20FC3" w:rsidRDefault="00E20FC3" w:rsidP="00FB2C3E">
      <w:pPr>
        <w:pStyle w:val="3-BodyText"/>
        <w:numPr>
          <w:ilvl w:val="0"/>
          <w:numId w:val="0"/>
        </w:numPr>
        <w:spacing w:before="120"/>
        <w:ind w:left="720"/>
        <w:rPr>
          <w:rFonts w:ascii="Arial Narrow" w:hAnsi="Arial Narrow"/>
          <w:b/>
          <w:bCs/>
          <w:snapToGrid w:val="0"/>
          <w:sz w:val="20"/>
          <w:szCs w:val="20"/>
        </w:rPr>
      </w:pPr>
    </w:p>
    <w:p w14:paraId="61BCA72A" w14:textId="31D62C3B" w:rsidR="003B40AC" w:rsidRDefault="00E20FC3" w:rsidP="00A32885">
      <w:pPr>
        <w:pStyle w:val="3-BodyText"/>
        <w:keepNext/>
        <w:keepLines/>
        <w:numPr>
          <w:ilvl w:val="0"/>
          <w:numId w:val="0"/>
        </w:numPr>
        <w:spacing w:before="120"/>
        <w:ind w:left="720"/>
        <w:rPr>
          <w:rFonts w:ascii="Arial Narrow" w:hAnsi="Arial Narrow"/>
          <w:b/>
          <w:bCs/>
          <w:snapToGrid w:val="0"/>
          <w:sz w:val="20"/>
          <w:szCs w:val="20"/>
        </w:rPr>
      </w:pPr>
      <w:r>
        <w:rPr>
          <w:rFonts w:ascii="Arial Narrow" w:hAnsi="Arial Narrow"/>
          <w:b/>
          <w:bCs/>
          <w:noProof/>
          <w:snapToGrid w:val="0"/>
          <w:sz w:val="20"/>
          <w:szCs w:val="20"/>
        </w:rPr>
        <w:drawing>
          <wp:inline distT="0" distB="0" distL="0" distR="0" wp14:anchorId="17F72C6C" wp14:editId="47A7834D">
            <wp:extent cx="5286375" cy="2730500"/>
            <wp:effectExtent l="0" t="0" r="9525" b="0"/>
            <wp:docPr id="818910818" name="Picture 2" descr="Graph of annual wholesaler pharmacy 'sell-in' packs for semaglutide, liraglutide and tirzepatide, excluding PBS supplied semaglutide (Ozempic) (2019-2024) showing rapid increase in private use of tirzepatide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10818" name="Picture 2" descr="Graph of annual wholesaler pharmacy 'sell-in' packs for semaglutide, liraglutide and tirzepatide, excluding PBS supplied semaglutide (Ozempic) (2019-2024) showing rapid increase in private use of tirzepatide in 20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6375" cy="2730500"/>
                    </a:xfrm>
                    <a:prstGeom prst="rect">
                      <a:avLst/>
                    </a:prstGeom>
                    <a:noFill/>
                  </pic:spPr>
                </pic:pic>
              </a:graphicData>
            </a:graphic>
          </wp:inline>
        </w:drawing>
      </w:r>
    </w:p>
    <w:p w14:paraId="66D4CBE3" w14:textId="372D3BE7" w:rsidR="00E20FC3" w:rsidRDefault="00E20FC3" w:rsidP="00CE05D5">
      <w:pPr>
        <w:pStyle w:val="3-BodyText"/>
        <w:numPr>
          <w:ilvl w:val="0"/>
          <w:numId w:val="0"/>
        </w:numPr>
        <w:spacing w:before="120"/>
        <w:ind w:left="720"/>
        <w:rPr>
          <w:rFonts w:ascii="Arial Narrow" w:hAnsi="Arial Narrow"/>
          <w:b/>
          <w:bCs/>
          <w:snapToGrid w:val="0"/>
          <w:sz w:val="20"/>
          <w:szCs w:val="20"/>
        </w:rPr>
      </w:pPr>
      <w:r w:rsidRPr="00793C27">
        <w:rPr>
          <w:rFonts w:ascii="Arial Narrow" w:hAnsi="Arial Narrow"/>
          <w:b/>
          <w:bCs/>
          <w:snapToGrid w:val="0"/>
          <w:sz w:val="20"/>
          <w:szCs w:val="20"/>
        </w:rPr>
        <w:t xml:space="preserve">Figure </w:t>
      </w:r>
      <w:r>
        <w:rPr>
          <w:rFonts w:ascii="Arial Narrow" w:hAnsi="Arial Narrow"/>
          <w:b/>
          <w:bCs/>
          <w:snapToGrid w:val="0"/>
          <w:sz w:val="20"/>
          <w:szCs w:val="20"/>
        </w:rPr>
        <w:t>2</w:t>
      </w:r>
      <w:r w:rsidRPr="00793C27">
        <w:rPr>
          <w:rFonts w:ascii="Arial Narrow" w:hAnsi="Arial Narrow"/>
          <w:b/>
          <w:bCs/>
          <w:snapToGrid w:val="0"/>
          <w:sz w:val="20"/>
          <w:szCs w:val="20"/>
        </w:rPr>
        <w:t>: Annual wholesaler pharmacy 'sell-in' packs for semaglutide, liraglutide and tirzepatide</w:t>
      </w:r>
      <w:r>
        <w:rPr>
          <w:rFonts w:ascii="Arial Narrow" w:hAnsi="Arial Narrow"/>
          <w:b/>
          <w:bCs/>
          <w:snapToGrid w:val="0"/>
          <w:sz w:val="20"/>
          <w:szCs w:val="20"/>
        </w:rPr>
        <w:t>, exclu</w:t>
      </w:r>
      <w:r w:rsidR="00D226B3">
        <w:rPr>
          <w:rFonts w:ascii="Arial Narrow" w:hAnsi="Arial Narrow"/>
          <w:b/>
          <w:bCs/>
          <w:snapToGrid w:val="0"/>
          <w:sz w:val="20"/>
          <w:szCs w:val="20"/>
        </w:rPr>
        <w:t>d</w:t>
      </w:r>
      <w:r>
        <w:rPr>
          <w:rFonts w:ascii="Arial Narrow" w:hAnsi="Arial Narrow"/>
          <w:b/>
          <w:bCs/>
          <w:snapToGrid w:val="0"/>
          <w:sz w:val="20"/>
          <w:szCs w:val="20"/>
        </w:rPr>
        <w:t xml:space="preserve">ing PBS supplied semaglutide (Ozempic) </w:t>
      </w:r>
      <w:r w:rsidRPr="00793C27">
        <w:rPr>
          <w:rFonts w:ascii="Arial Narrow" w:hAnsi="Arial Narrow"/>
          <w:b/>
          <w:bCs/>
          <w:snapToGrid w:val="0"/>
          <w:sz w:val="20"/>
          <w:szCs w:val="20"/>
        </w:rPr>
        <w:t>(2019-2024)</w:t>
      </w:r>
    </w:p>
    <w:p w14:paraId="74C22A31" w14:textId="17BFCEE1" w:rsidR="00624354" w:rsidRDefault="008E47D4" w:rsidP="00252F45">
      <w:pPr>
        <w:pStyle w:val="3Bodytext"/>
      </w:pPr>
      <w:r w:rsidRPr="00D83708">
        <w:rPr>
          <w:snapToGrid w:val="0"/>
          <w:u w:val="single"/>
        </w:rPr>
        <w:t>Figure 3</w:t>
      </w:r>
      <w:r>
        <w:rPr>
          <w:snapToGrid w:val="0"/>
        </w:rPr>
        <w:t xml:space="preserve"> shows monthly wholesaler pharmacy sell-in data for </w:t>
      </w:r>
      <w:r w:rsidR="00835912">
        <w:rPr>
          <w:snapToGrid w:val="0"/>
        </w:rPr>
        <w:t xml:space="preserve">the different semaglutide doses between </w:t>
      </w:r>
      <w:r w:rsidR="0045787D">
        <w:rPr>
          <w:snapToGrid w:val="0"/>
        </w:rPr>
        <w:t>January 2023 and July 2025</w:t>
      </w:r>
      <w:r>
        <w:rPr>
          <w:snapToGrid w:val="0"/>
        </w:rPr>
        <w:t xml:space="preserve">, excluding </w:t>
      </w:r>
      <w:r w:rsidR="00835912">
        <w:rPr>
          <w:snapToGrid w:val="0"/>
        </w:rPr>
        <w:t>PBS supplies</w:t>
      </w:r>
      <w:r w:rsidR="0045787D">
        <w:rPr>
          <w:snapToGrid w:val="0"/>
        </w:rPr>
        <w:t xml:space="preserve">. </w:t>
      </w:r>
      <w:r w:rsidR="00A25B59">
        <w:rPr>
          <w:snapToGrid w:val="0"/>
        </w:rPr>
        <w:t>In late 2024</w:t>
      </w:r>
      <w:r w:rsidR="00C46F33">
        <w:rPr>
          <w:snapToGrid w:val="0"/>
        </w:rPr>
        <w:t xml:space="preserve"> to </w:t>
      </w:r>
      <w:r w:rsidR="00A25B59">
        <w:rPr>
          <w:snapToGrid w:val="0"/>
        </w:rPr>
        <w:t xml:space="preserve">early 2025 around 300,000 units per month of semaglutide </w:t>
      </w:r>
      <w:r w:rsidR="004E59EE">
        <w:rPr>
          <w:snapToGrid w:val="0"/>
        </w:rPr>
        <w:t>(</w:t>
      </w:r>
      <w:r w:rsidR="00250949">
        <w:rPr>
          <w:snapToGrid w:val="0"/>
        </w:rPr>
        <w:t xml:space="preserve">total of all strengths) </w:t>
      </w:r>
      <w:r w:rsidR="00A25B59">
        <w:rPr>
          <w:snapToGrid w:val="0"/>
        </w:rPr>
        <w:t xml:space="preserve">were likely being supplied to Australians on the private market. </w:t>
      </w:r>
      <w:r w:rsidR="00C46F33">
        <w:rPr>
          <w:snapToGrid w:val="0"/>
        </w:rPr>
        <w:t xml:space="preserve">There appears to be a reduction in use of semaglutide </w:t>
      </w:r>
      <w:r w:rsidR="007F2A32">
        <w:rPr>
          <w:snapToGrid w:val="0"/>
        </w:rPr>
        <w:t xml:space="preserve">from April 2025, </w:t>
      </w:r>
      <w:r w:rsidR="001D2794">
        <w:rPr>
          <w:snapToGrid w:val="0"/>
        </w:rPr>
        <w:t>down to around 22</w:t>
      </w:r>
      <w:r w:rsidR="00371994">
        <w:rPr>
          <w:snapToGrid w:val="0"/>
        </w:rPr>
        <w:t>0</w:t>
      </w:r>
      <w:r w:rsidR="001D2794">
        <w:rPr>
          <w:snapToGrid w:val="0"/>
        </w:rPr>
        <w:t xml:space="preserve">,000 units in July 2025, </w:t>
      </w:r>
      <w:r w:rsidR="007F2A32">
        <w:rPr>
          <w:snapToGrid w:val="0"/>
        </w:rPr>
        <w:t xml:space="preserve">due primarily to a reduction in </w:t>
      </w:r>
      <w:r w:rsidR="00F206D4">
        <w:rPr>
          <w:snapToGrid w:val="0"/>
        </w:rPr>
        <w:t>private market use of 1 mg Ozempic (</w:t>
      </w:r>
      <w:r w:rsidR="00D83708" w:rsidRPr="00D83708">
        <w:rPr>
          <w:snapToGrid w:val="0"/>
          <w:u w:val="single"/>
        </w:rPr>
        <w:t>Figure 4</w:t>
      </w:r>
      <w:r w:rsidR="00D83708">
        <w:rPr>
          <w:snapToGrid w:val="0"/>
        </w:rPr>
        <w:t xml:space="preserve">). </w:t>
      </w:r>
      <w:r w:rsidR="00526C7C">
        <w:rPr>
          <w:snapToGrid w:val="0"/>
        </w:rPr>
        <w:t xml:space="preserve">There also appears to be a reduction in PBS supplied semaglutide over this </w:t>
      </w:r>
      <w:proofErr w:type="gramStart"/>
      <w:r w:rsidR="00526C7C">
        <w:rPr>
          <w:snapToGrid w:val="0"/>
        </w:rPr>
        <w:t>time period</w:t>
      </w:r>
      <w:proofErr w:type="gramEnd"/>
      <w:r w:rsidR="00526C7C">
        <w:rPr>
          <w:snapToGrid w:val="0"/>
        </w:rPr>
        <w:t xml:space="preserve"> (data not shown). </w:t>
      </w:r>
    </w:p>
    <w:p w14:paraId="75E5958F" w14:textId="77777777" w:rsidR="00252F45" w:rsidRDefault="00686920" w:rsidP="00252F45">
      <w:pPr>
        <w:pStyle w:val="3-BodyText"/>
        <w:numPr>
          <w:ilvl w:val="1"/>
          <w:numId w:val="1"/>
        </w:numPr>
        <w:spacing w:before="120"/>
        <w:rPr>
          <w:snapToGrid w:val="0"/>
        </w:rPr>
      </w:pPr>
      <w:r>
        <w:rPr>
          <w:snapToGrid w:val="0"/>
        </w:rPr>
        <w:lastRenderedPageBreak/>
        <w:t>Due to shortages of GLP-1s throughout the period, there are some months where PBS supplied semaglutide units exceeded the pharmacy sell-in units</w:t>
      </w:r>
      <w:r w:rsidR="00D92B3D">
        <w:rPr>
          <w:snapToGrid w:val="0"/>
        </w:rPr>
        <w:t xml:space="preserve"> (Figures 3 and 4)</w:t>
      </w:r>
      <w:r>
        <w:rPr>
          <w:snapToGrid w:val="0"/>
        </w:rPr>
        <w:t>.</w:t>
      </w:r>
    </w:p>
    <w:p w14:paraId="00DD5ED3" w14:textId="3CAC2B3D" w:rsidR="00252F45" w:rsidRDefault="00C276D8" w:rsidP="00252F45">
      <w:pPr>
        <w:pStyle w:val="3-BodyText"/>
        <w:numPr>
          <w:ilvl w:val="1"/>
          <w:numId w:val="1"/>
        </w:numPr>
        <w:spacing w:before="120"/>
        <w:rPr>
          <w:snapToGrid w:val="0"/>
        </w:rPr>
      </w:pPr>
      <w:r w:rsidRPr="00252F45">
        <w:rPr>
          <w:snapToGrid w:val="0"/>
          <w:u w:val="single"/>
        </w:rPr>
        <w:t>Figure</w:t>
      </w:r>
      <w:r w:rsidR="009D4A54" w:rsidRPr="00252F45">
        <w:rPr>
          <w:snapToGrid w:val="0"/>
          <w:u w:val="single"/>
        </w:rPr>
        <w:t xml:space="preserve"> 5</w:t>
      </w:r>
      <w:r w:rsidR="009D4A54" w:rsidRPr="00252F45">
        <w:rPr>
          <w:snapToGrid w:val="0"/>
        </w:rPr>
        <w:t xml:space="preserve"> shows the monthly pharmacy sell-in data for tirzepatide</w:t>
      </w:r>
      <w:r w:rsidR="00DD0865" w:rsidRPr="00252F45">
        <w:rPr>
          <w:snapToGrid w:val="0"/>
        </w:rPr>
        <w:t xml:space="preserve"> between January</w:t>
      </w:r>
      <w:r w:rsidR="007710F2">
        <w:rPr>
          <w:snapToGrid w:val="0"/>
        </w:rPr>
        <w:t> </w:t>
      </w:r>
      <w:r w:rsidR="00DD0865" w:rsidRPr="00252F45">
        <w:rPr>
          <w:snapToGrid w:val="0"/>
        </w:rPr>
        <w:t>2023 and July 2025.</w:t>
      </w:r>
      <w:r w:rsidR="003D4FB4" w:rsidRPr="00252F45">
        <w:rPr>
          <w:snapToGrid w:val="0"/>
        </w:rPr>
        <w:t xml:space="preserve"> In July 2025, around 200,000 units were supplied</w:t>
      </w:r>
      <w:r w:rsidR="00835468">
        <w:t xml:space="preserve"> </w:t>
      </w:r>
      <w:r w:rsidR="00250949">
        <w:t>(total of</w:t>
      </w:r>
      <w:r w:rsidR="00835468">
        <w:t xml:space="preserve"> all strengths</w:t>
      </w:r>
      <w:r w:rsidR="00250949">
        <w:t>)</w:t>
      </w:r>
      <w:r w:rsidR="003D4FB4" w:rsidRPr="00252F45">
        <w:rPr>
          <w:snapToGrid w:val="0"/>
        </w:rPr>
        <w:t>.</w:t>
      </w:r>
      <w:r w:rsidR="00C71F8B" w:rsidRPr="00252F45">
        <w:rPr>
          <w:snapToGrid w:val="0"/>
        </w:rPr>
        <w:t xml:space="preserve"> </w:t>
      </w:r>
      <w:r w:rsidR="0034573A" w:rsidRPr="00252F45">
        <w:rPr>
          <w:snapToGrid w:val="0"/>
        </w:rPr>
        <w:t xml:space="preserve"> </w:t>
      </w:r>
    </w:p>
    <w:p w14:paraId="5FB2F28F" w14:textId="5D758788" w:rsidR="00CA01D3" w:rsidRPr="00252F45" w:rsidRDefault="0034573A" w:rsidP="00252F45">
      <w:pPr>
        <w:pStyle w:val="3-BodyText"/>
        <w:numPr>
          <w:ilvl w:val="1"/>
          <w:numId w:val="1"/>
        </w:numPr>
        <w:spacing w:before="120"/>
        <w:rPr>
          <w:snapToGrid w:val="0"/>
        </w:rPr>
      </w:pPr>
      <w:r w:rsidRPr="00252F45">
        <w:rPr>
          <w:snapToGrid w:val="0"/>
        </w:rPr>
        <w:t>Taken together, these data indicate that around 4</w:t>
      </w:r>
      <w:r w:rsidR="004D7E51" w:rsidRPr="00252F45">
        <w:rPr>
          <w:snapToGrid w:val="0"/>
        </w:rPr>
        <w:t>2</w:t>
      </w:r>
      <w:r w:rsidR="00543B54" w:rsidRPr="00252F45">
        <w:rPr>
          <w:snapToGrid w:val="0"/>
        </w:rPr>
        <w:t>0</w:t>
      </w:r>
      <w:r w:rsidRPr="00252F45">
        <w:rPr>
          <w:snapToGrid w:val="0"/>
        </w:rPr>
        <w:t xml:space="preserve">,000 people received a </w:t>
      </w:r>
      <w:r w:rsidR="004D7E51" w:rsidRPr="00252F45">
        <w:rPr>
          <w:snapToGrid w:val="0"/>
        </w:rPr>
        <w:t>private market supply of semaglutide or tirzepatide in July 2025.</w:t>
      </w:r>
    </w:p>
    <w:p w14:paraId="3C5B87C2" w14:textId="58665351" w:rsidR="009F0EE4" w:rsidRDefault="004713AF" w:rsidP="003B0ADD">
      <w:pPr>
        <w:pStyle w:val="3-BodyText"/>
        <w:numPr>
          <w:ilvl w:val="1"/>
          <w:numId w:val="1"/>
        </w:numPr>
        <w:spacing w:before="120"/>
        <w:rPr>
          <w:snapToGrid w:val="0"/>
        </w:rPr>
      </w:pPr>
      <w:r w:rsidRPr="00BF5B26">
        <w:rPr>
          <w:snapToGrid w:val="0"/>
        </w:rPr>
        <w:t xml:space="preserve">Figures </w:t>
      </w:r>
      <w:r w:rsidR="00D47393" w:rsidRPr="00BF5B26">
        <w:rPr>
          <w:snapToGrid w:val="0"/>
        </w:rPr>
        <w:t>6 and 7</w:t>
      </w:r>
      <w:r w:rsidR="00D47393">
        <w:rPr>
          <w:snapToGrid w:val="0"/>
        </w:rPr>
        <w:t xml:space="preserve"> show the wholesaler pharmacy sell-in data </w:t>
      </w:r>
      <w:r w:rsidR="002267E2">
        <w:rPr>
          <w:snapToGrid w:val="0"/>
        </w:rPr>
        <w:t>dosage breakdown for semaglutide (excluding PBS supplies) for January 2025 to July 2025</w:t>
      </w:r>
      <w:r w:rsidR="00BF5B26">
        <w:rPr>
          <w:snapToGrid w:val="0"/>
        </w:rPr>
        <w:t xml:space="preserve"> for Ozempic and Wegovy (</w:t>
      </w:r>
      <w:r w:rsidR="00BF5B26" w:rsidRPr="00BF5B26">
        <w:rPr>
          <w:snapToGrid w:val="0"/>
          <w:u w:val="single"/>
        </w:rPr>
        <w:t>Figure 6</w:t>
      </w:r>
      <w:r w:rsidR="00BF5B26">
        <w:rPr>
          <w:snapToGrid w:val="0"/>
        </w:rPr>
        <w:t>)</w:t>
      </w:r>
      <w:r w:rsidR="00456F0D">
        <w:rPr>
          <w:snapToGrid w:val="0"/>
        </w:rPr>
        <w:t>,</w:t>
      </w:r>
      <w:r w:rsidR="00BF5B26">
        <w:rPr>
          <w:snapToGrid w:val="0"/>
        </w:rPr>
        <w:t xml:space="preserve"> and Wegovy only (</w:t>
      </w:r>
      <w:r w:rsidR="00BF5B26" w:rsidRPr="00BF5B26">
        <w:rPr>
          <w:snapToGrid w:val="0"/>
          <w:u w:val="single"/>
        </w:rPr>
        <w:t>Figure 7</w:t>
      </w:r>
      <w:r w:rsidR="00BF5B26">
        <w:rPr>
          <w:snapToGrid w:val="0"/>
        </w:rPr>
        <w:t xml:space="preserve">). </w:t>
      </w:r>
      <w:r w:rsidR="00E91A0E">
        <w:rPr>
          <w:snapToGrid w:val="0"/>
        </w:rPr>
        <w:t xml:space="preserve">The 1 mg dose is the most frequently supplied, </w:t>
      </w:r>
      <w:r w:rsidR="009F0EE4">
        <w:rPr>
          <w:snapToGrid w:val="0"/>
        </w:rPr>
        <w:t>followed by the 0.25/0.5 mg dose. This may indicate that few people are titrating up to the higher doses</w:t>
      </w:r>
      <w:r w:rsidR="00A8418F">
        <w:rPr>
          <w:snapToGrid w:val="0"/>
        </w:rPr>
        <w:t xml:space="preserve"> (i.e. maintenance therapy on low dose), </w:t>
      </w:r>
      <w:r w:rsidR="003B0ADD">
        <w:rPr>
          <w:snapToGrid w:val="0"/>
        </w:rPr>
        <w:t xml:space="preserve">that </w:t>
      </w:r>
      <w:r w:rsidR="00255C41">
        <w:rPr>
          <w:snapToGrid w:val="0"/>
        </w:rPr>
        <w:t>many</w:t>
      </w:r>
      <w:r w:rsidR="003B0ADD">
        <w:rPr>
          <w:snapToGrid w:val="0"/>
        </w:rPr>
        <w:t xml:space="preserve"> people are initiating therapy</w:t>
      </w:r>
      <w:r w:rsidR="004A0FAE">
        <w:rPr>
          <w:snapToGrid w:val="0"/>
        </w:rPr>
        <w:t>, or that people are ceasing therapy early</w:t>
      </w:r>
      <w:r w:rsidR="003B0ADD">
        <w:rPr>
          <w:snapToGrid w:val="0"/>
        </w:rPr>
        <w:t>.</w:t>
      </w:r>
    </w:p>
    <w:p w14:paraId="69838521" w14:textId="47F220B7" w:rsidR="004A0FAE" w:rsidRDefault="004A0FAE" w:rsidP="003B0ADD">
      <w:pPr>
        <w:pStyle w:val="3-BodyText"/>
        <w:numPr>
          <w:ilvl w:val="1"/>
          <w:numId w:val="1"/>
        </w:numPr>
        <w:spacing w:before="120"/>
        <w:rPr>
          <w:snapToGrid w:val="0"/>
        </w:rPr>
      </w:pPr>
      <w:r w:rsidRPr="00945519">
        <w:rPr>
          <w:snapToGrid w:val="0"/>
          <w:u w:val="single"/>
        </w:rPr>
        <w:t>Figure 8</w:t>
      </w:r>
      <w:r>
        <w:rPr>
          <w:snapToGrid w:val="0"/>
        </w:rPr>
        <w:t xml:space="preserve"> shows the dos</w:t>
      </w:r>
      <w:r w:rsidR="00945519">
        <w:rPr>
          <w:snapToGrid w:val="0"/>
        </w:rPr>
        <w:t>e breakdown for wholesaler pharmacy sell-in data for tirzepatide between January 2025 and July 2025. Similarly to semaglutide,</w:t>
      </w:r>
      <w:r w:rsidR="00624195">
        <w:rPr>
          <w:snapToGrid w:val="0"/>
        </w:rPr>
        <w:t xml:space="preserve"> low doses are the most used, with</w:t>
      </w:r>
      <w:r w:rsidR="00945519">
        <w:rPr>
          <w:snapToGrid w:val="0"/>
        </w:rPr>
        <w:t xml:space="preserve"> </w:t>
      </w:r>
      <w:r w:rsidR="00624195">
        <w:rPr>
          <w:snapToGrid w:val="0"/>
        </w:rPr>
        <w:t xml:space="preserve">the 5 mg dose being most supplied followed by the 2.5 mg dose. </w:t>
      </w:r>
    </w:p>
    <w:p w14:paraId="05343A1F" w14:textId="06322468" w:rsidR="00293780" w:rsidRDefault="00293780" w:rsidP="003B0ADD">
      <w:pPr>
        <w:pStyle w:val="3-BodyText"/>
        <w:numPr>
          <w:ilvl w:val="1"/>
          <w:numId w:val="1"/>
        </w:numPr>
        <w:spacing w:before="120"/>
        <w:rPr>
          <w:snapToGrid w:val="0"/>
        </w:rPr>
      </w:pPr>
      <w:r w:rsidRPr="00293780">
        <w:rPr>
          <w:snapToGrid w:val="0"/>
        </w:rPr>
        <w:t>In Australi</w:t>
      </w:r>
      <w:r>
        <w:rPr>
          <w:snapToGrid w:val="0"/>
        </w:rPr>
        <w:t>a</w:t>
      </w:r>
      <w:r w:rsidR="0099631B">
        <w:rPr>
          <w:snapToGrid w:val="0"/>
        </w:rPr>
        <w:t xml:space="preserve">, private market data indicate that many people may be using doses of Wegovy and Mounjaro that are below the doses recommended for </w:t>
      </w:r>
      <w:r w:rsidR="00CC08E9">
        <w:rPr>
          <w:snapToGrid w:val="0"/>
        </w:rPr>
        <w:t>maintenance weight</w:t>
      </w:r>
      <w:r w:rsidR="00C40BE8">
        <w:rPr>
          <w:snapToGrid w:val="0"/>
        </w:rPr>
        <w:t xml:space="preserve"> management therapy.</w:t>
      </w:r>
      <w:r w:rsidR="009A571D">
        <w:rPr>
          <w:snapToGrid w:val="0"/>
        </w:rPr>
        <w:t xml:space="preserve"> </w:t>
      </w:r>
      <w:r w:rsidR="001F6E43">
        <w:rPr>
          <w:snapToGrid w:val="0"/>
        </w:rPr>
        <w:t xml:space="preserve">This may be </w:t>
      </w:r>
      <w:r w:rsidR="009A571D">
        <w:rPr>
          <w:snapToGrid w:val="0"/>
        </w:rPr>
        <w:t>due to cost, tolerability, or because patients are achieving therapeutic goals with lower doses.</w:t>
      </w:r>
    </w:p>
    <w:p w14:paraId="2B7BCCCB" w14:textId="50987895" w:rsidR="001550AF" w:rsidRPr="00B21F2E" w:rsidRDefault="00416D1B" w:rsidP="00B21F2E">
      <w:pPr>
        <w:pStyle w:val="3Bodytext"/>
        <w:rPr>
          <w:snapToGrid w:val="0"/>
        </w:rPr>
      </w:pPr>
      <w:r>
        <w:rPr>
          <w:snapToGrid w:val="0"/>
        </w:rPr>
        <w:t xml:space="preserve">An analysis of a digital weight loss service operating in Australia found that </w:t>
      </w:r>
      <w:r w:rsidR="00620010">
        <w:rPr>
          <w:snapToGrid w:val="0"/>
        </w:rPr>
        <w:t>mean program adherence was around 172 days (5-6 months)</w:t>
      </w:r>
      <w:r w:rsidR="00FC65BA">
        <w:rPr>
          <w:snapToGrid w:val="0"/>
        </w:rPr>
        <w:t xml:space="preserve">. </w:t>
      </w:r>
      <w:r w:rsidR="00E42A90">
        <w:rPr>
          <w:snapToGrid w:val="0"/>
        </w:rPr>
        <w:t>The most common reasons for discontinuation were: i</w:t>
      </w:r>
      <w:r w:rsidR="00FC65BA" w:rsidRPr="00FC65BA">
        <w:rPr>
          <w:snapToGrid w:val="0"/>
        </w:rPr>
        <w:t xml:space="preserve">nadequate supply of a patient’s desired </w:t>
      </w:r>
      <w:r w:rsidR="00E42A90">
        <w:rPr>
          <w:snapToGrid w:val="0"/>
        </w:rPr>
        <w:t xml:space="preserve">GLP-1 </w:t>
      </w:r>
      <w:r w:rsidR="00FC65BA" w:rsidRPr="00FC65BA">
        <w:rPr>
          <w:snapToGrid w:val="0"/>
        </w:rPr>
        <w:t>(43.7%),</w:t>
      </w:r>
      <w:r w:rsidR="00AE33AF">
        <w:rPr>
          <w:snapToGrid w:val="0"/>
        </w:rPr>
        <w:t xml:space="preserve"> </w:t>
      </w:r>
      <w:r w:rsidR="00FC65BA" w:rsidRPr="00FC65BA">
        <w:rPr>
          <w:snapToGrid w:val="0"/>
        </w:rPr>
        <w:t>cost (26.2%), result dissatisfaction (9.9%), and service dissatisfaction (7.2%). </w:t>
      </w:r>
      <w:r w:rsidR="002942D2">
        <w:rPr>
          <w:snapToGrid w:val="0"/>
        </w:rPr>
        <w:t>BMI was not associated</w:t>
      </w:r>
      <w:r w:rsidR="003B05E4">
        <w:rPr>
          <w:snapToGrid w:val="0"/>
        </w:rPr>
        <w:t xml:space="preserve"> with adherence, but age was positively correlated with adherence</w:t>
      </w:r>
      <w:r w:rsidR="00CA3E00">
        <w:rPr>
          <w:snapToGrid w:val="0"/>
        </w:rPr>
        <w:t>.</w:t>
      </w:r>
      <w:r w:rsidR="0036312C">
        <w:rPr>
          <w:snapToGrid w:val="0"/>
        </w:rPr>
        <w:t xml:space="preserve"> Adherence was higher for people with Caucasian than non-Caucasian ethnicity</w:t>
      </w:r>
      <w:r w:rsidR="00F64C1C">
        <w:rPr>
          <w:snapToGrid w:val="0"/>
        </w:rPr>
        <w:t xml:space="preserve">, </w:t>
      </w:r>
      <w:r w:rsidR="00465E29">
        <w:rPr>
          <w:snapToGrid w:val="0"/>
        </w:rPr>
        <w:t xml:space="preserve">which may indicate </w:t>
      </w:r>
      <w:r w:rsidR="00F64C1C">
        <w:rPr>
          <w:snapToGrid w:val="0"/>
        </w:rPr>
        <w:t>barriers for equitable access</w:t>
      </w:r>
      <w:r w:rsidR="0036312C">
        <w:rPr>
          <w:snapToGrid w:val="0"/>
        </w:rPr>
        <w:t>.</w:t>
      </w:r>
      <w:r w:rsidR="006C2BD9">
        <w:rPr>
          <w:rStyle w:val="FootnoteReference"/>
          <w:snapToGrid w:val="0"/>
        </w:rPr>
        <w:footnoteReference w:id="108"/>
      </w:r>
      <w:r w:rsidR="0036312C">
        <w:rPr>
          <w:snapToGrid w:val="0"/>
        </w:rPr>
        <w:t xml:space="preserve"> </w:t>
      </w:r>
    </w:p>
    <w:p w14:paraId="09B745A1" w14:textId="0EBF1ABC" w:rsidR="00B21F2E" w:rsidRPr="00C9248A" w:rsidRDefault="00B21F2E" w:rsidP="00B21F2E">
      <w:pPr>
        <w:pStyle w:val="3Bodytext"/>
      </w:pPr>
      <w:r>
        <w:t xml:space="preserve">In the US, a retrospective cohort study of adults with overweight/obesity, without </w:t>
      </w:r>
      <w:r w:rsidR="006F0D1C">
        <w:t>T2DM</w:t>
      </w:r>
      <w:r>
        <w:t>, initiated on semaglutide or tirzepatide between 2021 and 2023, found that around 80% of patients were on low maintenance doses. Around 20% of patients discontinued early (i.e. within 3 months of commencing therapy).</w:t>
      </w:r>
      <w:r>
        <w:rPr>
          <w:rStyle w:val="FootnoteReference"/>
        </w:rPr>
        <w:footnoteReference w:id="109"/>
      </w:r>
    </w:p>
    <w:p w14:paraId="18A5E091" w14:textId="32E5EFAC" w:rsidR="007150D3" w:rsidRPr="00631112" w:rsidRDefault="007150D3" w:rsidP="007150D3">
      <w:pPr>
        <w:pStyle w:val="3Bodytext"/>
        <w:numPr>
          <w:ilvl w:val="0"/>
          <w:numId w:val="0"/>
        </w:numPr>
        <w:rPr>
          <w:i/>
          <w:iCs/>
        </w:rPr>
      </w:pPr>
      <w:r w:rsidRPr="00631112">
        <w:rPr>
          <w:i/>
          <w:iCs/>
        </w:rPr>
        <w:t xml:space="preserve">For more </w:t>
      </w:r>
      <w:r>
        <w:rPr>
          <w:i/>
          <w:iCs/>
        </w:rPr>
        <w:t xml:space="preserve">detail </w:t>
      </w:r>
      <w:r w:rsidRPr="00631112">
        <w:rPr>
          <w:i/>
          <w:iCs/>
        </w:rPr>
        <w:t xml:space="preserve">on PBAC’s view, see </w:t>
      </w:r>
      <w:hyperlink w:anchor="Section10" w:history="1">
        <w:r w:rsidR="00BB43DA">
          <w:rPr>
            <w:rStyle w:val="Hyperlink"/>
            <w:i/>
            <w:iCs/>
          </w:rPr>
          <w:t>S</w:t>
        </w:r>
        <w:r w:rsidRPr="00631112">
          <w:rPr>
            <w:rStyle w:val="Hyperlink"/>
            <w:i/>
            <w:iCs/>
          </w:rPr>
          <w:t>ection 10</w:t>
        </w:r>
        <w:r w:rsidR="00BB43DA">
          <w:rPr>
            <w:rStyle w:val="Hyperlink"/>
            <w:i/>
            <w:iCs/>
          </w:rPr>
          <w:t>.</w:t>
        </w:r>
        <w:r w:rsidRPr="00631112">
          <w:rPr>
            <w:rStyle w:val="Hyperlink"/>
            <w:i/>
            <w:iCs/>
          </w:rPr>
          <w:t xml:space="preserve"> PBAC </w:t>
        </w:r>
        <w:r>
          <w:rPr>
            <w:rStyle w:val="Hyperlink"/>
            <w:i/>
            <w:iCs/>
          </w:rPr>
          <w:t>o</w:t>
        </w:r>
        <w:r w:rsidRPr="00631112">
          <w:rPr>
            <w:rStyle w:val="Hyperlink"/>
            <w:i/>
            <w:iCs/>
          </w:rPr>
          <w:t>utcome</w:t>
        </w:r>
      </w:hyperlink>
      <w:r w:rsidRPr="00631112">
        <w:rPr>
          <w:i/>
          <w:iCs/>
        </w:rPr>
        <w:t>.</w:t>
      </w:r>
    </w:p>
    <w:p w14:paraId="03794C6F" w14:textId="77777777" w:rsidR="00E96CEF" w:rsidRDefault="00E96CEF" w:rsidP="00E96CEF">
      <w:pPr>
        <w:spacing w:before="120" w:after="120"/>
        <w:ind w:left="360" w:hanging="360"/>
        <w:rPr>
          <w:rFonts w:ascii="Arial Narrow" w:eastAsia="Calibri" w:hAnsi="Arial Narrow" w:cs="Arial"/>
          <w:b/>
          <w:snapToGrid w:val="0"/>
          <w:sz w:val="20"/>
          <w:szCs w:val="20"/>
          <w:highlight w:val="lightGray"/>
        </w:rPr>
        <w:sectPr w:rsidR="00E96CEF" w:rsidSect="006E0D71">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1440" w:footer="1440" w:gutter="0"/>
          <w:cols w:space="708"/>
          <w:docGrid w:linePitch="360"/>
        </w:sectPr>
      </w:pPr>
    </w:p>
    <w:p w14:paraId="20CB8F46" w14:textId="77777777" w:rsidR="00E96CEF" w:rsidRPr="00E96CEF" w:rsidRDefault="00E96CEF" w:rsidP="00E96CEF">
      <w:pPr>
        <w:spacing w:before="120" w:after="120"/>
        <w:ind w:left="360" w:hanging="360"/>
        <w:rPr>
          <w:rFonts w:ascii="Arial Narrow" w:eastAsia="Calibri" w:hAnsi="Arial Narrow" w:cs="Arial"/>
          <w:b/>
          <w:snapToGrid w:val="0"/>
          <w:sz w:val="20"/>
          <w:szCs w:val="20"/>
        </w:rPr>
      </w:pPr>
      <w:r w:rsidRPr="00E96CEF">
        <w:rPr>
          <w:rFonts w:ascii="Arial Narrow" w:eastAsia="Calibri" w:hAnsi="Arial Narrow" w:cs="Arial"/>
          <w:b/>
          <w:noProof/>
          <w:sz w:val="20"/>
          <w:szCs w:val="20"/>
          <w14:ligatures w14:val="standardContextual"/>
        </w:rPr>
        <w:lastRenderedPageBreak/>
        <w:drawing>
          <wp:inline distT="0" distB="0" distL="0" distR="0" wp14:anchorId="246382D5" wp14:editId="0AB340E7">
            <wp:extent cx="8886825" cy="4572000"/>
            <wp:effectExtent l="0" t="0" r="9525" b="0"/>
            <wp:docPr id="25" name="Picture 3" descr="Stacked graph of monthly wholesaler pharmacy sell-in data for semaglutide (Ozempic and Wegovy combined) excluding PBS semaglutide supplied (Jan 2023 to July 2025) showing a decline in use of semaglutide between May and July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descr="Stacked graph of monthly wholesaler pharmacy sell-in data for semaglutide (Ozempic and Wegovy combined) excluding PBS semaglutide supplied (Jan 2023 to July 2025) showing a decline in use of semaglutide between May and July 20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886825" cy="4572000"/>
                    </a:xfrm>
                    <a:prstGeom prst="rect">
                      <a:avLst/>
                    </a:prstGeom>
                    <a:noFill/>
                    <a:ln>
                      <a:noFill/>
                    </a:ln>
                  </pic:spPr>
                </pic:pic>
              </a:graphicData>
            </a:graphic>
          </wp:inline>
        </w:drawing>
      </w:r>
    </w:p>
    <w:p w14:paraId="3C442C13"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snapToGrid w:val="0"/>
          <w:sz w:val="20"/>
          <w:szCs w:val="20"/>
        </w:rPr>
        <w:t xml:space="preserve">Figure 3: Stacked graph of monthly wholesaler pharmacy sell-in data for semaglutide (Ozempic and </w:t>
      </w:r>
      <w:proofErr w:type="spellStart"/>
      <w:r w:rsidRPr="00E96CEF">
        <w:rPr>
          <w:rFonts w:ascii="Arial Narrow" w:eastAsia="Calibri" w:hAnsi="Arial Narrow" w:cs="Arial"/>
          <w:b/>
          <w:snapToGrid w:val="0"/>
          <w:sz w:val="20"/>
          <w:szCs w:val="20"/>
        </w:rPr>
        <w:t>Wegovy</w:t>
      </w:r>
      <w:proofErr w:type="spellEnd"/>
      <w:r w:rsidRPr="00E96CEF">
        <w:rPr>
          <w:rFonts w:ascii="Arial Narrow" w:eastAsia="Calibri" w:hAnsi="Arial Narrow" w:cs="Arial"/>
          <w:b/>
          <w:snapToGrid w:val="0"/>
          <w:sz w:val="20"/>
          <w:szCs w:val="20"/>
        </w:rPr>
        <w:t xml:space="preserve"> combined) excluding PBS semaglutide supplied (Jan 2023 to July 2025)</w:t>
      </w:r>
    </w:p>
    <w:p w14:paraId="1E5B9EDC"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noProof/>
          <w:sz w:val="20"/>
          <w:szCs w:val="20"/>
          <w14:ligatures w14:val="standardContextual"/>
        </w:rPr>
        <w:lastRenderedPageBreak/>
        <w:drawing>
          <wp:inline distT="0" distB="0" distL="0" distR="0" wp14:anchorId="2433B5BA" wp14:editId="6084B6DC">
            <wp:extent cx="9039225" cy="4578350"/>
            <wp:effectExtent l="0" t="0" r="9525" b="0"/>
            <wp:docPr id="26" name="Picture 4" descr="Stacked graph of monthly wholesaler pharmacy sell-in data for semaglutide (Ozempic and Wegovy) excluding PBS semaglutide supplied (Jan 2023 to July 2025) showing increase in use of Wegovy from mid-2024, particularly doses of 1 mg and below, and a decline in private market use of Ozem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4" descr="Stacked graph of monthly wholesaler pharmacy sell-in data for semaglutide (Ozempic and Wegovy) excluding PBS semaglutide supplied (Jan 2023 to July 2025) showing increase in use of Wegovy from mid-2024, particularly doses of 1 mg and below, and a decline in private market use of Ozempic."/>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039225" cy="4578350"/>
                    </a:xfrm>
                    <a:prstGeom prst="rect">
                      <a:avLst/>
                    </a:prstGeom>
                    <a:noFill/>
                    <a:ln>
                      <a:noFill/>
                    </a:ln>
                  </pic:spPr>
                </pic:pic>
              </a:graphicData>
            </a:graphic>
          </wp:inline>
        </w:drawing>
      </w:r>
    </w:p>
    <w:p w14:paraId="3BEA1C1D"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snapToGrid w:val="0"/>
          <w:sz w:val="20"/>
          <w:szCs w:val="20"/>
        </w:rPr>
        <w:t xml:space="preserve">Figure 4: Stacked graph of monthly wholesaler pharmacy sell-in data for semaglutide (Ozempic and </w:t>
      </w:r>
      <w:proofErr w:type="spellStart"/>
      <w:r w:rsidRPr="00E96CEF">
        <w:rPr>
          <w:rFonts w:ascii="Arial Narrow" w:eastAsia="Calibri" w:hAnsi="Arial Narrow" w:cs="Arial"/>
          <w:b/>
          <w:snapToGrid w:val="0"/>
          <w:sz w:val="20"/>
          <w:szCs w:val="20"/>
        </w:rPr>
        <w:t>Wegovy</w:t>
      </w:r>
      <w:proofErr w:type="spellEnd"/>
      <w:r w:rsidRPr="00E96CEF">
        <w:rPr>
          <w:rFonts w:ascii="Arial Narrow" w:eastAsia="Calibri" w:hAnsi="Arial Narrow" w:cs="Arial"/>
          <w:b/>
          <w:snapToGrid w:val="0"/>
          <w:sz w:val="20"/>
          <w:szCs w:val="20"/>
        </w:rPr>
        <w:t>) excluding PBS semaglutide supplied (Jan 2023 to July 2025)</w:t>
      </w:r>
    </w:p>
    <w:p w14:paraId="1F45553C" w14:textId="77777777" w:rsidR="00E96CEF" w:rsidRPr="00E96CEF" w:rsidRDefault="00E96CEF" w:rsidP="00E96CEF">
      <w:pPr>
        <w:spacing w:before="120" w:after="120"/>
        <w:ind w:left="360" w:hanging="360"/>
        <w:rPr>
          <w:rFonts w:ascii="Arial Narrow" w:eastAsia="Calibri" w:hAnsi="Arial Narrow" w:cs="Arial"/>
          <w:b/>
          <w:sz w:val="20"/>
          <w:szCs w:val="20"/>
        </w:rPr>
      </w:pPr>
    </w:p>
    <w:p w14:paraId="41E3AA53" w14:textId="77777777" w:rsidR="00E96CEF" w:rsidRPr="00E96CEF" w:rsidRDefault="00E96CEF" w:rsidP="00E96CEF">
      <w:pPr>
        <w:spacing w:before="120" w:after="120"/>
        <w:ind w:left="360" w:hanging="360"/>
        <w:rPr>
          <w:rFonts w:ascii="Arial Narrow" w:eastAsia="Calibri" w:hAnsi="Arial Narrow" w:cs="Arial"/>
          <w:b/>
          <w:sz w:val="20"/>
          <w:szCs w:val="20"/>
        </w:rPr>
      </w:pPr>
      <w:r w:rsidRPr="00E96CEF">
        <w:rPr>
          <w:rFonts w:ascii="Arial Narrow" w:eastAsia="Calibri" w:hAnsi="Arial Narrow" w:cs="Arial"/>
          <w:b/>
          <w:noProof/>
          <w:sz w:val="20"/>
          <w:szCs w:val="20"/>
          <w14:ligatures w14:val="standardContextual"/>
        </w:rPr>
        <w:drawing>
          <wp:inline distT="0" distB="0" distL="0" distR="0" wp14:anchorId="27A66AAE" wp14:editId="7684E8D8">
            <wp:extent cx="8877300" cy="4533900"/>
            <wp:effectExtent l="0" t="0" r="0" b="0"/>
            <wp:docPr id="27" name="Picture 5" descr="Stacked graph of monthly wholesaler pharmacy sell-in data for tirzepatide (Jan 2023 to July 2025) showing a peak in supply in October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5" descr="Stacked graph of monthly wholesaler pharmacy sell-in data for tirzepatide (Jan 2023 to July 2025) showing a peak in supply in October 20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877300" cy="4533900"/>
                    </a:xfrm>
                    <a:prstGeom prst="rect">
                      <a:avLst/>
                    </a:prstGeom>
                    <a:noFill/>
                    <a:ln>
                      <a:noFill/>
                    </a:ln>
                  </pic:spPr>
                </pic:pic>
              </a:graphicData>
            </a:graphic>
          </wp:inline>
        </w:drawing>
      </w:r>
    </w:p>
    <w:p w14:paraId="560A0F96"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snapToGrid w:val="0"/>
          <w:sz w:val="20"/>
          <w:szCs w:val="20"/>
        </w:rPr>
        <w:t>Figure 5: Stacked graph of monthly wholesaler pharmacy sell-in data for tirzepatide (Jan 2023 to July 2025)</w:t>
      </w:r>
    </w:p>
    <w:p w14:paraId="5B04DABC"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noProof/>
          <w:sz w:val="20"/>
          <w:szCs w:val="20"/>
          <w14:ligatures w14:val="standardContextual"/>
        </w:rPr>
        <w:lastRenderedPageBreak/>
        <w:drawing>
          <wp:inline distT="0" distB="0" distL="0" distR="0" wp14:anchorId="5363165C" wp14:editId="157C84D2">
            <wp:extent cx="8877300" cy="2076450"/>
            <wp:effectExtent l="0" t="0" r="0" b="0"/>
            <wp:docPr id="28" name="Picture 7" descr="Wholesaler pharmacy sell-in data for semaglutide (Ozempic and Wegovy) by dose (excluding PBS supplies) (Jan 2025 to July 2025). The highest use is of the 1 mg dose, followed by the 0.25/0.5 mg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7" descr="Wholesaler pharmacy sell-in data for semaglutide (Ozempic and Wegovy) by dose (excluding PBS supplies) (Jan 2025 to July 2025). The highest use is of the 1 mg dose, followed by the 0.25/0.5 mg dos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877300" cy="2076450"/>
                    </a:xfrm>
                    <a:prstGeom prst="rect">
                      <a:avLst/>
                    </a:prstGeom>
                    <a:noFill/>
                    <a:ln>
                      <a:noFill/>
                    </a:ln>
                  </pic:spPr>
                </pic:pic>
              </a:graphicData>
            </a:graphic>
          </wp:inline>
        </w:drawing>
      </w:r>
    </w:p>
    <w:p w14:paraId="6448580E"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snapToGrid w:val="0"/>
          <w:sz w:val="20"/>
          <w:szCs w:val="20"/>
        </w:rPr>
        <w:t xml:space="preserve">Figure 6: Wholesaler pharmacy sell-in data for semaglutide (Ozempic and </w:t>
      </w:r>
      <w:proofErr w:type="spellStart"/>
      <w:r w:rsidRPr="00E96CEF">
        <w:rPr>
          <w:rFonts w:ascii="Arial Narrow" w:eastAsia="Calibri" w:hAnsi="Arial Narrow" w:cs="Arial"/>
          <w:b/>
          <w:snapToGrid w:val="0"/>
          <w:sz w:val="20"/>
          <w:szCs w:val="20"/>
        </w:rPr>
        <w:t>Wegovy</w:t>
      </w:r>
      <w:proofErr w:type="spellEnd"/>
      <w:r w:rsidRPr="00E96CEF">
        <w:rPr>
          <w:rFonts w:ascii="Arial Narrow" w:eastAsia="Calibri" w:hAnsi="Arial Narrow" w:cs="Arial"/>
          <w:b/>
          <w:snapToGrid w:val="0"/>
          <w:sz w:val="20"/>
          <w:szCs w:val="20"/>
        </w:rPr>
        <w:t>) by dose (excluding PBS supplies) (Jan 2025 to July 2025)</w:t>
      </w:r>
    </w:p>
    <w:p w14:paraId="4666F14B" w14:textId="77777777" w:rsidR="00E96CEF" w:rsidRPr="00E96CEF" w:rsidRDefault="00E96CEF" w:rsidP="00E96CEF">
      <w:pPr>
        <w:spacing w:before="120" w:after="120"/>
        <w:rPr>
          <w:rFonts w:ascii="Arial Narrow" w:eastAsia="Calibri" w:hAnsi="Arial Narrow" w:cs="Arial"/>
          <w:b/>
          <w:snapToGrid w:val="0"/>
          <w:sz w:val="20"/>
          <w:szCs w:val="20"/>
        </w:rPr>
      </w:pPr>
    </w:p>
    <w:p w14:paraId="7643ACC6"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noProof/>
          <w:sz w:val="20"/>
          <w:szCs w:val="20"/>
          <w14:ligatures w14:val="standardContextual"/>
        </w:rPr>
        <w:drawing>
          <wp:inline distT="0" distB="0" distL="0" distR="0" wp14:anchorId="72BE1079" wp14:editId="0864DEB4">
            <wp:extent cx="8877300" cy="2025650"/>
            <wp:effectExtent l="0" t="0" r="0" b="0"/>
            <wp:docPr id="29" name="Picture 8" descr="Wholesaler pharmacy sell-in data for semaglutide (Wegovy) by dose (Jan 2025 to July 2025). The highest use is of the 1 mg dose followed by the 0.25/0.5 mg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 descr="Wholesaler pharmacy sell-in data for semaglutide (Wegovy) by dose (Jan 2025 to July 2025). The highest use is of the 1 mg dose followed by the 0.25/0.5 mg dos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877300" cy="2025650"/>
                    </a:xfrm>
                    <a:prstGeom prst="rect">
                      <a:avLst/>
                    </a:prstGeom>
                    <a:noFill/>
                    <a:ln>
                      <a:noFill/>
                    </a:ln>
                  </pic:spPr>
                </pic:pic>
              </a:graphicData>
            </a:graphic>
          </wp:inline>
        </w:drawing>
      </w:r>
    </w:p>
    <w:p w14:paraId="1D4822AA" w14:textId="77777777" w:rsidR="00E96CEF" w:rsidRPr="00E96CEF" w:rsidRDefault="00E96CEF" w:rsidP="00E96CEF">
      <w:pPr>
        <w:spacing w:before="120" w:after="120"/>
        <w:rPr>
          <w:rFonts w:ascii="Arial Narrow" w:eastAsia="Calibri" w:hAnsi="Arial Narrow" w:cs="Arial"/>
          <w:b/>
          <w:snapToGrid w:val="0"/>
          <w:sz w:val="20"/>
          <w:szCs w:val="20"/>
        </w:rPr>
      </w:pPr>
      <w:r w:rsidRPr="00E96CEF">
        <w:rPr>
          <w:rFonts w:ascii="Arial Narrow" w:eastAsia="Calibri" w:hAnsi="Arial Narrow" w:cs="Arial"/>
          <w:b/>
          <w:snapToGrid w:val="0"/>
          <w:sz w:val="20"/>
          <w:szCs w:val="20"/>
        </w:rPr>
        <w:t>Figure 7: Wholesaler pharmacy sell-in data for semaglutide (</w:t>
      </w:r>
      <w:proofErr w:type="spellStart"/>
      <w:r w:rsidRPr="00E96CEF">
        <w:rPr>
          <w:rFonts w:ascii="Arial Narrow" w:eastAsia="Calibri" w:hAnsi="Arial Narrow" w:cs="Arial"/>
          <w:b/>
          <w:snapToGrid w:val="0"/>
          <w:sz w:val="20"/>
          <w:szCs w:val="20"/>
        </w:rPr>
        <w:t>Wegovy</w:t>
      </w:r>
      <w:proofErr w:type="spellEnd"/>
      <w:r w:rsidRPr="00E96CEF">
        <w:rPr>
          <w:rFonts w:ascii="Arial Narrow" w:eastAsia="Calibri" w:hAnsi="Arial Narrow" w:cs="Arial"/>
          <w:b/>
          <w:snapToGrid w:val="0"/>
          <w:sz w:val="20"/>
          <w:szCs w:val="20"/>
        </w:rPr>
        <w:t>) by dose (Jan 2025 to July 2025)</w:t>
      </w:r>
    </w:p>
    <w:p w14:paraId="73669B9C" w14:textId="77777777" w:rsidR="00E96CEF" w:rsidRPr="00E96CEF" w:rsidRDefault="00E96CEF" w:rsidP="00E96CEF">
      <w:pPr>
        <w:spacing w:before="120" w:after="120"/>
        <w:rPr>
          <w:rFonts w:ascii="Arial Narrow" w:eastAsia="Calibri" w:hAnsi="Arial Narrow" w:cs="Arial"/>
          <w:b/>
          <w:snapToGrid w:val="0"/>
          <w:sz w:val="20"/>
          <w:szCs w:val="20"/>
        </w:rPr>
      </w:pPr>
    </w:p>
    <w:p w14:paraId="426CB74B" w14:textId="77777777" w:rsidR="00E96CEF" w:rsidRPr="00E96CEF" w:rsidRDefault="00E96CEF" w:rsidP="00E96CEF">
      <w:pPr>
        <w:spacing w:before="120" w:after="120"/>
        <w:ind w:left="360" w:hanging="360"/>
        <w:rPr>
          <w:rFonts w:ascii="Arial Narrow" w:eastAsia="Calibri" w:hAnsi="Arial Narrow" w:cs="Arial"/>
          <w:b/>
          <w:sz w:val="20"/>
          <w:szCs w:val="20"/>
        </w:rPr>
      </w:pPr>
      <w:r w:rsidRPr="00E96CEF">
        <w:rPr>
          <w:rFonts w:ascii="Arial Narrow" w:eastAsia="Calibri" w:hAnsi="Arial Narrow" w:cs="Arial"/>
          <w:b/>
          <w:noProof/>
          <w:sz w:val="20"/>
          <w:szCs w:val="20"/>
          <w14:ligatures w14:val="standardContextual"/>
        </w:rPr>
        <w:drawing>
          <wp:inline distT="0" distB="0" distL="0" distR="0" wp14:anchorId="6CE3675D" wp14:editId="28A77C81">
            <wp:extent cx="8810625" cy="2559050"/>
            <wp:effectExtent l="0" t="0" r="9525" b="0"/>
            <wp:docPr id="30" name="Picture 6" descr="Wholesaler pharmacy sell-in data for tirzepatide by dose (Jan 2025 to July 2025), showing the highest use is of the 5 mg dose followed by the 2.5 mg do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Wholesaler pharmacy sell-in data for tirzepatide by dose (Jan 2025 to July 2025), showing the highest use is of the 5 mg dose followed by the 2.5 mg dose."/>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810625" cy="2559050"/>
                    </a:xfrm>
                    <a:prstGeom prst="rect">
                      <a:avLst/>
                    </a:prstGeom>
                    <a:noFill/>
                    <a:ln>
                      <a:noFill/>
                    </a:ln>
                  </pic:spPr>
                </pic:pic>
              </a:graphicData>
            </a:graphic>
          </wp:inline>
        </w:drawing>
      </w:r>
    </w:p>
    <w:p w14:paraId="5FC08964" w14:textId="77777777" w:rsidR="00E96CEF" w:rsidRPr="00E96CEF" w:rsidRDefault="00E96CEF" w:rsidP="00E96CEF">
      <w:pPr>
        <w:spacing w:before="120" w:after="120"/>
        <w:rPr>
          <w:rFonts w:ascii="Arial Narrow" w:eastAsia="Calibri" w:hAnsi="Arial Narrow" w:cs="Arial"/>
          <w:b/>
          <w:bCs/>
          <w:snapToGrid w:val="0"/>
          <w:sz w:val="20"/>
          <w:szCs w:val="20"/>
        </w:rPr>
      </w:pPr>
      <w:r w:rsidRPr="00E96CEF">
        <w:rPr>
          <w:rFonts w:ascii="Arial Narrow" w:eastAsia="Calibri" w:hAnsi="Arial Narrow" w:cs="Arial"/>
          <w:b/>
          <w:snapToGrid w:val="0"/>
          <w:sz w:val="20"/>
          <w:szCs w:val="20"/>
        </w:rPr>
        <w:t>Figure 8: Wholesaler pharmacy sell-in data for tirzepatide by dose (Jan 2025 to July 2025)</w:t>
      </w:r>
    </w:p>
    <w:p w14:paraId="7863B6AA" w14:textId="77777777" w:rsidR="00E96CEF" w:rsidRPr="00E96CEF" w:rsidRDefault="00E96CEF" w:rsidP="00E96CEF">
      <w:pPr>
        <w:spacing w:after="160" w:line="256" w:lineRule="auto"/>
        <w:jc w:val="left"/>
        <w:rPr>
          <w:rFonts w:ascii="Arial" w:eastAsia="Aptos" w:hAnsi="Arial"/>
          <w:kern w:val="2"/>
          <w:sz w:val="20"/>
          <w:lang w:eastAsia="en-US"/>
          <w14:ligatures w14:val="standardContextual"/>
        </w:rPr>
      </w:pPr>
    </w:p>
    <w:p w14:paraId="5F7600C9" w14:textId="77777777" w:rsidR="00E96CEF" w:rsidRDefault="00E96CEF" w:rsidP="00AF55CF">
      <w:pPr>
        <w:pStyle w:val="3-BodyText"/>
        <w:numPr>
          <w:ilvl w:val="0"/>
          <w:numId w:val="0"/>
        </w:numPr>
        <w:spacing w:before="120"/>
        <w:rPr>
          <w:snapToGrid w:val="0"/>
        </w:rPr>
        <w:sectPr w:rsidR="00E96CEF" w:rsidSect="00E96CEF">
          <w:pgSz w:w="16838" w:h="11906" w:orient="landscape" w:code="9"/>
          <w:pgMar w:top="1440" w:right="1440" w:bottom="1440" w:left="1440" w:header="1440" w:footer="1440" w:gutter="0"/>
          <w:cols w:space="708"/>
          <w:docGrid w:linePitch="360"/>
        </w:sectPr>
      </w:pPr>
    </w:p>
    <w:bookmarkEnd w:id="7"/>
    <w:p w14:paraId="08686016" w14:textId="0CC4CFFA" w:rsidR="00EF364E" w:rsidRDefault="00EF364E" w:rsidP="001375E1">
      <w:pPr>
        <w:pStyle w:val="2-SectionHeading"/>
      </w:pPr>
      <w:r>
        <w:lastRenderedPageBreak/>
        <w:t>Stakeholder consultation</w:t>
      </w:r>
      <w:r w:rsidR="00504044">
        <w:t xml:space="preserve"> process</w:t>
      </w:r>
    </w:p>
    <w:p w14:paraId="1EA5F511" w14:textId="641675C7" w:rsidR="00B926B8" w:rsidRDefault="00EF364E" w:rsidP="007710F2">
      <w:pPr>
        <w:pStyle w:val="3Bodytext"/>
        <w:jc w:val="both"/>
      </w:pPr>
      <w:r>
        <w:t xml:space="preserve">An item on </w:t>
      </w:r>
      <w:r w:rsidR="004B63FC">
        <w:t>e</w:t>
      </w:r>
      <w:r>
        <w:t xml:space="preserve">quitable access to GLP-1 </w:t>
      </w:r>
      <w:r w:rsidR="004B63FC">
        <w:t xml:space="preserve">medicines for the treatment of </w:t>
      </w:r>
      <w:r>
        <w:t xml:space="preserve">obesity </w:t>
      </w:r>
      <w:r w:rsidR="004B63FC">
        <w:t xml:space="preserve">through the PBS </w:t>
      </w:r>
      <w:r>
        <w:t>was added to the published PBAC agenda</w:t>
      </w:r>
      <w:r w:rsidR="004B63FC">
        <w:t xml:space="preserve"> on 5 September 2025, with consultations open to 24 September 2025 (2.5 weeks). </w:t>
      </w:r>
      <w:r w:rsidR="00B926B8">
        <w:t xml:space="preserve">A PBS News item was published on the PBS website on 5 September 2025, to raise awareness of the public consultation. </w:t>
      </w:r>
      <w:r w:rsidR="00D82C05">
        <w:t>O</w:t>
      </w:r>
      <w:r w:rsidR="00D82C05" w:rsidRPr="00954ED6">
        <w:t>n 19 September 2025</w:t>
      </w:r>
      <w:r w:rsidR="00424163">
        <w:t>,</w:t>
      </w:r>
      <w:r w:rsidR="00D82C05">
        <w:t xml:space="preserve"> t</w:t>
      </w:r>
      <w:r w:rsidR="00B926B8">
        <w:t>he Department also wrote to several stakeholders</w:t>
      </w:r>
      <w:r w:rsidR="0053155F">
        <w:t xml:space="preserve">, </w:t>
      </w:r>
      <w:r w:rsidR="0053155F" w:rsidRPr="00954ED6">
        <w:t xml:space="preserve">including </w:t>
      </w:r>
      <w:r w:rsidR="009E49E2" w:rsidRPr="00954ED6">
        <w:t xml:space="preserve">consumer and clinical groups, </w:t>
      </w:r>
      <w:r w:rsidR="0053155F" w:rsidRPr="00954ED6">
        <w:t>some sponsors of continuous glucose monitoring devices</w:t>
      </w:r>
      <w:r w:rsidR="009E49E2" w:rsidRPr="00954ED6">
        <w:t>,</w:t>
      </w:r>
      <w:r w:rsidR="0053155F" w:rsidRPr="00954ED6">
        <w:t xml:space="preserve"> and weight management service providers</w:t>
      </w:r>
      <w:r w:rsidR="00B926B8" w:rsidRPr="00954ED6">
        <w:t xml:space="preserve"> to inform them of the public consultation</w:t>
      </w:r>
      <w:r w:rsidR="0053155F" w:rsidRPr="00954ED6">
        <w:t>.</w:t>
      </w:r>
      <w:r w:rsidR="00954ED6" w:rsidRPr="00954ED6">
        <w:t xml:space="preserve"> Some stakeholders without public</w:t>
      </w:r>
      <w:r w:rsidR="00954ED6">
        <w:t xml:space="preserve"> email addresses were not contacted. The Department provided extensions to stakeholders where requested.</w:t>
      </w:r>
    </w:p>
    <w:p w14:paraId="29E03CD4" w14:textId="4EA5E37A" w:rsidR="004B63FC" w:rsidRDefault="006B56D4" w:rsidP="007710F2">
      <w:pPr>
        <w:pStyle w:val="3Bodytext"/>
        <w:jc w:val="both"/>
      </w:pPr>
      <w:r>
        <w:t>5</w:t>
      </w:r>
      <w:r w:rsidR="00204979">
        <w:t>40</w:t>
      </w:r>
      <w:r>
        <w:t xml:space="preserve"> </w:t>
      </w:r>
      <w:r w:rsidR="004B63FC">
        <w:t>public submissions were received</w:t>
      </w:r>
      <w:r w:rsidR="005A1659">
        <w:t xml:space="preserve">; </w:t>
      </w:r>
      <w:r w:rsidR="005A1659" w:rsidRPr="00252F45">
        <w:rPr>
          <w:u w:val="single"/>
        </w:rPr>
        <w:t xml:space="preserve">Table </w:t>
      </w:r>
      <w:r w:rsidR="00252F45" w:rsidRPr="00252F45">
        <w:rPr>
          <w:u w:val="single"/>
        </w:rPr>
        <w:t>3</w:t>
      </w:r>
      <w:r w:rsidR="005A1659">
        <w:t xml:space="preserve"> provides a </w:t>
      </w:r>
      <w:r w:rsidR="001E441E">
        <w:t xml:space="preserve">summary of </w:t>
      </w:r>
      <w:r w:rsidR="00BD1FE2">
        <w:t>respondents</w:t>
      </w:r>
      <w:r w:rsidR="005A1659">
        <w:t>.</w:t>
      </w:r>
    </w:p>
    <w:p w14:paraId="4B194A5C" w14:textId="2B69BE60" w:rsidR="003500C9" w:rsidRPr="0082643B" w:rsidRDefault="003500C9" w:rsidP="003500C9">
      <w:pPr>
        <w:pStyle w:val="3Bodytext"/>
        <w:numPr>
          <w:ilvl w:val="0"/>
          <w:numId w:val="0"/>
        </w:numPr>
        <w:rPr>
          <w:rFonts w:ascii="Arial Narrow" w:hAnsi="Arial Narrow"/>
          <w:b/>
          <w:bCs/>
          <w:sz w:val="20"/>
          <w:szCs w:val="20"/>
        </w:rPr>
      </w:pPr>
      <w:r w:rsidRPr="0082643B">
        <w:rPr>
          <w:rFonts w:ascii="Arial Narrow" w:hAnsi="Arial Narrow"/>
          <w:b/>
          <w:bCs/>
          <w:sz w:val="20"/>
          <w:szCs w:val="20"/>
        </w:rPr>
        <w:t xml:space="preserve">Table </w:t>
      </w:r>
      <w:r w:rsidR="00252F45">
        <w:rPr>
          <w:rFonts w:ascii="Arial Narrow" w:hAnsi="Arial Narrow"/>
          <w:b/>
          <w:bCs/>
          <w:sz w:val="20"/>
          <w:szCs w:val="20"/>
        </w:rPr>
        <w:t>3</w:t>
      </w:r>
      <w:r w:rsidR="0082643B">
        <w:rPr>
          <w:rFonts w:ascii="Arial Narrow" w:hAnsi="Arial Narrow"/>
          <w:b/>
          <w:bCs/>
          <w:sz w:val="20"/>
          <w:szCs w:val="20"/>
        </w:rPr>
        <w:t xml:space="preserve">. </w:t>
      </w:r>
      <w:r w:rsidR="00EF335F">
        <w:rPr>
          <w:rFonts w:ascii="Arial Narrow" w:hAnsi="Arial Narrow"/>
          <w:b/>
          <w:bCs/>
          <w:sz w:val="20"/>
          <w:szCs w:val="20"/>
        </w:rPr>
        <w:t>Public submissions to November 2025 PBAC item on equitable access to GLP-1 obesity treatments</w:t>
      </w:r>
    </w:p>
    <w:tbl>
      <w:tblPr>
        <w:tblW w:w="901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8"/>
        <w:gridCol w:w="1930"/>
      </w:tblGrid>
      <w:tr w:rsidR="00C418F3" w:rsidRPr="00C418F3" w14:paraId="20DCBB7A" w14:textId="77777777" w:rsidTr="00EF335F">
        <w:trPr>
          <w:trHeight w:val="300"/>
        </w:trPr>
        <w:tc>
          <w:tcPr>
            <w:tcW w:w="7088" w:type="dxa"/>
            <w:vAlign w:val="center"/>
            <w:hideMark/>
          </w:tcPr>
          <w:p w14:paraId="64320A1F" w14:textId="0DCD5B49" w:rsidR="00C418F3" w:rsidRPr="0082643B" w:rsidRDefault="003500C9" w:rsidP="00256F5C">
            <w:pPr>
              <w:spacing w:before="40" w:after="40"/>
              <w:ind w:left="113"/>
              <w:jc w:val="left"/>
              <w:textAlignment w:val="baseline"/>
              <w:rPr>
                <w:rFonts w:ascii="Arial Narrow" w:hAnsi="Arial Narrow"/>
                <w:b/>
                <w:bCs/>
                <w:sz w:val="20"/>
                <w:szCs w:val="20"/>
              </w:rPr>
            </w:pPr>
            <w:r w:rsidRPr="0082643B">
              <w:rPr>
                <w:rFonts w:ascii="Arial Narrow" w:hAnsi="Arial Narrow"/>
                <w:b/>
                <w:bCs/>
                <w:sz w:val="20"/>
                <w:szCs w:val="20"/>
              </w:rPr>
              <w:t>Category</w:t>
            </w:r>
          </w:p>
        </w:tc>
        <w:tc>
          <w:tcPr>
            <w:tcW w:w="1930" w:type="dxa"/>
            <w:vAlign w:val="center"/>
            <w:hideMark/>
          </w:tcPr>
          <w:p w14:paraId="6EBB41EB" w14:textId="029B4094"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b/>
                <w:bCs/>
                <w:sz w:val="20"/>
                <w:szCs w:val="20"/>
              </w:rPr>
              <w:t>N</w:t>
            </w:r>
            <w:r w:rsidR="003500C9" w:rsidRPr="0082643B">
              <w:rPr>
                <w:rFonts w:ascii="Arial Narrow" w:hAnsi="Arial Narrow" w:cs="Calibri"/>
                <w:b/>
                <w:bCs/>
                <w:sz w:val="20"/>
                <w:szCs w:val="20"/>
              </w:rPr>
              <w:t>o.</w:t>
            </w:r>
            <w:r w:rsidRPr="0082643B">
              <w:rPr>
                <w:rFonts w:ascii="Arial Narrow" w:hAnsi="Arial Narrow" w:cs="Calibri"/>
                <w:b/>
                <w:bCs/>
                <w:sz w:val="20"/>
                <w:szCs w:val="20"/>
              </w:rPr>
              <w:t xml:space="preserve"> of </w:t>
            </w:r>
            <w:r w:rsidR="002A5DA6">
              <w:rPr>
                <w:rFonts w:ascii="Arial Narrow" w:hAnsi="Arial Narrow" w:cs="Calibri"/>
                <w:b/>
                <w:bCs/>
                <w:sz w:val="20"/>
                <w:szCs w:val="20"/>
              </w:rPr>
              <w:t>inputs</w:t>
            </w:r>
            <w:r w:rsidR="002A5DA6" w:rsidRPr="0082643B">
              <w:rPr>
                <w:rFonts w:ascii="Arial Narrow" w:hAnsi="Arial Narrow" w:cs="Calibri"/>
                <w:b/>
                <w:bCs/>
                <w:sz w:val="20"/>
                <w:szCs w:val="20"/>
              </w:rPr>
              <w:t xml:space="preserve"> </w:t>
            </w:r>
            <w:r w:rsidR="003500C9" w:rsidRPr="0082643B">
              <w:rPr>
                <w:rFonts w:ascii="Arial Narrow" w:hAnsi="Arial Narrow" w:cs="Calibri"/>
                <w:b/>
                <w:bCs/>
                <w:sz w:val="20"/>
                <w:szCs w:val="20"/>
              </w:rPr>
              <w:t>r</w:t>
            </w:r>
            <w:r w:rsidRPr="0082643B">
              <w:rPr>
                <w:rFonts w:ascii="Arial Narrow" w:hAnsi="Arial Narrow" w:cs="Calibri"/>
                <w:b/>
                <w:bCs/>
                <w:sz w:val="20"/>
                <w:szCs w:val="20"/>
              </w:rPr>
              <w:t>eceived</w:t>
            </w:r>
            <w:r w:rsidRPr="0082643B">
              <w:rPr>
                <w:rFonts w:ascii="Arial Narrow" w:hAnsi="Arial Narrow" w:cs="Calibri"/>
                <w:sz w:val="20"/>
                <w:szCs w:val="20"/>
              </w:rPr>
              <w:t> </w:t>
            </w:r>
          </w:p>
        </w:tc>
      </w:tr>
      <w:tr w:rsidR="00C418F3" w:rsidRPr="00C418F3" w14:paraId="48DC468B" w14:textId="77777777" w:rsidTr="00EF335F">
        <w:trPr>
          <w:trHeight w:val="300"/>
        </w:trPr>
        <w:tc>
          <w:tcPr>
            <w:tcW w:w="7088" w:type="dxa"/>
            <w:vAlign w:val="center"/>
            <w:hideMark/>
          </w:tcPr>
          <w:p w14:paraId="4F10E866" w14:textId="77777777"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sz w:val="20"/>
                <w:szCs w:val="20"/>
              </w:rPr>
              <w:t>Health professional working in the area </w:t>
            </w:r>
          </w:p>
        </w:tc>
        <w:tc>
          <w:tcPr>
            <w:tcW w:w="1930" w:type="dxa"/>
            <w:vAlign w:val="center"/>
            <w:hideMark/>
          </w:tcPr>
          <w:p w14:paraId="56B069EB" w14:textId="77777777"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sz w:val="20"/>
                <w:szCs w:val="20"/>
              </w:rPr>
              <w:t>25 </w:t>
            </w:r>
          </w:p>
        </w:tc>
      </w:tr>
      <w:tr w:rsidR="00C418F3" w:rsidRPr="00C418F3" w14:paraId="5252C6DB" w14:textId="77777777" w:rsidTr="00EF335F">
        <w:trPr>
          <w:trHeight w:val="300"/>
        </w:trPr>
        <w:tc>
          <w:tcPr>
            <w:tcW w:w="7088" w:type="dxa"/>
            <w:vAlign w:val="center"/>
            <w:hideMark/>
          </w:tcPr>
          <w:p w14:paraId="458B2B19" w14:textId="77777777"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sz w:val="20"/>
                <w:szCs w:val="20"/>
              </w:rPr>
              <w:t>Individual who has used this medicine for own health condition </w:t>
            </w:r>
          </w:p>
        </w:tc>
        <w:tc>
          <w:tcPr>
            <w:tcW w:w="1930" w:type="dxa"/>
            <w:vAlign w:val="center"/>
            <w:hideMark/>
          </w:tcPr>
          <w:p w14:paraId="07012771" w14:textId="1071CB83"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sz w:val="20"/>
                <w:szCs w:val="20"/>
              </w:rPr>
              <w:t>45</w:t>
            </w:r>
            <w:r w:rsidR="009F7DF7">
              <w:rPr>
                <w:rFonts w:ascii="Arial Narrow" w:hAnsi="Arial Narrow" w:cs="Calibri"/>
                <w:sz w:val="20"/>
                <w:szCs w:val="20"/>
              </w:rPr>
              <w:t>9</w:t>
            </w:r>
            <w:r w:rsidRPr="0082643B">
              <w:rPr>
                <w:rFonts w:ascii="Arial Narrow" w:hAnsi="Arial Narrow" w:cs="Calibri"/>
                <w:sz w:val="20"/>
                <w:szCs w:val="20"/>
              </w:rPr>
              <w:t> </w:t>
            </w:r>
          </w:p>
        </w:tc>
      </w:tr>
      <w:tr w:rsidR="00C418F3" w:rsidRPr="00C418F3" w14:paraId="75148B12" w14:textId="77777777" w:rsidTr="00EF335F">
        <w:trPr>
          <w:trHeight w:val="300"/>
        </w:trPr>
        <w:tc>
          <w:tcPr>
            <w:tcW w:w="7088" w:type="dxa"/>
            <w:vAlign w:val="center"/>
            <w:hideMark/>
          </w:tcPr>
          <w:p w14:paraId="3ED2C69A" w14:textId="6298235F"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sz w:val="20"/>
                <w:szCs w:val="20"/>
              </w:rPr>
              <w:t>Individual who would like to access the medicine to treat own health condition, but has never used the medicine </w:t>
            </w:r>
          </w:p>
        </w:tc>
        <w:tc>
          <w:tcPr>
            <w:tcW w:w="1930" w:type="dxa"/>
            <w:vAlign w:val="center"/>
            <w:hideMark/>
          </w:tcPr>
          <w:p w14:paraId="3719D531" w14:textId="77777777"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sz w:val="20"/>
                <w:szCs w:val="20"/>
              </w:rPr>
              <w:t>31 </w:t>
            </w:r>
          </w:p>
        </w:tc>
      </w:tr>
      <w:tr w:rsidR="00C418F3" w:rsidRPr="00C418F3" w14:paraId="72377431" w14:textId="77777777" w:rsidTr="00EF335F">
        <w:trPr>
          <w:trHeight w:val="300"/>
        </w:trPr>
        <w:tc>
          <w:tcPr>
            <w:tcW w:w="7088" w:type="dxa"/>
            <w:vAlign w:val="center"/>
            <w:hideMark/>
          </w:tcPr>
          <w:p w14:paraId="30281C50" w14:textId="77777777"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sz w:val="20"/>
                <w:szCs w:val="20"/>
              </w:rPr>
              <w:t>Parent or partner of an individual from above two groups </w:t>
            </w:r>
          </w:p>
        </w:tc>
        <w:tc>
          <w:tcPr>
            <w:tcW w:w="1930" w:type="dxa"/>
            <w:vAlign w:val="center"/>
            <w:hideMark/>
          </w:tcPr>
          <w:p w14:paraId="0DD2FCC3" w14:textId="77777777"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sz w:val="20"/>
                <w:szCs w:val="20"/>
              </w:rPr>
              <w:t>1 </w:t>
            </w:r>
          </w:p>
        </w:tc>
      </w:tr>
      <w:tr w:rsidR="00C418F3" w:rsidRPr="00C418F3" w14:paraId="28A281E7" w14:textId="77777777" w:rsidTr="00EF335F">
        <w:trPr>
          <w:trHeight w:val="300"/>
        </w:trPr>
        <w:tc>
          <w:tcPr>
            <w:tcW w:w="7088" w:type="dxa"/>
            <w:vAlign w:val="center"/>
            <w:hideMark/>
          </w:tcPr>
          <w:p w14:paraId="54717436" w14:textId="77777777"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sz w:val="20"/>
                <w:szCs w:val="20"/>
              </w:rPr>
              <w:t>Other interested individual (including family members, friends, or members of the public) </w:t>
            </w:r>
          </w:p>
        </w:tc>
        <w:tc>
          <w:tcPr>
            <w:tcW w:w="1930" w:type="dxa"/>
            <w:vAlign w:val="center"/>
            <w:hideMark/>
          </w:tcPr>
          <w:p w14:paraId="1F841190" w14:textId="77777777"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sz w:val="20"/>
                <w:szCs w:val="20"/>
              </w:rPr>
              <w:t>1 </w:t>
            </w:r>
          </w:p>
        </w:tc>
      </w:tr>
      <w:tr w:rsidR="00C418F3" w:rsidRPr="00C418F3" w14:paraId="08402709" w14:textId="77777777" w:rsidTr="00EF335F">
        <w:trPr>
          <w:trHeight w:val="300"/>
        </w:trPr>
        <w:tc>
          <w:tcPr>
            <w:tcW w:w="7088" w:type="dxa"/>
            <w:vAlign w:val="center"/>
            <w:hideMark/>
          </w:tcPr>
          <w:p w14:paraId="7D5E446B" w14:textId="77777777"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sz w:val="20"/>
                <w:szCs w:val="20"/>
              </w:rPr>
              <w:t>Medical/other organisation </w:t>
            </w:r>
          </w:p>
        </w:tc>
        <w:tc>
          <w:tcPr>
            <w:tcW w:w="1930" w:type="dxa"/>
            <w:vAlign w:val="center"/>
            <w:hideMark/>
          </w:tcPr>
          <w:p w14:paraId="2473C458" w14:textId="77777777"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sz w:val="20"/>
                <w:szCs w:val="20"/>
              </w:rPr>
              <w:t>17 </w:t>
            </w:r>
          </w:p>
        </w:tc>
      </w:tr>
      <w:tr w:rsidR="00C418F3" w:rsidRPr="00C418F3" w14:paraId="6AB5EB00" w14:textId="77777777" w:rsidTr="00EF335F">
        <w:trPr>
          <w:trHeight w:val="300"/>
        </w:trPr>
        <w:tc>
          <w:tcPr>
            <w:tcW w:w="7088" w:type="dxa"/>
            <w:vAlign w:val="center"/>
            <w:hideMark/>
          </w:tcPr>
          <w:p w14:paraId="20262730" w14:textId="77777777"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sz w:val="20"/>
                <w:szCs w:val="20"/>
              </w:rPr>
              <w:t>Consumer group/organisation </w:t>
            </w:r>
          </w:p>
        </w:tc>
        <w:tc>
          <w:tcPr>
            <w:tcW w:w="1930" w:type="dxa"/>
            <w:vAlign w:val="center"/>
            <w:hideMark/>
          </w:tcPr>
          <w:p w14:paraId="72BA28A3" w14:textId="77777777"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sz w:val="20"/>
                <w:szCs w:val="20"/>
              </w:rPr>
              <w:t>6 </w:t>
            </w:r>
          </w:p>
        </w:tc>
      </w:tr>
      <w:tr w:rsidR="00C418F3" w:rsidRPr="00C418F3" w14:paraId="5F519A39" w14:textId="77777777" w:rsidTr="00EF335F">
        <w:trPr>
          <w:trHeight w:val="300"/>
        </w:trPr>
        <w:tc>
          <w:tcPr>
            <w:tcW w:w="7088" w:type="dxa"/>
            <w:vAlign w:val="center"/>
            <w:hideMark/>
          </w:tcPr>
          <w:p w14:paraId="462AC7C3" w14:textId="5E98520B" w:rsidR="00C418F3" w:rsidRPr="0082643B" w:rsidRDefault="00C418F3" w:rsidP="00256F5C">
            <w:pPr>
              <w:spacing w:before="40" w:after="40"/>
              <w:ind w:left="113"/>
              <w:jc w:val="left"/>
              <w:textAlignment w:val="baseline"/>
              <w:rPr>
                <w:rFonts w:ascii="Arial Narrow" w:hAnsi="Arial Narrow"/>
                <w:sz w:val="20"/>
                <w:szCs w:val="20"/>
              </w:rPr>
            </w:pPr>
            <w:r w:rsidRPr="0082643B">
              <w:rPr>
                <w:rFonts w:ascii="Arial Narrow" w:hAnsi="Arial Narrow" w:cs="Calibri"/>
                <w:b/>
                <w:bCs/>
                <w:sz w:val="20"/>
                <w:szCs w:val="20"/>
              </w:rPr>
              <w:t>Total</w:t>
            </w:r>
            <w:r w:rsidRPr="0082643B">
              <w:rPr>
                <w:rFonts w:ascii="Arial Narrow" w:hAnsi="Arial Narrow" w:cs="Calibri"/>
                <w:sz w:val="20"/>
                <w:szCs w:val="20"/>
              </w:rPr>
              <w:t> </w:t>
            </w:r>
          </w:p>
        </w:tc>
        <w:tc>
          <w:tcPr>
            <w:tcW w:w="1930" w:type="dxa"/>
            <w:shd w:val="clear" w:color="auto" w:fill="FFFFFF"/>
            <w:vAlign w:val="center"/>
            <w:hideMark/>
          </w:tcPr>
          <w:p w14:paraId="723E6911" w14:textId="77777777" w:rsidR="00C418F3" w:rsidRPr="0082643B" w:rsidRDefault="00C418F3" w:rsidP="00C418F3">
            <w:pPr>
              <w:jc w:val="center"/>
              <w:textAlignment w:val="baseline"/>
              <w:rPr>
                <w:rFonts w:ascii="Arial Narrow" w:hAnsi="Arial Narrow"/>
                <w:sz w:val="20"/>
                <w:szCs w:val="20"/>
              </w:rPr>
            </w:pPr>
            <w:r w:rsidRPr="0082643B">
              <w:rPr>
                <w:rFonts w:ascii="Arial Narrow" w:hAnsi="Arial Narrow" w:cs="Calibri"/>
                <w:b/>
                <w:bCs/>
                <w:color w:val="000000"/>
                <w:sz w:val="20"/>
                <w:szCs w:val="20"/>
              </w:rPr>
              <w:t>540</w:t>
            </w:r>
            <w:r w:rsidRPr="0082643B">
              <w:rPr>
                <w:rFonts w:ascii="Arial Narrow" w:hAnsi="Arial Narrow" w:cs="Calibri"/>
                <w:color w:val="000000"/>
                <w:sz w:val="20"/>
                <w:szCs w:val="20"/>
              </w:rPr>
              <w:t> </w:t>
            </w:r>
          </w:p>
        </w:tc>
      </w:tr>
    </w:tbl>
    <w:p w14:paraId="3E204D9E" w14:textId="77777777" w:rsidR="005F4C53" w:rsidRDefault="005F4C53" w:rsidP="005F4C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18"/>
          <w:szCs w:val="18"/>
        </w:rPr>
        <w:t>Note: </w:t>
      </w:r>
      <w:r>
        <w:rPr>
          <w:rStyle w:val="eop"/>
          <w:rFonts w:ascii="Calibri" w:hAnsi="Calibri" w:cs="Calibri"/>
          <w:sz w:val="18"/>
          <w:szCs w:val="18"/>
        </w:rPr>
        <w:t> </w:t>
      </w:r>
    </w:p>
    <w:p w14:paraId="784E6F60" w14:textId="77777777" w:rsidR="005F4C53" w:rsidRDefault="005F4C53" w:rsidP="005F4C5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18"/>
          <w:szCs w:val="18"/>
        </w:rPr>
        <w:t>1. The number of inputs received per category reflects how contributors have classified themselves.</w:t>
      </w:r>
      <w:r>
        <w:rPr>
          <w:rStyle w:val="eop"/>
          <w:rFonts w:ascii="Calibri" w:hAnsi="Calibri" w:cs="Calibri"/>
          <w:sz w:val="18"/>
          <w:szCs w:val="18"/>
        </w:rPr>
        <w:t> </w:t>
      </w:r>
    </w:p>
    <w:p w14:paraId="7413B2ED" w14:textId="77777777" w:rsidR="005F4C53" w:rsidRDefault="005F4C53" w:rsidP="005F4C53">
      <w:pPr>
        <w:pStyle w:val="paragraph"/>
        <w:spacing w:before="0" w:beforeAutospacing="0" w:after="0" w:afterAutospacing="0"/>
        <w:ind w:right="-570"/>
        <w:textAlignment w:val="baseline"/>
        <w:rPr>
          <w:rStyle w:val="normaltextrun"/>
          <w:rFonts w:ascii="Calibri" w:hAnsi="Calibri" w:cs="Calibri"/>
          <w:i/>
          <w:iCs/>
          <w:sz w:val="18"/>
          <w:szCs w:val="18"/>
        </w:rPr>
      </w:pPr>
      <w:r>
        <w:rPr>
          <w:rStyle w:val="normaltextrun"/>
          <w:rFonts w:ascii="Calibri" w:hAnsi="Calibri" w:cs="Calibri"/>
          <w:i/>
          <w:iCs/>
          <w:sz w:val="18"/>
          <w:szCs w:val="18"/>
        </w:rPr>
        <w:t>2. The tally does not include input where only the ‘Contact Details’ section of the survey was completed. </w:t>
      </w:r>
    </w:p>
    <w:p w14:paraId="3D79935F" w14:textId="2050ACC1" w:rsidR="00751FFF" w:rsidRDefault="00751FFF" w:rsidP="005F4C53">
      <w:pPr>
        <w:pStyle w:val="paragraph"/>
        <w:spacing w:before="0" w:beforeAutospacing="0" w:after="0" w:afterAutospacing="0"/>
        <w:ind w:right="-570"/>
        <w:textAlignment w:val="baseline"/>
        <w:rPr>
          <w:rFonts w:ascii="Segoe UI" w:hAnsi="Segoe UI" w:cs="Segoe UI"/>
          <w:sz w:val="18"/>
          <w:szCs w:val="18"/>
        </w:rPr>
      </w:pPr>
      <w:r>
        <w:rPr>
          <w:rStyle w:val="normaltextrun"/>
          <w:rFonts w:ascii="Calibri" w:hAnsi="Calibri" w:cs="Calibri"/>
          <w:i/>
          <w:iCs/>
          <w:sz w:val="18"/>
          <w:szCs w:val="18"/>
        </w:rPr>
        <w:t>3. The tally does not include inputs received for item 7.04</w:t>
      </w:r>
      <w:r w:rsidR="005F7918">
        <w:rPr>
          <w:rStyle w:val="normaltextrun"/>
          <w:rFonts w:ascii="Calibri" w:hAnsi="Calibri" w:cs="Calibri"/>
          <w:i/>
          <w:iCs/>
          <w:sz w:val="18"/>
          <w:szCs w:val="18"/>
        </w:rPr>
        <w:t xml:space="preserve"> (semaglutide for established cardiovascular disease).</w:t>
      </w:r>
    </w:p>
    <w:p w14:paraId="58967005" w14:textId="1ADE4709" w:rsidR="00C418F3" w:rsidRPr="00C418F3" w:rsidRDefault="00C418F3" w:rsidP="0092210B">
      <w:pPr>
        <w:pStyle w:val="3Bodytext"/>
        <w:numPr>
          <w:ilvl w:val="0"/>
          <w:numId w:val="0"/>
        </w:numPr>
        <w:ind w:left="720" w:hanging="720"/>
      </w:pPr>
    </w:p>
    <w:p w14:paraId="0BD77533" w14:textId="42297FA4" w:rsidR="00244B99" w:rsidRDefault="00B71F7F" w:rsidP="007710F2">
      <w:pPr>
        <w:pStyle w:val="3Bodytext"/>
        <w:jc w:val="both"/>
      </w:pPr>
      <w:r>
        <w:t xml:space="preserve">Organisations that provided a response </w:t>
      </w:r>
      <w:r w:rsidR="003B27F6">
        <w:t xml:space="preserve">(listed alphabetically) </w:t>
      </w:r>
      <w:r>
        <w:t xml:space="preserve">include: </w:t>
      </w:r>
    </w:p>
    <w:p w14:paraId="53B64D43" w14:textId="7514977E" w:rsidR="002C461A" w:rsidRPr="0092210B" w:rsidRDefault="00CC1B5B" w:rsidP="007710F2">
      <w:pPr>
        <w:pStyle w:val="3Bodytext"/>
        <w:numPr>
          <w:ilvl w:val="0"/>
          <w:numId w:val="43"/>
        </w:numPr>
        <w:jc w:val="both"/>
      </w:pPr>
      <w:r w:rsidRPr="0092210B">
        <w:t>Aboriginal Medical Services Alliance Northern Territory (</w:t>
      </w:r>
      <w:r w:rsidR="002C461A" w:rsidRPr="0092210B">
        <w:t>AMSANT</w:t>
      </w:r>
      <w:r w:rsidRPr="0092210B">
        <w:t>)</w:t>
      </w:r>
    </w:p>
    <w:p w14:paraId="13BEEEB7" w14:textId="77777777" w:rsidR="002C461A" w:rsidRPr="0092210B" w:rsidRDefault="002C461A" w:rsidP="007710F2">
      <w:pPr>
        <w:pStyle w:val="3Bodytext"/>
        <w:numPr>
          <w:ilvl w:val="0"/>
          <w:numId w:val="43"/>
        </w:numPr>
        <w:jc w:val="both"/>
      </w:pPr>
      <w:r w:rsidRPr="0092210B">
        <w:t>Amgen Australia Pty Ltd</w:t>
      </w:r>
    </w:p>
    <w:p w14:paraId="1ED8A11F" w14:textId="77777777" w:rsidR="002C461A" w:rsidRPr="0092210B" w:rsidRDefault="002C461A" w:rsidP="007710F2">
      <w:pPr>
        <w:pStyle w:val="3Bodytext"/>
        <w:numPr>
          <w:ilvl w:val="0"/>
          <w:numId w:val="43"/>
        </w:numPr>
        <w:jc w:val="both"/>
      </w:pPr>
      <w:r w:rsidRPr="0092210B">
        <w:t>Australasian Sleep Association</w:t>
      </w:r>
    </w:p>
    <w:p w14:paraId="77A9F667" w14:textId="77777777" w:rsidR="002C461A" w:rsidRPr="0092210B" w:rsidRDefault="002C461A" w:rsidP="007710F2">
      <w:pPr>
        <w:pStyle w:val="3Bodytext"/>
        <w:numPr>
          <w:ilvl w:val="0"/>
          <w:numId w:val="43"/>
        </w:numPr>
        <w:jc w:val="both"/>
      </w:pPr>
      <w:r w:rsidRPr="0092210B">
        <w:t>Australia and New Zealand Society for Paediatric Endocrinology and Diabetes (ANZSPED) Incorporated</w:t>
      </w:r>
    </w:p>
    <w:p w14:paraId="4E5ECCF2" w14:textId="77777777" w:rsidR="002C461A" w:rsidRPr="0092210B" w:rsidRDefault="002C461A" w:rsidP="007710F2">
      <w:pPr>
        <w:pStyle w:val="3Bodytext"/>
        <w:numPr>
          <w:ilvl w:val="0"/>
          <w:numId w:val="43"/>
        </w:numPr>
        <w:jc w:val="both"/>
      </w:pPr>
      <w:r w:rsidRPr="0092210B">
        <w:t>Australian College of Nurse Practitioners</w:t>
      </w:r>
    </w:p>
    <w:p w14:paraId="25E93FC0" w14:textId="77777777" w:rsidR="002C461A" w:rsidRPr="0092210B" w:rsidRDefault="002C461A" w:rsidP="007710F2">
      <w:pPr>
        <w:pStyle w:val="3Bodytext"/>
        <w:numPr>
          <w:ilvl w:val="0"/>
          <w:numId w:val="43"/>
        </w:numPr>
        <w:jc w:val="both"/>
      </w:pPr>
      <w:r w:rsidRPr="0092210B">
        <w:t>Australian Diabetes Society</w:t>
      </w:r>
    </w:p>
    <w:p w14:paraId="003F6871" w14:textId="77777777" w:rsidR="002C461A" w:rsidRPr="0092210B" w:rsidRDefault="002C461A" w:rsidP="007710F2">
      <w:pPr>
        <w:pStyle w:val="3Bodytext"/>
        <w:numPr>
          <w:ilvl w:val="0"/>
          <w:numId w:val="43"/>
        </w:numPr>
        <w:jc w:val="both"/>
      </w:pPr>
      <w:r w:rsidRPr="0092210B">
        <w:t>Australian and New Zealand Society for Vascular Surgery</w:t>
      </w:r>
    </w:p>
    <w:p w14:paraId="1B9679AA" w14:textId="77777777" w:rsidR="002C461A" w:rsidRPr="0092210B" w:rsidRDefault="002C461A" w:rsidP="007710F2">
      <w:pPr>
        <w:pStyle w:val="3Bodytext"/>
        <w:numPr>
          <w:ilvl w:val="0"/>
          <w:numId w:val="43"/>
        </w:numPr>
        <w:jc w:val="both"/>
      </w:pPr>
      <w:r w:rsidRPr="0092210B">
        <w:lastRenderedPageBreak/>
        <w:t>Cancer Council Australia</w:t>
      </w:r>
    </w:p>
    <w:p w14:paraId="76C63497" w14:textId="77777777" w:rsidR="002C461A" w:rsidRPr="0092210B" w:rsidRDefault="002C461A" w:rsidP="007710F2">
      <w:pPr>
        <w:pStyle w:val="3Bodytext"/>
        <w:numPr>
          <w:ilvl w:val="0"/>
          <w:numId w:val="43"/>
        </w:numPr>
        <w:jc w:val="both"/>
      </w:pPr>
      <w:r w:rsidRPr="0092210B">
        <w:t>Commonwealth Scientific and Industrial Research Organisation (CSIRO)</w:t>
      </w:r>
    </w:p>
    <w:p w14:paraId="2CDC782C" w14:textId="77777777" w:rsidR="002C461A" w:rsidRPr="0092210B" w:rsidRDefault="002C461A" w:rsidP="007710F2">
      <w:pPr>
        <w:pStyle w:val="3Bodytext"/>
        <w:numPr>
          <w:ilvl w:val="0"/>
          <w:numId w:val="43"/>
        </w:numPr>
        <w:jc w:val="both"/>
      </w:pPr>
      <w:r w:rsidRPr="0092210B">
        <w:t>Council of Therapeutic Advisory Groups (CATAG)</w:t>
      </w:r>
    </w:p>
    <w:p w14:paraId="20FAF871" w14:textId="77777777" w:rsidR="002C461A" w:rsidRPr="0092210B" w:rsidRDefault="002C461A" w:rsidP="007710F2">
      <w:pPr>
        <w:pStyle w:val="3Bodytext"/>
        <w:numPr>
          <w:ilvl w:val="0"/>
          <w:numId w:val="43"/>
        </w:numPr>
        <w:jc w:val="both"/>
      </w:pPr>
      <w:r w:rsidRPr="0092210B">
        <w:t>Dexcom AMSL</w:t>
      </w:r>
    </w:p>
    <w:p w14:paraId="5719D354" w14:textId="71C61AAC" w:rsidR="002C461A" w:rsidRPr="0092210B" w:rsidRDefault="002C461A" w:rsidP="007710F2">
      <w:pPr>
        <w:pStyle w:val="3Bodytext"/>
        <w:numPr>
          <w:ilvl w:val="0"/>
          <w:numId w:val="43"/>
        </w:numPr>
        <w:jc w:val="both"/>
      </w:pPr>
      <w:r w:rsidRPr="0092210B">
        <w:t>Diabetes Alliance</w:t>
      </w:r>
      <w:r w:rsidR="001D6495" w:rsidRPr="0092210B">
        <w:t xml:space="preserve"> (representing Diabetes Australia, the Australian Diabetes Educators Association, the Australian Diabetes Society, Breakthrough T1D, the Australasian Diabetes in Pregnancy Society, and the Australian and New Zealand Society for Paediatric Endocrinology and Diabetes)</w:t>
      </w:r>
    </w:p>
    <w:p w14:paraId="14CD13E9" w14:textId="77777777" w:rsidR="002C461A" w:rsidRPr="0092210B" w:rsidRDefault="002C461A" w:rsidP="007710F2">
      <w:pPr>
        <w:pStyle w:val="3Bodytext"/>
        <w:numPr>
          <w:ilvl w:val="0"/>
          <w:numId w:val="43"/>
        </w:numPr>
        <w:jc w:val="both"/>
      </w:pPr>
      <w:r w:rsidRPr="0092210B">
        <w:t>Dietitians Australia</w:t>
      </w:r>
    </w:p>
    <w:p w14:paraId="1A8195AF" w14:textId="77777777" w:rsidR="002C461A" w:rsidRPr="0092210B" w:rsidRDefault="002C461A" w:rsidP="007710F2">
      <w:pPr>
        <w:pStyle w:val="3Bodytext"/>
        <w:numPr>
          <w:ilvl w:val="0"/>
          <w:numId w:val="43"/>
        </w:numPr>
        <w:jc w:val="both"/>
      </w:pPr>
      <w:r w:rsidRPr="0092210B">
        <w:t>Digital Wellness</w:t>
      </w:r>
    </w:p>
    <w:p w14:paraId="78580B59" w14:textId="04F69EFD" w:rsidR="002C461A" w:rsidRPr="0092210B" w:rsidRDefault="002C461A" w:rsidP="007710F2">
      <w:pPr>
        <w:pStyle w:val="3Bodytext"/>
        <w:numPr>
          <w:ilvl w:val="0"/>
          <w:numId w:val="43"/>
        </w:numPr>
        <w:jc w:val="both"/>
      </w:pPr>
      <w:r w:rsidRPr="0092210B">
        <w:t>Eli Lilly</w:t>
      </w:r>
      <w:r w:rsidR="008F0D4B" w:rsidRPr="0092210B">
        <w:t xml:space="preserve"> Pty Ltd</w:t>
      </w:r>
    </w:p>
    <w:p w14:paraId="64B85F0C" w14:textId="77777777" w:rsidR="002C461A" w:rsidRPr="0092210B" w:rsidRDefault="002C461A" w:rsidP="007710F2">
      <w:pPr>
        <w:pStyle w:val="3Bodytext"/>
        <w:numPr>
          <w:ilvl w:val="0"/>
          <w:numId w:val="43"/>
        </w:numPr>
        <w:jc w:val="both"/>
      </w:pPr>
      <w:r w:rsidRPr="0092210B">
        <w:t>National Aboriginal Community Controlled Health Organisation (NACCHO)</w:t>
      </w:r>
    </w:p>
    <w:p w14:paraId="10234A2C" w14:textId="77777777" w:rsidR="002C461A" w:rsidRPr="0092210B" w:rsidRDefault="002C461A" w:rsidP="007710F2">
      <w:pPr>
        <w:pStyle w:val="3Bodytext"/>
        <w:numPr>
          <w:ilvl w:val="0"/>
          <w:numId w:val="43"/>
        </w:numPr>
        <w:jc w:val="both"/>
      </w:pPr>
      <w:r w:rsidRPr="0092210B">
        <w:t>National Paediatric Medicines Forum</w:t>
      </w:r>
    </w:p>
    <w:p w14:paraId="34E1224C" w14:textId="7F8C27E2" w:rsidR="002C461A" w:rsidRPr="0092210B" w:rsidRDefault="002C461A" w:rsidP="007710F2">
      <w:pPr>
        <w:pStyle w:val="3Bodytext"/>
        <w:numPr>
          <w:ilvl w:val="0"/>
          <w:numId w:val="43"/>
        </w:numPr>
        <w:jc w:val="both"/>
      </w:pPr>
      <w:r w:rsidRPr="0092210B">
        <w:t>Novo Nordisk</w:t>
      </w:r>
      <w:r w:rsidR="008F0D4B" w:rsidRPr="0092210B">
        <w:t xml:space="preserve"> Pty Ltd</w:t>
      </w:r>
    </w:p>
    <w:p w14:paraId="3BED8CCF" w14:textId="77777777" w:rsidR="002C461A" w:rsidRPr="0092210B" w:rsidRDefault="002C461A" w:rsidP="007710F2">
      <w:pPr>
        <w:pStyle w:val="3Bodytext"/>
        <w:numPr>
          <w:ilvl w:val="0"/>
          <w:numId w:val="43"/>
        </w:numPr>
        <w:jc w:val="both"/>
      </w:pPr>
      <w:r w:rsidRPr="0092210B">
        <w:t>NT Health</w:t>
      </w:r>
    </w:p>
    <w:p w14:paraId="233FBAD1" w14:textId="77777777" w:rsidR="002C461A" w:rsidRPr="0092210B" w:rsidRDefault="002C461A" w:rsidP="007710F2">
      <w:pPr>
        <w:pStyle w:val="3Bodytext"/>
        <w:numPr>
          <w:ilvl w:val="0"/>
          <w:numId w:val="43"/>
        </w:numPr>
        <w:jc w:val="both"/>
      </w:pPr>
      <w:r w:rsidRPr="0092210B">
        <w:t>Patients Australia Limited</w:t>
      </w:r>
    </w:p>
    <w:p w14:paraId="5EEEA0B1" w14:textId="77777777" w:rsidR="002C461A" w:rsidRPr="0092210B" w:rsidRDefault="002C461A" w:rsidP="007710F2">
      <w:pPr>
        <w:pStyle w:val="3Bodytext"/>
        <w:numPr>
          <w:ilvl w:val="0"/>
          <w:numId w:val="43"/>
        </w:numPr>
        <w:jc w:val="both"/>
      </w:pPr>
      <w:r w:rsidRPr="0092210B">
        <w:t>Prader Willi Research Foundation Australia (PWRFA)</w:t>
      </w:r>
    </w:p>
    <w:p w14:paraId="03978C0F" w14:textId="77777777" w:rsidR="002C461A" w:rsidRPr="0092210B" w:rsidRDefault="002C461A" w:rsidP="007710F2">
      <w:pPr>
        <w:pStyle w:val="3Bodytext"/>
        <w:numPr>
          <w:ilvl w:val="0"/>
          <w:numId w:val="43"/>
        </w:numPr>
        <w:jc w:val="both"/>
      </w:pPr>
      <w:r w:rsidRPr="0092210B">
        <w:t>Rural Doctors Association of Australia</w:t>
      </w:r>
    </w:p>
    <w:p w14:paraId="54DADA04" w14:textId="031A600F" w:rsidR="002C461A" w:rsidRPr="0092210B" w:rsidRDefault="003C0856" w:rsidP="007710F2">
      <w:pPr>
        <w:pStyle w:val="3Bodytext"/>
        <w:numPr>
          <w:ilvl w:val="0"/>
          <w:numId w:val="43"/>
        </w:numPr>
        <w:jc w:val="both"/>
      </w:pPr>
      <w:r w:rsidRPr="0092210B">
        <w:t>T</w:t>
      </w:r>
      <w:r w:rsidR="002C461A" w:rsidRPr="0092210B">
        <w:t>he Obesity Collective (</w:t>
      </w:r>
      <w:r w:rsidR="00CF54B9" w:rsidRPr="0092210B">
        <w:t xml:space="preserve">jointly developed with </w:t>
      </w:r>
      <w:r w:rsidR="00642517" w:rsidRPr="0092210B">
        <w:t>the National Association of Clinical Obesity Services (NACOS), the Australian and New Zealand Metabolic and Obesity Surgery Society (ANZMOSS), the Australian and New Zealand Obesity Society (ANZOS), and the Weight Issues Network (WIN)</w:t>
      </w:r>
      <w:r w:rsidR="002C461A" w:rsidRPr="0092210B">
        <w:t>)</w:t>
      </w:r>
      <w:r w:rsidR="005D7BA3" w:rsidRPr="0092210B">
        <w:t>.</w:t>
      </w:r>
    </w:p>
    <w:p w14:paraId="18412D20" w14:textId="78991D34" w:rsidR="00EF364E" w:rsidRPr="006C447F" w:rsidRDefault="00117889" w:rsidP="007710F2">
      <w:pPr>
        <w:pStyle w:val="3Bodytext"/>
        <w:jc w:val="both"/>
      </w:pPr>
      <w:r>
        <w:t>Due to the large number of submissions</w:t>
      </w:r>
      <w:r w:rsidR="00516718">
        <w:t>, the</w:t>
      </w:r>
      <w:r w:rsidR="004B63FC" w:rsidRPr="006C447F">
        <w:t xml:space="preserve"> Department contracted</w:t>
      </w:r>
      <w:r w:rsidR="00835EC5" w:rsidRPr="006C447F">
        <w:t xml:space="preserve"> Biotext Pty Ltd</w:t>
      </w:r>
      <w:r w:rsidR="004B63FC" w:rsidRPr="006C447F">
        <w:t xml:space="preserve"> to prepare a summary of </w:t>
      </w:r>
      <w:r w:rsidR="006C447F">
        <w:t xml:space="preserve">inputs received via the </w:t>
      </w:r>
      <w:r w:rsidR="00B11C80">
        <w:t>Office of Health Technology Assessment Consultation Hub</w:t>
      </w:r>
      <w:r w:rsidR="00067591">
        <w:t xml:space="preserve"> for the PBAC. </w:t>
      </w:r>
      <w:r w:rsidR="004B1C91">
        <w:t xml:space="preserve">Some members of the PBAC Working Group also considered the </w:t>
      </w:r>
      <w:r w:rsidR="00A00D1B">
        <w:t>unsummarised inputs.</w:t>
      </w:r>
    </w:p>
    <w:p w14:paraId="02055FEA" w14:textId="4A00E20C" w:rsidR="00EF364E" w:rsidRDefault="00EF364E" w:rsidP="007710F2">
      <w:pPr>
        <w:pStyle w:val="3Bodytext"/>
        <w:jc w:val="both"/>
      </w:pPr>
      <w:r>
        <w:t xml:space="preserve">The Department met with the following stakeholders </w:t>
      </w:r>
      <w:r w:rsidR="00B926B8">
        <w:t xml:space="preserve">between April and </w:t>
      </w:r>
      <w:r w:rsidR="00AA668F">
        <w:t>October</w:t>
      </w:r>
      <w:r w:rsidR="005D32F9">
        <w:t> </w:t>
      </w:r>
      <w:r w:rsidR="00B926B8">
        <w:t xml:space="preserve">2025 </w:t>
      </w:r>
      <w:r>
        <w:t xml:space="preserve">to discuss </w:t>
      </w:r>
      <w:r w:rsidR="00E2622B">
        <w:t xml:space="preserve">equitable access to GLP-1 </w:t>
      </w:r>
      <w:r>
        <w:t>obesity treatments:</w:t>
      </w:r>
    </w:p>
    <w:p w14:paraId="16EE7B65" w14:textId="67F775A6" w:rsidR="00EF364E" w:rsidRDefault="00EF364E" w:rsidP="007710F2">
      <w:pPr>
        <w:pStyle w:val="3Bodytext"/>
        <w:numPr>
          <w:ilvl w:val="2"/>
          <w:numId w:val="1"/>
        </w:numPr>
        <w:jc w:val="both"/>
      </w:pPr>
      <w:r>
        <w:t>Central Australian Aboriginal Congress</w:t>
      </w:r>
    </w:p>
    <w:p w14:paraId="31872FAA" w14:textId="6056253B" w:rsidR="00EF364E" w:rsidRDefault="00EF364E" w:rsidP="007710F2">
      <w:pPr>
        <w:pStyle w:val="3Bodytext"/>
        <w:numPr>
          <w:ilvl w:val="2"/>
          <w:numId w:val="1"/>
        </w:numPr>
        <w:jc w:val="both"/>
      </w:pPr>
      <w:r>
        <w:t>RACGP Obesity Specific Interest Group</w:t>
      </w:r>
    </w:p>
    <w:p w14:paraId="07209055" w14:textId="72D89287" w:rsidR="00EF364E" w:rsidRDefault="00EF364E" w:rsidP="007710F2">
      <w:pPr>
        <w:pStyle w:val="3Bodytext"/>
        <w:numPr>
          <w:ilvl w:val="2"/>
          <w:numId w:val="1"/>
        </w:numPr>
        <w:jc w:val="both"/>
      </w:pPr>
      <w:r>
        <w:t>Canada</w:t>
      </w:r>
      <w:r w:rsidR="00E2622B">
        <w:t>’s</w:t>
      </w:r>
      <w:r>
        <w:t xml:space="preserve"> Drug Agency</w:t>
      </w:r>
      <w:r w:rsidR="00E2622B">
        <w:t xml:space="preserve"> L’Agence des medicaments du Canada (CDA-AMC)</w:t>
      </w:r>
    </w:p>
    <w:p w14:paraId="79DFE1A0" w14:textId="5657F2A1" w:rsidR="00EF364E" w:rsidRDefault="00EF364E" w:rsidP="007710F2">
      <w:pPr>
        <w:pStyle w:val="3Bodytext"/>
        <w:numPr>
          <w:ilvl w:val="2"/>
          <w:numId w:val="1"/>
        </w:numPr>
        <w:jc w:val="both"/>
      </w:pPr>
      <w:r>
        <w:t xml:space="preserve">UK </w:t>
      </w:r>
      <w:r w:rsidR="00E2622B">
        <w:t>National Institute for Health and Care Excellence (</w:t>
      </w:r>
      <w:r>
        <w:t>NICE</w:t>
      </w:r>
      <w:r w:rsidR="00E2622B">
        <w:t>)</w:t>
      </w:r>
    </w:p>
    <w:p w14:paraId="69933C02" w14:textId="2378DCEE" w:rsidR="00EF364E" w:rsidRDefault="00EF364E" w:rsidP="007710F2">
      <w:pPr>
        <w:pStyle w:val="3Bodytext"/>
        <w:numPr>
          <w:ilvl w:val="2"/>
          <w:numId w:val="1"/>
        </w:numPr>
        <w:jc w:val="both"/>
      </w:pPr>
      <w:r>
        <w:t>Dieti</w:t>
      </w:r>
      <w:r w:rsidR="003C0856">
        <w:t>t</w:t>
      </w:r>
      <w:r>
        <w:t>ians Australia</w:t>
      </w:r>
    </w:p>
    <w:p w14:paraId="2D453E70" w14:textId="357B7040" w:rsidR="00B926B8" w:rsidRDefault="00EF364E" w:rsidP="007710F2">
      <w:pPr>
        <w:pStyle w:val="3Bodytext"/>
        <w:numPr>
          <w:ilvl w:val="2"/>
          <w:numId w:val="1"/>
        </w:numPr>
        <w:jc w:val="both"/>
      </w:pPr>
      <w:r>
        <w:lastRenderedPageBreak/>
        <w:t>Eucalyptus</w:t>
      </w:r>
      <w:r w:rsidR="00E2622B">
        <w:t xml:space="preserve"> (telehealth provider operating in Australia and globally)</w:t>
      </w:r>
    </w:p>
    <w:p w14:paraId="49947AA5" w14:textId="6C9CB918" w:rsidR="00B926B8" w:rsidRDefault="00B926B8" w:rsidP="007710F2">
      <w:pPr>
        <w:pStyle w:val="3Bodytext"/>
        <w:numPr>
          <w:ilvl w:val="2"/>
          <w:numId w:val="1"/>
        </w:numPr>
        <w:jc w:val="both"/>
      </w:pPr>
      <w:r>
        <w:t>Eli Lilly Pty Ltd</w:t>
      </w:r>
      <w:r w:rsidR="00E2622B">
        <w:t xml:space="preserve"> (sponsor of tirzepatide)</w:t>
      </w:r>
    </w:p>
    <w:p w14:paraId="13D03165" w14:textId="63FD3491" w:rsidR="00EF364E" w:rsidRDefault="00B926B8" w:rsidP="007710F2">
      <w:pPr>
        <w:pStyle w:val="3Bodytext"/>
        <w:numPr>
          <w:ilvl w:val="2"/>
          <w:numId w:val="1"/>
        </w:numPr>
        <w:jc w:val="both"/>
      </w:pPr>
      <w:r>
        <w:t>Novo Nordisk Pty Ltd</w:t>
      </w:r>
      <w:r w:rsidR="00E2622B">
        <w:t xml:space="preserve"> (sponsor of semaglutide)</w:t>
      </w:r>
    </w:p>
    <w:p w14:paraId="59834777" w14:textId="18112EA2" w:rsidR="003C0856" w:rsidRDefault="003C0856" w:rsidP="007710F2">
      <w:pPr>
        <w:pStyle w:val="3Bodytext"/>
        <w:numPr>
          <w:ilvl w:val="2"/>
          <w:numId w:val="1"/>
        </w:numPr>
        <w:jc w:val="both"/>
      </w:pPr>
      <w:r>
        <w:t xml:space="preserve">Amgen (sponsor of </w:t>
      </w:r>
      <w:r w:rsidR="004E3146">
        <w:t>m</w:t>
      </w:r>
      <w:r w:rsidR="004E3146" w:rsidRPr="004E3146">
        <w:t>aridebart cafraglutide</w:t>
      </w:r>
      <w:r w:rsidR="004E3146">
        <w:t>)</w:t>
      </w:r>
      <w:r w:rsidR="00263F8C">
        <w:t>.</w:t>
      </w:r>
    </w:p>
    <w:p w14:paraId="177B1E8A" w14:textId="57D4B1DE" w:rsidR="00EF364E" w:rsidRPr="00631112" w:rsidRDefault="0091272A" w:rsidP="007710F2">
      <w:pPr>
        <w:pStyle w:val="3Bodytext"/>
        <w:jc w:val="both"/>
      </w:pPr>
      <w:r>
        <w:t>Several o</w:t>
      </w:r>
      <w:r w:rsidR="00B926B8" w:rsidRPr="00631112">
        <w:t xml:space="preserve">rganisations </w:t>
      </w:r>
      <w:r w:rsidR="00353C57">
        <w:t xml:space="preserve">were </w:t>
      </w:r>
      <w:r w:rsidR="00B926B8" w:rsidRPr="00631112">
        <w:t>provided with a copy of th</w:t>
      </w:r>
      <w:r w:rsidR="00346567">
        <w:t>e</w:t>
      </w:r>
      <w:r w:rsidR="00B926B8" w:rsidRPr="00631112">
        <w:t xml:space="preserve"> PBAC Overview paper on </w:t>
      </w:r>
      <w:r w:rsidR="00876C5C" w:rsidRPr="00631112">
        <w:t>2</w:t>
      </w:r>
      <w:r w:rsidR="00171C33" w:rsidRPr="00631112">
        <w:t>1</w:t>
      </w:r>
      <w:r w:rsidR="00353C57">
        <w:t> </w:t>
      </w:r>
      <w:r w:rsidR="00B926B8" w:rsidRPr="00631112">
        <w:t>October 2025 and invited to provide a pre-PBAC response by 29 October 2025 (</w:t>
      </w:r>
      <w:r w:rsidR="00876C5C" w:rsidRPr="00631112">
        <w:t>1</w:t>
      </w:r>
      <w:r w:rsidR="00353C57">
        <w:t> </w:t>
      </w:r>
      <w:r w:rsidR="00B926B8" w:rsidRPr="00631112">
        <w:t>week)</w:t>
      </w:r>
      <w:r w:rsidR="00353C57">
        <w:t>, including sponsors of TGA-registered GLP-1 obesity treatments,</w:t>
      </w:r>
      <w:r w:rsidR="001F7F02">
        <w:t xml:space="preserve"> pharmaceutical representative groups, and peak clinical groups</w:t>
      </w:r>
      <w:r w:rsidR="00B926B8" w:rsidRPr="00631112">
        <w:t>.</w:t>
      </w:r>
    </w:p>
    <w:p w14:paraId="00362F83" w14:textId="657A80F9" w:rsidR="00504044" w:rsidRPr="003D6777" w:rsidRDefault="00504044" w:rsidP="00504044">
      <w:pPr>
        <w:pStyle w:val="2-SectionHeading"/>
      </w:pPr>
      <w:bookmarkStart w:id="9" w:name="Section8"/>
      <w:r w:rsidRPr="003D6777">
        <w:t xml:space="preserve">Consumer </w:t>
      </w:r>
      <w:r w:rsidR="00277439">
        <w:t>input</w:t>
      </w:r>
      <w:r w:rsidR="00277439" w:rsidRPr="003D6777">
        <w:t>s</w:t>
      </w:r>
    </w:p>
    <w:bookmarkEnd w:id="9"/>
    <w:p w14:paraId="4E834126" w14:textId="0B8585A9" w:rsidR="00056489" w:rsidRPr="003D6777" w:rsidRDefault="00AF768C" w:rsidP="007710F2">
      <w:pPr>
        <w:pStyle w:val="3Bodytext"/>
        <w:jc w:val="both"/>
      </w:pPr>
      <w:r w:rsidRPr="003D6777">
        <w:t xml:space="preserve">The PBAC noted and welcomed the input from individuals </w:t>
      </w:r>
      <w:r w:rsidR="00161154" w:rsidRPr="003D6777">
        <w:t xml:space="preserve">who have used GLP-1s </w:t>
      </w:r>
      <w:r w:rsidRPr="003D6777">
        <w:t>(4</w:t>
      </w:r>
      <w:r w:rsidR="009F36E9" w:rsidRPr="003D6777">
        <w:t>59</w:t>
      </w:r>
      <w:r w:rsidRPr="003D6777">
        <w:t xml:space="preserve">), </w:t>
      </w:r>
      <w:r w:rsidR="00161154" w:rsidRPr="003D6777">
        <w:t>other individual</w:t>
      </w:r>
      <w:r w:rsidR="0093251B">
        <w:t xml:space="preserve"> consumer</w:t>
      </w:r>
      <w:r w:rsidR="00161154" w:rsidRPr="003D6777">
        <w:t>s (</w:t>
      </w:r>
      <w:r w:rsidR="005C3B87" w:rsidRPr="003D6777">
        <w:t>3</w:t>
      </w:r>
      <w:r w:rsidR="00923C63" w:rsidRPr="003D6777">
        <w:t>3</w:t>
      </w:r>
      <w:r w:rsidR="005C3B87" w:rsidRPr="003D6777">
        <w:t xml:space="preserve">), </w:t>
      </w:r>
      <w:r w:rsidRPr="003D6777">
        <w:t>health care professionals (</w:t>
      </w:r>
      <w:r w:rsidR="00E16F32" w:rsidRPr="003D6777">
        <w:t>25</w:t>
      </w:r>
      <w:r w:rsidRPr="003D6777">
        <w:t>) and organisations (</w:t>
      </w:r>
      <w:r w:rsidR="00424163">
        <w:t>2</w:t>
      </w:r>
      <w:r w:rsidR="00E16F32" w:rsidRPr="003D6777">
        <w:t>3</w:t>
      </w:r>
      <w:r w:rsidRPr="003D6777">
        <w:t>) via the</w:t>
      </w:r>
      <w:r w:rsidR="007D16FF">
        <w:t xml:space="preserve"> Office of Health Technology Assessment Consultation Hub</w:t>
      </w:r>
      <w:r w:rsidRPr="003D6777">
        <w:t xml:space="preserve">. </w:t>
      </w:r>
      <w:r w:rsidR="00B87C43">
        <w:t xml:space="preserve">The PBAC also noted </w:t>
      </w:r>
      <w:r w:rsidR="00F20FAA">
        <w:t>and welcomed the</w:t>
      </w:r>
      <w:r w:rsidR="00B87C43">
        <w:t xml:space="preserve"> pre-PBAC inputs received from sponsors</w:t>
      </w:r>
      <w:r w:rsidR="00AF0081">
        <w:t xml:space="preserve"> (2)</w:t>
      </w:r>
      <w:r w:rsidR="00227DA5">
        <w:t>, pharmaceutical representative groups</w:t>
      </w:r>
      <w:r w:rsidR="00AF0081">
        <w:t xml:space="preserve"> (1)</w:t>
      </w:r>
      <w:r w:rsidR="00227DA5">
        <w:t>, and peak clinical groups</w:t>
      </w:r>
      <w:r w:rsidR="00AF0081">
        <w:t xml:space="preserve"> </w:t>
      </w:r>
      <w:r w:rsidR="00C55F15">
        <w:t>(2)</w:t>
      </w:r>
      <w:r w:rsidR="00227DA5" w:rsidRPr="00631112">
        <w:t>.</w:t>
      </w:r>
    </w:p>
    <w:p w14:paraId="6842EDFF" w14:textId="651351E1" w:rsidR="00DF6627" w:rsidRPr="003D6777" w:rsidRDefault="005320AF" w:rsidP="007710F2">
      <w:pPr>
        <w:pStyle w:val="3Bodytext"/>
        <w:jc w:val="both"/>
      </w:pPr>
      <w:r w:rsidRPr="003D6777">
        <w:t>The PBAC noted that</w:t>
      </w:r>
      <w:r w:rsidR="00EC0270">
        <w:t xml:space="preserve"> amongst the inputs received </w:t>
      </w:r>
      <w:r w:rsidR="00B73456">
        <w:t>from those who had used these medicines</w:t>
      </w:r>
      <w:r w:rsidRPr="003D6777">
        <w:t xml:space="preserve"> there were </w:t>
      </w:r>
      <w:r w:rsidR="003F3374">
        <w:t>four</w:t>
      </w:r>
      <w:r w:rsidRPr="003D6777">
        <w:t xml:space="preserve"> broad categories of </w:t>
      </w:r>
      <w:r w:rsidR="00D10C37">
        <w:t>consumers</w:t>
      </w:r>
      <w:r w:rsidR="00DF6627" w:rsidRPr="003D6777">
        <w:t>:</w:t>
      </w:r>
    </w:p>
    <w:p w14:paraId="459AADCE" w14:textId="399E451C" w:rsidR="00F40D57" w:rsidRPr="003D6777" w:rsidRDefault="00DF6627" w:rsidP="007710F2">
      <w:pPr>
        <w:pStyle w:val="3Bodytext"/>
        <w:numPr>
          <w:ilvl w:val="2"/>
          <w:numId w:val="1"/>
        </w:numPr>
        <w:jc w:val="both"/>
      </w:pPr>
      <w:r w:rsidRPr="003D6777">
        <w:t xml:space="preserve">People with inherited </w:t>
      </w:r>
      <w:r w:rsidR="001245AB" w:rsidRPr="003D6777">
        <w:t>and genetic causes of obesity</w:t>
      </w:r>
      <w:r w:rsidR="00A36649" w:rsidRPr="003D6777">
        <w:t>.</w:t>
      </w:r>
    </w:p>
    <w:p w14:paraId="639C6812" w14:textId="0B82A798" w:rsidR="00345B55" w:rsidRPr="003D6777" w:rsidRDefault="00205331" w:rsidP="007710F2">
      <w:pPr>
        <w:pStyle w:val="3Bodytext"/>
        <w:numPr>
          <w:ilvl w:val="2"/>
          <w:numId w:val="1"/>
        </w:numPr>
        <w:jc w:val="both"/>
      </w:pPr>
      <w:r w:rsidRPr="003D6777">
        <w:t>People whose obesity was secondary to treatment for another condition (including use of steroids</w:t>
      </w:r>
      <w:r w:rsidR="001415CA">
        <w:t xml:space="preserve"> or </w:t>
      </w:r>
      <w:r w:rsidRPr="003D6777">
        <w:t>anti-psychotic</w:t>
      </w:r>
      <w:r w:rsidR="00A36649" w:rsidRPr="003D6777">
        <w:t>s, or cancer treatment).</w:t>
      </w:r>
    </w:p>
    <w:p w14:paraId="3AB8297B" w14:textId="266E266F" w:rsidR="00A36649" w:rsidRPr="003D6777" w:rsidRDefault="00DE427B" w:rsidP="007710F2">
      <w:pPr>
        <w:pStyle w:val="3Bodytext"/>
        <w:numPr>
          <w:ilvl w:val="2"/>
          <w:numId w:val="1"/>
        </w:numPr>
        <w:jc w:val="both"/>
      </w:pPr>
      <w:r w:rsidRPr="003D6777">
        <w:t>People who find it difficult to exercise due to their obesity</w:t>
      </w:r>
      <w:r w:rsidR="008121AC" w:rsidRPr="003D6777">
        <w:t>.</w:t>
      </w:r>
    </w:p>
    <w:p w14:paraId="2A51263F" w14:textId="42AAB797" w:rsidR="008121AC" w:rsidRPr="003D6777" w:rsidRDefault="008121AC" w:rsidP="007710F2">
      <w:pPr>
        <w:pStyle w:val="3Bodytext"/>
        <w:numPr>
          <w:ilvl w:val="2"/>
          <w:numId w:val="1"/>
        </w:numPr>
        <w:jc w:val="both"/>
      </w:pPr>
      <w:r w:rsidRPr="003D6777">
        <w:t xml:space="preserve">People </w:t>
      </w:r>
      <w:r w:rsidR="00281B6C" w:rsidRPr="003D6777">
        <w:t xml:space="preserve">with comorbidities that </w:t>
      </w:r>
      <w:r w:rsidR="0059073C" w:rsidRPr="003D6777">
        <w:t xml:space="preserve">reduce their ability to exercise, such as </w:t>
      </w:r>
      <w:r w:rsidR="00397358" w:rsidRPr="003D6777">
        <w:t>various disabilities and</w:t>
      </w:r>
      <w:r w:rsidR="0059073C" w:rsidRPr="003D6777">
        <w:t xml:space="preserve"> </w:t>
      </w:r>
      <w:r w:rsidR="00A02385" w:rsidRPr="003D6777">
        <w:t>autoimmune diseases that affect joints, such as rheumatoid arthritis and systemic lupus erythemat</w:t>
      </w:r>
      <w:r w:rsidR="003C7F42" w:rsidRPr="003D6777">
        <w:t>osus (SLE).</w:t>
      </w:r>
      <w:r w:rsidR="00397358" w:rsidRPr="003D6777">
        <w:t xml:space="preserve"> </w:t>
      </w:r>
    </w:p>
    <w:p w14:paraId="68F09C58" w14:textId="498E1476" w:rsidR="00A14F26" w:rsidRDefault="00A14F26" w:rsidP="007710F2">
      <w:pPr>
        <w:pStyle w:val="3Bodytext"/>
        <w:jc w:val="both"/>
      </w:pPr>
      <w:r>
        <w:t>Consumers had a wide range of com</w:t>
      </w:r>
      <w:r w:rsidR="00850A92">
        <w:t>orbidities, including CVD, CKD, T</w:t>
      </w:r>
      <w:r w:rsidR="001F37A7">
        <w:t>2</w:t>
      </w:r>
      <w:r w:rsidR="00850A92">
        <w:t>DM, fatty liver disease, endocrine disorders, autoimmune disease, musculoskeletal conditions, OSA and mental health conditions.</w:t>
      </w:r>
    </w:p>
    <w:p w14:paraId="362F1F29" w14:textId="02A87A6C" w:rsidR="00F15684" w:rsidRPr="003D6777" w:rsidRDefault="0034148F" w:rsidP="007710F2">
      <w:pPr>
        <w:pStyle w:val="3Bodytext"/>
        <w:jc w:val="both"/>
      </w:pPr>
      <w:r w:rsidRPr="003D6777">
        <w:t>The PBAC noted that some consumers indicated that they had struggled with obesity since childhood, while others</w:t>
      </w:r>
      <w:r w:rsidR="00D87A46">
        <w:t xml:space="preserve"> associated</w:t>
      </w:r>
      <w:r w:rsidRPr="003D6777">
        <w:t xml:space="preserve"> </w:t>
      </w:r>
      <w:r w:rsidR="00051E7E" w:rsidRPr="003D6777">
        <w:t xml:space="preserve">hormonal changes due to life stage </w:t>
      </w:r>
      <w:r w:rsidR="001A4B87" w:rsidRPr="003D6777">
        <w:t xml:space="preserve">(such as childbirth, </w:t>
      </w:r>
      <w:r w:rsidR="00520599">
        <w:t xml:space="preserve">and </w:t>
      </w:r>
      <w:r w:rsidR="001A4B87" w:rsidRPr="003D6777">
        <w:t xml:space="preserve">peri- and post-menopause) </w:t>
      </w:r>
      <w:r w:rsidR="00D87A46">
        <w:t>with more difficulty in managing weight gain and obesity.</w:t>
      </w:r>
      <w:r w:rsidR="002C5590" w:rsidRPr="003D6777">
        <w:t xml:space="preserve"> </w:t>
      </w:r>
    </w:p>
    <w:p w14:paraId="2F59B1EC" w14:textId="78BB0F44" w:rsidR="00F15684" w:rsidRPr="003D6777" w:rsidRDefault="00F15684" w:rsidP="007710F2">
      <w:pPr>
        <w:pStyle w:val="3Bodytext"/>
        <w:jc w:val="both"/>
      </w:pPr>
      <w:r w:rsidRPr="003D6777">
        <w:t xml:space="preserve">The PBAC noted that reasons cited </w:t>
      </w:r>
      <w:r w:rsidR="00487F09">
        <w:t xml:space="preserve">by consumers and health professionals </w:t>
      </w:r>
      <w:r w:rsidRPr="003D6777">
        <w:t>for using GLP-1 obesity treatments</w:t>
      </w:r>
      <w:r w:rsidR="0064734C">
        <w:t xml:space="preserve"> to lose weight</w:t>
      </w:r>
      <w:r w:rsidRPr="003D6777">
        <w:t xml:space="preserve"> included:</w:t>
      </w:r>
    </w:p>
    <w:p w14:paraId="4B172622" w14:textId="74E3EE27" w:rsidR="00C735E3" w:rsidRPr="003D6777" w:rsidRDefault="00C735E3" w:rsidP="007710F2">
      <w:pPr>
        <w:pStyle w:val="3Bodytext"/>
        <w:numPr>
          <w:ilvl w:val="2"/>
          <w:numId w:val="1"/>
        </w:numPr>
        <w:jc w:val="both"/>
      </w:pPr>
      <w:r w:rsidRPr="003D6777">
        <w:t>To be eligible for surgery (reduce anaesthesia risk)</w:t>
      </w:r>
      <w:r w:rsidR="00DC6023" w:rsidRPr="003D6777">
        <w:t xml:space="preserve"> or to have better outcomes from surgery (improve prehabilitation and rehabilitation)</w:t>
      </w:r>
      <w:r w:rsidRPr="003D6777">
        <w:t>.</w:t>
      </w:r>
    </w:p>
    <w:p w14:paraId="0ED32F13" w14:textId="70D46985" w:rsidR="0034148F" w:rsidRPr="003D6777" w:rsidRDefault="00E10746" w:rsidP="007710F2">
      <w:pPr>
        <w:pStyle w:val="3Bodytext"/>
        <w:numPr>
          <w:ilvl w:val="2"/>
          <w:numId w:val="1"/>
        </w:numPr>
        <w:jc w:val="both"/>
      </w:pPr>
      <w:r w:rsidRPr="003D6777">
        <w:lastRenderedPageBreak/>
        <w:t xml:space="preserve"> </w:t>
      </w:r>
      <w:r w:rsidR="00DC6023" w:rsidRPr="003D6777">
        <w:t>To</w:t>
      </w:r>
      <w:r w:rsidR="004551FE" w:rsidRPr="003D6777">
        <w:t xml:space="preserve"> improve physical health</w:t>
      </w:r>
      <w:r w:rsidR="00A92AB0" w:rsidRPr="003D6777">
        <w:t xml:space="preserve"> and reduce the risk of poor outcomes from comorbidities related to obesity</w:t>
      </w:r>
      <w:r w:rsidR="00AF50D5" w:rsidRPr="003D6777">
        <w:t xml:space="preserve">, </w:t>
      </w:r>
      <w:r w:rsidR="003179E2">
        <w:t xml:space="preserve">including </w:t>
      </w:r>
      <w:r w:rsidR="00AF50D5" w:rsidRPr="003D6777">
        <w:t>prevention o</w:t>
      </w:r>
      <w:r w:rsidR="00F927A0" w:rsidRPr="003D6777">
        <w:t>f</w:t>
      </w:r>
      <w:r w:rsidR="00AF50D5" w:rsidRPr="003D6777">
        <w:t xml:space="preserve"> cancer or recurrence of cancer.</w:t>
      </w:r>
      <w:r w:rsidR="00DC6023" w:rsidRPr="003D6777">
        <w:t xml:space="preserve"> </w:t>
      </w:r>
      <w:r w:rsidR="001A4B87" w:rsidRPr="003D6777">
        <w:t xml:space="preserve"> </w:t>
      </w:r>
    </w:p>
    <w:p w14:paraId="72582AA7" w14:textId="7ADA77CF" w:rsidR="00F927A0" w:rsidRPr="003D6777" w:rsidRDefault="00F927A0" w:rsidP="007710F2">
      <w:pPr>
        <w:pStyle w:val="3Bodytext"/>
        <w:numPr>
          <w:ilvl w:val="2"/>
          <w:numId w:val="1"/>
        </w:numPr>
        <w:jc w:val="both"/>
      </w:pPr>
      <w:r w:rsidRPr="003D6777">
        <w:t>To improve mental health</w:t>
      </w:r>
      <w:r w:rsidR="005719E1" w:rsidRPr="003D6777">
        <w:t xml:space="preserve"> by reducing stigma, anxiety and depression.</w:t>
      </w:r>
    </w:p>
    <w:p w14:paraId="0B5CFF9E" w14:textId="314C038C" w:rsidR="005719E1" w:rsidRDefault="005719E1" w:rsidP="007710F2">
      <w:pPr>
        <w:pStyle w:val="3Bodytext"/>
        <w:numPr>
          <w:ilvl w:val="2"/>
          <w:numId w:val="1"/>
        </w:numPr>
        <w:jc w:val="both"/>
      </w:pPr>
      <w:r w:rsidRPr="003D6777">
        <w:t xml:space="preserve">To improve quality of life, </w:t>
      </w:r>
      <w:r w:rsidR="009813D4">
        <w:t xml:space="preserve">by </w:t>
      </w:r>
      <w:r w:rsidR="00BE0312">
        <w:t>enhanc</w:t>
      </w:r>
      <w:r w:rsidR="00144370">
        <w:t xml:space="preserve">ing engagement with </w:t>
      </w:r>
      <w:r w:rsidR="0004723B">
        <w:t>family,</w:t>
      </w:r>
      <w:r w:rsidR="00291678">
        <w:t xml:space="preserve"> community, society and work.</w:t>
      </w:r>
      <w:r w:rsidR="008F3DA3">
        <w:t xml:space="preserve"> </w:t>
      </w:r>
    </w:p>
    <w:p w14:paraId="7B90E0F6" w14:textId="528F2CC6" w:rsidR="001F37A7" w:rsidRDefault="00B641F8" w:rsidP="007710F2">
      <w:pPr>
        <w:pStyle w:val="3Bodytext"/>
        <w:jc w:val="both"/>
      </w:pPr>
      <w:r>
        <w:t xml:space="preserve">Consumers generally considered GLP-1 obesity treatments </w:t>
      </w:r>
      <w:r w:rsidR="00E37882">
        <w:t xml:space="preserve">more </w:t>
      </w:r>
      <w:r>
        <w:t>effective</w:t>
      </w:r>
      <w:r w:rsidR="00E37882">
        <w:t xml:space="preserve"> for weight loss than </w:t>
      </w:r>
      <w:r w:rsidR="00200569">
        <w:t xml:space="preserve">their previous diet and exercise regimens. </w:t>
      </w:r>
      <w:r w:rsidR="00F16912">
        <w:t xml:space="preserve">A number who had previously had metabolic bariatric surgery said these medications were effective after their surgical weight loss either plateaued or reversed. Most people talked about benefits to both their physical and mental health with some considering the drugs to be </w:t>
      </w:r>
      <w:r w:rsidR="009B46B6">
        <w:t>‘</w:t>
      </w:r>
      <w:r w:rsidR="00F16912">
        <w:t>life changing</w:t>
      </w:r>
      <w:r w:rsidR="009B46B6">
        <w:t>’</w:t>
      </w:r>
      <w:r w:rsidR="000F2A4D">
        <w:t xml:space="preserve">. </w:t>
      </w:r>
      <w:r w:rsidR="00200569">
        <w:t>They noted improvement</w:t>
      </w:r>
      <w:r w:rsidR="00BF4F30">
        <w:t>s</w:t>
      </w:r>
      <w:r w:rsidR="00200569">
        <w:t xml:space="preserve"> in </w:t>
      </w:r>
      <w:r w:rsidR="00BF4F30">
        <w:t>blood pressure, cholesterol levels, sleep, breathing and pain</w:t>
      </w:r>
      <w:r w:rsidR="00331BEE">
        <w:t xml:space="preserve">, with some able to reduce use of other medications. Consumers also noted psychological benefits including </w:t>
      </w:r>
      <w:r w:rsidR="003B6D57">
        <w:t>improved mood and a reduction in ‘food noise’.</w:t>
      </w:r>
    </w:p>
    <w:p w14:paraId="16DBB26E" w14:textId="25B0D825" w:rsidR="008A465D" w:rsidRDefault="008A465D" w:rsidP="007710F2">
      <w:pPr>
        <w:pStyle w:val="3Bodytext"/>
        <w:jc w:val="both"/>
      </w:pPr>
      <w:r>
        <w:t>The PBAC noted that cost was a barrier to accessing GLP-1s for obesity treatment</w:t>
      </w:r>
      <w:r w:rsidR="00493156">
        <w:t xml:space="preserve">. Some noted that </w:t>
      </w:r>
      <w:r w:rsidR="0044377F">
        <w:t>stigma</w:t>
      </w:r>
      <w:r w:rsidR="00046B4F">
        <w:t xml:space="preserve"> and </w:t>
      </w:r>
      <w:r w:rsidR="0044377F">
        <w:t>weight discrimination by healthcare professionals was an issue</w:t>
      </w:r>
      <w:r w:rsidR="00493156">
        <w:t xml:space="preserve"> </w:t>
      </w:r>
      <w:r w:rsidR="00046B4F">
        <w:t>for</w:t>
      </w:r>
      <w:r w:rsidR="00493156">
        <w:t xml:space="preserve"> access</w:t>
      </w:r>
      <w:r w:rsidR="00046B4F">
        <w:t xml:space="preserve"> to medication</w:t>
      </w:r>
      <w:r w:rsidR="0044377F">
        <w:t>.</w:t>
      </w:r>
      <w:r w:rsidR="004E7EA5">
        <w:t xml:space="preserve"> </w:t>
      </w:r>
      <w:r w:rsidR="00055D1E">
        <w:t xml:space="preserve">Consumers noted that </w:t>
      </w:r>
      <w:r w:rsidR="00ED1471">
        <w:t xml:space="preserve">there were cost barriers for </w:t>
      </w:r>
      <w:r w:rsidR="009E71BD">
        <w:t xml:space="preserve">access to </w:t>
      </w:r>
      <w:r w:rsidR="00055D1E">
        <w:t>other weight loss measures</w:t>
      </w:r>
      <w:r w:rsidR="009E71BD">
        <w:t>,</w:t>
      </w:r>
      <w:r w:rsidR="00055D1E">
        <w:t xml:space="preserve"> such </w:t>
      </w:r>
      <w:r w:rsidR="00ED1471">
        <w:t>the high cost of healthy food</w:t>
      </w:r>
      <w:r w:rsidR="0079526C">
        <w:t xml:space="preserve">, </w:t>
      </w:r>
      <w:r w:rsidR="00055D1E">
        <w:t>gym memberships</w:t>
      </w:r>
      <w:r w:rsidR="0079526C">
        <w:t xml:space="preserve"> and wraparound support services</w:t>
      </w:r>
      <w:r w:rsidR="00ED1471">
        <w:t xml:space="preserve">. </w:t>
      </w:r>
      <w:r w:rsidR="005900F7">
        <w:t>Cost and access issues</w:t>
      </w:r>
      <w:r w:rsidR="009E0E8A">
        <w:t xml:space="preserve">, </w:t>
      </w:r>
      <w:r w:rsidR="009E71BD">
        <w:t>for both</w:t>
      </w:r>
      <w:r w:rsidR="009E0E8A">
        <w:t xml:space="preserve"> GLP-1s and wraparound supports, </w:t>
      </w:r>
      <w:r w:rsidR="005900F7">
        <w:t>may be exacerbated in r</w:t>
      </w:r>
      <w:r w:rsidR="004E7EA5">
        <w:t>egional and remote areas.</w:t>
      </w:r>
      <w:r w:rsidR="00E107D9" w:rsidRPr="00E107D9">
        <w:t xml:space="preserve"> </w:t>
      </w:r>
      <w:r w:rsidR="00E107D9">
        <w:t>Consumers noted concerns about the potential effects of supply shortages on access to therapy.</w:t>
      </w:r>
      <w:r w:rsidR="00A50206">
        <w:t xml:space="preserve"> The cost burden was felt by whole households</w:t>
      </w:r>
      <w:r w:rsidR="003B4AAE">
        <w:t>, particularly</w:t>
      </w:r>
      <w:r w:rsidR="00A50206">
        <w:t xml:space="preserve"> where more than one person </w:t>
      </w:r>
      <w:r w:rsidR="003B4AAE">
        <w:t xml:space="preserve">was </w:t>
      </w:r>
      <w:r w:rsidR="00A50206">
        <w:t>access</w:t>
      </w:r>
      <w:r w:rsidR="003B4AAE">
        <w:t>ing</w:t>
      </w:r>
      <w:r w:rsidR="00A50206">
        <w:t xml:space="preserve"> these medications, where household sacrifices had to be made to pay for them or people had to continue to work to fund others</w:t>
      </w:r>
      <w:r w:rsidR="00FB60DF">
        <w:t>’</w:t>
      </w:r>
      <w:r w:rsidR="00A50206">
        <w:t xml:space="preserve"> access to these medications.</w:t>
      </w:r>
    </w:p>
    <w:p w14:paraId="4974F083" w14:textId="50FB8441" w:rsidR="00AD77A7" w:rsidRDefault="00AD77A7" w:rsidP="007710F2">
      <w:pPr>
        <w:pStyle w:val="3Bodytext"/>
        <w:jc w:val="both"/>
      </w:pPr>
      <w:r>
        <w:t xml:space="preserve">Several </w:t>
      </w:r>
      <w:r w:rsidRPr="0070078E">
        <w:t xml:space="preserve">people who had used these medicines talked about cost resulting in them altering their doses in various ways. These included not going onto higher doses as recommended, </w:t>
      </w:r>
      <w:r w:rsidR="00EE4809">
        <w:t>‘</w:t>
      </w:r>
      <w:r w:rsidRPr="0070078E">
        <w:t>counting clicks</w:t>
      </w:r>
      <w:r w:rsidR="00EE4809">
        <w:t>’</w:t>
      </w:r>
      <w:r w:rsidRPr="0070078E">
        <w:t xml:space="preserve"> in pre-filled devices to </w:t>
      </w:r>
      <w:r w:rsidR="00EE4809">
        <w:t>‘</w:t>
      </w:r>
      <w:r w:rsidRPr="0070078E">
        <w:t>microdose</w:t>
      </w:r>
      <w:r w:rsidR="00EE4809">
        <w:t>’</w:t>
      </w:r>
      <w:r w:rsidRPr="0070078E">
        <w:t xml:space="preserve"> at lower levels</w:t>
      </w:r>
      <w:r w:rsidRPr="00AD77A7">
        <w:t xml:space="preserve"> </w:t>
      </w:r>
      <w:r>
        <w:t xml:space="preserve">and using a syringe to draw off lower doses from larger dosed devices to spread out the interval between prescriptions and reduce cost. Others discussed stopping taking the </w:t>
      </w:r>
      <w:r w:rsidR="00562077">
        <w:t>medications</w:t>
      </w:r>
      <w:r>
        <w:t xml:space="preserve"> for periods of time when they could not afford it resulting in weight gain. The PBAC noted important quality use of medicines issues associated with these practises in terms of dosing, efficacy</w:t>
      </w:r>
      <w:r w:rsidR="00C012D0">
        <w:t>,</w:t>
      </w:r>
      <w:r>
        <w:t xml:space="preserve"> and safety with one input specifically stating that by prolonging their use of each device in this way they were using their medication beyond its shelf-life.</w:t>
      </w:r>
    </w:p>
    <w:p w14:paraId="100B1325" w14:textId="146D3E9B" w:rsidR="00460E5E" w:rsidRDefault="00460E5E" w:rsidP="007710F2">
      <w:pPr>
        <w:pStyle w:val="3Bodytext"/>
        <w:jc w:val="both"/>
      </w:pPr>
      <w:r>
        <w:t>The PBAC noted that while some consumers mentioned the importance of wraparound support services and a clinical support team, such as a GP, nurse practitioner, dieti</w:t>
      </w:r>
      <w:r w:rsidR="00380BF5">
        <w:t>t</w:t>
      </w:r>
      <w:r>
        <w:t>ian, exercise physiologist or physiotherapist, the majority did not seem to have access</w:t>
      </w:r>
      <w:r w:rsidR="003E15CA">
        <w:t xml:space="preserve"> to </w:t>
      </w:r>
      <w:r w:rsidR="00320C00">
        <w:t xml:space="preserve">wraparound </w:t>
      </w:r>
      <w:r w:rsidR="003E15CA">
        <w:t>supports</w:t>
      </w:r>
      <w:r w:rsidR="009F34BE">
        <w:t xml:space="preserve"> or </w:t>
      </w:r>
      <w:r w:rsidR="00320C00">
        <w:t>multidisciplinary care</w:t>
      </w:r>
      <w:r>
        <w:t>.</w:t>
      </w:r>
      <w:r w:rsidR="00B9050B">
        <w:t xml:space="preserve"> Some consumers mentioned the use of telehealth </w:t>
      </w:r>
      <w:r w:rsidR="00900C75">
        <w:t>and</w:t>
      </w:r>
      <w:r w:rsidR="00B9050B">
        <w:t xml:space="preserve"> digital </w:t>
      </w:r>
      <w:r w:rsidR="00900C75">
        <w:t>weight loss clinics.</w:t>
      </w:r>
    </w:p>
    <w:p w14:paraId="3C8B7F4E" w14:textId="28144351" w:rsidR="002845B4" w:rsidRDefault="002845B4" w:rsidP="007710F2">
      <w:pPr>
        <w:pStyle w:val="3Bodytext"/>
        <w:jc w:val="both"/>
      </w:pPr>
      <w:r>
        <w:lastRenderedPageBreak/>
        <w:t xml:space="preserve">Most consumers noted the </w:t>
      </w:r>
      <w:r w:rsidR="00453ED4">
        <w:t>gastrointestinal side effects of GLP-1s when starting or changing dose but considered that these were manageable and usually subside.</w:t>
      </w:r>
      <w:r w:rsidR="00294376">
        <w:t xml:space="preserve"> Consumers also noted suicidal ideation and chole</w:t>
      </w:r>
      <w:r w:rsidR="001A4135">
        <w:t xml:space="preserve">cystectomy as </w:t>
      </w:r>
      <w:r w:rsidR="003B12E1">
        <w:t>adverse</w:t>
      </w:r>
      <w:r w:rsidR="001A4135">
        <w:t xml:space="preserve"> effects experienced.</w:t>
      </w:r>
    </w:p>
    <w:p w14:paraId="19DD1370" w14:textId="715DCFC4" w:rsidR="00FC2604" w:rsidRDefault="009E6BE5" w:rsidP="007710F2">
      <w:pPr>
        <w:pStyle w:val="3Bodytext"/>
        <w:keepNext/>
        <w:keepLines/>
        <w:jc w:val="both"/>
      </w:pPr>
      <w:r>
        <w:t>The PBAC noted th</w:t>
      </w:r>
      <w:r w:rsidR="006B5DED">
        <w:t xml:space="preserve">e following inputs from </w:t>
      </w:r>
      <w:r>
        <w:t>health professional</w:t>
      </w:r>
      <w:r w:rsidR="00314008">
        <w:t>s, medical/other organisations and consumer organisations</w:t>
      </w:r>
      <w:r w:rsidR="00FC2604">
        <w:t>:</w:t>
      </w:r>
    </w:p>
    <w:p w14:paraId="5E4808F3" w14:textId="3B6A5C1B" w:rsidR="00FC2604" w:rsidRDefault="00A74D64" w:rsidP="007710F2">
      <w:pPr>
        <w:pStyle w:val="3Bodytext"/>
        <w:keepNext/>
        <w:keepLines/>
        <w:numPr>
          <w:ilvl w:val="2"/>
          <w:numId w:val="1"/>
        </w:numPr>
        <w:jc w:val="both"/>
      </w:pPr>
      <w:r>
        <w:t>H</w:t>
      </w:r>
      <w:r w:rsidR="00B13CF4">
        <w:t>ealthy nutrition and physical activity remain the first-line treatment for overweight and obesity</w:t>
      </w:r>
      <w:r w:rsidR="00EE347E">
        <w:t xml:space="preserve">, and it is </w:t>
      </w:r>
      <w:r w:rsidR="006B5DED">
        <w:t xml:space="preserve">important to embed the </w:t>
      </w:r>
      <w:r w:rsidR="00FC2604">
        <w:t>use of GLP-1s within multidisciplinary care models</w:t>
      </w:r>
      <w:r w:rsidR="006B5DED">
        <w:t>.</w:t>
      </w:r>
    </w:p>
    <w:p w14:paraId="7C65D805" w14:textId="59213793" w:rsidR="0060155E" w:rsidRDefault="00EE347E" w:rsidP="007710F2">
      <w:pPr>
        <w:pStyle w:val="3Bodytext"/>
        <w:numPr>
          <w:ilvl w:val="2"/>
          <w:numId w:val="1"/>
        </w:numPr>
        <w:jc w:val="both"/>
      </w:pPr>
      <w:r>
        <w:t>O</w:t>
      </w:r>
      <w:r w:rsidR="0060155E">
        <w:t>besity medications should be prescribed alongside clinically proven lifestyle programs</w:t>
      </w:r>
      <w:r w:rsidR="001E327D">
        <w:t>.</w:t>
      </w:r>
    </w:p>
    <w:p w14:paraId="0ECF7756" w14:textId="4A59D87D" w:rsidR="00C85939" w:rsidRDefault="00C85939" w:rsidP="007710F2">
      <w:pPr>
        <w:pStyle w:val="3Bodytext"/>
        <w:numPr>
          <w:ilvl w:val="2"/>
          <w:numId w:val="1"/>
        </w:numPr>
        <w:jc w:val="both"/>
      </w:pPr>
      <w:r>
        <w:t>There is a need for action on the social determinants of health, such as poverty, food insecurity</w:t>
      </w:r>
      <w:r w:rsidR="00D85328">
        <w:t>, and the high cost of food in remote areas.</w:t>
      </w:r>
    </w:p>
    <w:p w14:paraId="4443BA52" w14:textId="7BC57E38" w:rsidR="00084CE8" w:rsidRDefault="00084CE8" w:rsidP="007710F2">
      <w:pPr>
        <w:pStyle w:val="3Bodytext"/>
        <w:numPr>
          <w:ilvl w:val="2"/>
          <w:numId w:val="1"/>
        </w:numPr>
        <w:jc w:val="both"/>
      </w:pPr>
      <w:r>
        <w:t xml:space="preserve">GLP-1 obesity treatments </w:t>
      </w:r>
      <w:r w:rsidR="009105AD">
        <w:t>show favourable effects on cardiometabolic risk factors,</w:t>
      </w:r>
      <w:r w:rsidR="00200F3F">
        <w:t xml:space="preserve"> including waist circumference, </w:t>
      </w:r>
      <w:r w:rsidR="009105AD">
        <w:t xml:space="preserve">glycated haemoglobin, insulin sensitivity, </w:t>
      </w:r>
      <w:r w:rsidR="0009063D">
        <w:t xml:space="preserve">cholesterol, blood pressure, </w:t>
      </w:r>
      <w:r w:rsidR="00AD12ED">
        <w:t>lipid profiles</w:t>
      </w:r>
      <w:r w:rsidR="0023049B">
        <w:t>, and</w:t>
      </w:r>
      <w:r w:rsidR="00111FDB">
        <w:t xml:space="preserve"> may</w:t>
      </w:r>
      <w:r w:rsidR="0023049B">
        <w:t xml:space="preserve"> improve liver and kidney health</w:t>
      </w:r>
      <w:r w:rsidR="002E22CA">
        <w:t>.</w:t>
      </w:r>
      <w:r w:rsidR="002E1921">
        <w:t xml:space="preserve"> GLP</w:t>
      </w:r>
      <w:r w:rsidR="00CB117A">
        <w:t xml:space="preserve">-1 treatment may </w:t>
      </w:r>
      <w:r w:rsidR="005375A9">
        <w:t xml:space="preserve">therefore </w:t>
      </w:r>
      <w:r w:rsidR="00CB117A">
        <w:t>lead to a reduction in polypharmacy</w:t>
      </w:r>
      <w:r w:rsidR="005375A9">
        <w:t>.</w:t>
      </w:r>
    </w:p>
    <w:p w14:paraId="3C20C5CB" w14:textId="253490B5" w:rsidR="00991D28" w:rsidRDefault="00F96A88" w:rsidP="007710F2">
      <w:pPr>
        <w:pStyle w:val="3Bodytext"/>
        <w:numPr>
          <w:ilvl w:val="2"/>
          <w:numId w:val="1"/>
        </w:numPr>
        <w:jc w:val="both"/>
      </w:pPr>
      <w:r>
        <w:t>T</w:t>
      </w:r>
      <w:r w:rsidR="0081597B">
        <w:t>here are</w:t>
      </w:r>
      <w:r w:rsidR="00604A27">
        <w:t xml:space="preserve"> potential long-term benefits to </w:t>
      </w:r>
      <w:r w:rsidR="00FD0367">
        <w:t>patients</w:t>
      </w:r>
      <w:r w:rsidR="00604A27">
        <w:t xml:space="preserve"> and the health care system </w:t>
      </w:r>
      <w:r w:rsidR="00516C85">
        <w:t>f</w:t>
      </w:r>
      <w:r w:rsidR="00FD0367">
        <w:t xml:space="preserve">rom </w:t>
      </w:r>
      <w:r w:rsidR="005C7D6C">
        <w:t xml:space="preserve">subsidised </w:t>
      </w:r>
      <w:r w:rsidR="00200C2A">
        <w:t xml:space="preserve">GLP-1 use that results in </w:t>
      </w:r>
      <w:r w:rsidR="00FD0367">
        <w:t>a reduction in CV events</w:t>
      </w:r>
      <w:r w:rsidR="00DA1A65">
        <w:t xml:space="preserve">, hospitalisations, </w:t>
      </w:r>
      <w:r w:rsidR="0091180D">
        <w:t>complex surgeries</w:t>
      </w:r>
      <w:r w:rsidR="00B76F4D">
        <w:t xml:space="preserve">, </w:t>
      </w:r>
      <w:r w:rsidR="00C20533">
        <w:t>amputations,</w:t>
      </w:r>
      <w:r w:rsidR="007A1D36">
        <w:t xml:space="preserve"> cancer care,</w:t>
      </w:r>
      <w:r w:rsidR="00C67C1A">
        <w:t xml:space="preserve"> </w:t>
      </w:r>
      <w:r w:rsidR="00C20533">
        <w:t xml:space="preserve">and use of dialysis and </w:t>
      </w:r>
      <w:r w:rsidR="002D2667">
        <w:t xml:space="preserve">specialist </w:t>
      </w:r>
      <w:r w:rsidR="00AD7F26">
        <w:t>services</w:t>
      </w:r>
      <w:r w:rsidR="00070C14">
        <w:t>, but it may take several years for these benefits to be realised</w:t>
      </w:r>
      <w:r w:rsidR="0081597B">
        <w:t>.</w:t>
      </w:r>
    </w:p>
    <w:p w14:paraId="11B66A08" w14:textId="0A8C0D4D" w:rsidR="00DF5622" w:rsidRDefault="00F96A88" w:rsidP="007710F2">
      <w:pPr>
        <w:pStyle w:val="3Bodytext"/>
        <w:numPr>
          <w:ilvl w:val="2"/>
          <w:numId w:val="1"/>
        </w:numPr>
        <w:jc w:val="both"/>
      </w:pPr>
      <w:r>
        <w:t>O</w:t>
      </w:r>
      <w:r w:rsidR="00DF5622">
        <w:t>besity is a chronic relapsing condition</w:t>
      </w:r>
      <w:r>
        <w:t xml:space="preserve">. </w:t>
      </w:r>
      <w:r w:rsidR="00AF7AEE">
        <w:t>GLP-1 treatment</w:t>
      </w:r>
      <w:r w:rsidR="00EC666F">
        <w:t xml:space="preserve"> would therefore generally need to be long-term</w:t>
      </w:r>
      <w:r w:rsidR="00AF7AEE">
        <w:t xml:space="preserve">, </w:t>
      </w:r>
      <w:r w:rsidR="00611655">
        <w:t>part</w:t>
      </w:r>
      <w:r w:rsidR="005B7A86">
        <w:t>icularly given that cessation of GLP-1 therapy in clinical trials has been associated with weight regain</w:t>
      </w:r>
      <w:r w:rsidR="00DF5622">
        <w:t>.</w:t>
      </w:r>
    </w:p>
    <w:p w14:paraId="3D67111C" w14:textId="02CD8266" w:rsidR="00C460B3" w:rsidRDefault="00E753FC" w:rsidP="007710F2">
      <w:pPr>
        <w:pStyle w:val="3Bodytext"/>
        <w:numPr>
          <w:ilvl w:val="2"/>
          <w:numId w:val="1"/>
        </w:numPr>
        <w:jc w:val="both"/>
      </w:pPr>
      <w:r>
        <w:t>U</w:t>
      </w:r>
      <w:r w:rsidR="00C460B3">
        <w:t xml:space="preserve">se of GLP-1s in </w:t>
      </w:r>
      <w:r w:rsidR="003B7068">
        <w:t>individuals</w:t>
      </w:r>
      <w:r w:rsidR="00C460B3">
        <w:t xml:space="preserve"> with </w:t>
      </w:r>
      <w:r w:rsidR="00F230B4">
        <w:t>overweight/</w:t>
      </w:r>
      <w:r w:rsidR="00C460B3">
        <w:t>obesity and OS</w:t>
      </w:r>
      <w:r w:rsidR="003B7068">
        <w:t>A</w:t>
      </w:r>
      <w:r w:rsidR="00C460B3">
        <w:t xml:space="preserve"> can</w:t>
      </w:r>
      <w:r w:rsidR="003861AF">
        <w:t xml:space="preserve"> reduce treatment complexity</w:t>
      </w:r>
      <w:r w:rsidR="006729A5">
        <w:t>,</w:t>
      </w:r>
      <w:r w:rsidR="00B843FA">
        <w:t xml:space="preserve"> </w:t>
      </w:r>
      <w:r w:rsidR="005A0F6C">
        <w:t xml:space="preserve">cardiometabolic risk, and </w:t>
      </w:r>
      <w:r w:rsidR="00B843FA">
        <w:t>pressure on public sle</w:t>
      </w:r>
      <w:r w:rsidR="00852179">
        <w:t>e</w:t>
      </w:r>
      <w:r w:rsidR="00B843FA">
        <w:t xml:space="preserve">p services, </w:t>
      </w:r>
      <w:r w:rsidR="005A0F6C">
        <w:t xml:space="preserve">and </w:t>
      </w:r>
      <w:r w:rsidR="00616E33">
        <w:t>improve work and road</w:t>
      </w:r>
      <w:r w:rsidR="00853C86">
        <w:t xml:space="preserve"> </w:t>
      </w:r>
      <w:r w:rsidR="00616E33">
        <w:t>safety outcomes.</w:t>
      </w:r>
      <w:r w:rsidR="003861AF">
        <w:t xml:space="preserve"> </w:t>
      </w:r>
    </w:p>
    <w:p w14:paraId="024E0147" w14:textId="3406AE9D" w:rsidR="00CC7859" w:rsidRDefault="00F230B4" w:rsidP="007710F2">
      <w:pPr>
        <w:pStyle w:val="3Bodytext"/>
        <w:numPr>
          <w:ilvl w:val="2"/>
          <w:numId w:val="1"/>
        </w:numPr>
        <w:jc w:val="both"/>
      </w:pPr>
      <w:r>
        <w:t>W</w:t>
      </w:r>
      <w:r w:rsidR="00CC7859">
        <w:t xml:space="preserve">eight loss associated with GLP-1 use can allow people to </w:t>
      </w:r>
      <w:r w:rsidR="00C457DF">
        <w:t>live a more active and enjoyable life.</w:t>
      </w:r>
      <w:r w:rsidR="000C5BC0">
        <w:t xml:space="preserve"> Other benefits included</w:t>
      </w:r>
      <w:r w:rsidR="00556579">
        <w:t xml:space="preserve"> improvements in mental health</w:t>
      </w:r>
      <w:r w:rsidR="0007173E">
        <w:t>, and increased engagement in employment, education and the community.</w:t>
      </w:r>
    </w:p>
    <w:p w14:paraId="5013DF20" w14:textId="06C57203" w:rsidR="009C2D4C" w:rsidRDefault="00603AD1" w:rsidP="007710F2">
      <w:pPr>
        <w:pStyle w:val="3Bodytext"/>
        <w:numPr>
          <w:ilvl w:val="2"/>
          <w:numId w:val="1"/>
        </w:numPr>
        <w:jc w:val="both"/>
      </w:pPr>
      <w:r>
        <w:t>T</w:t>
      </w:r>
      <w:r w:rsidR="009C2D4C">
        <w:t xml:space="preserve">here is limited evidence </w:t>
      </w:r>
      <w:r w:rsidR="00FD75D2">
        <w:t>on</w:t>
      </w:r>
      <w:r w:rsidR="00405974">
        <w:t xml:space="preserve"> </w:t>
      </w:r>
      <w:r w:rsidR="00750209">
        <w:t>long-term efficacy and safety outcomes</w:t>
      </w:r>
      <w:r w:rsidR="00B96E06">
        <w:t xml:space="preserve"> for GLP-1s</w:t>
      </w:r>
      <w:r w:rsidR="00300AD1">
        <w:t xml:space="preserve"> used to treat overweight/obesity</w:t>
      </w:r>
      <w:r w:rsidR="00A55240">
        <w:t>, particularly for adolescents</w:t>
      </w:r>
      <w:r w:rsidR="00FD75D2">
        <w:t>.</w:t>
      </w:r>
    </w:p>
    <w:p w14:paraId="0AB74DC0" w14:textId="31548442" w:rsidR="00D40943" w:rsidRDefault="00F12AEB" w:rsidP="007710F2">
      <w:pPr>
        <w:pStyle w:val="3Bodytext"/>
        <w:numPr>
          <w:ilvl w:val="2"/>
          <w:numId w:val="1"/>
        </w:numPr>
        <w:jc w:val="both"/>
      </w:pPr>
      <w:r>
        <w:t xml:space="preserve">Gastrointestinal side effects </w:t>
      </w:r>
      <w:r w:rsidR="000A0E0C">
        <w:t xml:space="preserve">from GLP-1s </w:t>
      </w:r>
      <w:r>
        <w:t xml:space="preserve">are usually </w:t>
      </w:r>
      <w:r w:rsidR="000A0E0C">
        <w:t>t</w:t>
      </w:r>
      <w:r>
        <w:t>ransient and tolerable</w:t>
      </w:r>
      <w:r w:rsidR="000A0E0C">
        <w:t>, but rare, serious side effects include pancreatitis and gall bladder disease. P</w:t>
      </w:r>
      <w:r w:rsidR="00824F3D">
        <w:t xml:space="preserve">atients using GLP-1s may require </w:t>
      </w:r>
      <w:r w:rsidR="00D40943">
        <w:t>co</w:t>
      </w:r>
      <w:r w:rsidR="00DC3A4D">
        <w:t>u</w:t>
      </w:r>
      <w:r w:rsidR="00D40943">
        <w:t xml:space="preserve">nselling regarding </w:t>
      </w:r>
      <w:r w:rsidR="00DC3A4D">
        <w:t xml:space="preserve">pregnancy and </w:t>
      </w:r>
      <w:r w:rsidR="00824F3D">
        <w:t xml:space="preserve">the </w:t>
      </w:r>
      <w:r w:rsidR="00DC3A4D">
        <w:t>potential te</w:t>
      </w:r>
      <w:r w:rsidR="00824F3D">
        <w:t>ratogenic risk.</w:t>
      </w:r>
    </w:p>
    <w:p w14:paraId="58348A20" w14:textId="60867045" w:rsidR="00BC0CE2" w:rsidRDefault="00603AD1" w:rsidP="007710F2">
      <w:pPr>
        <w:pStyle w:val="3Bodytext"/>
        <w:numPr>
          <w:ilvl w:val="2"/>
          <w:numId w:val="1"/>
        </w:numPr>
        <w:jc w:val="both"/>
      </w:pPr>
      <w:r>
        <w:lastRenderedPageBreak/>
        <w:t>U</w:t>
      </w:r>
      <w:r w:rsidR="00BC0CE2">
        <w:t>se of GLP-1s may increase anaesthetic risk due to delayed gastric emptying</w:t>
      </w:r>
      <w:r w:rsidR="004C5CCF">
        <w:t>. T</w:t>
      </w:r>
      <w:r w:rsidR="00BC0CE2">
        <w:t>here is a need to develop guidelines for the management of GLP-1 use prior to surgery or procedures that require fasting.</w:t>
      </w:r>
    </w:p>
    <w:p w14:paraId="4B9CB9A5" w14:textId="5953FE2C" w:rsidR="00BC0CE2" w:rsidRDefault="003365DD" w:rsidP="007710F2">
      <w:pPr>
        <w:pStyle w:val="3Bodytext"/>
        <w:numPr>
          <w:ilvl w:val="2"/>
          <w:numId w:val="1"/>
        </w:numPr>
        <w:jc w:val="both"/>
      </w:pPr>
      <w:r>
        <w:t xml:space="preserve">Subsidy of GLP-1s should be </w:t>
      </w:r>
      <w:r w:rsidR="00BC0CE2">
        <w:t>needs-based with targeted measures to increase access for Aboriginal and Torres Strait Islander people, and other disadvantaged groups.</w:t>
      </w:r>
      <w:r w:rsidR="00875DD6" w:rsidRPr="00875DD6">
        <w:t xml:space="preserve"> </w:t>
      </w:r>
    </w:p>
    <w:p w14:paraId="308D11AD" w14:textId="1F0872ED" w:rsidR="00D61612" w:rsidRDefault="00425C90" w:rsidP="007710F2">
      <w:pPr>
        <w:pStyle w:val="3Bodytext"/>
        <w:numPr>
          <w:ilvl w:val="2"/>
          <w:numId w:val="1"/>
        </w:numPr>
        <w:jc w:val="both"/>
      </w:pPr>
      <w:r>
        <w:t>If subsidised, t</w:t>
      </w:r>
      <w:r w:rsidR="00F61E6D">
        <w:t xml:space="preserve">here </w:t>
      </w:r>
      <w:r w:rsidR="00741B7C">
        <w:t xml:space="preserve">would be a need for clear </w:t>
      </w:r>
      <w:r w:rsidR="002B321B">
        <w:t xml:space="preserve">guidance on patient prioritisation, </w:t>
      </w:r>
      <w:r w:rsidR="00CC3490" w:rsidRPr="00CC3490">
        <w:t xml:space="preserve">eligibility </w:t>
      </w:r>
      <w:r w:rsidR="00A31788">
        <w:t xml:space="preserve">and monitoring </w:t>
      </w:r>
      <w:r w:rsidR="00CC3490" w:rsidRPr="00CC3490">
        <w:t xml:space="preserve">criteria, </w:t>
      </w:r>
      <w:r w:rsidR="00741E95">
        <w:t xml:space="preserve">and </w:t>
      </w:r>
      <w:r w:rsidR="00CC3490" w:rsidRPr="00CC3490">
        <w:t xml:space="preserve">continuation rules to ensure appropriate, equitable and sustainable use of </w:t>
      </w:r>
      <w:r w:rsidR="002B321B">
        <w:t>GLP-1 obesity treatments</w:t>
      </w:r>
      <w:r w:rsidR="00CC3490" w:rsidRPr="00CC3490">
        <w:t>.</w:t>
      </w:r>
    </w:p>
    <w:p w14:paraId="35EC0BAF" w14:textId="77777777" w:rsidR="00023C58" w:rsidRDefault="00023C58" w:rsidP="007710F2">
      <w:pPr>
        <w:pStyle w:val="3Bodytext"/>
        <w:numPr>
          <w:ilvl w:val="2"/>
          <w:numId w:val="1"/>
        </w:numPr>
        <w:jc w:val="both"/>
      </w:pPr>
      <w:r>
        <w:t>A suggestion to prioritise subsidised access for people who need to lose weight to access life-saving surgery, such as organ transplant, as well as those with very high BMI and either a single life-threatening obesity-related health impairment, or at least three serious obesity-related health impairments.</w:t>
      </w:r>
    </w:p>
    <w:p w14:paraId="4DF7C6A1" w14:textId="58ADA70A" w:rsidR="002E4DFC" w:rsidRDefault="00EA061D" w:rsidP="007710F2">
      <w:pPr>
        <w:pStyle w:val="3Bodytext"/>
        <w:numPr>
          <w:ilvl w:val="2"/>
          <w:numId w:val="1"/>
        </w:numPr>
        <w:jc w:val="both"/>
      </w:pPr>
      <w:r>
        <w:t xml:space="preserve">A suggestion to </w:t>
      </w:r>
      <w:r w:rsidR="00871599">
        <w:t>prioritise</w:t>
      </w:r>
      <w:r>
        <w:t xml:space="preserve"> access for Aboriginal </w:t>
      </w:r>
      <w:r w:rsidR="00871599">
        <w:t xml:space="preserve">or Torres Strait Islander people with </w:t>
      </w:r>
      <w:r w:rsidR="004D73E5">
        <w:t xml:space="preserve">BMI </w:t>
      </w:r>
      <w:r w:rsidR="004D73E5">
        <w:rPr>
          <w:rFonts w:cstheme="minorHAnsi"/>
        </w:rPr>
        <w:t>≥</w:t>
      </w:r>
      <w:r w:rsidR="004D73E5">
        <w:t xml:space="preserve"> 37 kg/m</w:t>
      </w:r>
      <w:r w:rsidR="004D73E5" w:rsidRPr="00186712">
        <w:rPr>
          <w:vertAlign w:val="superscript"/>
        </w:rPr>
        <w:t>2</w:t>
      </w:r>
      <w:r w:rsidR="004D73E5">
        <w:t xml:space="preserve"> </w:t>
      </w:r>
      <w:r w:rsidR="000A0A04">
        <w:t xml:space="preserve">(or waist circumference </w:t>
      </w:r>
      <w:r w:rsidR="00B90846">
        <w:rPr>
          <w:rFonts w:cstheme="minorHAnsi"/>
        </w:rPr>
        <w:t xml:space="preserve">≥ 90 cm for men or ≥ 80 cm for women) </w:t>
      </w:r>
      <w:r w:rsidR="004D73E5">
        <w:t xml:space="preserve">and either: </w:t>
      </w:r>
      <w:r w:rsidR="00871599">
        <w:t>CVD, T2DM, or a</w:t>
      </w:r>
      <w:r w:rsidR="007901BC">
        <w:t>t</w:t>
      </w:r>
      <w:r w:rsidR="00871599">
        <w:t xml:space="preserve"> least two </w:t>
      </w:r>
      <w:r w:rsidR="00425E5D">
        <w:t>related risk factors</w:t>
      </w:r>
      <w:r w:rsidR="000A0A04">
        <w:t>.</w:t>
      </w:r>
    </w:p>
    <w:p w14:paraId="07B8048A" w14:textId="1A8A4D89" w:rsidR="00B3486F" w:rsidRDefault="00B3486F" w:rsidP="007710F2">
      <w:pPr>
        <w:pStyle w:val="3Bodytext"/>
        <w:numPr>
          <w:ilvl w:val="2"/>
          <w:numId w:val="1"/>
        </w:numPr>
        <w:jc w:val="both"/>
      </w:pPr>
      <w:r>
        <w:t xml:space="preserve">For adolescents, </w:t>
      </w:r>
      <w:r w:rsidR="002850CE">
        <w:t>it was suggested to restrict access to</w:t>
      </w:r>
      <w:r w:rsidR="005F51AB">
        <w:t xml:space="preserve"> GLP-1s to</w:t>
      </w:r>
      <w:r w:rsidR="002850CE">
        <w:t xml:space="preserve"> people 12 years or over</w:t>
      </w:r>
      <w:r w:rsidR="000F0661">
        <w:t>, with initiation</w:t>
      </w:r>
      <w:r w:rsidR="001B2920">
        <w:t xml:space="preserve"> </w:t>
      </w:r>
      <w:r w:rsidR="003D5481">
        <w:t>restricted</w:t>
      </w:r>
      <w:r w:rsidR="001B2920">
        <w:t xml:space="preserve"> to paediatricians or </w:t>
      </w:r>
      <w:r w:rsidR="003D5481">
        <w:t>endocrinologist</w:t>
      </w:r>
      <w:r w:rsidR="00B361D2">
        <w:t>s with expertise in obesity management.</w:t>
      </w:r>
      <w:r w:rsidR="00CB3B70">
        <w:t xml:space="preserve"> A national paediatric GLP-1 </w:t>
      </w:r>
      <w:r w:rsidR="00C57391">
        <w:t>registry</w:t>
      </w:r>
      <w:r w:rsidR="00CB3B70">
        <w:t xml:space="preserve"> </w:t>
      </w:r>
      <w:r w:rsidR="003E2BCF">
        <w:t xml:space="preserve">could be established </w:t>
      </w:r>
      <w:r w:rsidR="00CB3B70">
        <w:t xml:space="preserve">to collect data on </w:t>
      </w:r>
      <w:r w:rsidR="00C57391">
        <w:t>long-term safety and effectiveness to address evidence gaps.</w:t>
      </w:r>
      <w:r w:rsidR="005817E9">
        <w:t xml:space="preserve"> </w:t>
      </w:r>
    </w:p>
    <w:p w14:paraId="49BFD77E" w14:textId="43C1990D" w:rsidR="00F54CD3" w:rsidRDefault="00016E53" w:rsidP="007710F2">
      <w:pPr>
        <w:pStyle w:val="3Bodytext"/>
        <w:numPr>
          <w:ilvl w:val="2"/>
          <w:numId w:val="1"/>
        </w:numPr>
        <w:jc w:val="both"/>
      </w:pPr>
      <w:r>
        <w:t xml:space="preserve">A request for </w:t>
      </w:r>
      <w:r w:rsidR="007621A3">
        <w:t xml:space="preserve">subsidised </w:t>
      </w:r>
      <w:r>
        <w:t xml:space="preserve">access to </w:t>
      </w:r>
      <w:r w:rsidR="007621A3">
        <w:t>GLP-1 treatments for people with Prader-Willi Syndrome (PWS)</w:t>
      </w:r>
      <w:r w:rsidR="00571898">
        <w:t xml:space="preserve">, </w:t>
      </w:r>
      <w:r w:rsidR="00A57820">
        <w:t xml:space="preserve">restricted to prescribing by an endocrinologist to manage safety concerns. </w:t>
      </w:r>
      <w:r w:rsidR="00C71635">
        <w:t xml:space="preserve">The input notes the </w:t>
      </w:r>
      <w:r w:rsidR="00A708F5">
        <w:t xml:space="preserve">high, unmet need in this population and </w:t>
      </w:r>
      <w:r w:rsidR="00C71635">
        <w:t xml:space="preserve">low financial impact </w:t>
      </w:r>
      <w:r w:rsidR="00966815">
        <w:t xml:space="preserve">of subsidised access </w:t>
      </w:r>
      <w:r w:rsidR="00C71635">
        <w:t>due to the small population.</w:t>
      </w:r>
    </w:p>
    <w:p w14:paraId="6986A0A8" w14:textId="068A814B" w:rsidR="004139D2" w:rsidRDefault="004139D2" w:rsidP="007710F2">
      <w:pPr>
        <w:pStyle w:val="3Bodytext"/>
        <w:numPr>
          <w:ilvl w:val="2"/>
          <w:numId w:val="1"/>
        </w:numPr>
        <w:jc w:val="both"/>
      </w:pPr>
      <w:r>
        <w:t xml:space="preserve">A </w:t>
      </w:r>
      <w:r w:rsidR="009265A8">
        <w:t xml:space="preserve">request that GLP-1 prescribing be </w:t>
      </w:r>
      <w:r w:rsidR="00C72943">
        <w:t>only by medical professionals who have regular contact with the patient.</w:t>
      </w:r>
    </w:p>
    <w:p w14:paraId="096923D0" w14:textId="0CBBA09A" w:rsidR="001F6395" w:rsidRDefault="00065D71" w:rsidP="007710F2">
      <w:pPr>
        <w:pStyle w:val="3Bodytext"/>
        <w:numPr>
          <w:ilvl w:val="2"/>
          <w:numId w:val="1"/>
        </w:numPr>
        <w:jc w:val="both"/>
      </w:pPr>
      <w:r>
        <w:t xml:space="preserve">A suggestion </w:t>
      </w:r>
      <w:r w:rsidR="00222C9A">
        <w:t>for a lower BMI threshold for access to subsidised GLP-1 therapy for people living in remote areas</w:t>
      </w:r>
      <w:r w:rsidR="00750A46">
        <w:t xml:space="preserve">, and prioritisation of people with a strong family history of </w:t>
      </w:r>
      <w:r w:rsidR="005C348E">
        <w:t>CV</w:t>
      </w:r>
      <w:r w:rsidR="00BB5CB8">
        <w:t xml:space="preserve">D </w:t>
      </w:r>
      <w:r w:rsidR="005C348E">
        <w:t>or</w:t>
      </w:r>
      <w:r w:rsidR="00BB5CB8">
        <w:t xml:space="preserve"> T2DM</w:t>
      </w:r>
      <w:r w:rsidR="00824B69">
        <w:t>.</w:t>
      </w:r>
    </w:p>
    <w:p w14:paraId="343B1274" w14:textId="50EE2118" w:rsidR="00FE32D9" w:rsidRDefault="00FE32D9" w:rsidP="007710F2">
      <w:pPr>
        <w:pStyle w:val="3Bodytext"/>
        <w:numPr>
          <w:ilvl w:val="2"/>
          <w:numId w:val="1"/>
        </w:numPr>
        <w:jc w:val="both"/>
      </w:pPr>
      <w:r>
        <w:t xml:space="preserve">A suggestion to follow the UK’s </w:t>
      </w:r>
      <w:r w:rsidR="00B832A3">
        <w:t xml:space="preserve">prioritised, </w:t>
      </w:r>
      <w:r>
        <w:t xml:space="preserve">phased </w:t>
      </w:r>
      <w:r w:rsidR="00B832A3">
        <w:t>roll-out of GLP-1 obesity treatments.</w:t>
      </w:r>
    </w:p>
    <w:p w14:paraId="1685593A" w14:textId="08682968" w:rsidR="00C16A30" w:rsidRPr="001375E1" w:rsidRDefault="001375E1" w:rsidP="001375E1">
      <w:pPr>
        <w:pStyle w:val="2-SectionHeading"/>
        <w:rPr>
          <w:color w:val="FF0000"/>
        </w:rPr>
      </w:pPr>
      <w:r>
        <w:t>Summary of key issues for PBS subsidy of obesity treatments</w:t>
      </w:r>
    </w:p>
    <w:p w14:paraId="17B2AB57" w14:textId="5D74E674" w:rsidR="00D7565F" w:rsidRDefault="001C564B" w:rsidP="007710F2">
      <w:pPr>
        <w:pStyle w:val="3Bodytext"/>
        <w:jc w:val="both"/>
      </w:pPr>
      <w:r>
        <w:t xml:space="preserve">In August 2025, the PBAC Chair and Deputy Chair wrote to Minister Butler providing an update on </w:t>
      </w:r>
      <w:r w:rsidR="003F329B">
        <w:t xml:space="preserve">PBAC’s considerations </w:t>
      </w:r>
      <w:r w:rsidR="008E3A40">
        <w:t xml:space="preserve">of </w:t>
      </w:r>
      <w:r w:rsidR="00EF364E" w:rsidRPr="00357CDC">
        <w:t>ongoing issues and risks associated with a potential PBS listing for obesity treatment</w:t>
      </w:r>
      <w:r w:rsidR="003A5506">
        <w:t>.</w:t>
      </w:r>
      <w:r w:rsidR="22830B56">
        <w:t xml:space="preserve"> </w:t>
      </w:r>
      <w:r w:rsidR="00CB75BE">
        <w:t xml:space="preserve">The PBAC </w:t>
      </w:r>
      <w:r w:rsidR="00F04113">
        <w:t>Chair and Deputy Chair</w:t>
      </w:r>
      <w:r w:rsidR="004C4BE5">
        <w:t xml:space="preserve"> acknowledged that other countries are also experiencing </w:t>
      </w:r>
      <w:r w:rsidR="00CB75BE">
        <w:t>significant</w:t>
      </w:r>
      <w:r w:rsidR="004C4BE5">
        <w:t xml:space="preserve"> challenges in </w:t>
      </w:r>
      <w:r w:rsidR="00CB75BE">
        <w:t xml:space="preserve">developing public subsidy approaches for obesity treatments, </w:t>
      </w:r>
      <w:r w:rsidR="00A3630A">
        <w:t>driven</w:t>
      </w:r>
      <w:r w:rsidR="00CB75BE">
        <w:t xml:space="preserve"> by </w:t>
      </w:r>
      <w:r w:rsidR="00D7565F">
        <w:t xml:space="preserve">high unmet </w:t>
      </w:r>
      <w:r w:rsidR="00D7565F">
        <w:lastRenderedPageBreak/>
        <w:t xml:space="preserve">clinical need and consumer expectation; uncertainty in the evidence; uncertainty about models of care and system capacity; equity concerns; and opportunity costs at both </w:t>
      </w:r>
      <w:r w:rsidR="0018479F">
        <w:t xml:space="preserve">the </w:t>
      </w:r>
      <w:r w:rsidR="00D7565F">
        <w:t>population and individual level.</w:t>
      </w:r>
    </w:p>
    <w:p w14:paraId="28372B94" w14:textId="0B5C6DDE" w:rsidR="00EF364E" w:rsidRDefault="00F42F16" w:rsidP="007710F2">
      <w:pPr>
        <w:pStyle w:val="3Bodytext"/>
        <w:jc w:val="both"/>
      </w:pPr>
      <w:r>
        <w:t>The</w:t>
      </w:r>
      <w:r w:rsidR="004C4BE5">
        <w:t xml:space="preserve"> </w:t>
      </w:r>
      <w:r w:rsidR="003A5506">
        <w:t>PBAC</w:t>
      </w:r>
      <w:r w:rsidR="00EF364E" w:rsidRPr="00357CDC">
        <w:t xml:space="preserve"> </w:t>
      </w:r>
      <w:r w:rsidR="0018479F">
        <w:t>W</w:t>
      </w:r>
      <w:r>
        <w:t xml:space="preserve">orking </w:t>
      </w:r>
      <w:r w:rsidR="0018479F">
        <w:t>G</w:t>
      </w:r>
      <w:r>
        <w:t xml:space="preserve">roup </w:t>
      </w:r>
      <w:r w:rsidR="00AB4B77">
        <w:t>identified the following key issues for consideration in providing advice on equitable access to obesity treatments</w:t>
      </w:r>
      <w:r w:rsidR="00EF364E">
        <w:t>:</w:t>
      </w:r>
    </w:p>
    <w:p w14:paraId="0C292AFA" w14:textId="77777777" w:rsidR="00D1769E" w:rsidRPr="00E61636" w:rsidRDefault="00D1769E" w:rsidP="007710F2">
      <w:pPr>
        <w:pStyle w:val="3Bodytext"/>
        <w:numPr>
          <w:ilvl w:val="0"/>
          <w:numId w:val="0"/>
        </w:numPr>
        <w:jc w:val="both"/>
        <w:rPr>
          <w:u w:val="single"/>
        </w:rPr>
      </w:pPr>
      <w:r w:rsidRPr="00E61636">
        <w:rPr>
          <w:u w:val="single"/>
        </w:rPr>
        <w:t xml:space="preserve">Clinical need and equity </w:t>
      </w:r>
    </w:p>
    <w:p w14:paraId="22626614" w14:textId="01FE27BF" w:rsidR="00D1769E" w:rsidRDefault="00D1769E" w:rsidP="007710F2">
      <w:pPr>
        <w:pStyle w:val="3Bodytext"/>
        <w:jc w:val="both"/>
      </w:pPr>
      <w:r>
        <w:t>There is a high unmet clinical need for obesity treatments and strong consumer interest in subsidy of GLP-1s. Clinical evidence shows potential uses of GLP-1s for a range of weight-related comorbidities, but there is uncertainty on which patients may benefit the most. There are equity issues in prioritising access, as the clinical evidence may not include priority populations including children and adolescents, Aboriginal and</w:t>
      </w:r>
      <w:r w:rsidR="0090536E">
        <w:t>/or</w:t>
      </w:r>
      <w:r>
        <w:t xml:space="preserve"> Torres Strait Islander people, people with disabilities, and those using medications that result in weight gain. In addition to ensuring equitable access to pharmacotherapies, there needs to be equitable access to supportive wraparound care and alternative treatments, such as bariatric surgery, including in regional and remote areas.</w:t>
      </w:r>
    </w:p>
    <w:p w14:paraId="24B52675" w14:textId="77777777" w:rsidR="000E178A" w:rsidRPr="00E61636" w:rsidRDefault="000E178A" w:rsidP="007710F2">
      <w:pPr>
        <w:pStyle w:val="3Bodytext"/>
        <w:numPr>
          <w:ilvl w:val="0"/>
          <w:numId w:val="0"/>
        </w:numPr>
        <w:jc w:val="both"/>
        <w:rPr>
          <w:u w:val="single"/>
        </w:rPr>
      </w:pPr>
      <w:r w:rsidRPr="00E61636">
        <w:rPr>
          <w:u w:val="single"/>
        </w:rPr>
        <w:t xml:space="preserve">Evidence uncertainty </w:t>
      </w:r>
    </w:p>
    <w:p w14:paraId="54910B41" w14:textId="639BAD1F" w:rsidR="000E178A" w:rsidRDefault="000E178A" w:rsidP="007710F2">
      <w:pPr>
        <w:pStyle w:val="3Bodytext"/>
        <w:jc w:val="both"/>
      </w:pPr>
      <w:r>
        <w:t xml:space="preserve">If GLP-1s are subsidised for obesity patients through the PBS, there is a high likelihood of use outside any restrictions and difficulties with enforcing compliance </w:t>
      </w:r>
      <w:r w:rsidR="00F45E49">
        <w:t xml:space="preserve">that may reduce </w:t>
      </w:r>
      <w:r>
        <w:t>cost-effectiveness. While there are several potential comparative therapies for reducing the risk of cardiovascular events, an important outcome of the use of obesity treatments, there is lack of evidence for comparative effectiveness. Cost-effectiveness is also impacted by uncertainty regarding the dosing and duration of subsidy. Real-world evidence indicates that patients are using lower doses of GLP-1s</w:t>
      </w:r>
      <w:r w:rsidR="008C09B9">
        <w:t xml:space="preserve">, ceasing therapy </w:t>
      </w:r>
      <w:r w:rsidR="00A34465">
        <w:t>at higher rates,</w:t>
      </w:r>
      <w:r>
        <w:t xml:space="preserve"> and achieving less weight loss than in clinical trials, but it is unclear if this is due to tolerability or cost.</w:t>
      </w:r>
    </w:p>
    <w:p w14:paraId="5608A279" w14:textId="755F262E" w:rsidR="009E78FC" w:rsidRDefault="00270F45" w:rsidP="007710F2">
      <w:pPr>
        <w:pStyle w:val="3Bodytext"/>
        <w:jc w:val="both"/>
      </w:pPr>
      <w:r>
        <w:t xml:space="preserve">While there are some common side effects of GLP-1 use, such as gastrointestinal effects, there remains uncertainty regarding </w:t>
      </w:r>
      <w:r w:rsidR="00050A1C">
        <w:t xml:space="preserve">whether these medicines cause an increased risk of </w:t>
      </w:r>
      <w:r w:rsidR="00B37AB7">
        <w:t xml:space="preserve">several </w:t>
      </w:r>
      <w:r>
        <w:t>serious adverse events</w:t>
      </w:r>
      <w:r w:rsidR="00392FD4">
        <w:t xml:space="preserve">, such as </w:t>
      </w:r>
      <w:r w:rsidR="004C29F2">
        <w:t>suicide and suicidal ideation, teratogenic effects</w:t>
      </w:r>
      <w:r w:rsidR="00BD65D0">
        <w:t>,</w:t>
      </w:r>
      <w:r w:rsidR="00167DE1">
        <w:t xml:space="preserve"> pulmonary aspiration during s</w:t>
      </w:r>
      <w:r w:rsidR="00316E03">
        <w:t xml:space="preserve">edation, thyroid cancer and </w:t>
      </w:r>
      <w:r w:rsidR="000628AF">
        <w:t xml:space="preserve">non-arteritic anterior ischaemic </w:t>
      </w:r>
      <w:r w:rsidR="00A47EA9">
        <w:t>optic neuropathy</w:t>
      </w:r>
      <w:r w:rsidR="00277C89">
        <w:t xml:space="preserve">. </w:t>
      </w:r>
    </w:p>
    <w:p w14:paraId="42AF981D" w14:textId="77777777" w:rsidR="009138F1" w:rsidRPr="00E61636" w:rsidRDefault="009138F1" w:rsidP="00845342">
      <w:pPr>
        <w:pStyle w:val="3Bodytext"/>
        <w:numPr>
          <w:ilvl w:val="0"/>
          <w:numId w:val="0"/>
        </w:numPr>
        <w:jc w:val="both"/>
        <w:rPr>
          <w:u w:val="single"/>
        </w:rPr>
      </w:pPr>
      <w:r w:rsidRPr="00E61636">
        <w:rPr>
          <w:u w:val="single"/>
        </w:rPr>
        <w:t>Market dynamics and timing</w:t>
      </w:r>
    </w:p>
    <w:p w14:paraId="656B7443" w14:textId="77777777" w:rsidR="009138F1" w:rsidRDefault="009138F1" w:rsidP="00845342">
      <w:pPr>
        <w:pStyle w:val="3Bodytext"/>
        <w:jc w:val="both"/>
      </w:pPr>
      <w:r>
        <w:t>Obesity medication is a very active field of research, with several new medicines likely to enter the market over the next few years that may provide better outcomes. A potential PBS listing may reduce future opportunities for price competition and negotiation. A PBS listing for a small population cohort may drive prices higher in future, but a broader PBS listing may have a large opportunity cost for the health system. Research indicates that GLP-1s may have a role in treating several other conditions including autoimmune and inflammatory conditions. The potential population for future subsidy may be substantially larger than currently anticipated.</w:t>
      </w:r>
    </w:p>
    <w:p w14:paraId="66582579" w14:textId="77777777" w:rsidR="009138F1" w:rsidRPr="00E61636" w:rsidRDefault="009138F1" w:rsidP="00845342">
      <w:pPr>
        <w:pStyle w:val="3Bodytext"/>
        <w:numPr>
          <w:ilvl w:val="0"/>
          <w:numId w:val="0"/>
        </w:numPr>
        <w:jc w:val="both"/>
        <w:rPr>
          <w:u w:val="single"/>
        </w:rPr>
      </w:pPr>
      <w:r w:rsidRPr="00E61636">
        <w:rPr>
          <w:u w:val="single"/>
        </w:rPr>
        <w:lastRenderedPageBreak/>
        <w:t xml:space="preserve">Subsidy mechanism </w:t>
      </w:r>
    </w:p>
    <w:p w14:paraId="5EA28BD1" w14:textId="77777777" w:rsidR="009138F1" w:rsidRDefault="009138F1" w:rsidP="00845342">
      <w:pPr>
        <w:pStyle w:val="3Bodytext"/>
        <w:jc w:val="both"/>
      </w:pPr>
      <w:r>
        <w:t>High subsidy levels may reduce personal efforts at weight loss, but a means-tested arrangement for higher patient contributions is not available through the PBS. It is unclear if the PBS is the most effective subsidy mechanism, but an alternative subsidy scheme may set a precedent of funding non-cost-effective therapies and would have high set-up costs.</w:t>
      </w:r>
    </w:p>
    <w:p w14:paraId="1CDAAA3E" w14:textId="77777777" w:rsidR="009138F1" w:rsidRPr="00E61636" w:rsidRDefault="009138F1" w:rsidP="007710F2">
      <w:pPr>
        <w:pStyle w:val="3Bodytext"/>
        <w:numPr>
          <w:ilvl w:val="0"/>
          <w:numId w:val="0"/>
        </w:numPr>
        <w:jc w:val="both"/>
        <w:rPr>
          <w:u w:val="single"/>
        </w:rPr>
      </w:pPr>
      <w:r w:rsidRPr="00E61636">
        <w:rPr>
          <w:u w:val="single"/>
        </w:rPr>
        <w:t>Service delivery models and wraparound care</w:t>
      </w:r>
      <w:bookmarkStart w:id="10" w:name="_Hlk203140597"/>
    </w:p>
    <w:p w14:paraId="0BC1D3C9" w14:textId="77777777" w:rsidR="009138F1" w:rsidRDefault="009138F1" w:rsidP="007710F2">
      <w:pPr>
        <w:pStyle w:val="3Bodytext"/>
        <w:jc w:val="both"/>
      </w:pPr>
      <w:r>
        <w:t xml:space="preserve">There is uncertainty regarding the level of wraparound care, such as diet and exercise counselling, required to achieve cost-effective use of GLP-1s. There are also potential issues with workforce availability, scalability, and equity of access to, and quality assurance of, wraparound care models. </w:t>
      </w:r>
      <w:bookmarkEnd w:id="10"/>
      <w:r>
        <w:t>There may be potential quality use of medicines issues associated with digital care delivery models that are currently operating in Australia with a focus on prescribing obesity treatments, including fragmentation of care and conflict of interest in prescribing.</w:t>
      </w:r>
    </w:p>
    <w:p w14:paraId="68D13C83" w14:textId="2719A573" w:rsidR="00E44F91" w:rsidRPr="0070078E" w:rsidRDefault="00E44F91" w:rsidP="007710F2">
      <w:pPr>
        <w:pStyle w:val="3Bodytext"/>
        <w:keepNext/>
        <w:keepLines/>
        <w:numPr>
          <w:ilvl w:val="0"/>
          <w:numId w:val="0"/>
        </w:numPr>
        <w:jc w:val="both"/>
        <w:rPr>
          <w:u w:val="single"/>
        </w:rPr>
      </w:pPr>
      <w:r w:rsidRPr="0070078E">
        <w:rPr>
          <w:u w:val="single"/>
        </w:rPr>
        <w:t>Need to capture actionable, real-world data</w:t>
      </w:r>
    </w:p>
    <w:p w14:paraId="3D2F6599" w14:textId="71FA652A" w:rsidR="00E44F91" w:rsidRDefault="001F2E6D" w:rsidP="007710F2">
      <w:pPr>
        <w:pStyle w:val="3Bodytext"/>
        <w:keepNext/>
        <w:keepLines/>
        <w:jc w:val="both"/>
      </w:pPr>
      <w:r>
        <w:t xml:space="preserve">There is a need to collect and analyse real-world data on </w:t>
      </w:r>
      <w:r w:rsidR="00354140">
        <w:t xml:space="preserve">GLP-1 use and outcomes </w:t>
      </w:r>
      <w:r w:rsidR="00000ADD">
        <w:t>to</w:t>
      </w:r>
      <w:r w:rsidR="00354140">
        <w:t xml:space="preserve"> address evidence uncertainty</w:t>
      </w:r>
      <w:r w:rsidR="005259FE">
        <w:t>, and to use this information to inform models of care</w:t>
      </w:r>
      <w:r w:rsidR="002B1A64">
        <w:t xml:space="preserve"> and subsidy</w:t>
      </w:r>
      <w:r w:rsidR="00D25776">
        <w:t xml:space="preserve">. It would be useful to collect data on: indication, </w:t>
      </w:r>
      <w:r w:rsidR="00E01B41">
        <w:t>usage (e.g. dose, duration), health outcomes (</w:t>
      </w:r>
      <w:r w:rsidR="005D34FF">
        <w:t>e.g. weight loss, comorbidities, biomarkers), side effects and adverse events</w:t>
      </w:r>
      <w:r w:rsidR="00546369">
        <w:t>, models of service provision</w:t>
      </w:r>
      <w:r w:rsidR="0033387B">
        <w:t>, and total costs and service use.</w:t>
      </w:r>
    </w:p>
    <w:p w14:paraId="4269C84D" w14:textId="077DF752" w:rsidR="00CB7B6D" w:rsidRPr="00631112" w:rsidRDefault="00CB7B6D" w:rsidP="007710F2">
      <w:pPr>
        <w:pStyle w:val="3Bodytext"/>
        <w:numPr>
          <w:ilvl w:val="0"/>
          <w:numId w:val="0"/>
        </w:numPr>
        <w:jc w:val="both"/>
        <w:rPr>
          <w:i/>
          <w:iCs/>
        </w:rPr>
      </w:pPr>
      <w:r w:rsidRPr="00631112">
        <w:rPr>
          <w:i/>
          <w:iCs/>
        </w:rPr>
        <w:t xml:space="preserve">For more </w:t>
      </w:r>
      <w:r w:rsidR="008F1730">
        <w:rPr>
          <w:i/>
          <w:iCs/>
        </w:rPr>
        <w:t xml:space="preserve">detail </w:t>
      </w:r>
      <w:r w:rsidRPr="00631112">
        <w:rPr>
          <w:i/>
          <w:iCs/>
        </w:rPr>
        <w:t xml:space="preserve">on PBAC’s view, see </w:t>
      </w:r>
      <w:hyperlink w:anchor="Section10" w:history="1">
        <w:r w:rsidR="007D151B">
          <w:rPr>
            <w:rStyle w:val="Hyperlink"/>
            <w:i/>
            <w:iCs/>
          </w:rPr>
          <w:t>s</w:t>
        </w:r>
        <w:r w:rsidRPr="00631112">
          <w:rPr>
            <w:rStyle w:val="Hyperlink"/>
            <w:i/>
            <w:iCs/>
          </w:rPr>
          <w:t xml:space="preserve">ection 10 PBAC </w:t>
        </w:r>
        <w:r w:rsidR="007D151B">
          <w:rPr>
            <w:rStyle w:val="Hyperlink"/>
            <w:i/>
            <w:iCs/>
          </w:rPr>
          <w:t>o</w:t>
        </w:r>
        <w:r w:rsidRPr="00631112">
          <w:rPr>
            <w:rStyle w:val="Hyperlink"/>
            <w:i/>
            <w:iCs/>
          </w:rPr>
          <w:t>utcome</w:t>
        </w:r>
      </w:hyperlink>
      <w:r w:rsidRPr="00631112">
        <w:rPr>
          <w:i/>
          <w:iCs/>
        </w:rPr>
        <w:t>.</w:t>
      </w:r>
    </w:p>
    <w:p w14:paraId="48837D20" w14:textId="05D7A89F" w:rsidR="00007AB8" w:rsidRDefault="00E15711" w:rsidP="00E15711">
      <w:pPr>
        <w:pStyle w:val="2Sections"/>
        <w:keepNext/>
        <w:keepLines/>
        <w:numPr>
          <w:ilvl w:val="0"/>
          <w:numId w:val="1"/>
        </w:numPr>
        <w:snapToGrid w:val="0"/>
      </w:pPr>
      <w:bookmarkStart w:id="11" w:name="Section10"/>
      <w:r>
        <w:t xml:space="preserve">PBAC </w:t>
      </w:r>
      <w:r w:rsidR="007D151B">
        <w:t>o</w:t>
      </w:r>
      <w:r>
        <w:t>utcome</w:t>
      </w:r>
    </w:p>
    <w:bookmarkEnd w:id="11"/>
    <w:p w14:paraId="7492934F" w14:textId="515C7BC3" w:rsidR="00603ABA" w:rsidRDefault="00603ABA" w:rsidP="0007705A">
      <w:pPr>
        <w:pStyle w:val="3Bodytext"/>
        <w:keepNext/>
        <w:keepLines/>
        <w:numPr>
          <w:ilvl w:val="0"/>
          <w:numId w:val="0"/>
        </w:numPr>
        <w:jc w:val="both"/>
      </w:pPr>
      <w:r w:rsidRPr="1E8A5144">
        <w:t>The PBAC</w:t>
      </w:r>
      <w:r w:rsidR="00CB6C28" w:rsidRPr="1E8A5144">
        <w:t xml:space="preserve"> agreed </w:t>
      </w:r>
      <w:r w:rsidR="001C6A15" w:rsidRPr="1E8A5144">
        <w:t xml:space="preserve">that </w:t>
      </w:r>
      <w:r w:rsidR="00961DE4" w:rsidRPr="1E8A5144">
        <w:t xml:space="preserve">the </w:t>
      </w:r>
      <w:r w:rsidR="00CB6C28" w:rsidRPr="1E8A5144">
        <w:t xml:space="preserve">following </w:t>
      </w:r>
      <w:r w:rsidR="00D23E44" w:rsidRPr="1E8A5144">
        <w:t xml:space="preserve">could provide the basis of the </w:t>
      </w:r>
      <w:r w:rsidR="00CB6C28" w:rsidRPr="1E8A5144">
        <w:t xml:space="preserve">advice </w:t>
      </w:r>
      <w:r w:rsidR="00D23E44" w:rsidRPr="1E8A5144">
        <w:t xml:space="preserve">to </w:t>
      </w:r>
      <w:r w:rsidR="001C6A15" w:rsidRPr="1E8A5144">
        <w:t xml:space="preserve">be </w:t>
      </w:r>
      <w:r w:rsidR="00CB6C28" w:rsidRPr="1E8A5144">
        <w:t>provide</w:t>
      </w:r>
      <w:r w:rsidR="001C6A15" w:rsidRPr="1E8A5144">
        <w:t>d</w:t>
      </w:r>
      <w:r w:rsidR="00CB6C28" w:rsidRPr="1E8A5144">
        <w:t xml:space="preserve"> to Minister </w:t>
      </w:r>
      <w:r w:rsidR="001F7924" w:rsidRPr="1E8A5144">
        <w:t xml:space="preserve">Butler </w:t>
      </w:r>
      <w:r w:rsidR="00CB6C28" w:rsidRPr="1E8A5144">
        <w:t>on equitable access to GLP-1 obesity treatments</w:t>
      </w:r>
      <w:r w:rsidR="00961DE4" w:rsidRPr="1E8A5144">
        <w:t xml:space="preserve"> in response to the Minister’s questions</w:t>
      </w:r>
      <w:r w:rsidR="00CB6C28" w:rsidRPr="1E8A5144">
        <w:t>.</w:t>
      </w:r>
    </w:p>
    <w:p w14:paraId="293EC1E0" w14:textId="77777777" w:rsidR="003451A7" w:rsidRDefault="003451A7" w:rsidP="001350BF">
      <w:pPr>
        <w:pStyle w:val="3Subheading1"/>
        <w:rPr>
          <w:rStyle w:val="cf01"/>
          <w:rFonts w:asciiTheme="minorHAnsi" w:hAnsiTheme="minorHAnsi" w:cstheme="minorBidi"/>
          <w:sz w:val="24"/>
          <w:szCs w:val="24"/>
        </w:rPr>
      </w:pPr>
      <w:r w:rsidRPr="003451A7">
        <w:rPr>
          <w:rStyle w:val="cf01"/>
          <w:rFonts w:asciiTheme="minorHAnsi" w:hAnsiTheme="minorHAnsi" w:cstheme="minorBidi"/>
          <w:sz w:val="24"/>
          <w:szCs w:val="24"/>
        </w:rPr>
        <w:t>Which Australian cohorts are most likely to benefit from potential availability of obesity medicines through the PBS?</w:t>
      </w:r>
    </w:p>
    <w:p w14:paraId="10CCF3B4" w14:textId="70559A85" w:rsidR="00BE02E9" w:rsidRDefault="005D7853"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considered that the following population groups should be prioritised for </w:t>
      </w:r>
      <w:r w:rsidR="00304CAE">
        <w:rPr>
          <w:rStyle w:val="cf01"/>
          <w:rFonts w:asciiTheme="minorHAnsi" w:hAnsiTheme="minorHAnsi" w:cstheme="minorBidi"/>
          <w:sz w:val="24"/>
          <w:szCs w:val="24"/>
        </w:rPr>
        <w:t xml:space="preserve">potential future </w:t>
      </w:r>
      <w:r>
        <w:rPr>
          <w:rStyle w:val="cf01"/>
          <w:rFonts w:asciiTheme="minorHAnsi" w:hAnsiTheme="minorHAnsi" w:cstheme="minorBidi"/>
          <w:sz w:val="24"/>
          <w:szCs w:val="24"/>
        </w:rPr>
        <w:t xml:space="preserve">PBS </w:t>
      </w:r>
      <w:r w:rsidR="00304CAE">
        <w:rPr>
          <w:rStyle w:val="cf01"/>
          <w:rFonts w:asciiTheme="minorHAnsi" w:hAnsiTheme="minorHAnsi" w:cstheme="minorBidi"/>
          <w:sz w:val="24"/>
          <w:szCs w:val="24"/>
        </w:rPr>
        <w:t>subsidy of</w:t>
      </w:r>
      <w:r>
        <w:rPr>
          <w:rStyle w:val="cf01"/>
          <w:rFonts w:asciiTheme="minorHAnsi" w:hAnsiTheme="minorHAnsi" w:cstheme="minorBidi"/>
          <w:sz w:val="24"/>
          <w:szCs w:val="24"/>
        </w:rPr>
        <w:t xml:space="preserve"> GLP-1 obesity treatments and invited </w:t>
      </w:r>
      <w:r w:rsidR="0093455E">
        <w:rPr>
          <w:rStyle w:val="cf01"/>
          <w:rFonts w:asciiTheme="minorHAnsi" w:hAnsiTheme="minorHAnsi" w:cstheme="minorBidi"/>
          <w:sz w:val="24"/>
          <w:szCs w:val="24"/>
        </w:rPr>
        <w:t>submissions</w:t>
      </w:r>
      <w:r>
        <w:rPr>
          <w:rStyle w:val="cf01"/>
          <w:rFonts w:asciiTheme="minorHAnsi" w:hAnsiTheme="minorHAnsi" w:cstheme="minorBidi"/>
          <w:sz w:val="24"/>
          <w:szCs w:val="24"/>
        </w:rPr>
        <w:t xml:space="preserve"> </w:t>
      </w:r>
      <w:r w:rsidR="00910138">
        <w:rPr>
          <w:rStyle w:val="cf01"/>
          <w:rFonts w:asciiTheme="minorHAnsi" w:hAnsiTheme="minorHAnsi" w:cstheme="minorBidi"/>
          <w:sz w:val="24"/>
          <w:szCs w:val="24"/>
        </w:rPr>
        <w:t xml:space="preserve">from sponsors </w:t>
      </w:r>
      <w:r>
        <w:rPr>
          <w:rStyle w:val="cf01"/>
          <w:rFonts w:asciiTheme="minorHAnsi" w:hAnsiTheme="minorHAnsi" w:cstheme="minorBidi"/>
          <w:sz w:val="24"/>
          <w:szCs w:val="24"/>
        </w:rPr>
        <w:t xml:space="preserve">for these </w:t>
      </w:r>
      <w:r w:rsidR="0093455E">
        <w:rPr>
          <w:rStyle w:val="cf01"/>
          <w:rFonts w:asciiTheme="minorHAnsi" w:hAnsiTheme="minorHAnsi" w:cstheme="minorBidi"/>
          <w:sz w:val="24"/>
          <w:szCs w:val="24"/>
        </w:rPr>
        <w:t>populations:</w:t>
      </w:r>
    </w:p>
    <w:p w14:paraId="053649D5" w14:textId="2364732C" w:rsidR="00761AB8" w:rsidRDefault="00CC1EBC" w:rsidP="007710F2">
      <w:pPr>
        <w:pStyle w:val="3Bodytext"/>
        <w:numPr>
          <w:ilvl w:val="2"/>
          <w:numId w:val="45"/>
        </w:numPr>
        <w:jc w:val="both"/>
        <w:rPr>
          <w:rStyle w:val="cf01"/>
          <w:rFonts w:asciiTheme="minorHAnsi" w:hAnsiTheme="minorHAnsi" w:cstheme="minorBidi"/>
          <w:sz w:val="24"/>
          <w:szCs w:val="24"/>
        </w:rPr>
      </w:pPr>
      <w:r>
        <w:rPr>
          <w:rStyle w:val="cf01"/>
          <w:rFonts w:asciiTheme="minorHAnsi" w:hAnsiTheme="minorHAnsi" w:cstheme="minorBidi"/>
          <w:sz w:val="24"/>
          <w:szCs w:val="24"/>
        </w:rPr>
        <w:t>People with established CVD</w:t>
      </w:r>
      <w:r w:rsidR="00D16FB8">
        <w:rPr>
          <w:rStyle w:val="cf01"/>
          <w:rFonts w:asciiTheme="minorHAnsi" w:hAnsiTheme="minorHAnsi" w:cstheme="minorBidi"/>
          <w:sz w:val="24"/>
          <w:szCs w:val="24"/>
        </w:rPr>
        <w:t>.</w:t>
      </w:r>
    </w:p>
    <w:p w14:paraId="391CC745" w14:textId="7810578C" w:rsidR="00CC1EBC" w:rsidRDefault="00D16FB8" w:rsidP="007710F2">
      <w:pPr>
        <w:pStyle w:val="3Bodytext"/>
        <w:numPr>
          <w:ilvl w:val="2"/>
          <w:numId w:val="45"/>
        </w:numPr>
        <w:jc w:val="both"/>
        <w:rPr>
          <w:rStyle w:val="cf01"/>
          <w:rFonts w:asciiTheme="minorHAnsi" w:hAnsiTheme="minorHAnsi" w:cstheme="minorBidi"/>
          <w:sz w:val="24"/>
          <w:szCs w:val="24"/>
        </w:rPr>
      </w:pPr>
      <w:r>
        <w:rPr>
          <w:rStyle w:val="cf01"/>
          <w:rFonts w:asciiTheme="minorHAnsi" w:hAnsiTheme="minorHAnsi" w:cstheme="minorBidi"/>
          <w:sz w:val="24"/>
          <w:szCs w:val="24"/>
        </w:rPr>
        <w:t>People with syndromic obesity.</w:t>
      </w:r>
    </w:p>
    <w:p w14:paraId="3F347B82" w14:textId="01C0FFA6" w:rsidR="00D16FB8" w:rsidRDefault="00D16FB8" w:rsidP="007710F2">
      <w:pPr>
        <w:pStyle w:val="3Bodytext"/>
        <w:numPr>
          <w:ilvl w:val="2"/>
          <w:numId w:val="45"/>
        </w:numPr>
        <w:jc w:val="both"/>
        <w:rPr>
          <w:rStyle w:val="cf01"/>
          <w:rFonts w:asciiTheme="minorHAnsi" w:hAnsiTheme="minorHAnsi" w:cstheme="minorBidi"/>
          <w:sz w:val="24"/>
          <w:szCs w:val="24"/>
        </w:rPr>
      </w:pPr>
      <w:r>
        <w:rPr>
          <w:rStyle w:val="cf01"/>
          <w:rFonts w:asciiTheme="minorHAnsi" w:hAnsiTheme="minorHAnsi" w:cstheme="minorBidi"/>
          <w:sz w:val="24"/>
          <w:szCs w:val="24"/>
        </w:rPr>
        <w:t>Aboriginal and/or Torres Strait Islander</w:t>
      </w:r>
      <w:r w:rsidR="00841F90">
        <w:rPr>
          <w:rStyle w:val="cf01"/>
          <w:rFonts w:asciiTheme="minorHAnsi" w:hAnsiTheme="minorHAnsi" w:cstheme="minorBidi"/>
          <w:sz w:val="24"/>
          <w:szCs w:val="24"/>
        </w:rPr>
        <w:t xml:space="preserve"> people</w:t>
      </w:r>
      <w:r>
        <w:rPr>
          <w:rStyle w:val="cf01"/>
          <w:rFonts w:asciiTheme="minorHAnsi" w:hAnsiTheme="minorHAnsi" w:cstheme="minorBidi"/>
          <w:sz w:val="24"/>
          <w:szCs w:val="24"/>
        </w:rPr>
        <w:t xml:space="preserve"> </w:t>
      </w:r>
      <w:r w:rsidR="000B18C0">
        <w:rPr>
          <w:rStyle w:val="cf01"/>
          <w:rFonts w:asciiTheme="minorHAnsi" w:hAnsiTheme="minorHAnsi" w:cstheme="minorBidi"/>
          <w:sz w:val="24"/>
          <w:szCs w:val="24"/>
        </w:rPr>
        <w:t xml:space="preserve">with BMI </w:t>
      </w:r>
      <w:r w:rsidR="000B18C0">
        <w:rPr>
          <w:rStyle w:val="cf01"/>
          <w:rFonts w:asciiTheme="minorHAnsi" w:hAnsiTheme="minorHAnsi" w:cstheme="minorHAnsi"/>
          <w:sz w:val="24"/>
          <w:szCs w:val="24"/>
        </w:rPr>
        <w:t>≥</w:t>
      </w:r>
      <w:r w:rsidR="000B18C0">
        <w:rPr>
          <w:rStyle w:val="cf01"/>
          <w:rFonts w:asciiTheme="minorHAnsi" w:hAnsiTheme="minorHAnsi" w:cstheme="minorBidi"/>
          <w:sz w:val="24"/>
          <w:szCs w:val="24"/>
        </w:rPr>
        <w:t xml:space="preserve"> 32.5 kg/m</w:t>
      </w:r>
      <w:r w:rsidR="000B18C0" w:rsidRPr="00DA07A8">
        <w:rPr>
          <w:rStyle w:val="cf01"/>
          <w:rFonts w:asciiTheme="minorHAnsi" w:hAnsiTheme="minorHAnsi" w:cstheme="minorBidi"/>
          <w:sz w:val="24"/>
          <w:szCs w:val="24"/>
          <w:vertAlign w:val="superscript"/>
        </w:rPr>
        <w:t>2</w:t>
      </w:r>
      <w:r w:rsidR="000B18C0">
        <w:rPr>
          <w:rStyle w:val="cf01"/>
          <w:rFonts w:asciiTheme="minorHAnsi" w:hAnsiTheme="minorHAnsi" w:cstheme="minorBidi"/>
          <w:sz w:val="24"/>
          <w:szCs w:val="24"/>
        </w:rPr>
        <w:t xml:space="preserve">, and </w:t>
      </w:r>
      <w:r w:rsidR="00DA07A8">
        <w:rPr>
          <w:rStyle w:val="cf01"/>
          <w:rFonts w:asciiTheme="minorHAnsi" w:hAnsiTheme="minorHAnsi" w:cstheme="minorHAnsi"/>
          <w:sz w:val="24"/>
          <w:szCs w:val="24"/>
        </w:rPr>
        <w:t>at least one</w:t>
      </w:r>
      <w:r w:rsidR="00843628">
        <w:rPr>
          <w:rStyle w:val="cf01"/>
          <w:rFonts w:asciiTheme="minorHAnsi" w:hAnsiTheme="minorHAnsi" w:cstheme="minorBidi"/>
          <w:sz w:val="24"/>
          <w:szCs w:val="24"/>
        </w:rPr>
        <w:t xml:space="preserve"> of the following com</w:t>
      </w:r>
      <w:r w:rsidR="00DA07A8">
        <w:rPr>
          <w:rStyle w:val="cf01"/>
          <w:rFonts w:asciiTheme="minorHAnsi" w:hAnsiTheme="minorHAnsi" w:cstheme="minorBidi"/>
          <w:sz w:val="24"/>
          <w:szCs w:val="24"/>
        </w:rPr>
        <w:t>orbidities</w:t>
      </w:r>
      <w:r w:rsidR="006262B2">
        <w:rPr>
          <w:rStyle w:val="cf01"/>
          <w:rFonts w:asciiTheme="minorHAnsi" w:hAnsiTheme="minorHAnsi" w:cstheme="minorBidi"/>
          <w:sz w:val="24"/>
          <w:szCs w:val="24"/>
        </w:rPr>
        <w:t>: established CVD, OSA, CKD, or T2DM.</w:t>
      </w:r>
    </w:p>
    <w:p w14:paraId="27841661" w14:textId="76FBE9A2" w:rsidR="00DA07A8" w:rsidRDefault="0094254E" w:rsidP="007710F2">
      <w:pPr>
        <w:pStyle w:val="3Bodytext"/>
        <w:numPr>
          <w:ilvl w:val="2"/>
          <w:numId w:val="45"/>
        </w:numPr>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People with BMI </w:t>
      </w:r>
      <w:r>
        <w:rPr>
          <w:rStyle w:val="cf01"/>
          <w:rFonts w:asciiTheme="minorHAnsi" w:hAnsiTheme="minorHAnsi" w:cstheme="minorHAnsi"/>
          <w:sz w:val="24"/>
          <w:szCs w:val="24"/>
        </w:rPr>
        <w:t>≥</w:t>
      </w:r>
      <w:r>
        <w:rPr>
          <w:rStyle w:val="cf01"/>
          <w:rFonts w:asciiTheme="minorHAnsi" w:hAnsiTheme="minorHAnsi" w:cstheme="minorBidi"/>
          <w:sz w:val="24"/>
          <w:szCs w:val="24"/>
        </w:rPr>
        <w:t xml:space="preserve"> 35 kg/m</w:t>
      </w:r>
      <w:r w:rsidRPr="00DA07A8">
        <w:rPr>
          <w:rStyle w:val="cf01"/>
          <w:rFonts w:asciiTheme="minorHAnsi" w:hAnsiTheme="minorHAnsi" w:cstheme="minorBidi"/>
          <w:sz w:val="24"/>
          <w:szCs w:val="24"/>
          <w:vertAlign w:val="superscript"/>
        </w:rPr>
        <w:t>2</w:t>
      </w:r>
      <w:r>
        <w:rPr>
          <w:rStyle w:val="cf01"/>
          <w:rFonts w:asciiTheme="minorHAnsi" w:hAnsiTheme="minorHAnsi" w:cstheme="minorBidi"/>
          <w:sz w:val="24"/>
          <w:szCs w:val="24"/>
          <w:vertAlign w:val="superscript"/>
        </w:rPr>
        <w:t xml:space="preserve"> </w:t>
      </w:r>
      <w:r w:rsidR="00856EB8">
        <w:rPr>
          <w:rStyle w:val="cf01"/>
          <w:rFonts w:asciiTheme="minorHAnsi" w:hAnsiTheme="minorHAnsi" w:cstheme="minorBidi"/>
          <w:sz w:val="24"/>
          <w:szCs w:val="24"/>
        </w:rPr>
        <w:t>us</w:t>
      </w:r>
      <w:r>
        <w:rPr>
          <w:rStyle w:val="cf01"/>
          <w:rFonts w:asciiTheme="minorHAnsi" w:hAnsiTheme="minorHAnsi" w:cstheme="minorBidi"/>
          <w:sz w:val="24"/>
          <w:szCs w:val="24"/>
        </w:rPr>
        <w:t xml:space="preserve">ing obesogenic medicines, </w:t>
      </w:r>
      <w:r w:rsidR="00F30F20">
        <w:rPr>
          <w:rStyle w:val="cf01"/>
          <w:rFonts w:asciiTheme="minorHAnsi" w:hAnsiTheme="minorHAnsi" w:cstheme="minorBidi"/>
          <w:sz w:val="24"/>
          <w:szCs w:val="24"/>
        </w:rPr>
        <w:t xml:space="preserve">such as </w:t>
      </w:r>
      <w:r>
        <w:rPr>
          <w:rStyle w:val="cf01"/>
          <w:rFonts w:asciiTheme="minorHAnsi" w:hAnsiTheme="minorHAnsi" w:cstheme="minorBidi"/>
          <w:sz w:val="24"/>
          <w:szCs w:val="24"/>
        </w:rPr>
        <w:t>anti</w:t>
      </w:r>
      <w:r w:rsidR="00D17D24">
        <w:rPr>
          <w:rStyle w:val="cf01"/>
          <w:rFonts w:asciiTheme="minorHAnsi" w:hAnsiTheme="minorHAnsi" w:cstheme="minorBidi"/>
          <w:sz w:val="24"/>
          <w:szCs w:val="24"/>
        </w:rPr>
        <w:noBreakHyphen/>
      </w:r>
      <w:r>
        <w:rPr>
          <w:rStyle w:val="cf01"/>
          <w:rFonts w:asciiTheme="minorHAnsi" w:hAnsiTheme="minorHAnsi" w:cstheme="minorBidi"/>
          <w:sz w:val="24"/>
          <w:szCs w:val="24"/>
        </w:rPr>
        <w:t>psychotics</w:t>
      </w:r>
      <w:r w:rsidR="00F30F20">
        <w:rPr>
          <w:rStyle w:val="cf01"/>
          <w:rFonts w:asciiTheme="minorHAnsi" w:hAnsiTheme="minorHAnsi" w:cstheme="minorBidi"/>
          <w:sz w:val="24"/>
          <w:szCs w:val="24"/>
        </w:rPr>
        <w:t xml:space="preserve"> </w:t>
      </w:r>
      <w:r w:rsidR="003C6064">
        <w:rPr>
          <w:rStyle w:val="cf01"/>
          <w:rFonts w:asciiTheme="minorHAnsi" w:hAnsiTheme="minorHAnsi" w:cstheme="minorBidi"/>
          <w:sz w:val="24"/>
          <w:szCs w:val="24"/>
        </w:rPr>
        <w:t>or</w:t>
      </w:r>
      <w:r w:rsidR="00F30F20">
        <w:rPr>
          <w:rStyle w:val="cf01"/>
          <w:rFonts w:asciiTheme="minorHAnsi" w:hAnsiTheme="minorHAnsi" w:cstheme="minorBidi"/>
          <w:sz w:val="24"/>
          <w:szCs w:val="24"/>
        </w:rPr>
        <w:t xml:space="preserve"> steroid</w:t>
      </w:r>
      <w:r w:rsidR="00265923">
        <w:rPr>
          <w:rStyle w:val="cf01"/>
          <w:rFonts w:asciiTheme="minorHAnsi" w:hAnsiTheme="minorHAnsi" w:cstheme="minorBidi"/>
          <w:sz w:val="24"/>
          <w:szCs w:val="24"/>
        </w:rPr>
        <w:t>s</w:t>
      </w:r>
      <w:r>
        <w:rPr>
          <w:rStyle w:val="cf01"/>
          <w:rFonts w:asciiTheme="minorHAnsi" w:hAnsiTheme="minorHAnsi" w:cstheme="minorBidi"/>
          <w:sz w:val="24"/>
          <w:szCs w:val="24"/>
        </w:rPr>
        <w:t>.</w:t>
      </w:r>
    </w:p>
    <w:p w14:paraId="09C57018" w14:textId="63A7E5D3" w:rsidR="00CF1281" w:rsidRDefault="00CF1281" w:rsidP="007710F2">
      <w:pPr>
        <w:pStyle w:val="3Bodytext"/>
        <w:numPr>
          <w:ilvl w:val="2"/>
          <w:numId w:val="45"/>
        </w:numPr>
        <w:jc w:val="both"/>
        <w:rPr>
          <w:rStyle w:val="cf01"/>
          <w:rFonts w:asciiTheme="minorHAnsi" w:hAnsiTheme="minorHAnsi" w:cstheme="minorBidi"/>
          <w:sz w:val="24"/>
          <w:szCs w:val="24"/>
        </w:rPr>
      </w:pPr>
      <w:r w:rsidRPr="00CF1281">
        <w:rPr>
          <w:rStyle w:val="cf01"/>
          <w:rFonts w:asciiTheme="minorHAnsi" w:hAnsiTheme="minorHAnsi" w:cstheme="minorBidi"/>
          <w:sz w:val="24"/>
          <w:szCs w:val="24"/>
        </w:rPr>
        <w:lastRenderedPageBreak/>
        <w:t>People who cannot have safe surgery, or cannot be waitlisted for surgery</w:t>
      </w:r>
      <w:r>
        <w:rPr>
          <w:rStyle w:val="cf01"/>
          <w:rFonts w:asciiTheme="minorHAnsi" w:hAnsiTheme="minorHAnsi" w:cstheme="minorBidi"/>
          <w:sz w:val="24"/>
          <w:szCs w:val="24"/>
        </w:rPr>
        <w:t>, due to weight</w:t>
      </w:r>
      <w:r w:rsidR="00D4288B">
        <w:rPr>
          <w:rStyle w:val="cf01"/>
          <w:rFonts w:asciiTheme="minorHAnsi" w:hAnsiTheme="minorHAnsi" w:cstheme="minorBidi"/>
          <w:sz w:val="24"/>
          <w:szCs w:val="24"/>
        </w:rPr>
        <w:t>, including renal transplant, hip and knee replacement</w:t>
      </w:r>
      <w:r w:rsidR="009E56DC">
        <w:rPr>
          <w:rStyle w:val="cf01"/>
          <w:rFonts w:asciiTheme="minorHAnsi" w:hAnsiTheme="minorHAnsi" w:cstheme="minorBidi"/>
          <w:sz w:val="24"/>
          <w:szCs w:val="24"/>
        </w:rPr>
        <w:t>,</w:t>
      </w:r>
      <w:r w:rsidR="00D4288B">
        <w:rPr>
          <w:rStyle w:val="cf01"/>
          <w:rFonts w:asciiTheme="minorHAnsi" w:hAnsiTheme="minorHAnsi" w:cstheme="minorBidi"/>
          <w:sz w:val="24"/>
          <w:szCs w:val="24"/>
        </w:rPr>
        <w:t xml:space="preserve"> or bariatric surgery.</w:t>
      </w:r>
    </w:p>
    <w:p w14:paraId="5F411B97" w14:textId="3ABBDC4C" w:rsidR="000A353A" w:rsidRDefault="783B82C8" w:rsidP="007710F2">
      <w:pPr>
        <w:pStyle w:val="3Bodytext"/>
        <w:jc w:val="both"/>
        <w:rPr>
          <w:rStyle w:val="cf01"/>
          <w:rFonts w:asciiTheme="minorHAnsi" w:hAnsiTheme="minorHAnsi" w:cstheme="minorBidi"/>
          <w:sz w:val="24"/>
          <w:szCs w:val="24"/>
        </w:rPr>
      </w:pPr>
      <w:r w:rsidRPr="2E9A5230">
        <w:rPr>
          <w:rStyle w:val="cf01"/>
          <w:rFonts w:asciiTheme="minorHAnsi" w:hAnsiTheme="minorHAnsi" w:cstheme="minorBidi"/>
          <w:sz w:val="24"/>
          <w:szCs w:val="24"/>
        </w:rPr>
        <w:t xml:space="preserve">The PBAC </w:t>
      </w:r>
      <w:r w:rsidR="0092026E">
        <w:rPr>
          <w:rStyle w:val="cf01"/>
          <w:rFonts w:asciiTheme="minorHAnsi" w:hAnsiTheme="minorHAnsi" w:cstheme="minorBidi"/>
          <w:sz w:val="24"/>
          <w:szCs w:val="24"/>
        </w:rPr>
        <w:t xml:space="preserve">noted that the </w:t>
      </w:r>
      <w:r w:rsidR="0C737789" w:rsidRPr="2E9A5230">
        <w:rPr>
          <w:rStyle w:val="cf01"/>
          <w:rFonts w:asciiTheme="minorHAnsi" w:hAnsiTheme="minorHAnsi" w:cstheme="minorBidi"/>
          <w:sz w:val="24"/>
          <w:szCs w:val="24"/>
        </w:rPr>
        <w:t>first of these groups was considered at the November 2025 meeting (patients with established CVD and overweight/obesity).</w:t>
      </w:r>
    </w:p>
    <w:p w14:paraId="6285BC3B" w14:textId="777AE1D1" w:rsidR="0028613F" w:rsidRDefault="00CF05C1"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The PBAC considered that access to GLP-1 obesity treatments for Aboriginal and/or Torres Strait Islander</w:t>
      </w:r>
      <w:r w:rsidR="00986A63">
        <w:rPr>
          <w:rStyle w:val="cf01"/>
          <w:rFonts w:asciiTheme="minorHAnsi" w:hAnsiTheme="minorHAnsi" w:cstheme="minorBidi"/>
          <w:sz w:val="24"/>
          <w:szCs w:val="24"/>
        </w:rPr>
        <w:t xml:space="preserve"> people</w:t>
      </w:r>
      <w:r>
        <w:rPr>
          <w:rStyle w:val="cf01"/>
          <w:rFonts w:asciiTheme="minorHAnsi" w:hAnsiTheme="minorHAnsi" w:cstheme="minorBidi"/>
          <w:sz w:val="24"/>
          <w:szCs w:val="24"/>
        </w:rPr>
        <w:t xml:space="preserve"> </w:t>
      </w:r>
      <w:r w:rsidR="00FB7CDC">
        <w:rPr>
          <w:rStyle w:val="cf01"/>
          <w:rFonts w:asciiTheme="minorHAnsi" w:hAnsiTheme="minorHAnsi" w:cstheme="minorBidi"/>
          <w:sz w:val="24"/>
          <w:szCs w:val="24"/>
        </w:rPr>
        <w:t xml:space="preserve">meeting the BMI and comorbidity requirements detailed above </w:t>
      </w:r>
      <w:r w:rsidR="00097BF1">
        <w:rPr>
          <w:rStyle w:val="cf01"/>
          <w:rFonts w:asciiTheme="minorHAnsi" w:hAnsiTheme="minorHAnsi" w:cstheme="minorBidi"/>
          <w:sz w:val="24"/>
          <w:szCs w:val="24"/>
        </w:rPr>
        <w:t xml:space="preserve">should be </w:t>
      </w:r>
      <w:r w:rsidR="002D7EFF">
        <w:rPr>
          <w:rStyle w:val="cf01"/>
          <w:rFonts w:asciiTheme="minorHAnsi" w:hAnsiTheme="minorHAnsi" w:cstheme="minorBidi"/>
          <w:sz w:val="24"/>
          <w:szCs w:val="24"/>
        </w:rPr>
        <w:t xml:space="preserve">prioritised </w:t>
      </w:r>
      <w:r w:rsidR="00097BF1">
        <w:rPr>
          <w:rStyle w:val="cf01"/>
          <w:rFonts w:asciiTheme="minorHAnsi" w:hAnsiTheme="minorHAnsi" w:cstheme="minorBidi"/>
          <w:sz w:val="24"/>
          <w:szCs w:val="24"/>
        </w:rPr>
        <w:t>to assist in meeting Closing the Gap targets</w:t>
      </w:r>
      <w:r w:rsidR="00D17D24">
        <w:rPr>
          <w:rStyle w:val="cf01"/>
          <w:rFonts w:asciiTheme="minorHAnsi" w:hAnsiTheme="minorHAnsi" w:cstheme="minorBidi"/>
          <w:sz w:val="24"/>
          <w:szCs w:val="24"/>
        </w:rPr>
        <w:t xml:space="preserve">. The PBAC also noted </w:t>
      </w:r>
      <w:r w:rsidR="00D43878">
        <w:rPr>
          <w:rStyle w:val="cf01"/>
          <w:rFonts w:asciiTheme="minorHAnsi" w:hAnsiTheme="minorHAnsi" w:cstheme="minorBidi"/>
          <w:sz w:val="24"/>
          <w:szCs w:val="24"/>
        </w:rPr>
        <w:t xml:space="preserve">that </w:t>
      </w:r>
      <w:r w:rsidR="007720A9">
        <w:rPr>
          <w:rStyle w:val="cf01"/>
          <w:rFonts w:asciiTheme="minorHAnsi" w:hAnsiTheme="minorHAnsi" w:cstheme="minorBidi"/>
          <w:sz w:val="24"/>
          <w:szCs w:val="24"/>
        </w:rPr>
        <w:t xml:space="preserve">many </w:t>
      </w:r>
      <w:r w:rsidR="00D43878">
        <w:rPr>
          <w:rStyle w:val="cf01"/>
          <w:rFonts w:asciiTheme="minorHAnsi" w:hAnsiTheme="minorHAnsi" w:cstheme="minorBidi"/>
          <w:sz w:val="24"/>
          <w:szCs w:val="24"/>
        </w:rPr>
        <w:t>Aboriginal and Torres Strait Islander</w:t>
      </w:r>
      <w:r w:rsidR="00BB4D36">
        <w:rPr>
          <w:rStyle w:val="cf01"/>
          <w:rFonts w:asciiTheme="minorHAnsi" w:hAnsiTheme="minorHAnsi" w:cstheme="minorBidi"/>
          <w:sz w:val="24"/>
          <w:szCs w:val="24"/>
        </w:rPr>
        <w:t xml:space="preserve"> people</w:t>
      </w:r>
      <w:r w:rsidR="00D43878">
        <w:rPr>
          <w:rStyle w:val="cf01"/>
          <w:rFonts w:asciiTheme="minorHAnsi" w:hAnsiTheme="minorHAnsi" w:cstheme="minorBidi"/>
          <w:sz w:val="24"/>
          <w:szCs w:val="24"/>
        </w:rPr>
        <w:t xml:space="preserve"> experienced </w:t>
      </w:r>
      <w:r w:rsidR="0012318F">
        <w:rPr>
          <w:rStyle w:val="cf01"/>
          <w:rFonts w:asciiTheme="minorHAnsi" w:hAnsiTheme="minorHAnsi" w:cstheme="minorBidi"/>
          <w:sz w:val="24"/>
          <w:szCs w:val="24"/>
        </w:rPr>
        <w:t xml:space="preserve">barriers to accessing healthcare, wraparound support services and </w:t>
      </w:r>
      <w:r w:rsidR="000953CC">
        <w:rPr>
          <w:rStyle w:val="cf01"/>
          <w:rFonts w:asciiTheme="minorHAnsi" w:hAnsiTheme="minorHAnsi" w:cstheme="minorBidi"/>
          <w:sz w:val="24"/>
          <w:szCs w:val="24"/>
        </w:rPr>
        <w:t xml:space="preserve">healthy food </w:t>
      </w:r>
      <w:r w:rsidR="0012318F">
        <w:rPr>
          <w:rStyle w:val="cf01"/>
          <w:rFonts w:asciiTheme="minorHAnsi" w:hAnsiTheme="minorHAnsi" w:cstheme="minorBidi"/>
          <w:sz w:val="24"/>
          <w:szCs w:val="24"/>
        </w:rPr>
        <w:t>in remote areas.</w:t>
      </w:r>
      <w:r w:rsidR="000953CC">
        <w:rPr>
          <w:rStyle w:val="cf01"/>
          <w:rFonts w:asciiTheme="minorHAnsi" w:hAnsiTheme="minorHAnsi" w:cstheme="minorBidi"/>
          <w:sz w:val="24"/>
          <w:szCs w:val="24"/>
        </w:rPr>
        <w:t xml:space="preserve"> </w:t>
      </w:r>
      <w:r w:rsidR="00F33358">
        <w:rPr>
          <w:rStyle w:val="cf01"/>
          <w:rFonts w:asciiTheme="minorHAnsi" w:hAnsiTheme="minorHAnsi" w:cstheme="minorBidi"/>
          <w:sz w:val="24"/>
          <w:szCs w:val="24"/>
        </w:rPr>
        <w:t>The PBAC also noted that epidemiological modelling indicated that this was a relatively small population</w:t>
      </w:r>
      <w:r w:rsidR="00101B1F">
        <w:rPr>
          <w:rStyle w:val="cf01"/>
          <w:rFonts w:asciiTheme="minorHAnsi" w:hAnsiTheme="minorHAnsi" w:cstheme="minorBidi"/>
          <w:sz w:val="24"/>
          <w:szCs w:val="24"/>
        </w:rPr>
        <w:t xml:space="preserve"> (</w:t>
      </w:r>
      <w:r w:rsidR="00BC5C64">
        <w:rPr>
          <w:rStyle w:val="cf01"/>
          <w:rFonts w:asciiTheme="minorHAnsi" w:hAnsiTheme="minorHAnsi" w:cstheme="minorBidi"/>
          <w:b/>
          <w:bCs/>
          <w:sz w:val="24"/>
          <w:szCs w:val="24"/>
        </w:rPr>
        <w:t>r</w:t>
      </w:r>
      <w:r w:rsidR="00283FF1" w:rsidRPr="00283FF1">
        <w:rPr>
          <w:rStyle w:val="cf01"/>
          <w:rFonts w:asciiTheme="minorHAnsi" w:hAnsiTheme="minorHAnsi" w:cstheme="minorBidi"/>
          <w:b/>
          <w:bCs/>
          <w:sz w:val="24"/>
          <w:szCs w:val="24"/>
        </w:rPr>
        <w:t>edacted text</w:t>
      </w:r>
      <w:r w:rsidR="00101B1F">
        <w:rPr>
          <w:rStyle w:val="cf01"/>
          <w:rFonts w:asciiTheme="minorHAnsi" w:hAnsiTheme="minorHAnsi" w:cstheme="minorBidi"/>
          <w:sz w:val="24"/>
          <w:szCs w:val="24"/>
        </w:rPr>
        <w:t>)</w:t>
      </w:r>
      <w:r w:rsidR="00F33358">
        <w:rPr>
          <w:rStyle w:val="cf01"/>
          <w:rFonts w:asciiTheme="minorHAnsi" w:hAnsiTheme="minorHAnsi" w:cstheme="minorBidi"/>
          <w:sz w:val="24"/>
          <w:szCs w:val="24"/>
        </w:rPr>
        <w:t>.</w:t>
      </w:r>
    </w:p>
    <w:p w14:paraId="16D996C0" w14:textId="75B10A12" w:rsidR="00AD777C" w:rsidRDefault="00694F18"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noted the importance of providing GLP-1 treatments for patients with syndromic obesity, noting the </w:t>
      </w:r>
      <w:r w:rsidR="008B383E">
        <w:rPr>
          <w:rStyle w:val="cf01"/>
          <w:rFonts w:asciiTheme="minorHAnsi" w:hAnsiTheme="minorHAnsi" w:cstheme="minorBidi"/>
          <w:sz w:val="24"/>
          <w:szCs w:val="24"/>
        </w:rPr>
        <w:t>high burden</w:t>
      </w:r>
      <w:r w:rsidR="00D82C9E">
        <w:rPr>
          <w:rStyle w:val="cf01"/>
          <w:rFonts w:asciiTheme="minorHAnsi" w:hAnsiTheme="minorHAnsi" w:cstheme="minorBidi"/>
          <w:sz w:val="24"/>
          <w:szCs w:val="24"/>
        </w:rPr>
        <w:t xml:space="preserve"> of disease in this patient group and potential benefits to </w:t>
      </w:r>
      <w:r w:rsidR="00495439">
        <w:rPr>
          <w:rStyle w:val="cf01"/>
          <w:rFonts w:asciiTheme="minorHAnsi" w:hAnsiTheme="minorHAnsi" w:cstheme="minorBidi"/>
          <w:sz w:val="24"/>
          <w:szCs w:val="24"/>
        </w:rPr>
        <w:t xml:space="preserve">patient and </w:t>
      </w:r>
      <w:r w:rsidR="00D82C9E">
        <w:rPr>
          <w:rStyle w:val="cf01"/>
          <w:rFonts w:asciiTheme="minorHAnsi" w:hAnsiTheme="minorHAnsi" w:cstheme="minorBidi"/>
          <w:sz w:val="24"/>
          <w:szCs w:val="24"/>
        </w:rPr>
        <w:t>carer</w:t>
      </w:r>
      <w:r w:rsidR="00495439">
        <w:rPr>
          <w:rStyle w:val="cf01"/>
          <w:rFonts w:asciiTheme="minorHAnsi" w:hAnsiTheme="minorHAnsi" w:cstheme="minorBidi"/>
          <w:sz w:val="24"/>
          <w:szCs w:val="24"/>
        </w:rPr>
        <w:t xml:space="preserve"> quality o</w:t>
      </w:r>
      <w:r w:rsidR="00394160">
        <w:rPr>
          <w:rStyle w:val="cf01"/>
          <w:rFonts w:asciiTheme="minorHAnsi" w:hAnsiTheme="minorHAnsi" w:cstheme="minorBidi"/>
          <w:sz w:val="24"/>
          <w:szCs w:val="24"/>
        </w:rPr>
        <w:t>f</w:t>
      </w:r>
      <w:r w:rsidR="00495439">
        <w:rPr>
          <w:rStyle w:val="cf01"/>
          <w:rFonts w:asciiTheme="minorHAnsi" w:hAnsiTheme="minorHAnsi" w:cstheme="minorBidi"/>
          <w:sz w:val="24"/>
          <w:szCs w:val="24"/>
        </w:rPr>
        <w:t xml:space="preserve"> life due to reductions in food seeking behaviours.</w:t>
      </w:r>
      <w:r w:rsidR="00D82C9E">
        <w:rPr>
          <w:rStyle w:val="cf01"/>
          <w:rFonts w:asciiTheme="minorHAnsi" w:hAnsiTheme="minorHAnsi" w:cstheme="minorBidi"/>
          <w:sz w:val="24"/>
          <w:szCs w:val="24"/>
        </w:rPr>
        <w:t xml:space="preserve"> </w:t>
      </w:r>
      <w:r w:rsidR="00B702DC">
        <w:rPr>
          <w:rStyle w:val="cf01"/>
          <w:rFonts w:asciiTheme="minorHAnsi" w:hAnsiTheme="minorHAnsi" w:cstheme="minorBidi"/>
          <w:sz w:val="24"/>
          <w:szCs w:val="24"/>
        </w:rPr>
        <w:t xml:space="preserve">The PBAC noted that this was a relatively small population </w:t>
      </w:r>
      <w:r w:rsidR="00031DC0">
        <w:rPr>
          <w:rStyle w:val="cf01"/>
          <w:rFonts w:asciiTheme="minorHAnsi" w:hAnsiTheme="minorHAnsi" w:cstheme="minorBidi"/>
          <w:sz w:val="24"/>
          <w:szCs w:val="24"/>
        </w:rPr>
        <w:t>(</w:t>
      </w:r>
      <w:r w:rsidR="00031DC0" w:rsidRPr="00283FF1">
        <w:rPr>
          <w:rStyle w:val="cf01"/>
          <w:rFonts w:asciiTheme="minorHAnsi" w:hAnsiTheme="minorHAnsi" w:cstheme="minorBidi"/>
          <w:sz w:val="24"/>
          <w:szCs w:val="24"/>
        </w:rPr>
        <w:t>estimated 21,000 people</w:t>
      </w:r>
      <w:r w:rsidR="00C55EE3" w:rsidRPr="00283FF1">
        <w:rPr>
          <w:rStyle w:val="cf01"/>
          <w:rFonts w:asciiTheme="minorHAnsi" w:hAnsiTheme="minorHAnsi" w:cstheme="minorBidi"/>
          <w:sz w:val="24"/>
          <w:szCs w:val="24"/>
        </w:rPr>
        <w:t xml:space="preserve"> based on preliminary </w:t>
      </w:r>
      <w:r w:rsidR="00F60887" w:rsidRPr="00283FF1">
        <w:rPr>
          <w:rStyle w:val="cf01"/>
          <w:rFonts w:asciiTheme="minorHAnsi" w:hAnsiTheme="minorHAnsi" w:cstheme="minorBidi"/>
          <w:sz w:val="24"/>
          <w:szCs w:val="24"/>
        </w:rPr>
        <w:t>Department estimates</w:t>
      </w:r>
      <w:r w:rsidR="00E36F28">
        <w:rPr>
          <w:rStyle w:val="cf01"/>
          <w:rFonts w:asciiTheme="minorHAnsi" w:hAnsiTheme="minorHAnsi" w:cstheme="minorBidi"/>
          <w:sz w:val="24"/>
          <w:szCs w:val="24"/>
        </w:rPr>
        <w:t>)</w:t>
      </w:r>
      <w:r w:rsidR="00AF2E8E">
        <w:rPr>
          <w:rStyle w:val="cf01"/>
          <w:rFonts w:asciiTheme="minorHAnsi" w:hAnsiTheme="minorHAnsi" w:cstheme="minorBidi"/>
          <w:sz w:val="24"/>
          <w:szCs w:val="24"/>
        </w:rPr>
        <w:t>.</w:t>
      </w:r>
    </w:p>
    <w:p w14:paraId="4F542D6E" w14:textId="19334285" w:rsidR="00A01EDC" w:rsidRPr="00AD777C" w:rsidRDefault="00C62D47" w:rsidP="007710F2">
      <w:pPr>
        <w:pStyle w:val="3Bodytext"/>
        <w:jc w:val="both"/>
        <w:rPr>
          <w:rStyle w:val="cf01"/>
          <w:rFonts w:asciiTheme="minorHAnsi" w:hAnsiTheme="minorHAnsi" w:cstheme="minorBidi"/>
          <w:sz w:val="24"/>
          <w:szCs w:val="24"/>
        </w:rPr>
      </w:pPr>
      <w:r w:rsidRPr="00AD777C">
        <w:rPr>
          <w:rStyle w:val="cf01"/>
          <w:rFonts w:asciiTheme="minorHAnsi" w:hAnsiTheme="minorHAnsi" w:cstheme="minorBidi"/>
          <w:sz w:val="24"/>
          <w:szCs w:val="24"/>
        </w:rPr>
        <w:t>R</w:t>
      </w:r>
      <w:r w:rsidR="006224FD" w:rsidRPr="00AD777C">
        <w:rPr>
          <w:rStyle w:val="cf01"/>
          <w:rFonts w:asciiTheme="minorHAnsi" w:hAnsiTheme="minorHAnsi" w:cstheme="minorBidi"/>
          <w:sz w:val="24"/>
          <w:szCs w:val="24"/>
        </w:rPr>
        <w:t xml:space="preserve">egarding prioritisation </w:t>
      </w:r>
      <w:r w:rsidR="00674897" w:rsidRPr="00AD777C">
        <w:rPr>
          <w:rStyle w:val="cf01"/>
          <w:rFonts w:asciiTheme="minorHAnsi" w:hAnsiTheme="minorHAnsi" w:cstheme="minorBidi"/>
          <w:sz w:val="24"/>
          <w:szCs w:val="24"/>
        </w:rPr>
        <w:t xml:space="preserve">of GLP-1 access for people requiring weight loss to be eligible </w:t>
      </w:r>
      <w:r w:rsidR="0004367E" w:rsidRPr="00AD777C">
        <w:rPr>
          <w:rStyle w:val="cf01"/>
          <w:rFonts w:asciiTheme="minorHAnsi" w:hAnsiTheme="minorHAnsi" w:cstheme="minorBidi"/>
          <w:sz w:val="24"/>
          <w:szCs w:val="24"/>
        </w:rPr>
        <w:t xml:space="preserve">or waitlisted </w:t>
      </w:r>
      <w:r w:rsidR="00674897" w:rsidRPr="00AD777C">
        <w:rPr>
          <w:rStyle w:val="cf01"/>
          <w:rFonts w:asciiTheme="minorHAnsi" w:hAnsiTheme="minorHAnsi" w:cstheme="minorBidi"/>
          <w:sz w:val="24"/>
          <w:szCs w:val="24"/>
        </w:rPr>
        <w:t>for surgery</w:t>
      </w:r>
      <w:r w:rsidR="00E15A5B" w:rsidRPr="00AD777C">
        <w:rPr>
          <w:rStyle w:val="cf01"/>
          <w:rFonts w:asciiTheme="minorHAnsi" w:hAnsiTheme="minorHAnsi" w:cstheme="minorBidi"/>
          <w:sz w:val="24"/>
          <w:szCs w:val="24"/>
        </w:rPr>
        <w:t xml:space="preserve">, the PBAC considered that </w:t>
      </w:r>
      <w:r w:rsidR="004D5950" w:rsidRPr="00AD777C">
        <w:rPr>
          <w:rStyle w:val="cf01"/>
          <w:rFonts w:asciiTheme="minorHAnsi" w:hAnsiTheme="minorHAnsi" w:cstheme="minorBidi"/>
          <w:sz w:val="24"/>
          <w:szCs w:val="24"/>
        </w:rPr>
        <w:t xml:space="preserve">GLP-1 treatment </w:t>
      </w:r>
      <w:r w:rsidR="64CA4549" w:rsidRPr="00AD777C">
        <w:rPr>
          <w:rStyle w:val="cf01"/>
          <w:rFonts w:asciiTheme="minorHAnsi" w:hAnsiTheme="minorHAnsi" w:cstheme="minorBidi"/>
          <w:sz w:val="24"/>
          <w:szCs w:val="24"/>
        </w:rPr>
        <w:t>would</w:t>
      </w:r>
      <w:r w:rsidR="0017652D" w:rsidRPr="00AD777C">
        <w:rPr>
          <w:rStyle w:val="cf01"/>
          <w:rFonts w:asciiTheme="minorHAnsi" w:hAnsiTheme="minorHAnsi" w:cstheme="minorBidi"/>
          <w:sz w:val="24"/>
          <w:szCs w:val="24"/>
        </w:rPr>
        <w:t xml:space="preserve"> </w:t>
      </w:r>
      <w:r w:rsidR="00906270" w:rsidRPr="00AD777C">
        <w:rPr>
          <w:rStyle w:val="cf01"/>
          <w:rFonts w:asciiTheme="minorHAnsi" w:hAnsiTheme="minorHAnsi" w:cstheme="minorBidi"/>
          <w:sz w:val="24"/>
          <w:szCs w:val="24"/>
        </w:rPr>
        <w:t>integrate into</w:t>
      </w:r>
      <w:r w:rsidR="004D5950" w:rsidRPr="00AD777C">
        <w:rPr>
          <w:rStyle w:val="cf01"/>
          <w:rFonts w:asciiTheme="minorHAnsi" w:hAnsiTheme="minorHAnsi" w:cstheme="minorBidi"/>
          <w:sz w:val="24"/>
          <w:szCs w:val="24"/>
        </w:rPr>
        <w:t xml:space="preserve"> existing models of care and that </w:t>
      </w:r>
      <w:r w:rsidR="009418FF" w:rsidRPr="00AD777C">
        <w:rPr>
          <w:rStyle w:val="cf01"/>
          <w:rFonts w:asciiTheme="minorHAnsi" w:hAnsiTheme="minorHAnsi" w:cstheme="minorBidi"/>
          <w:sz w:val="24"/>
          <w:szCs w:val="24"/>
        </w:rPr>
        <w:t>the benefits of treatment were likely to outweigh any potential adverse effects.</w:t>
      </w:r>
      <w:r w:rsidR="2B6EAB3C" w:rsidRPr="00AD777C">
        <w:rPr>
          <w:rStyle w:val="cf01"/>
          <w:rFonts w:asciiTheme="minorHAnsi" w:hAnsiTheme="minorHAnsi" w:cstheme="minorBidi"/>
          <w:sz w:val="24"/>
          <w:szCs w:val="24"/>
        </w:rPr>
        <w:t xml:space="preserve"> Estimating this population may be challenging, as patients may not be waitlisted for surgery until they meet BMI thre</w:t>
      </w:r>
      <w:r w:rsidR="00AD777C">
        <w:rPr>
          <w:rStyle w:val="cf01"/>
          <w:rFonts w:asciiTheme="minorHAnsi" w:hAnsiTheme="minorHAnsi" w:cstheme="minorBidi"/>
          <w:sz w:val="24"/>
          <w:szCs w:val="24"/>
        </w:rPr>
        <w:t>s</w:t>
      </w:r>
      <w:r w:rsidR="2B6EAB3C" w:rsidRPr="00AD777C">
        <w:rPr>
          <w:rStyle w:val="cf01"/>
          <w:rFonts w:asciiTheme="minorHAnsi" w:hAnsiTheme="minorHAnsi" w:cstheme="minorBidi"/>
          <w:sz w:val="24"/>
          <w:szCs w:val="24"/>
        </w:rPr>
        <w:t>holds</w:t>
      </w:r>
      <w:r w:rsidR="00AD777C">
        <w:rPr>
          <w:rStyle w:val="cf01"/>
          <w:rFonts w:asciiTheme="minorHAnsi" w:hAnsiTheme="minorHAnsi" w:cstheme="minorBidi"/>
          <w:sz w:val="24"/>
          <w:szCs w:val="24"/>
        </w:rPr>
        <w:t>, which may vary by su</w:t>
      </w:r>
      <w:r w:rsidR="00C2308C">
        <w:rPr>
          <w:rStyle w:val="cf01"/>
          <w:rFonts w:asciiTheme="minorHAnsi" w:hAnsiTheme="minorHAnsi" w:cstheme="minorBidi"/>
          <w:sz w:val="24"/>
          <w:szCs w:val="24"/>
        </w:rPr>
        <w:t>r</w:t>
      </w:r>
      <w:r w:rsidR="00AD777C">
        <w:rPr>
          <w:rStyle w:val="cf01"/>
          <w:rFonts w:asciiTheme="minorHAnsi" w:hAnsiTheme="minorHAnsi" w:cstheme="minorBidi"/>
          <w:sz w:val="24"/>
          <w:szCs w:val="24"/>
        </w:rPr>
        <w:t xml:space="preserve">geon and </w:t>
      </w:r>
      <w:r w:rsidR="00C2308C">
        <w:rPr>
          <w:rStyle w:val="cf01"/>
          <w:rFonts w:asciiTheme="minorHAnsi" w:hAnsiTheme="minorHAnsi" w:cstheme="minorBidi"/>
          <w:sz w:val="24"/>
          <w:szCs w:val="24"/>
        </w:rPr>
        <w:t>procedure</w:t>
      </w:r>
      <w:r w:rsidR="2B6EAB3C" w:rsidRPr="00AD777C">
        <w:rPr>
          <w:rStyle w:val="cf01"/>
          <w:rFonts w:asciiTheme="minorHAnsi" w:hAnsiTheme="minorHAnsi" w:cstheme="minorBidi"/>
          <w:sz w:val="24"/>
          <w:szCs w:val="24"/>
        </w:rPr>
        <w:t>.</w:t>
      </w:r>
    </w:p>
    <w:p w14:paraId="5C7D488D" w14:textId="0B3924B3" w:rsidR="00F878AB" w:rsidRDefault="00F878AB" w:rsidP="007710F2">
      <w:pPr>
        <w:pStyle w:val="3Bodytext"/>
        <w:jc w:val="both"/>
        <w:rPr>
          <w:rStyle w:val="cf01"/>
          <w:rFonts w:asciiTheme="minorHAnsi" w:hAnsiTheme="minorHAnsi" w:cstheme="minorBidi"/>
          <w:sz w:val="24"/>
          <w:szCs w:val="24"/>
        </w:rPr>
      </w:pPr>
      <w:r w:rsidRPr="5C66B902">
        <w:rPr>
          <w:rStyle w:val="cf01"/>
          <w:rFonts w:asciiTheme="minorHAnsi" w:hAnsiTheme="minorHAnsi" w:cstheme="minorBidi"/>
          <w:sz w:val="24"/>
          <w:szCs w:val="24"/>
        </w:rPr>
        <w:t xml:space="preserve">The PBAC </w:t>
      </w:r>
      <w:r w:rsidR="009F1DAB">
        <w:rPr>
          <w:rStyle w:val="cf01"/>
          <w:rFonts w:asciiTheme="minorHAnsi" w:hAnsiTheme="minorHAnsi" w:cstheme="minorBidi"/>
          <w:sz w:val="24"/>
          <w:szCs w:val="24"/>
        </w:rPr>
        <w:t xml:space="preserve">noted that </w:t>
      </w:r>
      <w:r w:rsidR="00AA27FA">
        <w:rPr>
          <w:rStyle w:val="cf01"/>
          <w:rFonts w:asciiTheme="minorHAnsi" w:hAnsiTheme="minorHAnsi" w:cstheme="minorBidi"/>
          <w:sz w:val="24"/>
          <w:szCs w:val="24"/>
        </w:rPr>
        <w:t xml:space="preserve">individuals with </w:t>
      </w:r>
      <w:r w:rsidR="007A4033">
        <w:rPr>
          <w:rStyle w:val="cf01"/>
          <w:rFonts w:asciiTheme="minorHAnsi" w:hAnsiTheme="minorHAnsi" w:cstheme="minorBidi"/>
          <w:sz w:val="24"/>
          <w:szCs w:val="24"/>
        </w:rPr>
        <w:t xml:space="preserve">schizophrenia and bipolar disorder </w:t>
      </w:r>
      <w:r w:rsidR="00400D2D">
        <w:rPr>
          <w:rStyle w:val="cf01"/>
          <w:rFonts w:asciiTheme="minorHAnsi" w:hAnsiTheme="minorHAnsi" w:cstheme="minorBidi"/>
          <w:sz w:val="24"/>
          <w:szCs w:val="24"/>
        </w:rPr>
        <w:t>are at increased risk of cardiometabolic disease</w:t>
      </w:r>
      <w:r w:rsidR="00803A05">
        <w:rPr>
          <w:rStyle w:val="cf01"/>
          <w:rFonts w:asciiTheme="minorHAnsi" w:hAnsiTheme="minorHAnsi" w:cstheme="minorBidi"/>
          <w:sz w:val="24"/>
          <w:szCs w:val="24"/>
        </w:rPr>
        <w:t xml:space="preserve">. </w:t>
      </w:r>
      <w:r w:rsidR="00286629">
        <w:rPr>
          <w:rStyle w:val="cf01"/>
          <w:rFonts w:asciiTheme="minorHAnsi" w:hAnsiTheme="minorHAnsi" w:cstheme="minorBidi"/>
          <w:sz w:val="24"/>
          <w:szCs w:val="24"/>
        </w:rPr>
        <w:t xml:space="preserve">The PBAC </w:t>
      </w:r>
      <w:r w:rsidRPr="5C66B902">
        <w:rPr>
          <w:rStyle w:val="cf01"/>
          <w:rFonts w:asciiTheme="minorHAnsi" w:hAnsiTheme="minorHAnsi" w:cstheme="minorBidi"/>
          <w:sz w:val="24"/>
          <w:szCs w:val="24"/>
        </w:rPr>
        <w:t xml:space="preserve">considered that </w:t>
      </w:r>
      <w:r w:rsidR="00EB66ED" w:rsidRPr="5C66B902">
        <w:rPr>
          <w:rStyle w:val="cf01"/>
          <w:rFonts w:asciiTheme="minorHAnsi" w:hAnsiTheme="minorHAnsi" w:cstheme="minorBidi"/>
          <w:sz w:val="24"/>
          <w:szCs w:val="24"/>
        </w:rPr>
        <w:t xml:space="preserve">some </w:t>
      </w:r>
      <w:r w:rsidR="002C2752" w:rsidRPr="5C66B902">
        <w:rPr>
          <w:rStyle w:val="cf01"/>
          <w:rFonts w:asciiTheme="minorHAnsi" w:hAnsiTheme="minorHAnsi" w:cstheme="minorBidi"/>
          <w:sz w:val="24"/>
          <w:szCs w:val="24"/>
        </w:rPr>
        <w:t>individuals</w:t>
      </w:r>
      <w:r w:rsidR="00C25164" w:rsidRPr="5C66B902">
        <w:rPr>
          <w:rStyle w:val="cf01"/>
          <w:rFonts w:asciiTheme="minorHAnsi" w:hAnsiTheme="minorHAnsi" w:cstheme="minorBidi"/>
          <w:sz w:val="24"/>
          <w:szCs w:val="24"/>
        </w:rPr>
        <w:t xml:space="preserve"> </w:t>
      </w:r>
      <w:r w:rsidR="0005585A">
        <w:rPr>
          <w:rStyle w:val="cf01"/>
          <w:rFonts w:asciiTheme="minorHAnsi" w:hAnsiTheme="minorHAnsi" w:cstheme="minorBidi"/>
          <w:sz w:val="24"/>
          <w:szCs w:val="24"/>
        </w:rPr>
        <w:t xml:space="preserve">with </w:t>
      </w:r>
      <w:r w:rsidR="00B90708">
        <w:rPr>
          <w:rStyle w:val="cf01"/>
          <w:rFonts w:asciiTheme="minorHAnsi" w:hAnsiTheme="minorHAnsi" w:cstheme="minorBidi"/>
          <w:sz w:val="24"/>
          <w:szCs w:val="24"/>
        </w:rPr>
        <w:t xml:space="preserve">a </w:t>
      </w:r>
      <w:r w:rsidR="0005585A">
        <w:rPr>
          <w:rStyle w:val="cf01"/>
          <w:rFonts w:asciiTheme="minorHAnsi" w:hAnsiTheme="minorHAnsi" w:cstheme="minorBidi"/>
          <w:sz w:val="24"/>
          <w:szCs w:val="24"/>
        </w:rPr>
        <w:t xml:space="preserve">mental illness </w:t>
      </w:r>
      <w:r w:rsidR="00F273F3" w:rsidRPr="5C66B902">
        <w:rPr>
          <w:rStyle w:val="cf01"/>
          <w:rFonts w:asciiTheme="minorHAnsi" w:hAnsiTheme="minorHAnsi" w:cstheme="minorBidi"/>
          <w:sz w:val="24"/>
          <w:szCs w:val="24"/>
        </w:rPr>
        <w:t xml:space="preserve">may </w:t>
      </w:r>
      <w:r w:rsidR="00E5655F" w:rsidRPr="5C66B902">
        <w:rPr>
          <w:rStyle w:val="cf01"/>
          <w:rFonts w:asciiTheme="minorHAnsi" w:hAnsiTheme="minorHAnsi" w:cstheme="minorBidi"/>
          <w:sz w:val="24"/>
          <w:szCs w:val="24"/>
        </w:rPr>
        <w:t xml:space="preserve">experience </w:t>
      </w:r>
      <w:r w:rsidR="00E96A06">
        <w:rPr>
          <w:rStyle w:val="cf01"/>
          <w:rFonts w:asciiTheme="minorHAnsi" w:hAnsiTheme="minorHAnsi" w:cstheme="minorBidi"/>
          <w:sz w:val="24"/>
          <w:szCs w:val="24"/>
        </w:rPr>
        <w:t xml:space="preserve">impacts on executive functioning </w:t>
      </w:r>
      <w:r w:rsidR="00FA7AAC" w:rsidRPr="5C66B902">
        <w:rPr>
          <w:rStyle w:val="cf01"/>
          <w:rFonts w:asciiTheme="minorHAnsi" w:hAnsiTheme="minorHAnsi" w:cstheme="minorBidi"/>
          <w:sz w:val="24"/>
          <w:szCs w:val="24"/>
        </w:rPr>
        <w:t xml:space="preserve">that can make it harder to follow </w:t>
      </w:r>
      <w:r w:rsidR="00830E5D" w:rsidRPr="5C66B902">
        <w:rPr>
          <w:rStyle w:val="cf01"/>
          <w:rFonts w:asciiTheme="minorHAnsi" w:hAnsiTheme="minorHAnsi" w:cstheme="minorBidi"/>
          <w:sz w:val="24"/>
          <w:szCs w:val="24"/>
        </w:rPr>
        <w:t xml:space="preserve">dietary </w:t>
      </w:r>
      <w:r w:rsidR="00D25C93" w:rsidRPr="5C66B902">
        <w:rPr>
          <w:rStyle w:val="cf01"/>
          <w:rFonts w:asciiTheme="minorHAnsi" w:hAnsiTheme="minorHAnsi" w:cstheme="minorBidi"/>
          <w:sz w:val="24"/>
          <w:szCs w:val="24"/>
        </w:rPr>
        <w:t>and</w:t>
      </w:r>
      <w:r w:rsidR="00830E5D" w:rsidRPr="5C66B902">
        <w:rPr>
          <w:rStyle w:val="cf01"/>
          <w:rFonts w:asciiTheme="minorHAnsi" w:hAnsiTheme="minorHAnsi" w:cstheme="minorBidi"/>
          <w:sz w:val="24"/>
          <w:szCs w:val="24"/>
        </w:rPr>
        <w:t xml:space="preserve"> </w:t>
      </w:r>
      <w:r w:rsidR="00C049B9" w:rsidRPr="5C66B902">
        <w:rPr>
          <w:rStyle w:val="cf01"/>
          <w:rFonts w:asciiTheme="minorHAnsi" w:hAnsiTheme="minorHAnsi" w:cstheme="minorBidi"/>
          <w:sz w:val="24"/>
          <w:szCs w:val="24"/>
        </w:rPr>
        <w:t xml:space="preserve">physical activity </w:t>
      </w:r>
      <w:r w:rsidR="00344F56" w:rsidRPr="5C66B902">
        <w:rPr>
          <w:rStyle w:val="cf01"/>
          <w:rFonts w:asciiTheme="minorHAnsi" w:hAnsiTheme="minorHAnsi" w:cstheme="minorBidi"/>
          <w:sz w:val="24"/>
          <w:szCs w:val="24"/>
        </w:rPr>
        <w:t>plan</w:t>
      </w:r>
      <w:r w:rsidR="0014083F" w:rsidRPr="5C66B902">
        <w:rPr>
          <w:rStyle w:val="cf01"/>
          <w:rFonts w:asciiTheme="minorHAnsi" w:hAnsiTheme="minorHAnsi" w:cstheme="minorBidi"/>
          <w:sz w:val="24"/>
          <w:szCs w:val="24"/>
        </w:rPr>
        <w:t xml:space="preserve">s </w:t>
      </w:r>
      <w:r w:rsidR="00D25C93" w:rsidRPr="5C66B902">
        <w:rPr>
          <w:rStyle w:val="cf01"/>
          <w:rFonts w:asciiTheme="minorHAnsi" w:hAnsiTheme="minorHAnsi" w:cstheme="minorBidi"/>
          <w:sz w:val="24"/>
          <w:szCs w:val="24"/>
        </w:rPr>
        <w:t xml:space="preserve">and/or </w:t>
      </w:r>
      <w:r w:rsidR="005C0025" w:rsidRPr="5C66B902">
        <w:rPr>
          <w:rStyle w:val="cf01"/>
          <w:rFonts w:asciiTheme="minorHAnsi" w:hAnsiTheme="minorHAnsi" w:cstheme="minorBidi"/>
          <w:sz w:val="24"/>
          <w:szCs w:val="24"/>
        </w:rPr>
        <w:t xml:space="preserve">engage with </w:t>
      </w:r>
      <w:r w:rsidR="004D2D0A" w:rsidRPr="5C66B902">
        <w:rPr>
          <w:rStyle w:val="cf01"/>
          <w:rFonts w:asciiTheme="minorHAnsi" w:hAnsiTheme="minorHAnsi" w:cstheme="minorBidi"/>
          <w:sz w:val="24"/>
          <w:szCs w:val="24"/>
        </w:rPr>
        <w:t>allied health services</w:t>
      </w:r>
      <w:r w:rsidR="00D25C93" w:rsidRPr="5C66B902">
        <w:rPr>
          <w:rStyle w:val="cf01"/>
          <w:rFonts w:asciiTheme="minorHAnsi" w:hAnsiTheme="minorHAnsi" w:cstheme="minorBidi"/>
          <w:sz w:val="24"/>
          <w:szCs w:val="24"/>
        </w:rPr>
        <w:t>.</w:t>
      </w:r>
      <w:r w:rsidR="00B91372" w:rsidRPr="5C66B902">
        <w:rPr>
          <w:rStyle w:val="cf01"/>
          <w:rFonts w:asciiTheme="minorHAnsi" w:hAnsiTheme="minorHAnsi" w:cstheme="minorBidi"/>
          <w:sz w:val="24"/>
          <w:szCs w:val="24"/>
        </w:rPr>
        <w:t xml:space="preserve"> </w:t>
      </w:r>
      <w:r w:rsidR="00FF50AB">
        <w:rPr>
          <w:rStyle w:val="cf01"/>
          <w:rFonts w:asciiTheme="minorHAnsi" w:hAnsiTheme="minorHAnsi" w:cstheme="minorBidi"/>
          <w:sz w:val="24"/>
          <w:szCs w:val="24"/>
        </w:rPr>
        <w:t xml:space="preserve">The use of </w:t>
      </w:r>
      <w:r w:rsidR="009F1DAB">
        <w:rPr>
          <w:rStyle w:val="cf01"/>
          <w:rFonts w:asciiTheme="minorHAnsi" w:hAnsiTheme="minorHAnsi" w:cstheme="minorBidi"/>
          <w:sz w:val="24"/>
          <w:szCs w:val="24"/>
        </w:rPr>
        <w:t xml:space="preserve">obesogenic </w:t>
      </w:r>
      <w:r w:rsidR="00FF50AB">
        <w:rPr>
          <w:rStyle w:val="cf01"/>
          <w:rFonts w:asciiTheme="minorHAnsi" w:hAnsiTheme="minorHAnsi" w:cstheme="minorBidi"/>
          <w:sz w:val="24"/>
          <w:szCs w:val="24"/>
        </w:rPr>
        <w:t>antipsychotic medication</w:t>
      </w:r>
      <w:r w:rsidR="006E1336">
        <w:rPr>
          <w:rStyle w:val="cf01"/>
          <w:rFonts w:asciiTheme="minorHAnsi" w:hAnsiTheme="minorHAnsi" w:cstheme="minorBidi"/>
          <w:sz w:val="24"/>
          <w:szCs w:val="24"/>
        </w:rPr>
        <w:t xml:space="preserve">s in these individuals can then </w:t>
      </w:r>
      <w:r w:rsidR="00A3722C">
        <w:rPr>
          <w:rStyle w:val="cf01"/>
          <w:rFonts w:asciiTheme="minorHAnsi" w:hAnsiTheme="minorHAnsi" w:cstheme="minorBidi"/>
          <w:sz w:val="24"/>
          <w:szCs w:val="24"/>
        </w:rPr>
        <w:t xml:space="preserve">further </w:t>
      </w:r>
      <w:r w:rsidR="006E1336">
        <w:rPr>
          <w:rStyle w:val="cf01"/>
          <w:rFonts w:asciiTheme="minorHAnsi" w:hAnsiTheme="minorHAnsi" w:cstheme="minorBidi"/>
          <w:sz w:val="24"/>
          <w:szCs w:val="24"/>
        </w:rPr>
        <w:t>e</w:t>
      </w:r>
      <w:r w:rsidR="001A2C07">
        <w:rPr>
          <w:rStyle w:val="cf01"/>
          <w:rFonts w:asciiTheme="minorHAnsi" w:hAnsiTheme="minorHAnsi" w:cstheme="minorBidi"/>
          <w:sz w:val="24"/>
          <w:szCs w:val="24"/>
        </w:rPr>
        <w:t>xacerbate weight gain</w:t>
      </w:r>
      <w:r w:rsidR="00CB3130">
        <w:rPr>
          <w:rStyle w:val="cf01"/>
          <w:rFonts w:asciiTheme="minorHAnsi" w:hAnsiTheme="minorHAnsi" w:cstheme="minorBidi"/>
          <w:sz w:val="24"/>
          <w:szCs w:val="24"/>
        </w:rPr>
        <w:t xml:space="preserve"> and increase cardiometabolic risk</w:t>
      </w:r>
      <w:r w:rsidR="001A2C07">
        <w:rPr>
          <w:rStyle w:val="cf01"/>
          <w:rFonts w:asciiTheme="minorHAnsi" w:hAnsiTheme="minorHAnsi" w:cstheme="minorBidi"/>
          <w:sz w:val="24"/>
          <w:szCs w:val="24"/>
        </w:rPr>
        <w:t>.</w:t>
      </w:r>
      <w:r w:rsidR="00DA4619">
        <w:rPr>
          <w:rStyle w:val="cf01"/>
          <w:rFonts w:asciiTheme="minorHAnsi" w:hAnsiTheme="minorHAnsi" w:cstheme="minorBidi"/>
          <w:sz w:val="24"/>
          <w:szCs w:val="24"/>
        </w:rPr>
        <w:t xml:space="preserve"> </w:t>
      </w:r>
    </w:p>
    <w:p w14:paraId="245A3DAE" w14:textId="30821C11" w:rsidR="0062360C" w:rsidRDefault="0062360C" w:rsidP="007710F2">
      <w:pPr>
        <w:pStyle w:val="3Bodytext"/>
        <w:jc w:val="both"/>
        <w:rPr>
          <w:rStyle w:val="cf01"/>
          <w:rFonts w:asciiTheme="minorHAnsi" w:hAnsiTheme="minorHAnsi" w:cstheme="minorBidi"/>
          <w:sz w:val="24"/>
          <w:szCs w:val="22"/>
        </w:rPr>
      </w:pPr>
      <w:r>
        <w:rPr>
          <w:rStyle w:val="cf01"/>
          <w:rFonts w:asciiTheme="minorHAnsi" w:hAnsiTheme="minorHAnsi" w:cstheme="minorBidi"/>
          <w:sz w:val="24"/>
          <w:szCs w:val="22"/>
        </w:rPr>
        <w:t xml:space="preserve">The PBAC noted that </w:t>
      </w:r>
      <w:r w:rsidR="001D2E65">
        <w:rPr>
          <w:rStyle w:val="cf01"/>
          <w:rFonts w:asciiTheme="minorHAnsi" w:hAnsiTheme="minorHAnsi" w:cstheme="minorBidi"/>
          <w:sz w:val="24"/>
          <w:szCs w:val="22"/>
        </w:rPr>
        <w:t xml:space="preserve">the priority </w:t>
      </w:r>
      <w:r w:rsidR="00EF0D60">
        <w:rPr>
          <w:rStyle w:val="cf01"/>
          <w:rFonts w:asciiTheme="minorHAnsi" w:hAnsiTheme="minorHAnsi" w:cstheme="minorBidi"/>
          <w:sz w:val="24"/>
          <w:szCs w:val="22"/>
        </w:rPr>
        <w:t xml:space="preserve">populations for access to GLP-1 obesity treatments may need to be revised </w:t>
      </w:r>
      <w:r w:rsidR="00E67FE9">
        <w:rPr>
          <w:rStyle w:val="cf01"/>
          <w:rFonts w:asciiTheme="minorHAnsi" w:hAnsiTheme="minorHAnsi" w:cstheme="minorBidi"/>
          <w:sz w:val="24"/>
          <w:szCs w:val="22"/>
        </w:rPr>
        <w:t xml:space="preserve">as new evidence emerges regarding </w:t>
      </w:r>
      <w:r w:rsidR="00032F67">
        <w:rPr>
          <w:rStyle w:val="cf01"/>
          <w:rFonts w:asciiTheme="minorHAnsi" w:hAnsiTheme="minorHAnsi" w:cstheme="minorBidi"/>
          <w:sz w:val="24"/>
          <w:szCs w:val="22"/>
        </w:rPr>
        <w:t>their clin</w:t>
      </w:r>
      <w:r w:rsidR="00F859D9">
        <w:rPr>
          <w:rStyle w:val="cf01"/>
          <w:rFonts w:asciiTheme="minorHAnsi" w:hAnsiTheme="minorHAnsi" w:cstheme="minorBidi"/>
          <w:sz w:val="24"/>
          <w:szCs w:val="22"/>
        </w:rPr>
        <w:t>ical and cost</w:t>
      </w:r>
      <w:r w:rsidR="002612E9">
        <w:rPr>
          <w:rStyle w:val="cf01"/>
          <w:rFonts w:asciiTheme="minorHAnsi" w:hAnsiTheme="minorHAnsi" w:cstheme="minorBidi"/>
          <w:sz w:val="24"/>
          <w:szCs w:val="22"/>
        </w:rPr>
        <w:noBreakHyphen/>
      </w:r>
      <w:r w:rsidR="00F859D9">
        <w:rPr>
          <w:rStyle w:val="cf01"/>
          <w:rFonts w:asciiTheme="minorHAnsi" w:hAnsiTheme="minorHAnsi" w:cstheme="minorBidi"/>
          <w:sz w:val="24"/>
          <w:szCs w:val="22"/>
        </w:rPr>
        <w:t>effectiveness</w:t>
      </w:r>
      <w:r w:rsidR="00FD7D54">
        <w:rPr>
          <w:rStyle w:val="cf01"/>
          <w:rFonts w:asciiTheme="minorHAnsi" w:hAnsiTheme="minorHAnsi" w:cstheme="minorBidi"/>
          <w:sz w:val="24"/>
          <w:szCs w:val="22"/>
        </w:rPr>
        <w:t>.</w:t>
      </w:r>
    </w:p>
    <w:p w14:paraId="0A8E3834" w14:textId="471D0BDF" w:rsidR="005F28C9" w:rsidRPr="0062360C" w:rsidRDefault="005F28C9" w:rsidP="007710F2">
      <w:pPr>
        <w:pStyle w:val="3Bodytext"/>
        <w:jc w:val="both"/>
        <w:rPr>
          <w:rStyle w:val="cf01"/>
          <w:rFonts w:asciiTheme="minorHAnsi" w:hAnsiTheme="minorHAnsi" w:cstheme="minorBidi"/>
          <w:sz w:val="24"/>
          <w:szCs w:val="22"/>
        </w:rPr>
      </w:pPr>
      <w:r>
        <w:t>The PBAC noted that a</w:t>
      </w:r>
      <w:r w:rsidRPr="005F28C9">
        <w:t>ny PBS listing would be subject to the legislative requirements to demonstrate clinical and cost-effectiveness.</w:t>
      </w:r>
    </w:p>
    <w:p w14:paraId="15FA2DD1" w14:textId="2296AF07" w:rsidR="003451A7" w:rsidRPr="00CF1281" w:rsidRDefault="003451A7" w:rsidP="00CF1281">
      <w:pPr>
        <w:pStyle w:val="3Subheading1"/>
        <w:rPr>
          <w:rStyle w:val="cf01"/>
          <w:rFonts w:asciiTheme="minorHAnsi" w:hAnsiTheme="minorHAnsi" w:cstheme="minorBidi"/>
          <w:sz w:val="24"/>
          <w:szCs w:val="24"/>
        </w:rPr>
      </w:pPr>
      <w:r w:rsidRPr="00CF1281">
        <w:rPr>
          <w:rStyle w:val="cf01"/>
          <w:rFonts w:asciiTheme="minorHAnsi" w:hAnsiTheme="minorHAnsi" w:cstheme="minorBidi"/>
          <w:sz w:val="24"/>
          <w:szCs w:val="24"/>
        </w:rPr>
        <w:t>Are obesity medicines effective as standalone therapies or best used in combination with other interventions, along with supporting models of care?</w:t>
      </w:r>
    </w:p>
    <w:p w14:paraId="1A2A7420" w14:textId="6DD054B4" w:rsidR="00C972F4" w:rsidRPr="00C972F4" w:rsidRDefault="004A237A"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noted that </w:t>
      </w:r>
      <w:r w:rsidR="009547D7">
        <w:rPr>
          <w:rStyle w:val="cf01"/>
          <w:rFonts w:asciiTheme="minorHAnsi" w:hAnsiTheme="minorHAnsi" w:cstheme="minorBidi"/>
          <w:sz w:val="24"/>
          <w:szCs w:val="24"/>
        </w:rPr>
        <w:t xml:space="preserve">all randomised controlled trials (RCTs) included some form of diet and physical activity advice or support for both arms. </w:t>
      </w:r>
      <w:r w:rsidR="0093455E" w:rsidRPr="00C972F4">
        <w:rPr>
          <w:rStyle w:val="cf01"/>
          <w:rFonts w:asciiTheme="minorHAnsi" w:hAnsiTheme="minorHAnsi" w:cstheme="minorBidi"/>
          <w:sz w:val="24"/>
          <w:szCs w:val="24"/>
        </w:rPr>
        <w:t xml:space="preserve">The PBAC considered that </w:t>
      </w:r>
      <w:r w:rsidR="002B563D" w:rsidRPr="00C972F4">
        <w:rPr>
          <w:rStyle w:val="cf01"/>
          <w:rFonts w:asciiTheme="minorHAnsi" w:hAnsiTheme="minorHAnsi" w:cstheme="minorBidi"/>
          <w:sz w:val="24"/>
          <w:szCs w:val="24"/>
        </w:rPr>
        <w:t xml:space="preserve">wraparound support services, such as </w:t>
      </w:r>
      <w:r w:rsidR="00D666DE" w:rsidRPr="00C972F4">
        <w:rPr>
          <w:rStyle w:val="cf01"/>
          <w:rFonts w:asciiTheme="minorHAnsi" w:hAnsiTheme="minorHAnsi" w:cstheme="minorBidi"/>
          <w:sz w:val="24"/>
          <w:szCs w:val="24"/>
        </w:rPr>
        <w:t xml:space="preserve">diet and exercise support, and multidisciplinary </w:t>
      </w:r>
      <w:r w:rsidR="00D666DE" w:rsidRPr="00C972F4">
        <w:rPr>
          <w:rStyle w:val="cf01"/>
          <w:rFonts w:asciiTheme="minorHAnsi" w:hAnsiTheme="minorHAnsi" w:cstheme="minorBidi"/>
          <w:sz w:val="24"/>
          <w:szCs w:val="24"/>
        </w:rPr>
        <w:lastRenderedPageBreak/>
        <w:t xml:space="preserve">care </w:t>
      </w:r>
      <w:r w:rsidR="00302987" w:rsidRPr="00C972F4">
        <w:rPr>
          <w:rStyle w:val="cf01"/>
          <w:rFonts w:asciiTheme="minorHAnsi" w:hAnsiTheme="minorHAnsi" w:cstheme="minorBidi"/>
          <w:sz w:val="24"/>
          <w:szCs w:val="24"/>
        </w:rPr>
        <w:t xml:space="preserve">models </w:t>
      </w:r>
      <w:r w:rsidR="00D666DE" w:rsidRPr="00C972F4">
        <w:rPr>
          <w:rStyle w:val="cf01"/>
          <w:rFonts w:asciiTheme="minorHAnsi" w:hAnsiTheme="minorHAnsi" w:cstheme="minorBidi"/>
          <w:sz w:val="24"/>
          <w:szCs w:val="24"/>
        </w:rPr>
        <w:t xml:space="preserve">were an important component of </w:t>
      </w:r>
      <w:r w:rsidR="00F10433" w:rsidRPr="00C972F4">
        <w:rPr>
          <w:rStyle w:val="cf01"/>
          <w:rFonts w:asciiTheme="minorHAnsi" w:hAnsiTheme="minorHAnsi" w:cstheme="minorBidi"/>
          <w:sz w:val="24"/>
          <w:szCs w:val="24"/>
        </w:rPr>
        <w:t xml:space="preserve">obesity care </w:t>
      </w:r>
      <w:r w:rsidR="00C34598" w:rsidRPr="00C972F4">
        <w:rPr>
          <w:rStyle w:val="cf01"/>
          <w:rFonts w:asciiTheme="minorHAnsi" w:hAnsiTheme="minorHAnsi" w:cstheme="minorBidi"/>
          <w:sz w:val="24"/>
          <w:szCs w:val="24"/>
        </w:rPr>
        <w:t xml:space="preserve">and that </w:t>
      </w:r>
      <w:r w:rsidR="00C57515" w:rsidRPr="00C972F4">
        <w:rPr>
          <w:rStyle w:val="cf01"/>
          <w:rFonts w:asciiTheme="minorHAnsi" w:hAnsiTheme="minorHAnsi" w:cstheme="minorBidi"/>
          <w:sz w:val="24"/>
          <w:szCs w:val="24"/>
        </w:rPr>
        <w:t xml:space="preserve">there was a need </w:t>
      </w:r>
      <w:r w:rsidR="00C34598" w:rsidRPr="00C972F4">
        <w:rPr>
          <w:rStyle w:val="cf01"/>
          <w:rFonts w:asciiTheme="minorHAnsi" w:hAnsiTheme="minorHAnsi" w:cstheme="minorBidi"/>
          <w:sz w:val="24"/>
          <w:szCs w:val="24"/>
        </w:rPr>
        <w:t xml:space="preserve">to address issues affecting access to these services, such as cost and availability. </w:t>
      </w:r>
    </w:p>
    <w:p w14:paraId="58E83D61" w14:textId="06C82E33" w:rsidR="000068AC" w:rsidRPr="000068AC" w:rsidRDefault="000068AC" w:rsidP="007710F2">
      <w:pPr>
        <w:pStyle w:val="3Bodytext"/>
        <w:jc w:val="both"/>
        <w:rPr>
          <w:rStyle w:val="cf01"/>
          <w:rFonts w:asciiTheme="minorHAnsi" w:hAnsiTheme="minorHAnsi" w:cstheme="minorBidi"/>
          <w:sz w:val="24"/>
          <w:szCs w:val="24"/>
        </w:rPr>
      </w:pPr>
      <w:r w:rsidRPr="5C66B902">
        <w:rPr>
          <w:rStyle w:val="cf01"/>
          <w:rFonts w:asciiTheme="minorHAnsi" w:hAnsiTheme="minorHAnsi" w:cstheme="minorBidi"/>
          <w:sz w:val="24"/>
          <w:szCs w:val="24"/>
        </w:rPr>
        <w:t xml:space="preserve">The PBAC considered that </w:t>
      </w:r>
      <w:r w:rsidR="000C0F1D">
        <w:rPr>
          <w:rStyle w:val="cf01"/>
          <w:rFonts w:asciiTheme="minorHAnsi" w:hAnsiTheme="minorHAnsi" w:cstheme="minorBidi"/>
          <w:sz w:val="24"/>
          <w:szCs w:val="24"/>
        </w:rPr>
        <w:t>dietary</w:t>
      </w:r>
      <w:r w:rsidR="00BE256F">
        <w:rPr>
          <w:rStyle w:val="cf01"/>
          <w:rFonts w:asciiTheme="minorHAnsi" w:hAnsiTheme="minorHAnsi" w:cstheme="minorBidi"/>
          <w:sz w:val="24"/>
          <w:szCs w:val="24"/>
        </w:rPr>
        <w:t xml:space="preserve"> and physical activity </w:t>
      </w:r>
      <w:r w:rsidR="00943B07">
        <w:rPr>
          <w:rStyle w:val="cf01"/>
          <w:rFonts w:asciiTheme="minorHAnsi" w:hAnsiTheme="minorHAnsi" w:cstheme="minorBidi"/>
          <w:sz w:val="24"/>
          <w:szCs w:val="24"/>
        </w:rPr>
        <w:t>interventions</w:t>
      </w:r>
      <w:r w:rsidR="00BE256F">
        <w:rPr>
          <w:rStyle w:val="cf01"/>
          <w:rFonts w:asciiTheme="minorHAnsi" w:hAnsiTheme="minorHAnsi" w:cstheme="minorBidi"/>
          <w:sz w:val="24"/>
          <w:szCs w:val="24"/>
        </w:rPr>
        <w:t xml:space="preserve"> </w:t>
      </w:r>
      <w:r w:rsidR="00C576B2">
        <w:rPr>
          <w:rStyle w:val="cf01"/>
          <w:rFonts w:asciiTheme="minorHAnsi" w:hAnsiTheme="minorHAnsi" w:cstheme="minorBidi"/>
          <w:sz w:val="24"/>
          <w:szCs w:val="24"/>
        </w:rPr>
        <w:t xml:space="preserve">consistent with the TGA-registered indications for these medicines </w:t>
      </w:r>
      <w:r w:rsidR="00BE256F">
        <w:rPr>
          <w:rStyle w:val="cf01"/>
          <w:rFonts w:asciiTheme="minorHAnsi" w:hAnsiTheme="minorHAnsi" w:cstheme="minorBidi"/>
          <w:sz w:val="24"/>
          <w:szCs w:val="24"/>
        </w:rPr>
        <w:t xml:space="preserve">should be encouraged </w:t>
      </w:r>
      <w:r w:rsidR="0024738D">
        <w:rPr>
          <w:rStyle w:val="cf01"/>
          <w:rFonts w:asciiTheme="minorHAnsi" w:hAnsiTheme="minorHAnsi" w:cstheme="minorBidi"/>
          <w:sz w:val="24"/>
          <w:szCs w:val="24"/>
        </w:rPr>
        <w:t xml:space="preserve">but </w:t>
      </w:r>
      <w:r w:rsidR="00BB7025" w:rsidRPr="5C66B902">
        <w:rPr>
          <w:rStyle w:val="cf01"/>
          <w:rFonts w:asciiTheme="minorHAnsi" w:hAnsiTheme="minorHAnsi" w:cstheme="minorBidi"/>
          <w:sz w:val="24"/>
          <w:szCs w:val="24"/>
        </w:rPr>
        <w:t xml:space="preserve">there should not be any mandatory </w:t>
      </w:r>
      <w:r w:rsidR="006168F3" w:rsidRPr="5C66B902">
        <w:rPr>
          <w:rStyle w:val="cf01"/>
          <w:rFonts w:asciiTheme="minorHAnsi" w:hAnsiTheme="minorHAnsi" w:cstheme="minorBidi"/>
          <w:sz w:val="24"/>
          <w:szCs w:val="24"/>
        </w:rPr>
        <w:t xml:space="preserve">requirements for use </w:t>
      </w:r>
      <w:r w:rsidR="000271FD" w:rsidRPr="5C66B902">
        <w:rPr>
          <w:rStyle w:val="cf01"/>
          <w:rFonts w:asciiTheme="minorHAnsi" w:hAnsiTheme="minorHAnsi" w:cstheme="minorBidi"/>
          <w:sz w:val="24"/>
          <w:szCs w:val="24"/>
        </w:rPr>
        <w:t xml:space="preserve">of </w:t>
      </w:r>
      <w:r w:rsidR="0051358C">
        <w:rPr>
          <w:rStyle w:val="cf01"/>
          <w:rFonts w:asciiTheme="minorHAnsi" w:hAnsiTheme="minorHAnsi" w:cstheme="minorBidi"/>
          <w:sz w:val="24"/>
          <w:szCs w:val="24"/>
        </w:rPr>
        <w:t xml:space="preserve">specific </w:t>
      </w:r>
      <w:r w:rsidR="00B06024" w:rsidRPr="5C66B902">
        <w:rPr>
          <w:rStyle w:val="cf01"/>
          <w:rFonts w:asciiTheme="minorHAnsi" w:hAnsiTheme="minorHAnsi" w:cstheme="minorBidi"/>
          <w:sz w:val="24"/>
          <w:szCs w:val="24"/>
        </w:rPr>
        <w:t>wraparound</w:t>
      </w:r>
      <w:r w:rsidR="000271FD" w:rsidRPr="5C66B902">
        <w:rPr>
          <w:rStyle w:val="cf01"/>
          <w:rFonts w:asciiTheme="minorHAnsi" w:hAnsiTheme="minorHAnsi" w:cstheme="minorBidi"/>
          <w:sz w:val="24"/>
          <w:szCs w:val="24"/>
        </w:rPr>
        <w:t xml:space="preserve"> services for </w:t>
      </w:r>
      <w:r w:rsidRPr="5C66B902">
        <w:rPr>
          <w:rStyle w:val="cf01"/>
          <w:rFonts w:asciiTheme="minorHAnsi" w:hAnsiTheme="minorHAnsi" w:cstheme="minorBidi"/>
          <w:sz w:val="24"/>
          <w:szCs w:val="24"/>
        </w:rPr>
        <w:t xml:space="preserve">PBS-subsidised </w:t>
      </w:r>
      <w:r w:rsidR="000271FD" w:rsidRPr="5C66B902">
        <w:rPr>
          <w:rStyle w:val="cf01"/>
          <w:rFonts w:asciiTheme="minorHAnsi" w:hAnsiTheme="minorHAnsi" w:cstheme="minorBidi"/>
          <w:sz w:val="24"/>
          <w:szCs w:val="24"/>
        </w:rPr>
        <w:t xml:space="preserve">access to </w:t>
      </w:r>
      <w:r w:rsidRPr="5C66B902">
        <w:rPr>
          <w:rStyle w:val="cf01"/>
          <w:rFonts w:asciiTheme="minorHAnsi" w:hAnsiTheme="minorHAnsi" w:cstheme="minorBidi"/>
          <w:sz w:val="24"/>
          <w:szCs w:val="24"/>
        </w:rPr>
        <w:t>GLP</w:t>
      </w:r>
      <w:r w:rsidR="001019CE">
        <w:rPr>
          <w:rStyle w:val="cf01"/>
          <w:rFonts w:asciiTheme="minorHAnsi" w:hAnsiTheme="minorHAnsi" w:cstheme="minorBidi"/>
          <w:sz w:val="24"/>
          <w:szCs w:val="24"/>
        </w:rPr>
        <w:noBreakHyphen/>
      </w:r>
      <w:r w:rsidRPr="5C66B902">
        <w:rPr>
          <w:rStyle w:val="cf01"/>
          <w:rFonts w:asciiTheme="minorHAnsi" w:hAnsiTheme="minorHAnsi" w:cstheme="minorBidi"/>
          <w:sz w:val="24"/>
          <w:szCs w:val="24"/>
        </w:rPr>
        <w:t>1s</w:t>
      </w:r>
      <w:r w:rsidR="000271FD" w:rsidRPr="5C66B902">
        <w:rPr>
          <w:rStyle w:val="cf01"/>
          <w:rFonts w:asciiTheme="minorHAnsi" w:hAnsiTheme="minorHAnsi" w:cstheme="minorBidi"/>
          <w:sz w:val="24"/>
          <w:szCs w:val="24"/>
        </w:rPr>
        <w:t xml:space="preserve">, as this would </w:t>
      </w:r>
      <w:r w:rsidR="00E25371" w:rsidRPr="5C66B902">
        <w:rPr>
          <w:rStyle w:val="cf01"/>
          <w:rFonts w:asciiTheme="minorHAnsi" w:hAnsiTheme="minorHAnsi" w:cstheme="minorBidi"/>
          <w:sz w:val="24"/>
          <w:szCs w:val="24"/>
        </w:rPr>
        <w:t>create a barrier to accessing therapy</w:t>
      </w:r>
      <w:r w:rsidR="00384E2D" w:rsidRPr="5C66B902">
        <w:rPr>
          <w:rStyle w:val="cf01"/>
          <w:rFonts w:asciiTheme="minorHAnsi" w:hAnsiTheme="minorHAnsi" w:cstheme="minorBidi"/>
          <w:sz w:val="24"/>
          <w:szCs w:val="24"/>
        </w:rPr>
        <w:t xml:space="preserve">. Any such barriers may </w:t>
      </w:r>
      <w:r w:rsidR="00B0156C" w:rsidRPr="5C66B902">
        <w:rPr>
          <w:rStyle w:val="cf01"/>
          <w:rFonts w:asciiTheme="minorHAnsi" w:hAnsiTheme="minorHAnsi" w:cstheme="minorBidi"/>
          <w:sz w:val="24"/>
          <w:szCs w:val="24"/>
        </w:rPr>
        <w:t xml:space="preserve">particularly </w:t>
      </w:r>
      <w:r w:rsidR="00384E2D" w:rsidRPr="5C66B902">
        <w:rPr>
          <w:rStyle w:val="cf01"/>
          <w:rFonts w:asciiTheme="minorHAnsi" w:hAnsiTheme="minorHAnsi" w:cstheme="minorBidi"/>
          <w:sz w:val="24"/>
          <w:szCs w:val="24"/>
        </w:rPr>
        <w:t>impact</w:t>
      </w:r>
      <w:r w:rsidR="00B0156C" w:rsidRPr="5C66B902" w:rsidDel="00384E2D">
        <w:rPr>
          <w:rStyle w:val="cf01"/>
          <w:rFonts w:asciiTheme="minorHAnsi" w:hAnsiTheme="minorHAnsi" w:cstheme="minorBidi"/>
          <w:sz w:val="24"/>
          <w:szCs w:val="24"/>
        </w:rPr>
        <w:t xml:space="preserve"> </w:t>
      </w:r>
      <w:r w:rsidR="00E25371" w:rsidRPr="5C66B902">
        <w:rPr>
          <w:rStyle w:val="cf01"/>
          <w:rFonts w:asciiTheme="minorHAnsi" w:hAnsiTheme="minorHAnsi" w:cstheme="minorBidi"/>
          <w:sz w:val="24"/>
          <w:szCs w:val="24"/>
        </w:rPr>
        <w:t xml:space="preserve">people who were already </w:t>
      </w:r>
      <w:r w:rsidR="00345F19" w:rsidRPr="5C66B902">
        <w:rPr>
          <w:rStyle w:val="cf01"/>
          <w:rFonts w:asciiTheme="minorHAnsi" w:hAnsiTheme="minorHAnsi" w:cstheme="minorBidi"/>
          <w:sz w:val="24"/>
          <w:szCs w:val="24"/>
        </w:rPr>
        <w:t xml:space="preserve">at higher risk of obesity and its associated comorbidities, such as </w:t>
      </w:r>
      <w:r w:rsidR="00077849" w:rsidRPr="5C66B902">
        <w:rPr>
          <w:rStyle w:val="cf01"/>
          <w:rFonts w:asciiTheme="minorHAnsi" w:hAnsiTheme="minorHAnsi" w:cstheme="minorBidi"/>
          <w:sz w:val="24"/>
          <w:szCs w:val="24"/>
        </w:rPr>
        <w:t>Aboriginal and</w:t>
      </w:r>
      <w:r w:rsidR="0087547F" w:rsidRPr="5C66B902">
        <w:rPr>
          <w:rStyle w:val="cf01"/>
          <w:rFonts w:asciiTheme="minorHAnsi" w:hAnsiTheme="minorHAnsi" w:cstheme="minorBidi"/>
          <w:sz w:val="24"/>
          <w:szCs w:val="24"/>
        </w:rPr>
        <w:t>/or</w:t>
      </w:r>
      <w:r w:rsidR="00077849" w:rsidRPr="5C66B902">
        <w:rPr>
          <w:rStyle w:val="cf01"/>
          <w:rFonts w:asciiTheme="minorHAnsi" w:hAnsiTheme="minorHAnsi" w:cstheme="minorBidi"/>
          <w:sz w:val="24"/>
          <w:szCs w:val="24"/>
        </w:rPr>
        <w:t xml:space="preserve"> Torres Strait Islander</w:t>
      </w:r>
      <w:r w:rsidR="001F5D4E" w:rsidRPr="5C66B902">
        <w:rPr>
          <w:rStyle w:val="cf01"/>
          <w:rFonts w:asciiTheme="minorHAnsi" w:hAnsiTheme="minorHAnsi" w:cstheme="minorBidi"/>
          <w:sz w:val="24"/>
          <w:szCs w:val="24"/>
        </w:rPr>
        <w:t xml:space="preserve"> people</w:t>
      </w:r>
      <w:r w:rsidR="00077849" w:rsidRPr="5C66B902">
        <w:rPr>
          <w:rStyle w:val="cf01"/>
          <w:rFonts w:asciiTheme="minorHAnsi" w:hAnsiTheme="minorHAnsi" w:cstheme="minorBidi"/>
          <w:sz w:val="24"/>
          <w:szCs w:val="24"/>
        </w:rPr>
        <w:t xml:space="preserve">, </w:t>
      </w:r>
      <w:r w:rsidR="000B0C3A" w:rsidRPr="5C66B902">
        <w:rPr>
          <w:rStyle w:val="cf01"/>
          <w:rFonts w:asciiTheme="minorHAnsi" w:hAnsiTheme="minorHAnsi" w:cstheme="minorBidi"/>
          <w:sz w:val="24"/>
          <w:szCs w:val="24"/>
        </w:rPr>
        <w:t>those socioeconomically disadvantaged</w:t>
      </w:r>
      <w:r w:rsidR="00077849" w:rsidRPr="5C66B902">
        <w:rPr>
          <w:rStyle w:val="cf01"/>
          <w:rFonts w:asciiTheme="minorHAnsi" w:hAnsiTheme="minorHAnsi" w:cstheme="minorBidi"/>
          <w:sz w:val="24"/>
          <w:szCs w:val="24"/>
        </w:rPr>
        <w:t>, and those living in regional and remote areas.</w:t>
      </w:r>
    </w:p>
    <w:p w14:paraId="48D4F04F" w14:textId="4252FAC0" w:rsidR="003F511E" w:rsidRPr="000068AC" w:rsidRDefault="000C4BF2" w:rsidP="007710F2">
      <w:pPr>
        <w:pStyle w:val="3Bodytext"/>
        <w:jc w:val="both"/>
        <w:rPr>
          <w:rStyle w:val="cf01"/>
          <w:rFonts w:asciiTheme="minorHAnsi" w:hAnsiTheme="minorHAnsi" w:cstheme="minorBidi"/>
          <w:sz w:val="24"/>
          <w:szCs w:val="24"/>
        </w:rPr>
      </w:pPr>
      <w:r>
        <w:rPr>
          <w:szCs w:val="24"/>
        </w:rPr>
        <w:t xml:space="preserve">The </w:t>
      </w:r>
      <w:r w:rsidRPr="000C4BF2">
        <w:rPr>
          <w:szCs w:val="24"/>
        </w:rPr>
        <w:t xml:space="preserve">PBAC noted that patients </w:t>
      </w:r>
      <w:proofErr w:type="gramStart"/>
      <w:r w:rsidRPr="000C4BF2">
        <w:rPr>
          <w:szCs w:val="24"/>
        </w:rPr>
        <w:t>are able to</w:t>
      </w:r>
      <w:proofErr w:type="gramEnd"/>
      <w:r w:rsidRPr="000C4BF2">
        <w:rPr>
          <w:szCs w:val="24"/>
        </w:rPr>
        <w:t xml:space="preserve"> access MBS-rebated allied health services through GPCCMPs, however this may attract out-of-pocket fees and has limits on </w:t>
      </w:r>
      <w:r w:rsidR="00A26003">
        <w:rPr>
          <w:szCs w:val="24"/>
        </w:rPr>
        <w:t xml:space="preserve">the </w:t>
      </w:r>
      <w:r w:rsidRPr="000C4BF2">
        <w:rPr>
          <w:szCs w:val="24"/>
        </w:rPr>
        <w:t xml:space="preserve">number and types of services that can be accessed. </w:t>
      </w:r>
      <w:r w:rsidR="003F511E">
        <w:rPr>
          <w:rStyle w:val="cf01"/>
          <w:rFonts w:asciiTheme="minorHAnsi" w:hAnsiTheme="minorHAnsi" w:cstheme="minorBidi"/>
          <w:sz w:val="24"/>
          <w:szCs w:val="24"/>
        </w:rPr>
        <w:t xml:space="preserve">The PBAC noted that </w:t>
      </w:r>
      <w:r w:rsidR="008A0B95">
        <w:rPr>
          <w:rStyle w:val="cf01"/>
          <w:rFonts w:asciiTheme="minorHAnsi" w:hAnsiTheme="minorHAnsi" w:cstheme="minorBidi"/>
          <w:sz w:val="24"/>
          <w:szCs w:val="24"/>
        </w:rPr>
        <w:t xml:space="preserve">the </w:t>
      </w:r>
      <w:r w:rsidR="001F3EC6">
        <w:rPr>
          <w:rStyle w:val="cf01"/>
          <w:rFonts w:asciiTheme="minorHAnsi" w:hAnsiTheme="minorHAnsi" w:cstheme="minorBidi"/>
          <w:sz w:val="24"/>
          <w:szCs w:val="24"/>
        </w:rPr>
        <w:t>eligible MBS</w:t>
      </w:r>
      <w:r w:rsidR="00E50A54">
        <w:rPr>
          <w:rStyle w:val="cf01"/>
          <w:rFonts w:asciiTheme="minorHAnsi" w:hAnsiTheme="minorHAnsi" w:cstheme="minorBidi"/>
          <w:sz w:val="24"/>
          <w:szCs w:val="24"/>
        </w:rPr>
        <w:t>-rebated</w:t>
      </w:r>
      <w:r w:rsidR="001F3EC6">
        <w:rPr>
          <w:rStyle w:val="cf01"/>
          <w:rFonts w:asciiTheme="minorHAnsi" w:hAnsiTheme="minorHAnsi" w:cstheme="minorBidi"/>
          <w:sz w:val="24"/>
          <w:szCs w:val="24"/>
        </w:rPr>
        <w:t xml:space="preserve"> </w:t>
      </w:r>
      <w:r w:rsidR="00930666">
        <w:rPr>
          <w:rStyle w:val="cf01"/>
          <w:rFonts w:asciiTheme="minorHAnsi" w:hAnsiTheme="minorHAnsi" w:cstheme="minorBidi"/>
          <w:sz w:val="24"/>
          <w:szCs w:val="24"/>
        </w:rPr>
        <w:t xml:space="preserve">allied health </w:t>
      </w:r>
      <w:r w:rsidR="001F3EC6">
        <w:rPr>
          <w:rStyle w:val="cf01"/>
          <w:rFonts w:asciiTheme="minorHAnsi" w:hAnsiTheme="minorHAnsi" w:cstheme="minorBidi"/>
          <w:sz w:val="24"/>
          <w:szCs w:val="24"/>
        </w:rPr>
        <w:t xml:space="preserve">services </w:t>
      </w:r>
      <w:r w:rsidR="000220DB">
        <w:rPr>
          <w:rStyle w:val="cf01"/>
          <w:rFonts w:asciiTheme="minorHAnsi" w:hAnsiTheme="minorHAnsi" w:cstheme="minorBidi"/>
          <w:sz w:val="24"/>
          <w:szCs w:val="24"/>
        </w:rPr>
        <w:t>available under the GPCCMP</w:t>
      </w:r>
      <w:r w:rsidR="008A0B95">
        <w:rPr>
          <w:rStyle w:val="cf01"/>
          <w:rFonts w:asciiTheme="minorHAnsi" w:hAnsiTheme="minorHAnsi" w:cstheme="minorBidi"/>
          <w:sz w:val="24"/>
          <w:szCs w:val="24"/>
        </w:rPr>
        <w:t xml:space="preserve"> were currently being reviewed by MRAC</w:t>
      </w:r>
      <w:r w:rsidR="0066040B">
        <w:rPr>
          <w:rStyle w:val="cf01"/>
          <w:rFonts w:asciiTheme="minorHAnsi" w:hAnsiTheme="minorHAnsi" w:cstheme="minorBidi"/>
          <w:sz w:val="24"/>
          <w:szCs w:val="24"/>
        </w:rPr>
        <w:t xml:space="preserve">, and that there were also broader reforms underway </w:t>
      </w:r>
      <w:r w:rsidR="00083758">
        <w:rPr>
          <w:rStyle w:val="cf01"/>
          <w:rFonts w:asciiTheme="minorHAnsi" w:hAnsiTheme="minorHAnsi" w:cstheme="minorBidi"/>
          <w:sz w:val="24"/>
          <w:szCs w:val="24"/>
        </w:rPr>
        <w:t xml:space="preserve">for GP practice incentives </w:t>
      </w:r>
      <w:r w:rsidR="00FE2300">
        <w:rPr>
          <w:rStyle w:val="cf01"/>
          <w:rFonts w:asciiTheme="minorHAnsi" w:hAnsiTheme="minorHAnsi" w:cstheme="minorBidi"/>
          <w:sz w:val="24"/>
          <w:szCs w:val="24"/>
        </w:rPr>
        <w:t xml:space="preserve">for patients with chronic conditions to move from fee-for-service </w:t>
      </w:r>
      <w:r w:rsidR="00D67D70">
        <w:rPr>
          <w:rStyle w:val="cf01"/>
          <w:rFonts w:asciiTheme="minorHAnsi" w:hAnsiTheme="minorHAnsi" w:cstheme="minorBidi"/>
          <w:sz w:val="24"/>
          <w:szCs w:val="24"/>
        </w:rPr>
        <w:t xml:space="preserve">to patient-centric funding </w:t>
      </w:r>
      <w:r w:rsidR="00FE2300">
        <w:rPr>
          <w:rStyle w:val="cf01"/>
          <w:rFonts w:asciiTheme="minorHAnsi" w:hAnsiTheme="minorHAnsi" w:cstheme="minorBidi"/>
          <w:sz w:val="24"/>
          <w:szCs w:val="24"/>
        </w:rPr>
        <w:t>models</w:t>
      </w:r>
      <w:r w:rsidR="00D67D70">
        <w:rPr>
          <w:rStyle w:val="cf01"/>
          <w:rFonts w:asciiTheme="minorHAnsi" w:hAnsiTheme="minorHAnsi" w:cstheme="minorBidi"/>
          <w:sz w:val="24"/>
          <w:szCs w:val="24"/>
        </w:rPr>
        <w:t>.</w:t>
      </w:r>
    </w:p>
    <w:p w14:paraId="1CAD4C84" w14:textId="1C8E8146" w:rsidR="00CE3E45" w:rsidRDefault="00C34598"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noted that digital delivery could assist in providing </w:t>
      </w:r>
      <w:r w:rsidR="00247BA4">
        <w:rPr>
          <w:rStyle w:val="cf01"/>
          <w:rFonts w:asciiTheme="minorHAnsi" w:hAnsiTheme="minorHAnsi" w:cstheme="minorBidi"/>
          <w:sz w:val="24"/>
          <w:szCs w:val="24"/>
        </w:rPr>
        <w:t xml:space="preserve">low-cost, scalable </w:t>
      </w:r>
      <w:r w:rsidR="00F31035">
        <w:rPr>
          <w:rStyle w:val="cf01"/>
          <w:rFonts w:asciiTheme="minorHAnsi" w:hAnsiTheme="minorHAnsi" w:cstheme="minorBidi"/>
          <w:sz w:val="24"/>
          <w:szCs w:val="24"/>
        </w:rPr>
        <w:t>wraparound care</w:t>
      </w:r>
      <w:r w:rsidR="00666C3C">
        <w:rPr>
          <w:rStyle w:val="cf01"/>
          <w:rFonts w:asciiTheme="minorHAnsi" w:hAnsiTheme="minorHAnsi" w:cstheme="minorBidi"/>
          <w:sz w:val="24"/>
          <w:szCs w:val="24"/>
        </w:rPr>
        <w:t xml:space="preserve">. The PBAC noted that several private digital wraparound care options </w:t>
      </w:r>
      <w:r w:rsidR="00F603A4">
        <w:rPr>
          <w:rStyle w:val="cf01"/>
          <w:rFonts w:asciiTheme="minorHAnsi" w:hAnsiTheme="minorHAnsi" w:cstheme="minorBidi"/>
          <w:sz w:val="24"/>
          <w:szCs w:val="24"/>
        </w:rPr>
        <w:t xml:space="preserve">were available, </w:t>
      </w:r>
      <w:r w:rsidR="00F31035">
        <w:rPr>
          <w:rStyle w:val="cf01"/>
          <w:rFonts w:asciiTheme="minorHAnsi" w:hAnsiTheme="minorHAnsi" w:cstheme="minorBidi"/>
          <w:sz w:val="24"/>
          <w:szCs w:val="24"/>
        </w:rPr>
        <w:t xml:space="preserve">but that there was a need to validate the effectiveness of </w:t>
      </w:r>
      <w:r w:rsidR="00F603A4">
        <w:rPr>
          <w:rStyle w:val="cf01"/>
          <w:rFonts w:asciiTheme="minorHAnsi" w:hAnsiTheme="minorHAnsi" w:cstheme="minorBidi"/>
          <w:sz w:val="24"/>
          <w:szCs w:val="24"/>
        </w:rPr>
        <w:t>these services</w:t>
      </w:r>
      <w:r w:rsidR="00B2441E">
        <w:rPr>
          <w:rStyle w:val="cf01"/>
          <w:rFonts w:asciiTheme="minorHAnsi" w:hAnsiTheme="minorHAnsi" w:cstheme="minorBidi"/>
          <w:sz w:val="24"/>
          <w:szCs w:val="24"/>
        </w:rPr>
        <w:t>.</w:t>
      </w:r>
      <w:r w:rsidR="002001CC">
        <w:rPr>
          <w:rStyle w:val="cf01"/>
          <w:rFonts w:asciiTheme="minorHAnsi" w:hAnsiTheme="minorHAnsi" w:cstheme="minorBidi"/>
          <w:sz w:val="24"/>
          <w:szCs w:val="24"/>
        </w:rPr>
        <w:t xml:space="preserve"> </w:t>
      </w:r>
      <w:r w:rsidR="002001CC">
        <w:rPr>
          <w:rStyle w:val="CommentReference"/>
          <w:sz w:val="24"/>
          <w:szCs w:val="24"/>
        </w:rPr>
        <w:t>Th</w:t>
      </w:r>
      <w:r w:rsidR="00747A6A" w:rsidRPr="00747A6A">
        <w:rPr>
          <w:rStyle w:val="cf01"/>
          <w:rFonts w:asciiTheme="minorHAnsi" w:hAnsiTheme="minorHAnsi" w:cstheme="minorBidi"/>
          <w:sz w:val="24"/>
          <w:szCs w:val="24"/>
        </w:rPr>
        <w:t xml:space="preserve">e PBAC considered that PBS subsidy of GLP-1s should not be reliant on the availability of digital wraparound care but </w:t>
      </w:r>
      <w:r w:rsidR="005C497A">
        <w:rPr>
          <w:rStyle w:val="cf01"/>
          <w:rFonts w:asciiTheme="minorHAnsi" w:hAnsiTheme="minorHAnsi" w:cstheme="minorBidi"/>
          <w:sz w:val="24"/>
          <w:szCs w:val="24"/>
        </w:rPr>
        <w:t xml:space="preserve">considered that </w:t>
      </w:r>
      <w:r w:rsidR="00747A6A" w:rsidRPr="00747A6A">
        <w:rPr>
          <w:rStyle w:val="cf01"/>
          <w:rFonts w:asciiTheme="minorHAnsi" w:hAnsiTheme="minorHAnsi" w:cstheme="minorBidi"/>
          <w:sz w:val="24"/>
          <w:szCs w:val="24"/>
        </w:rPr>
        <w:t>if</w:t>
      </w:r>
      <w:r w:rsidR="00A4573E">
        <w:rPr>
          <w:rStyle w:val="cf01"/>
          <w:rFonts w:asciiTheme="minorHAnsi" w:hAnsiTheme="minorHAnsi" w:cstheme="minorBidi"/>
          <w:sz w:val="24"/>
          <w:szCs w:val="24"/>
        </w:rPr>
        <w:t xml:space="preserve"> these</w:t>
      </w:r>
      <w:r w:rsidR="00A1268B">
        <w:rPr>
          <w:rStyle w:val="cf01"/>
          <w:rFonts w:asciiTheme="minorHAnsi" w:hAnsiTheme="minorHAnsi" w:cstheme="minorBidi"/>
          <w:sz w:val="24"/>
          <w:szCs w:val="24"/>
        </w:rPr>
        <w:t xml:space="preserve"> services were </w:t>
      </w:r>
      <w:r w:rsidR="00747A6A" w:rsidRPr="00747A6A">
        <w:rPr>
          <w:rStyle w:val="cf01"/>
          <w:rFonts w:asciiTheme="minorHAnsi" w:hAnsiTheme="minorHAnsi" w:cstheme="minorBidi"/>
          <w:sz w:val="24"/>
          <w:szCs w:val="24"/>
        </w:rPr>
        <w:t>made more widely available, th</w:t>
      </w:r>
      <w:r w:rsidR="005C497A">
        <w:rPr>
          <w:rStyle w:val="cf01"/>
          <w:rFonts w:asciiTheme="minorHAnsi" w:hAnsiTheme="minorHAnsi" w:cstheme="minorBidi"/>
          <w:sz w:val="24"/>
          <w:szCs w:val="24"/>
        </w:rPr>
        <w:t>ey may</w:t>
      </w:r>
      <w:r w:rsidR="00747A6A" w:rsidRPr="00747A6A">
        <w:rPr>
          <w:rStyle w:val="cf01"/>
          <w:rFonts w:asciiTheme="minorHAnsi" w:hAnsiTheme="minorHAnsi" w:cstheme="minorBidi"/>
          <w:sz w:val="24"/>
          <w:szCs w:val="24"/>
        </w:rPr>
        <w:t xml:space="preserve"> help </w:t>
      </w:r>
      <w:r w:rsidR="00C964BE">
        <w:rPr>
          <w:rStyle w:val="cf01"/>
          <w:rFonts w:asciiTheme="minorHAnsi" w:hAnsiTheme="minorHAnsi" w:cstheme="minorBidi"/>
          <w:sz w:val="24"/>
          <w:szCs w:val="24"/>
        </w:rPr>
        <w:t xml:space="preserve">patients </w:t>
      </w:r>
      <w:r w:rsidR="00747A6A" w:rsidRPr="00747A6A">
        <w:rPr>
          <w:rStyle w:val="cf01"/>
          <w:rFonts w:asciiTheme="minorHAnsi" w:hAnsiTheme="minorHAnsi" w:cstheme="minorBidi"/>
          <w:sz w:val="24"/>
          <w:szCs w:val="24"/>
        </w:rPr>
        <w:t>to adhere</w:t>
      </w:r>
      <w:r w:rsidR="00176FEB">
        <w:rPr>
          <w:rStyle w:val="cf01"/>
          <w:rFonts w:asciiTheme="minorHAnsi" w:hAnsiTheme="minorHAnsi" w:cstheme="minorBidi"/>
          <w:sz w:val="24"/>
          <w:szCs w:val="24"/>
        </w:rPr>
        <w:t xml:space="preserve"> to therapy</w:t>
      </w:r>
      <w:r w:rsidR="00747A6A" w:rsidRPr="00747A6A">
        <w:rPr>
          <w:rStyle w:val="cf01"/>
          <w:rFonts w:asciiTheme="minorHAnsi" w:hAnsiTheme="minorHAnsi" w:cstheme="minorBidi"/>
          <w:sz w:val="24"/>
          <w:szCs w:val="24"/>
        </w:rPr>
        <w:t xml:space="preserve"> and </w:t>
      </w:r>
      <w:r w:rsidR="00F35395">
        <w:rPr>
          <w:rStyle w:val="cf01"/>
          <w:rFonts w:asciiTheme="minorHAnsi" w:hAnsiTheme="minorHAnsi" w:cstheme="minorBidi"/>
          <w:sz w:val="24"/>
          <w:szCs w:val="24"/>
        </w:rPr>
        <w:t xml:space="preserve">maintain </w:t>
      </w:r>
      <w:r w:rsidR="00176D85">
        <w:rPr>
          <w:rStyle w:val="cf01"/>
          <w:rFonts w:asciiTheme="minorHAnsi" w:hAnsiTheme="minorHAnsi" w:cstheme="minorBidi"/>
          <w:sz w:val="24"/>
          <w:szCs w:val="24"/>
        </w:rPr>
        <w:t xml:space="preserve">the </w:t>
      </w:r>
      <w:r w:rsidR="00747A6A" w:rsidRPr="00747A6A">
        <w:rPr>
          <w:rStyle w:val="cf01"/>
          <w:rFonts w:asciiTheme="minorHAnsi" w:hAnsiTheme="minorHAnsi" w:cstheme="minorBidi"/>
          <w:sz w:val="24"/>
          <w:szCs w:val="24"/>
        </w:rPr>
        <w:t>benefits of medicine</w:t>
      </w:r>
      <w:r w:rsidR="00176D85">
        <w:rPr>
          <w:rStyle w:val="cf01"/>
          <w:rFonts w:asciiTheme="minorHAnsi" w:hAnsiTheme="minorHAnsi" w:cstheme="minorBidi"/>
          <w:sz w:val="24"/>
          <w:szCs w:val="24"/>
        </w:rPr>
        <w:t xml:space="preserve"> use. </w:t>
      </w:r>
      <w:r w:rsidR="00747A6A" w:rsidRPr="00747A6A">
        <w:rPr>
          <w:rStyle w:val="cf01"/>
          <w:rFonts w:asciiTheme="minorHAnsi" w:hAnsiTheme="minorHAnsi" w:cstheme="minorBidi"/>
          <w:sz w:val="24"/>
          <w:szCs w:val="24"/>
        </w:rPr>
        <w:t>Th</w:t>
      </w:r>
      <w:r w:rsidR="00200DCA">
        <w:rPr>
          <w:rStyle w:val="cf01"/>
          <w:rFonts w:asciiTheme="minorHAnsi" w:hAnsiTheme="minorHAnsi" w:cstheme="minorBidi"/>
          <w:sz w:val="24"/>
          <w:szCs w:val="24"/>
        </w:rPr>
        <w:t xml:space="preserve">e PBAC considered that </w:t>
      </w:r>
      <w:r w:rsidR="00DE6A3C">
        <w:rPr>
          <w:rStyle w:val="cf01"/>
          <w:rFonts w:asciiTheme="minorHAnsi" w:hAnsiTheme="minorHAnsi" w:cstheme="minorBidi"/>
          <w:sz w:val="24"/>
          <w:szCs w:val="24"/>
        </w:rPr>
        <w:t>funding for these services</w:t>
      </w:r>
      <w:r w:rsidR="00747A6A" w:rsidRPr="00747A6A">
        <w:rPr>
          <w:rStyle w:val="cf01"/>
          <w:rFonts w:asciiTheme="minorHAnsi" w:hAnsiTheme="minorHAnsi" w:cstheme="minorBidi"/>
          <w:sz w:val="24"/>
          <w:szCs w:val="24"/>
        </w:rPr>
        <w:t xml:space="preserve"> could </w:t>
      </w:r>
      <w:r w:rsidR="00DE6A3C">
        <w:rPr>
          <w:rStyle w:val="cf01"/>
          <w:rFonts w:asciiTheme="minorHAnsi" w:hAnsiTheme="minorHAnsi" w:cstheme="minorBidi"/>
          <w:sz w:val="24"/>
          <w:szCs w:val="24"/>
        </w:rPr>
        <w:t xml:space="preserve">be provided </w:t>
      </w:r>
      <w:r w:rsidR="00747A6A" w:rsidRPr="00747A6A">
        <w:rPr>
          <w:rStyle w:val="cf01"/>
          <w:rFonts w:asciiTheme="minorHAnsi" w:hAnsiTheme="minorHAnsi" w:cstheme="minorBidi"/>
          <w:sz w:val="24"/>
          <w:szCs w:val="24"/>
        </w:rPr>
        <w:t>through tendering arrangement</w:t>
      </w:r>
      <w:r w:rsidR="00DE6A3C">
        <w:rPr>
          <w:rStyle w:val="cf01"/>
          <w:rFonts w:asciiTheme="minorHAnsi" w:hAnsiTheme="minorHAnsi" w:cstheme="minorBidi"/>
          <w:sz w:val="24"/>
          <w:szCs w:val="24"/>
        </w:rPr>
        <w:t>s</w:t>
      </w:r>
      <w:r w:rsidR="00747A6A" w:rsidRPr="00747A6A">
        <w:rPr>
          <w:rStyle w:val="cf01"/>
          <w:rFonts w:asciiTheme="minorHAnsi" w:hAnsiTheme="minorHAnsi" w:cstheme="minorBidi"/>
          <w:sz w:val="24"/>
          <w:szCs w:val="24"/>
        </w:rPr>
        <w:t xml:space="preserve"> outside of </w:t>
      </w:r>
      <w:r w:rsidR="00DE6A3C">
        <w:rPr>
          <w:rStyle w:val="cf01"/>
          <w:rFonts w:asciiTheme="minorHAnsi" w:hAnsiTheme="minorHAnsi" w:cstheme="minorBidi"/>
          <w:sz w:val="24"/>
          <w:szCs w:val="24"/>
        </w:rPr>
        <w:t xml:space="preserve">the </w:t>
      </w:r>
      <w:r w:rsidR="00747A6A" w:rsidRPr="00747A6A">
        <w:rPr>
          <w:rStyle w:val="cf01"/>
          <w:rFonts w:asciiTheme="minorHAnsi" w:hAnsiTheme="minorHAnsi" w:cstheme="minorBidi"/>
          <w:sz w:val="24"/>
          <w:szCs w:val="24"/>
        </w:rPr>
        <w:t>PBS/MBS</w:t>
      </w:r>
      <w:r w:rsidR="00536877">
        <w:rPr>
          <w:rStyle w:val="cf01"/>
          <w:rFonts w:asciiTheme="minorHAnsi" w:hAnsiTheme="minorHAnsi" w:cstheme="minorBidi"/>
          <w:sz w:val="24"/>
          <w:szCs w:val="24"/>
        </w:rPr>
        <w:t xml:space="preserve"> </w:t>
      </w:r>
      <w:r w:rsidR="00E2273C">
        <w:rPr>
          <w:rStyle w:val="cf01"/>
          <w:rFonts w:asciiTheme="minorHAnsi" w:hAnsiTheme="minorHAnsi" w:cstheme="minorBidi"/>
          <w:sz w:val="24"/>
          <w:szCs w:val="24"/>
        </w:rPr>
        <w:t xml:space="preserve">and noted that </w:t>
      </w:r>
      <w:r w:rsidR="00C10339">
        <w:rPr>
          <w:rStyle w:val="cf01"/>
          <w:rFonts w:asciiTheme="minorHAnsi" w:hAnsiTheme="minorHAnsi" w:cstheme="minorBidi"/>
          <w:sz w:val="24"/>
          <w:szCs w:val="24"/>
        </w:rPr>
        <w:t xml:space="preserve">data collected from these services could potentially be used to inform </w:t>
      </w:r>
      <w:r w:rsidR="00E2273C" w:rsidRPr="00747A6A">
        <w:rPr>
          <w:rStyle w:val="cf01"/>
          <w:rFonts w:asciiTheme="minorHAnsi" w:hAnsiTheme="minorHAnsi" w:cstheme="minorBidi"/>
          <w:sz w:val="24"/>
          <w:szCs w:val="24"/>
        </w:rPr>
        <w:t>future subsidy considerations</w:t>
      </w:r>
      <w:r w:rsidR="00747A6A" w:rsidRPr="00747A6A">
        <w:rPr>
          <w:rStyle w:val="cf01"/>
          <w:rFonts w:asciiTheme="minorHAnsi" w:hAnsiTheme="minorHAnsi" w:cstheme="minorBidi"/>
          <w:sz w:val="24"/>
          <w:szCs w:val="24"/>
        </w:rPr>
        <w:t>.</w:t>
      </w:r>
    </w:p>
    <w:p w14:paraId="5FFEF0FE" w14:textId="1E3CF965" w:rsidR="001350BF" w:rsidRPr="003451A7" w:rsidRDefault="00B2441E"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noted </w:t>
      </w:r>
      <w:r w:rsidR="00247BA4">
        <w:rPr>
          <w:rStyle w:val="cf01"/>
          <w:rFonts w:asciiTheme="minorHAnsi" w:hAnsiTheme="minorHAnsi" w:cstheme="minorBidi"/>
          <w:sz w:val="24"/>
          <w:szCs w:val="24"/>
        </w:rPr>
        <w:t>that several states</w:t>
      </w:r>
      <w:r w:rsidR="000C6C29">
        <w:rPr>
          <w:rStyle w:val="cf01"/>
          <w:rFonts w:asciiTheme="minorHAnsi" w:hAnsiTheme="minorHAnsi" w:cstheme="minorBidi"/>
          <w:sz w:val="24"/>
          <w:szCs w:val="24"/>
        </w:rPr>
        <w:t xml:space="preserve"> were already providing free health coaching</w:t>
      </w:r>
      <w:r w:rsidR="007A3FAE">
        <w:rPr>
          <w:rStyle w:val="cf01"/>
          <w:rFonts w:asciiTheme="minorHAnsi" w:hAnsiTheme="minorHAnsi" w:cstheme="minorBidi"/>
          <w:sz w:val="24"/>
          <w:szCs w:val="24"/>
        </w:rPr>
        <w:t xml:space="preserve"> tailored to the individual</w:t>
      </w:r>
      <w:r w:rsidR="00CE3E45">
        <w:rPr>
          <w:rStyle w:val="cf01"/>
          <w:rFonts w:asciiTheme="minorHAnsi" w:hAnsiTheme="minorHAnsi" w:cstheme="minorBidi"/>
          <w:sz w:val="24"/>
          <w:szCs w:val="24"/>
        </w:rPr>
        <w:t>, with some offering in-person, telephone or group</w:t>
      </w:r>
      <w:r w:rsidR="007A3FAE">
        <w:rPr>
          <w:rStyle w:val="cf01"/>
          <w:rFonts w:asciiTheme="minorHAnsi" w:hAnsiTheme="minorHAnsi" w:cstheme="minorBidi"/>
          <w:sz w:val="24"/>
          <w:szCs w:val="24"/>
        </w:rPr>
        <w:t>-based options</w:t>
      </w:r>
      <w:r w:rsidR="000C6C29">
        <w:rPr>
          <w:rStyle w:val="cf01"/>
          <w:rFonts w:asciiTheme="minorHAnsi" w:hAnsiTheme="minorHAnsi" w:cstheme="minorBidi"/>
          <w:sz w:val="24"/>
          <w:szCs w:val="24"/>
        </w:rPr>
        <w:t>.</w:t>
      </w:r>
    </w:p>
    <w:p w14:paraId="7262E914" w14:textId="77777777" w:rsidR="003451A7" w:rsidRPr="003451A7" w:rsidRDefault="003451A7" w:rsidP="007710F2">
      <w:pPr>
        <w:pStyle w:val="3Subheading1"/>
        <w:rPr>
          <w:rStyle w:val="cf01"/>
          <w:rFonts w:asciiTheme="minorHAnsi" w:hAnsiTheme="minorHAnsi" w:cstheme="minorBidi"/>
          <w:sz w:val="24"/>
          <w:szCs w:val="24"/>
        </w:rPr>
      </w:pPr>
      <w:r w:rsidRPr="003451A7">
        <w:rPr>
          <w:rStyle w:val="cf01"/>
          <w:rFonts w:asciiTheme="minorHAnsi" w:hAnsiTheme="minorHAnsi" w:cstheme="minorBidi"/>
          <w:sz w:val="24"/>
          <w:szCs w:val="24"/>
        </w:rPr>
        <w:t>Are they most effectively used as the sole intervention, in association with bariatric surgery, or combination of options?</w:t>
      </w:r>
    </w:p>
    <w:p w14:paraId="1D5AD2CB" w14:textId="2A0731D0" w:rsidR="00D54D24" w:rsidRDefault="00D54D24" w:rsidP="007710F2">
      <w:pPr>
        <w:pStyle w:val="3Bodytext"/>
        <w:jc w:val="both"/>
      </w:pPr>
      <w:r>
        <w:t xml:space="preserve">The PBAC noted that while bariatric surgery was currently more effective for weight loss, newer obesity treatments in development </w:t>
      </w:r>
      <w:r w:rsidR="00F8558D">
        <w:t xml:space="preserve">may be </w:t>
      </w:r>
      <w:r>
        <w:t xml:space="preserve">similarly effective. The PBAC considered that there were major barriers to accessing bariatric surgery in Australia including cost and availability. </w:t>
      </w:r>
    </w:p>
    <w:p w14:paraId="6C78BD59" w14:textId="6513B355" w:rsidR="00E809D3" w:rsidRDefault="00E809D3" w:rsidP="007710F2">
      <w:pPr>
        <w:pStyle w:val="3Bodytext"/>
        <w:jc w:val="both"/>
      </w:pPr>
      <w:r>
        <w:t>The PBAC considered that prior bariatric surgery should not preclude a person</w:t>
      </w:r>
      <w:r w:rsidR="00CB60FC">
        <w:t xml:space="preserve"> from accessing PBS</w:t>
      </w:r>
      <w:r w:rsidR="00A234EE">
        <w:noBreakHyphen/>
      </w:r>
      <w:r w:rsidR="00CB60FC">
        <w:t xml:space="preserve">subsidised </w:t>
      </w:r>
      <w:r w:rsidR="00A234EE">
        <w:t>GLP-1 treatment</w:t>
      </w:r>
      <w:r w:rsidR="00AC4577">
        <w:t>, as some patients with sub-optimal responses to bariatric surgery may benefit from tr</w:t>
      </w:r>
      <w:r w:rsidR="00C20C2E">
        <w:t>eatment.</w:t>
      </w:r>
    </w:p>
    <w:p w14:paraId="189741B9" w14:textId="0F8DDDE1" w:rsidR="00D54D24" w:rsidRDefault="00D54D24" w:rsidP="007710F2">
      <w:pPr>
        <w:pStyle w:val="3Bodytext"/>
        <w:jc w:val="both"/>
      </w:pPr>
      <w:r>
        <w:lastRenderedPageBreak/>
        <w:t xml:space="preserve">The PBAC noted that patients with BMI </w:t>
      </w:r>
      <w:r>
        <w:rPr>
          <w:rFonts w:cstheme="minorHAnsi"/>
        </w:rPr>
        <w:t>≥</w:t>
      </w:r>
      <w:r>
        <w:t xml:space="preserve"> 40 kg/m</w:t>
      </w:r>
      <w:r w:rsidRPr="0011342F">
        <w:rPr>
          <w:vertAlign w:val="superscript"/>
        </w:rPr>
        <w:t>2</w:t>
      </w:r>
      <w:r>
        <w:t xml:space="preserve"> may benefit from GLP-1 treatment prior to bariatric surgery to reduce surgery risks. </w:t>
      </w:r>
    </w:p>
    <w:p w14:paraId="32EE3AF2" w14:textId="31C1E117" w:rsidR="003451A7" w:rsidRPr="00172FE9" w:rsidRDefault="003451A7" w:rsidP="007710F2">
      <w:pPr>
        <w:pStyle w:val="3Subheading1"/>
      </w:pPr>
      <w:r w:rsidRPr="00172FE9">
        <w:t xml:space="preserve">What is the optimal duration of subsidisation? </w:t>
      </w:r>
    </w:p>
    <w:p w14:paraId="6BB59805" w14:textId="4F802593" w:rsidR="00A603A9" w:rsidRDefault="00C85E40" w:rsidP="007710F2">
      <w:pPr>
        <w:pStyle w:val="3Bodytext"/>
        <w:keepNext/>
        <w:keepLines/>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w:t>
      </w:r>
      <w:r w:rsidR="00564C48">
        <w:rPr>
          <w:rStyle w:val="cf01"/>
          <w:rFonts w:asciiTheme="minorHAnsi" w:hAnsiTheme="minorHAnsi" w:cstheme="minorBidi"/>
          <w:sz w:val="24"/>
          <w:szCs w:val="24"/>
        </w:rPr>
        <w:t>considered that the optimal duration of subsidy was currently unknown</w:t>
      </w:r>
      <w:r w:rsidR="00130150">
        <w:rPr>
          <w:rStyle w:val="cf01"/>
          <w:rFonts w:asciiTheme="minorHAnsi" w:hAnsiTheme="minorHAnsi" w:cstheme="minorBidi"/>
          <w:sz w:val="24"/>
          <w:szCs w:val="24"/>
        </w:rPr>
        <w:t xml:space="preserve"> and that there was no long-term </w:t>
      </w:r>
      <w:r w:rsidR="006403F5">
        <w:rPr>
          <w:rStyle w:val="cf01"/>
          <w:rFonts w:asciiTheme="minorHAnsi" w:hAnsiTheme="minorHAnsi" w:cstheme="minorBidi"/>
          <w:sz w:val="24"/>
          <w:szCs w:val="24"/>
        </w:rPr>
        <w:t xml:space="preserve">trial </w:t>
      </w:r>
      <w:r w:rsidR="003328F5">
        <w:rPr>
          <w:rStyle w:val="cf01"/>
          <w:rFonts w:asciiTheme="minorHAnsi" w:hAnsiTheme="minorHAnsi" w:cstheme="minorBidi"/>
          <w:sz w:val="24"/>
          <w:szCs w:val="24"/>
        </w:rPr>
        <w:t>data on use beyond a few years.</w:t>
      </w:r>
      <w:r w:rsidR="009673B5">
        <w:rPr>
          <w:rStyle w:val="cf01"/>
          <w:rFonts w:asciiTheme="minorHAnsi" w:hAnsiTheme="minorHAnsi" w:cstheme="minorBidi"/>
          <w:sz w:val="24"/>
          <w:szCs w:val="24"/>
        </w:rPr>
        <w:t xml:space="preserve"> </w:t>
      </w:r>
      <w:r w:rsidR="00362816">
        <w:rPr>
          <w:rStyle w:val="cf01"/>
          <w:rFonts w:asciiTheme="minorHAnsi" w:hAnsiTheme="minorHAnsi" w:cstheme="minorBidi"/>
          <w:sz w:val="24"/>
          <w:szCs w:val="24"/>
        </w:rPr>
        <w:t xml:space="preserve">The PBAC noted that </w:t>
      </w:r>
      <w:r w:rsidR="00D557F0">
        <w:rPr>
          <w:rStyle w:val="cf01"/>
          <w:rFonts w:asciiTheme="minorHAnsi" w:hAnsiTheme="minorHAnsi" w:cstheme="minorBidi"/>
          <w:sz w:val="24"/>
          <w:szCs w:val="24"/>
        </w:rPr>
        <w:t xml:space="preserve">trial data demonstrated weight regain following cessation of therapy, with patients often returning to baseline weight </w:t>
      </w:r>
      <w:r w:rsidR="00500311">
        <w:rPr>
          <w:rStyle w:val="cf01"/>
          <w:rFonts w:asciiTheme="minorHAnsi" w:hAnsiTheme="minorHAnsi" w:cstheme="minorBidi"/>
          <w:sz w:val="24"/>
          <w:szCs w:val="24"/>
        </w:rPr>
        <w:t xml:space="preserve">by around </w:t>
      </w:r>
      <w:r w:rsidR="00D557F0">
        <w:rPr>
          <w:rStyle w:val="cf01"/>
          <w:rFonts w:asciiTheme="minorHAnsi" w:hAnsiTheme="minorHAnsi" w:cstheme="minorBidi"/>
          <w:sz w:val="24"/>
          <w:szCs w:val="24"/>
        </w:rPr>
        <w:t>two years</w:t>
      </w:r>
      <w:r w:rsidR="0011338D">
        <w:rPr>
          <w:rStyle w:val="cf01"/>
          <w:rFonts w:asciiTheme="minorHAnsi" w:hAnsiTheme="minorHAnsi" w:cstheme="minorBidi"/>
          <w:sz w:val="24"/>
          <w:szCs w:val="24"/>
        </w:rPr>
        <w:t xml:space="preserve"> post-cessation</w:t>
      </w:r>
      <w:r w:rsidR="00A603A9">
        <w:rPr>
          <w:rStyle w:val="cf01"/>
          <w:rFonts w:asciiTheme="minorHAnsi" w:hAnsiTheme="minorHAnsi" w:cstheme="minorBidi"/>
          <w:sz w:val="24"/>
          <w:szCs w:val="24"/>
        </w:rPr>
        <w:t>.</w:t>
      </w:r>
    </w:p>
    <w:p w14:paraId="0DAECEA4" w14:textId="7926DF5F" w:rsidR="00362816" w:rsidRDefault="00EE05BD" w:rsidP="007710F2">
      <w:pPr>
        <w:pStyle w:val="3Bodytext"/>
        <w:keepNext/>
        <w:keepLines/>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w:t>
      </w:r>
      <w:r w:rsidR="006179B4">
        <w:rPr>
          <w:rStyle w:val="cf01"/>
          <w:rFonts w:asciiTheme="minorHAnsi" w:hAnsiTheme="minorHAnsi" w:cstheme="minorBidi"/>
          <w:sz w:val="24"/>
          <w:szCs w:val="24"/>
        </w:rPr>
        <w:t xml:space="preserve">considered </w:t>
      </w:r>
      <w:r>
        <w:rPr>
          <w:rStyle w:val="cf01"/>
          <w:rFonts w:asciiTheme="minorHAnsi" w:hAnsiTheme="minorHAnsi" w:cstheme="minorBidi"/>
          <w:sz w:val="24"/>
          <w:szCs w:val="24"/>
        </w:rPr>
        <w:t>tha</w:t>
      </w:r>
      <w:r w:rsidR="006179B4">
        <w:rPr>
          <w:rStyle w:val="cf01"/>
          <w:rFonts w:asciiTheme="minorHAnsi" w:hAnsiTheme="minorHAnsi" w:cstheme="minorBidi"/>
          <w:sz w:val="24"/>
          <w:szCs w:val="24"/>
        </w:rPr>
        <w:t>t it was unresolved whether</w:t>
      </w:r>
      <w:r w:rsidR="00983577">
        <w:rPr>
          <w:rStyle w:val="cf01"/>
          <w:rFonts w:asciiTheme="minorHAnsi" w:hAnsiTheme="minorHAnsi" w:cstheme="minorBidi"/>
          <w:sz w:val="24"/>
          <w:szCs w:val="24"/>
        </w:rPr>
        <w:t xml:space="preserve"> patients may be able to maintain weight loss on lower doses, or with intermittent dosing (e.g. every two weeks)</w:t>
      </w:r>
      <w:r w:rsidR="00794582">
        <w:rPr>
          <w:rStyle w:val="cf01"/>
          <w:rFonts w:asciiTheme="minorHAnsi" w:hAnsiTheme="minorHAnsi" w:cstheme="minorBidi"/>
          <w:sz w:val="24"/>
          <w:szCs w:val="24"/>
        </w:rPr>
        <w:t xml:space="preserve"> following achievement of goal weight</w:t>
      </w:r>
      <w:r w:rsidR="00983577">
        <w:rPr>
          <w:rStyle w:val="cf01"/>
          <w:rFonts w:asciiTheme="minorHAnsi" w:hAnsiTheme="minorHAnsi" w:cstheme="minorBidi"/>
          <w:sz w:val="24"/>
          <w:szCs w:val="24"/>
        </w:rPr>
        <w:t xml:space="preserve">. </w:t>
      </w:r>
      <w:r w:rsidR="00BB0301">
        <w:rPr>
          <w:rStyle w:val="cf01"/>
          <w:rFonts w:asciiTheme="minorHAnsi" w:hAnsiTheme="minorHAnsi" w:cstheme="minorBidi"/>
          <w:sz w:val="24"/>
          <w:szCs w:val="24"/>
        </w:rPr>
        <w:t xml:space="preserve">The PBAC noted that </w:t>
      </w:r>
      <w:r w:rsidR="000A2231">
        <w:rPr>
          <w:rStyle w:val="cf01"/>
          <w:rFonts w:asciiTheme="minorHAnsi" w:hAnsiTheme="minorHAnsi" w:cstheme="minorBidi"/>
          <w:sz w:val="24"/>
          <w:szCs w:val="24"/>
        </w:rPr>
        <w:t xml:space="preserve">real-world </w:t>
      </w:r>
      <w:r w:rsidR="008B335D">
        <w:rPr>
          <w:rStyle w:val="cf01"/>
          <w:rFonts w:asciiTheme="minorHAnsi" w:hAnsiTheme="minorHAnsi" w:cstheme="minorBidi"/>
          <w:sz w:val="24"/>
          <w:szCs w:val="24"/>
        </w:rPr>
        <w:t>data</w:t>
      </w:r>
      <w:r w:rsidR="000A2231">
        <w:rPr>
          <w:rStyle w:val="cf01"/>
          <w:rFonts w:asciiTheme="minorHAnsi" w:hAnsiTheme="minorHAnsi" w:cstheme="minorBidi"/>
          <w:sz w:val="24"/>
          <w:szCs w:val="24"/>
        </w:rPr>
        <w:t xml:space="preserve"> indicated that patients tend to use lower doses of GLP-1s </w:t>
      </w:r>
      <w:r w:rsidR="008666AF">
        <w:rPr>
          <w:rStyle w:val="cf01"/>
          <w:rFonts w:asciiTheme="minorHAnsi" w:hAnsiTheme="minorHAnsi" w:cstheme="minorBidi"/>
          <w:sz w:val="24"/>
          <w:szCs w:val="24"/>
        </w:rPr>
        <w:t xml:space="preserve">than </w:t>
      </w:r>
      <w:r w:rsidR="000A2231">
        <w:rPr>
          <w:rStyle w:val="cf01"/>
          <w:rFonts w:asciiTheme="minorHAnsi" w:hAnsiTheme="minorHAnsi" w:cstheme="minorBidi"/>
          <w:sz w:val="24"/>
          <w:szCs w:val="24"/>
        </w:rPr>
        <w:t>in clinical trials, but it is unclear if this is due to cost, tolerability</w:t>
      </w:r>
      <w:r w:rsidR="007918FF">
        <w:rPr>
          <w:rStyle w:val="cf01"/>
          <w:rFonts w:asciiTheme="minorHAnsi" w:hAnsiTheme="minorHAnsi" w:cstheme="minorBidi"/>
          <w:sz w:val="24"/>
          <w:szCs w:val="24"/>
        </w:rPr>
        <w:t>,</w:t>
      </w:r>
      <w:r w:rsidR="001C5E50">
        <w:rPr>
          <w:snapToGrid w:val="0"/>
        </w:rPr>
        <w:t xml:space="preserve"> or because patients are achieving therapeutic goals at lower doses</w:t>
      </w:r>
      <w:r w:rsidR="005C4B0A">
        <w:rPr>
          <w:rStyle w:val="cf01"/>
          <w:rFonts w:asciiTheme="minorHAnsi" w:hAnsiTheme="minorHAnsi" w:cstheme="minorBidi"/>
          <w:sz w:val="24"/>
          <w:szCs w:val="24"/>
        </w:rPr>
        <w:t>.</w:t>
      </w:r>
    </w:p>
    <w:p w14:paraId="3DC09501" w14:textId="222E4A73" w:rsidR="003D097B" w:rsidRDefault="003D097B" w:rsidP="007710F2">
      <w:pPr>
        <w:pStyle w:val="3Subheading1"/>
        <w:rPr>
          <w:rStyle w:val="cf01"/>
          <w:rFonts w:asciiTheme="minorHAnsi" w:hAnsiTheme="minorHAnsi" w:cstheme="minorBidi"/>
          <w:sz w:val="24"/>
          <w:szCs w:val="24"/>
        </w:rPr>
      </w:pPr>
      <w:r>
        <w:rPr>
          <w:rStyle w:val="cf01"/>
          <w:rFonts w:asciiTheme="minorHAnsi" w:hAnsiTheme="minorHAnsi" w:cstheme="minorBidi"/>
          <w:sz w:val="24"/>
          <w:szCs w:val="24"/>
        </w:rPr>
        <w:t>Additional advice –</w:t>
      </w:r>
      <w:r w:rsidR="00EA7F39">
        <w:rPr>
          <w:rStyle w:val="cf01"/>
          <w:rFonts w:asciiTheme="minorHAnsi" w:hAnsiTheme="minorHAnsi" w:cstheme="minorBidi"/>
          <w:sz w:val="24"/>
          <w:szCs w:val="24"/>
        </w:rPr>
        <w:t xml:space="preserve"> M</w:t>
      </w:r>
      <w:r>
        <w:rPr>
          <w:rStyle w:val="cf01"/>
          <w:rFonts w:asciiTheme="minorHAnsi" w:hAnsiTheme="minorHAnsi" w:cstheme="minorBidi"/>
          <w:sz w:val="24"/>
          <w:szCs w:val="24"/>
        </w:rPr>
        <w:t xml:space="preserve">arket </w:t>
      </w:r>
      <w:r w:rsidR="002547CF">
        <w:rPr>
          <w:rStyle w:val="cf01"/>
          <w:rFonts w:asciiTheme="minorHAnsi" w:hAnsiTheme="minorHAnsi" w:cstheme="minorBidi"/>
          <w:sz w:val="24"/>
          <w:szCs w:val="24"/>
        </w:rPr>
        <w:t>dynamics</w:t>
      </w:r>
      <w:r w:rsidR="00EA7F39">
        <w:rPr>
          <w:rStyle w:val="cf01"/>
          <w:rFonts w:asciiTheme="minorHAnsi" w:hAnsiTheme="minorHAnsi" w:cstheme="minorBidi"/>
          <w:sz w:val="24"/>
          <w:szCs w:val="24"/>
        </w:rPr>
        <w:t xml:space="preserve"> and subsidy mechanism</w:t>
      </w:r>
    </w:p>
    <w:p w14:paraId="0D1B0E75" w14:textId="33533F8C" w:rsidR="00442649" w:rsidRDefault="6F1CF829" w:rsidP="007710F2">
      <w:pPr>
        <w:pStyle w:val="3Bodytext"/>
        <w:jc w:val="both"/>
        <w:rPr>
          <w:rStyle w:val="cf01"/>
          <w:rFonts w:asciiTheme="minorHAnsi" w:hAnsiTheme="minorHAnsi" w:cstheme="minorBidi"/>
          <w:sz w:val="24"/>
          <w:szCs w:val="24"/>
        </w:rPr>
      </w:pPr>
      <w:r w:rsidRPr="63789F2A">
        <w:rPr>
          <w:rStyle w:val="cf01"/>
          <w:rFonts w:asciiTheme="minorHAnsi" w:hAnsiTheme="minorHAnsi" w:cstheme="minorBidi"/>
          <w:sz w:val="24"/>
          <w:szCs w:val="24"/>
        </w:rPr>
        <w:t xml:space="preserve">The </w:t>
      </w:r>
      <w:r w:rsidR="5E5D3ABD" w:rsidRPr="63789F2A">
        <w:rPr>
          <w:rStyle w:val="cf01"/>
          <w:rFonts w:asciiTheme="minorHAnsi" w:hAnsiTheme="minorHAnsi" w:cstheme="minorBidi"/>
          <w:sz w:val="24"/>
          <w:szCs w:val="24"/>
        </w:rPr>
        <w:t xml:space="preserve">PBAC noted </w:t>
      </w:r>
      <w:r w:rsidR="0C517A35" w:rsidRPr="63789F2A">
        <w:rPr>
          <w:rStyle w:val="cf01"/>
          <w:rFonts w:asciiTheme="minorHAnsi" w:hAnsiTheme="minorHAnsi" w:cstheme="minorBidi"/>
          <w:sz w:val="24"/>
          <w:szCs w:val="24"/>
        </w:rPr>
        <w:t xml:space="preserve">obesity treatments </w:t>
      </w:r>
      <w:r w:rsidR="53D32032" w:rsidRPr="63789F2A">
        <w:rPr>
          <w:rStyle w:val="cf01"/>
          <w:rFonts w:asciiTheme="minorHAnsi" w:hAnsiTheme="minorHAnsi" w:cstheme="minorBidi"/>
          <w:sz w:val="24"/>
          <w:szCs w:val="24"/>
        </w:rPr>
        <w:t>are</w:t>
      </w:r>
      <w:r w:rsidR="0C517A35" w:rsidRPr="63789F2A">
        <w:rPr>
          <w:rStyle w:val="cf01"/>
          <w:rFonts w:asciiTheme="minorHAnsi" w:hAnsiTheme="minorHAnsi" w:cstheme="minorBidi"/>
          <w:sz w:val="24"/>
          <w:szCs w:val="24"/>
        </w:rPr>
        <w:t xml:space="preserve"> a very active </w:t>
      </w:r>
      <w:r w:rsidR="76F7CA7E" w:rsidRPr="63789F2A">
        <w:rPr>
          <w:rStyle w:val="cf01"/>
          <w:rFonts w:asciiTheme="minorHAnsi" w:hAnsiTheme="minorHAnsi" w:cstheme="minorBidi"/>
          <w:sz w:val="24"/>
          <w:szCs w:val="24"/>
        </w:rPr>
        <w:t>therapeutic</w:t>
      </w:r>
      <w:r w:rsidR="0C517A35" w:rsidRPr="63789F2A">
        <w:rPr>
          <w:rStyle w:val="cf01"/>
          <w:rFonts w:asciiTheme="minorHAnsi" w:hAnsiTheme="minorHAnsi" w:cstheme="minorBidi"/>
          <w:sz w:val="24"/>
          <w:szCs w:val="24"/>
        </w:rPr>
        <w:t xml:space="preserve"> market with </w:t>
      </w:r>
      <w:r w:rsidR="53D32032" w:rsidRPr="63789F2A">
        <w:rPr>
          <w:rStyle w:val="cf01"/>
          <w:rFonts w:asciiTheme="minorHAnsi" w:hAnsiTheme="minorHAnsi" w:cstheme="minorBidi"/>
          <w:sz w:val="24"/>
          <w:szCs w:val="24"/>
        </w:rPr>
        <w:t xml:space="preserve">several medicines in phase </w:t>
      </w:r>
      <w:r w:rsidR="00E2577D">
        <w:rPr>
          <w:rStyle w:val="cf01"/>
          <w:rFonts w:asciiTheme="minorHAnsi" w:hAnsiTheme="minorHAnsi" w:cstheme="minorBidi"/>
          <w:sz w:val="24"/>
          <w:szCs w:val="24"/>
        </w:rPr>
        <w:t>3</w:t>
      </w:r>
      <w:r w:rsidR="53D32032" w:rsidRPr="63789F2A">
        <w:rPr>
          <w:rStyle w:val="cf01"/>
          <w:rFonts w:asciiTheme="minorHAnsi" w:hAnsiTheme="minorHAnsi" w:cstheme="minorBidi"/>
          <w:sz w:val="24"/>
          <w:szCs w:val="24"/>
        </w:rPr>
        <w:t xml:space="preserve"> clinical trials and </w:t>
      </w:r>
      <w:r w:rsidR="01744B6B" w:rsidRPr="63789F2A">
        <w:rPr>
          <w:rStyle w:val="cf01"/>
          <w:rFonts w:asciiTheme="minorHAnsi" w:hAnsiTheme="minorHAnsi" w:cstheme="minorBidi"/>
          <w:sz w:val="24"/>
          <w:szCs w:val="24"/>
        </w:rPr>
        <w:t>many more in earlier stages of development</w:t>
      </w:r>
      <w:r w:rsidR="76F7CA7E" w:rsidRPr="63789F2A">
        <w:rPr>
          <w:rStyle w:val="cf01"/>
          <w:rFonts w:asciiTheme="minorHAnsi" w:hAnsiTheme="minorHAnsi" w:cstheme="minorBidi"/>
          <w:sz w:val="24"/>
          <w:szCs w:val="24"/>
        </w:rPr>
        <w:t>. The PBAC expressed concern th</w:t>
      </w:r>
      <w:r w:rsidR="6EDAD300" w:rsidRPr="63789F2A">
        <w:rPr>
          <w:rStyle w:val="cf01"/>
          <w:rFonts w:asciiTheme="minorHAnsi" w:hAnsiTheme="minorHAnsi" w:cstheme="minorBidi"/>
          <w:sz w:val="24"/>
          <w:szCs w:val="24"/>
        </w:rPr>
        <w:t xml:space="preserve">at </w:t>
      </w:r>
      <w:r w:rsidR="76F7CA7E" w:rsidRPr="63789F2A">
        <w:rPr>
          <w:rStyle w:val="cf01"/>
          <w:rFonts w:asciiTheme="minorHAnsi" w:hAnsiTheme="minorHAnsi" w:cstheme="minorBidi"/>
          <w:sz w:val="24"/>
          <w:szCs w:val="24"/>
        </w:rPr>
        <w:t xml:space="preserve">a PBS listing </w:t>
      </w:r>
      <w:proofErr w:type="gramStart"/>
      <w:r w:rsidR="00AE0793">
        <w:rPr>
          <w:rStyle w:val="cf01"/>
          <w:rFonts w:asciiTheme="minorHAnsi" w:hAnsiTheme="minorHAnsi" w:cstheme="minorBidi"/>
          <w:sz w:val="24"/>
          <w:szCs w:val="24"/>
        </w:rPr>
        <w:t>in the near future</w:t>
      </w:r>
      <w:proofErr w:type="gramEnd"/>
      <w:r w:rsidR="00AE0793">
        <w:rPr>
          <w:rStyle w:val="cf01"/>
          <w:rFonts w:asciiTheme="minorHAnsi" w:hAnsiTheme="minorHAnsi" w:cstheme="minorBidi"/>
          <w:sz w:val="24"/>
          <w:szCs w:val="24"/>
        </w:rPr>
        <w:t xml:space="preserve"> </w:t>
      </w:r>
      <w:r w:rsidR="76F7CA7E" w:rsidRPr="63789F2A">
        <w:rPr>
          <w:rStyle w:val="cf01"/>
          <w:rFonts w:asciiTheme="minorHAnsi" w:hAnsiTheme="minorHAnsi" w:cstheme="minorBidi"/>
          <w:sz w:val="24"/>
          <w:szCs w:val="24"/>
        </w:rPr>
        <w:t>may benchmark prices for future listing</w:t>
      </w:r>
      <w:r w:rsidR="0CFF9737" w:rsidRPr="63789F2A">
        <w:rPr>
          <w:rStyle w:val="cf01"/>
          <w:rFonts w:asciiTheme="minorHAnsi" w:hAnsiTheme="minorHAnsi" w:cstheme="minorBidi"/>
          <w:sz w:val="24"/>
          <w:szCs w:val="24"/>
        </w:rPr>
        <w:t>s</w:t>
      </w:r>
      <w:r w:rsidR="236A5758" w:rsidRPr="63789F2A">
        <w:rPr>
          <w:rStyle w:val="cf01"/>
          <w:rFonts w:asciiTheme="minorHAnsi" w:hAnsiTheme="minorHAnsi" w:cstheme="minorBidi"/>
          <w:sz w:val="24"/>
          <w:szCs w:val="24"/>
        </w:rPr>
        <w:t xml:space="preserve"> </w:t>
      </w:r>
      <w:r w:rsidR="76F7CA7E" w:rsidRPr="63789F2A">
        <w:rPr>
          <w:rStyle w:val="cf01"/>
          <w:rFonts w:asciiTheme="minorHAnsi" w:hAnsiTheme="minorHAnsi" w:cstheme="minorBidi"/>
          <w:sz w:val="24"/>
          <w:szCs w:val="24"/>
        </w:rPr>
        <w:t xml:space="preserve">and this may lead to </w:t>
      </w:r>
      <w:r w:rsidR="55E36EAC" w:rsidRPr="63789F2A">
        <w:rPr>
          <w:rStyle w:val="cf01"/>
          <w:rFonts w:asciiTheme="minorHAnsi" w:hAnsiTheme="minorHAnsi" w:cstheme="minorBidi"/>
          <w:sz w:val="24"/>
          <w:szCs w:val="24"/>
        </w:rPr>
        <w:t xml:space="preserve">higher </w:t>
      </w:r>
      <w:r w:rsidR="43B45BDD" w:rsidRPr="63789F2A">
        <w:rPr>
          <w:rStyle w:val="cf01"/>
          <w:rFonts w:asciiTheme="minorHAnsi" w:hAnsiTheme="minorHAnsi" w:cstheme="minorBidi"/>
          <w:sz w:val="24"/>
          <w:szCs w:val="24"/>
        </w:rPr>
        <w:t>total costs to the PBS</w:t>
      </w:r>
      <w:r w:rsidR="4AA91A5B" w:rsidRPr="63789F2A">
        <w:rPr>
          <w:rStyle w:val="cf01"/>
          <w:rFonts w:asciiTheme="minorHAnsi" w:hAnsiTheme="minorHAnsi" w:cstheme="minorBidi"/>
          <w:sz w:val="24"/>
          <w:szCs w:val="24"/>
        </w:rPr>
        <w:t xml:space="preserve"> </w:t>
      </w:r>
      <w:r w:rsidR="2A2D20E3" w:rsidRPr="63789F2A">
        <w:rPr>
          <w:rStyle w:val="cf01"/>
          <w:rFonts w:asciiTheme="minorHAnsi" w:hAnsiTheme="minorHAnsi" w:cstheme="minorBidi"/>
          <w:sz w:val="24"/>
          <w:szCs w:val="24"/>
        </w:rPr>
        <w:t>if newer medications are listed on a superiority basis</w:t>
      </w:r>
      <w:r w:rsidR="26BDC49C" w:rsidRPr="63789F2A">
        <w:rPr>
          <w:rStyle w:val="cf01"/>
          <w:rFonts w:asciiTheme="minorHAnsi" w:hAnsiTheme="minorHAnsi" w:cstheme="minorBidi"/>
          <w:sz w:val="24"/>
          <w:szCs w:val="24"/>
        </w:rPr>
        <w:t>. The PBAC also noted</w:t>
      </w:r>
      <w:r w:rsidR="43B45BDD" w:rsidRPr="63789F2A">
        <w:rPr>
          <w:rStyle w:val="cf01"/>
          <w:rFonts w:asciiTheme="minorHAnsi" w:hAnsiTheme="minorHAnsi" w:cstheme="minorBidi"/>
          <w:sz w:val="24"/>
          <w:szCs w:val="24"/>
        </w:rPr>
        <w:t xml:space="preserve"> the potential for </w:t>
      </w:r>
      <w:r w:rsidR="55E36EAC" w:rsidRPr="63789F2A">
        <w:rPr>
          <w:rStyle w:val="cf01"/>
          <w:rFonts w:asciiTheme="minorHAnsi" w:hAnsiTheme="minorHAnsi" w:cstheme="minorBidi"/>
          <w:sz w:val="24"/>
          <w:szCs w:val="24"/>
        </w:rPr>
        <w:t>PBS prices</w:t>
      </w:r>
      <w:r w:rsidR="648DB467" w:rsidRPr="63789F2A">
        <w:rPr>
          <w:rStyle w:val="cf01"/>
          <w:rFonts w:asciiTheme="minorHAnsi" w:hAnsiTheme="minorHAnsi" w:cstheme="minorBidi"/>
          <w:sz w:val="24"/>
          <w:szCs w:val="24"/>
        </w:rPr>
        <w:t xml:space="preserve"> </w:t>
      </w:r>
      <w:r w:rsidR="43D4AC5D" w:rsidRPr="63789F2A">
        <w:rPr>
          <w:rStyle w:val="cf01"/>
          <w:rFonts w:asciiTheme="minorHAnsi" w:hAnsiTheme="minorHAnsi" w:cstheme="minorBidi"/>
          <w:sz w:val="24"/>
          <w:szCs w:val="24"/>
        </w:rPr>
        <w:t>to be higher than future private market prices</w:t>
      </w:r>
      <w:r w:rsidR="0C43CD5E" w:rsidRPr="63789F2A">
        <w:rPr>
          <w:rStyle w:val="cf01"/>
          <w:rFonts w:asciiTheme="minorHAnsi" w:hAnsiTheme="minorHAnsi" w:cstheme="minorBidi"/>
          <w:sz w:val="24"/>
          <w:szCs w:val="24"/>
        </w:rPr>
        <w:t xml:space="preserve"> if market competition </w:t>
      </w:r>
      <w:r w:rsidR="7C963A9C" w:rsidRPr="63789F2A">
        <w:rPr>
          <w:rStyle w:val="cf01"/>
          <w:rFonts w:asciiTheme="minorHAnsi" w:hAnsiTheme="minorHAnsi" w:cstheme="minorBidi"/>
          <w:sz w:val="24"/>
          <w:szCs w:val="24"/>
        </w:rPr>
        <w:t>leads to</w:t>
      </w:r>
      <w:r w:rsidR="0C43CD5E" w:rsidRPr="63789F2A">
        <w:rPr>
          <w:rStyle w:val="cf01"/>
          <w:rFonts w:asciiTheme="minorHAnsi" w:hAnsiTheme="minorHAnsi" w:cstheme="minorBidi"/>
          <w:sz w:val="24"/>
          <w:szCs w:val="24"/>
        </w:rPr>
        <w:t xml:space="preserve"> </w:t>
      </w:r>
      <w:r w:rsidR="3714A150" w:rsidRPr="63789F2A">
        <w:rPr>
          <w:rStyle w:val="cf01"/>
          <w:rFonts w:asciiTheme="minorHAnsi" w:hAnsiTheme="minorHAnsi" w:cstheme="minorBidi"/>
          <w:sz w:val="24"/>
          <w:szCs w:val="24"/>
        </w:rPr>
        <w:t>a reduction in</w:t>
      </w:r>
      <w:r w:rsidR="0C43CD5E" w:rsidRPr="63789F2A">
        <w:rPr>
          <w:rStyle w:val="cf01"/>
          <w:rFonts w:asciiTheme="minorHAnsi" w:hAnsiTheme="minorHAnsi" w:cstheme="minorBidi"/>
          <w:sz w:val="24"/>
          <w:szCs w:val="24"/>
        </w:rPr>
        <w:t xml:space="preserve"> prices</w:t>
      </w:r>
      <w:r w:rsidR="648DB467" w:rsidRPr="63789F2A">
        <w:rPr>
          <w:rStyle w:val="cf01"/>
          <w:rFonts w:asciiTheme="minorHAnsi" w:hAnsiTheme="minorHAnsi" w:cstheme="minorBidi"/>
          <w:sz w:val="24"/>
          <w:szCs w:val="24"/>
        </w:rPr>
        <w:t>.</w:t>
      </w:r>
      <w:r w:rsidR="05F72C6E" w:rsidRPr="63789F2A">
        <w:rPr>
          <w:rStyle w:val="cf01"/>
          <w:rFonts w:asciiTheme="minorHAnsi" w:hAnsiTheme="minorHAnsi" w:cstheme="minorBidi"/>
          <w:sz w:val="24"/>
          <w:szCs w:val="24"/>
        </w:rPr>
        <w:t xml:space="preserve"> </w:t>
      </w:r>
    </w:p>
    <w:p w14:paraId="42D3E272" w14:textId="663C0235" w:rsidR="0046679D" w:rsidRDefault="0046679D"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w:t>
      </w:r>
      <w:r w:rsidR="00675D2F">
        <w:rPr>
          <w:rStyle w:val="cf01"/>
          <w:rFonts w:asciiTheme="minorHAnsi" w:hAnsiTheme="minorHAnsi" w:cstheme="minorBidi"/>
          <w:sz w:val="24"/>
          <w:szCs w:val="24"/>
        </w:rPr>
        <w:t>considered that the PBS</w:t>
      </w:r>
      <w:r w:rsidR="003C3E1D">
        <w:rPr>
          <w:rStyle w:val="cf01"/>
          <w:rFonts w:asciiTheme="minorHAnsi" w:hAnsiTheme="minorHAnsi" w:cstheme="minorBidi"/>
          <w:sz w:val="24"/>
          <w:szCs w:val="24"/>
        </w:rPr>
        <w:t>, or a single-funder model,</w:t>
      </w:r>
      <w:r w:rsidR="00675D2F">
        <w:rPr>
          <w:rStyle w:val="cf01"/>
          <w:rFonts w:asciiTheme="minorHAnsi" w:hAnsiTheme="minorHAnsi" w:cstheme="minorBidi"/>
          <w:sz w:val="24"/>
          <w:szCs w:val="24"/>
        </w:rPr>
        <w:t xml:space="preserve"> was the most appropriate</w:t>
      </w:r>
      <w:r w:rsidR="00367644">
        <w:rPr>
          <w:rStyle w:val="cf01"/>
          <w:rFonts w:asciiTheme="minorHAnsi" w:hAnsiTheme="minorHAnsi" w:cstheme="minorBidi"/>
          <w:sz w:val="24"/>
          <w:szCs w:val="24"/>
        </w:rPr>
        <w:t xml:space="preserve"> mechanism</w:t>
      </w:r>
      <w:r w:rsidR="00C70246">
        <w:rPr>
          <w:rStyle w:val="cf01"/>
          <w:rFonts w:asciiTheme="minorHAnsi" w:hAnsiTheme="minorHAnsi" w:cstheme="minorBidi"/>
          <w:sz w:val="24"/>
          <w:szCs w:val="24"/>
        </w:rPr>
        <w:t xml:space="preserve"> for subsidy of </w:t>
      </w:r>
      <w:r w:rsidR="00D46CB7">
        <w:rPr>
          <w:rStyle w:val="cf01"/>
          <w:rFonts w:asciiTheme="minorHAnsi" w:hAnsiTheme="minorHAnsi" w:cstheme="minorBidi"/>
          <w:sz w:val="24"/>
          <w:szCs w:val="24"/>
        </w:rPr>
        <w:t xml:space="preserve">GLP-1 obesity treatments </w:t>
      </w:r>
      <w:r w:rsidR="00C70246">
        <w:rPr>
          <w:rStyle w:val="cf01"/>
          <w:rFonts w:asciiTheme="minorHAnsi" w:hAnsiTheme="minorHAnsi" w:cstheme="minorBidi"/>
          <w:sz w:val="24"/>
          <w:szCs w:val="24"/>
        </w:rPr>
        <w:t>in Australia</w:t>
      </w:r>
      <w:r w:rsidR="001B4FC5">
        <w:rPr>
          <w:rStyle w:val="cf01"/>
          <w:rFonts w:asciiTheme="minorHAnsi" w:hAnsiTheme="minorHAnsi" w:cstheme="minorBidi"/>
          <w:sz w:val="24"/>
          <w:szCs w:val="24"/>
        </w:rPr>
        <w:t>. The</w:t>
      </w:r>
      <w:r w:rsidR="00540505">
        <w:rPr>
          <w:rStyle w:val="cf01"/>
          <w:rFonts w:asciiTheme="minorHAnsi" w:hAnsiTheme="minorHAnsi" w:cstheme="minorBidi"/>
          <w:sz w:val="24"/>
          <w:szCs w:val="24"/>
        </w:rPr>
        <w:t xml:space="preserve"> </w:t>
      </w:r>
      <w:r w:rsidR="001B4FC5">
        <w:rPr>
          <w:rStyle w:val="cf01"/>
          <w:rFonts w:asciiTheme="minorHAnsi" w:hAnsiTheme="minorHAnsi" w:cstheme="minorBidi"/>
          <w:sz w:val="24"/>
          <w:szCs w:val="24"/>
        </w:rPr>
        <w:t>PB</w:t>
      </w:r>
      <w:r w:rsidR="00EC22A2">
        <w:rPr>
          <w:rStyle w:val="cf01"/>
          <w:rFonts w:asciiTheme="minorHAnsi" w:hAnsiTheme="minorHAnsi" w:cstheme="minorBidi"/>
          <w:sz w:val="24"/>
          <w:szCs w:val="24"/>
        </w:rPr>
        <w:t>AC</w:t>
      </w:r>
      <w:r w:rsidR="001B4FC5">
        <w:rPr>
          <w:rStyle w:val="cf01"/>
          <w:rFonts w:asciiTheme="minorHAnsi" w:hAnsiTheme="minorHAnsi" w:cstheme="minorBidi"/>
          <w:sz w:val="24"/>
          <w:szCs w:val="24"/>
        </w:rPr>
        <w:t xml:space="preserve"> considered that </w:t>
      </w:r>
      <w:r w:rsidR="00540505">
        <w:rPr>
          <w:rStyle w:val="cf01"/>
          <w:rFonts w:asciiTheme="minorHAnsi" w:hAnsiTheme="minorHAnsi" w:cstheme="minorBidi"/>
          <w:sz w:val="24"/>
          <w:szCs w:val="24"/>
        </w:rPr>
        <w:t>subsidy through other mechanisms</w:t>
      </w:r>
      <w:r w:rsidR="001B4FC5">
        <w:rPr>
          <w:rStyle w:val="cf01"/>
          <w:rFonts w:asciiTheme="minorHAnsi" w:hAnsiTheme="minorHAnsi" w:cstheme="minorBidi"/>
          <w:sz w:val="24"/>
          <w:szCs w:val="24"/>
        </w:rPr>
        <w:t>,</w:t>
      </w:r>
      <w:r w:rsidR="00540505">
        <w:rPr>
          <w:rStyle w:val="cf01"/>
          <w:rFonts w:asciiTheme="minorHAnsi" w:hAnsiTheme="minorHAnsi" w:cstheme="minorBidi"/>
          <w:sz w:val="24"/>
          <w:szCs w:val="24"/>
        </w:rPr>
        <w:t xml:space="preserve"> such as state-based programs</w:t>
      </w:r>
      <w:r w:rsidR="001B4FC5">
        <w:rPr>
          <w:rStyle w:val="cf01"/>
          <w:rFonts w:asciiTheme="minorHAnsi" w:hAnsiTheme="minorHAnsi" w:cstheme="minorBidi"/>
          <w:sz w:val="24"/>
          <w:szCs w:val="24"/>
        </w:rPr>
        <w:t xml:space="preserve">, may </w:t>
      </w:r>
      <w:r w:rsidR="00862496">
        <w:rPr>
          <w:rStyle w:val="cf01"/>
          <w:rFonts w:asciiTheme="minorHAnsi" w:hAnsiTheme="minorHAnsi" w:cstheme="minorBidi"/>
          <w:sz w:val="24"/>
          <w:szCs w:val="24"/>
        </w:rPr>
        <w:t xml:space="preserve">lead to </w:t>
      </w:r>
      <w:r w:rsidR="00BE4827">
        <w:rPr>
          <w:rStyle w:val="cf01"/>
          <w:rFonts w:asciiTheme="minorHAnsi" w:hAnsiTheme="minorHAnsi" w:cstheme="minorBidi"/>
          <w:sz w:val="24"/>
          <w:szCs w:val="24"/>
        </w:rPr>
        <w:t>more complex and</w:t>
      </w:r>
      <w:r w:rsidR="00862496">
        <w:rPr>
          <w:rStyle w:val="cf01"/>
          <w:rFonts w:asciiTheme="minorHAnsi" w:hAnsiTheme="minorHAnsi" w:cstheme="minorBidi"/>
          <w:sz w:val="24"/>
          <w:szCs w:val="24"/>
        </w:rPr>
        <w:t xml:space="preserve"> inequitable access.</w:t>
      </w:r>
      <w:r w:rsidR="006C432E">
        <w:rPr>
          <w:rStyle w:val="cf01"/>
          <w:rFonts w:asciiTheme="minorHAnsi" w:hAnsiTheme="minorHAnsi" w:cstheme="minorBidi"/>
          <w:sz w:val="24"/>
          <w:szCs w:val="24"/>
        </w:rPr>
        <w:t xml:space="preserve"> </w:t>
      </w:r>
    </w:p>
    <w:p w14:paraId="7F0FB173" w14:textId="6326246A" w:rsidR="00B5736C" w:rsidRDefault="00B5736C"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The PBAC advised</w:t>
      </w:r>
      <w:r w:rsidR="003800E1">
        <w:rPr>
          <w:rStyle w:val="cf01"/>
          <w:rFonts w:asciiTheme="minorHAnsi" w:hAnsiTheme="minorHAnsi" w:cstheme="minorBidi"/>
          <w:sz w:val="24"/>
          <w:szCs w:val="24"/>
        </w:rPr>
        <w:t xml:space="preserve"> </w:t>
      </w:r>
      <w:r w:rsidR="00AE0793">
        <w:rPr>
          <w:rStyle w:val="cf01"/>
          <w:rFonts w:asciiTheme="minorHAnsi" w:hAnsiTheme="minorHAnsi" w:cstheme="minorBidi"/>
          <w:sz w:val="24"/>
          <w:szCs w:val="24"/>
        </w:rPr>
        <w:t>that</w:t>
      </w:r>
      <w:r w:rsidR="00697A5A">
        <w:rPr>
          <w:rStyle w:val="cf01"/>
          <w:rFonts w:asciiTheme="minorHAnsi" w:hAnsiTheme="minorHAnsi" w:cstheme="minorBidi"/>
          <w:sz w:val="24"/>
          <w:szCs w:val="24"/>
        </w:rPr>
        <w:t>,</w:t>
      </w:r>
      <w:r w:rsidR="00AE0793">
        <w:rPr>
          <w:rStyle w:val="cf01"/>
          <w:rFonts w:asciiTheme="minorHAnsi" w:hAnsiTheme="minorHAnsi" w:cstheme="minorBidi"/>
          <w:sz w:val="24"/>
          <w:szCs w:val="24"/>
        </w:rPr>
        <w:t xml:space="preserve"> if list</w:t>
      </w:r>
      <w:r w:rsidR="003800E1">
        <w:rPr>
          <w:rStyle w:val="cf01"/>
          <w:rFonts w:asciiTheme="minorHAnsi" w:hAnsiTheme="minorHAnsi" w:cstheme="minorBidi"/>
          <w:sz w:val="24"/>
          <w:szCs w:val="24"/>
        </w:rPr>
        <w:t>ed,</w:t>
      </w:r>
      <w:r>
        <w:rPr>
          <w:rStyle w:val="cf01"/>
          <w:rFonts w:asciiTheme="minorHAnsi" w:hAnsiTheme="minorHAnsi" w:cstheme="minorBidi"/>
          <w:sz w:val="24"/>
          <w:szCs w:val="24"/>
        </w:rPr>
        <w:t xml:space="preserve"> a slow</w:t>
      </w:r>
      <w:r w:rsidR="00FD5B69">
        <w:rPr>
          <w:rStyle w:val="cf01"/>
          <w:rFonts w:asciiTheme="minorHAnsi" w:hAnsiTheme="minorHAnsi" w:cstheme="minorBidi"/>
          <w:sz w:val="24"/>
          <w:szCs w:val="24"/>
        </w:rPr>
        <w:t xml:space="preserve"> and managed</w:t>
      </w:r>
      <w:r>
        <w:rPr>
          <w:rStyle w:val="cf01"/>
          <w:rFonts w:asciiTheme="minorHAnsi" w:hAnsiTheme="minorHAnsi" w:cstheme="minorBidi"/>
          <w:sz w:val="24"/>
          <w:szCs w:val="24"/>
        </w:rPr>
        <w:t xml:space="preserve"> roll-out of access</w:t>
      </w:r>
      <w:r w:rsidR="00BF46BE">
        <w:rPr>
          <w:rStyle w:val="cf01"/>
          <w:rFonts w:asciiTheme="minorHAnsi" w:hAnsiTheme="minorHAnsi" w:cstheme="minorBidi"/>
          <w:sz w:val="24"/>
          <w:szCs w:val="24"/>
        </w:rPr>
        <w:t xml:space="preserve"> to</w:t>
      </w:r>
      <w:r>
        <w:rPr>
          <w:rStyle w:val="cf01"/>
          <w:rFonts w:asciiTheme="minorHAnsi" w:hAnsiTheme="minorHAnsi" w:cstheme="minorBidi"/>
          <w:sz w:val="24"/>
          <w:szCs w:val="24"/>
        </w:rPr>
        <w:t xml:space="preserve"> PBS-subsidised GLP-1 treatments </w:t>
      </w:r>
      <w:r w:rsidR="003D2BB4">
        <w:rPr>
          <w:rStyle w:val="cf01"/>
          <w:rFonts w:asciiTheme="minorHAnsi" w:hAnsiTheme="minorHAnsi" w:cstheme="minorBidi"/>
          <w:sz w:val="24"/>
          <w:szCs w:val="24"/>
        </w:rPr>
        <w:t>in the Australian health care system</w:t>
      </w:r>
      <w:r w:rsidR="00BA1FC4">
        <w:rPr>
          <w:rStyle w:val="cf01"/>
          <w:rFonts w:asciiTheme="minorHAnsi" w:hAnsiTheme="minorHAnsi" w:cstheme="minorBidi"/>
          <w:sz w:val="24"/>
          <w:szCs w:val="24"/>
        </w:rPr>
        <w:t xml:space="preserve"> </w:t>
      </w:r>
      <w:r w:rsidR="00F46FFE">
        <w:rPr>
          <w:rStyle w:val="cf01"/>
          <w:rFonts w:asciiTheme="minorHAnsi" w:hAnsiTheme="minorHAnsi" w:cstheme="minorBidi"/>
          <w:sz w:val="24"/>
          <w:szCs w:val="24"/>
        </w:rPr>
        <w:t xml:space="preserve">would help to </w:t>
      </w:r>
      <w:r w:rsidR="00BA1FC4">
        <w:rPr>
          <w:rStyle w:val="cf01"/>
          <w:rFonts w:asciiTheme="minorHAnsi" w:hAnsiTheme="minorHAnsi" w:cstheme="minorBidi"/>
          <w:sz w:val="24"/>
          <w:szCs w:val="24"/>
        </w:rPr>
        <w:t>manage leakage</w:t>
      </w:r>
      <w:r w:rsidR="006C56F1">
        <w:rPr>
          <w:rStyle w:val="cf01"/>
          <w:rFonts w:asciiTheme="minorHAnsi" w:hAnsiTheme="minorHAnsi" w:cstheme="minorBidi"/>
          <w:sz w:val="24"/>
          <w:szCs w:val="24"/>
        </w:rPr>
        <w:t xml:space="preserve"> and uncertainties</w:t>
      </w:r>
      <w:r w:rsidR="007F1E23">
        <w:rPr>
          <w:rStyle w:val="cf01"/>
          <w:rFonts w:asciiTheme="minorHAnsi" w:hAnsiTheme="minorHAnsi" w:cstheme="minorBidi"/>
          <w:sz w:val="24"/>
          <w:szCs w:val="24"/>
        </w:rPr>
        <w:t xml:space="preserve"> around long-term use</w:t>
      </w:r>
      <w:r w:rsidR="00E8513A">
        <w:rPr>
          <w:rStyle w:val="cf01"/>
          <w:rFonts w:asciiTheme="minorHAnsi" w:hAnsiTheme="minorHAnsi" w:cstheme="minorBidi"/>
          <w:sz w:val="24"/>
          <w:szCs w:val="24"/>
        </w:rPr>
        <w:t xml:space="preserve">, </w:t>
      </w:r>
      <w:r w:rsidR="00C25648">
        <w:rPr>
          <w:rStyle w:val="cf01"/>
          <w:rFonts w:asciiTheme="minorHAnsi" w:hAnsiTheme="minorHAnsi" w:cstheme="minorBidi"/>
          <w:sz w:val="24"/>
          <w:szCs w:val="24"/>
        </w:rPr>
        <w:t>outcomes</w:t>
      </w:r>
      <w:r w:rsidR="0009106F">
        <w:rPr>
          <w:rStyle w:val="cf01"/>
          <w:rFonts w:asciiTheme="minorHAnsi" w:hAnsiTheme="minorHAnsi" w:cstheme="minorBidi"/>
          <w:sz w:val="24"/>
          <w:szCs w:val="24"/>
        </w:rPr>
        <w:t xml:space="preserve"> and emerging adverse events</w:t>
      </w:r>
      <w:r w:rsidR="002F1524">
        <w:rPr>
          <w:rStyle w:val="cf01"/>
          <w:rFonts w:asciiTheme="minorHAnsi" w:hAnsiTheme="minorHAnsi" w:cstheme="minorBidi"/>
          <w:sz w:val="24"/>
          <w:szCs w:val="24"/>
        </w:rPr>
        <w:t xml:space="preserve">. </w:t>
      </w:r>
    </w:p>
    <w:p w14:paraId="1A86A1E8" w14:textId="02BE1967" w:rsidR="00C2507C" w:rsidRPr="00314E69" w:rsidRDefault="673DDF08" w:rsidP="007710F2">
      <w:pPr>
        <w:pStyle w:val="3Bodytext"/>
        <w:jc w:val="both"/>
        <w:rPr>
          <w:rStyle w:val="cf01"/>
          <w:rFonts w:asciiTheme="minorHAnsi" w:hAnsiTheme="minorHAnsi" w:cstheme="minorBidi"/>
          <w:sz w:val="24"/>
          <w:szCs w:val="24"/>
        </w:rPr>
      </w:pPr>
      <w:r w:rsidRPr="63789F2A">
        <w:rPr>
          <w:rStyle w:val="cf01"/>
          <w:rFonts w:asciiTheme="minorHAnsi" w:hAnsiTheme="minorHAnsi" w:cstheme="minorBidi"/>
          <w:sz w:val="24"/>
          <w:szCs w:val="24"/>
        </w:rPr>
        <w:t xml:space="preserve">The PBAC considered that there was a need to </w:t>
      </w:r>
      <w:r w:rsidR="529A5937" w:rsidRPr="63789F2A">
        <w:rPr>
          <w:rStyle w:val="cf01"/>
          <w:rFonts w:asciiTheme="minorHAnsi" w:hAnsiTheme="minorHAnsi" w:cstheme="minorBidi"/>
          <w:sz w:val="24"/>
          <w:szCs w:val="24"/>
        </w:rPr>
        <w:t>develop a model on the cost</w:t>
      </w:r>
      <w:r w:rsidR="00F46FFE">
        <w:rPr>
          <w:rStyle w:val="cf01"/>
          <w:rFonts w:asciiTheme="minorHAnsi" w:hAnsiTheme="minorHAnsi" w:cstheme="minorBidi"/>
          <w:sz w:val="24"/>
          <w:szCs w:val="24"/>
        </w:rPr>
        <w:noBreakHyphen/>
      </w:r>
      <w:r w:rsidR="529A5937" w:rsidRPr="63789F2A">
        <w:rPr>
          <w:rStyle w:val="cf01"/>
          <w:rFonts w:asciiTheme="minorHAnsi" w:hAnsiTheme="minorHAnsi" w:cstheme="minorBidi"/>
          <w:sz w:val="24"/>
          <w:szCs w:val="24"/>
        </w:rPr>
        <w:t>effectiveness of preventive therapies</w:t>
      </w:r>
      <w:r w:rsidR="4FDAA4F9" w:rsidRPr="63789F2A">
        <w:rPr>
          <w:rStyle w:val="cf01"/>
          <w:rFonts w:asciiTheme="minorHAnsi" w:hAnsiTheme="minorHAnsi" w:cstheme="minorBidi"/>
          <w:sz w:val="24"/>
          <w:szCs w:val="24"/>
        </w:rPr>
        <w:t xml:space="preserve"> that considered societal benefits</w:t>
      </w:r>
      <w:r w:rsidR="5C951C95" w:rsidRPr="63789F2A">
        <w:rPr>
          <w:rStyle w:val="cf01"/>
          <w:rFonts w:asciiTheme="minorHAnsi" w:hAnsiTheme="minorHAnsi" w:cstheme="minorBidi"/>
          <w:sz w:val="24"/>
          <w:szCs w:val="24"/>
        </w:rPr>
        <w:t xml:space="preserve"> and productivity</w:t>
      </w:r>
      <w:r w:rsidR="10DA8079" w:rsidRPr="63789F2A">
        <w:rPr>
          <w:rStyle w:val="cf01"/>
          <w:rFonts w:asciiTheme="minorHAnsi" w:hAnsiTheme="minorHAnsi" w:cstheme="minorBidi"/>
          <w:sz w:val="24"/>
          <w:szCs w:val="24"/>
        </w:rPr>
        <w:t>, and for incremental cost-effectiveness ratios (ICERs) to be applied consistently across preventive therapies</w:t>
      </w:r>
      <w:r w:rsidR="6F7B178B" w:rsidRPr="63789F2A">
        <w:rPr>
          <w:rStyle w:val="cf01"/>
          <w:rFonts w:asciiTheme="minorHAnsi" w:hAnsiTheme="minorHAnsi" w:cstheme="minorBidi"/>
          <w:sz w:val="24"/>
          <w:szCs w:val="24"/>
        </w:rPr>
        <w:t>, including vaccines</w:t>
      </w:r>
      <w:r w:rsidR="4FDAA4F9" w:rsidRPr="63789F2A">
        <w:rPr>
          <w:rStyle w:val="cf01"/>
          <w:rFonts w:asciiTheme="minorHAnsi" w:hAnsiTheme="minorHAnsi" w:cstheme="minorBidi"/>
          <w:sz w:val="24"/>
          <w:szCs w:val="24"/>
        </w:rPr>
        <w:t>. The PBAC considered that it was important to carefully conside</w:t>
      </w:r>
      <w:r w:rsidR="420D9E0C" w:rsidRPr="63789F2A">
        <w:rPr>
          <w:rStyle w:val="cf01"/>
          <w:rFonts w:asciiTheme="minorHAnsi" w:hAnsiTheme="minorHAnsi" w:cstheme="minorBidi"/>
          <w:sz w:val="24"/>
          <w:szCs w:val="24"/>
        </w:rPr>
        <w:t>r</w:t>
      </w:r>
      <w:r w:rsidR="4FDAA4F9" w:rsidRPr="63789F2A">
        <w:rPr>
          <w:rStyle w:val="cf01"/>
          <w:rFonts w:asciiTheme="minorHAnsi" w:hAnsiTheme="minorHAnsi" w:cstheme="minorBidi"/>
          <w:sz w:val="24"/>
          <w:szCs w:val="24"/>
        </w:rPr>
        <w:t xml:space="preserve"> the economic</w:t>
      </w:r>
      <w:r w:rsidR="529A5937" w:rsidRPr="63789F2A">
        <w:rPr>
          <w:rStyle w:val="cf01"/>
          <w:rFonts w:asciiTheme="minorHAnsi" w:hAnsiTheme="minorHAnsi" w:cstheme="minorBidi"/>
          <w:sz w:val="24"/>
          <w:szCs w:val="24"/>
        </w:rPr>
        <w:t xml:space="preserve"> </w:t>
      </w:r>
      <w:r w:rsidR="73FD3F00" w:rsidRPr="63789F2A">
        <w:rPr>
          <w:rStyle w:val="cf01"/>
          <w:rFonts w:asciiTheme="minorHAnsi" w:hAnsiTheme="minorHAnsi" w:cstheme="minorBidi"/>
          <w:sz w:val="24"/>
          <w:szCs w:val="24"/>
        </w:rPr>
        <w:t xml:space="preserve">modelling of obesity treatments due to the multiple interacting impacts of treatment and </w:t>
      </w:r>
      <w:r w:rsidR="10DA8079" w:rsidRPr="63789F2A">
        <w:rPr>
          <w:rStyle w:val="cf01"/>
          <w:rFonts w:asciiTheme="minorHAnsi" w:hAnsiTheme="minorHAnsi" w:cstheme="minorBidi"/>
          <w:sz w:val="24"/>
          <w:szCs w:val="24"/>
        </w:rPr>
        <w:t>potential for double-counting</w:t>
      </w:r>
      <w:r w:rsidR="00EE2CA0">
        <w:rPr>
          <w:rStyle w:val="cf01"/>
          <w:rFonts w:asciiTheme="minorHAnsi" w:hAnsiTheme="minorHAnsi" w:cstheme="minorBidi"/>
          <w:sz w:val="24"/>
          <w:szCs w:val="24"/>
        </w:rPr>
        <w:t xml:space="preserve"> of benefits</w:t>
      </w:r>
      <w:r w:rsidR="10DA8079" w:rsidRPr="63789F2A">
        <w:rPr>
          <w:rStyle w:val="cf01"/>
          <w:rFonts w:asciiTheme="minorHAnsi" w:hAnsiTheme="minorHAnsi" w:cstheme="minorBidi"/>
          <w:sz w:val="24"/>
          <w:szCs w:val="24"/>
        </w:rPr>
        <w:t xml:space="preserve">. </w:t>
      </w:r>
    </w:p>
    <w:p w14:paraId="1B762695" w14:textId="16774BF1" w:rsidR="006545AA" w:rsidRDefault="006545AA" w:rsidP="007710F2">
      <w:pPr>
        <w:pStyle w:val="3Bodytext"/>
        <w:jc w:val="both"/>
      </w:pPr>
      <w:r>
        <w:rPr>
          <w:rStyle w:val="cf01"/>
          <w:rFonts w:asciiTheme="minorHAnsi" w:hAnsiTheme="minorHAnsi" w:cstheme="minorBidi"/>
          <w:sz w:val="24"/>
          <w:szCs w:val="24"/>
        </w:rPr>
        <w:t xml:space="preserve">The </w:t>
      </w:r>
      <w:r>
        <w:t xml:space="preserve">PBAC considered that there may be merit in broader subsidy of GLP-1 medicines for early intervention and prevention of obesity-related comorbidities. However, </w:t>
      </w:r>
      <w:r w:rsidR="007E75B2">
        <w:t xml:space="preserve">the </w:t>
      </w:r>
      <w:r>
        <w:t xml:space="preserve">PBAC concluded </w:t>
      </w:r>
      <w:r w:rsidR="00B816F7">
        <w:t xml:space="preserve">that </w:t>
      </w:r>
      <w:r>
        <w:t xml:space="preserve">such a subsidy would need to be established as a program outside of the PBS as it </w:t>
      </w:r>
      <w:r w:rsidR="00772AA8">
        <w:t xml:space="preserve">was </w:t>
      </w:r>
      <w:r w:rsidR="00881C4E">
        <w:t xml:space="preserve">unlikely that sponsors would agree a </w:t>
      </w:r>
      <w:r>
        <w:t xml:space="preserve">cost-effective price </w:t>
      </w:r>
      <w:r w:rsidR="00B816F7">
        <w:lastRenderedPageBreak/>
        <w:t>for</w:t>
      </w:r>
      <w:r>
        <w:t xml:space="preserve"> providing obesity medicines </w:t>
      </w:r>
      <w:r w:rsidR="00881C4E">
        <w:t xml:space="preserve">through the PBS </w:t>
      </w:r>
      <w:r>
        <w:t>for these broader purposes at this time.</w:t>
      </w:r>
      <w:r w:rsidR="00BE6986">
        <w:t xml:space="preserve"> </w:t>
      </w:r>
    </w:p>
    <w:p w14:paraId="59504C4E" w14:textId="55A68160" w:rsidR="00F46FFE" w:rsidRDefault="00F46FFE"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considered that </w:t>
      </w:r>
      <w:r w:rsidR="00CA48DF">
        <w:rPr>
          <w:rStyle w:val="cf01"/>
          <w:rFonts w:asciiTheme="minorHAnsi" w:hAnsiTheme="minorHAnsi" w:cstheme="minorBidi"/>
          <w:sz w:val="24"/>
          <w:szCs w:val="24"/>
        </w:rPr>
        <w:t>if there was</w:t>
      </w:r>
      <w:r w:rsidR="00736E63">
        <w:rPr>
          <w:rStyle w:val="cf01"/>
          <w:rFonts w:asciiTheme="minorHAnsi" w:hAnsiTheme="minorHAnsi" w:cstheme="minorBidi"/>
          <w:sz w:val="24"/>
          <w:szCs w:val="24"/>
        </w:rPr>
        <w:t xml:space="preserve"> future </w:t>
      </w:r>
      <w:r>
        <w:rPr>
          <w:rStyle w:val="cf01"/>
          <w:rFonts w:asciiTheme="minorHAnsi" w:hAnsiTheme="minorHAnsi" w:cstheme="minorBidi"/>
          <w:sz w:val="24"/>
          <w:szCs w:val="24"/>
        </w:rPr>
        <w:t xml:space="preserve">expansion of access to PBS-subsidised GLP-1 obesity treatments </w:t>
      </w:r>
      <w:r w:rsidR="002F4CCC">
        <w:rPr>
          <w:rStyle w:val="cf01"/>
          <w:rFonts w:asciiTheme="minorHAnsi" w:hAnsiTheme="minorHAnsi" w:cstheme="minorBidi"/>
          <w:sz w:val="24"/>
          <w:szCs w:val="24"/>
        </w:rPr>
        <w:t>from any initial listing</w:t>
      </w:r>
      <w:r w:rsidR="00CA48DF">
        <w:rPr>
          <w:rStyle w:val="cf01"/>
          <w:rFonts w:asciiTheme="minorHAnsi" w:hAnsiTheme="minorHAnsi" w:cstheme="minorBidi"/>
          <w:sz w:val="24"/>
          <w:szCs w:val="24"/>
        </w:rPr>
        <w:t>, this</w:t>
      </w:r>
      <w:r w:rsidR="002F4CCC">
        <w:rPr>
          <w:rStyle w:val="cf01"/>
          <w:rFonts w:asciiTheme="minorHAnsi" w:hAnsiTheme="minorHAnsi" w:cstheme="minorBidi"/>
          <w:sz w:val="24"/>
          <w:szCs w:val="24"/>
        </w:rPr>
        <w:t xml:space="preserve"> </w:t>
      </w:r>
      <w:r>
        <w:rPr>
          <w:rStyle w:val="cf01"/>
          <w:rFonts w:asciiTheme="minorHAnsi" w:hAnsiTheme="minorHAnsi" w:cstheme="minorBidi"/>
          <w:sz w:val="24"/>
          <w:szCs w:val="24"/>
        </w:rPr>
        <w:t>should be coupled with significant price reductions, particularly when moving to a broader early intervention and/or prevention population.</w:t>
      </w:r>
    </w:p>
    <w:p w14:paraId="3A933C61" w14:textId="4BEA63A7" w:rsidR="004862D6" w:rsidRDefault="004862D6" w:rsidP="007710F2">
      <w:pPr>
        <w:pStyle w:val="3Subheading1"/>
        <w:rPr>
          <w:rStyle w:val="cf01"/>
          <w:rFonts w:asciiTheme="minorHAnsi" w:hAnsiTheme="minorHAnsi" w:cstheme="minorBidi"/>
          <w:sz w:val="24"/>
          <w:szCs w:val="24"/>
        </w:rPr>
      </w:pPr>
      <w:r>
        <w:rPr>
          <w:rStyle w:val="cf01"/>
          <w:rFonts w:asciiTheme="minorHAnsi" w:hAnsiTheme="minorHAnsi" w:cstheme="minorBidi"/>
          <w:sz w:val="24"/>
          <w:szCs w:val="24"/>
        </w:rPr>
        <w:t xml:space="preserve">Additional advice </w:t>
      </w:r>
      <w:r w:rsidR="00B239C9">
        <w:rPr>
          <w:rStyle w:val="cf01"/>
          <w:rFonts w:asciiTheme="minorHAnsi" w:hAnsiTheme="minorHAnsi" w:cstheme="minorBidi"/>
          <w:sz w:val="24"/>
          <w:szCs w:val="24"/>
        </w:rPr>
        <w:t>–</w:t>
      </w:r>
      <w:r>
        <w:rPr>
          <w:rStyle w:val="cf01"/>
          <w:rFonts w:asciiTheme="minorHAnsi" w:hAnsiTheme="minorHAnsi" w:cstheme="minorBidi"/>
          <w:sz w:val="24"/>
          <w:szCs w:val="24"/>
        </w:rPr>
        <w:t xml:space="preserve"> </w:t>
      </w:r>
      <w:r w:rsidR="00B239C9">
        <w:rPr>
          <w:rStyle w:val="cf01"/>
          <w:rFonts w:asciiTheme="minorHAnsi" w:hAnsiTheme="minorHAnsi" w:cstheme="minorBidi"/>
          <w:sz w:val="24"/>
          <w:szCs w:val="24"/>
        </w:rPr>
        <w:t>Potential PBS restrictions</w:t>
      </w:r>
    </w:p>
    <w:p w14:paraId="62AB44C0" w14:textId="10A71C33" w:rsidR="00FA4E24" w:rsidRDefault="00B239C9"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The PBAC considered that a</w:t>
      </w:r>
      <w:r w:rsidR="00883960">
        <w:rPr>
          <w:rStyle w:val="cf01"/>
          <w:rFonts w:asciiTheme="minorHAnsi" w:hAnsiTheme="minorHAnsi" w:cstheme="minorBidi"/>
          <w:sz w:val="24"/>
          <w:szCs w:val="24"/>
        </w:rPr>
        <w:t>n Authority Required (telephone/electronic) lis</w:t>
      </w:r>
      <w:r w:rsidR="00CF0119">
        <w:rPr>
          <w:rStyle w:val="cf01"/>
          <w:rFonts w:asciiTheme="minorHAnsi" w:hAnsiTheme="minorHAnsi" w:cstheme="minorBidi"/>
          <w:sz w:val="24"/>
          <w:szCs w:val="24"/>
        </w:rPr>
        <w:t>ting</w:t>
      </w:r>
      <w:r w:rsidR="00883960">
        <w:rPr>
          <w:rStyle w:val="cf01"/>
          <w:rFonts w:asciiTheme="minorHAnsi" w:hAnsiTheme="minorHAnsi" w:cstheme="minorBidi"/>
          <w:sz w:val="24"/>
          <w:szCs w:val="24"/>
        </w:rPr>
        <w:t xml:space="preserve"> would be appropriate for patients </w:t>
      </w:r>
      <w:r w:rsidR="00630A85">
        <w:rPr>
          <w:rStyle w:val="cf01"/>
          <w:rFonts w:asciiTheme="minorHAnsi" w:hAnsiTheme="minorHAnsi" w:cstheme="minorBidi"/>
          <w:sz w:val="24"/>
          <w:szCs w:val="24"/>
        </w:rPr>
        <w:t xml:space="preserve">receiving their </w:t>
      </w:r>
      <w:r w:rsidR="00630A85">
        <w:rPr>
          <w:szCs w:val="24"/>
        </w:rPr>
        <w:t>f</w:t>
      </w:r>
      <w:r w:rsidR="00630A85" w:rsidRPr="00630A85">
        <w:rPr>
          <w:szCs w:val="24"/>
        </w:rPr>
        <w:t xml:space="preserve">irst PBS-prescription for </w:t>
      </w:r>
      <w:r w:rsidR="00883960">
        <w:rPr>
          <w:rStyle w:val="cf01"/>
          <w:rFonts w:asciiTheme="minorHAnsi" w:hAnsiTheme="minorHAnsi" w:cstheme="minorBidi"/>
          <w:sz w:val="24"/>
          <w:szCs w:val="24"/>
        </w:rPr>
        <w:t xml:space="preserve">GLP-1 obesity treatments, with </w:t>
      </w:r>
      <w:r w:rsidR="00630A85">
        <w:rPr>
          <w:rStyle w:val="cf01"/>
          <w:rFonts w:asciiTheme="minorHAnsi" w:hAnsiTheme="minorHAnsi" w:cstheme="minorBidi"/>
          <w:sz w:val="24"/>
          <w:szCs w:val="24"/>
        </w:rPr>
        <w:t xml:space="preserve">subsequent </w:t>
      </w:r>
      <w:r w:rsidR="00883960">
        <w:rPr>
          <w:rStyle w:val="cf01"/>
          <w:rFonts w:asciiTheme="minorHAnsi" w:hAnsiTheme="minorHAnsi" w:cstheme="minorBidi"/>
          <w:sz w:val="24"/>
          <w:szCs w:val="24"/>
        </w:rPr>
        <w:t>access via a</w:t>
      </w:r>
      <w:r w:rsidR="00CF0119">
        <w:rPr>
          <w:rStyle w:val="cf01"/>
          <w:rFonts w:asciiTheme="minorHAnsi" w:hAnsiTheme="minorHAnsi" w:cstheme="minorBidi"/>
          <w:sz w:val="24"/>
          <w:szCs w:val="24"/>
        </w:rPr>
        <w:t>n</w:t>
      </w:r>
      <w:r w:rsidR="00883960">
        <w:rPr>
          <w:rStyle w:val="cf01"/>
          <w:rFonts w:asciiTheme="minorHAnsi" w:hAnsiTheme="minorHAnsi" w:cstheme="minorBidi"/>
          <w:sz w:val="24"/>
          <w:szCs w:val="24"/>
        </w:rPr>
        <w:t xml:space="preserve"> Authority</w:t>
      </w:r>
      <w:r w:rsidR="00CF0119">
        <w:rPr>
          <w:rStyle w:val="cf01"/>
          <w:rFonts w:asciiTheme="minorHAnsi" w:hAnsiTheme="minorHAnsi" w:cstheme="minorBidi"/>
          <w:sz w:val="24"/>
          <w:szCs w:val="24"/>
        </w:rPr>
        <w:t xml:space="preserve"> Required (</w:t>
      </w:r>
      <w:r w:rsidR="00152335">
        <w:rPr>
          <w:rStyle w:val="cf01"/>
          <w:rFonts w:asciiTheme="minorHAnsi" w:hAnsiTheme="minorHAnsi" w:cstheme="minorBidi"/>
          <w:sz w:val="24"/>
          <w:szCs w:val="24"/>
        </w:rPr>
        <w:t>s</w:t>
      </w:r>
      <w:r w:rsidR="00CF0119">
        <w:rPr>
          <w:rStyle w:val="cf01"/>
          <w:rFonts w:asciiTheme="minorHAnsi" w:hAnsiTheme="minorHAnsi" w:cstheme="minorBidi"/>
          <w:sz w:val="24"/>
          <w:szCs w:val="24"/>
        </w:rPr>
        <w:t xml:space="preserve">treamlined) listing. </w:t>
      </w:r>
      <w:r w:rsidR="004A34FF">
        <w:rPr>
          <w:rStyle w:val="cf01"/>
          <w:rFonts w:asciiTheme="minorHAnsi" w:hAnsiTheme="minorHAnsi" w:cstheme="minorBidi"/>
          <w:sz w:val="24"/>
          <w:szCs w:val="24"/>
        </w:rPr>
        <w:t xml:space="preserve">The PBAC considered that it would be impractical for Services Australia to </w:t>
      </w:r>
      <w:r w:rsidR="00B45443">
        <w:rPr>
          <w:rStyle w:val="cf01"/>
          <w:rFonts w:asciiTheme="minorHAnsi" w:hAnsiTheme="minorHAnsi" w:cstheme="minorBidi"/>
          <w:sz w:val="24"/>
          <w:szCs w:val="24"/>
        </w:rPr>
        <w:t xml:space="preserve">process </w:t>
      </w:r>
      <w:r w:rsidR="00630A85">
        <w:rPr>
          <w:szCs w:val="24"/>
        </w:rPr>
        <w:t>s</w:t>
      </w:r>
      <w:r w:rsidR="00630A85" w:rsidRPr="00630A85">
        <w:rPr>
          <w:szCs w:val="24"/>
        </w:rPr>
        <w:t>ubsequent PBS-prescription</w:t>
      </w:r>
      <w:r w:rsidR="00630A85">
        <w:rPr>
          <w:szCs w:val="24"/>
        </w:rPr>
        <w:t xml:space="preserve">s </w:t>
      </w:r>
      <w:r w:rsidR="00F05A27">
        <w:rPr>
          <w:szCs w:val="24"/>
        </w:rPr>
        <w:t xml:space="preserve">for semaglutide </w:t>
      </w:r>
      <w:r w:rsidR="00B45443">
        <w:rPr>
          <w:rStyle w:val="cf01"/>
          <w:rFonts w:asciiTheme="minorHAnsi" w:hAnsiTheme="minorHAnsi" w:cstheme="minorBidi"/>
          <w:sz w:val="24"/>
          <w:szCs w:val="24"/>
        </w:rPr>
        <w:t>via a</w:t>
      </w:r>
      <w:r w:rsidR="00B25563">
        <w:rPr>
          <w:rStyle w:val="cf01"/>
          <w:rFonts w:asciiTheme="minorHAnsi" w:hAnsiTheme="minorHAnsi" w:cstheme="minorBidi"/>
          <w:sz w:val="24"/>
          <w:szCs w:val="24"/>
        </w:rPr>
        <w:t>n</w:t>
      </w:r>
      <w:r w:rsidR="00B45443">
        <w:rPr>
          <w:rStyle w:val="cf01"/>
          <w:rFonts w:asciiTheme="minorHAnsi" w:hAnsiTheme="minorHAnsi" w:cstheme="minorBidi"/>
          <w:sz w:val="24"/>
          <w:szCs w:val="24"/>
        </w:rPr>
        <w:t xml:space="preserve"> Authority Required (telephone/electronic) listing</w:t>
      </w:r>
      <w:r w:rsidR="00630A85">
        <w:rPr>
          <w:rStyle w:val="cf01"/>
          <w:rFonts w:asciiTheme="minorHAnsi" w:hAnsiTheme="minorHAnsi" w:cstheme="minorBidi"/>
          <w:sz w:val="24"/>
          <w:szCs w:val="24"/>
        </w:rPr>
        <w:t>,</w:t>
      </w:r>
      <w:r w:rsidR="00B45443">
        <w:rPr>
          <w:rStyle w:val="cf01"/>
          <w:rFonts w:asciiTheme="minorHAnsi" w:hAnsiTheme="minorHAnsi" w:cstheme="minorBidi"/>
          <w:sz w:val="24"/>
          <w:szCs w:val="24"/>
        </w:rPr>
        <w:t xml:space="preserve"> due to the</w:t>
      </w:r>
      <w:r w:rsidR="00DD3542">
        <w:rPr>
          <w:rStyle w:val="cf01"/>
          <w:rFonts w:asciiTheme="minorHAnsi" w:hAnsiTheme="minorHAnsi" w:cstheme="minorBidi"/>
          <w:sz w:val="24"/>
          <w:szCs w:val="24"/>
        </w:rPr>
        <w:t xml:space="preserve"> likely</w:t>
      </w:r>
      <w:r w:rsidR="00B45443">
        <w:rPr>
          <w:rStyle w:val="cf01"/>
          <w:rFonts w:asciiTheme="minorHAnsi" w:hAnsiTheme="minorHAnsi" w:cstheme="minorBidi"/>
          <w:sz w:val="24"/>
          <w:szCs w:val="24"/>
        </w:rPr>
        <w:t xml:space="preserve"> high volume</w:t>
      </w:r>
      <w:r w:rsidR="00630A85">
        <w:rPr>
          <w:rStyle w:val="cf01"/>
          <w:rFonts w:asciiTheme="minorHAnsi" w:hAnsiTheme="minorHAnsi" w:cstheme="minorBidi"/>
          <w:sz w:val="24"/>
          <w:szCs w:val="24"/>
        </w:rPr>
        <w:t xml:space="preserve"> of requests</w:t>
      </w:r>
      <w:r w:rsidR="00B45443">
        <w:rPr>
          <w:rStyle w:val="cf01"/>
          <w:rFonts w:asciiTheme="minorHAnsi" w:hAnsiTheme="minorHAnsi" w:cstheme="minorBidi"/>
          <w:sz w:val="24"/>
          <w:szCs w:val="24"/>
        </w:rPr>
        <w:t>.</w:t>
      </w:r>
      <w:r w:rsidR="0035017B">
        <w:rPr>
          <w:rStyle w:val="cf01"/>
          <w:rFonts w:asciiTheme="minorHAnsi" w:hAnsiTheme="minorHAnsi" w:cstheme="minorBidi"/>
          <w:sz w:val="24"/>
          <w:szCs w:val="24"/>
        </w:rPr>
        <w:t xml:space="preserve"> </w:t>
      </w:r>
      <w:r w:rsidR="0035017B" w:rsidRPr="0035017B">
        <w:rPr>
          <w:rStyle w:val="cf01"/>
          <w:rFonts w:asciiTheme="minorHAnsi" w:hAnsiTheme="minorHAnsi" w:cstheme="minorBidi"/>
          <w:b/>
          <w:bCs/>
          <w:sz w:val="24"/>
          <w:szCs w:val="24"/>
        </w:rPr>
        <w:t>Redacted text</w:t>
      </w:r>
      <w:r w:rsidR="00DB708D" w:rsidRPr="0035017B">
        <w:rPr>
          <w:rStyle w:val="cf01"/>
          <w:rFonts w:asciiTheme="minorHAnsi" w:hAnsiTheme="minorHAnsi" w:cstheme="minorBidi"/>
          <w:b/>
          <w:bCs/>
          <w:sz w:val="24"/>
          <w:szCs w:val="24"/>
        </w:rPr>
        <w:t>.</w:t>
      </w:r>
      <w:r w:rsidR="00DB708D">
        <w:rPr>
          <w:rStyle w:val="cf01"/>
          <w:rFonts w:asciiTheme="minorHAnsi" w:hAnsiTheme="minorHAnsi" w:cstheme="minorBidi"/>
          <w:sz w:val="24"/>
          <w:szCs w:val="24"/>
        </w:rPr>
        <w:t xml:space="preserve"> The PBAC </w:t>
      </w:r>
      <w:r w:rsidR="00630A85">
        <w:rPr>
          <w:rStyle w:val="cf01"/>
          <w:rFonts w:asciiTheme="minorHAnsi" w:hAnsiTheme="minorHAnsi" w:cstheme="minorBidi"/>
          <w:sz w:val="24"/>
          <w:szCs w:val="24"/>
        </w:rPr>
        <w:t>therefore</w:t>
      </w:r>
      <w:r w:rsidR="00DB708D">
        <w:rPr>
          <w:rStyle w:val="cf01"/>
          <w:rFonts w:asciiTheme="minorHAnsi" w:hAnsiTheme="minorHAnsi" w:cstheme="minorBidi"/>
          <w:sz w:val="24"/>
          <w:szCs w:val="24"/>
        </w:rPr>
        <w:t xml:space="preserve"> reiterated that </w:t>
      </w:r>
      <w:r w:rsidR="00FA7109">
        <w:rPr>
          <w:rStyle w:val="cf01"/>
          <w:rFonts w:asciiTheme="minorHAnsi" w:hAnsiTheme="minorHAnsi" w:cstheme="minorBidi"/>
          <w:sz w:val="24"/>
          <w:szCs w:val="24"/>
        </w:rPr>
        <w:t>the</w:t>
      </w:r>
      <w:r w:rsidR="00DB708D">
        <w:rPr>
          <w:rStyle w:val="cf01"/>
          <w:rFonts w:asciiTheme="minorHAnsi" w:hAnsiTheme="minorHAnsi" w:cstheme="minorBidi"/>
          <w:sz w:val="24"/>
          <w:szCs w:val="24"/>
        </w:rPr>
        <w:t>re would be a</w:t>
      </w:r>
      <w:r w:rsidR="00FA7109">
        <w:rPr>
          <w:rStyle w:val="cf01"/>
          <w:rFonts w:asciiTheme="minorHAnsi" w:hAnsiTheme="minorHAnsi" w:cstheme="minorBidi"/>
          <w:sz w:val="24"/>
          <w:szCs w:val="24"/>
        </w:rPr>
        <w:t xml:space="preserve"> very high risk of leakage </w:t>
      </w:r>
      <w:r w:rsidR="00E84CC2">
        <w:rPr>
          <w:rStyle w:val="cf01"/>
          <w:rFonts w:asciiTheme="minorHAnsi" w:hAnsiTheme="minorHAnsi" w:cstheme="minorBidi"/>
          <w:sz w:val="24"/>
          <w:szCs w:val="24"/>
        </w:rPr>
        <w:t xml:space="preserve">outside any </w:t>
      </w:r>
      <w:r w:rsidR="00DB708D">
        <w:rPr>
          <w:rStyle w:val="cf01"/>
          <w:rFonts w:asciiTheme="minorHAnsi" w:hAnsiTheme="minorHAnsi" w:cstheme="minorBidi"/>
          <w:sz w:val="24"/>
          <w:szCs w:val="24"/>
        </w:rPr>
        <w:t>potential</w:t>
      </w:r>
      <w:r w:rsidR="00E84CC2">
        <w:rPr>
          <w:rStyle w:val="cf01"/>
          <w:rFonts w:asciiTheme="minorHAnsi" w:hAnsiTheme="minorHAnsi" w:cstheme="minorBidi"/>
          <w:sz w:val="24"/>
          <w:szCs w:val="24"/>
        </w:rPr>
        <w:t xml:space="preserve"> PBS restrictions for obesity treatment</w:t>
      </w:r>
      <w:r w:rsidR="00FA4E24">
        <w:rPr>
          <w:rStyle w:val="cf01"/>
          <w:rFonts w:asciiTheme="minorHAnsi" w:hAnsiTheme="minorHAnsi" w:cstheme="minorBidi"/>
          <w:sz w:val="24"/>
          <w:szCs w:val="24"/>
        </w:rPr>
        <w:t>s</w:t>
      </w:r>
      <w:r w:rsidR="006372A1">
        <w:rPr>
          <w:rStyle w:val="cf01"/>
          <w:rFonts w:asciiTheme="minorHAnsi" w:hAnsiTheme="minorHAnsi" w:cstheme="minorBidi"/>
          <w:sz w:val="24"/>
          <w:szCs w:val="24"/>
        </w:rPr>
        <w:t>.</w:t>
      </w:r>
    </w:p>
    <w:p w14:paraId="2DA416BD" w14:textId="26562CA4" w:rsidR="00C813FA" w:rsidRDefault="00C813FA"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 xml:space="preserve">The PBAC noted that while BMI is </w:t>
      </w:r>
      <w:r w:rsidR="006C2511">
        <w:rPr>
          <w:rStyle w:val="cf01"/>
          <w:rFonts w:asciiTheme="minorHAnsi" w:hAnsiTheme="minorHAnsi" w:cstheme="minorBidi"/>
          <w:sz w:val="24"/>
          <w:szCs w:val="24"/>
        </w:rPr>
        <w:t xml:space="preserve">not a </w:t>
      </w:r>
      <w:r w:rsidR="00450E72">
        <w:rPr>
          <w:rStyle w:val="cf01"/>
          <w:rFonts w:asciiTheme="minorHAnsi" w:hAnsiTheme="minorHAnsi" w:cstheme="minorBidi"/>
          <w:sz w:val="24"/>
          <w:szCs w:val="24"/>
        </w:rPr>
        <w:t xml:space="preserve">precise </w:t>
      </w:r>
      <w:r>
        <w:rPr>
          <w:rStyle w:val="cf01"/>
          <w:rFonts w:asciiTheme="minorHAnsi" w:hAnsiTheme="minorHAnsi" w:cstheme="minorBidi"/>
          <w:sz w:val="24"/>
          <w:szCs w:val="24"/>
        </w:rPr>
        <w:t>measure of excess adiposity and cardiometabolic risk, overestimating it in athletes and underestimating it in people with reduced muscle mass, it remains the most practical measure for assessment of patients in clinical practice. The PBAC considered that the use of BMI in any potential PBS restrictions for GLP-1s may need to be reviewed as clinical practice evolves.</w:t>
      </w:r>
    </w:p>
    <w:p w14:paraId="1FF71ADB" w14:textId="0B6360B8" w:rsidR="00C813FA" w:rsidRDefault="007116E5" w:rsidP="007710F2">
      <w:pPr>
        <w:pStyle w:val="3Bodytext"/>
        <w:jc w:val="both"/>
        <w:rPr>
          <w:rStyle w:val="cf01"/>
          <w:rFonts w:asciiTheme="minorHAnsi" w:hAnsiTheme="minorHAnsi" w:cstheme="minorBidi"/>
          <w:sz w:val="24"/>
          <w:szCs w:val="24"/>
        </w:rPr>
      </w:pPr>
      <w:r>
        <w:rPr>
          <w:rStyle w:val="cf01"/>
          <w:rFonts w:asciiTheme="minorHAnsi" w:hAnsiTheme="minorHAnsi" w:cstheme="minorBidi"/>
          <w:sz w:val="24"/>
          <w:szCs w:val="24"/>
        </w:rPr>
        <w:t>T</w:t>
      </w:r>
      <w:r w:rsidR="00C813FA">
        <w:rPr>
          <w:rStyle w:val="cf01"/>
          <w:rFonts w:asciiTheme="minorHAnsi" w:hAnsiTheme="minorHAnsi" w:cstheme="minorBidi"/>
          <w:sz w:val="24"/>
          <w:szCs w:val="24"/>
        </w:rPr>
        <w:t>he PBAC considered</w:t>
      </w:r>
      <w:r w:rsidR="00EC0340">
        <w:rPr>
          <w:rStyle w:val="cf01"/>
          <w:rFonts w:asciiTheme="minorHAnsi" w:hAnsiTheme="minorHAnsi" w:cstheme="minorBidi"/>
          <w:sz w:val="24"/>
          <w:szCs w:val="24"/>
        </w:rPr>
        <w:t xml:space="preserve"> that for any future submissions for GLP-1s for obesity treatment</w:t>
      </w:r>
      <w:r w:rsidR="0013644F">
        <w:rPr>
          <w:rStyle w:val="cf01"/>
          <w:rFonts w:asciiTheme="minorHAnsi" w:hAnsiTheme="minorHAnsi" w:cstheme="minorBidi"/>
          <w:sz w:val="24"/>
          <w:szCs w:val="24"/>
        </w:rPr>
        <w:t xml:space="preserve">, </w:t>
      </w:r>
      <w:r w:rsidR="00C813FA">
        <w:rPr>
          <w:rStyle w:val="cf01"/>
          <w:rFonts w:asciiTheme="minorHAnsi" w:hAnsiTheme="minorHAnsi" w:cstheme="minorBidi"/>
          <w:sz w:val="24"/>
          <w:szCs w:val="24"/>
        </w:rPr>
        <w:t xml:space="preserve">the use of a lower BMI threshold for Aboriginal and Torres Strait Islanders </w:t>
      </w:r>
      <w:r w:rsidR="00EC0340">
        <w:rPr>
          <w:rStyle w:val="cf01"/>
          <w:rFonts w:asciiTheme="minorHAnsi" w:hAnsiTheme="minorHAnsi" w:cstheme="minorBidi"/>
          <w:sz w:val="24"/>
          <w:szCs w:val="24"/>
        </w:rPr>
        <w:t xml:space="preserve">was </w:t>
      </w:r>
      <w:r w:rsidR="00C813FA">
        <w:rPr>
          <w:rStyle w:val="cf01"/>
          <w:rFonts w:asciiTheme="minorHAnsi" w:hAnsiTheme="minorHAnsi" w:cstheme="minorBidi"/>
          <w:sz w:val="24"/>
          <w:szCs w:val="24"/>
        </w:rPr>
        <w:t xml:space="preserve">appropriate to support meeting Closing the Gap targets and address health inequalities for this population. </w:t>
      </w:r>
    </w:p>
    <w:p w14:paraId="5EFADD0A" w14:textId="0B12FE57" w:rsidR="007C413F" w:rsidRDefault="007C413F" w:rsidP="007710F2">
      <w:pPr>
        <w:pStyle w:val="3Subheading1"/>
        <w:rPr>
          <w:rStyle w:val="cf01"/>
          <w:rFonts w:asciiTheme="minorHAnsi" w:hAnsiTheme="minorHAnsi" w:cstheme="minorBidi"/>
          <w:sz w:val="24"/>
          <w:szCs w:val="24"/>
        </w:rPr>
      </w:pPr>
      <w:r>
        <w:rPr>
          <w:rStyle w:val="cf01"/>
          <w:rFonts w:asciiTheme="minorHAnsi" w:hAnsiTheme="minorHAnsi" w:cstheme="minorBidi"/>
          <w:sz w:val="24"/>
          <w:szCs w:val="24"/>
        </w:rPr>
        <w:t>Additional advice – Data</w:t>
      </w:r>
      <w:r w:rsidR="000A365C">
        <w:rPr>
          <w:rStyle w:val="cf01"/>
          <w:rFonts w:asciiTheme="minorHAnsi" w:hAnsiTheme="minorHAnsi" w:cstheme="minorBidi"/>
          <w:sz w:val="24"/>
          <w:szCs w:val="24"/>
        </w:rPr>
        <w:t xml:space="preserve"> analysis</w:t>
      </w:r>
      <w:r>
        <w:rPr>
          <w:rStyle w:val="cf01"/>
          <w:rFonts w:asciiTheme="minorHAnsi" w:hAnsiTheme="minorHAnsi" w:cstheme="minorBidi"/>
          <w:sz w:val="24"/>
          <w:szCs w:val="24"/>
        </w:rPr>
        <w:t xml:space="preserve"> and adverse events</w:t>
      </w:r>
    </w:p>
    <w:p w14:paraId="1C5E86CF" w14:textId="77777777" w:rsidR="00C92CC8" w:rsidRPr="00C92CC8" w:rsidRDefault="007C413F" w:rsidP="007710F2">
      <w:pPr>
        <w:pStyle w:val="3Bodytext"/>
        <w:jc w:val="both"/>
        <w:rPr>
          <w:rStyle w:val="cf01"/>
          <w:rFonts w:asciiTheme="minorHAnsi" w:hAnsiTheme="minorHAnsi" w:cstheme="minorBidi"/>
          <w:sz w:val="24"/>
          <w:szCs w:val="22"/>
        </w:rPr>
      </w:pPr>
      <w:r w:rsidRPr="00C92CC8">
        <w:rPr>
          <w:rStyle w:val="cf01"/>
          <w:rFonts w:asciiTheme="minorHAnsi" w:hAnsiTheme="minorHAnsi" w:cstheme="minorBidi"/>
          <w:sz w:val="24"/>
          <w:szCs w:val="22"/>
        </w:rPr>
        <w:t xml:space="preserve">The PBAC noted that as more people are treated with GLP-1 obesity treatments, there may be an increased number of cases of rare, serious adverse events. </w:t>
      </w:r>
      <w:r w:rsidR="008912D6" w:rsidRPr="00C92CC8">
        <w:rPr>
          <w:rStyle w:val="cf01"/>
          <w:rFonts w:asciiTheme="minorHAnsi" w:hAnsiTheme="minorHAnsi" w:cstheme="minorBidi"/>
          <w:sz w:val="24"/>
          <w:szCs w:val="22"/>
        </w:rPr>
        <w:t>The PBAC considered that it would be useful to monitor</w:t>
      </w:r>
      <w:r w:rsidR="000A365C" w:rsidRPr="00C92CC8">
        <w:rPr>
          <w:rStyle w:val="cf01"/>
          <w:rFonts w:asciiTheme="minorHAnsi" w:hAnsiTheme="minorHAnsi" w:cstheme="minorBidi"/>
          <w:sz w:val="24"/>
          <w:szCs w:val="22"/>
        </w:rPr>
        <w:t xml:space="preserve"> these medicines for emerging safety signals.</w:t>
      </w:r>
    </w:p>
    <w:p w14:paraId="505F5F21" w14:textId="6F38F1F2" w:rsidR="007C413F" w:rsidRPr="00C92CC8" w:rsidRDefault="00450F55" w:rsidP="007710F2">
      <w:pPr>
        <w:pStyle w:val="3Bodytext"/>
        <w:jc w:val="both"/>
        <w:rPr>
          <w:rStyle w:val="cf01"/>
          <w:rFonts w:asciiTheme="minorHAnsi" w:hAnsiTheme="minorHAnsi" w:cstheme="minorBidi"/>
          <w:sz w:val="24"/>
          <w:szCs w:val="22"/>
        </w:rPr>
      </w:pPr>
      <w:r w:rsidRPr="00C92CC8">
        <w:rPr>
          <w:rStyle w:val="cf01"/>
          <w:rFonts w:asciiTheme="minorHAnsi" w:hAnsiTheme="minorHAnsi" w:cstheme="minorBidi"/>
          <w:sz w:val="24"/>
          <w:szCs w:val="22"/>
        </w:rPr>
        <w:t xml:space="preserve">The PBAC considered that </w:t>
      </w:r>
      <w:r w:rsidR="004534F9" w:rsidRPr="00C92CC8">
        <w:rPr>
          <w:rStyle w:val="cf01"/>
          <w:rFonts w:asciiTheme="minorHAnsi" w:hAnsiTheme="minorHAnsi" w:cstheme="minorBidi"/>
          <w:sz w:val="24"/>
          <w:szCs w:val="22"/>
        </w:rPr>
        <w:t xml:space="preserve">there was a need to collect and analyse real-world data on GLP-1 use to address </w:t>
      </w:r>
      <w:r w:rsidR="001D08D5" w:rsidRPr="00C92CC8">
        <w:rPr>
          <w:rStyle w:val="cf01"/>
          <w:rFonts w:asciiTheme="minorHAnsi" w:hAnsiTheme="minorHAnsi" w:cstheme="minorBidi"/>
          <w:sz w:val="24"/>
          <w:szCs w:val="22"/>
        </w:rPr>
        <w:t xml:space="preserve">evidence uncertainty and inform models of care and </w:t>
      </w:r>
      <w:r w:rsidR="00C92CC8" w:rsidRPr="00C92CC8">
        <w:rPr>
          <w:rStyle w:val="cf01"/>
          <w:rFonts w:asciiTheme="minorHAnsi" w:hAnsiTheme="minorHAnsi" w:cstheme="minorBidi"/>
          <w:sz w:val="24"/>
          <w:szCs w:val="22"/>
        </w:rPr>
        <w:t xml:space="preserve">subsidy. </w:t>
      </w:r>
    </w:p>
    <w:p w14:paraId="6681FF72" w14:textId="77777777" w:rsidR="00414800" w:rsidRPr="00525B39" w:rsidRDefault="00414800" w:rsidP="007710F2">
      <w:pPr>
        <w:keepNext/>
        <w:keepLines/>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2F264D00" w14:textId="59959A74" w:rsidR="006D696C" w:rsidRDefault="00414800" w:rsidP="007710F2">
      <w:pPr>
        <w:keepNext/>
        <w:keepLines/>
        <w:rPr>
          <w:rFonts w:asciiTheme="minorHAnsi" w:hAnsiTheme="minorHAnsi" w:cs="Arial"/>
          <w:bCs/>
          <w:snapToGrid w:val="0"/>
          <w:lang w:val="en-GB"/>
        </w:rPr>
      </w:pPr>
      <w:r>
        <w:rPr>
          <w:rFonts w:asciiTheme="minorHAnsi" w:hAnsiTheme="minorHAnsi" w:cs="Arial"/>
          <w:bCs/>
          <w:snapToGrid w:val="0"/>
          <w:lang w:val="en-GB"/>
        </w:rPr>
        <w:t>Advice provided.</w:t>
      </w:r>
    </w:p>
    <w:p w14:paraId="41577A80" w14:textId="77777777" w:rsidR="0091272A" w:rsidRDefault="0091272A">
      <w:pPr>
        <w:jc w:val="left"/>
        <w:rPr>
          <w:rFonts w:asciiTheme="minorHAnsi" w:hAnsiTheme="minorHAnsi" w:cstheme="minorHAnsi"/>
          <w:b/>
          <w:i/>
        </w:rPr>
      </w:pPr>
    </w:p>
    <w:p w14:paraId="07648763" w14:textId="77777777" w:rsidR="003434E3" w:rsidRDefault="003434E3" w:rsidP="00616812">
      <w:pPr>
        <w:tabs>
          <w:tab w:val="left" w:pos="1080"/>
        </w:tabs>
        <w:autoSpaceDE w:val="0"/>
        <w:autoSpaceDN w:val="0"/>
        <w:adjustRightInd w:val="0"/>
        <w:rPr>
          <w:rFonts w:asciiTheme="minorHAnsi" w:hAnsiTheme="minorHAnsi" w:cstheme="minorHAnsi"/>
        </w:rPr>
      </w:pPr>
      <w:bookmarkStart w:id="12" w:name="AttachmentA"/>
    </w:p>
    <w:bookmarkEnd w:id="12"/>
    <w:p w14:paraId="765D5213" w14:textId="6155EC1B" w:rsidR="002174F3" w:rsidRDefault="002174F3" w:rsidP="0070078E">
      <w:pPr>
        <w:tabs>
          <w:tab w:val="left" w:pos="1080"/>
        </w:tabs>
        <w:autoSpaceDE w:val="0"/>
        <w:autoSpaceDN w:val="0"/>
        <w:adjustRightInd w:val="0"/>
        <w:rPr>
          <w:rFonts w:asciiTheme="minorHAnsi" w:hAnsiTheme="minorHAnsi" w:cstheme="minorHAnsi"/>
          <w:b/>
          <w:i/>
          <w:sz w:val="23"/>
          <w:szCs w:val="23"/>
        </w:rPr>
      </w:pPr>
    </w:p>
    <w:sectPr w:rsidR="002174F3" w:rsidSect="00E96CEF">
      <w:pgSz w:w="11906" w:h="16838"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2CB92" w14:textId="77777777" w:rsidR="00F118EB" w:rsidRDefault="00F118EB">
      <w:r>
        <w:separator/>
      </w:r>
    </w:p>
    <w:p w14:paraId="22087276" w14:textId="77777777" w:rsidR="00F118EB" w:rsidRDefault="00F118EB"/>
  </w:endnote>
  <w:endnote w:type="continuationSeparator" w:id="0">
    <w:p w14:paraId="7F1B685B" w14:textId="77777777" w:rsidR="00F118EB" w:rsidRDefault="00F118EB">
      <w:r>
        <w:continuationSeparator/>
      </w:r>
    </w:p>
    <w:p w14:paraId="597F60EB" w14:textId="77777777" w:rsidR="00F118EB" w:rsidRDefault="00F118EB"/>
  </w:endnote>
  <w:endnote w:type="continuationNotice" w:id="1">
    <w:p w14:paraId="111B0671" w14:textId="77777777" w:rsidR="00F118EB" w:rsidRDefault="00F118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00E9BF48" w:rsidR="009C26AA" w:rsidRPr="005A3173" w:rsidRDefault="00753E52"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4" behindDoc="0" locked="0" layoutInCell="1" allowOverlap="1" wp14:anchorId="225BD3F9" wp14:editId="0D18C6CC">
                    <wp:simplePos x="635" y="635"/>
                    <wp:positionH relativeFrom="page">
                      <wp:align>center</wp:align>
                    </wp:positionH>
                    <wp:positionV relativeFrom="page">
                      <wp:align>bottom</wp:align>
                    </wp:positionV>
                    <wp:extent cx="622300" cy="376555"/>
                    <wp:effectExtent l="0" t="0" r="6350" b="0"/>
                    <wp:wrapNone/>
                    <wp:docPr id="100178459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B31AA0D" w14:textId="5B55789B"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5BD3F9"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1B31AA0D" w14:textId="5B55789B"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A0C56" w14:textId="33788AA1" w:rsidR="009C26AA" w:rsidRPr="00D429EC" w:rsidRDefault="00753E52" w:rsidP="00C56D78">
    <w:pPr>
      <w:pStyle w:val="PBACFooter"/>
      <w:jc w:val="both"/>
      <w:rPr>
        <w:rFonts w:asciiTheme="minorHAnsi" w:hAnsiTheme="minorHAnsi" w:cstheme="minorBidi"/>
        <w:sz w:val="24"/>
        <w:szCs w:val="24"/>
      </w:rPr>
    </w:pPr>
    <w:r>
      <w:rPr>
        <w:rFonts w:asciiTheme="minorHAnsi" w:hAnsiTheme="minorHAnsi" w:cstheme="minorBidi"/>
        <w:noProof/>
        <w:sz w:val="24"/>
        <w:szCs w:val="24"/>
      </w:rPr>
      <mc:AlternateContent>
        <mc:Choice Requires="wps">
          <w:drawing>
            <wp:anchor distT="0" distB="0" distL="0" distR="0" simplePos="0" relativeHeight="251658245" behindDoc="0" locked="0" layoutInCell="1" allowOverlap="1" wp14:anchorId="326B186F" wp14:editId="473380F8">
              <wp:simplePos x="635" y="635"/>
              <wp:positionH relativeFrom="page">
                <wp:align>center</wp:align>
              </wp:positionH>
              <wp:positionV relativeFrom="page">
                <wp:align>bottom</wp:align>
              </wp:positionV>
              <wp:extent cx="622300" cy="376555"/>
              <wp:effectExtent l="0" t="0" r="6350" b="0"/>
              <wp:wrapNone/>
              <wp:docPr id="55444004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364C83" w14:textId="1E221EB3"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6B186F"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0364C83" w14:textId="1E221EB3"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v:textbox>
              <w10:wrap anchorx="page" anchory="page"/>
            </v:shape>
          </w:pict>
        </mc:Fallback>
      </mc:AlternateContent>
    </w:r>
  </w:p>
  <w:p w14:paraId="355827FE" w14:textId="57EDE94E" w:rsidR="009C26AA" w:rsidRPr="00837B7F" w:rsidRDefault="00401640" w:rsidP="00845342">
    <w:pPr>
      <w:pStyle w:val="MinorOVRHeader"/>
      <w:tabs>
        <w:tab w:val="left" w:pos="4350"/>
      </w:tabs>
      <w:jc w:val="center"/>
      <w:rPr>
        <w:b/>
        <w:bCs/>
      </w:rPr>
    </w:pPr>
    <w:r w:rsidRPr="00837B7F">
      <w:rPr>
        <w:b/>
        <w:bCs/>
      </w:rPr>
      <w:fldChar w:fldCharType="begin"/>
    </w:r>
    <w:r w:rsidRPr="00837B7F">
      <w:rPr>
        <w:b/>
        <w:bCs/>
      </w:rPr>
      <w:instrText xml:space="preserve"> PAGE   \* MERGEFORMAT </w:instrText>
    </w:r>
    <w:r w:rsidRPr="00837B7F">
      <w:rPr>
        <w:b/>
        <w:bCs/>
      </w:rPr>
      <w:fldChar w:fldCharType="separate"/>
    </w:r>
    <w:r w:rsidRPr="0079250E">
      <w:rPr>
        <w:b/>
        <w:bCs/>
      </w:rPr>
      <w:t>1</w:t>
    </w:r>
    <w:r w:rsidRPr="00837B7F">
      <w:rPr>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067C782F" w:rsidR="009C26AA" w:rsidRPr="005A3173" w:rsidRDefault="00753E52" w:rsidP="005A3173">
          <w:pPr>
            <w:pStyle w:val="Header"/>
            <w:spacing w:line="276" w:lineRule="auto"/>
            <w:rPr>
              <w:rFonts w:eastAsia="MS Gothic"/>
              <w:b/>
              <w:bCs/>
              <w:color w:val="4F81BD"/>
            </w:rPr>
          </w:pPr>
          <w:r>
            <w:rPr>
              <w:rFonts w:eastAsia="MS Gothic"/>
              <w:b/>
              <w:bCs/>
              <w:noProof/>
              <w:color w:val="4F81BD"/>
            </w:rPr>
            <mc:AlternateContent>
              <mc:Choice Requires="wps">
                <w:drawing>
                  <wp:anchor distT="0" distB="0" distL="0" distR="0" simplePos="0" relativeHeight="251658243" behindDoc="0" locked="0" layoutInCell="1" allowOverlap="1" wp14:anchorId="701B45B0" wp14:editId="7B2C2859">
                    <wp:simplePos x="635" y="635"/>
                    <wp:positionH relativeFrom="page">
                      <wp:align>center</wp:align>
                    </wp:positionH>
                    <wp:positionV relativeFrom="page">
                      <wp:align>bottom</wp:align>
                    </wp:positionV>
                    <wp:extent cx="622300" cy="376555"/>
                    <wp:effectExtent l="0" t="0" r="6350" b="0"/>
                    <wp:wrapNone/>
                    <wp:docPr id="15370771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818941" w14:textId="6E7B769A"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1B45B0"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72818941" w14:textId="6E7B769A"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v:textbox>
                    <w10:wrap anchorx="page" anchory="page"/>
                  </v:shape>
                </w:pict>
              </mc:Fallback>
            </mc:AlternateContent>
          </w: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AB29B2" w14:textId="77777777" w:rsidR="00F118EB" w:rsidRDefault="00F118EB">
      <w:r>
        <w:separator/>
      </w:r>
    </w:p>
    <w:p w14:paraId="3D6B67E8" w14:textId="77777777" w:rsidR="00F118EB" w:rsidRDefault="00F118EB"/>
  </w:footnote>
  <w:footnote w:type="continuationSeparator" w:id="0">
    <w:p w14:paraId="6A955768" w14:textId="77777777" w:rsidR="00F118EB" w:rsidRDefault="00F118EB">
      <w:r>
        <w:continuationSeparator/>
      </w:r>
    </w:p>
    <w:p w14:paraId="7E471362" w14:textId="77777777" w:rsidR="00F118EB" w:rsidRDefault="00F118EB"/>
  </w:footnote>
  <w:footnote w:type="continuationNotice" w:id="1">
    <w:p w14:paraId="5C42ABFF" w14:textId="77777777" w:rsidR="00F118EB" w:rsidRDefault="00F118EB"/>
  </w:footnote>
  <w:footnote w:id="2">
    <w:p w14:paraId="32E50E59" w14:textId="11C5878E" w:rsidR="00115080" w:rsidRDefault="00115080">
      <w:pPr>
        <w:pStyle w:val="FootnoteText"/>
      </w:pPr>
      <w:r>
        <w:rPr>
          <w:rStyle w:val="FootnoteReference"/>
        </w:rPr>
        <w:footnoteRef/>
      </w:r>
      <w:r>
        <w:t xml:space="preserve"> </w:t>
      </w:r>
      <w:r w:rsidR="00153246">
        <w:t xml:space="preserve">Novo Nordisk, </w:t>
      </w:r>
      <w:hyperlink r:id="rId1" w:history="1">
        <w:r w:rsidR="00605BAF" w:rsidRPr="00FC564F">
          <w:rPr>
            <w:rStyle w:val="Hyperlink"/>
          </w:rPr>
          <w:t>W</w:t>
        </w:r>
        <w:r w:rsidR="00323998" w:rsidRPr="00FC564F">
          <w:rPr>
            <w:rStyle w:val="Hyperlink"/>
          </w:rPr>
          <w:t>elcome to wegovy</w:t>
        </w:r>
        <w:r w:rsidR="00323998" w:rsidRPr="00FC564F">
          <w:rPr>
            <w:rStyle w:val="Hyperlink"/>
            <w:i/>
            <w:iCs/>
          </w:rPr>
          <w:t>care</w:t>
        </w:r>
        <w:r w:rsidR="00323998" w:rsidRPr="00FC564F">
          <w:rPr>
            <w:rStyle w:val="Hyperlink"/>
          </w:rPr>
          <w:t>®</w:t>
        </w:r>
      </w:hyperlink>
      <w:r w:rsidR="006A1227">
        <w:t>, accessed 14 October 2025.</w:t>
      </w:r>
    </w:p>
  </w:footnote>
  <w:footnote w:id="3">
    <w:p w14:paraId="1FBE05E1" w14:textId="249EB89C" w:rsidR="0064633F" w:rsidRDefault="0064633F">
      <w:pPr>
        <w:pStyle w:val="FootnoteText"/>
      </w:pPr>
      <w:r>
        <w:rPr>
          <w:rStyle w:val="FootnoteReference"/>
        </w:rPr>
        <w:footnoteRef/>
      </w:r>
      <w:r>
        <w:t xml:space="preserve"> </w:t>
      </w:r>
      <w:r w:rsidR="006F6372">
        <w:t>Novo Nordisk</w:t>
      </w:r>
      <w:r w:rsidR="00A96971">
        <w:t xml:space="preserve">, </w:t>
      </w:r>
      <w:hyperlink r:id="rId2" w:history="1">
        <w:r w:rsidR="00A96971" w:rsidRPr="00E909D3">
          <w:rPr>
            <w:rStyle w:val="Hyperlink"/>
          </w:rPr>
          <w:t>Important Information: Discontinuation of Saxenda® (liraglutide) in Australia</w:t>
        </w:r>
      </w:hyperlink>
      <w:r w:rsidR="00A96971">
        <w:t xml:space="preserve">, </w:t>
      </w:r>
      <w:r w:rsidR="00E909D3">
        <w:t>accessed 5 December 2025.</w:t>
      </w:r>
    </w:p>
  </w:footnote>
  <w:footnote w:id="4">
    <w:p w14:paraId="674388D6" w14:textId="62160D5A" w:rsidR="00481D1A" w:rsidRPr="00AA0EAC" w:rsidRDefault="00481D1A">
      <w:pPr>
        <w:pStyle w:val="FootnoteText"/>
      </w:pPr>
      <w:r>
        <w:rPr>
          <w:rStyle w:val="FootnoteReference"/>
        </w:rPr>
        <w:footnoteRef/>
      </w:r>
      <w:r>
        <w:t xml:space="preserve"> Ka</w:t>
      </w:r>
      <w:r w:rsidR="009A6025">
        <w:t>nellis et al (2025), ‘</w:t>
      </w:r>
      <w:hyperlink r:id="rId3" w:history="1">
        <w:r w:rsidR="009A6025" w:rsidRPr="008B4ED7">
          <w:rPr>
            <w:rStyle w:val="Hyperlink"/>
          </w:rPr>
          <w:t xml:space="preserve">The role of GLP-1 receptor agonists in the management of obesity: risks </w:t>
        </w:r>
        <w:r w:rsidR="00AA0EAC" w:rsidRPr="008B4ED7">
          <w:rPr>
            <w:rStyle w:val="Hyperlink"/>
          </w:rPr>
          <w:t>and opportunities for the Australian health care system</w:t>
        </w:r>
      </w:hyperlink>
      <w:r w:rsidR="00AA0EAC">
        <w:t xml:space="preserve">’, </w:t>
      </w:r>
      <w:r w:rsidR="00AA0EAC">
        <w:rPr>
          <w:i/>
          <w:iCs/>
        </w:rPr>
        <w:t>MJA</w:t>
      </w:r>
      <w:r w:rsidR="00AA0EAC">
        <w:t>, 222(3):118-121.</w:t>
      </w:r>
    </w:p>
  </w:footnote>
  <w:footnote w:id="5">
    <w:p w14:paraId="3121B3AD" w14:textId="23B6DBB8" w:rsidR="00287B00" w:rsidRDefault="00287B00">
      <w:pPr>
        <w:pStyle w:val="FootnoteText"/>
      </w:pPr>
      <w:r>
        <w:rPr>
          <w:rStyle w:val="FootnoteReference"/>
        </w:rPr>
        <w:footnoteRef/>
      </w:r>
      <w:r>
        <w:t xml:space="preserve"> </w:t>
      </w:r>
      <w:r w:rsidR="00451D5C">
        <w:t xml:space="preserve">Eating Disorders Families Australia, </w:t>
      </w:r>
      <w:hyperlink r:id="rId4" w:history="1">
        <w:r w:rsidR="00451D5C" w:rsidRPr="00871734">
          <w:rPr>
            <w:rStyle w:val="Hyperlink"/>
          </w:rPr>
          <w:t>Eating Disorder Alliance (EDA) advocates for action on compounded weight loss drugs</w:t>
        </w:r>
      </w:hyperlink>
      <w:r w:rsidR="00871734">
        <w:t>, 18 June 2025, accessed 22 September 2025.</w:t>
      </w:r>
    </w:p>
  </w:footnote>
  <w:footnote w:id="6">
    <w:p w14:paraId="466D2FDA" w14:textId="639BEB89" w:rsidR="00713199" w:rsidRDefault="00713199">
      <w:pPr>
        <w:pStyle w:val="FootnoteText"/>
      </w:pPr>
      <w:r>
        <w:rPr>
          <w:rStyle w:val="FootnoteReference"/>
        </w:rPr>
        <w:footnoteRef/>
      </w:r>
      <w:r>
        <w:t xml:space="preserve"> ACSQHC, </w:t>
      </w:r>
      <w:hyperlink r:id="rId5" w:history="1">
        <w:r w:rsidR="00553080" w:rsidRPr="00553080">
          <w:rPr>
            <w:rStyle w:val="Hyperlink"/>
          </w:rPr>
          <w:t>Safety and quality in virtual health care</w:t>
        </w:r>
      </w:hyperlink>
      <w:r w:rsidR="00553080">
        <w:t>, accessed 25 September 2025.</w:t>
      </w:r>
    </w:p>
  </w:footnote>
  <w:footnote w:id="7">
    <w:p w14:paraId="0BC0C74D" w14:textId="0AB5FF78" w:rsidR="00E02BB3" w:rsidRPr="008308A5" w:rsidRDefault="00E02BB3">
      <w:pPr>
        <w:pStyle w:val="FootnoteText"/>
      </w:pPr>
      <w:r>
        <w:rPr>
          <w:rStyle w:val="FootnoteReference"/>
        </w:rPr>
        <w:footnoteRef/>
      </w:r>
      <w:r>
        <w:t xml:space="preserve"> Moza</w:t>
      </w:r>
      <w:r w:rsidR="0038014D">
        <w:t>ffarian D et al (2025), ‘</w:t>
      </w:r>
      <w:hyperlink r:id="rId6" w:history="1">
        <w:r w:rsidR="0038014D" w:rsidRPr="00D80EAA">
          <w:rPr>
            <w:rStyle w:val="Hyperlink"/>
          </w:rPr>
          <w:t xml:space="preserve">Nutritional </w:t>
        </w:r>
        <w:r w:rsidR="008308A5" w:rsidRPr="00D80EAA">
          <w:rPr>
            <w:rStyle w:val="Hyperlink"/>
          </w:rPr>
          <w:t>priorities</w:t>
        </w:r>
        <w:r w:rsidR="0038014D" w:rsidRPr="00D80EAA">
          <w:rPr>
            <w:rStyle w:val="Hyperlink"/>
          </w:rPr>
          <w:t xml:space="preserve"> to support GLP-1 therapy for obesity: A joint Advisory from the American College of Lifestyle Medicine, the American Society for Nutrition, </w:t>
        </w:r>
        <w:r w:rsidR="008308A5" w:rsidRPr="00D80EAA">
          <w:rPr>
            <w:rStyle w:val="Hyperlink"/>
          </w:rPr>
          <w:t>the Obesity Medicine Association, and The Obesity Society</w:t>
        </w:r>
      </w:hyperlink>
      <w:r w:rsidR="008308A5">
        <w:t xml:space="preserve">’, </w:t>
      </w:r>
      <w:r w:rsidR="008308A5">
        <w:rPr>
          <w:i/>
          <w:iCs/>
        </w:rPr>
        <w:t>Obesity</w:t>
      </w:r>
      <w:r w:rsidR="008308A5">
        <w:t>, 33(8):1475</w:t>
      </w:r>
      <w:r w:rsidR="00D80EAA">
        <w:t>-1503.</w:t>
      </w:r>
    </w:p>
  </w:footnote>
  <w:footnote w:id="8">
    <w:p w14:paraId="3EBB4CCC" w14:textId="14AFBAA3" w:rsidR="00055488" w:rsidRDefault="00055488">
      <w:pPr>
        <w:pStyle w:val="FootnoteText"/>
      </w:pPr>
      <w:r>
        <w:rPr>
          <w:rStyle w:val="FootnoteReference"/>
        </w:rPr>
        <w:footnoteRef/>
      </w:r>
      <w:r>
        <w:t xml:space="preserve"> </w:t>
      </w:r>
      <w:r w:rsidR="00F144DF">
        <w:t xml:space="preserve">Department of Health, Disability and Ageing, </w:t>
      </w:r>
      <w:hyperlink r:id="rId7" w:history="1">
        <w:r w:rsidR="00F144DF" w:rsidRPr="006F2A3D">
          <w:rPr>
            <w:rStyle w:val="Hyperlink"/>
          </w:rPr>
          <w:t>Review of MBS allied health chronic disease management services</w:t>
        </w:r>
      </w:hyperlink>
      <w:r w:rsidR="008614BA">
        <w:t xml:space="preserve">, </w:t>
      </w:r>
      <w:r w:rsidR="006F2A3D">
        <w:t>updated 23 September 2025, accessed 25 September 2025.</w:t>
      </w:r>
    </w:p>
  </w:footnote>
  <w:footnote w:id="9">
    <w:p w14:paraId="53B7FDE9" w14:textId="310FF728" w:rsidR="00BB179D" w:rsidRDefault="00BB179D">
      <w:pPr>
        <w:pStyle w:val="FootnoteText"/>
      </w:pPr>
      <w:r>
        <w:rPr>
          <w:rStyle w:val="FootnoteReference"/>
        </w:rPr>
        <w:footnoteRef/>
      </w:r>
      <w:r>
        <w:t xml:space="preserve"> Dietitians Australia, </w:t>
      </w:r>
      <w:hyperlink r:id="rId8" w:history="1">
        <w:r w:rsidRPr="0023239C">
          <w:rPr>
            <w:rStyle w:val="Hyperlink"/>
          </w:rPr>
          <w:t>Parliamentary Friends of Nutrition 2025: Nutrition First in GLP-1 Care</w:t>
        </w:r>
      </w:hyperlink>
      <w:r>
        <w:t xml:space="preserve">, </w:t>
      </w:r>
      <w:r w:rsidR="0023239C">
        <w:t>accessed 25 September 2025.</w:t>
      </w:r>
    </w:p>
  </w:footnote>
  <w:footnote w:id="10">
    <w:p w14:paraId="22F68061" w14:textId="304C29DE" w:rsidR="00F50692" w:rsidRPr="00673167" w:rsidRDefault="00F50692">
      <w:pPr>
        <w:pStyle w:val="FootnoteText"/>
      </w:pPr>
      <w:r>
        <w:rPr>
          <w:rStyle w:val="FootnoteReference"/>
        </w:rPr>
        <w:footnoteRef/>
      </w:r>
      <w:r>
        <w:t xml:space="preserve"> But</w:t>
      </w:r>
      <w:r w:rsidR="00B67D18">
        <w:t>sch WS et al (2025), ‘</w:t>
      </w:r>
      <w:hyperlink r:id="rId9" w:history="1">
        <w:r w:rsidR="00B67D18" w:rsidRPr="005E3AB0">
          <w:rPr>
            <w:rStyle w:val="Hyperlink"/>
          </w:rPr>
          <w:t>Nutritional deficiencies and muscle loss in adults with type 2 diabetes using GLP-1 receptor agonists: A retrospective observational study</w:t>
        </w:r>
      </w:hyperlink>
      <w:r w:rsidR="00197B72">
        <w:t xml:space="preserve">’, </w:t>
      </w:r>
      <w:r w:rsidR="00197B72">
        <w:rPr>
          <w:i/>
          <w:iCs/>
        </w:rPr>
        <w:t xml:space="preserve">Obesity Pillars, </w:t>
      </w:r>
      <w:r w:rsidR="00197B72" w:rsidRPr="00673167">
        <w:t>1</w:t>
      </w:r>
      <w:r w:rsidR="00673167" w:rsidRPr="00673167">
        <w:t>5 (2025)</w:t>
      </w:r>
      <w:r w:rsidR="00197B72" w:rsidRPr="00673167">
        <w:t>: 100186</w:t>
      </w:r>
      <w:r w:rsidR="00673167">
        <w:t>.</w:t>
      </w:r>
    </w:p>
  </w:footnote>
  <w:footnote w:id="11">
    <w:p w14:paraId="127536DC" w14:textId="3F19094C" w:rsidR="006621BC" w:rsidRDefault="006621BC">
      <w:pPr>
        <w:pStyle w:val="FootnoteText"/>
      </w:pPr>
      <w:r>
        <w:rPr>
          <w:rStyle w:val="FootnoteReference"/>
        </w:rPr>
        <w:footnoteRef/>
      </w:r>
      <w:r>
        <w:t xml:space="preserve"> </w:t>
      </w:r>
      <w:r w:rsidR="00E177FE">
        <w:t>NSW Government</w:t>
      </w:r>
      <w:r w:rsidR="00443D94">
        <w:t>,</w:t>
      </w:r>
      <w:r w:rsidR="00E177FE">
        <w:t xml:space="preserve"> </w:t>
      </w:r>
      <w:hyperlink r:id="rId10" w:history="1">
        <w:r w:rsidR="00E177FE" w:rsidRPr="00E177FE">
          <w:rPr>
            <w:rStyle w:val="Hyperlink"/>
          </w:rPr>
          <w:t>Get Healthy Service</w:t>
        </w:r>
      </w:hyperlink>
      <w:r w:rsidR="00E177FE">
        <w:t xml:space="preserve">, </w:t>
      </w:r>
      <w:r w:rsidR="00443D94">
        <w:t>accessed 13 October 2025.</w:t>
      </w:r>
    </w:p>
  </w:footnote>
  <w:footnote w:id="12">
    <w:p w14:paraId="0A892351" w14:textId="3070E94D" w:rsidR="000D0D22" w:rsidRDefault="000D0D22">
      <w:pPr>
        <w:pStyle w:val="FootnoteText"/>
      </w:pPr>
      <w:r>
        <w:rPr>
          <w:rStyle w:val="FootnoteReference"/>
        </w:rPr>
        <w:footnoteRef/>
      </w:r>
      <w:r>
        <w:t xml:space="preserve"> Queensland Government, </w:t>
      </w:r>
      <w:hyperlink r:id="rId11" w:history="1">
        <w:r w:rsidRPr="00D0168E">
          <w:rPr>
            <w:rStyle w:val="Hyperlink"/>
          </w:rPr>
          <w:t>My Health for Life</w:t>
        </w:r>
      </w:hyperlink>
      <w:r>
        <w:t>, accessed 13 October 2025.</w:t>
      </w:r>
    </w:p>
  </w:footnote>
  <w:footnote w:id="13">
    <w:p w14:paraId="4ECD5C69" w14:textId="2098384E" w:rsidR="007E1BC7" w:rsidRDefault="007E1BC7">
      <w:pPr>
        <w:pStyle w:val="FootnoteText"/>
      </w:pPr>
      <w:r>
        <w:rPr>
          <w:rStyle w:val="FootnoteReference"/>
        </w:rPr>
        <w:footnoteRef/>
      </w:r>
      <w:r>
        <w:t xml:space="preserve"> </w:t>
      </w:r>
      <w:r w:rsidR="003F3B91">
        <w:t xml:space="preserve">Queensland Government, </w:t>
      </w:r>
      <w:hyperlink r:id="rId12" w:history="1">
        <w:r w:rsidR="003F3B91" w:rsidRPr="003F3B91">
          <w:rPr>
            <w:rStyle w:val="Hyperlink"/>
          </w:rPr>
          <w:t>Self-Management of Chronic Conditions (SMoCC) Service</w:t>
        </w:r>
      </w:hyperlink>
      <w:r w:rsidR="003F3B91">
        <w:t>, accessed 13 October 2025.</w:t>
      </w:r>
    </w:p>
  </w:footnote>
  <w:footnote w:id="14">
    <w:p w14:paraId="32F98729" w14:textId="77777777" w:rsidR="00AB1105" w:rsidRDefault="00AB1105" w:rsidP="00AB1105">
      <w:pPr>
        <w:pStyle w:val="FootnoteText"/>
      </w:pPr>
      <w:r>
        <w:rPr>
          <w:rStyle w:val="FootnoteReference"/>
        </w:rPr>
        <w:footnoteRef/>
      </w:r>
      <w:r>
        <w:t xml:space="preserve"> </w:t>
      </w:r>
      <w:r w:rsidRPr="00494357">
        <w:t>Gasoyan et al. (2025), ‘</w:t>
      </w:r>
      <w:hyperlink r:id="rId13" w:history="1">
        <w:r w:rsidRPr="00D277AB">
          <w:rPr>
            <w:rStyle w:val="Hyperlink"/>
          </w:rPr>
          <w:t>Changes in weight and glycaemic control following obesity treatment with semaglutide or tirzepatide by discontinuation status</w:t>
        </w:r>
      </w:hyperlink>
      <w:r>
        <w:t>’</w:t>
      </w:r>
      <w:r w:rsidRPr="00494357">
        <w:t xml:space="preserve">, </w:t>
      </w:r>
      <w:r w:rsidRPr="00ED5430">
        <w:rPr>
          <w:i/>
          <w:iCs/>
        </w:rPr>
        <w:t>Obesity</w:t>
      </w:r>
      <w:r>
        <w:t>, 33(9):1657-1667</w:t>
      </w:r>
      <w:r w:rsidRPr="00494357">
        <w:t>.</w:t>
      </w:r>
    </w:p>
  </w:footnote>
  <w:footnote w:id="15">
    <w:p w14:paraId="3B315A94" w14:textId="25F3802C" w:rsidR="004E1B0E" w:rsidRPr="0091108B" w:rsidRDefault="004E1B0E">
      <w:pPr>
        <w:pStyle w:val="FootnoteText"/>
      </w:pPr>
      <w:r>
        <w:rPr>
          <w:rStyle w:val="FootnoteReference"/>
        </w:rPr>
        <w:footnoteRef/>
      </w:r>
      <w:r>
        <w:t xml:space="preserve"> </w:t>
      </w:r>
      <w:r w:rsidR="00137B52">
        <w:t>Hartmann-Boyce J et al (2022), ‘</w:t>
      </w:r>
      <w:hyperlink r:id="rId14" w:history="1">
        <w:r w:rsidR="00137B52" w:rsidRPr="00692B50">
          <w:rPr>
            <w:rStyle w:val="Hyperlink"/>
          </w:rPr>
          <w:t>Weight regain after behavioural weight management programmes</w:t>
        </w:r>
        <w:r w:rsidR="00977EAA" w:rsidRPr="00692B50">
          <w:rPr>
            <w:rStyle w:val="Hyperlink"/>
          </w:rPr>
          <w:t xml:space="preserve"> and its impact on quality of life</w:t>
        </w:r>
        <w:r w:rsidR="0091108B" w:rsidRPr="00692B50">
          <w:rPr>
            <w:rStyle w:val="Hyperlink"/>
          </w:rPr>
          <w:t xml:space="preserve"> and cost effectiveness: Evidence synthesis and health economic analyses</w:t>
        </w:r>
      </w:hyperlink>
      <w:r w:rsidR="0091108B">
        <w:t xml:space="preserve">’, </w:t>
      </w:r>
      <w:r w:rsidR="0091108B">
        <w:rPr>
          <w:i/>
          <w:iCs/>
        </w:rPr>
        <w:t>Diabetes Obes Metab</w:t>
      </w:r>
      <w:r w:rsidR="0091108B">
        <w:t xml:space="preserve">, </w:t>
      </w:r>
      <w:r w:rsidR="00692B50">
        <w:t>25(2):526-0535.</w:t>
      </w:r>
    </w:p>
  </w:footnote>
  <w:footnote w:id="16">
    <w:p w14:paraId="48A655B5" w14:textId="5A4B1B12" w:rsidR="00DC5EC6" w:rsidRPr="00252129" w:rsidRDefault="00DC5EC6">
      <w:pPr>
        <w:pStyle w:val="FootnoteText"/>
      </w:pPr>
      <w:r>
        <w:rPr>
          <w:rStyle w:val="FootnoteReference"/>
        </w:rPr>
        <w:footnoteRef/>
      </w:r>
      <w:r>
        <w:t xml:space="preserve"> </w:t>
      </w:r>
      <w:r w:rsidR="006D28E7">
        <w:t>Jensen SBK et al (2024), ‘</w:t>
      </w:r>
      <w:hyperlink r:id="rId15" w:history="1">
        <w:r w:rsidR="006D28E7" w:rsidRPr="009C0262">
          <w:rPr>
            <w:rStyle w:val="Hyperlink"/>
          </w:rPr>
          <w:t>Health</w:t>
        </w:r>
        <w:r w:rsidR="001534C6">
          <w:rPr>
            <w:rStyle w:val="Hyperlink"/>
          </w:rPr>
          <w:t>y</w:t>
        </w:r>
        <w:r w:rsidR="006D28E7" w:rsidRPr="009C0262">
          <w:rPr>
            <w:rStyle w:val="Hyperlink"/>
          </w:rPr>
          <w:t xml:space="preserve"> weight loss maintenance with exercise, GLP-1 receptor agonis</w:t>
        </w:r>
        <w:r w:rsidR="00333585" w:rsidRPr="009C0262">
          <w:rPr>
            <w:rStyle w:val="Hyperlink"/>
          </w:rPr>
          <w:t>t, or both combined followed by one year without treatment: a post-treatment analysis of a randomised placebo-controlled trial</w:t>
        </w:r>
      </w:hyperlink>
      <w:r w:rsidR="00333585">
        <w:t xml:space="preserve">’, </w:t>
      </w:r>
      <w:r w:rsidR="00252129">
        <w:rPr>
          <w:i/>
          <w:iCs/>
        </w:rPr>
        <w:t xml:space="preserve">eClinicalMedicine, </w:t>
      </w:r>
      <w:r w:rsidR="008A7E10">
        <w:t>69:102475.</w:t>
      </w:r>
    </w:p>
  </w:footnote>
  <w:footnote w:id="17">
    <w:p w14:paraId="035CF4FB" w14:textId="0AFBF1DE" w:rsidR="00EF72D3" w:rsidRPr="00210EF9" w:rsidRDefault="00EF72D3">
      <w:pPr>
        <w:pStyle w:val="FootnoteText"/>
      </w:pPr>
      <w:r>
        <w:rPr>
          <w:rStyle w:val="FootnoteReference"/>
        </w:rPr>
        <w:footnoteRef/>
      </w:r>
      <w:r>
        <w:t xml:space="preserve"> Weiss T et al (</w:t>
      </w:r>
      <w:r w:rsidR="001F12E2">
        <w:t>2020), ‘</w:t>
      </w:r>
      <w:hyperlink r:id="rId16" w:history="1">
        <w:r w:rsidR="001F12E2" w:rsidRPr="004F42FC">
          <w:rPr>
            <w:rStyle w:val="Hyperlink"/>
          </w:rPr>
          <w:t xml:space="preserve">Real-world adherence and discontinuation of glucagon-like peptide-1 receptor agonists therapy in </w:t>
        </w:r>
        <w:r w:rsidR="00210EF9" w:rsidRPr="004F42FC">
          <w:rPr>
            <w:rStyle w:val="Hyperlink"/>
          </w:rPr>
          <w:t>type 2 diabetes mellitus patients in the United States</w:t>
        </w:r>
      </w:hyperlink>
      <w:r w:rsidR="00210EF9">
        <w:t xml:space="preserve">’, </w:t>
      </w:r>
      <w:r w:rsidR="00210EF9">
        <w:rPr>
          <w:i/>
          <w:iCs/>
        </w:rPr>
        <w:t>Patient Prefer Adherence</w:t>
      </w:r>
      <w:r w:rsidR="00210EF9">
        <w:t xml:space="preserve">, </w:t>
      </w:r>
      <w:r w:rsidR="00051ACE">
        <w:t>14:2337.</w:t>
      </w:r>
    </w:p>
  </w:footnote>
  <w:footnote w:id="18">
    <w:p w14:paraId="6F082D05" w14:textId="786F0796" w:rsidR="00F61ACE" w:rsidRPr="00B766E1" w:rsidRDefault="00F61ACE">
      <w:pPr>
        <w:pStyle w:val="FootnoteText"/>
      </w:pPr>
      <w:r>
        <w:rPr>
          <w:rStyle w:val="FootnoteReference"/>
        </w:rPr>
        <w:footnoteRef/>
      </w:r>
      <w:r>
        <w:t xml:space="preserve"> </w:t>
      </w:r>
      <w:r w:rsidR="00C97EAC">
        <w:t>Weiss T et al (2022), ‘</w:t>
      </w:r>
      <w:hyperlink r:id="rId17" w:history="1">
        <w:r w:rsidR="00C97EAC" w:rsidRPr="00D01462">
          <w:rPr>
            <w:rStyle w:val="Hyperlink"/>
          </w:rPr>
          <w:t xml:space="preserve">Real-world weight change, adherence, and discontinuation among patients with type 2 diabetes </w:t>
        </w:r>
        <w:r w:rsidR="00D01462" w:rsidRPr="00D01462">
          <w:rPr>
            <w:rStyle w:val="Hyperlink"/>
          </w:rPr>
          <w:t>initiating</w:t>
        </w:r>
        <w:r w:rsidR="00C97EAC" w:rsidRPr="00D01462">
          <w:rPr>
            <w:rStyle w:val="Hyperlink"/>
          </w:rPr>
          <w:t xml:space="preserve"> </w:t>
        </w:r>
        <w:r w:rsidR="00B766E1" w:rsidRPr="00D01462">
          <w:rPr>
            <w:rStyle w:val="Hyperlink"/>
          </w:rPr>
          <w:t>glucagon-like peptide-1 receptor agonists in the UK</w:t>
        </w:r>
      </w:hyperlink>
      <w:r w:rsidR="00B766E1">
        <w:t xml:space="preserve">’, </w:t>
      </w:r>
      <w:r w:rsidR="00B766E1">
        <w:rPr>
          <w:i/>
          <w:iCs/>
        </w:rPr>
        <w:t>BMJ Open Diabetes Res Care</w:t>
      </w:r>
      <w:r w:rsidR="00B766E1">
        <w:t xml:space="preserve">, </w:t>
      </w:r>
      <w:r w:rsidR="00D01462">
        <w:t>10(1):e002517</w:t>
      </w:r>
    </w:p>
  </w:footnote>
  <w:footnote w:id="19">
    <w:p w14:paraId="6E65CA0C" w14:textId="308AFFE6" w:rsidR="006C0F9C" w:rsidRDefault="006C0F9C">
      <w:pPr>
        <w:pStyle w:val="FootnoteText"/>
      </w:pPr>
      <w:r>
        <w:rPr>
          <w:rStyle w:val="FootnoteReference"/>
        </w:rPr>
        <w:footnoteRef/>
      </w:r>
      <w:r>
        <w:t xml:space="preserve"> </w:t>
      </w:r>
      <w:r w:rsidR="008A4019">
        <w:t xml:space="preserve">Australian Government Department of Health, Disability and Ageing, </w:t>
      </w:r>
      <w:hyperlink r:id="rId18" w:history="1">
        <w:r w:rsidR="008A4019" w:rsidRPr="00D92654">
          <w:rPr>
            <w:rStyle w:val="Hyperlink"/>
          </w:rPr>
          <w:t>National Obesity Strategy 2022-2032</w:t>
        </w:r>
      </w:hyperlink>
      <w:r w:rsidR="008A4019">
        <w:t xml:space="preserve">, </w:t>
      </w:r>
      <w:r w:rsidR="00066DC0">
        <w:t>4 March 2022</w:t>
      </w:r>
      <w:r w:rsidR="00D92654">
        <w:t>.</w:t>
      </w:r>
    </w:p>
  </w:footnote>
  <w:footnote w:id="20">
    <w:p w14:paraId="43E4A4B6" w14:textId="1F8CDEFA" w:rsidR="00E550EE" w:rsidRDefault="00E550EE">
      <w:pPr>
        <w:pStyle w:val="FootnoteText"/>
      </w:pPr>
      <w:r>
        <w:rPr>
          <w:rStyle w:val="FootnoteReference"/>
        </w:rPr>
        <w:footnoteRef/>
      </w:r>
      <w:r>
        <w:t xml:space="preserve"> </w:t>
      </w:r>
      <w:r w:rsidR="008C30E8">
        <w:t>Australian Institute of Health and Welfare</w:t>
      </w:r>
      <w:r w:rsidR="0016507D">
        <w:t xml:space="preserve"> (AIHW)</w:t>
      </w:r>
      <w:r w:rsidR="008C30E8">
        <w:t xml:space="preserve">, </w:t>
      </w:r>
      <w:hyperlink r:id="rId19" w:history="1">
        <w:r w:rsidR="008C30E8" w:rsidRPr="00FB34CA">
          <w:rPr>
            <w:rStyle w:val="Hyperlink"/>
          </w:rPr>
          <w:t>Overweight and obesity</w:t>
        </w:r>
      </w:hyperlink>
      <w:r w:rsidR="008C30E8">
        <w:t xml:space="preserve">, </w:t>
      </w:r>
      <w:r w:rsidR="003A07EC">
        <w:t xml:space="preserve">Updated </w:t>
      </w:r>
      <w:r w:rsidR="00FB34CA">
        <w:t>17 June 2024, accessed 6 October 2025.</w:t>
      </w:r>
    </w:p>
  </w:footnote>
  <w:footnote w:id="21">
    <w:p w14:paraId="47EDC630" w14:textId="7BDA03D4" w:rsidR="0016507D" w:rsidRDefault="0016507D">
      <w:pPr>
        <w:pStyle w:val="FootnoteText"/>
      </w:pPr>
      <w:r>
        <w:rPr>
          <w:rStyle w:val="FootnoteReference"/>
        </w:rPr>
        <w:footnoteRef/>
      </w:r>
      <w:r>
        <w:t xml:space="preserve"> AIHW, </w:t>
      </w:r>
      <w:hyperlink r:id="rId20" w:anchor="meet-guidelines" w:history="1">
        <w:r w:rsidRPr="0016507D">
          <w:rPr>
            <w:rStyle w:val="Hyperlink"/>
          </w:rPr>
          <w:t>Physical activity</w:t>
        </w:r>
      </w:hyperlink>
      <w:r>
        <w:t>,</w:t>
      </w:r>
      <w:r w:rsidR="003A07EC">
        <w:t xml:space="preserve"> Updated</w:t>
      </w:r>
      <w:r>
        <w:t xml:space="preserve"> 17 June 2024, accessed 6 October 2025.</w:t>
      </w:r>
    </w:p>
  </w:footnote>
  <w:footnote w:id="22">
    <w:p w14:paraId="3E0C99FA" w14:textId="295D6872" w:rsidR="004B7026" w:rsidRDefault="004B7026">
      <w:pPr>
        <w:pStyle w:val="FootnoteText"/>
      </w:pPr>
      <w:r>
        <w:rPr>
          <w:rStyle w:val="FootnoteReference"/>
        </w:rPr>
        <w:footnoteRef/>
      </w:r>
      <w:r>
        <w:t xml:space="preserve"> </w:t>
      </w:r>
      <w:r w:rsidR="00470B4C">
        <w:t xml:space="preserve">ABS, </w:t>
      </w:r>
      <w:hyperlink r:id="rId21" w:anchor="energy-intake" w:history="1">
        <w:r w:rsidR="00D657F5" w:rsidRPr="007C4303">
          <w:rPr>
            <w:rStyle w:val="Hyperlink"/>
          </w:rPr>
          <w:t>Food and Nutrients</w:t>
        </w:r>
      </w:hyperlink>
      <w:r w:rsidR="00D657F5">
        <w:t>,</w:t>
      </w:r>
      <w:r w:rsidR="007C4303">
        <w:t xml:space="preserve"> </w:t>
      </w:r>
      <w:r w:rsidR="0076652D">
        <w:t>Released 5 September 2025, accessed 17 October 2025</w:t>
      </w:r>
    </w:p>
  </w:footnote>
  <w:footnote w:id="23">
    <w:p w14:paraId="639A9327" w14:textId="4D76FF77" w:rsidR="006426CD" w:rsidRPr="00230BE0" w:rsidRDefault="006426CD">
      <w:pPr>
        <w:pStyle w:val="FootnoteText"/>
      </w:pPr>
      <w:r>
        <w:rPr>
          <w:rStyle w:val="FootnoteReference"/>
        </w:rPr>
        <w:footnoteRef/>
      </w:r>
      <w:r>
        <w:t xml:space="preserve"> Carrello J, Lung T and Hayes A</w:t>
      </w:r>
      <w:r w:rsidR="00311B7B">
        <w:t xml:space="preserve"> (</w:t>
      </w:r>
      <w:r w:rsidR="00415BE0">
        <w:t xml:space="preserve">2024), </w:t>
      </w:r>
      <w:r w:rsidR="00CF38C0">
        <w:t>‘</w:t>
      </w:r>
      <w:hyperlink r:id="rId22" w:history="1">
        <w:r w:rsidR="00CF38C0" w:rsidRPr="009F7FDD">
          <w:rPr>
            <w:rStyle w:val="Hyperlink"/>
          </w:rPr>
          <w:t>Economic benefits of reducing childhood and adolescent overweight and obesity in Australia</w:t>
        </w:r>
      </w:hyperlink>
      <w:r w:rsidR="008E30F6">
        <w:t xml:space="preserve">’, </w:t>
      </w:r>
      <w:r w:rsidR="00B15EEB">
        <w:rPr>
          <w:i/>
          <w:iCs/>
        </w:rPr>
        <w:t xml:space="preserve">Health </w:t>
      </w:r>
      <w:r w:rsidR="00230BE0">
        <w:rPr>
          <w:i/>
          <w:iCs/>
        </w:rPr>
        <w:t>Res Pract</w:t>
      </w:r>
      <w:r w:rsidR="00230BE0">
        <w:t>, 34(3):e3432421.</w:t>
      </w:r>
    </w:p>
  </w:footnote>
  <w:footnote w:id="24">
    <w:p w14:paraId="5C92BE3E" w14:textId="76F44379" w:rsidR="00EF232B" w:rsidRPr="0006593E" w:rsidRDefault="00EF232B">
      <w:pPr>
        <w:pStyle w:val="FootnoteText"/>
      </w:pPr>
      <w:r>
        <w:rPr>
          <w:rStyle w:val="FootnoteReference"/>
        </w:rPr>
        <w:footnoteRef/>
      </w:r>
      <w:r>
        <w:t xml:space="preserve"> </w:t>
      </w:r>
      <w:r w:rsidR="00692307">
        <w:t>Chui</w:t>
      </w:r>
      <w:r w:rsidR="007549FD">
        <w:t xml:space="preserve"> SK, et al (2025), ‘</w:t>
      </w:r>
      <w:hyperlink r:id="rId23" w:history="1">
        <w:r w:rsidR="007549FD" w:rsidRPr="00F14F4C">
          <w:rPr>
            <w:rStyle w:val="Hyperlink"/>
          </w:rPr>
          <w:t>Insights from a codesigned dynamic modelling study of childhood and adolescent obesity in Australia</w:t>
        </w:r>
      </w:hyperlink>
      <w:r w:rsidR="007549FD">
        <w:t xml:space="preserve">’, </w:t>
      </w:r>
      <w:r w:rsidR="004B3AB4">
        <w:rPr>
          <w:i/>
          <w:iCs/>
        </w:rPr>
        <w:t xml:space="preserve">BMJ Public Health, </w:t>
      </w:r>
      <w:r w:rsidR="0006593E">
        <w:t>3(1)</w:t>
      </w:r>
      <w:r w:rsidR="00405F56">
        <w:t>:e001164.</w:t>
      </w:r>
    </w:p>
  </w:footnote>
  <w:footnote w:id="25">
    <w:p w14:paraId="59363C7F" w14:textId="08366711" w:rsidR="00F653F0" w:rsidRPr="000932F2" w:rsidRDefault="00F653F0">
      <w:pPr>
        <w:pStyle w:val="FootnoteText"/>
      </w:pPr>
      <w:r>
        <w:rPr>
          <w:rStyle w:val="FootnoteReference"/>
        </w:rPr>
        <w:footnoteRef/>
      </w:r>
      <w:r>
        <w:t xml:space="preserve"> </w:t>
      </w:r>
      <w:r w:rsidR="00777645">
        <w:t>Lou</w:t>
      </w:r>
      <w:r w:rsidR="00D03C6B">
        <w:t xml:space="preserve">renco S, </w:t>
      </w:r>
      <w:r w:rsidR="00F1170E">
        <w:t>et al (2022)</w:t>
      </w:r>
      <w:r w:rsidR="00BD42DC">
        <w:t>, ‘The Whole Grain Partnership – How a public-private partnership helped increase whole grain intake in Denmark’</w:t>
      </w:r>
      <w:r w:rsidR="00F42EBC">
        <w:t xml:space="preserve">, </w:t>
      </w:r>
      <w:r w:rsidR="000932F2">
        <w:rPr>
          <w:i/>
          <w:iCs/>
        </w:rPr>
        <w:t>Cereal Foods World</w:t>
      </w:r>
      <w:r w:rsidR="000932F2">
        <w:t xml:space="preserve">, </w:t>
      </w:r>
      <w:r w:rsidR="009B68C5">
        <w:t>64(3)</w:t>
      </w:r>
      <w:r w:rsidR="00B50C89">
        <w:t>.</w:t>
      </w:r>
    </w:p>
  </w:footnote>
  <w:footnote w:id="26">
    <w:p w14:paraId="7E9D8FE2" w14:textId="12A75812" w:rsidR="00EE1BE6" w:rsidRDefault="00EE1BE6">
      <w:pPr>
        <w:pStyle w:val="FootnoteText"/>
      </w:pPr>
      <w:r>
        <w:rPr>
          <w:rStyle w:val="FootnoteReference"/>
        </w:rPr>
        <w:footnoteRef/>
      </w:r>
      <w:r>
        <w:t xml:space="preserve"> </w:t>
      </w:r>
      <w:r w:rsidR="007A4F46" w:rsidRPr="007A4F46">
        <w:t>Rubino, F, et al.</w:t>
      </w:r>
      <w:r w:rsidR="00067B1C">
        <w:t>,</w:t>
      </w:r>
      <w:r w:rsidR="007A4F46" w:rsidRPr="007A4F46">
        <w:t xml:space="preserve"> </w:t>
      </w:r>
      <w:r w:rsidR="00067B1C">
        <w:t>‘</w:t>
      </w:r>
      <w:hyperlink r:id="rId24" w:history="1">
        <w:r w:rsidR="00067B1C" w:rsidRPr="00067B1C">
          <w:rPr>
            <w:rStyle w:val="Hyperlink"/>
          </w:rPr>
          <w:t>Definition and diagnostic criteria of clinical obesity</w:t>
        </w:r>
      </w:hyperlink>
      <w:r w:rsidR="00067B1C">
        <w:t>’,</w:t>
      </w:r>
      <w:r w:rsidR="007A4F46" w:rsidRPr="007A4F46">
        <w:t> </w:t>
      </w:r>
      <w:r w:rsidR="007A4F46" w:rsidRPr="007A4F46">
        <w:rPr>
          <w:i/>
          <w:iCs/>
        </w:rPr>
        <w:t>The Lancet Diabetes &amp; Endocrinology</w:t>
      </w:r>
      <w:r w:rsidR="007A4F46" w:rsidRPr="007A4F46">
        <w:t> 13.3 (2025): 221-262.</w:t>
      </w:r>
    </w:p>
  </w:footnote>
  <w:footnote w:id="27">
    <w:p w14:paraId="310FBAAB" w14:textId="08C7A727" w:rsidR="006C4378" w:rsidRPr="008207FF" w:rsidRDefault="006C4378">
      <w:pPr>
        <w:pStyle w:val="FootnoteText"/>
      </w:pPr>
      <w:r>
        <w:rPr>
          <w:rStyle w:val="FootnoteReference"/>
        </w:rPr>
        <w:footnoteRef/>
      </w:r>
      <w:r>
        <w:t xml:space="preserve"> Klair, N et al. (2023), ‘</w:t>
      </w:r>
      <w:r w:rsidR="00D10C06">
        <w:t xml:space="preserve">What is best for weight loss? A comparative review of the safety and efficacy of bariatric surgery </w:t>
      </w:r>
      <w:r w:rsidR="008207FF">
        <w:t xml:space="preserve">versus glucagon=-like peptide-1 analogue’, </w:t>
      </w:r>
      <w:r w:rsidR="008207FF">
        <w:rPr>
          <w:i/>
          <w:iCs/>
        </w:rPr>
        <w:t>Cureus</w:t>
      </w:r>
      <w:r w:rsidR="008207FF">
        <w:t xml:space="preserve">, </w:t>
      </w:r>
      <w:r w:rsidR="0046158F">
        <w:t>15(9)</w:t>
      </w:r>
      <w:r w:rsidR="00B531A5">
        <w:t>:e46197.</w:t>
      </w:r>
    </w:p>
  </w:footnote>
  <w:footnote w:id="28">
    <w:p w14:paraId="755F32E1" w14:textId="54F34B66" w:rsidR="00006C9C" w:rsidRDefault="00006C9C">
      <w:pPr>
        <w:pStyle w:val="FootnoteText"/>
      </w:pPr>
      <w:r>
        <w:rPr>
          <w:rStyle w:val="FootnoteReference"/>
        </w:rPr>
        <w:footnoteRef/>
      </w:r>
      <w:r>
        <w:t xml:space="preserve"> Department of Health, Disability and Ageing, </w:t>
      </w:r>
      <w:hyperlink r:id="rId25" w:history="1">
        <w:r w:rsidRPr="00CF44D3">
          <w:rPr>
            <w:rStyle w:val="Hyperlink"/>
          </w:rPr>
          <w:t>Medicare Benefits Schedule – Item 31575</w:t>
        </w:r>
      </w:hyperlink>
      <w:r>
        <w:t xml:space="preserve">, </w:t>
      </w:r>
      <w:r w:rsidR="00CF44D3">
        <w:t>accessed 28 September 2025.</w:t>
      </w:r>
    </w:p>
  </w:footnote>
  <w:footnote w:id="29">
    <w:p w14:paraId="3BBC3138" w14:textId="7A611747" w:rsidR="006911B1" w:rsidRPr="00DD4356" w:rsidRDefault="006911B1">
      <w:pPr>
        <w:pStyle w:val="FootnoteText"/>
      </w:pPr>
      <w:r>
        <w:rPr>
          <w:rStyle w:val="FootnoteReference"/>
        </w:rPr>
        <w:footnoteRef/>
      </w:r>
      <w:r>
        <w:t xml:space="preserve"> Goubar T et al (2025), ‘A population-based study of bariatric surgery trends in Australia</w:t>
      </w:r>
      <w:r w:rsidR="00DD4356">
        <w:t xml:space="preserve">: Variations reflect continuing inequities in access to surgery’, </w:t>
      </w:r>
      <w:r w:rsidR="00DD4356">
        <w:rPr>
          <w:i/>
          <w:iCs/>
        </w:rPr>
        <w:t>Obes Surg</w:t>
      </w:r>
      <w:r w:rsidR="00DD4356">
        <w:t>, 35(3):1026-1035.</w:t>
      </w:r>
    </w:p>
  </w:footnote>
  <w:footnote w:id="30">
    <w:p w14:paraId="7662B851" w14:textId="79F16F96" w:rsidR="00577C53" w:rsidRDefault="00577C53">
      <w:pPr>
        <w:pStyle w:val="FootnoteText"/>
      </w:pPr>
      <w:r>
        <w:rPr>
          <w:rStyle w:val="FootnoteReference"/>
        </w:rPr>
        <w:footnoteRef/>
      </w:r>
      <w:r>
        <w:t xml:space="preserve"> </w:t>
      </w:r>
      <w:r w:rsidR="00D73109">
        <w:t xml:space="preserve">Monash University, </w:t>
      </w:r>
      <w:hyperlink r:id="rId26" w:history="1">
        <w:r w:rsidR="00874B71" w:rsidRPr="00426687">
          <w:rPr>
            <w:rStyle w:val="Hyperlink"/>
          </w:rPr>
          <w:t>T</w:t>
        </w:r>
        <w:r w:rsidR="00050D83" w:rsidRPr="00426687">
          <w:rPr>
            <w:rStyle w:val="Hyperlink"/>
          </w:rPr>
          <w:t>he Bariatric Surgery Registry</w:t>
        </w:r>
        <w:r w:rsidR="00874B71" w:rsidRPr="00426687">
          <w:rPr>
            <w:rStyle w:val="Hyperlink"/>
          </w:rPr>
          <w:t xml:space="preserve"> Annual Report - 2024</w:t>
        </w:r>
      </w:hyperlink>
      <w:r w:rsidR="00C56A01">
        <w:t xml:space="preserve">, </w:t>
      </w:r>
      <w:r w:rsidR="00874B71">
        <w:t xml:space="preserve">July 2025, Report No. 12, </w:t>
      </w:r>
      <w:r w:rsidR="00426687">
        <w:t xml:space="preserve">Version 1.0, </w:t>
      </w:r>
      <w:r w:rsidR="00866DEF">
        <w:t>accessed 26 September 2025.</w:t>
      </w:r>
    </w:p>
  </w:footnote>
  <w:footnote w:id="31">
    <w:p w14:paraId="1F39B2A2" w14:textId="25EC2438" w:rsidR="0064543E" w:rsidRPr="00B6727B" w:rsidRDefault="0064543E">
      <w:pPr>
        <w:pStyle w:val="FootnoteText"/>
      </w:pPr>
      <w:r>
        <w:rPr>
          <w:rStyle w:val="FootnoteReference"/>
        </w:rPr>
        <w:footnoteRef/>
      </w:r>
      <w:r>
        <w:t xml:space="preserve"> </w:t>
      </w:r>
      <w:r w:rsidR="00922205">
        <w:t xml:space="preserve">Brown WA et al (2025), ‘Metabolic bariatric surgery </w:t>
      </w:r>
      <w:r w:rsidR="00ED1EB3">
        <w:t xml:space="preserve">generates substantial, sustained weight loss and health improvement in a real-world setting’, </w:t>
      </w:r>
      <w:r w:rsidR="00ED1EB3">
        <w:rPr>
          <w:i/>
          <w:iCs/>
        </w:rPr>
        <w:t>AN</w:t>
      </w:r>
      <w:r w:rsidR="00B6727B">
        <w:rPr>
          <w:i/>
          <w:iCs/>
        </w:rPr>
        <w:t>Z J Surg</w:t>
      </w:r>
      <w:r w:rsidR="00B6727B">
        <w:t xml:space="preserve">, </w:t>
      </w:r>
      <w:r w:rsidR="002D5D98">
        <w:t>95(5):895-903.</w:t>
      </w:r>
    </w:p>
  </w:footnote>
  <w:footnote w:id="32">
    <w:p w14:paraId="2F7155F7" w14:textId="0A1598CD" w:rsidR="00A200E0" w:rsidRPr="004D59C1" w:rsidRDefault="00A200E0">
      <w:pPr>
        <w:pStyle w:val="FootnoteText"/>
      </w:pPr>
      <w:r>
        <w:rPr>
          <w:rStyle w:val="FootnoteReference"/>
        </w:rPr>
        <w:footnoteRef/>
      </w:r>
      <w:r>
        <w:t xml:space="preserve"> Schauer PR et al (2017), ‘Bariatric surgery </w:t>
      </w:r>
      <w:r w:rsidR="00185D1B">
        <w:t xml:space="preserve">versus intensive medical therapy for diabetes – 5-year outcomes’, </w:t>
      </w:r>
      <w:r w:rsidR="00185D1B">
        <w:rPr>
          <w:i/>
          <w:iCs/>
        </w:rPr>
        <w:t>N En</w:t>
      </w:r>
      <w:r w:rsidR="004D59C1">
        <w:rPr>
          <w:i/>
          <w:iCs/>
        </w:rPr>
        <w:t>gl J Med</w:t>
      </w:r>
      <w:r w:rsidR="004D59C1">
        <w:t>, 376(7):64-651.</w:t>
      </w:r>
    </w:p>
  </w:footnote>
  <w:footnote w:id="33">
    <w:p w14:paraId="74B21FE0" w14:textId="77777777" w:rsidR="005642F2" w:rsidRDefault="005642F2" w:rsidP="005642F2">
      <w:pPr>
        <w:pStyle w:val="FootnoteText"/>
      </w:pPr>
      <w:r>
        <w:rPr>
          <w:rStyle w:val="FootnoteReference"/>
        </w:rPr>
        <w:footnoteRef/>
      </w:r>
      <w:r>
        <w:t xml:space="preserve"> Monash University and ANZMOSS, </w:t>
      </w:r>
      <w:hyperlink r:id="rId27" w:history="1">
        <w:r w:rsidRPr="00C56A01">
          <w:rPr>
            <w:rStyle w:val="Hyperlink"/>
          </w:rPr>
          <w:t>Tracking the results of bariatric surgery in Australia from the 2024 Annual Report of the Bariatric Surgery Registry</w:t>
        </w:r>
      </w:hyperlink>
      <w:r>
        <w:t>, accessed 26 September 2025.</w:t>
      </w:r>
    </w:p>
  </w:footnote>
  <w:footnote w:id="34">
    <w:p w14:paraId="3E6A2D95" w14:textId="5BF11B0B" w:rsidR="008159F9" w:rsidRPr="006722BF" w:rsidRDefault="008159F9">
      <w:pPr>
        <w:pStyle w:val="FootnoteText"/>
      </w:pPr>
      <w:r>
        <w:rPr>
          <w:rStyle w:val="FootnoteReference"/>
        </w:rPr>
        <w:footnoteRef/>
      </w:r>
      <w:r>
        <w:t xml:space="preserve"> </w:t>
      </w:r>
      <w:r w:rsidR="005F0A03">
        <w:t>Chandrakumar H et al (2023)</w:t>
      </w:r>
      <w:r w:rsidR="00131C17">
        <w:t>, ‘</w:t>
      </w:r>
      <w:hyperlink r:id="rId28" w:history="1">
        <w:r w:rsidR="00BA64C1" w:rsidRPr="004A228C">
          <w:rPr>
            <w:rStyle w:val="Hyperlink"/>
          </w:rPr>
          <w:t>The effects of bariatric surgery on cardiovascular outcomes and cardiovascular mortality</w:t>
        </w:r>
        <w:r w:rsidR="006722BF" w:rsidRPr="004A228C">
          <w:rPr>
            <w:rStyle w:val="Hyperlink"/>
          </w:rPr>
          <w:t>: A systematic review and meta-analysis</w:t>
        </w:r>
      </w:hyperlink>
      <w:r w:rsidR="006722BF">
        <w:t xml:space="preserve">’, </w:t>
      </w:r>
      <w:r w:rsidR="006722BF">
        <w:rPr>
          <w:i/>
          <w:iCs/>
        </w:rPr>
        <w:t>Cureus</w:t>
      </w:r>
      <w:r w:rsidR="006722BF">
        <w:t>, 15(2):</w:t>
      </w:r>
      <w:r w:rsidR="004A228C">
        <w:t>e34723.</w:t>
      </w:r>
    </w:p>
  </w:footnote>
  <w:footnote w:id="35">
    <w:p w14:paraId="3B531F31" w14:textId="1B045E10" w:rsidR="009900F0" w:rsidRPr="00654CB9" w:rsidRDefault="009900F0">
      <w:pPr>
        <w:pStyle w:val="FootnoteText"/>
      </w:pPr>
      <w:r>
        <w:rPr>
          <w:rStyle w:val="FootnoteReference"/>
        </w:rPr>
        <w:footnoteRef/>
      </w:r>
      <w:r>
        <w:t xml:space="preserve"> Aminian A et al (</w:t>
      </w:r>
      <w:r w:rsidR="003C1A4D">
        <w:t>2019), ‘</w:t>
      </w:r>
      <w:hyperlink r:id="rId29" w:history="1">
        <w:r w:rsidR="003C1A4D" w:rsidRPr="00D143CC">
          <w:rPr>
            <w:rStyle w:val="Hyperlink"/>
          </w:rPr>
          <w:t>Association of metabolic surgery with major adverse cardiovascular outcomes</w:t>
        </w:r>
        <w:r w:rsidR="007E1F08" w:rsidRPr="00D143CC">
          <w:rPr>
            <w:rStyle w:val="Hyperlink"/>
          </w:rPr>
          <w:t xml:space="preserve"> in patients with type 2 diabetes and obesity</w:t>
        </w:r>
      </w:hyperlink>
      <w:r w:rsidR="007E1F08">
        <w:t xml:space="preserve">’, </w:t>
      </w:r>
      <w:r w:rsidR="00654CB9">
        <w:rPr>
          <w:i/>
          <w:iCs/>
        </w:rPr>
        <w:t>JAMA</w:t>
      </w:r>
      <w:r w:rsidR="00654CB9">
        <w:t>, 322(13):1271-1282.</w:t>
      </w:r>
    </w:p>
  </w:footnote>
  <w:footnote w:id="36">
    <w:p w14:paraId="25B5539B" w14:textId="05257F82" w:rsidR="009477EA" w:rsidRDefault="009477EA">
      <w:pPr>
        <w:pStyle w:val="FootnoteText"/>
      </w:pPr>
      <w:r>
        <w:rPr>
          <w:rStyle w:val="FootnoteReference"/>
        </w:rPr>
        <w:footnoteRef/>
      </w:r>
      <w:r>
        <w:t xml:space="preserve"> Singh P et al (2020), ‘</w:t>
      </w:r>
      <w:hyperlink r:id="rId30" w:history="1">
        <w:r w:rsidRPr="009C25E3">
          <w:rPr>
            <w:rStyle w:val="Hyperlink"/>
          </w:rPr>
          <w:t>Impact of bariatric surgery on cardiovascular outcomes and mortality and population-based cohort study</w:t>
        </w:r>
      </w:hyperlink>
      <w:r>
        <w:t>’</w:t>
      </w:r>
      <w:r w:rsidR="00F74776">
        <w:t xml:space="preserve">, </w:t>
      </w:r>
      <w:r w:rsidR="00F74776" w:rsidRPr="00F74776">
        <w:rPr>
          <w:i/>
          <w:iCs/>
        </w:rPr>
        <w:t>Br J Surg</w:t>
      </w:r>
      <w:r w:rsidR="00F74776">
        <w:t xml:space="preserve">, </w:t>
      </w:r>
      <w:r w:rsidR="008F4C33">
        <w:t>107(4):</w:t>
      </w:r>
      <w:r w:rsidR="009C25E3">
        <w:t>432-442.</w:t>
      </w:r>
    </w:p>
  </w:footnote>
  <w:footnote w:id="37">
    <w:p w14:paraId="4217AC30" w14:textId="0A9A5C68" w:rsidR="00BF29EF" w:rsidRPr="0058371B" w:rsidRDefault="00BF29EF">
      <w:pPr>
        <w:pStyle w:val="FootnoteText"/>
      </w:pPr>
      <w:r>
        <w:rPr>
          <w:rStyle w:val="FootnoteReference"/>
        </w:rPr>
        <w:footnoteRef/>
      </w:r>
      <w:r>
        <w:t xml:space="preserve"> </w:t>
      </w:r>
      <w:r w:rsidR="008B4DC5">
        <w:t>Barrett TS et al (2025), ‘</w:t>
      </w:r>
      <w:hyperlink r:id="rId31" w:history="1">
        <w:r w:rsidR="008B4DC5" w:rsidRPr="0058371B">
          <w:rPr>
            <w:rStyle w:val="Hyperlink"/>
          </w:rPr>
          <w:t>Obesity treatment with bariatric surgery vs GLP-1 receptor agonists</w:t>
        </w:r>
      </w:hyperlink>
      <w:r w:rsidR="008B4DC5">
        <w:t xml:space="preserve">’, </w:t>
      </w:r>
      <w:r w:rsidR="009B129E">
        <w:rPr>
          <w:i/>
          <w:iCs/>
        </w:rPr>
        <w:t>JAMA Surg</w:t>
      </w:r>
      <w:r w:rsidR="0058371B">
        <w:t>, Sep 17 2025:e253590.</w:t>
      </w:r>
    </w:p>
  </w:footnote>
  <w:footnote w:id="38">
    <w:p w14:paraId="2CFC92AB" w14:textId="6EDB665F" w:rsidR="001E2187" w:rsidRPr="00FE5BB5" w:rsidRDefault="001E2187">
      <w:pPr>
        <w:pStyle w:val="FootnoteText"/>
      </w:pPr>
      <w:r>
        <w:rPr>
          <w:rStyle w:val="FootnoteReference"/>
        </w:rPr>
        <w:footnoteRef/>
      </w:r>
      <w:r>
        <w:t xml:space="preserve"> </w:t>
      </w:r>
      <w:r w:rsidR="00AC56A5">
        <w:t>Sarma S and Palcu P (2022), ‘</w:t>
      </w:r>
      <w:hyperlink r:id="rId32" w:history="1">
        <w:r w:rsidR="00AC56A5" w:rsidRPr="00A3352C">
          <w:rPr>
            <w:rStyle w:val="Hyperlink"/>
          </w:rPr>
          <w:t>Weight loss between glucagon-like peptide-1 receptor agonists and bariatric surgery in adults with obesity: A systematic review and meta-analysis</w:t>
        </w:r>
      </w:hyperlink>
      <w:r w:rsidR="00AC56A5">
        <w:t>’</w:t>
      </w:r>
      <w:r w:rsidR="00A3352C">
        <w:t xml:space="preserve">, </w:t>
      </w:r>
      <w:r w:rsidR="00FE5BB5">
        <w:rPr>
          <w:i/>
          <w:iCs/>
        </w:rPr>
        <w:t>Obesity</w:t>
      </w:r>
      <w:r w:rsidR="00FE5BB5">
        <w:t xml:space="preserve">, </w:t>
      </w:r>
      <w:r w:rsidR="00503D9E">
        <w:t>30:</w:t>
      </w:r>
      <w:r w:rsidR="00A44D2F">
        <w:t>2111-2121.</w:t>
      </w:r>
    </w:p>
  </w:footnote>
  <w:footnote w:id="39">
    <w:p w14:paraId="62BD69F5" w14:textId="389A43F5" w:rsidR="003C7973" w:rsidRPr="00A67561" w:rsidRDefault="003C7973">
      <w:pPr>
        <w:pStyle w:val="FootnoteText"/>
      </w:pPr>
      <w:r>
        <w:rPr>
          <w:rStyle w:val="FootnoteReference"/>
        </w:rPr>
        <w:footnoteRef/>
      </w:r>
      <w:r>
        <w:t xml:space="preserve"> Sagy YW et al (2025), ‘</w:t>
      </w:r>
      <w:hyperlink r:id="rId33" w:history="1">
        <w:r w:rsidRPr="00AC4838">
          <w:rPr>
            <w:rStyle w:val="Hyperlink"/>
          </w:rPr>
          <w:t xml:space="preserve">Glucagon-like peptide-1 </w:t>
        </w:r>
        <w:r w:rsidR="00A45B13" w:rsidRPr="00AC4838">
          <w:rPr>
            <w:rStyle w:val="Hyperlink"/>
          </w:rPr>
          <w:t>receptor</w:t>
        </w:r>
        <w:r w:rsidRPr="00AC4838">
          <w:rPr>
            <w:rStyle w:val="Hyperlink"/>
          </w:rPr>
          <w:t xml:space="preserve"> agonists compared with metabolic bariatric surgery and the </w:t>
        </w:r>
        <w:r w:rsidR="00A45B13" w:rsidRPr="00AC4838">
          <w:rPr>
            <w:rStyle w:val="Hyperlink"/>
          </w:rPr>
          <w:t>risk</w:t>
        </w:r>
        <w:r w:rsidRPr="00AC4838">
          <w:rPr>
            <w:rStyle w:val="Hyperlink"/>
          </w:rPr>
          <w:t xml:space="preserve"> of obesity</w:t>
        </w:r>
        <w:r w:rsidR="00A45B13" w:rsidRPr="00AC4838">
          <w:rPr>
            <w:rStyle w:val="Hyperlink"/>
          </w:rPr>
          <w:t>-related cancer: and observational, retrospective cohort study</w:t>
        </w:r>
      </w:hyperlink>
      <w:r w:rsidR="00A45B13">
        <w:t xml:space="preserve">’, </w:t>
      </w:r>
      <w:r w:rsidR="00A67561">
        <w:rPr>
          <w:i/>
          <w:iCs/>
        </w:rPr>
        <w:t>eClinicalMedicine</w:t>
      </w:r>
      <w:r w:rsidR="00A67561">
        <w:t>, 83: 10</w:t>
      </w:r>
      <w:r w:rsidR="00AC4838">
        <w:t>3213.</w:t>
      </w:r>
    </w:p>
  </w:footnote>
  <w:footnote w:id="40">
    <w:p w14:paraId="33877F42" w14:textId="783980BD" w:rsidR="008C06C2" w:rsidRPr="00E8374D" w:rsidRDefault="008C06C2">
      <w:pPr>
        <w:pStyle w:val="FootnoteText"/>
      </w:pPr>
      <w:r>
        <w:rPr>
          <w:rStyle w:val="FootnoteReference"/>
        </w:rPr>
        <w:footnoteRef/>
      </w:r>
      <w:r>
        <w:t xml:space="preserve"> </w:t>
      </w:r>
      <w:r w:rsidR="00F440FA">
        <w:t>Maan S et al (2025), ‘</w:t>
      </w:r>
      <w:hyperlink r:id="rId34" w:history="1">
        <w:r w:rsidR="00F440FA" w:rsidRPr="00B62369">
          <w:rPr>
            <w:rStyle w:val="Hyperlink"/>
          </w:rPr>
          <w:t>Metabolic and bariatric surgery versus glucagon-like peptide-1 rec</w:t>
        </w:r>
        <w:r w:rsidR="00B62369" w:rsidRPr="00B62369">
          <w:rPr>
            <w:rStyle w:val="Hyperlink"/>
          </w:rPr>
          <w:t>eptor agonist therapy: A comparison of cardiovascular outcomes in patients with obesity</w:t>
        </w:r>
      </w:hyperlink>
      <w:r w:rsidR="00B62369">
        <w:t>’,</w:t>
      </w:r>
      <w:r w:rsidR="00E8374D">
        <w:rPr>
          <w:i/>
          <w:iCs/>
        </w:rPr>
        <w:t xml:space="preserve"> Am J Surg</w:t>
      </w:r>
      <w:r w:rsidR="00E8374D">
        <w:t>, 242:116242.</w:t>
      </w:r>
    </w:p>
  </w:footnote>
  <w:footnote w:id="41">
    <w:p w14:paraId="4A155DBE" w14:textId="0CD1DB06" w:rsidR="002566D5" w:rsidRPr="00F40EE3" w:rsidRDefault="002566D5">
      <w:pPr>
        <w:pStyle w:val="FootnoteText"/>
      </w:pPr>
      <w:r>
        <w:rPr>
          <w:rStyle w:val="FootnoteReference"/>
        </w:rPr>
        <w:footnoteRef/>
      </w:r>
      <w:r>
        <w:t xml:space="preserve"> Gasoyan H et al (2025), ‘</w:t>
      </w:r>
      <w:r w:rsidR="00F40EE3">
        <w:t xml:space="preserve">Macrovascular and microvascular outcomes of metabolic bariatric surgery versus GLP-1 receptor agonists in patients with diabetes and obesity’, </w:t>
      </w:r>
      <w:r w:rsidR="00F40EE3">
        <w:rPr>
          <w:i/>
          <w:iCs/>
        </w:rPr>
        <w:t>Nature Medicine</w:t>
      </w:r>
      <w:r w:rsidR="00F40EE3">
        <w:t xml:space="preserve">, </w:t>
      </w:r>
      <w:r w:rsidR="00CD7511">
        <w:t>published 16 September 2025.</w:t>
      </w:r>
    </w:p>
  </w:footnote>
  <w:footnote w:id="42">
    <w:p w14:paraId="0DB2E3F5" w14:textId="65276A3A" w:rsidR="002E7D47" w:rsidRPr="00E61D7E" w:rsidRDefault="002E7D47">
      <w:pPr>
        <w:pStyle w:val="FootnoteText"/>
      </w:pPr>
      <w:r>
        <w:rPr>
          <w:rStyle w:val="FootnoteReference"/>
        </w:rPr>
        <w:footnoteRef/>
      </w:r>
      <w:r>
        <w:t xml:space="preserve"> Sagy YW et al (2024), ‘Effectiveness of metabolic bariatric surgery versus glucagon-like peptide-1 receptor agonists for prevention of congestive heart failure’, </w:t>
      </w:r>
      <w:r w:rsidR="00E61D7E">
        <w:rPr>
          <w:i/>
          <w:iCs/>
        </w:rPr>
        <w:t>Nature Medicine</w:t>
      </w:r>
      <w:r w:rsidR="00E61D7E">
        <w:t xml:space="preserve">, </w:t>
      </w:r>
      <w:r w:rsidR="009F7BD4">
        <w:t>30:2337-2342.</w:t>
      </w:r>
    </w:p>
  </w:footnote>
  <w:footnote w:id="43">
    <w:p w14:paraId="668B5843" w14:textId="77777777" w:rsidR="00853D60" w:rsidRPr="003711EC" w:rsidRDefault="00853D60" w:rsidP="00853D60">
      <w:pPr>
        <w:pStyle w:val="FootnoteText"/>
      </w:pPr>
      <w:r>
        <w:rPr>
          <w:rStyle w:val="FootnoteReference"/>
        </w:rPr>
        <w:footnoteRef/>
      </w:r>
      <w:r>
        <w:t xml:space="preserve"> Kim M, Schweitzer MA and Kim JS (2025), ‘</w:t>
      </w:r>
      <w:hyperlink r:id="rId35" w:history="1">
        <w:r w:rsidRPr="00012D01">
          <w:rPr>
            <w:rStyle w:val="Hyperlink"/>
          </w:rPr>
          <w:t>Use of glucagon-like peptide-1 agonists among individuals undergoing bariatric surgery in the US’</w:t>
        </w:r>
      </w:hyperlink>
      <w:r>
        <w:t xml:space="preserve">, </w:t>
      </w:r>
      <w:r>
        <w:rPr>
          <w:i/>
          <w:iCs/>
        </w:rPr>
        <w:t>JAMA Surg</w:t>
      </w:r>
      <w:r>
        <w:t>, 2025:3089.</w:t>
      </w:r>
    </w:p>
  </w:footnote>
  <w:footnote w:id="44">
    <w:p w14:paraId="0AC5DD02" w14:textId="77777777" w:rsidR="00853D60" w:rsidRDefault="00853D60" w:rsidP="00853D60">
      <w:pPr>
        <w:pStyle w:val="FootnoteText"/>
      </w:pPr>
      <w:r>
        <w:rPr>
          <w:rStyle w:val="FootnoteReference"/>
        </w:rPr>
        <w:footnoteRef/>
      </w:r>
      <w:r>
        <w:t xml:space="preserve"> Monash University, </w:t>
      </w:r>
      <w:hyperlink r:id="rId36" w:history="1">
        <w:r w:rsidRPr="00954440">
          <w:rPr>
            <w:rStyle w:val="Hyperlink"/>
          </w:rPr>
          <w:t>Fewer Australians having bariatric surgery: Monash University-led report</w:t>
        </w:r>
      </w:hyperlink>
      <w:r>
        <w:t>, 21 August 2024, accessed 26 September 2025.</w:t>
      </w:r>
    </w:p>
  </w:footnote>
  <w:footnote w:id="45">
    <w:p w14:paraId="6AEA00EE" w14:textId="57E92E84" w:rsidR="006C6F8C" w:rsidRPr="000B01E8" w:rsidRDefault="006C6F8C">
      <w:pPr>
        <w:pStyle w:val="FootnoteText"/>
      </w:pPr>
      <w:r>
        <w:rPr>
          <w:rStyle w:val="FootnoteReference"/>
        </w:rPr>
        <w:footnoteRef/>
      </w:r>
      <w:r>
        <w:t xml:space="preserve"> </w:t>
      </w:r>
      <w:r w:rsidR="00596D05">
        <w:t>Esparham A et al (2024), ‘</w:t>
      </w:r>
      <w:hyperlink r:id="rId37" w:history="1">
        <w:r w:rsidR="00136E48" w:rsidRPr="00283C52">
          <w:rPr>
            <w:rStyle w:val="Hyperlink"/>
          </w:rPr>
          <w:t xml:space="preserve">Safety and efficacy of glucagon-like peptide-1 (GLP-1) receptor agonists in patients with weight regain or insufficient </w:t>
        </w:r>
        <w:r w:rsidR="00662173" w:rsidRPr="00283C52">
          <w:rPr>
            <w:rStyle w:val="Hyperlink"/>
          </w:rPr>
          <w:t>weight loss after metabolic bariatric surgery: A systematic review and meta-analysis</w:t>
        </w:r>
      </w:hyperlink>
      <w:r w:rsidR="00662173">
        <w:t xml:space="preserve">’, </w:t>
      </w:r>
      <w:r w:rsidR="000B01E8">
        <w:rPr>
          <w:i/>
          <w:iCs/>
        </w:rPr>
        <w:t>Obesity Reviews</w:t>
      </w:r>
      <w:r w:rsidR="000B01E8">
        <w:t xml:space="preserve">, </w:t>
      </w:r>
      <w:r w:rsidR="00283C52">
        <w:t>25:e13811.</w:t>
      </w:r>
    </w:p>
  </w:footnote>
  <w:footnote w:id="46">
    <w:p w14:paraId="63BC40F5" w14:textId="77777777" w:rsidR="00853D60" w:rsidRPr="00EA1DE4" w:rsidRDefault="00853D60" w:rsidP="00853D60">
      <w:pPr>
        <w:pStyle w:val="FootnoteText"/>
      </w:pPr>
      <w:r>
        <w:rPr>
          <w:rStyle w:val="FootnoteReference"/>
        </w:rPr>
        <w:footnoteRef/>
      </w:r>
      <w:r>
        <w:t xml:space="preserve"> Mok J et al (2023), ‘</w:t>
      </w:r>
      <w:hyperlink r:id="rId38" w:history="1">
        <w:r w:rsidRPr="007C3837">
          <w:rPr>
            <w:rStyle w:val="Hyperlink"/>
          </w:rPr>
          <w:t>Safety and efficacy of liraglutide, 3.0 mg, once daily vs placebo in patients with poor weight loss following metabolic surgery: the BARI-OPTIMISE randomised clinical trial</w:t>
        </w:r>
      </w:hyperlink>
      <w:r>
        <w:t xml:space="preserve">’, </w:t>
      </w:r>
      <w:r>
        <w:rPr>
          <w:i/>
          <w:iCs/>
        </w:rPr>
        <w:t>JAMA Surg</w:t>
      </w:r>
      <w:r>
        <w:t>, 158(10):1003-1011.</w:t>
      </w:r>
    </w:p>
  </w:footnote>
  <w:footnote w:id="47">
    <w:p w14:paraId="783FE9F0" w14:textId="2DEC42D5" w:rsidR="00B64ECB" w:rsidRPr="00B64ECB" w:rsidRDefault="00B64ECB">
      <w:pPr>
        <w:pStyle w:val="FootnoteText"/>
      </w:pPr>
      <w:r>
        <w:rPr>
          <w:rStyle w:val="FootnoteReference"/>
        </w:rPr>
        <w:footnoteRef/>
      </w:r>
      <w:r>
        <w:t xml:space="preserve"> Roddy KL et al (2025), ‘Obesity treatment as a bridge to solid organ transplantation: A comparison of bariatric surgery to medical therapy’, </w:t>
      </w:r>
      <w:r>
        <w:rPr>
          <w:i/>
          <w:iCs/>
        </w:rPr>
        <w:t>Obesity Pillars</w:t>
      </w:r>
      <w:r>
        <w:t>, 16: 100199.</w:t>
      </w:r>
    </w:p>
  </w:footnote>
  <w:footnote w:id="48">
    <w:p w14:paraId="6EC61986" w14:textId="55A10572" w:rsidR="0034162F" w:rsidRDefault="0034162F">
      <w:pPr>
        <w:pStyle w:val="FootnoteText"/>
      </w:pPr>
      <w:r>
        <w:rPr>
          <w:rStyle w:val="FootnoteReference"/>
        </w:rPr>
        <w:footnoteRef/>
      </w:r>
      <w:r>
        <w:t xml:space="preserve"> D</w:t>
      </w:r>
      <w:r w:rsidR="00377416">
        <w:t xml:space="preserve">epartment of Health, Disability and Ageing, </w:t>
      </w:r>
      <w:hyperlink r:id="rId39" w:history="1">
        <w:r w:rsidR="00A339AB" w:rsidRPr="00A339AB">
          <w:rPr>
            <w:rStyle w:val="Hyperlink"/>
          </w:rPr>
          <w:t xml:space="preserve">DUSC Review: </w:t>
        </w:r>
        <w:r w:rsidR="00377416" w:rsidRPr="00A339AB">
          <w:rPr>
            <w:rStyle w:val="Hyperlink"/>
          </w:rPr>
          <w:t>Medicines for the treatment of type 2 diabetes, September 2022</w:t>
        </w:r>
      </w:hyperlink>
      <w:r w:rsidR="00377416">
        <w:t>, accessed 26 September 2025.</w:t>
      </w:r>
    </w:p>
  </w:footnote>
  <w:footnote w:id="49">
    <w:p w14:paraId="1209551B" w14:textId="1C4B8DFA" w:rsidR="000D5712" w:rsidRDefault="000D5712" w:rsidP="000D5712">
      <w:pPr>
        <w:pStyle w:val="FootnoteText"/>
      </w:pPr>
      <w:r>
        <w:rPr>
          <w:rStyle w:val="FootnoteReference"/>
        </w:rPr>
        <w:footnoteRef/>
      </w:r>
      <w:r>
        <w:t xml:space="preserve"> Department of Health, Disability and Ageing, </w:t>
      </w:r>
      <w:hyperlink r:id="rId40" w:history="1">
        <w:r w:rsidRPr="00DC5636">
          <w:rPr>
            <w:rStyle w:val="Hyperlink"/>
          </w:rPr>
          <w:t xml:space="preserve">DUSC Review: </w:t>
        </w:r>
        <w:r w:rsidR="00C94658" w:rsidRPr="00DC5636">
          <w:rPr>
            <w:rStyle w:val="Hyperlink"/>
          </w:rPr>
          <w:t>Analysis of semaglutide for type 2 diabetes mellitus</w:t>
        </w:r>
        <w:r w:rsidRPr="00DC5636">
          <w:rPr>
            <w:rStyle w:val="Hyperlink"/>
          </w:rPr>
          <w:t xml:space="preserve">, </w:t>
        </w:r>
        <w:r w:rsidR="009D0801" w:rsidRPr="00DC5636">
          <w:rPr>
            <w:rStyle w:val="Hyperlink"/>
          </w:rPr>
          <w:t xml:space="preserve">June </w:t>
        </w:r>
        <w:r w:rsidRPr="00DC5636">
          <w:rPr>
            <w:rStyle w:val="Hyperlink"/>
          </w:rPr>
          <w:t>202</w:t>
        </w:r>
        <w:r w:rsidR="009D0801" w:rsidRPr="00DC5636">
          <w:rPr>
            <w:rStyle w:val="Hyperlink"/>
          </w:rPr>
          <w:t>4</w:t>
        </w:r>
      </w:hyperlink>
      <w:r>
        <w:t>, accessed 26 September 2025.</w:t>
      </w:r>
    </w:p>
    <w:p w14:paraId="0DB2FE54" w14:textId="0B12A755" w:rsidR="000D5712" w:rsidRDefault="000D5712">
      <w:pPr>
        <w:pStyle w:val="FootnoteText"/>
      </w:pPr>
    </w:p>
  </w:footnote>
  <w:footnote w:id="50">
    <w:p w14:paraId="12A1826D" w14:textId="5A1A051C" w:rsidR="00390FF8" w:rsidRDefault="00390FF8">
      <w:pPr>
        <w:pStyle w:val="FootnoteText"/>
      </w:pPr>
      <w:r>
        <w:rPr>
          <w:rStyle w:val="FootnoteReference"/>
        </w:rPr>
        <w:footnoteRef/>
      </w:r>
      <w:r>
        <w:t xml:space="preserve"> Australian Product Information</w:t>
      </w:r>
      <w:r w:rsidR="002D45DB">
        <w:t xml:space="preserve">, </w:t>
      </w:r>
      <w:hyperlink r:id="rId41" w:history="1">
        <w:r w:rsidR="002D45DB" w:rsidRPr="00D2716A">
          <w:rPr>
            <w:rStyle w:val="Hyperlink"/>
          </w:rPr>
          <w:t>Mounjaro® (tirzepatide) solution for injection</w:t>
        </w:r>
      </w:hyperlink>
      <w:r w:rsidR="002D45DB">
        <w:t xml:space="preserve">, </w:t>
      </w:r>
      <w:r w:rsidR="00371292">
        <w:t>vA10.0, September 2025, accessed 9 December 2025.</w:t>
      </w:r>
    </w:p>
  </w:footnote>
  <w:footnote w:id="51">
    <w:p w14:paraId="1C782CC4" w14:textId="7559CCF3" w:rsidR="003463D6" w:rsidRPr="000D0B73" w:rsidRDefault="003463D6">
      <w:pPr>
        <w:pStyle w:val="FootnoteText"/>
      </w:pPr>
      <w:r>
        <w:rPr>
          <w:rStyle w:val="FootnoteReference"/>
        </w:rPr>
        <w:footnoteRef/>
      </w:r>
      <w:r>
        <w:t xml:space="preserve"> </w:t>
      </w:r>
      <w:r w:rsidR="003455F6">
        <w:t>Manne-Goehler J. (2025)</w:t>
      </w:r>
      <w:r w:rsidR="000D0B73">
        <w:t>, ‘</w:t>
      </w:r>
      <w:hyperlink r:id="rId42" w:history="1">
        <w:r w:rsidR="000D0B73" w:rsidRPr="001E3D01">
          <w:rPr>
            <w:rStyle w:val="Hyperlink"/>
          </w:rPr>
          <w:t>Side effects of GLP-1 receptor agonists</w:t>
        </w:r>
      </w:hyperlink>
      <w:r w:rsidR="000D0B73">
        <w:t xml:space="preserve">’, </w:t>
      </w:r>
      <w:r w:rsidR="000D0B73">
        <w:rPr>
          <w:i/>
          <w:iCs/>
        </w:rPr>
        <w:t>BMJ</w:t>
      </w:r>
      <w:r w:rsidR="000D0B73">
        <w:t>, 390:r1606.</w:t>
      </w:r>
    </w:p>
  </w:footnote>
  <w:footnote w:id="52">
    <w:p w14:paraId="2E33AA2D" w14:textId="282232E4" w:rsidR="008F01AD" w:rsidRPr="0020235E" w:rsidRDefault="008F01AD">
      <w:pPr>
        <w:pStyle w:val="FootnoteText"/>
      </w:pPr>
      <w:r>
        <w:rPr>
          <w:rStyle w:val="FootnoteReference"/>
        </w:rPr>
        <w:footnoteRef/>
      </w:r>
      <w:r>
        <w:t xml:space="preserve"> </w:t>
      </w:r>
      <w:r w:rsidR="00513698">
        <w:t>Muller DRP et al. (2023), ‘</w:t>
      </w:r>
      <w:hyperlink r:id="rId43" w:history="1">
        <w:r w:rsidR="00513698" w:rsidRPr="00194CFA">
          <w:rPr>
            <w:rStyle w:val="Hyperlink"/>
          </w:rPr>
          <w:t xml:space="preserve">Effects of GLP-1 agonists and SGLT2 </w:t>
        </w:r>
        <w:r w:rsidR="0020235E" w:rsidRPr="00194CFA">
          <w:rPr>
            <w:rStyle w:val="Hyperlink"/>
          </w:rPr>
          <w:t>inhibitors</w:t>
        </w:r>
        <w:r w:rsidR="00513698" w:rsidRPr="00194CFA">
          <w:rPr>
            <w:rStyle w:val="Hyperlink"/>
          </w:rPr>
          <w:t xml:space="preserve"> during pregnancy and lactation on offspring outcomes: a systematic </w:t>
        </w:r>
        <w:r w:rsidR="0020235E" w:rsidRPr="00194CFA">
          <w:rPr>
            <w:rStyle w:val="Hyperlink"/>
          </w:rPr>
          <w:t>review of the evidence</w:t>
        </w:r>
      </w:hyperlink>
      <w:r w:rsidR="0020235E">
        <w:t xml:space="preserve">’, </w:t>
      </w:r>
      <w:r w:rsidR="0020235E">
        <w:rPr>
          <w:i/>
          <w:iCs/>
        </w:rPr>
        <w:t>Frontiers in Endocrinology</w:t>
      </w:r>
      <w:r w:rsidR="0020235E">
        <w:t>, 10(14)</w:t>
      </w:r>
      <w:r w:rsidR="00194CFA">
        <w:t>:1215356.</w:t>
      </w:r>
    </w:p>
  </w:footnote>
  <w:footnote w:id="53">
    <w:p w14:paraId="616905E0" w14:textId="15B7B8B6" w:rsidR="003B3F11" w:rsidRDefault="003B3F11" w:rsidP="003B3F11">
      <w:pPr>
        <w:pStyle w:val="FootnoteText"/>
      </w:pPr>
      <w:r>
        <w:rPr>
          <w:rStyle w:val="FootnoteReference"/>
        </w:rPr>
        <w:footnoteRef/>
      </w:r>
      <w:r>
        <w:t xml:space="preserve"> Department of Health and Aged Care. Australian Guideline for assessing and managing cardiovascular disease risk. ‘</w:t>
      </w:r>
      <w:hyperlink r:id="rId44" w:history="1">
        <w:r w:rsidRPr="003B3F11">
          <w:rPr>
            <w:rStyle w:val="Hyperlink"/>
          </w:rPr>
          <w:t>3a. Reclassification factors and other considerations</w:t>
        </w:r>
      </w:hyperlink>
      <w:r>
        <w:t>’. 2023.</w:t>
      </w:r>
    </w:p>
  </w:footnote>
  <w:footnote w:id="54">
    <w:p w14:paraId="20587CEC" w14:textId="77777777" w:rsidR="003B3F11" w:rsidRPr="00F207CC" w:rsidRDefault="003B3F11" w:rsidP="003B3F11">
      <w:pPr>
        <w:pStyle w:val="FootnoteText"/>
      </w:pPr>
      <w:r>
        <w:rPr>
          <w:rStyle w:val="FootnoteReference"/>
        </w:rPr>
        <w:footnoteRef/>
      </w:r>
      <w:r>
        <w:t xml:space="preserve"> Pylypchuk, R et al. (2018), ‘Cardiovascular disease risk prediction equations in 400 000 primary care patients in New Zealand: A derivation and validation study’, </w:t>
      </w:r>
      <w:r>
        <w:rPr>
          <w:i/>
          <w:iCs/>
        </w:rPr>
        <w:t>The Lancet</w:t>
      </w:r>
      <w:r>
        <w:t>, 391(10133):1897-1907.</w:t>
      </w:r>
    </w:p>
  </w:footnote>
  <w:footnote w:id="55">
    <w:p w14:paraId="32DE049C" w14:textId="77777777" w:rsidR="003B3F11" w:rsidRPr="00C74597" w:rsidRDefault="003B3F11" w:rsidP="003B3F11">
      <w:pPr>
        <w:pStyle w:val="FootnoteText"/>
      </w:pPr>
      <w:r>
        <w:rPr>
          <w:rStyle w:val="FootnoteReference"/>
        </w:rPr>
        <w:footnoteRef/>
      </w:r>
      <w:r>
        <w:t xml:space="preserve"> Chaleyachetty R et al (2021), ‘Ethnicity-specific BMI cut-offs for obesity based on type 2 diabetes risk in England: a population-based cohort study’, </w:t>
      </w:r>
      <w:r>
        <w:rPr>
          <w:i/>
          <w:iCs/>
        </w:rPr>
        <w:t>The Lancet</w:t>
      </w:r>
      <w:r>
        <w:t>, 9(7):419-426.</w:t>
      </w:r>
    </w:p>
  </w:footnote>
  <w:footnote w:id="56">
    <w:p w14:paraId="0599E468" w14:textId="3BEFC975" w:rsidR="006F18C9" w:rsidRPr="0092466F" w:rsidRDefault="006F18C9">
      <w:pPr>
        <w:pStyle w:val="FootnoteText"/>
      </w:pPr>
      <w:r>
        <w:rPr>
          <w:rStyle w:val="FootnoteReference"/>
        </w:rPr>
        <w:footnoteRef/>
      </w:r>
      <w:r>
        <w:t xml:space="preserve"> </w:t>
      </w:r>
      <w:r w:rsidR="00E26A93">
        <w:t>Esparza-Hurtado N et al (2024), ‘</w:t>
      </w:r>
      <w:r w:rsidR="0092466F">
        <w:t xml:space="preserve">Novel BMI cutoff points for obesity diagnosis in older Hispanic adults’, </w:t>
      </w:r>
      <w:r w:rsidR="0092466F">
        <w:rPr>
          <w:i/>
          <w:iCs/>
        </w:rPr>
        <w:t>Nature</w:t>
      </w:r>
      <w:r w:rsidR="00ED39B4">
        <w:rPr>
          <w:i/>
          <w:iCs/>
        </w:rPr>
        <w:t xml:space="preserve"> Scientific Reports</w:t>
      </w:r>
      <w:r w:rsidR="002312D5">
        <w:t xml:space="preserve">, </w:t>
      </w:r>
      <w:r w:rsidR="00ED39B4">
        <w:t>14:27498.</w:t>
      </w:r>
    </w:p>
  </w:footnote>
  <w:footnote w:id="57">
    <w:p w14:paraId="463945D5" w14:textId="50E6BD33" w:rsidR="00D000FE" w:rsidRPr="00BA7B51" w:rsidRDefault="00D000FE">
      <w:pPr>
        <w:pStyle w:val="FootnoteText"/>
      </w:pPr>
      <w:r>
        <w:rPr>
          <w:rStyle w:val="FootnoteReference"/>
        </w:rPr>
        <w:footnoteRef/>
      </w:r>
      <w:r>
        <w:t xml:space="preserve"> </w:t>
      </w:r>
      <w:r w:rsidR="00683CFE">
        <w:t>Aggarwal R et al (2022), ‘Diabetes screening by rare and ethnicity in the United States: Equivalent body mass index</w:t>
      </w:r>
      <w:r w:rsidR="00BA7B51">
        <w:t xml:space="preserve"> and age thresholds’, </w:t>
      </w:r>
      <w:r w:rsidR="00BA7B51">
        <w:rPr>
          <w:i/>
          <w:iCs/>
        </w:rPr>
        <w:t>Ann Intern Med</w:t>
      </w:r>
      <w:r w:rsidR="00BA7B51">
        <w:t>, 175(6):765-73.</w:t>
      </w:r>
    </w:p>
  </w:footnote>
  <w:footnote w:id="58">
    <w:p w14:paraId="30872359" w14:textId="6411A6ED" w:rsidR="001038A3" w:rsidRPr="00FB78C6" w:rsidRDefault="001038A3">
      <w:pPr>
        <w:pStyle w:val="FootnoteText"/>
      </w:pPr>
      <w:r>
        <w:rPr>
          <w:rStyle w:val="FootnoteReference"/>
        </w:rPr>
        <w:footnoteRef/>
      </w:r>
      <w:r>
        <w:t xml:space="preserve"> </w:t>
      </w:r>
      <w:r w:rsidR="00350D62">
        <w:t xml:space="preserve">Rubino F et al (2025), ‘Definition and diagnostic criteria of clinical obesity’, </w:t>
      </w:r>
      <w:r w:rsidR="00526B84">
        <w:rPr>
          <w:i/>
          <w:iCs/>
        </w:rPr>
        <w:t>The Lancet Diabetes &amp; Endocrinology</w:t>
      </w:r>
      <w:r w:rsidR="00FB78C6">
        <w:t xml:space="preserve">, </w:t>
      </w:r>
      <w:r w:rsidR="00481A70">
        <w:t>13(3):221-262.</w:t>
      </w:r>
    </w:p>
  </w:footnote>
  <w:footnote w:id="59">
    <w:p w14:paraId="42B684AA" w14:textId="0FC2C26D" w:rsidR="00E77786" w:rsidRPr="00F12EFE" w:rsidRDefault="00E77786">
      <w:pPr>
        <w:pStyle w:val="FootnoteText"/>
      </w:pPr>
      <w:r>
        <w:rPr>
          <w:rStyle w:val="FootnoteReference"/>
        </w:rPr>
        <w:footnoteRef/>
      </w:r>
      <w:r>
        <w:t xml:space="preserve"> </w:t>
      </w:r>
      <w:r w:rsidR="00FC02CD">
        <w:t>Sharma AM and Kushner RF (2009), ‘A</w:t>
      </w:r>
      <w:r w:rsidR="00F12EFE">
        <w:t xml:space="preserve"> </w:t>
      </w:r>
      <w:r w:rsidR="00FC02CD">
        <w:t>proposed clinical staging system for obesity</w:t>
      </w:r>
      <w:r w:rsidR="00F12EFE">
        <w:t xml:space="preserve">’, </w:t>
      </w:r>
      <w:r w:rsidR="00F12EFE">
        <w:rPr>
          <w:i/>
          <w:iCs/>
        </w:rPr>
        <w:t>International Journal of Obesity</w:t>
      </w:r>
      <w:r w:rsidR="00F12EFE">
        <w:t xml:space="preserve">, </w:t>
      </w:r>
      <w:r w:rsidR="004417B7">
        <w:t>33:289-295.</w:t>
      </w:r>
    </w:p>
  </w:footnote>
  <w:footnote w:id="60">
    <w:p w14:paraId="35EB214C" w14:textId="05B90398" w:rsidR="004F28E8" w:rsidRDefault="004F28E8">
      <w:pPr>
        <w:pStyle w:val="FootnoteText"/>
      </w:pPr>
      <w:r>
        <w:rPr>
          <w:rStyle w:val="FootnoteReference"/>
        </w:rPr>
        <w:footnoteRef/>
      </w:r>
      <w:r>
        <w:t xml:space="preserve"> </w:t>
      </w:r>
      <w:r w:rsidRPr="004F28E8">
        <w:t>Adams RJ</w:t>
      </w:r>
      <w:r>
        <w:t xml:space="preserve"> et al</w:t>
      </w:r>
      <w:r w:rsidRPr="004F28E8">
        <w:t>.</w:t>
      </w:r>
      <w:r w:rsidR="009E098D">
        <w:t xml:space="preserve"> </w:t>
      </w:r>
      <w:r>
        <w:t>(2017),</w:t>
      </w:r>
      <w:r w:rsidRPr="004F28E8">
        <w:t xml:space="preserve"> </w:t>
      </w:r>
      <w:r>
        <w:t>‘</w:t>
      </w:r>
      <w:hyperlink r:id="rId45" w:history="1">
        <w:r w:rsidRPr="00375740">
          <w:rPr>
            <w:rStyle w:val="Hyperlink"/>
          </w:rPr>
          <w:t>Sleep health of Australian adults in 2016: results of the 2016 Sleep Health Foundation national survey</w:t>
        </w:r>
      </w:hyperlink>
      <w:r>
        <w:t>’</w:t>
      </w:r>
      <w:r w:rsidRPr="004F28E8">
        <w:t xml:space="preserve">. Sleep Health. 2017 Feb;3(1):35-42. </w:t>
      </w:r>
    </w:p>
  </w:footnote>
  <w:footnote w:id="61">
    <w:p w14:paraId="10F9E0CA" w14:textId="2E56CB1B" w:rsidR="00D518D2" w:rsidRPr="00094F78" w:rsidRDefault="00D518D2">
      <w:pPr>
        <w:pStyle w:val="FootnoteText"/>
      </w:pPr>
      <w:r>
        <w:rPr>
          <w:rStyle w:val="FootnoteReference"/>
        </w:rPr>
        <w:footnoteRef/>
      </w:r>
      <w:r>
        <w:t xml:space="preserve"> Futch AK, </w:t>
      </w:r>
      <w:r w:rsidR="0073155C">
        <w:t>Malhotra S and Conroy R (2024), ‘</w:t>
      </w:r>
      <w:hyperlink r:id="rId46" w:history="1">
        <w:r w:rsidR="0073155C" w:rsidRPr="007C52DC">
          <w:rPr>
            <w:rStyle w:val="Hyperlink"/>
          </w:rPr>
          <w:t>Differentiating monogenic and syndromic obesities from polygenic obesity: Assessment, diagnosis and management</w:t>
        </w:r>
      </w:hyperlink>
      <w:r w:rsidR="0073155C">
        <w:t xml:space="preserve">’, </w:t>
      </w:r>
      <w:r w:rsidR="007C52DC">
        <w:rPr>
          <w:i/>
          <w:iCs/>
        </w:rPr>
        <w:t xml:space="preserve">Obesity Pillars, </w:t>
      </w:r>
      <w:r w:rsidR="00094F78">
        <w:t>11:100110</w:t>
      </w:r>
    </w:p>
  </w:footnote>
  <w:footnote w:id="62">
    <w:p w14:paraId="396C22C3" w14:textId="10F81D4D" w:rsidR="00EF722C" w:rsidRPr="004E0FF4" w:rsidRDefault="00EF722C">
      <w:pPr>
        <w:pStyle w:val="FootnoteText"/>
      </w:pPr>
      <w:r>
        <w:rPr>
          <w:rStyle w:val="FootnoteReference"/>
        </w:rPr>
        <w:footnoteRef/>
      </w:r>
      <w:r>
        <w:t xml:space="preserve"> </w:t>
      </w:r>
      <w:r w:rsidR="009B721C">
        <w:t>Tamaroff, J et al (2023), ‘</w:t>
      </w:r>
      <w:hyperlink r:id="rId47" w:history="1">
        <w:r w:rsidR="004E0FF4" w:rsidRPr="00024AEE">
          <w:rPr>
            <w:rStyle w:val="Hyperlink"/>
          </w:rPr>
          <w:t>Prevalence</w:t>
        </w:r>
        <w:r w:rsidR="009B721C" w:rsidRPr="00024AEE">
          <w:rPr>
            <w:rStyle w:val="Hyperlink"/>
          </w:rPr>
          <w:t xml:space="preserve"> of genetic </w:t>
        </w:r>
        <w:r w:rsidR="004E0FF4" w:rsidRPr="00024AEE">
          <w:rPr>
            <w:rStyle w:val="Hyperlink"/>
          </w:rPr>
          <w:t>causes</w:t>
        </w:r>
        <w:r w:rsidR="009B721C" w:rsidRPr="00024AEE">
          <w:rPr>
            <w:rStyle w:val="Hyperlink"/>
          </w:rPr>
          <w:t xml:space="preserve"> of obesity in </w:t>
        </w:r>
        <w:r w:rsidR="004E0FF4" w:rsidRPr="00024AEE">
          <w:rPr>
            <w:rStyle w:val="Hyperlink"/>
          </w:rPr>
          <w:t>clinical</w:t>
        </w:r>
        <w:r w:rsidR="009B721C" w:rsidRPr="00024AEE">
          <w:rPr>
            <w:rStyle w:val="Hyperlink"/>
          </w:rPr>
          <w:t xml:space="preserve"> practice</w:t>
        </w:r>
      </w:hyperlink>
      <w:r w:rsidR="004E0FF4">
        <w:t xml:space="preserve">’, </w:t>
      </w:r>
      <w:r w:rsidR="004E0FF4">
        <w:rPr>
          <w:i/>
          <w:iCs/>
        </w:rPr>
        <w:t>Obes Sci Pract</w:t>
      </w:r>
      <w:r w:rsidR="004E0FF4">
        <w:t>, 9(5):508-</w:t>
      </w:r>
      <w:r w:rsidR="00024AEE">
        <w:t>515.</w:t>
      </w:r>
    </w:p>
  </w:footnote>
  <w:footnote w:id="63">
    <w:p w14:paraId="20B7C323" w14:textId="24339B6C" w:rsidR="00B53D22" w:rsidRPr="00FB255B" w:rsidRDefault="00B53D22">
      <w:pPr>
        <w:pStyle w:val="FootnoteText"/>
      </w:pPr>
      <w:r>
        <w:rPr>
          <w:rStyle w:val="FootnoteReference"/>
        </w:rPr>
        <w:footnoteRef/>
      </w:r>
      <w:r>
        <w:t xml:space="preserve"> Kunzel R et al (</w:t>
      </w:r>
      <w:r w:rsidR="001A40EC">
        <w:t>2025), ‘</w:t>
      </w:r>
      <w:hyperlink r:id="rId48" w:history="1">
        <w:r w:rsidR="001A40EC" w:rsidRPr="00FB255B">
          <w:rPr>
            <w:rStyle w:val="Hyperlink"/>
          </w:rPr>
          <w:t>Detecting monogenic obesity: a systematic exome-wide workup of over 500 individuals</w:t>
        </w:r>
      </w:hyperlink>
      <w:r w:rsidR="001A40EC">
        <w:t xml:space="preserve">’, </w:t>
      </w:r>
      <w:r w:rsidR="00FB255B">
        <w:rPr>
          <w:i/>
          <w:iCs/>
        </w:rPr>
        <w:t>Int J Obes</w:t>
      </w:r>
      <w:r w:rsidR="00FB255B">
        <w:t>, 49:1400-1411.</w:t>
      </w:r>
    </w:p>
  </w:footnote>
  <w:footnote w:id="64">
    <w:p w14:paraId="388154AB" w14:textId="2378CBCC" w:rsidR="001620BE" w:rsidRPr="00DE449A" w:rsidRDefault="001620BE">
      <w:pPr>
        <w:pStyle w:val="FootnoteText"/>
      </w:pPr>
      <w:r>
        <w:rPr>
          <w:rStyle w:val="FootnoteReference"/>
        </w:rPr>
        <w:footnoteRef/>
      </w:r>
      <w:r>
        <w:t xml:space="preserve"> Zorn S et al (2025), ‘</w:t>
      </w:r>
      <w:hyperlink r:id="rId49" w:history="1">
        <w:r w:rsidRPr="00D94545">
          <w:rPr>
            <w:rStyle w:val="Hyperlink"/>
          </w:rPr>
          <w:t xml:space="preserve">Early childhood </w:t>
        </w:r>
        <w:r w:rsidR="00295010" w:rsidRPr="00D94545">
          <w:rPr>
            <w:rStyle w:val="Hyperlink"/>
          </w:rPr>
          <w:t>height, weight and BMI development in children with monogenic obesity: a European multicentre, retrospective, observational study</w:t>
        </w:r>
      </w:hyperlink>
      <w:r w:rsidR="00295010">
        <w:t xml:space="preserve">’, </w:t>
      </w:r>
      <w:r w:rsidR="00DE449A">
        <w:rPr>
          <w:i/>
          <w:iCs/>
        </w:rPr>
        <w:t>The Lancet</w:t>
      </w:r>
      <w:r w:rsidR="00DE449A">
        <w:t>, 9(5):297-305.</w:t>
      </w:r>
    </w:p>
  </w:footnote>
  <w:footnote w:id="65">
    <w:p w14:paraId="4C56F567" w14:textId="1FC8494A" w:rsidR="0039020A" w:rsidRPr="00903ECE" w:rsidRDefault="0039020A">
      <w:pPr>
        <w:pStyle w:val="FootnoteText"/>
      </w:pPr>
      <w:r>
        <w:rPr>
          <w:rStyle w:val="FootnoteReference"/>
        </w:rPr>
        <w:footnoteRef/>
      </w:r>
      <w:r>
        <w:t xml:space="preserve"> Kalinderi K et al (2024), ‘</w:t>
      </w:r>
      <w:hyperlink r:id="rId50" w:history="1">
        <w:r w:rsidR="00C619D6" w:rsidRPr="00E455C0">
          <w:rPr>
            <w:rStyle w:val="Hyperlink"/>
          </w:rPr>
          <w:t>Syndromic and monogenic obesity: New opportunities due to genetic-based pharmacological treatment</w:t>
        </w:r>
      </w:hyperlink>
      <w:r w:rsidR="001E56C2">
        <w:t xml:space="preserve">’, </w:t>
      </w:r>
      <w:r w:rsidR="00903ECE">
        <w:rPr>
          <w:i/>
          <w:iCs/>
        </w:rPr>
        <w:t>Children</w:t>
      </w:r>
      <w:r w:rsidR="00903ECE">
        <w:t>, 11(2):153.</w:t>
      </w:r>
    </w:p>
  </w:footnote>
  <w:footnote w:id="66">
    <w:p w14:paraId="754673AE" w14:textId="475D8D95" w:rsidR="0002573E" w:rsidRPr="0042104D" w:rsidRDefault="0002573E">
      <w:pPr>
        <w:pStyle w:val="FootnoteText"/>
      </w:pPr>
      <w:r>
        <w:rPr>
          <w:rStyle w:val="FootnoteReference"/>
        </w:rPr>
        <w:footnoteRef/>
      </w:r>
      <w:r>
        <w:t xml:space="preserve"> </w:t>
      </w:r>
      <w:r w:rsidR="00570A0A">
        <w:t>Chen W (</w:t>
      </w:r>
      <w:r w:rsidR="002E398E">
        <w:t>2011)</w:t>
      </w:r>
      <w:r w:rsidR="001A40EC">
        <w:t>,</w:t>
      </w:r>
      <w:r w:rsidR="002E398E">
        <w:t xml:space="preserve"> ‘</w:t>
      </w:r>
      <w:hyperlink r:id="rId51" w:history="1">
        <w:r w:rsidR="002E398E" w:rsidRPr="00CD6AF0">
          <w:rPr>
            <w:rStyle w:val="Hyperlink"/>
          </w:rPr>
          <w:t>An overview of monogenic and syndromic obesities in hum</w:t>
        </w:r>
        <w:r w:rsidR="00CD6AF0" w:rsidRPr="00CD6AF0">
          <w:rPr>
            <w:rStyle w:val="Hyperlink"/>
          </w:rPr>
          <w:t>an</w:t>
        </w:r>
        <w:r w:rsidR="002E398E" w:rsidRPr="00CD6AF0">
          <w:rPr>
            <w:rStyle w:val="Hyperlink"/>
          </w:rPr>
          <w:t>s</w:t>
        </w:r>
        <w:r w:rsidR="0042104D" w:rsidRPr="00CD6AF0">
          <w:rPr>
            <w:rStyle w:val="Hyperlink"/>
          </w:rPr>
          <w:t>’</w:t>
        </w:r>
      </w:hyperlink>
      <w:r w:rsidR="0042104D">
        <w:t xml:space="preserve">, </w:t>
      </w:r>
      <w:r w:rsidR="0042104D">
        <w:rPr>
          <w:i/>
          <w:iCs/>
        </w:rPr>
        <w:t>Pediatr Blood Cancer</w:t>
      </w:r>
      <w:r w:rsidR="0042104D">
        <w:t xml:space="preserve">, </w:t>
      </w:r>
      <w:r w:rsidR="00CD6AF0">
        <w:t>58(1):122-128.</w:t>
      </w:r>
    </w:p>
  </w:footnote>
  <w:footnote w:id="67">
    <w:p w14:paraId="4A09CAD7" w14:textId="3FBC3BFF" w:rsidR="009541EA" w:rsidRDefault="009541EA">
      <w:pPr>
        <w:pStyle w:val="FootnoteText"/>
      </w:pPr>
      <w:r>
        <w:rPr>
          <w:rStyle w:val="FootnoteReference"/>
        </w:rPr>
        <w:footnoteRef/>
      </w:r>
      <w:r>
        <w:t xml:space="preserve"> </w:t>
      </w:r>
    </w:p>
  </w:footnote>
  <w:footnote w:id="68">
    <w:p w14:paraId="77407C28" w14:textId="3A4449E9" w:rsidR="004E46B9" w:rsidRDefault="004E46B9">
      <w:pPr>
        <w:pStyle w:val="FootnoteText"/>
      </w:pPr>
      <w:r>
        <w:rPr>
          <w:rStyle w:val="FootnoteReference"/>
        </w:rPr>
        <w:footnoteRef/>
      </w:r>
      <w:r>
        <w:t xml:space="preserve"> Dempsey D et al (</w:t>
      </w:r>
      <w:r w:rsidR="00F90DD8">
        <w:t>2025), ‘</w:t>
      </w:r>
      <w:hyperlink r:id="rId52" w:history="1">
        <w:r w:rsidR="003415C7" w:rsidRPr="003415C7">
          <w:rPr>
            <w:rStyle w:val="Hyperlink"/>
          </w:rPr>
          <w:t>T</w:t>
        </w:r>
        <w:r w:rsidR="00F90DD8" w:rsidRPr="003415C7">
          <w:rPr>
            <w:rStyle w:val="Hyperlink"/>
          </w:rPr>
          <w:t>he burden of illness in Prader-Willi syndrome: a systematic literature review</w:t>
        </w:r>
      </w:hyperlink>
      <w:r w:rsidR="00F90DD8">
        <w:t xml:space="preserve">’, </w:t>
      </w:r>
      <w:r w:rsidR="003415C7">
        <w:rPr>
          <w:i/>
          <w:iCs/>
        </w:rPr>
        <w:t xml:space="preserve">Orphanet Journal of Rare Diseases, </w:t>
      </w:r>
      <w:r w:rsidR="00634FAD">
        <w:t>20:374.</w:t>
      </w:r>
    </w:p>
  </w:footnote>
  <w:footnote w:id="69">
    <w:p w14:paraId="24CA7DE6" w14:textId="29EC7C0D" w:rsidR="00AE310C" w:rsidRDefault="00AE310C">
      <w:pPr>
        <w:pStyle w:val="FootnoteText"/>
      </w:pPr>
      <w:r>
        <w:rPr>
          <w:rStyle w:val="FootnoteReference"/>
        </w:rPr>
        <w:footnoteRef/>
      </w:r>
      <w:r>
        <w:t xml:space="preserve"> </w:t>
      </w:r>
      <w:r w:rsidR="00BE7C11">
        <w:t>Down Syndrome Australia</w:t>
      </w:r>
      <w:r w:rsidR="006F6121">
        <w:t xml:space="preserve">, </w:t>
      </w:r>
      <w:hyperlink r:id="rId53" w:history="1">
        <w:r w:rsidR="006F6121" w:rsidRPr="00AC7270">
          <w:rPr>
            <w:rStyle w:val="Hyperlink"/>
          </w:rPr>
          <w:t>Statistics</w:t>
        </w:r>
      </w:hyperlink>
      <w:r w:rsidR="006F6121">
        <w:t xml:space="preserve">, </w:t>
      </w:r>
      <w:r w:rsidR="001A3263">
        <w:t>accessed 20 October 2025.</w:t>
      </w:r>
    </w:p>
  </w:footnote>
  <w:footnote w:id="70">
    <w:p w14:paraId="0B1F8096" w14:textId="63D8FF14" w:rsidR="00D26787" w:rsidRDefault="00D26787">
      <w:pPr>
        <w:pStyle w:val="FootnoteText"/>
      </w:pPr>
      <w:r>
        <w:rPr>
          <w:rStyle w:val="FootnoteReference"/>
        </w:rPr>
        <w:footnoteRef/>
      </w:r>
      <w:r>
        <w:t xml:space="preserve"> Dellgren JL, Persad G, and Emanuel EJ (2024), ‘International coverage of GLP-1 receptor agonists: a review and ethical analysis of discordant appr</w:t>
      </w:r>
      <w:r w:rsidR="00D56B83">
        <w:t>oaches’, 404:10455.</w:t>
      </w:r>
    </w:p>
  </w:footnote>
  <w:footnote w:id="71">
    <w:p w14:paraId="18F3A064" w14:textId="77777777" w:rsidR="0021651B" w:rsidRDefault="0021651B" w:rsidP="0021651B">
      <w:pPr>
        <w:pStyle w:val="FootnoteText"/>
      </w:pPr>
      <w:r>
        <w:rPr>
          <w:rStyle w:val="FootnoteReference"/>
        </w:rPr>
        <w:footnoteRef/>
      </w:r>
      <w:r>
        <w:t xml:space="preserve"> CDA-AMC (2025), ‘</w:t>
      </w:r>
      <w:hyperlink r:id="rId54" w:history="1">
        <w:r w:rsidRPr="00682F8C">
          <w:rPr>
            <w:rStyle w:val="Hyperlink"/>
          </w:rPr>
          <w:t>Reimbursement Recommendation: Semaglutide (Wegovy)</w:t>
        </w:r>
      </w:hyperlink>
      <w:r>
        <w:t xml:space="preserve">’, </w:t>
      </w:r>
      <w:r w:rsidRPr="004A1112">
        <w:rPr>
          <w:i/>
          <w:iCs/>
        </w:rPr>
        <w:t>Canadian Journal of Health Technologies</w:t>
      </w:r>
      <w:r>
        <w:t>, 5(7): July 2025.</w:t>
      </w:r>
    </w:p>
  </w:footnote>
  <w:footnote w:id="72">
    <w:p w14:paraId="462B0D6C" w14:textId="35716418" w:rsidR="00784D03" w:rsidRDefault="00784D03">
      <w:pPr>
        <w:pStyle w:val="FootnoteText"/>
      </w:pPr>
      <w:r>
        <w:rPr>
          <w:rStyle w:val="FootnoteReference"/>
        </w:rPr>
        <w:footnoteRef/>
      </w:r>
      <w:r>
        <w:t xml:space="preserve"> Pan-Can</w:t>
      </w:r>
      <w:r w:rsidR="00773946">
        <w:t xml:space="preserve">adian Pharmaceutical Alliance, </w:t>
      </w:r>
      <w:hyperlink r:id="rId55" w:history="1">
        <w:r w:rsidR="00773946" w:rsidRPr="00773946">
          <w:rPr>
            <w:rStyle w:val="Hyperlink"/>
          </w:rPr>
          <w:t>Wegovy (semaglutide)</w:t>
        </w:r>
      </w:hyperlink>
      <w:r w:rsidR="00773946">
        <w:t>, accessed 30 September 2025.</w:t>
      </w:r>
    </w:p>
  </w:footnote>
  <w:footnote w:id="73">
    <w:p w14:paraId="55C29515" w14:textId="5B6E9006" w:rsidR="00FC7037" w:rsidRDefault="00FC7037">
      <w:pPr>
        <w:pStyle w:val="FootnoteText"/>
      </w:pPr>
      <w:r>
        <w:rPr>
          <w:rStyle w:val="FootnoteReference"/>
        </w:rPr>
        <w:footnoteRef/>
      </w:r>
      <w:r>
        <w:t xml:space="preserve"> Gonzales F, </w:t>
      </w:r>
      <w:hyperlink r:id="rId56" w:history="1">
        <w:r w:rsidRPr="005D0C08">
          <w:rPr>
            <w:rStyle w:val="Hyperlink"/>
          </w:rPr>
          <w:t>Semaglutide generics</w:t>
        </w:r>
        <w:r w:rsidR="005D0C08" w:rsidRPr="005D0C08">
          <w:rPr>
            <w:rStyle w:val="Hyperlink"/>
          </w:rPr>
          <w:t xml:space="preserve"> in Canada could reshape pricing as Sandoz prepares for 2026 launch</w:t>
        </w:r>
      </w:hyperlink>
      <w:r>
        <w:t xml:space="preserve">, BPM, </w:t>
      </w:r>
      <w:r w:rsidR="0019273F">
        <w:t>6 August 2025, accessed 30 September 2025.</w:t>
      </w:r>
    </w:p>
  </w:footnote>
  <w:footnote w:id="74">
    <w:p w14:paraId="6EF7B327" w14:textId="522D192C" w:rsidR="00CB66BA" w:rsidRDefault="00CB66BA">
      <w:pPr>
        <w:pStyle w:val="FootnoteText"/>
      </w:pPr>
      <w:r>
        <w:rPr>
          <w:rStyle w:val="FootnoteReference"/>
        </w:rPr>
        <w:footnoteRef/>
      </w:r>
      <w:r>
        <w:t xml:space="preserve"> Foster E, </w:t>
      </w:r>
      <w:hyperlink r:id="rId57" w:history="1">
        <w:r w:rsidR="0073111C" w:rsidRPr="006313D6">
          <w:rPr>
            <w:rStyle w:val="Hyperlink"/>
          </w:rPr>
          <w:t>The Unstoppable rise of generics: Sandoz’s 70% discount on GLP-1 drugs and the Canadian market’s new era</w:t>
        </w:r>
      </w:hyperlink>
      <w:r w:rsidR="0073111C">
        <w:t>,</w:t>
      </w:r>
      <w:r w:rsidR="006313D6">
        <w:t xml:space="preserve"> AInvest, 5 August 2025, </w:t>
      </w:r>
      <w:r w:rsidR="0038362E">
        <w:t>accessed 30 September 2025.</w:t>
      </w:r>
      <w:r w:rsidR="0073111C">
        <w:t xml:space="preserve"> </w:t>
      </w:r>
    </w:p>
  </w:footnote>
  <w:footnote w:id="75">
    <w:p w14:paraId="014B5458" w14:textId="3572A760" w:rsidR="006A6BDD" w:rsidRDefault="006A6BDD">
      <w:pPr>
        <w:pStyle w:val="FootnoteText"/>
      </w:pPr>
      <w:r>
        <w:rPr>
          <w:rStyle w:val="FootnoteReference"/>
        </w:rPr>
        <w:footnoteRef/>
      </w:r>
      <w:r>
        <w:t xml:space="preserve"> NICE, </w:t>
      </w:r>
      <w:hyperlink r:id="rId58" w:history="1">
        <w:r w:rsidRPr="00BC7E18">
          <w:rPr>
            <w:rStyle w:val="Hyperlink"/>
          </w:rPr>
          <w:t>Scope for disease-specific reference case extension: Management of overweight and obesity</w:t>
        </w:r>
      </w:hyperlink>
      <w:r>
        <w:t xml:space="preserve">, </w:t>
      </w:r>
      <w:r w:rsidR="00BC7E18">
        <w:t>September 2025, accessed 16 October 2025.</w:t>
      </w:r>
    </w:p>
  </w:footnote>
  <w:footnote w:id="76">
    <w:p w14:paraId="580B1553" w14:textId="48C5C43D" w:rsidR="002F3967" w:rsidRDefault="002F3967">
      <w:pPr>
        <w:pStyle w:val="FootnoteText"/>
      </w:pPr>
      <w:r>
        <w:rPr>
          <w:rStyle w:val="FootnoteReference"/>
        </w:rPr>
        <w:footnoteRef/>
      </w:r>
      <w:r>
        <w:t xml:space="preserve"> NICE, </w:t>
      </w:r>
      <w:hyperlink r:id="rId59" w:history="1">
        <w:r w:rsidRPr="00A47663">
          <w:rPr>
            <w:rStyle w:val="Hyperlink"/>
          </w:rPr>
          <w:t>Liraglutide guide for managing overweight and obesity</w:t>
        </w:r>
        <w:r w:rsidR="00DA3532" w:rsidRPr="00A47663">
          <w:rPr>
            <w:rStyle w:val="Hyperlink"/>
          </w:rPr>
          <w:t xml:space="preserve"> – Technology appraisal guidance </w:t>
        </w:r>
        <w:r w:rsidR="00A47663" w:rsidRPr="00A47663">
          <w:rPr>
            <w:rStyle w:val="Hyperlink"/>
          </w:rPr>
          <w:t>TA664</w:t>
        </w:r>
      </w:hyperlink>
      <w:r w:rsidR="00A47663">
        <w:t xml:space="preserve">, </w:t>
      </w:r>
      <w:r w:rsidR="00DA3532">
        <w:t>published 9 December 2020</w:t>
      </w:r>
      <w:r w:rsidR="00A47663">
        <w:t>, accessed 30 September 2025.</w:t>
      </w:r>
    </w:p>
  </w:footnote>
  <w:footnote w:id="77">
    <w:p w14:paraId="0168045E" w14:textId="538CBB53" w:rsidR="00BC4561" w:rsidRDefault="00BC4561">
      <w:pPr>
        <w:pStyle w:val="FootnoteText"/>
      </w:pPr>
      <w:r>
        <w:rPr>
          <w:rStyle w:val="FootnoteReference"/>
        </w:rPr>
        <w:footnoteRef/>
      </w:r>
      <w:r>
        <w:t xml:space="preserve"> NICE, </w:t>
      </w:r>
      <w:hyperlink r:id="rId60" w:history="1">
        <w:r w:rsidRPr="00867FDA">
          <w:rPr>
            <w:rStyle w:val="Hyperlink"/>
          </w:rPr>
          <w:t>Semaglutide for managing overweight and obesity</w:t>
        </w:r>
        <w:r w:rsidR="006656ED" w:rsidRPr="00867FDA">
          <w:rPr>
            <w:rStyle w:val="Hyperlink"/>
          </w:rPr>
          <w:t xml:space="preserve"> – Technology appraisal guidance TA875</w:t>
        </w:r>
      </w:hyperlink>
      <w:r w:rsidR="006656ED">
        <w:t xml:space="preserve">, </w:t>
      </w:r>
      <w:r w:rsidR="00867FDA">
        <w:t>published</w:t>
      </w:r>
      <w:r w:rsidR="006656ED">
        <w:t xml:space="preserve"> 8 March 2023, updated 4 </w:t>
      </w:r>
      <w:r w:rsidR="00867FDA">
        <w:t>September</w:t>
      </w:r>
      <w:r w:rsidR="006656ED">
        <w:t xml:space="preserve"> 2023, accessed </w:t>
      </w:r>
      <w:r w:rsidR="00867FDA">
        <w:t>30 September 2025.</w:t>
      </w:r>
    </w:p>
  </w:footnote>
  <w:footnote w:id="78">
    <w:p w14:paraId="354B4C49" w14:textId="7F720FB8" w:rsidR="006A1BCC" w:rsidRPr="00AD1C17" w:rsidRDefault="006A1BCC">
      <w:pPr>
        <w:pStyle w:val="FootnoteText"/>
      </w:pPr>
      <w:r>
        <w:rPr>
          <w:rStyle w:val="FootnoteReference"/>
        </w:rPr>
        <w:footnoteRef/>
      </w:r>
      <w:r>
        <w:t xml:space="preserve"> </w:t>
      </w:r>
      <w:r w:rsidR="00AA3BE9">
        <w:t>Kahal H and Walton C (</w:t>
      </w:r>
      <w:r w:rsidR="00E31703">
        <w:t>2024), ‘</w:t>
      </w:r>
      <w:hyperlink r:id="rId61" w:history="1">
        <w:r w:rsidR="00E31703" w:rsidRPr="00AD1C17">
          <w:rPr>
            <w:rStyle w:val="Hyperlink"/>
          </w:rPr>
          <w:t>A critique of semaglutide (Wegovy®) for obesity management in NICE technology appraisal TA875</w:t>
        </w:r>
      </w:hyperlink>
      <w:r w:rsidR="00E31703">
        <w:t xml:space="preserve">’, </w:t>
      </w:r>
      <w:r w:rsidR="00AD1C17">
        <w:rPr>
          <w:i/>
          <w:iCs/>
        </w:rPr>
        <w:t>Br J Diabetes</w:t>
      </w:r>
      <w:r w:rsidR="00AD1C17">
        <w:t>, 24(1):13-15.</w:t>
      </w:r>
    </w:p>
  </w:footnote>
  <w:footnote w:id="79">
    <w:p w14:paraId="7007E90D" w14:textId="6760F64D" w:rsidR="00CC18CA" w:rsidRDefault="00CC18CA">
      <w:pPr>
        <w:pStyle w:val="FootnoteText"/>
      </w:pPr>
      <w:r>
        <w:rPr>
          <w:rStyle w:val="FootnoteReference"/>
        </w:rPr>
        <w:footnoteRef/>
      </w:r>
      <w:r>
        <w:t xml:space="preserve"> NHS </w:t>
      </w:r>
      <w:r w:rsidR="00065B77">
        <w:t xml:space="preserve">England, </w:t>
      </w:r>
      <w:hyperlink r:id="rId62" w:history="1">
        <w:r w:rsidR="00065B77" w:rsidRPr="00C13CEE">
          <w:rPr>
            <w:rStyle w:val="Hyperlink"/>
          </w:rPr>
          <w:t xml:space="preserve">Interim commissioning guidance: Implementation of the NICE Technology Appraisal TA1026 and the NICE funding variation for tirzepatide (Mounjaro®) </w:t>
        </w:r>
        <w:r w:rsidR="00C13CEE" w:rsidRPr="00C13CEE">
          <w:rPr>
            <w:rStyle w:val="Hyperlink"/>
          </w:rPr>
          <w:t>for the management of obesity</w:t>
        </w:r>
      </w:hyperlink>
      <w:r w:rsidR="00C13CEE">
        <w:t>, PRN01879, accessed 30 September 2025.</w:t>
      </w:r>
    </w:p>
  </w:footnote>
  <w:footnote w:id="80">
    <w:p w14:paraId="7F11A63B" w14:textId="29F7538F" w:rsidR="00B20B73" w:rsidRDefault="00B20B73">
      <w:pPr>
        <w:pStyle w:val="FootnoteText"/>
      </w:pPr>
      <w:r>
        <w:rPr>
          <w:rStyle w:val="FootnoteReference"/>
        </w:rPr>
        <w:footnoteRef/>
      </w:r>
      <w:r>
        <w:t xml:space="preserve"> NHS England</w:t>
      </w:r>
      <w:r w:rsidR="008675B7">
        <w:t xml:space="preserve">, </w:t>
      </w:r>
      <w:hyperlink r:id="rId63" w:history="1">
        <w:r w:rsidR="008675B7" w:rsidRPr="00447C85">
          <w:rPr>
            <w:rStyle w:val="Hyperlink"/>
          </w:rPr>
          <w:t>The NHS Digital Weight Management Programme</w:t>
        </w:r>
      </w:hyperlink>
      <w:r w:rsidR="00447C85">
        <w:t>, accessed 13 October 2025.</w:t>
      </w:r>
    </w:p>
  </w:footnote>
  <w:footnote w:id="81">
    <w:p w14:paraId="26BEEDD5" w14:textId="1931D80A" w:rsidR="00C963B6" w:rsidRPr="00832E8F" w:rsidRDefault="00C963B6">
      <w:pPr>
        <w:pStyle w:val="FootnoteText"/>
      </w:pPr>
      <w:r>
        <w:rPr>
          <w:rStyle w:val="FootnoteReference"/>
        </w:rPr>
        <w:footnoteRef/>
      </w:r>
      <w:r>
        <w:t xml:space="preserve"> </w:t>
      </w:r>
      <w:r w:rsidR="00FB2B03">
        <w:t xml:space="preserve">Mahase E (2025), </w:t>
      </w:r>
      <w:r w:rsidR="00041AC3">
        <w:t>‘</w:t>
      </w:r>
      <w:hyperlink r:id="rId64" w:history="1">
        <w:r w:rsidR="00041AC3" w:rsidRPr="00832E8F">
          <w:rPr>
            <w:rStyle w:val="Hyperlink"/>
          </w:rPr>
          <w:t>Mounjaro</w:t>
        </w:r>
        <w:r w:rsidR="00B03A60" w:rsidRPr="00832E8F">
          <w:rPr>
            <w:rStyle w:val="Hyperlink"/>
          </w:rPr>
          <w:t>: Less than half of England has NHS access to jab months after roll-out, distressing patients and GPs</w:t>
        </w:r>
      </w:hyperlink>
      <w:r w:rsidR="00832E8F">
        <w:t xml:space="preserve">’, </w:t>
      </w:r>
      <w:r w:rsidR="00832E8F">
        <w:rPr>
          <w:i/>
          <w:iCs/>
        </w:rPr>
        <w:t>BMJ</w:t>
      </w:r>
      <w:r w:rsidR="00832E8F">
        <w:t>, 390:r1855.</w:t>
      </w:r>
    </w:p>
  </w:footnote>
  <w:footnote w:id="82">
    <w:p w14:paraId="4A61E4CC" w14:textId="25027CB2" w:rsidR="003A5CF9" w:rsidRPr="00C71DB3" w:rsidRDefault="003A5CF9">
      <w:pPr>
        <w:pStyle w:val="FootnoteText"/>
      </w:pPr>
      <w:r>
        <w:rPr>
          <w:rStyle w:val="FootnoteReference"/>
        </w:rPr>
        <w:footnoteRef/>
      </w:r>
      <w:r>
        <w:t xml:space="preserve"> </w:t>
      </w:r>
      <w:r w:rsidR="0044301A">
        <w:t>Bellman J et al (</w:t>
      </w:r>
      <w:r w:rsidR="00EB6D9F">
        <w:t>2025), ‘Increased weight-load improves body composition</w:t>
      </w:r>
      <w:r w:rsidR="00066022">
        <w:t xml:space="preserve"> by reducing fat mass and waist circumference, and by increasing lean mass in </w:t>
      </w:r>
      <w:r w:rsidR="00C34D79">
        <w:t>participants</w:t>
      </w:r>
      <w:r w:rsidR="00066022">
        <w:t xml:space="preserve"> with obesity: a single-centre randomised controlled trial</w:t>
      </w:r>
      <w:r w:rsidR="00C34D79">
        <w:t xml:space="preserve">’, </w:t>
      </w:r>
      <w:r w:rsidR="00C71DB3">
        <w:rPr>
          <w:i/>
          <w:iCs/>
        </w:rPr>
        <w:t>BMC Medicine</w:t>
      </w:r>
      <w:r w:rsidR="00C71DB3">
        <w:t>, 23</w:t>
      </w:r>
      <w:r w:rsidR="00FD3DFF">
        <w:t>:</w:t>
      </w:r>
      <w:r w:rsidR="00C71DB3">
        <w:t>317</w:t>
      </w:r>
      <w:r w:rsidR="00FD3DFF">
        <w:t>.</w:t>
      </w:r>
    </w:p>
  </w:footnote>
  <w:footnote w:id="83">
    <w:p w14:paraId="17D727BD" w14:textId="0988D6C0" w:rsidR="006E35AA" w:rsidRPr="000304CC" w:rsidRDefault="006E35AA">
      <w:pPr>
        <w:pStyle w:val="FootnoteText"/>
      </w:pPr>
      <w:r>
        <w:rPr>
          <w:rStyle w:val="FootnoteReference"/>
        </w:rPr>
        <w:footnoteRef/>
      </w:r>
      <w:r>
        <w:t xml:space="preserve"> </w:t>
      </w:r>
      <w:r w:rsidR="00153476">
        <w:t>Aronne LJ (2021), ‘Recent advances in therapies utilizing superabsorbent hydrogel technology for weight management: A review’</w:t>
      </w:r>
      <w:r w:rsidR="000304CC">
        <w:t xml:space="preserve">, </w:t>
      </w:r>
      <w:r w:rsidR="000304CC">
        <w:rPr>
          <w:i/>
          <w:iCs/>
        </w:rPr>
        <w:t>Obes Sci Pract</w:t>
      </w:r>
      <w:r w:rsidR="000304CC">
        <w:t>, 8(3):363-370.</w:t>
      </w:r>
    </w:p>
  </w:footnote>
  <w:footnote w:id="84">
    <w:p w14:paraId="5ED0AEB9" w14:textId="4CE60E5E" w:rsidR="002132F6" w:rsidRPr="00333D9F" w:rsidRDefault="002132F6">
      <w:pPr>
        <w:pStyle w:val="FootnoteText"/>
      </w:pPr>
      <w:r>
        <w:rPr>
          <w:rStyle w:val="FootnoteReference"/>
        </w:rPr>
        <w:footnoteRef/>
      </w:r>
      <w:r>
        <w:t xml:space="preserve"> Kaur M and Misra S (2024), ‘</w:t>
      </w:r>
      <w:hyperlink r:id="rId65" w:history="1">
        <w:r w:rsidRPr="00333D9F">
          <w:rPr>
            <w:rStyle w:val="Hyperlink"/>
          </w:rPr>
          <w:t>Bigrumab: and investigational human monoclonal antibody against activin type II receptors for treating obesity</w:t>
        </w:r>
      </w:hyperlink>
      <w:r>
        <w:t xml:space="preserve">’, </w:t>
      </w:r>
      <w:r w:rsidR="00333D9F">
        <w:rPr>
          <w:i/>
          <w:iCs/>
        </w:rPr>
        <w:t>J Basic Clin Physiol Pharmacol</w:t>
      </w:r>
      <w:r w:rsidR="00333D9F">
        <w:t>, j35(6):325-334.</w:t>
      </w:r>
    </w:p>
  </w:footnote>
  <w:footnote w:id="85">
    <w:p w14:paraId="35C8B041" w14:textId="77F03EE3" w:rsidR="00026D06" w:rsidRDefault="00026D06">
      <w:pPr>
        <w:pStyle w:val="FootnoteText"/>
      </w:pPr>
      <w:r>
        <w:rPr>
          <w:rStyle w:val="FootnoteReference"/>
        </w:rPr>
        <w:footnoteRef/>
      </w:r>
      <w:r>
        <w:t xml:space="preserve"> </w:t>
      </w:r>
      <w:r w:rsidR="001934CC">
        <w:t xml:space="preserve">National Library of Medicine, ClinicalTrials.gov, </w:t>
      </w:r>
      <w:hyperlink r:id="rId66" w:history="1">
        <w:r w:rsidR="001934CC" w:rsidRPr="00AD1911">
          <w:rPr>
            <w:rStyle w:val="Hyperlink"/>
          </w:rPr>
          <w:t>A study to investigate weight management with bigrumab (LY</w:t>
        </w:r>
        <w:r w:rsidR="00105B66" w:rsidRPr="00AD1911">
          <w:rPr>
            <w:rStyle w:val="Hyperlink"/>
          </w:rPr>
          <w:t xml:space="preserve">3985863) and tirzepatide (LY3298176), alone or in combination, in adults with </w:t>
        </w:r>
        <w:r w:rsidR="00AD1911" w:rsidRPr="00AD1911">
          <w:rPr>
            <w:rStyle w:val="Hyperlink"/>
          </w:rPr>
          <w:t xml:space="preserve">obesity or </w:t>
        </w:r>
        <w:r w:rsidR="00105B66" w:rsidRPr="00AD1911">
          <w:rPr>
            <w:rStyle w:val="Hyperlink"/>
          </w:rPr>
          <w:t>overweight</w:t>
        </w:r>
      </w:hyperlink>
      <w:r w:rsidR="00AD1911">
        <w:t>, accessed 1 October 2025.</w:t>
      </w:r>
    </w:p>
  </w:footnote>
  <w:footnote w:id="86">
    <w:p w14:paraId="56E4D640" w14:textId="0A3548E0" w:rsidR="00F30F08" w:rsidRDefault="00F30F08">
      <w:pPr>
        <w:pStyle w:val="FootnoteText"/>
      </w:pPr>
      <w:r>
        <w:rPr>
          <w:rStyle w:val="FootnoteReference"/>
        </w:rPr>
        <w:footnoteRef/>
      </w:r>
      <w:r>
        <w:t xml:space="preserve"> Eli Lilly, </w:t>
      </w:r>
      <w:hyperlink r:id="rId67" w:history="1">
        <w:r w:rsidRPr="00D038F2">
          <w:rPr>
            <w:rStyle w:val="Hyperlink"/>
          </w:rPr>
          <w:t>What to know about orforglipron: An investigational oral GLP-1</w:t>
        </w:r>
      </w:hyperlink>
      <w:r>
        <w:t>, 8 August 2025, accessed 30 September 2025.</w:t>
      </w:r>
    </w:p>
  </w:footnote>
  <w:footnote w:id="87">
    <w:p w14:paraId="3E26CD14" w14:textId="61B37481" w:rsidR="00F30F08" w:rsidRDefault="00F30F08">
      <w:pPr>
        <w:pStyle w:val="FootnoteText"/>
      </w:pPr>
      <w:r>
        <w:rPr>
          <w:rStyle w:val="FootnoteReference"/>
        </w:rPr>
        <w:footnoteRef/>
      </w:r>
      <w:r>
        <w:t xml:space="preserve"> </w:t>
      </w:r>
      <w:r>
        <w:rPr>
          <w:rFonts w:ascii="Arial Narrow" w:hAnsi="Arial Narrow" w:cs="Arial"/>
          <w:kern w:val="2"/>
        </w:rPr>
        <w:t>Wharton, S et al (2025), ‘</w:t>
      </w:r>
      <w:hyperlink r:id="rId68" w:history="1">
        <w:r w:rsidRPr="00314ECD">
          <w:rPr>
            <w:rStyle w:val="Hyperlink"/>
            <w:rFonts w:ascii="Arial Narrow" w:hAnsi="Arial Narrow" w:cs="Arial"/>
            <w:kern w:val="2"/>
          </w:rPr>
          <w:t>Orforglipron, an oral small-molecule GLP-1 receptor agonist for obesity treatment</w:t>
        </w:r>
      </w:hyperlink>
      <w:r>
        <w:rPr>
          <w:rFonts w:ascii="Arial Narrow" w:hAnsi="Arial Narrow" w:cs="Arial"/>
          <w:kern w:val="2"/>
        </w:rPr>
        <w:t xml:space="preserve">’, </w:t>
      </w:r>
      <w:r>
        <w:rPr>
          <w:rFonts w:ascii="Arial Narrow" w:hAnsi="Arial Narrow" w:cs="Arial"/>
          <w:i/>
          <w:iCs/>
          <w:kern w:val="2"/>
        </w:rPr>
        <w:t>New Eng J Med</w:t>
      </w:r>
      <w:r>
        <w:rPr>
          <w:rFonts w:ascii="Arial Narrow" w:hAnsi="Arial Narrow" w:cs="Arial"/>
          <w:kern w:val="2"/>
        </w:rPr>
        <w:t>, 16 September 2025.</w:t>
      </w:r>
    </w:p>
  </w:footnote>
  <w:footnote w:id="88">
    <w:p w14:paraId="5F887D01" w14:textId="6BB2FA10" w:rsidR="008800C9" w:rsidRPr="00AC4EBB" w:rsidRDefault="008800C9">
      <w:pPr>
        <w:pStyle w:val="FootnoteText"/>
      </w:pPr>
      <w:r>
        <w:rPr>
          <w:rStyle w:val="FootnoteReference"/>
        </w:rPr>
        <w:footnoteRef/>
      </w:r>
      <w:r>
        <w:t xml:space="preserve"> </w:t>
      </w:r>
      <w:r w:rsidR="00723053">
        <w:t xml:space="preserve">Brodie M, </w:t>
      </w:r>
      <w:r w:rsidR="00AC4EBB">
        <w:t xml:space="preserve">‘Lilly’s GLP-1 pill lines up TGA pitch’, </w:t>
      </w:r>
      <w:r w:rsidR="00723053" w:rsidRPr="00A32885">
        <w:rPr>
          <w:i/>
          <w:iCs/>
        </w:rPr>
        <w:t>MedNews</w:t>
      </w:r>
      <w:r w:rsidR="00AC4EBB">
        <w:t>, 17 October 2025.</w:t>
      </w:r>
    </w:p>
  </w:footnote>
  <w:footnote w:id="89">
    <w:p w14:paraId="18F6BAD5" w14:textId="62057A28" w:rsidR="00F30F08" w:rsidRDefault="00F30F08">
      <w:pPr>
        <w:pStyle w:val="FootnoteText"/>
      </w:pPr>
      <w:r>
        <w:rPr>
          <w:rStyle w:val="FootnoteReference"/>
        </w:rPr>
        <w:footnoteRef/>
      </w:r>
      <w:r>
        <w:t xml:space="preserve"> </w:t>
      </w:r>
      <w:r>
        <w:rPr>
          <w:rFonts w:ascii="Arial Narrow" w:hAnsi="Arial Narrow" w:cs="Arial"/>
          <w:kern w:val="2"/>
        </w:rPr>
        <w:t>Naeem M et al (2024), ‘</w:t>
      </w:r>
      <w:hyperlink r:id="rId69" w:history="1">
        <w:r w:rsidRPr="000B37B6">
          <w:rPr>
            <w:rStyle w:val="Hyperlink"/>
            <w:rFonts w:ascii="Arial Narrow" w:hAnsi="Arial Narrow" w:cs="Arial"/>
            <w:kern w:val="2"/>
          </w:rPr>
          <w:t>Unleashing the power of retatrutide: A possible triumph over obesity and overweight: A correspondence</w:t>
        </w:r>
      </w:hyperlink>
      <w:r>
        <w:rPr>
          <w:rFonts w:ascii="Arial Narrow" w:hAnsi="Arial Narrow" w:cs="Arial"/>
          <w:kern w:val="2"/>
        </w:rPr>
        <w:t xml:space="preserve">’, </w:t>
      </w:r>
      <w:r>
        <w:rPr>
          <w:rFonts w:ascii="Arial Narrow" w:hAnsi="Arial Narrow" w:cs="Arial"/>
          <w:i/>
          <w:iCs/>
          <w:kern w:val="2"/>
        </w:rPr>
        <w:t>Health Sci Rep</w:t>
      </w:r>
      <w:r>
        <w:rPr>
          <w:rFonts w:ascii="Arial Narrow" w:hAnsi="Arial Narrow" w:cs="Arial"/>
          <w:kern w:val="2"/>
        </w:rPr>
        <w:t>, 7(2):e1864.</w:t>
      </w:r>
    </w:p>
  </w:footnote>
  <w:footnote w:id="90">
    <w:p w14:paraId="59656711" w14:textId="714BCD8A" w:rsidR="00F30F08" w:rsidRDefault="00F30F08">
      <w:pPr>
        <w:pStyle w:val="FootnoteText"/>
      </w:pPr>
      <w:r>
        <w:rPr>
          <w:rStyle w:val="FootnoteReference"/>
        </w:rPr>
        <w:footnoteRef/>
      </w:r>
      <w:r>
        <w:t xml:space="preserve"> </w:t>
      </w:r>
      <w:r>
        <w:rPr>
          <w:rFonts w:ascii="Arial Narrow" w:hAnsi="Arial Narrow" w:cs="Arial"/>
        </w:rPr>
        <w:t>Garvey, WT et al (2025), ‘</w:t>
      </w:r>
      <w:hyperlink r:id="rId70" w:history="1">
        <w:r w:rsidRPr="000326AB">
          <w:rPr>
            <w:rStyle w:val="Hyperlink"/>
            <w:rFonts w:ascii="Arial Narrow" w:hAnsi="Arial Narrow" w:cs="Arial"/>
          </w:rPr>
          <w:t>Coadministered cagrilintide and semaglutide in adults with overweight and obesity</w:t>
        </w:r>
      </w:hyperlink>
      <w:r>
        <w:rPr>
          <w:rFonts w:ascii="Arial Narrow" w:hAnsi="Arial Narrow" w:cs="Arial"/>
        </w:rPr>
        <w:t xml:space="preserve">’, </w:t>
      </w:r>
      <w:r>
        <w:rPr>
          <w:rFonts w:ascii="Arial Narrow" w:hAnsi="Arial Narrow" w:cs="Arial"/>
          <w:i/>
          <w:iCs/>
        </w:rPr>
        <w:t>New Eng J Med</w:t>
      </w:r>
      <w:r>
        <w:rPr>
          <w:rFonts w:ascii="Arial Narrow" w:hAnsi="Arial Narrow" w:cs="Arial"/>
        </w:rPr>
        <w:t>, 393:635-647.</w:t>
      </w:r>
    </w:p>
  </w:footnote>
  <w:footnote w:id="91">
    <w:p w14:paraId="178C45D3" w14:textId="108A7C9B" w:rsidR="00F30F08" w:rsidRDefault="00F30F08">
      <w:pPr>
        <w:pStyle w:val="FootnoteText"/>
      </w:pPr>
      <w:r>
        <w:rPr>
          <w:rStyle w:val="FootnoteReference"/>
        </w:rPr>
        <w:footnoteRef/>
      </w:r>
      <w:r>
        <w:t xml:space="preserve"> </w:t>
      </w:r>
      <w:r>
        <w:rPr>
          <w:rFonts w:ascii="Arial Narrow" w:hAnsi="Arial Narrow" w:cs="Arial"/>
        </w:rPr>
        <w:t>Wharton S et al (2025), ‘</w:t>
      </w:r>
      <w:hyperlink r:id="rId71" w:history="1">
        <w:r w:rsidRPr="00EB0ED6">
          <w:rPr>
            <w:rStyle w:val="Hyperlink"/>
            <w:rFonts w:ascii="Arial Narrow" w:hAnsi="Arial Narrow" w:cs="Arial"/>
          </w:rPr>
          <w:t>Survodutide for treatment of obesity: rationale and design of two randomized phase 3 clinical trials (SYNCHRONIZE</w:t>
        </w:r>
        <w:r w:rsidRPr="00EB0ED6">
          <w:rPr>
            <w:rStyle w:val="Hyperlink"/>
            <w:rFonts w:ascii="Arial Narrow" w:hAnsi="Arial Narrow" w:cs="Arial"/>
            <w:vertAlign w:val="superscript"/>
          </w:rPr>
          <w:t>TM</w:t>
        </w:r>
        <w:r w:rsidRPr="00EB0ED6">
          <w:rPr>
            <w:rStyle w:val="Hyperlink"/>
            <w:rFonts w:ascii="Arial Narrow" w:hAnsi="Arial Narrow" w:cs="Arial"/>
          </w:rPr>
          <w:t>-1 and -2)</w:t>
        </w:r>
      </w:hyperlink>
      <w:r>
        <w:rPr>
          <w:rFonts w:ascii="Arial Narrow" w:hAnsi="Arial Narrow" w:cs="Arial"/>
        </w:rPr>
        <w:t xml:space="preserve">’, </w:t>
      </w:r>
      <w:r>
        <w:rPr>
          <w:rFonts w:ascii="Arial Narrow" w:hAnsi="Arial Narrow" w:cs="Arial"/>
          <w:i/>
          <w:iCs/>
        </w:rPr>
        <w:t>Obesity</w:t>
      </w:r>
      <w:r>
        <w:rPr>
          <w:rFonts w:ascii="Arial Narrow" w:hAnsi="Arial Narrow" w:cs="Arial"/>
        </w:rPr>
        <w:t>, 33(1):67-77</w:t>
      </w:r>
    </w:p>
  </w:footnote>
  <w:footnote w:id="92">
    <w:p w14:paraId="129D7AAD" w14:textId="1637CDBC" w:rsidR="005B5183" w:rsidRPr="00E35664" w:rsidRDefault="005B5183">
      <w:pPr>
        <w:pStyle w:val="FootnoteText"/>
      </w:pPr>
      <w:r>
        <w:rPr>
          <w:rStyle w:val="FootnoteReference"/>
        </w:rPr>
        <w:footnoteRef/>
      </w:r>
      <w:r>
        <w:t xml:space="preserve"> </w:t>
      </w:r>
      <w:r w:rsidR="00637EE4">
        <w:t>Ji L et al (2025), ‘</w:t>
      </w:r>
      <w:hyperlink r:id="rId72" w:history="1">
        <w:r w:rsidR="00637EE4" w:rsidRPr="005651C1">
          <w:rPr>
            <w:rStyle w:val="Hyperlink"/>
          </w:rPr>
          <w:t>Efficacy and safety of a biased GLP-1 receptor agonist ecnoglutide in adults with overweight and obesity: a multicentre, randomised, double-blind, placebo-controlled, phase 3 trial’</w:t>
        </w:r>
      </w:hyperlink>
      <w:r w:rsidR="00637EE4">
        <w:t xml:space="preserve">, </w:t>
      </w:r>
      <w:r w:rsidR="00E35664">
        <w:rPr>
          <w:i/>
          <w:iCs/>
        </w:rPr>
        <w:t>Lancet Diabetes Endocrinol</w:t>
      </w:r>
      <w:r w:rsidR="00E35664">
        <w:t>, 13(9):777-789.</w:t>
      </w:r>
    </w:p>
  </w:footnote>
  <w:footnote w:id="93">
    <w:p w14:paraId="5AA4F6A2" w14:textId="09BE0697" w:rsidR="00C5686C" w:rsidRPr="00FA0C3D" w:rsidRDefault="00C5686C">
      <w:pPr>
        <w:pStyle w:val="FootnoteText"/>
      </w:pPr>
      <w:r>
        <w:rPr>
          <w:rStyle w:val="FootnoteReference"/>
        </w:rPr>
        <w:footnoteRef/>
      </w:r>
      <w:r>
        <w:t xml:space="preserve"> </w:t>
      </w:r>
      <w:r w:rsidR="0044175D">
        <w:t>Jastreboff AM et al (2025), ‘</w:t>
      </w:r>
      <w:hyperlink r:id="rId73" w:history="1">
        <w:r w:rsidR="0044175D" w:rsidRPr="005C7850">
          <w:rPr>
            <w:rStyle w:val="Hyperlink"/>
          </w:rPr>
          <w:t xml:space="preserve">Once-monthly maridebart </w:t>
        </w:r>
        <w:r w:rsidR="00FA0C3D" w:rsidRPr="005C7850">
          <w:rPr>
            <w:rStyle w:val="Hyperlink"/>
          </w:rPr>
          <w:t>cafraglutide for the treatment of obesity – A phase 2 trial</w:t>
        </w:r>
      </w:hyperlink>
      <w:r w:rsidR="00FA0C3D">
        <w:t xml:space="preserve">’, </w:t>
      </w:r>
      <w:r w:rsidR="00FA0C3D">
        <w:rPr>
          <w:i/>
          <w:iCs/>
        </w:rPr>
        <w:t>N Engl J Med</w:t>
      </w:r>
      <w:r w:rsidR="00FA0C3D">
        <w:t xml:space="preserve">, </w:t>
      </w:r>
      <w:r w:rsidR="005C7850">
        <w:t>393(9):843-857.</w:t>
      </w:r>
    </w:p>
  </w:footnote>
  <w:footnote w:id="94">
    <w:p w14:paraId="21DC5EF9" w14:textId="39320272" w:rsidR="005C7850" w:rsidRPr="00FE7A5C" w:rsidRDefault="005C7850">
      <w:pPr>
        <w:pStyle w:val="FootnoteText"/>
      </w:pPr>
      <w:r>
        <w:rPr>
          <w:rStyle w:val="FootnoteReference"/>
        </w:rPr>
        <w:footnoteRef/>
      </w:r>
      <w:r>
        <w:t xml:space="preserve"> </w:t>
      </w:r>
      <w:r w:rsidR="0068543D">
        <w:t xml:space="preserve">National Library of Medicine, Clinical Trials.gov, </w:t>
      </w:r>
      <w:hyperlink r:id="rId74" w:history="1">
        <w:r w:rsidR="0068543D" w:rsidRPr="00FE7A5C">
          <w:rPr>
            <w:rStyle w:val="Hyperlink"/>
          </w:rPr>
          <w:t>Efficacy and safety of maridebart cafriglutide in adult participants in Japan who have obesity disease (MNARITIME-3-J)</w:t>
        </w:r>
      </w:hyperlink>
      <w:r w:rsidR="0068543D">
        <w:t xml:space="preserve">, </w:t>
      </w:r>
      <w:r w:rsidR="00FE7A5C">
        <w:t>accessed 1 October 2025.</w:t>
      </w:r>
    </w:p>
  </w:footnote>
  <w:footnote w:id="95">
    <w:p w14:paraId="418C8C92" w14:textId="385EFB8A" w:rsidR="00907581" w:rsidRPr="00073109" w:rsidRDefault="00907581">
      <w:pPr>
        <w:pStyle w:val="FootnoteText"/>
      </w:pPr>
      <w:r>
        <w:rPr>
          <w:rStyle w:val="FootnoteReference"/>
        </w:rPr>
        <w:footnoteRef/>
      </w:r>
      <w:r>
        <w:t xml:space="preserve"> </w:t>
      </w:r>
      <w:r w:rsidR="008F1C3C">
        <w:t>Ji L et al (2025), ‘</w:t>
      </w:r>
      <w:hyperlink r:id="rId75" w:history="1">
        <w:r w:rsidR="008F1C3C" w:rsidRPr="00073109">
          <w:rPr>
            <w:rStyle w:val="Hyperlink"/>
          </w:rPr>
          <w:t>Once-weekly mazdutide in Chinese adults with overweight and obesity</w:t>
        </w:r>
      </w:hyperlink>
      <w:r w:rsidR="008F1C3C">
        <w:t xml:space="preserve">’, </w:t>
      </w:r>
      <w:r w:rsidR="00073109">
        <w:rPr>
          <w:i/>
          <w:iCs/>
        </w:rPr>
        <w:t>N Engl J Med</w:t>
      </w:r>
      <w:r w:rsidR="00073109">
        <w:t>, 392:2215-2225.</w:t>
      </w:r>
    </w:p>
  </w:footnote>
  <w:footnote w:id="96">
    <w:p w14:paraId="777E3BB3" w14:textId="77777777" w:rsidR="00354413" w:rsidRDefault="00354413">
      <w:pPr>
        <w:pStyle w:val="FootnoteText"/>
      </w:pPr>
      <w:r>
        <w:rPr>
          <w:rStyle w:val="FootnoteReference"/>
        </w:rPr>
        <w:footnoteRef/>
      </w:r>
      <w:r>
        <w:t xml:space="preserve"> National Library of Medicine, ClincialTrials.gov, </w:t>
      </w:r>
      <w:hyperlink r:id="rId76" w:history="1">
        <w:r w:rsidRPr="005B35E2">
          <w:rPr>
            <w:rStyle w:val="Hyperlink"/>
          </w:rPr>
          <w:t>A trial of HRS-7535 tablets in subjects with overweight or obesity</w:t>
        </w:r>
      </w:hyperlink>
      <w:r>
        <w:t>, accessed 1 October 2025.</w:t>
      </w:r>
    </w:p>
  </w:footnote>
  <w:footnote w:id="97">
    <w:p w14:paraId="5063C668" w14:textId="6CE9B69C" w:rsidR="00D33E35" w:rsidRPr="001917C9" w:rsidRDefault="00D33E35">
      <w:pPr>
        <w:pStyle w:val="FootnoteText"/>
      </w:pPr>
      <w:r>
        <w:rPr>
          <w:rStyle w:val="FootnoteReference"/>
        </w:rPr>
        <w:footnoteRef/>
      </w:r>
      <w:r w:rsidR="00D46E14">
        <w:t xml:space="preserve"> Ji L et al</w:t>
      </w:r>
      <w:r w:rsidR="00DD0F38">
        <w:t xml:space="preserve"> (2025), ‘</w:t>
      </w:r>
      <w:hyperlink r:id="rId77" w:history="1">
        <w:r w:rsidR="00DD0F38" w:rsidRPr="00101DD4">
          <w:rPr>
            <w:rStyle w:val="Hyperlink"/>
          </w:rPr>
          <w:t>743-P: Efficacy and</w:t>
        </w:r>
        <w:r w:rsidR="00101DD4" w:rsidRPr="00101DD4">
          <w:rPr>
            <w:rStyle w:val="Hyperlink"/>
          </w:rPr>
          <w:t xml:space="preserve"> </w:t>
        </w:r>
        <w:r w:rsidR="00DD0F38" w:rsidRPr="00101DD4">
          <w:rPr>
            <w:rStyle w:val="Hyperlink"/>
          </w:rPr>
          <w:t>safety of VCT220 in Chinese adults with overweight or obesity</w:t>
        </w:r>
      </w:hyperlink>
      <w:r w:rsidR="00DD0F38">
        <w:t xml:space="preserve">’, </w:t>
      </w:r>
      <w:r w:rsidR="001917C9">
        <w:rPr>
          <w:i/>
          <w:iCs/>
        </w:rPr>
        <w:t xml:space="preserve"> Diabetes</w:t>
      </w:r>
      <w:r w:rsidR="001917C9">
        <w:t>, 74(S1)</w:t>
      </w:r>
      <w:r w:rsidR="00101DD4">
        <w:t>.</w:t>
      </w:r>
    </w:p>
  </w:footnote>
  <w:footnote w:id="98">
    <w:p w14:paraId="43BAFB2C" w14:textId="4BC2C2E1" w:rsidR="0090193B" w:rsidRDefault="0090193B">
      <w:pPr>
        <w:pStyle w:val="FootnoteText"/>
      </w:pPr>
      <w:r>
        <w:rPr>
          <w:rStyle w:val="FootnoteReference"/>
        </w:rPr>
        <w:footnoteRef/>
      </w:r>
      <w:r>
        <w:t xml:space="preserve"> </w:t>
      </w:r>
      <w:r w:rsidR="001363D9">
        <w:t xml:space="preserve">Hanmi </w:t>
      </w:r>
      <w:r w:rsidR="00CF1D0A">
        <w:t>Pharmaceutical</w:t>
      </w:r>
      <w:r w:rsidR="001363D9">
        <w:t xml:space="preserve">, </w:t>
      </w:r>
      <w:hyperlink r:id="rId78" w:history="1">
        <w:r w:rsidR="00CF1D0A" w:rsidRPr="00114685">
          <w:rPr>
            <w:rStyle w:val="Hyperlink"/>
          </w:rPr>
          <w:t>Efocip</w:t>
        </w:r>
        <w:r w:rsidR="00586AFC" w:rsidRPr="00114685">
          <w:rPr>
            <w:rStyle w:val="Hyperlink"/>
          </w:rPr>
          <w:t>egtrutide</w:t>
        </w:r>
      </w:hyperlink>
      <w:r w:rsidR="00D94099">
        <w:t xml:space="preserve"> (</w:t>
      </w:r>
      <w:r w:rsidR="00D94099" w:rsidRPr="00A32885">
        <w:rPr>
          <w:vertAlign w:val="superscript"/>
        </w:rPr>
        <w:t>LAPS</w:t>
      </w:r>
      <w:r w:rsidR="00D94099">
        <w:t>triple agonist), accessed 17 October 2023.</w:t>
      </w:r>
    </w:p>
  </w:footnote>
  <w:footnote w:id="99">
    <w:p w14:paraId="6A40946D" w14:textId="2AB94D7C" w:rsidR="00AE6C2B" w:rsidRDefault="00AE6C2B">
      <w:pPr>
        <w:pStyle w:val="FootnoteText"/>
      </w:pPr>
      <w:r>
        <w:rPr>
          <w:rStyle w:val="FootnoteReference"/>
        </w:rPr>
        <w:footnoteRef/>
      </w:r>
      <w:r>
        <w:t xml:space="preserve"> </w:t>
      </w:r>
      <w:r w:rsidR="00A12C0B">
        <w:t>Dahl K et al (2025), ‘</w:t>
      </w:r>
      <w:hyperlink r:id="rId79" w:history="1">
        <w:r w:rsidR="00A12C0B" w:rsidRPr="00FB213E">
          <w:rPr>
            <w:rStyle w:val="Hyperlink"/>
          </w:rPr>
          <w:t>Amycretin, a novel, unimolecular GLP-1 and amylin receptor agonist administered subcutaneously: results from a phase 1b/2a randomised controlled study</w:t>
        </w:r>
      </w:hyperlink>
      <w:r w:rsidR="00A12C0B">
        <w:t xml:space="preserve">’, </w:t>
      </w:r>
      <w:r w:rsidR="00AF3A0F">
        <w:t>406(10499):149-162.</w:t>
      </w:r>
    </w:p>
  </w:footnote>
  <w:footnote w:id="100">
    <w:p w14:paraId="39B00E6C" w14:textId="0A8C9462" w:rsidR="002D4747" w:rsidRDefault="002D4747">
      <w:pPr>
        <w:pStyle w:val="FootnoteText"/>
      </w:pPr>
      <w:r>
        <w:rPr>
          <w:rStyle w:val="FootnoteReference"/>
        </w:rPr>
        <w:footnoteRef/>
      </w:r>
      <w:r>
        <w:t xml:space="preserve"> IP Australia, </w:t>
      </w:r>
      <w:hyperlink r:id="rId80" w:history="1">
        <w:r w:rsidR="00F77ABB" w:rsidRPr="00D27D1B">
          <w:rPr>
            <w:rStyle w:val="Hyperlink"/>
          </w:rPr>
          <w:t>Albumin-binding derivatives of therapeutic peptides</w:t>
        </w:r>
      </w:hyperlink>
      <w:r w:rsidR="00F77ABB">
        <w:t xml:space="preserve">, </w:t>
      </w:r>
      <w:r w:rsidR="0047339C">
        <w:t xml:space="preserve">accessed 9 October 2025. </w:t>
      </w:r>
    </w:p>
  </w:footnote>
  <w:footnote w:id="101">
    <w:p w14:paraId="7D1A5347" w14:textId="5FF37924" w:rsidR="00B919B4" w:rsidRDefault="00B919B4">
      <w:pPr>
        <w:pStyle w:val="FootnoteText"/>
      </w:pPr>
      <w:r>
        <w:rPr>
          <w:rStyle w:val="FootnoteReference"/>
        </w:rPr>
        <w:footnoteRef/>
      </w:r>
      <w:r>
        <w:t xml:space="preserve"> IP Australia, </w:t>
      </w:r>
      <w:hyperlink r:id="rId81" w:history="1">
        <w:r w:rsidR="00ED5695" w:rsidRPr="00CC6654">
          <w:rPr>
            <w:rStyle w:val="Hyperlink"/>
          </w:rPr>
          <w:t>GIP and GLP-1 co-agonist compounds</w:t>
        </w:r>
      </w:hyperlink>
      <w:r w:rsidR="00255C4F">
        <w:t>, access</w:t>
      </w:r>
      <w:r w:rsidR="00CC6654">
        <w:t>ed</w:t>
      </w:r>
      <w:r w:rsidR="00255C4F">
        <w:t xml:space="preserve"> 9 October 2025. </w:t>
      </w:r>
    </w:p>
  </w:footnote>
  <w:footnote w:id="102">
    <w:p w14:paraId="1DEA03A5" w14:textId="4D227BED" w:rsidR="00786FDC" w:rsidRDefault="00786FDC">
      <w:pPr>
        <w:pStyle w:val="FootnoteText"/>
      </w:pPr>
      <w:r>
        <w:rPr>
          <w:rStyle w:val="FootnoteReference"/>
        </w:rPr>
        <w:footnoteRef/>
      </w:r>
      <w:r>
        <w:t xml:space="preserve"> </w:t>
      </w:r>
      <w:r w:rsidR="00545E78">
        <w:t xml:space="preserve">Heaney C, </w:t>
      </w:r>
      <w:r>
        <w:t xml:space="preserve">NewsGP, </w:t>
      </w:r>
      <w:hyperlink r:id="rId82" w:history="1">
        <w:r w:rsidR="00545E78" w:rsidRPr="009B42E6">
          <w:rPr>
            <w:rStyle w:val="Hyperlink"/>
          </w:rPr>
          <w:t>Wegovy launches in Australia</w:t>
        </w:r>
      </w:hyperlink>
      <w:r w:rsidR="00545E78">
        <w:t xml:space="preserve">, 2 August 2024, accessed </w:t>
      </w:r>
      <w:r w:rsidR="009B42E6">
        <w:t>1 October 2025.</w:t>
      </w:r>
    </w:p>
  </w:footnote>
  <w:footnote w:id="103">
    <w:p w14:paraId="5AE547DC" w14:textId="18BA379A" w:rsidR="000B3FE4" w:rsidRDefault="000B3FE4">
      <w:pPr>
        <w:pStyle w:val="FootnoteText"/>
      </w:pPr>
      <w:r>
        <w:rPr>
          <w:rStyle w:val="FootnoteReference"/>
        </w:rPr>
        <w:footnoteRef/>
      </w:r>
      <w:r>
        <w:t xml:space="preserve"> </w:t>
      </w:r>
      <w:r w:rsidR="00B72501">
        <w:t xml:space="preserve">Chemist Warehouse, </w:t>
      </w:r>
      <w:hyperlink r:id="rId83" w:history="1">
        <w:r w:rsidR="00B72501" w:rsidRPr="009C4523">
          <w:rPr>
            <w:rStyle w:val="Hyperlink"/>
          </w:rPr>
          <w:t>Wegovy 2.4mg/Dose FlexTouch Pen 3mL – Semaglutide</w:t>
        </w:r>
      </w:hyperlink>
      <w:r w:rsidR="00B72501">
        <w:t xml:space="preserve">, </w:t>
      </w:r>
      <w:r w:rsidR="009C4523">
        <w:t>accessed 1 October 2025.</w:t>
      </w:r>
    </w:p>
  </w:footnote>
  <w:footnote w:id="104">
    <w:p w14:paraId="477847BF" w14:textId="10292983" w:rsidR="00982715" w:rsidRDefault="00982715">
      <w:pPr>
        <w:pStyle w:val="FootnoteText"/>
      </w:pPr>
      <w:r>
        <w:rPr>
          <w:rStyle w:val="FootnoteReference"/>
        </w:rPr>
        <w:footnoteRef/>
      </w:r>
      <w:r>
        <w:t xml:space="preserve"> US FDA, </w:t>
      </w:r>
      <w:hyperlink r:id="rId84" w:history="1">
        <w:r w:rsidR="00B761B2" w:rsidRPr="00B761B2">
          <w:rPr>
            <w:rStyle w:val="Hyperlink"/>
          </w:rPr>
          <w:t>FDA Approves Treatment for Serious Liver Disease Known as ‘MASH’</w:t>
        </w:r>
      </w:hyperlink>
      <w:r w:rsidR="00B761B2">
        <w:t>, 15 August 2025, accessed 1 October 2025.</w:t>
      </w:r>
    </w:p>
  </w:footnote>
  <w:footnote w:id="105">
    <w:p w14:paraId="769CCDE0" w14:textId="5DDB34D3" w:rsidR="00437CAC" w:rsidRPr="00CA0897" w:rsidRDefault="00437CAC">
      <w:pPr>
        <w:pStyle w:val="FootnoteText"/>
      </w:pPr>
      <w:r>
        <w:rPr>
          <w:rStyle w:val="FootnoteReference"/>
        </w:rPr>
        <w:footnoteRef/>
      </w:r>
      <w:r>
        <w:t xml:space="preserve"> </w:t>
      </w:r>
      <w:r w:rsidR="00955D08">
        <w:t>Drucker D (2025), ‘</w:t>
      </w:r>
      <w:hyperlink r:id="rId85" w:history="1">
        <w:r w:rsidR="00955D08" w:rsidRPr="00EC2991">
          <w:rPr>
            <w:rStyle w:val="Hyperlink"/>
          </w:rPr>
          <w:t>GLP-1-based therapies for diabetes, obesity and beyond</w:t>
        </w:r>
      </w:hyperlink>
      <w:r w:rsidR="00955D08">
        <w:t>’</w:t>
      </w:r>
      <w:r w:rsidR="00CA0897">
        <w:t xml:space="preserve">, </w:t>
      </w:r>
      <w:r w:rsidR="00CA0897">
        <w:rPr>
          <w:i/>
          <w:iCs/>
        </w:rPr>
        <w:t>Nature Reviews</w:t>
      </w:r>
      <w:r w:rsidR="00CA0897">
        <w:t>, 24:631-650.</w:t>
      </w:r>
    </w:p>
  </w:footnote>
  <w:footnote w:id="106">
    <w:p w14:paraId="043B54AE" w14:textId="7EF29059" w:rsidR="00BC473A" w:rsidRPr="00700B58" w:rsidRDefault="00BC473A">
      <w:pPr>
        <w:pStyle w:val="FootnoteText"/>
      </w:pPr>
      <w:r>
        <w:rPr>
          <w:rStyle w:val="FootnoteReference"/>
        </w:rPr>
        <w:footnoteRef/>
      </w:r>
      <w:r>
        <w:t xml:space="preserve"> </w:t>
      </w:r>
      <w:r w:rsidR="006B04A8">
        <w:t>Braca S et al (2025), ‘</w:t>
      </w:r>
      <w:hyperlink r:id="rId86" w:history="1">
        <w:r w:rsidR="006B04A8" w:rsidRPr="00EC2991">
          <w:rPr>
            <w:rStyle w:val="Hyperlink"/>
          </w:rPr>
          <w:t xml:space="preserve">Effectiveness and tolerability </w:t>
        </w:r>
        <w:r w:rsidR="00A93273" w:rsidRPr="00EC2991">
          <w:rPr>
            <w:rStyle w:val="Hyperlink"/>
          </w:rPr>
          <w:t xml:space="preserve">of liraglutide as add-on treatment in </w:t>
        </w:r>
        <w:r w:rsidR="00700B58" w:rsidRPr="00EC2991">
          <w:rPr>
            <w:rStyle w:val="Hyperlink"/>
          </w:rPr>
          <w:t>patients</w:t>
        </w:r>
        <w:r w:rsidR="00A93273" w:rsidRPr="00EC2991">
          <w:rPr>
            <w:rStyle w:val="Hyperlink"/>
          </w:rPr>
          <w:t xml:space="preserve"> with obesity and high-frequency or chronic migraine: A prospective pilot study</w:t>
        </w:r>
      </w:hyperlink>
      <w:r w:rsidR="00A93273">
        <w:t>’</w:t>
      </w:r>
      <w:r w:rsidR="00700B58">
        <w:t xml:space="preserve">, </w:t>
      </w:r>
      <w:r w:rsidR="00700B58">
        <w:rPr>
          <w:i/>
          <w:iCs/>
        </w:rPr>
        <w:t>Headache</w:t>
      </w:r>
      <w:r w:rsidR="00700B58">
        <w:t>, 17 July 2025.</w:t>
      </w:r>
    </w:p>
  </w:footnote>
  <w:footnote w:id="107">
    <w:p w14:paraId="6ADDDC30" w14:textId="4C85C1BF" w:rsidR="00D44169" w:rsidRDefault="00D44169">
      <w:pPr>
        <w:pStyle w:val="FootnoteText"/>
      </w:pPr>
      <w:r>
        <w:rPr>
          <w:rStyle w:val="FootnoteReference"/>
        </w:rPr>
        <w:footnoteRef/>
      </w:r>
      <w:r>
        <w:t xml:space="preserve"> Services Australia, </w:t>
      </w:r>
      <w:r w:rsidR="00FD6647">
        <w:t xml:space="preserve">Pharmaceutical Benefits Schedule Item Reports, </w:t>
      </w:r>
      <w:r w:rsidR="002123FF">
        <w:t>accessed 15 September 2025.</w:t>
      </w:r>
    </w:p>
  </w:footnote>
  <w:footnote w:id="108">
    <w:p w14:paraId="0A753081" w14:textId="450D076C" w:rsidR="006C2BD9" w:rsidRPr="004A47E7" w:rsidRDefault="006C2BD9">
      <w:pPr>
        <w:pStyle w:val="FootnoteText"/>
      </w:pPr>
      <w:r>
        <w:rPr>
          <w:rStyle w:val="FootnoteReference"/>
        </w:rPr>
        <w:footnoteRef/>
      </w:r>
      <w:r>
        <w:t xml:space="preserve"> </w:t>
      </w:r>
      <w:r w:rsidR="007C1165">
        <w:t>Talay L and Vickers M (2024), ‘</w:t>
      </w:r>
      <w:hyperlink r:id="rId87" w:history="1">
        <w:r w:rsidR="007C1165" w:rsidRPr="003A207B">
          <w:rPr>
            <w:rStyle w:val="Hyperlink"/>
          </w:rPr>
          <w:t xml:space="preserve">Patient adherence to a real-world digital, asynchronous weight loss program in Australia that combines </w:t>
        </w:r>
        <w:r w:rsidR="004A47E7" w:rsidRPr="003A207B">
          <w:rPr>
            <w:rStyle w:val="Hyperlink"/>
          </w:rPr>
          <w:t>behavioural and GLP-1 RA therapy: A mixed methods study</w:t>
        </w:r>
      </w:hyperlink>
      <w:r w:rsidR="004A47E7">
        <w:t xml:space="preserve">’, </w:t>
      </w:r>
      <w:r w:rsidR="004A47E7">
        <w:rPr>
          <w:i/>
          <w:iCs/>
        </w:rPr>
        <w:t>Behav Sci</w:t>
      </w:r>
      <w:r w:rsidR="004A47E7">
        <w:t>, 14(6):480</w:t>
      </w:r>
      <w:r w:rsidR="003A207B">
        <w:t>.</w:t>
      </w:r>
    </w:p>
  </w:footnote>
  <w:footnote w:id="109">
    <w:p w14:paraId="56F6DB26" w14:textId="77777777" w:rsidR="00B21F2E" w:rsidRDefault="00B21F2E" w:rsidP="00B21F2E">
      <w:pPr>
        <w:pStyle w:val="FootnoteText"/>
      </w:pPr>
      <w:r>
        <w:rPr>
          <w:rStyle w:val="FootnoteReference"/>
        </w:rPr>
        <w:footnoteRef/>
      </w:r>
      <w:r>
        <w:t xml:space="preserve"> </w:t>
      </w:r>
      <w:r w:rsidRPr="001367EC">
        <w:t>Gasoyan et al. (2025), ‘</w:t>
      </w:r>
      <w:hyperlink r:id="rId88" w:history="1">
        <w:r w:rsidRPr="00E22C9B">
          <w:rPr>
            <w:rStyle w:val="Hyperlink"/>
          </w:rPr>
          <w:t>Changes in weight and glycaemic control following obesity treatment with semaglutide or tirzepatide by discontinuation status</w:t>
        </w:r>
      </w:hyperlink>
      <w:r>
        <w:t>’</w:t>
      </w:r>
      <w:r w:rsidRPr="001367EC">
        <w:t xml:space="preserve">, </w:t>
      </w:r>
      <w:r w:rsidRPr="001367EC">
        <w:rPr>
          <w:i/>
          <w:iCs/>
        </w:rPr>
        <w:t>Obesity</w:t>
      </w:r>
      <w:r>
        <w:rPr>
          <w:i/>
          <w:iCs/>
        </w:rPr>
        <w:t xml:space="preserve">, </w:t>
      </w:r>
      <w:r>
        <w:t>33(9):1657-1667</w:t>
      </w:r>
      <w:r w:rsidRPr="001367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11948F4C" w:rsidR="009C26AA" w:rsidRPr="00A06225" w:rsidRDefault="00753E52">
          <w:pPr>
            <w:pStyle w:val="Header"/>
            <w:spacing w:line="276" w:lineRule="auto"/>
            <w:rPr>
              <w:rFonts w:ascii="Cambria" w:eastAsia="MS Gothic" w:hAnsi="Cambria"/>
              <w:b/>
              <w:bCs/>
              <w:color w:val="4F81BD"/>
            </w:rPr>
          </w:pPr>
          <w:r>
            <w:rPr>
              <w:rFonts w:ascii="Cambria" w:eastAsia="MS Gothic" w:hAnsi="Cambria"/>
              <w:b/>
              <w:bCs/>
              <w:noProof/>
              <w:color w:val="4F81BD"/>
            </w:rPr>
            <mc:AlternateContent>
              <mc:Choice Requires="wps">
                <w:drawing>
                  <wp:anchor distT="0" distB="0" distL="0" distR="0" simplePos="0" relativeHeight="251658241" behindDoc="0" locked="0" layoutInCell="1" allowOverlap="1" wp14:anchorId="0B4A1481" wp14:editId="050C57A7">
                    <wp:simplePos x="635" y="635"/>
                    <wp:positionH relativeFrom="page">
                      <wp:align>center</wp:align>
                    </wp:positionH>
                    <wp:positionV relativeFrom="page">
                      <wp:align>top</wp:align>
                    </wp:positionV>
                    <wp:extent cx="622300" cy="376555"/>
                    <wp:effectExtent l="0" t="0" r="6350" b="4445"/>
                    <wp:wrapNone/>
                    <wp:docPr id="204935012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0E34F3" w14:textId="09122A38"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4A1481"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310E34F3" w14:textId="09122A38"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v:textbox>
                    <w10:wrap anchorx="page" anchory="page"/>
                  </v:shape>
                </w:pict>
              </mc:Fallback>
            </mc:AlternateContent>
          </w:r>
        </w:p>
      </w:tc>
      <w:tc>
        <w:tcPr>
          <w:tcW w:w="333" w:type="pct"/>
          <w:vMerge w:val="restart"/>
          <w:noWrap/>
          <w:vAlign w:val="center"/>
          <w:hideMark/>
        </w:tcPr>
        <w:p w14:paraId="2BB03196" w14:textId="77777777" w:rsidR="009C26AA" w:rsidRPr="008345EA" w:rsidRDefault="009C26AA" w:rsidP="00A06225">
          <w:pPr>
            <w:pStyle w:val="MediumGrid21"/>
            <w:rPr>
              <w:rFonts w:ascii="Cambria" w:hAnsi="Cambria"/>
              <w:szCs w:val="20"/>
            </w:rPr>
          </w:pPr>
          <w:r w:rsidRPr="008345EA">
            <w:rPr>
              <w:rFonts w:ascii="Cambria" w:hAnsi="Cambria"/>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4B42" w14:textId="5D5CCF6E" w:rsidR="00C56D78" w:rsidRPr="008345EA" w:rsidRDefault="00753E52" w:rsidP="00C56D78">
    <w:pPr>
      <w:keepNext/>
      <w:tabs>
        <w:tab w:val="center" w:pos="4513"/>
        <w:tab w:val="right" w:pos="9026"/>
      </w:tabs>
      <w:jc w:val="center"/>
      <w:rPr>
        <w:rFonts w:asciiTheme="minorHAnsi" w:eastAsiaTheme="minorEastAsia" w:hAnsiTheme="minorHAnsi" w:cstheme="minorBidi"/>
        <w:i/>
      </w:rPr>
    </w:pPr>
    <w:r>
      <w:rPr>
        <w:rFonts w:asciiTheme="minorHAnsi" w:eastAsiaTheme="minorEastAsia" w:hAnsiTheme="minorHAnsi" w:cstheme="minorBidi"/>
        <w:i/>
        <w:iCs/>
        <w:noProof/>
        <w:color w:val="808080" w:themeColor="background1" w:themeShade="80"/>
      </w:rPr>
      <mc:AlternateContent>
        <mc:Choice Requires="wps">
          <w:drawing>
            <wp:anchor distT="0" distB="0" distL="0" distR="0" simplePos="0" relativeHeight="251658242" behindDoc="0" locked="0" layoutInCell="1" allowOverlap="1" wp14:anchorId="543AB90A" wp14:editId="5FD093AF">
              <wp:simplePos x="635" y="635"/>
              <wp:positionH relativeFrom="page">
                <wp:align>center</wp:align>
              </wp:positionH>
              <wp:positionV relativeFrom="page">
                <wp:align>top</wp:align>
              </wp:positionV>
              <wp:extent cx="622300" cy="376555"/>
              <wp:effectExtent l="0" t="0" r="6350" b="4445"/>
              <wp:wrapNone/>
              <wp:docPr id="19317622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776463" w14:textId="5A52DF8A"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3AB90A"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7776463" w14:textId="5A52DF8A"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v:textbox>
              <w10:wrap anchorx="page" anchory="page"/>
            </v:shape>
          </w:pict>
        </mc:Fallback>
      </mc:AlternateContent>
    </w:r>
    <w:r w:rsidR="00E72453">
      <w:rPr>
        <w:rFonts w:asciiTheme="minorHAnsi" w:eastAsiaTheme="minorEastAsia" w:hAnsiTheme="minorHAnsi" w:cstheme="minorBidi"/>
        <w:i/>
      </w:rPr>
      <w:t>Public Summary Document</w:t>
    </w:r>
    <w:r w:rsidR="009410BF" w:rsidRPr="008345EA">
      <w:rPr>
        <w:rFonts w:asciiTheme="minorHAnsi" w:eastAsiaTheme="minorEastAsia" w:hAnsiTheme="minorHAnsi" w:cstheme="minorBidi"/>
        <w:i/>
      </w:rPr>
      <w:t xml:space="preserve"> </w:t>
    </w:r>
    <w:r w:rsidR="00CC2224" w:rsidRPr="008345EA">
      <w:rPr>
        <w:rFonts w:asciiTheme="minorHAnsi" w:eastAsiaTheme="minorEastAsia" w:hAnsiTheme="minorHAnsi" w:cstheme="minorBidi"/>
        <w:i/>
      </w:rPr>
      <w:t>–</w:t>
    </w:r>
    <w:r w:rsidR="000F11E7" w:rsidRPr="008345EA">
      <w:rPr>
        <w:rFonts w:asciiTheme="minorHAnsi" w:eastAsiaTheme="minorEastAsia" w:hAnsiTheme="minorHAnsi" w:cstheme="minorBidi"/>
        <w:i/>
      </w:rPr>
      <w:t xml:space="preserve"> </w:t>
    </w:r>
    <w:r w:rsidR="00AE3269" w:rsidRPr="008345EA">
      <w:rPr>
        <w:rFonts w:asciiTheme="minorHAnsi" w:eastAsiaTheme="minorEastAsia" w:hAnsiTheme="minorHAnsi" w:cstheme="minorBidi"/>
        <w:i/>
      </w:rPr>
      <w:t xml:space="preserve">November </w:t>
    </w:r>
    <w:r w:rsidR="003369FE" w:rsidRPr="008345EA">
      <w:rPr>
        <w:rFonts w:asciiTheme="minorHAnsi" w:eastAsiaTheme="minorEastAsia" w:hAnsiTheme="minorHAnsi" w:cstheme="minorBidi"/>
        <w:i/>
      </w:rPr>
      <w:t>2025</w:t>
    </w:r>
    <w:r w:rsidR="000F11E7" w:rsidRPr="008345EA">
      <w:rPr>
        <w:rFonts w:asciiTheme="minorHAnsi" w:eastAsiaTheme="minorEastAsia" w:hAnsiTheme="minorHAnsi" w:cstheme="minorBidi"/>
        <w:i/>
      </w:rPr>
      <w:t xml:space="preserve"> PBAC Meeting</w:t>
    </w:r>
  </w:p>
  <w:p w14:paraId="49FC1F8C" w14:textId="77777777" w:rsidR="00C56D78" w:rsidRDefault="00C56D78"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F85F" w14:textId="767F35E3" w:rsidR="00AE3269" w:rsidRDefault="00753E52">
    <w:pPr>
      <w:pStyle w:val="Header"/>
    </w:pPr>
    <w:r>
      <w:rPr>
        <w:noProof/>
      </w:rPr>
      <mc:AlternateContent>
        <mc:Choice Requires="wps">
          <w:drawing>
            <wp:anchor distT="0" distB="0" distL="0" distR="0" simplePos="0" relativeHeight="251658240" behindDoc="0" locked="0" layoutInCell="1" allowOverlap="1" wp14:anchorId="09433017" wp14:editId="2E2E3E5D">
              <wp:simplePos x="635" y="635"/>
              <wp:positionH relativeFrom="page">
                <wp:align>center</wp:align>
              </wp:positionH>
              <wp:positionV relativeFrom="page">
                <wp:align>top</wp:align>
              </wp:positionV>
              <wp:extent cx="622300" cy="376555"/>
              <wp:effectExtent l="0" t="0" r="6350" b="4445"/>
              <wp:wrapNone/>
              <wp:docPr id="172981408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763E80" w14:textId="3B485F96"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433017"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08763E80" w14:textId="3B485F96" w:rsidR="00753E52" w:rsidRPr="00753E52" w:rsidRDefault="00753E52" w:rsidP="00753E52">
                    <w:pPr>
                      <w:rPr>
                        <w:rFonts w:ascii="Aptos" w:eastAsia="Aptos" w:hAnsi="Aptos" w:cs="Aptos"/>
                        <w:noProof/>
                        <w:color w:val="FF0000"/>
                      </w:rPr>
                    </w:pPr>
                    <w:r w:rsidRPr="00753E52">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0F0EE7F4"/>
    <w:lvl w:ilvl="0" w:tplc="0C090001">
      <w:start w:val="1"/>
      <w:numFmt w:val="bullet"/>
      <w:lvlText w:val=""/>
      <w:lvlJc w:val="left"/>
      <w:pPr>
        <w:tabs>
          <w:tab w:val="num" w:pos="1211"/>
        </w:tabs>
        <w:ind w:left="1211"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1333613"/>
    <w:multiLevelType w:val="hybridMultilevel"/>
    <w:tmpl w:val="5C742F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1EA2744"/>
    <w:multiLevelType w:val="hybridMultilevel"/>
    <w:tmpl w:val="1A604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A0DB2"/>
    <w:multiLevelType w:val="hybridMultilevel"/>
    <w:tmpl w:val="8DEAB4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A6D2E1C"/>
    <w:multiLevelType w:val="hybridMultilevel"/>
    <w:tmpl w:val="6DFE2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269C3"/>
    <w:multiLevelType w:val="hybridMultilevel"/>
    <w:tmpl w:val="3E629E1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BA26A3A"/>
    <w:multiLevelType w:val="hybridMultilevel"/>
    <w:tmpl w:val="0A966062"/>
    <w:lvl w:ilvl="0" w:tplc="101A0322">
      <w:start w:val="1"/>
      <w:numFmt w:val="bullet"/>
      <w:lvlText w:val=""/>
      <w:lvlJc w:val="left"/>
      <w:pPr>
        <w:ind w:left="2160" w:hanging="360"/>
      </w:pPr>
      <w:rPr>
        <w:rFonts w:ascii="Symbol" w:hAnsi="Symbol"/>
      </w:rPr>
    </w:lvl>
    <w:lvl w:ilvl="1" w:tplc="A31E348E">
      <w:start w:val="1"/>
      <w:numFmt w:val="bullet"/>
      <w:lvlText w:val=""/>
      <w:lvlJc w:val="left"/>
      <w:pPr>
        <w:ind w:left="2160" w:hanging="360"/>
      </w:pPr>
      <w:rPr>
        <w:rFonts w:ascii="Symbol" w:hAnsi="Symbol"/>
      </w:rPr>
    </w:lvl>
    <w:lvl w:ilvl="2" w:tplc="A0F2F378">
      <w:start w:val="1"/>
      <w:numFmt w:val="bullet"/>
      <w:lvlText w:val=""/>
      <w:lvlJc w:val="left"/>
      <w:pPr>
        <w:ind w:left="2160" w:hanging="360"/>
      </w:pPr>
      <w:rPr>
        <w:rFonts w:ascii="Symbol" w:hAnsi="Symbol"/>
      </w:rPr>
    </w:lvl>
    <w:lvl w:ilvl="3" w:tplc="C2D4F584">
      <w:start w:val="1"/>
      <w:numFmt w:val="bullet"/>
      <w:lvlText w:val=""/>
      <w:lvlJc w:val="left"/>
      <w:pPr>
        <w:ind w:left="2160" w:hanging="360"/>
      </w:pPr>
      <w:rPr>
        <w:rFonts w:ascii="Symbol" w:hAnsi="Symbol"/>
      </w:rPr>
    </w:lvl>
    <w:lvl w:ilvl="4" w:tplc="5F581FD2">
      <w:start w:val="1"/>
      <w:numFmt w:val="bullet"/>
      <w:lvlText w:val=""/>
      <w:lvlJc w:val="left"/>
      <w:pPr>
        <w:ind w:left="2160" w:hanging="360"/>
      </w:pPr>
      <w:rPr>
        <w:rFonts w:ascii="Symbol" w:hAnsi="Symbol"/>
      </w:rPr>
    </w:lvl>
    <w:lvl w:ilvl="5" w:tplc="46E4EEB4">
      <w:start w:val="1"/>
      <w:numFmt w:val="bullet"/>
      <w:lvlText w:val=""/>
      <w:lvlJc w:val="left"/>
      <w:pPr>
        <w:ind w:left="2160" w:hanging="360"/>
      </w:pPr>
      <w:rPr>
        <w:rFonts w:ascii="Symbol" w:hAnsi="Symbol"/>
      </w:rPr>
    </w:lvl>
    <w:lvl w:ilvl="6" w:tplc="2A3C895E">
      <w:start w:val="1"/>
      <w:numFmt w:val="bullet"/>
      <w:lvlText w:val=""/>
      <w:lvlJc w:val="left"/>
      <w:pPr>
        <w:ind w:left="2160" w:hanging="360"/>
      </w:pPr>
      <w:rPr>
        <w:rFonts w:ascii="Symbol" w:hAnsi="Symbol"/>
      </w:rPr>
    </w:lvl>
    <w:lvl w:ilvl="7" w:tplc="4426B1F6">
      <w:start w:val="1"/>
      <w:numFmt w:val="bullet"/>
      <w:lvlText w:val=""/>
      <w:lvlJc w:val="left"/>
      <w:pPr>
        <w:ind w:left="2160" w:hanging="360"/>
      </w:pPr>
      <w:rPr>
        <w:rFonts w:ascii="Symbol" w:hAnsi="Symbol"/>
      </w:rPr>
    </w:lvl>
    <w:lvl w:ilvl="8" w:tplc="A424972E">
      <w:start w:val="1"/>
      <w:numFmt w:val="bullet"/>
      <w:lvlText w:val=""/>
      <w:lvlJc w:val="left"/>
      <w:pPr>
        <w:ind w:left="2160" w:hanging="360"/>
      </w:pPr>
      <w:rPr>
        <w:rFonts w:ascii="Symbol" w:hAnsi="Symbol"/>
      </w:rPr>
    </w:lvl>
  </w:abstractNum>
  <w:abstractNum w:abstractNumId="8" w15:restartNumberingAfterBreak="0">
    <w:nsid w:val="0CDF00B9"/>
    <w:multiLevelType w:val="multilevel"/>
    <w:tmpl w:val="1B5CE26C"/>
    <w:lvl w:ilvl="0">
      <w:start w:val="1"/>
      <w:numFmt w:val="decimal"/>
      <w:lvlText w:val="%1"/>
      <w:lvlJc w:val="left"/>
      <w:pPr>
        <w:ind w:left="720" w:hanging="720"/>
      </w:pPr>
      <w:rPr>
        <w:b/>
        <w:color w:val="auto"/>
      </w:rPr>
    </w:lvl>
    <w:lvl w:ilvl="1">
      <w:start w:val="1"/>
      <w:numFmt w:val="decimal"/>
      <w:lvlText w:val="%1.%2"/>
      <w:lvlJc w:val="left"/>
      <w:pPr>
        <w:ind w:left="720" w:hanging="720"/>
      </w:pPr>
      <w:rPr>
        <w:b w:val="0"/>
        <w:i w:val="0"/>
        <w:color w:val="auto"/>
      </w:rPr>
    </w:lvl>
    <w:lvl w:ilvl="2">
      <w:start w:val="1"/>
      <w:numFmt w:val="decimal"/>
      <w:lvlText w:val="%3."/>
      <w:lvlJc w:val="left"/>
      <w:pPr>
        <w:ind w:left="1211" w:hanging="360"/>
      </w:p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2B96FDF"/>
    <w:multiLevelType w:val="multilevel"/>
    <w:tmpl w:val="3154E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FD4232"/>
    <w:multiLevelType w:val="hybridMultilevel"/>
    <w:tmpl w:val="8A94F7A4"/>
    <w:lvl w:ilvl="0" w:tplc="0C090001">
      <w:start w:val="1"/>
      <w:numFmt w:val="bullet"/>
      <w:lvlText w:val=""/>
      <w:lvlJc w:val="left"/>
      <w:pPr>
        <w:ind w:left="1352" w:hanging="360"/>
      </w:pPr>
      <w:rPr>
        <w:rFonts w:ascii="Symbol" w:hAnsi="Symbol" w:hint="default"/>
      </w:rPr>
    </w:lvl>
    <w:lvl w:ilvl="1" w:tplc="0C090003">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11" w15:restartNumberingAfterBreak="0">
    <w:nsid w:val="1A7357B0"/>
    <w:multiLevelType w:val="multilevel"/>
    <w:tmpl w:val="76C6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B33C0D"/>
    <w:multiLevelType w:val="hybridMultilevel"/>
    <w:tmpl w:val="FEBCFA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E320EB2"/>
    <w:multiLevelType w:val="hybridMultilevel"/>
    <w:tmpl w:val="E9782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4112EE"/>
    <w:multiLevelType w:val="hybridMultilevel"/>
    <w:tmpl w:val="E4A08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3175878"/>
    <w:multiLevelType w:val="hybridMultilevel"/>
    <w:tmpl w:val="52782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282A78"/>
    <w:multiLevelType w:val="hybridMultilevel"/>
    <w:tmpl w:val="03AEA8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9A3009F"/>
    <w:multiLevelType w:val="hybridMultilevel"/>
    <w:tmpl w:val="0B2A9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B195AC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63B21F7"/>
    <w:multiLevelType w:val="hybridMultilevel"/>
    <w:tmpl w:val="73ECA1DE"/>
    <w:lvl w:ilvl="0" w:tplc="4C249462">
      <w:start w:val="1"/>
      <w:numFmt w:val="bullet"/>
      <w:lvlText w:val=""/>
      <w:lvlJc w:val="left"/>
      <w:pPr>
        <w:ind w:left="1440" w:hanging="360"/>
      </w:pPr>
      <w:rPr>
        <w:rFonts w:ascii="Symbol" w:hAnsi="Symbol"/>
      </w:rPr>
    </w:lvl>
    <w:lvl w:ilvl="1" w:tplc="04FA4254">
      <w:start w:val="1"/>
      <w:numFmt w:val="bullet"/>
      <w:lvlText w:val=""/>
      <w:lvlJc w:val="left"/>
      <w:pPr>
        <w:ind w:left="1440" w:hanging="360"/>
      </w:pPr>
      <w:rPr>
        <w:rFonts w:ascii="Symbol" w:hAnsi="Symbol"/>
      </w:rPr>
    </w:lvl>
    <w:lvl w:ilvl="2" w:tplc="FB023E16">
      <w:start w:val="1"/>
      <w:numFmt w:val="bullet"/>
      <w:lvlText w:val=""/>
      <w:lvlJc w:val="left"/>
      <w:pPr>
        <w:ind w:left="1440" w:hanging="360"/>
      </w:pPr>
      <w:rPr>
        <w:rFonts w:ascii="Symbol" w:hAnsi="Symbol"/>
      </w:rPr>
    </w:lvl>
    <w:lvl w:ilvl="3" w:tplc="26A011FE">
      <w:start w:val="1"/>
      <w:numFmt w:val="bullet"/>
      <w:lvlText w:val=""/>
      <w:lvlJc w:val="left"/>
      <w:pPr>
        <w:ind w:left="1440" w:hanging="360"/>
      </w:pPr>
      <w:rPr>
        <w:rFonts w:ascii="Symbol" w:hAnsi="Symbol"/>
      </w:rPr>
    </w:lvl>
    <w:lvl w:ilvl="4" w:tplc="BE7040B6">
      <w:start w:val="1"/>
      <w:numFmt w:val="bullet"/>
      <w:lvlText w:val=""/>
      <w:lvlJc w:val="left"/>
      <w:pPr>
        <w:ind w:left="1440" w:hanging="360"/>
      </w:pPr>
      <w:rPr>
        <w:rFonts w:ascii="Symbol" w:hAnsi="Symbol"/>
      </w:rPr>
    </w:lvl>
    <w:lvl w:ilvl="5" w:tplc="EE3881E6">
      <w:start w:val="1"/>
      <w:numFmt w:val="bullet"/>
      <w:lvlText w:val=""/>
      <w:lvlJc w:val="left"/>
      <w:pPr>
        <w:ind w:left="1440" w:hanging="360"/>
      </w:pPr>
      <w:rPr>
        <w:rFonts w:ascii="Symbol" w:hAnsi="Symbol"/>
      </w:rPr>
    </w:lvl>
    <w:lvl w:ilvl="6" w:tplc="E5FCB330">
      <w:start w:val="1"/>
      <w:numFmt w:val="bullet"/>
      <w:lvlText w:val=""/>
      <w:lvlJc w:val="left"/>
      <w:pPr>
        <w:ind w:left="1440" w:hanging="360"/>
      </w:pPr>
      <w:rPr>
        <w:rFonts w:ascii="Symbol" w:hAnsi="Symbol"/>
      </w:rPr>
    </w:lvl>
    <w:lvl w:ilvl="7" w:tplc="ED94D5E2">
      <w:start w:val="1"/>
      <w:numFmt w:val="bullet"/>
      <w:lvlText w:val=""/>
      <w:lvlJc w:val="left"/>
      <w:pPr>
        <w:ind w:left="1440" w:hanging="360"/>
      </w:pPr>
      <w:rPr>
        <w:rFonts w:ascii="Symbol" w:hAnsi="Symbol"/>
      </w:rPr>
    </w:lvl>
    <w:lvl w:ilvl="8" w:tplc="F7A65C84">
      <w:start w:val="1"/>
      <w:numFmt w:val="bullet"/>
      <w:lvlText w:val=""/>
      <w:lvlJc w:val="left"/>
      <w:pPr>
        <w:ind w:left="1440" w:hanging="360"/>
      </w:pPr>
      <w:rPr>
        <w:rFonts w:ascii="Symbol" w:hAnsi="Symbol"/>
      </w:rPr>
    </w:lvl>
  </w:abstractNum>
  <w:abstractNum w:abstractNumId="20" w15:restartNumberingAfterBreak="0">
    <w:nsid w:val="373235C6"/>
    <w:multiLevelType w:val="hybridMultilevel"/>
    <w:tmpl w:val="683C3D34"/>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1" w15:restartNumberingAfterBreak="0">
    <w:nsid w:val="398F7326"/>
    <w:multiLevelType w:val="hybridMultilevel"/>
    <w:tmpl w:val="D124D804"/>
    <w:lvl w:ilvl="0" w:tplc="3042C158">
      <w:start w:val="18"/>
      <w:numFmt w:val="bullet"/>
      <w:lvlText w:val="-"/>
      <w:lvlJc w:val="left"/>
      <w:pPr>
        <w:ind w:left="720" w:hanging="360"/>
      </w:pPr>
      <w:rPr>
        <w:rFonts w:ascii="Arial Narrow" w:eastAsiaTheme="minorHAnsi" w:hAnsi="Arial Narrow"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A47045"/>
    <w:multiLevelType w:val="hybridMultilevel"/>
    <w:tmpl w:val="FF089A9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4" w15:restartNumberingAfterBreak="0">
    <w:nsid w:val="45DE1322"/>
    <w:multiLevelType w:val="hybridMultilevel"/>
    <w:tmpl w:val="79A40E8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FB0466A"/>
    <w:multiLevelType w:val="hybridMultilevel"/>
    <w:tmpl w:val="1846AE88"/>
    <w:lvl w:ilvl="0" w:tplc="0B3E8FFC">
      <w:start w:val="1"/>
      <w:numFmt w:val="bullet"/>
      <w:lvlText w:val=""/>
      <w:lvlJc w:val="left"/>
      <w:pPr>
        <w:ind w:left="720" w:hanging="360"/>
      </w:pPr>
      <w:rPr>
        <w:rFonts w:ascii="Symbol" w:hAnsi="Symbol"/>
      </w:rPr>
    </w:lvl>
    <w:lvl w:ilvl="1" w:tplc="20CCBB18">
      <w:start w:val="1"/>
      <w:numFmt w:val="bullet"/>
      <w:lvlText w:val=""/>
      <w:lvlJc w:val="left"/>
      <w:pPr>
        <w:ind w:left="720" w:hanging="360"/>
      </w:pPr>
      <w:rPr>
        <w:rFonts w:ascii="Symbol" w:hAnsi="Symbol"/>
      </w:rPr>
    </w:lvl>
    <w:lvl w:ilvl="2" w:tplc="4280B844">
      <w:start w:val="1"/>
      <w:numFmt w:val="bullet"/>
      <w:lvlText w:val=""/>
      <w:lvlJc w:val="left"/>
      <w:pPr>
        <w:ind w:left="720" w:hanging="360"/>
      </w:pPr>
      <w:rPr>
        <w:rFonts w:ascii="Symbol" w:hAnsi="Symbol"/>
      </w:rPr>
    </w:lvl>
    <w:lvl w:ilvl="3" w:tplc="79AA1172">
      <w:start w:val="1"/>
      <w:numFmt w:val="bullet"/>
      <w:lvlText w:val=""/>
      <w:lvlJc w:val="left"/>
      <w:pPr>
        <w:ind w:left="720" w:hanging="360"/>
      </w:pPr>
      <w:rPr>
        <w:rFonts w:ascii="Symbol" w:hAnsi="Symbol"/>
      </w:rPr>
    </w:lvl>
    <w:lvl w:ilvl="4" w:tplc="C6DED190">
      <w:start w:val="1"/>
      <w:numFmt w:val="bullet"/>
      <w:lvlText w:val=""/>
      <w:lvlJc w:val="left"/>
      <w:pPr>
        <w:ind w:left="720" w:hanging="360"/>
      </w:pPr>
      <w:rPr>
        <w:rFonts w:ascii="Symbol" w:hAnsi="Symbol"/>
      </w:rPr>
    </w:lvl>
    <w:lvl w:ilvl="5" w:tplc="2A545776">
      <w:start w:val="1"/>
      <w:numFmt w:val="bullet"/>
      <w:lvlText w:val=""/>
      <w:lvlJc w:val="left"/>
      <w:pPr>
        <w:ind w:left="720" w:hanging="360"/>
      </w:pPr>
      <w:rPr>
        <w:rFonts w:ascii="Symbol" w:hAnsi="Symbol"/>
      </w:rPr>
    </w:lvl>
    <w:lvl w:ilvl="6" w:tplc="E46243AE">
      <w:start w:val="1"/>
      <w:numFmt w:val="bullet"/>
      <w:lvlText w:val=""/>
      <w:lvlJc w:val="left"/>
      <w:pPr>
        <w:ind w:left="720" w:hanging="360"/>
      </w:pPr>
      <w:rPr>
        <w:rFonts w:ascii="Symbol" w:hAnsi="Symbol"/>
      </w:rPr>
    </w:lvl>
    <w:lvl w:ilvl="7" w:tplc="F02EB548">
      <w:start w:val="1"/>
      <w:numFmt w:val="bullet"/>
      <w:lvlText w:val=""/>
      <w:lvlJc w:val="left"/>
      <w:pPr>
        <w:ind w:left="720" w:hanging="360"/>
      </w:pPr>
      <w:rPr>
        <w:rFonts w:ascii="Symbol" w:hAnsi="Symbol"/>
      </w:rPr>
    </w:lvl>
    <w:lvl w:ilvl="8" w:tplc="03D2E24C">
      <w:start w:val="1"/>
      <w:numFmt w:val="bullet"/>
      <w:lvlText w:val=""/>
      <w:lvlJc w:val="left"/>
      <w:pPr>
        <w:ind w:left="720" w:hanging="360"/>
      </w:pPr>
      <w:rPr>
        <w:rFonts w:ascii="Symbol" w:hAnsi="Symbol"/>
      </w:rPr>
    </w:lvl>
  </w:abstractNum>
  <w:abstractNum w:abstractNumId="26" w15:restartNumberingAfterBreak="0">
    <w:nsid w:val="50551F2A"/>
    <w:multiLevelType w:val="hybridMultilevel"/>
    <w:tmpl w:val="AABA5350"/>
    <w:lvl w:ilvl="0" w:tplc="0C090019">
      <w:start w:val="1"/>
      <w:numFmt w:val="lowerLetter"/>
      <w:lvlText w:val="%1."/>
      <w:lvlJc w:val="left"/>
      <w:pPr>
        <w:ind w:left="720" w:hanging="360"/>
      </w:pPr>
      <w:rPr>
        <w:rFonts w:hint="default"/>
      </w:rPr>
    </w:lvl>
    <w:lvl w:ilvl="1" w:tplc="0C090001">
      <w:start w:val="1"/>
      <w:numFmt w:val="bullet"/>
      <w:lvlText w:val=""/>
      <w:lvlJc w:val="left"/>
      <w:pPr>
        <w:ind w:left="72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52F465C"/>
    <w:multiLevelType w:val="hybridMultilevel"/>
    <w:tmpl w:val="F9D4D32A"/>
    <w:lvl w:ilvl="0" w:tplc="7A7C847C">
      <w:start w:val="1"/>
      <w:numFmt w:val="bullet"/>
      <w:lvlText w:val=""/>
      <w:lvlJc w:val="left"/>
      <w:pPr>
        <w:ind w:left="2160" w:hanging="360"/>
      </w:pPr>
      <w:rPr>
        <w:rFonts w:ascii="Symbol" w:hAnsi="Symbol"/>
      </w:rPr>
    </w:lvl>
    <w:lvl w:ilvl="1" w:tplc="0250FF54">
      <w:start w:val="1"/>
      <w:numFmt w:val="bullet"/>
      <w:lvlText w:val=""/>
      <w:lvlJc w:val="left"/>
      <w:pPr>
        <w:ind w:left="2160" w:hanging="360"/>
      </w:pPr>
      <w:rPr>
        <w:rFonts w:ascii="Symbol" w:hAnsi="Symbol"/>
      </w:rPr>
    </w:lvl>
    <w:lvl w:ilvl="2" w:tplc="FB6CECD6">
      <w:start w:val="1"/>
      <w:numFmt w:val="bullet"/>
      <w:lvlText w:val=""/>
      <w:lvlJc w:val="left"/>
      <w:pPr>
        <w:ind w:left="2160" w:hanging="360"/>
      </w:pPr>
      <w:rPr>
        <w:rFonts w:ascii="Symbol" w:hAnsi="Symbol"/>
      </w:rPr>
    </w:lvl>
    <w:lvl w:ilvl="3" w:tplc="88A6A8A6">
      <w:start w:val="1"/>
      <w:numFmt w:val="bullet"/>
      <w:lvlText w:val=""/>
      <w:lvlJc w:val="left"/>
      <w:pPr>
        <w:ind w:left="2160" w:hanging="360"/>
      </w:pPr>
      <w:rPr>
        <w:rFonts w:ascii="Symbol" w:hAnsi="Symbol"/>
      </w:rPr>
    </w:lvl>
    <w:lvl w:ilvl="4" w:tplc="68B41CB0">
      <w:start w:val="1"/>
      <w:numFmt w:val="bullet"/>
      <w:lvlText w:val=""/>
      <w:lvlJc w:val="left"/>
      <w:pPr>
        <w:ind w:left="2160" w:hanging="360"/>
      </w:pPr>
      <w:rPr>
        <w:rFonts w:ascii="Symbol" w:hAnsi="Symbol"/>
      </w:rPr>
    </w:lvl>
    <w:lvl w:ilvl="5" w:tplc="D046BCA6">
      <w:start w:val="1"/>
      <w:numFmt w:val="bullet"/>
      <w:lvlText w:val=""/>
      <w:lvlJc w:val="left"/>
      <w:pPr>
        <w:ind w:left="2160" w:hanging="360"/>
      </w:pPr>
      <w:rPr>
        <w:rFonts w:ascii="Symbol" w:hAnsi="Symbol"/>
      </w:rPr>
    </w:lvl>
    <w:lvl w:ilvl="6" w:tplc="D5746620">
      <w:start w:val="1"/>
      <w:numFmt w:val="bullet"/>
      <w:lvlText w:val=""/>
      <w:lvlJc w:val="left"/>
      <w:pPr>
        <w:ind w:left="2160" w:hanging="360"/>
      </w:pPr>
      <w:rPr>
        <w:rFonts w:ascii="Symbol" w:hAnsi="Symbol"/>
      </w:rPr>
    </w:lvl>
    <w:lvl w:ilvl="7" w:tplc="7208F5E2">
      <w:start w:val="1"/>
      <w:numFmt w:val="bullet"/>
      <w:lvlText w:val=""/>
      <w:lvlJc w:val="left"/>
      <w:pPr>
        <w:ind w:left="2160" w:hanging="360"/>
      </w:pPr>
      <w:rPr>
        <w:rFonts w:ascii="Symbol" w:hAnsi="Symbol"/>
      </w:rPr>
    </w:lvl>
    <w:lvl w:ilvl="8" w:tplc="8898BF60">
      <w:start w:val="1"/>
      <w:numFmt w:val="bullet"/>
      <w:lvlText w:val=""/>
      <w:lvlJc w:val="left"/>
      <w:pPr>
        <w:ind w:left="2160" w:hanging="360"/>
      </w:pPr>
      <w:rPr>
        <w:rFonts w:ascii="Symbol" w:hAnsi="Symbol"/>
      </w:rPr>
    </w:lvl>
  </w:abstractNum>
  <w:abstractNum w:abstractNumId="28" w15:restartNumberingAfterBreak="0">
    <w:nsid w:val="55A013AD"/>
    <w:multiLevelType w:val="hybridMultilevel"/>
    <w:tmpl w:val="14847516"/>
    <w:lvl w:ilvl="0" w:tplc="60949510">
      <w:start w:val="1"/>
      <w:numFmt w:val="bullet"/>
      <w:lvlText w:val=""/>
      <w:lvlJc w:val="left"/>
      <w:pPr>
        <w:ind w:left="2160" w:hanging="360"/>
      </w:pPr>
      <w:rPr>
        <w:rFonts w:ascii="Symbol" w:hAnsi="Symbol"/>
      </w:rPr>
    </w:lvl>
    <w:lvl w:ilvl="1" w:tplc="02106C02">
      <w:start w:val="1"/>
      <w:numFmt w:val="bullet"/>
      <w:lvlText w:val=""/>
      <w:lvlJc w:val="left"/>
      <w:pPr>
        <w:ind w:left="2160" w:hanging="360"/>
      </w:pPr>
      <w:rPr>
        <w:rFonts w:ascii="Symbol" w:hAnsi="Symbol"/>
      </w:rPr>
    </w:lvl>
    <w:lvl w:ilvl="2" w:tplc="E1D401D2">
      <w:start w:val="1"/>
      <w:numFmt w:val="bullet"/>
      <w:lvlText w:val=""/>
      <w:lvlJc w:val="left"/>
      <w:pPr>
        <w:ind w:left="2160" w:hanging="360"/>
      </w:pPr>
      <w:rPr>
        <w:rFonts w:ascii="Symbol" w:hAnsi="Symbol"/>
      </w:rPr>
    </w:lvl>
    <w:lvl w:ilvl="3" w:tplc="2B468A98">
      <w:start w:val="1"/>
      <w:numFmt w:val="bullet"/>
      <w:lvlText w:val=""/>
      <w:lvlJc w:val="left"/>
      <w:pPr>
        <w:ind w:left="2160" w:hanging="360"/>
      </w:pPr>
      <w:rPr>
        <w:rFonts w:ascii="Symbol" w:hAnsi="Symbol"/>
      </w:rPr>
    </w:lvl>
    <w:lvl w:ilvl="4" w:tplc="4AA623CE">
      <w:start w:val="1"/>
      <w:numFmt w:val="bullet"/>
      <w:lvlText w:val=""/>
      <w:lvlJc w:val="left"/>
      <w:pPr>
        <w:ind w:left="2160" w:hanging="360"/>
      </w:pPr>
      <w:rPr>
        <w:rFonts w:ascii="Symbol" w:hAnsi="Symbol"/>
      </w:rPr>
    </w:lvl>
    <w:lvl w:ilvl="5" w:tplc="E530E676">
      <w:start w:val="1"/>
      <w:numFmt w:val="bullet"/>
      <w:lvlText w:val=""/>
      <w:lvlJc w:val="left"/>
      <w:pPr>
        <w:ind w:left="2160" w:hanging="360"/>
      </w:pPr>
      <w:rPr>
        <w:rFonts w:ascii="Symbol" w:hAnsi="Symbol"/>
      </w:rPr>
    </w:lvl>
    <w:lvl w:ilvl="6" w:tplc="E1AAED0A">
      <w:start w:val="1"/>
      <w:numFmt w:val="bullet"/>
      <w:lvlText w:val=""/>
      <w:lvlJc w:val="left"/>
      <w:pPr>
        <w:ind w:left="2160" w:hanging="360"/>
      </w:pPr>
      <w:rPr>
        <w:rFonts w:ascii="Symbol" w:hAnsi="Symbol"/>
      </w:rPr>
    </w:lvl>
    <w:lvl w:ilvl="7" w:tplc="49A223F6">
      <w:start w:val="1"/>
      <w:numFmt w:val="bullet"/>
      <w:lvlText w:val=""/>
      <w:lvlJc w:val="left"/>
      <w:pPr>
        <w:ind w:left="2160" w:hanging="360"/>
      </w:pPr>
      <w:rPr>
        <w:rFonts w:ascii="Symbol" w:hAnsi="Symbol"/>
      </w:rPr>
    </w:lvl>
    <w:lvl w:ilvl="8" w:tplc="01624BE6">
      <w:start w:val="1"/>
      <w:numFmt w:val="bullet"/>
      <w:lvlText w:val=""/>
      <w:lvlJc w:val="left"/>
      <w:pPr>
        <w:ind w:left="2160" w:hanging="360"/>
      </w:pPr>
      <w:rPr>
        <w:rFonts w:ascii="Symbol" w:hAnsi="Symbol"/>
      </w:rPr>
    </w:lvl>
  </w:abstractNum>
  <w:abstractNum w:abstractNumId="29" w15:restartNumberingAfterBreak="0">
    <w:nsid w:val="570F2A90"/>
    <w:multiLevelType w:val="hybridMultilevel"/>
    <w:tmpl w:val="1890BA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57191D68"/>
    <w:multiLevelType w:val="multilevel"/>
    <w:tmpl w:val="8C2E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602E7E31"/>
    <w:multiLevelType w:val="hybridMultilevel"/>
    <w:tmpl w:val="5B9258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352D8D"/>
    <w:multiLevelType w:val="hybridMultilevel"/>
    <w:tmpl w:val="30B2A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FA08EA"/>
    <w:multiLevelType w:val="hybridMultilevel"/>
    <w:tmpl w:val="5FC69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AC546E5"/>
    <w:multiLevelType w:val="hybridMultilevel"/>
    <w:tmpl w:val="0AD015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F00F07"/>
    <w:multiLevelType w:val="hybridMultilevel"/>
    <w:tmpl w:val="AAEA6FE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5D95788"/>
    <w:multiLevelType w:val="hybridMultilevel"/>
    <w:tmpl w:val="AA2AB9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84D033C"/>
    <w:multiLevelType w:val="multilevel"/>
    <w:tmpl w:val="FE88320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bullet"/>
      <w:lvlText w:val=""/>
      <w:lvlJc w:val="left"/>
      <w:pPr>
        <w:ind w:left="1211"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C7B467F"/>
    <w:multiLevelType w:val="multilevel"/>
    <w:tmpl w:val="6B4EEA1A"/>
    <w:lvl w:ilvl="0">
      <w:start w:val="1"/>
      <w:numFmt w:val="decimal"/>
      <w:lvlText w:val="%1"/>
      <w:lvlJc w:val="left"/>
      <w:pPr>
        <w:ind w:left="720" w:hanging="720"/>
      </w:pPr>
      <w:rPr>
        <w:b/>
        <w:color w:val="auto"/>
      </w:rPr>
    </w:lvl>
    <w:lvl w:ilvl="1">
      <w:start w:val="1"/>
      <w:numFmt w:val="bullet"/>
      <w:lvlText w:val=""/>
      <w:lvlJc w:val="left"/>
      <w:pPr>
        <w:ind w:left="360" w:hanging="360"/>
      </w:pPr>
      <w:rPr>
        <w:rFonts w:ascii="Symbol" w:hAnsi="Symbol" w:hint="default"/>
      </w:rPr>
    </w:lvl>
    <w:lvl w:ilvl="2">
      <w:start w:val="1"/>
      <w:numFmt w:val="bullet"/>
      <w:lvlText w:val=""/>
      <w:lvlJc w:val="left"/>
      <w:pPr>
        <w:ind w:left="1211" w:hanging="360"/>
      </w:pPr>
      <w:rPr>
        <w:rFonts w:ascii="Symbol" w:hAnsi="Symbol" w:hint="default"/>
      </w:rPr>
    </w:lvl>
    <w:lvl w:ilvl="3">
      <w:start w:val="1"/>
      <w:numFmt w:val="bullet"/>
      <w:lvlText w:val="o"/>
      <w:lvlJc w:val="left"/>
      <w:pPr>
        <w:ind w:left="360" w:hanging="360"/>
      </w:pPr>
      <w:rPr>
        <w:rFonts w:ascii="Courier New" w:hAnsi="Courier New" w:cs="Courier New" w:hint="default"/>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0" w15:restartNumberingAfterBreak="0">
    <w:nsid w:val="7F2D2679"/>
    <w:multiLevelType w:val="hybridMultilevel"/>
    <w:tmpl w:val="63DA1E9E"/>
    <w:lvl w:ilvl="0" w:tplc="D80A9F08">
      <w:start w:val="1"/>
      <w:numFmt w:val="bullet"/>
      <w:lvlText w:val=""/>
      <w:lvlJc w:val="left"/>
      <w:pPr>
        <w:ind w:left="2160" w:hanging="360"/>
      </w:pPr>
      <w:rPr>
        <w:rFonts w:ascii="Symbol" w:hAnsi="Symbol"/>
      </w:rPr>
    </w:lvl>
    <w:lvl w:ilvl="1" w:tplc="77B60F8C">
      <w:start w:val="1"/>
      <w:numFmt w:val="bullet"/>
      <w:lvlText w:val=""/>
      <w:lvlJc w:val="left"/>
      <w:pPr>
        <w:ind w:left="2160" w:hanging="360"/>
      </w:pPr>
      <w:rPr>
        <w:rFonts w:ascii="Symbol" w:hAnsi="Symbol"/>
      </w:rPr>
    </w:lvl>
    <w:lvl w:ilvl="2" w:tplc="B5B20292">
      <w:start w:val="1"/>
      <w:numFmt w:val="bullet"/>
      <w:lvlText w:val=""/>
      <w:lvlJc w:val="left"/>
      <w:pPr>
        <w:ind w:left="2160" w:hanging="360"/>
      </w:pPr>
      <w:rPr>
        <w:rFonts w:ascii="Symbol" w:hAnsi="Symbol"/>
      </w:rPr>
    </w:lvl>
    <w:lvl w:ilvl="3" w:tplc="0870FD16">
      <w:start w:val="1"/>
      <w:numFmt w:val="bullet"/>
      <w:lvlText w:val=""/>
      <w:lvlJc w:val="left"/>
      <w:pPr>
        <w:ind w:left="2160" w:hanging="360"/>
      </w:pPr>
      <w:rPr>
        <w:rFonts w:ascii="Symbol" w:hAnsi="Symbol"/>
      </w:rPr>
    </w:lvl>
    <w:lvl w:ilvl="4" w:tplc="DF6A9C22">
      <w:start w:val="1"/>
      <w:numFmt w:val="bullet"/>
      <w:lvlText w:val=""/>
      <w:lvlJc w:val="left"/>
      <w:pPr>
        <w:ind w:left="2160" w:hanging="360"/>
      </w:pPr>
      <w:rPr>
        <w:rFonts w:ascii="Symbol" w:hAnsi="Symbol"/>
      </w:rPr>
    </w:lvl>
    <w:lvl w:ilvl="5" w:tplc="5B2870CC">
      <w:start w:val="1"/>
      <w:numFmt w:val="bullet"/>
      <w:lvlText w:val=""/>
      <w:lvlJc w:val="left"/>
      <w:pPr>
        <w:ind w:left="2160" w:hanging="360"/>
      </w:pPr>
      <w:rPr>
        <w:rFonts w:ascii="Symbol" w:hAnsi="Symbol"/>
      </w:rPr>
    </w:lvl>
    <w:lvl w:ilvl="6" w:tplc="D652957C">
      <w:start w:val="1"/>
      <w:numFmt w:val="bullet"/>
      <w:lvlText w:val=""/>
      <w:lvlJc w:val="left"/>
      <w:pPr>
        <w:ind w:left="2160" w:hanging="360"/>
      </w:pPr>
      <w:rPr>
        <w:rFonts w:ascii="Symbol" w:hAnsi="Symbol"/>
      </w:rPr>
    </w:lvl>
    <w:lvl w:ilvl="7" w:tplc="3CEA2B02">
      <w:start w:val="1"/>
      <w:numFmt w:val="bullet"/>
      <w:lvlText w:val=""/>
      <w:lvlJc w:val="left"/>
      <w:pPr>
        <w:ind w:left="2160" w:hanging="360"/>
      </w:pPr>
      <w:rPr>
        <w:rFonts w:ascii="Symbol" w:hAnsi="Symbol"/>
      </w:rPr>
    </w:lvl>
    <w:lvl w:ilvl="8" w:tplc="33E8A89E">
      <w:start w:val="1"/>
      <w:numFmt w:val="bullet"/>
      <w:lvlText w:val=""/>
      <w:lvlJc w:val="left"/>
      <w:pPr>
        <w:ind w:left="2160" w:hanging="360"/>
      </w:pPr>
      <w:rPr>
        <w:rFonts w:ascii="Symbol" w:hAnsi="Symbol"/>
      </w:rPr>
    </w:lvl>
  </w:abstractNum>
  <w:num w:numId="1" w16cid:durableId="957570559">
    <w:abstractNumId w:val="38"/>
  </w:num>
  <w:num w:numId="2" w16cid:durableId="536628895">
    <w:abstractNumId w:val="0"/>
  </w:num>
  <w:num w:numId="3" w16cid:durableId="1159004663">
    <w:abstractNumId w:val="31"/>
  </w:num>
  <w:num w:numId="4" w16cid:durableId="495537779">
    <w:abstractNumId w:val="23"/>
  </w:num>
  <w:num w:numId="5" w16cid:durableId="1468400811">
    <w:abstractNumId w:val="1"/>
  </w:num>
  <w:num w:numId="6" w16cid:durableId="1492405259">
    <w:abstractNumId w:val="6"/>
  </w:num>
  <w:num w:numId="7" w16cid:durableId="1663580125">
    <w:abstractNumId w:val="14"/>
  </w:num>
  <w:num w:numId="8" w16cid:durableId="168758332">
    <w:abstractNumId w:val="12"/>
  </w:num>
  <w:num w:numId="9" w16cid:durableId="1759445400">
    <w:abstractNumId w:val="4"/>
  </w:num>
  <w:num w:numId="10" w16cid:durableId="160509465">
    <w:abstractNumId w:val="17"/>
  </w:num>
  <w:num w:numId="11" w16cid:durableId="228855390">
    <w:abstractNumId w:val="32"/>
  </w:num>
  <w:num w:numId="12" w16cid:durableId="1740327890">
    <w:abstractNumId w:val="37"/>
  </w:num>
  <w:num w:numId="13" w16cid:durableId="1287737886">
    <w:abstractNumId w:val="13"/>
  </w:num>
  <w:num w:numId="14" w16cid:durableId="1644771838">
    <w:abstractNumId w:val="5"/>
  </w:num>
  <w:num w:numId="15" w16cid:durableId="2115703736">
    <w:abstractNumId w:val="15"/>
  </w:num>
  <w:num w:numId="16" w16cid:durableId="1526946016">
    <w:abstractNumId w:val="29"/>
  </w:num>
  <w:num w:numId="17" w16cid:durableId="1677416970">
    <w:abstractNumId w:val="38"/>
  </w:num>
  <w:num w:numId="18" w16cid:durableId="503253510">
    <w:abstractNumId w:val="38"/>
  </w:num>
  <w:num w:numId="19" w16cid:durableId="631062631">
    <w:abstractNumId w:val="38"/>
  </w:num>
  <w:num w:numId="20" w16cid:durableId="198016059">
    <w:abstractNumId w:val="38"/>
  </w:num>
  <w:num w:numId="21" w16cid:durableId="408967148">
    <w:abstractNumId w:val="22"/>
  </w:num>
  <w:num w:numId="22" w16cid:durableId="1766001907">
    <w:abstractNumId w:val="3"/>
  </w:num>
  <w:num w:numId="23" w16cid:durableId="191840581">
    <w:abstractNumId w:val="16"/>
  </w:num>
  <w:num w:numId="24" w16cid:durableId="301158784">
    <w:abstractNumId w:val="35"/>
  </w:num>
  <w:num w:numId="25" w16cid:durableId="1390691374">
    <w:abstractNumId w:val="36"/>
  </w:num>
  <w:num w:numId="26" w16cid:durableId="1102259131">
    <w:abstractNumId w:val="33"/>
  </w:num>
  <w:num w:numId="27" w16cid:durableId="1532494096">
    <w:abstractNumId w:val="2"/>
  </w:num>
  <w:num w:numId="28" w16cid:durableId="1800612858">
    <w:abstractNumId w:val="30"/>
  </w:num>
  <w:num w:numId="29" w16cid:durableId="1809980014">
    <w:abstractNumId w:val="21"/>
  </w:num>
  <w:num w:numId="30" w16cid:durableId="1237130557">
    <w:abstractNumId w:val="19"/>
  </w:num>
  <w:num w:numId="31" w16cid:durableId="314067699">
    <w:abstractNumId w:val="25"/>
  </w:num>
  <w:num w:numId="32" w16cid:durableId="1170023877">
    <w:abstractNumId w:val="9"/>
  </w:num>
  <w:num w:numId="33" w16cid:durableId="207225664">
    <w:abstractNumId w:val="11"/>
  </w:num>
  <w:num w:numId="34" w16cid:durableId="1717974010">
    <w:abstractNumId w:val="26"/>
  </w:num>
  <w:num w:numId="35" w16cid:durableId="671028272">
    <w:abstractNumId w:val="39"/>
  </w:num>
  <w:num w:numId="36" w16cid:durableId="607544713">
    <w:abstractNumId w:val="7"/>
  </w:num>
  <w:num w:numId="37" w16cid:durableId="778253791">
    <w:abstractNumId w:val="27"/>
  </w:num>
  <w:num w:numId="38" w16cid:durableId="488983785">
    <w:abstractNumId w:val="40"/>
  </w:num>
  <w:num w:numId="39" w16cid:durableId="487601398">
    <w:abstractNumId w:val="28"/>
  </w:num>
  <w:num w:numId="40" w16cid:durableId="1893492130">
    <w:abstractNumId w:val="18"/>
  </w:num>
  <w:num w:numId="41" w16cid:durableId="71121989">
    <w:abstractNumId w:val="34"/>
  </w:num>
  <w:num w:numId="42" w16cid:durableId="1769615943">
    <w:abstractNumId w:val="10"/>
  </w:num>
  <w:num w:numId="43" w16cid:durableId="2053118365">
    <w:abstractNumId w:val="24"/>
  </w:num>
  <w:num w:numId="44" w16cid:durableId="184633773">
    <w:abstractNumId w:val="20"/>
  </w:num>
  <w:num w:numId="45" w16cid:durableId="1440442521">
    <w:abstractNumId w:val="8"/>
  </w:num>
  <w:num w:numId="46" w16cid:durableId="340621072">
    <w:abstractNumId w:val="38"/>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370"/>
    <w:rsid w:val="00000611"/>
    <w:rsid w:val="0000080A"/>
    <w:rsid w:val="0000096D"/>
    <w:rsid w:val="00000A7B"/>
    <w:rsid w:val="00000ADD"/>
    <w:rsid w:val="00000B58"/>
    <w:rsid w:val="00001215"/>
    <w:rsid w:val="0000150F"/>
    <w:rsid w:val="00001663"/>
    <w:rsid w:val="000022B2"/>
    <w:rsid w:val="000025AD"/>
    <w:rsid w:val="000028E5"/>
    <w:rsid w:val="00002F26"/>
    <w:rsid w:val="0000335D"/>
    <w:rsid w:val="00003390"/>
    <w:rsid w:val="00003413"/>
    <w:rsid w:val="000035B4"/>
    <w:rsid w:val="00003851"/>
    <w:rsid w:val="0000390F"/>
    <w:rsid w:val="00003EC5"/>
    <w:rsid w:val="00004162"/>
    <w:rsid w:val="000041DA"/>
    <w:rsid w:val="0000422C"/>
    <w:rsid w:val="00004310"/>
    <w:rsid w:val="000043CE"/>
    <w:rsid w:val="00004670"/>
    <w:rsid w:val="00005051"/>
    <w:rsid w:val="000053F9"/>
    <w:rsid w:val="00005D36"/>
    <w:rsid w:val="00006015"/>
    <w:rsid w:val="00006146"/>
    <w:rsid w:val="00006782"/>
    <w:rsid w:val="000068AC"/>
    <w:rsid w:val="0000695C"/>
    <w:rsid w:val="00006C9C"/>
    <w:rsid w:val="000071BF"/>
    <w:rsid w:val="000075A9"/>
    <w:rsid w:val="00007AB8"/>
    <w:rsid w:val="00010653"/>
    <w:rsid w:val="00010817"/>
    <w:rsid w:val="0001179A"/>
    <w:rsid w:val="00011926"/>
    <w:rsid w:val="00011A59"/>
    <w:rsid w:val="00012D01"/>
    <w:rsid w:val="00012D41"/>
    <w:rsid w:val="00013381"/>
    <w:rsid w:val="000135E4"/>
    <w:rsid w:val="00013EE0"/>
    <w:rsid w:val="00014122"/>
    <w:rsid w:val="00014540"/>
    <w:rsid w:val="00014B9B"/>
    <w:rsid w:val="00014CB1"/>
    <w:rsid w:val="00014D3C"/>
    <w:rsid w:val="00014D69"/>
    <w:rsid w:val="00015271"/>
    <w:rsid w:val="00015758"/>
    <w:rsid w:val="0001576F"/>
    <w:rsid w:val="00016A41"/>
    <w:rsid w:val="00016B8A"/>
    <w:rsid w:val="00016E53"/>
    <w:rsid w:val="000200A6"/>
    <w:rsid w:val="00020A4F"/>
    <w:rsid w:val="00020D24"/>
    <w:rsid w:val="00020D5D"/>
    <w:rsid w:val="00020FF0"/>
    <w:rsid w:val="0002111F"/>
    <w:rsid w:val="00021182"/>
    <w:rsid w:val="000214D1"/>
    <w:rsid w:val="0002166D"/>
    <w:rsid w:val="000218A0"/>
    <w:rsid w:val="00021F20"/>
    <w:rsid w:val="000220DB"/>
    <w:rsid w:val="0002213C"/>
    <w:rsid w:val="0002249B"/>
    <w:rsid w:val="0002272C"/>
    <w:rsid w:val="00022849"/>
    <w:rsid w:val="00022AF1"/>
    <w:rsid w:val="00023548"/>
    <w:rsid w:val="0002365E"/>
    <w:rsid w:val="00023C58"/>
    <w:rsid w:val="00023CA2"/>
    <w:rsid w:val="000245AF"/>
    <w:rsid w:val="0002464A"/>
    <w:rsid w:val="00024AEE"/>
    <w:rsid w:val="00025059"/>
    <w:rsid w:val="0002573E"/>
    <w:rsid w:val="00025A04"/>
    <w:rsid w:val="00025AC2"/>
    <w:rsid w:val="00025C67"/>
    <w:rsid w:val="00025D6B"/>
    <w:rsid w:val="000266DE"/>
    <w:rsid w:val="0002693D"/>
    <w:rsid w:val="00026BBD"/>
    <w:rsid w:val="00026D06"/>
    <w:rsid w:val="000271FD"/>
    <w:rsid w:val="00027275"/>
    <w:rsid w:val="00027628"/>
    <w:rsid w:val="00027746"/>
    <w:rsid w:val="00027929"/>
    <w:rsid w:val="00027C0F"/>
    <w:rsid w:val="00027E0E"/>
    <w:rsid w:val="00030074"/>
    <w:rsid w:val="000304CC"/>
    <w:rsid w:val="0003050E"/>
    <w:rsid w:val="000305C9"/>
    <w:rsid w:val="0003106B"/>
    <w:rsid w:val="00031271"/>
    <w:rsid w:val="0003155C"/>
    <w:rsid w:val="0003163F"/>
    <w:rsid w:val="00031A67"/>
    <w:rsid w:val="00031C0D"/>
    <w:rsid w:val="00031DC0"/>
    <w:rsid w:val="00031F71"/>
    <w:rsid w:val="000326AB"/>
    <w:rsid w:val="000326DC"/>
    <w:rsid w:val="00032F67"/>
    <w:rsid w:val="000332B4"/>
    <w:rsid w:val="000335B9"/>
    <w:rsid w:val="000339AD"/>
    <w:rsid w:val="00034019"/>
    <w:rsid w:val="00034479"/>
    <w:rsid w:val="000346BA"/>
    <w:rsid w:val="00034905"/>
    <w:rsid w:val="000353FD"/>
    <w:rsid w:val="00035E49"/>
    <w:rsid w:val="000363A8"/>
    <w:rsid w:val="0003660E"/>
    <w:rsid w:val="00037906"/>
    <w:rsid w:val="00037EB3"/>
    <w:rsid w:val="000402E7"/>
    <w:rsid w:val="0004064A"/>
    <w:rsid w:val="000408FD"/>
    <w:rsid w:val="00040A30"/>
    <w:rsid w:val="00040AF3"/>
    <w:rsid w:val="00040C35"/>
    <w:rsid w:val="00041521"/>
    <w:rsid w:val="00041987"/>
    <w:rsid w:val="00041AC3"/>
    <w:rsid w:val="00041B5E"/>
    <w:rsid w:val="00041E65"/>
    <w:rsid w:val="00041F40"/>
    <w:rsid w:val="000421A1"/>
    <w:rsid w:val="0004240E"/>
    <w:rsid w:val="00042417"/>
    <w:rsid w:val="000425A2"/>
    <w:rsid w:val="00042826"/>
    <w:rsid w:val="00042873"/>
    <w:rsid w:val="00042B15"/>
    <w:rsid w:val="00042D92"/>
    <w:rsid w:val="000430EF"/>
    <w:rsid w:val="0004313D"/>
    <w:rsid w:val="0004367E"/>
    <w:rsid w:val="0004381E"/>
    <w:rsid w:val="00043B64"/>
    <w:rsid w:val="00043D9E"/>
    <w:rsid w:val="00043DBD"/>
    <w:rsid w:val="0004416E"/>
    <w:rsid w:val="000442F3"/>
    <w:rsid w:val="00044350"/>
    <w:rsid w:val="00044E52"/>
    <w:rsid w:val="00044EC4"/>
    <w:rsid w:val="000452C4"/>
    <w:rsid w:val="000452EF"/>
    <w:rsid w:val="0004574F"/>
    <w:rsid w:val="000457DD"/>
    <w:rsid w:val="00045E26"/>
    <w:rsid w:val="00045F28"/>
    <w:rsid w:val="000464AA"/>
    <w:rsid w:val="000465D7"/>
    <w:rsid w:val="00046903"/>
    <w:rsid w:val="00046B4F"/>
    <w:rsid w:val="0004723B"/>
    <w:rsid w:val="00047247"/>
    <w:rsid w:val="000478E2"/>
    <w:rsid w:val="00050280"/>
    <w:rsid w:val="00050674"/>
    <w:rsid w:val="000506F6"/>
    <w:rsid w:val="0005073C"/>
    <w:rsid w:val="00050A1C"/>
    <w:rsid w:val="00050D83"/>
    <w:rsid w:val="00050DE1"/>
    <w:rsid w:val="000514B5"/>
    <w:rsid w:val="000515C9"/>
    <w:rsid w:val="00051ACE"/>
    <w:rsid w:val="00051E7E"/>
    <w:rsid w:val="0005219E"/>
    <w:rsid w:val="000521ED"/>
    <w:rsid w:val="0005239B"/>
    <w:rsid w:val="0005248C"/>
    <w:rsid w:val="000529F5"/>
    <w:rsid w:val="00052B1D"/>
    <w:rsid w:val="00053109"/>
    <w:rsid w:val="00053168"/>
    <w:rsid w:val="000531ED"/>
    <w:rsid w:val="0005322E"/>
    <w:rsid w:val="0005347D"/>
    <w:rsid w:val="00053AB9"/>
    <w:rsid w:val="00053C8A"/>
    <w:rsid w:val="00053FAE"/>
    <w:rsid w:val="0005435B"/>
    <w:rsid w:val="0005451B"/>
    <w:rsid w:val="00054E2B"/>
    <w:rsid w:val="00055488"/>
    <w:rsid w:val="000554AE"/>
    <w:rsid w:val="0005565D"/>
    <w:rsid w:val="0005585A"/>
    <w:rsid w:val="00055AB2"/>
    <w:rsid w:val="00055B01"/>
    <w:rsid w:val="00055D1E"/>
    <w:rsid w:val="00056489"/>
    <w:rsid w:val="0005657B"/>
    <w:rsid w:val="00056682"/>
    <w:rsid w:val="000567BC"/>
    <w:rsid w:val="00056CBB"/>
    <w:rsid w:val="0005710A"/>
    <w:rsid w:val="000571EA"/>
    <w:rsid w:val="0005725B"/>
    <w:rsid w:val="00057539"/>
    <w:rsid w:val="00057A6A"/>
    <w:rsid w:val="0006003D"/>
    <w:rsid w:val="000602CA"/>
    <w:rsid w:val="00060E64"/>
    <w:rsid w:val="00060F87"/>
    <w:rsid w:val="000615A1"/>
    <w:rsid w:val="00061ECC"/>
    <w:rsid w:val="000621AB"/>
    <w:rsid w:val="000624BA"/>
    <w:rsid w:val="0006253D"/>
    <w:rsid w:val="00062642"/>
    <w:rsid w:val="000626CA"/>
    <w:rsid w:val="000628AF"/>
    <w:rsid w:val="00062B63"/>
    <w:rsid w:val="00062B79"/>
    <w:rsid w:val="00062C03"/>
    <w:rsid w:val="00062E88"/>
    <w:rsid w:val="00063FE0"/>
    <w:rsid w:val="00064156"/>
    <w:rsid w:val="00064830"/>
    <w:rsid w:val="000649B4"/>
    <w:rsid w:val="00064A8D"/>
    <w:rsid w:val="00064AB5"/>
    <w:rsid w:val="00064E3A"/>
    <w:rsid w:val="0006593E"/>
    <w:rsid w:val="000659EE"/>
    <w:rsid w:val="00065B77"/>
    <w:rsid w:val="00065D71"/>
    <w:rsid w:val="00066022"/>
    <w:rsid w:val="00066193"/>
    <w:rsid w:val="00066465"/>
    <w:rsid w:val="0006646D"/>
    <w:rsid w:val="00066755"/>
    <w:rsid w:val="00066DC0"/>
    <w:rsid w:val="00067032"/>
    <w:rsid w:val="0006705E"/>
    <w:rsid w:val="00067142"/>
    <w:rsid w:val="00067267"/>
    <w:rsid w:val="0006741C"/>
    <w:rsid w:val="00067591"/>
    <w:rsid w:val="000679E7"/>
    <w:rsid w:val="00067B1C"/>
    <w:rsid w:val="00070C14"/>
    <w:rsid w:val="00071560"/>
    <w:rsid w:val="0007173E"/>
    <w:rsid w:val="00071953"/>
    <w:rsid w:val="00071A5B"/>
    <w:rsid w:val="00071C95"/>
    <w:rsid w:val="00071D30"/>
    <w:rsid w:val="000723DF"/>
    <w:rsid w:val="00072730"/>
    <w:rsid w:val="00072CE2"/>
    <w:rsid w:val="00072E54"/>
    <w:rsid w:val="00072F7E"/>
    <w:rsid w:val="00073109"/>
    <w:rsid w:val="000731E3"/>
    <w:rsid w:val="0007337F"/>
    <w:rsid w:val="00073481"/>
    <w:rsid w:val="000735A9"/>
    <w:rsid w:val="00073624"/>
    <w:rsid w:val="0007391C"/>
    <w:rsid w:val="00073B35"/>
    <w:rsid w:val="000741A6"/>
    <w:rsid w:val="00074320"/>
    <w:rsid w:val="0007466C"/>
    <w:rsid w:val="00074955"/>
    <w:rsid w:val="00074B58"/>
    <w:rsid w:val="00074E38"/>
    <w:rsid w:val="00075884"/>
    <w:rsid w:val="0007597C"/>
    <w:rsid w:val="00075CF8"/>
    <w:rsid w:val="00075F66"/>
    <w:rsid w:val="00075F90"/>
    <w:rsid w:val="000763D5"/>
    <w:rsid w:val="00076478"/>
    <w:rsid w:val="00076C38"/>
    <w:rsid w:val="0007705A"/>
    <w:rsid w:val="000770E0"/>
    <w:rsid w:val="00077143"/>
    <w:rsid w:val="0007714B"/>
    <w:rsid w:val="00077849"/>
    <w:rsid w:val="00077A16"/>
    <w:rsid w:val="00077DF7"/>
    <w:rsid w:val="000800CB"/>
    <w:rsid w:val="0008050C"/>
    <w:rsid w:val="00080C77"/>
    <w:rsid w:val="00080FF4"/>
    <w:rsid w:val="000811B1"/>
    <w:rsid w:val="00081238"/>
    <w:rsid w:val="00081743"/>
    <w:rsid w:val="00081872"/>
    <w:rsid w:val="00082169"/>
    <w:rsid w:val="00082623"/>
    <w:rsid w:val="00082890"/>
    <w:rsid w:val="00083174"/>
    <w:rsid w:val="00083365"/>
    <w:rsid w:val="000834BE"/>
    <w:rsid w:val="0008370A"/>
    <w:rsid w:val="00083758"/>
    <w:rsid w:val="00083F01"/>
    <w:rsid w:val="000849F4"/>
    <w:rsid w:val="00084BBD"/>
    <w:rsid w:val="00084BF9"/>
    <w:rsid w:val="00084CE8"/>
    <w:rsid w:val="00084F5A"/>
    <w:rsid w:val="000853E9"/>
    <w:rsid w:val="00085462"/>
    <w:rsid w:val="0008601E"/>
    <w:rsid w:val="00086135"/>
    <w:rsid w:val="000868E3"/>
    <w:rsid w:val="00086E41"/>
    <w:rsid w:val="0008772E"/>
    <w:rsid w:val="00087961"/>
    <w:rsid w:val="00087AB7"/>
    <w:rsid w:val="00087C4C"/>
    <w:rsid w:val="000902C0"/>
    <w:rsid w:val="0009054E"/>
    <w:rsid w:val="0009063D"/>
    <w:rsid w:val="0009068B"/>
    <w:rsid w:val="0009091B"/>
    <w:rsid w:val="0009106F"/>
    <w:rsid w:val="000915C6"/>
    <w:rsid w:val="000918CB"/>
    <w:rsid w:val="00091B06"/>
    <w:rsid w:val="000922AB"/>
    <w:rsid w:val="000923E4"/>
    <w:rsid w:val="0009253E"/>
    <w:rsid w:val="000926BB"/>
    <w:rsid w:val="00092C00"/>
    <w:rsid w:val="00093121"/>
    <w:rsid w:val="000932B3"/>
    <w:rsid w:val="000932F2"/>
    <w:rsid w:val="00093C17"/>
    <w:rsid w:val="0009414F"/>
    <w:rsid w:val="00094F78"/>
    <w:rsid w:val="000950DB"/>
    <w:rsid w:val="000951C4"/>
    <w:rsid w:val="000953CC"/>
    <w:rsid w:val="0009566A"/>
    <w:rsid w:val="00095867"/>
    <w:rsid w:val="00095ADA"/>
    <w:rsid w:val="00095D2C"/>
    <w:rsid w:val="00095F3A"/>
    <w:rsid w:val="00096202"/>
    <w:rsid w:val="0009647C"/>
    <w:rsid w:val="000965DA"/>
    <w:rsid w:val="000969AD"/>
    <w:rsid w:val="00096EB2"/>
    <w:rsid w:val="000975FB"/>
    <w:rsid w:val="000979FF"/>
    <w:rsid w:val="00097A14"/>
    <w:rsid w:val="00097BF1"/>
    <w:rsid w:val="00097D09"/>
    <w:rsid w:val="00097EC8"/>
    <w:rsid w:val="000A02F8"/>
    <w:rsid w:val="000A0A04"/>
    <w:rsid w:val="000A0D16"/>
    <w:rsid w:val="000A0E0C"/>
    <w:rsid w:val="000A0EC6"/>
    <w:rsid w:val="000A104B"/>
    <w:rsid w:val="000A142E"/>
    <w:rsid w:val="000A1791"/>
    <w:rsid w:val="000A1A98"/>
    <w:rsid w:val="000A1F01"/>
    <w:rsid w:val="000A2204"/>
    <w:rsid w:val="000A2231"/>
    <w:rsid w:val="000A31D3"/>
    <w:rsid w:val="000A34D8"/>
    <w:rsid w:val="000A353A"/>
    <w:rsid w:val="000A3599"/>
    <w:rsid w:val="000A365C"/>
    <w:rsid w:val="000A39B9"/>
    <w:rsid w:val="000A3AA2"/>
    <w:rsid w:val="000A3B1D"/>
    <w:rsid w:val="000A3D41"/>
    <w:rsid w:val="000A3E95"/>
    <w:rsid w:val="000A41C8"/>
    <w:rsid w:val="000A42EF"/>
    <w:rsid w:val="000A44B2"/>
    <w:rsid w:val="000A4543"/>
    <w:rsid w:val="000A47D6"/>
    <w:rsid w:val="000A4CF7"/>
    <w:rsid w:val="000A4F59"/>
    <w:rsid w:val="000A52F6"/>
    <w:rsid w:val="000A58B8"/>
    <w:rsid w:val="000A6294"/>
    <w:rsid w:val="000A70C4"/>
    <w:rsid w:val="000A718D"/>
    <w:rsid w:val="000A71CC"/>
    <w:rsid w:val="000B01E8"/>
    <w:rsid w:val="000B0326"/>
    <w:rsid w:val="000B03E2"/>
    <w:rsid w:val="000B063D"/>
    <w:rsid w:val="000B084F"/>
    <w:rsid w:val="000B0C3A"/>
    <w:rsid w:val="000B0F8F"/>
    <w:rsid w:val="000B0FCE"/>
    <w:rsid w:val="000B18C0"/>
    <w:rsid w:val="000B2B55"/>
    <w:rsid w:val="000B2E77"/>
    <w:rsid w:val="000B2FF0"/>
    <w:rsid w:val="000B30E4"/>
    <w:rsid w:val="000B37B6"/>
    <w:rsid w:val="000B3CC1"/>
    <w:rsid w:val="000B3FE4"/>
    <w:rsid w:val="000B44C3"/>
    <w:rsid w:val="000B46E5"/>
    <w:rsid w:val="000B48AE"/>
    <w:rsid w:val="000B4DA0"/>
    <w:rsid w:val="000B505D"/>
    <w:rsid w:val="000B5302"/>
    <w:rsid w:val="000B558D"/>
    <w:rsid w:val="000B586E"/>
    <w:rsid w:val="000B5A89"/>
    <w:rsid w:val="000B65F6"/>
    <w:rsid w:val="000B6707"/>
    <w:rsid w:val="000B6F61"/>
    <w:rsid w:val="000B7108"/>
    <w:rsid w:val="000B74B5"/>
    <w:rsid w:val="000B7595"/>
    <w:rsid w:val="000B7767"/>
    <w:rsid w:val="000B7D03"/>
    <w:rsid w:val="000C060C"/>
    <w:rsid w:val="000C0861"/>
    <w:rsid w:val="000C0A6A"/>
    <w:rsid w:val="000C0C84"/>
    <w:rsid w:val="000C0F1D"/>
    <w:rsid w:val="000C11AA"/>
    <w:rsid w:val="000C1272"/>
    <w:rsid w:val="000C1AFF"/>
    <w:rsid w:val="000C20A1"/>
    <w:rsid w:val="000C2364"/>
    <w:rsid w:val="000C255B"/>
    <w:rsid w:val="000C36A3"/>
    <w:rsid w:val="000C4743"/>
    <w:rsid w:val="000C4BF2"/>
    <w:rsid w:val="000C4E96"/>
    <w:rsid w:val="000C4FD4"/>
    <w:rsid w:val="000C509C"/>
    <w:rsid w:val="000C525C"/>
    <w:rsid w:val="000C5740"/>
    <w:rsid w:val="000C57CB"/>
    <w:rsid w:val="000C5AFE"/>
    <w:rsid w:val="000C5BC0"/>
    <w:rsid w:val="000C5F95"/>
    <w:rsid w:val="000C6719"/>
    <w:rsid w:val="000C6996"/>
    <w:rsid w:val="000C6C29"/>
    <w:rsid w:val="000C6DC3"/>
    <w:rsid w:val="000C773E"/>
    <w:rsid w:val="000C7C46"/>
    <w:rsid w:val="000C7EB0"/>
    <w:rsid w:val="000D0284"/>
    <w:rsid w:val="000D03CA"/>
    <w:rsid w:val="000D09E9"/>
    <w:rsid w:val="000D0B73"/>
    <w:rsid w:val="000D0D22"/>
    <w:rsid w:val="000D0DDD"/>
    <w:rsid w:val="000D10CA"/>
    <w:rsid w:val="000D113F"/>
    <w:rsid w:val="000D155F"/>
    <w:rsid w:val="000D23BA"/>
    <w:rsid w:val="000D2D39"/>
    <w:rsid w:val="000D2F61"/>
    <w:rsid w:val="000D3255"/>
    <w:rsid w:val="000D33EF"/>
    <w:rsid w:val="000D3900"/>
    <w:rsid w:val="000D39DA"/>
    <w:rsid w:val="000D3A36"/>
    <w:rsid w:val="000D3A81"/>
    <w:rsid w:val="000D42F5"/>
    <w:rsid w:val="000D4366"/>
    <w:rsid w:val="000D444C"/>
    <w:rsid w:val="000D4534"/>
    <w:rsid w:val="000D4EE6"/>
    <w:rsid w:val="000D4F18"/>
    <w:rsid w:val="000D54BA"/>
    <w:rsid w:val="000D5534"/>
    <w:rsid w:val="000D5712"/>
    <w:rsid w:val="000D5D8C"/>
    <w:rsid w:val="000D5E48"/>
    <w:rsid w:val="000D615C"/>
    <w:rsid w:val="000D62B9"/>
    <w:rsid w:val="000D65DB"/>
    <w:rsid w:val="000D69C4"/>
    <w:rsid w:val="000D6ED4"/>
    <w:rsid w:val="000D7BBB"/>
    <w:rsid w:val="000D7D78"/>
    <w:rsid w:val="000E0643"/>
    <w:rsid w:val="000E075D"/>
    <w:rsid w:val="000E0A77"/>
    <w:rsid w:val="000E14C8"/>
    <w:rsid w:val="000E178A"/>
    <w:rsid w:val="000E19B7"/>
    <w:rsid w:val="000E20C4"/>
    <w:rsid w:val="000E20FC"/>
    <w:rsid w:val="000E25D5"/>
    <w:rsid w:val="000E25F7"/>
    <w:rsid w:val="000E2B47"/>
    <w:rsid w:val="000E3168"/>
    <w:rsid w:val="000E316E"/>
    <w:rsid w:val="000E35D2"/>
    <w:rsid w:val="000E3924"/>
    <w:rsid w:val="000E3C1D"/>
    <w:rsid w:val="000E3DFB"/>
    <w:rsid w:val="000E4334"/>
    <w:rsid w:val="000E43E9"/>
    <w:rsid w:val="000E45D6"/>
    <w:rsid w:val="000E5453"/>
    <w:rsid w:val="000E5630"/>
    <w:rsid w:val="000E5633"/>
    <w:rsid w:val="000E5C71"/>
    <w:rsid w:val="000E5D5F"/>
    <w:rsid w:val="000E5EA1"/>
    <w:rsid w:val="000E6314"/>
    <w:rsid w:val="000E681E"/>
    <w:rsid w:val="000E693F"/>
    <w:rsid w:val="000E696B"/>
    <w:rsid w:val="000E6F9D"/>
    <w:rsid w:val="000E7980"/>
    <w:rsid w:val="000E7E52"/>
    <w:rsid w:val="000E7E90"/>
    <w:rsid w:val="000E7FDE"/>
    <w:rsid w:val="000EE1C7"/>
    <w:rsid w:val="000F0003"/>
    <w:rsid w:val="000F018D"/>
    <w:rsid w:val="000F04A7"/>
    <w:rsid w:val="000F0626"/>
    <w:rsid w:val="000F0661"/>
    <w:rsid w:val="000F10EB"/>
    <w:rsid w:val="000F11E7"/>
    <w:rsid w:val="000F1858"/>
    <w:rsid w:val="000F1C78"/>
    <w:rsid w:val="000F1D48"/>
    <w:rsid w:val="000F1EFE"/>
    <w:rsid w:val="000F2349"/>
    <w:rsid w:val="000F2829"/>
    <w:rsid w:val="000F2A4D"/>
    <w:rsid w:val="000F2F68"/>
    <w:rsid w:val="000F336A"/>
    <w:rsid w:val="000F3384"/>
    <w:rsid w:val="000F35EA"/>
    <w:rsid w:val="000F3707"/>
    <w:rsid w:val="000F39C2"/>
    <w:rsid w:val="000F3BD6"/>
    <w:rsid w:val="000F3FB6"/>
    <w:rsid w:val="000F4303"/>
    <w:rsid w:val="000F487E"/>
    <w:rsid w:val="000F4E6A"/>
    <w:rsid w:val="000F4FB1"/>
    <w:rsid w:val="000F54EF"/>
    <w:rsid w:val="000F5908"/>
    <w:rsid w:val="000F5BBF"/>
    <w:rsid w:val="000F6188"/>
    <w:rsid w:val="000F6968"/>
    <w:rsid w:val="000F696E"/>
    <w:rsid w:val="000F6ABB"/>
    <w:rsid w:val="000F6C43"/>
    <w:rsid w:val="000F6CCB"/>
    <w:rsid w:val="000F6E42"/>
    <w:rsid w:val="000F7103"/>
    <w:rsid w:val="000F723C"/>
    <w:rsid w:val="000F7354"/>
    <w:rsid w:val="000F7467"/>
    <w:rsid w:val="000F766B"/>
    <w:rsid w:val="000F7824"/>
    <w:rsid w:val="000F7A07"/>
    <w:rsid w:val="000F7C23"/>
    <w:rsid w:val="000F7C27"/>
    <w:rsid w:val="000F7C9B"/>
    <w:rsid w:val="0010087A"/>
    <w:rsid w:val="00100A06"/>
    <w:rsid w:val="00100DD8"/>
    <w:rsid w:val="00101101"/>
    <w:rsid w:val="0010132E"/>
    <w:rsid w:val="001019CE"/>
    <w:rsid w:val="00101ABE"/>
    <w:rsid w:val="00101B1F"/>
    <w:rsid w:val="00101DD4"/>
    <w:rsid w:val="00102202"/>
    <w:rsid w:val="00102700"/>
    <w:rsid w:val="0010291A"/>
    <w:rsid w:val="00102A0F"/>
    <w:rsid w:val="00102A78"/>
    <w:rsid w:val="00102B2F"/>
    <w:rsid w:val="00102BEE"/>
    <w:rsid w:val="00102D1A"/>
    <w:rsid w:val="00102FE6"/>
    <w:rsid w:val="00103118"/>
    <w:rsid w:val="001038A3"/>
    <w:rsid w:val="00103F1B"/>
    <w:rsid w:val="001040A8"/>
    <w:rsid w:val="00104227"/>
    <w:rsid w:val="00104987"/>
    <w:rsid w:val="00104A30"/>
    <w:rsid w:val="00104D81"/>
    <w:rsid w:val="001053D5"/>
    <w:rsid w:val="00105632"/>
    <w:rsid w:val="001056C8"/>
    <w:rsid w:val="00105A95"/>
    <w:rsid w:val="00105B66"/>
    <w:rsid w:val="00105D0F"/>
    <w:rsid w:val="0010609D"/>
    <w:rsid w:val="001062BC"/>
    <w:rsid w:val="00106397"/>
    <w:rsid w:val="001073D8"/>
    <w:rsid w:val="00107409"/>
    <w:rsid w:val="00107789"/>
    <w:rsid w:val="00107BB5"/>
    <w:rsid w:val="00107C7C"/>
    <w:rsid w:val="00107EFC"/>
    <w:rsid w:val="00107F12"/>
    <w:rsid w:val="0011007F"/>
    <w:rsid w:val="001106F6"/>
    <w:rsid w:val="001107BF"/>
    <w:rsid w:val="001109EB"/>
    <w:rsid w:val="00111689"/>
    <w:rsid w:val="00111B9C"/>
    <w:rsid w:val="00111FDB"/>
    <w:rsid w:val="00111FE3"/>
    <w:rsid w:val="001121D1"/>
    <w:rsid w:val="001122C9"/>
    <w:rsid w:val="00112535"/>
    <w:rsid w:val="00112E8D"/>
    <w:rsid w:val="0011338D"/>
    <w:rsid w:val="0011342F"/>
    <w:rsid w:val="00113488"/>
    <w:rsid w:val="00113649"/>
    <w:rsid w:val="001137DA"/>
    <w:rsid w:val="00113C8F"/>
    <w:rsid w:val="00113D5C"/>
    <w:rsid w:val="00113F3B"/>
    <w:rsid w:val="00114363"/>
    <w:rsid w:val="00114685"/>
    <w:rsid w:val="00114883"/>
    <w:rsid w:val="00114E33"/>
    <w:rsid w:val="00114F1C"/>
    <w:rsid w:val="00115080"/>
    <w:rsid w:val="001157E8"/>
    <w:rsid w:val="00116920"/>
    <w:rsid w:val="00116B03"/>
    <w:rsid w:val="00116BF2"/>
    <w:rsid w:val="00116D13"/>
    <w:rsid w:val="00116FD3"/>
    <w:rsid w:val="00117029"/>
    <w:rsid w:val="00117889"/>
    <w:rsid w:val="00120385"/>
    <w:rsid w:val="001203F4"/>
    <w:rsid w:val="001206BE"/>
    <w:rsid w:val="001208D6"/>
    <w:rsid w:val="00120AA6"/>
    <w:rsid w:val="00121766"/>
    <w:rsid w:val="001221AC"/>
    <w:rsid w:val="001221D6"/>
    <w:rsid w:val="0012247D"/>
    <w:rsid w:val="00122B6D"/>
    <w:rsid w:val="00122D27"/>
    <w:rsid w:val="0012318F"/>
    <w:rsid w:val="001233CC"/>
    <w:rsid w:val="0012378F"/>
    <w:rsid w:val="00123942"/>
    <w:rsid w:val="001239AE"/>
    <w:rsid w:val="001239DB"/>
    <w:rsid w:val="00123A11"/>
    <w:rsid w:val="0012417C"/>
    <w:rsid w:val="0012450B"/>
    <w:rsid w:val="001245AB"/>
    <w:rsid w:val="001248CC"/>
    <w:rsid w:val="00124BF2"/>
    <w:rsid w:val="00124FC0"/>
    <w:rsid w:val="00125048"/>
    <w:rsid w:val="001256F4"/>
    <w:rsid w:val="00125837"/>
    <w:rsid w:val="0012597F"/>
    <w:rsid w:val="00125A91"/>
    <w:rsid w:val="00125B77"/>
    <w:rsid w:val="001266F4"/>
    <w:rsid w:val="00126B19"/>
    <w:rsid w:val="00126CEC"/>
    <w:rsid w:val="00126D3A"/>
    <w:rsid w:val="00127092"/>
    <w:rsid w:val="00127260"/>
    <w:rsid w:val="0012749D"/>
    <w:rsid w:val="00127632"/>
    <w:rsid w:val="00127805"/>
    <w:rsid w:val="00127A23"/>
    <w:rsid w:val="00127A9B"/>
    <w:rsid w:val="00130150"/>
    <w:rsid w:val="001306A5"/>
    <w:rsid w:val="00130918"/>
    <w:rsid w:val="001311AE"/>
    <w:rsid w:val="0013124E"/>
    <w:rsid w:val="001312BF"/>
    <w:rsid w:val="001314F9"/>
    <w:rsid w:val="00131712"/>
    <w:rsid w:val="00131C17"/>
    <w:rsid w:val="00132022"/>
    <w:rsid w:val="00132939"/>
    <w:rsid w:val="00132A4B"/>
    <w:rsid w:val="00133281"/>
    <w:rsid w:val="001334CB"/>
    <w:rsid w:val="001338AA"/>
    <w:rsid w:val="00133D8B"/>
    <w:rsid w:val="00133F0A"/>
    <w:rsid w:val="00134447"/>
    <w:rsid w:val="00134647"/>
    <w:rsid w:val="0013472B"/>
    <w:rsid w:val="00134994"/>
    <w:rsid w:val="00134AA4"/>
    <w:rsid w:val="00134C5A"/>
    <w:rsid w:val="00134ED5"/>
    <w:rsid w:val="00134FC0"/>
    <w:rsid w:val="001350BF"/>
    <w:rsid w:val="0013592B"/>
    <w:rsid w:val="00135EF5"/>
    <w:rsid w:val="001363D9"/>
    <w:rsid w:val="0013644F"/>
    <w:rsid w:val="0013653E"/>
    <w:rsid w:val="001366C2"/>
    <w:rsid w:val="001367EC"/>
    <w:rsid w:val="001368C0"/>
    <w:rsid w:val="00136C17"/>
    <w:rsid w:val="00136E48"/>
    <w:rsid w:val="0013728D"/>
    <w:rsid w:val="00137427"/>
    <w:rsid w:val="001375E1"/>
    <w:rsid w:val="00137722"/>
    <w:rsid w:val="001378E9"/>
    <w:rsid w:val="00137966"/>
    <w:rsid w:val="001379E1"/>
    <w:rsid w:val="00137B52"/>
    <w:rsid w:val="00137EAE"/>
    <w:rsid w:val="001401D8"/>
    <w:rsid w:val="0014083F"/>
    <w:rsid w:val="00140B74"/>
    <w:rsid w:val="00140D94"/>
    <w:rsid w:val="001410D4"/>
    <w:rsid w:val="001415CA"/>
    <w:rsid w:val="00141662"/>
    <w:rsid w:val="00141C6C"/>
    <w:rsid w:val="001420A6"/>
    <w:rsid w:val="0014233F"/>
    <w:rsid w:val="00142395"/>
    <w:rsid w:val="0014250D"/>
    <w:rsid w:val="00142714"/>
    <w:rsid w:val="00142EB0"/>
    <w:rsid w:val="0014345A"/>
    <w:rsid w:val="001434FA"/>
    <w:rsid w:val="0014353D"/>
    <w:rsid w:val="00143905"/>
    <w:rsid w:val="00144370"/>
    <w:rsid w:val="0014449A"/>
    <w:rsid w:val="00144724"/>
    <w:rsid w:val="00144D09"/>
    <w:rsid w:val="00144E06"/>
    <w:rsid w:val="00144F7C"/>
    <w:rsid w:val="001452ED"/>
    <w:rsid w:val="00145491"/>
    <w:rsid w:val="0014552D"/>
    <w:rsid w:val="00145A3E"/>
    <w:rsid w:val="00145B23"/>
    <w:rsid w:val="00145B74"/>
    <w:rsid w:val="00146627"/>
    <w:rsid w:val="001467FD"/>
    <w:rsid w:val="00146A06"/>
    <w:rsid w:val="00146C05"/>
    <w:rsid w:val="00147D4A"/>
    <w:rsid w:val="00147D84"/>
    <w:rsid w:val="001504EB"/>
    <w:rsid w:val="00151C4B"/>
    <w:rsid w:val="00151CBD"/>
    <w:rsid w:val="00151D79"/>
    <w:rsid w:val="00152335"/>
    <w:rsid w:val="001523A3"/>
    <w:rsid w:val="001523F6"/>
    <w:rsid w:val="001527EA"/>
    <w:rsid w:val="00152882"/>
    <w:rsid w:val="00152CB4"/>
    <w:rsid w:val="00153246"/>
    <w:rsid w:val="001533C3"/>
    <w:rsid w:val="00153476"/>
    <w:rsid w:val="001534C6"/>
    <w:rsid w:val="00153977"/>
    <w:rsid w:val="00153ABA"/>
    <w:rsid w:val="00153BBD"/>
    <w:rsid w:val="001542B5"/>
    <w:rsid w:val="001549C1"/>
    <w:rsid w:val="00154AAD"/>
    <w:rsid w:val="00154CFA"/>
    <w:rsid w:val="001550AA"/>
    <w:rsid w:val="001550AF"/>
    <w:rsid w:val="001556B9"/>
    <w:rsid w:val="00156BE2"/>
    <w:rsid w:val="00156C8D"/>
    <w:rsid w:val="00156F16"/>
    <w:rsid w:val="001575D9"/>
    <w:rsid w:val="0015775A"/>
    <w:rsid w:val="00157763"/>
    <w:rsid w:val="0015791E"/>
    <w:rsid w:val="0016039D"/>
    <w:rsid w:val="001606D2"/>
    <w:rsid w:val="00160C61"/>
    <w:rsid w:val="00160F4D"/>
    <w:rsid w:val="00161047"/>
    <w:rsid w:val="00161154"/>
    <w:rsid w:val="00161386"/>
    <w:rsid w:val="0016189B"/>
    <w:rsid w:val="001620BE"/>
    <w:rsid w:val="0016238A"/>
    <w:rsid w:val="001623B6"/>
    <w:rsid w:val="00162BDC"/>
    <w:rsid w:val="00162BDD"/>
    <w:rsid w:val="00162C48"/>
    <w:rsid w:val="00162D4E"/>
    <w:rsid w:val="00163329"/>
    <w:rsid w:val="00163F0E"/>
    <w:rsid w:val="001640AC"/>
    <w:rsid w:val="00164139"/>
    <w:rsid w:val="001641B6"/>
    <w:rsid w:val="00164385"/>
    <w:rsid w:val="00164623"/>
    <w:rsid w:val="0016507D"/>
    <w:rsid w:val="001652DE"/>
    <w:rsid w:val="001653EC"/>
    <w:rsid w:val="00165B64"/>
    <w:rsid w:val="001661B5"/>
    <w:rsid w:val="001665A8"/>
    <w:rsid w:val="001667C8"/>
    <w:rsid w:val="00166987"/>
    <w:rsid w:val="00167273"/>
    <w:rsid w:val="00167C39"/>
    <w:rsid w:val="00167DE1"/>
    <w:rsid w:val="00170612"/>
    <w:rsid w:val="00170737"/>
    <w:rsid w:val="00170B5F"/>
    <w:rsid w:val="00170B73"/>
    <w:rsid w:val="00170C4D"/>
    <w:rsid w:val="00170ED5"/>
    <w:rsid w:val="001711D9"/>
    <w:rsid w:val="001712FF"/>
    <w:rsid w:val="00171496"/>
    <w:rsid w:val="0017190D"/>
    <w:rsid w:val="00171A3E"/>
    <w:rsid w:val="00171C33"/>
    <w:rsid w:val="0017296D"/>
    <w:rsid w:val="0017296F"/>
    <w:rsid w:val="00172FE9"/>
    <w:rsid w:val="001731F6"/>
    <w:rsid w:val="00173405"/>
    <w:rsid w:val="0017381D"/>
    <w:rsid w:val="00173920"/>
    <w:rsid w:val="00173F08"/>
    <w:rsid w:val="00173FA3"/>
    <w:rsid w:val="001748FC"/>
    <w:rsid w:val="001749B2"/>
    <w:rsid w:val="00174B3B"/>
    <w:rsid w:val="00174C90"/>
    <w:rsid w:val="00174EB8"/>
    <w:rsid w:val="001752F7"/>
    <w:rsid w:val="00175B16"/>
    <w:rsid w:val="00175E3B"/>
    <w:rsid w:val="001761CD"/>
    <w:rsid w:val="0017652D"/>
    <w:rsid w:val="00176539"/>
    <w:rsid w:val="00176811"/>
    <w:rsid w:val="00176855"/>
    <w:rsid w:val="00176B9D"/>
    <w:rsid w:val="00176CF0"/>
    <w:rsid w:val="00176D85"/>
    <w:rsid w:val="00176E3E"/>
    <w:rsid w:val="00176E48"/>
    <w:rsid w:val="00176FEB"/>
    <w:rsid w:val="001778F2"/>
    <w:rsid w:val="00177B84"/>
    <w:rsid w:val="001805AC"/>
    <w:rsid w:val="00180713"/>
    <w:rsid w:val="00180720"/>
    <w:rsid w:val="00181033"/>
    <w:rsid w:val="00181339"/>
    <w:rsid w:val="001814EC"/>
    <w:rsid w:val="001817DC"/>
    <w:rsid w:val="00181C22"/>
    <w:rsid w:val="00181D6A"/>
    <w:rsid w:val="0018203F"/>
    <w:rsid w:val="00182209"/>
    <w:rsid w:val="001822BE"/>
    <w:rsid w:val="00182735"/>
    <w:rsid w:val="00182AA0"/>
    <w:rsid w:val="00182ACE"/>
    <w:rsid w:val="00182DD6"/>
    <w:rsid w:val="00182FE4"/>
    <w:rsid w:val="0018303A"/>
    <w:rsid w:val="001830CE"/>
    <w:rsid w:val="0018315F"/>
    <w:rsid w:val="001833EE"/>
    <w:rsid w:val="001836E3"/>
    <w:rsid w:val="001838C2"/>
    <w:rsid w:val="00183939"/>
    <w:rsid w:val="00183989"/>
    <w:rsid w:val="001839F4"/>
    <w:rsid w:val="00183FE2"/>
    <w:rsid w:val="0018430B"/>
    <w:rsid w:val="00184659"/>
    <w:rsid w:val="0018479F"/>
    <w:rsid w:val="00184E99"/>
    <w:rsid w:val="0018541C"/>
    <w:rsid w:val="00185BA4"/>
    <w:rsid w:val="00185D1B"/>
    <w:rsid w:val="00185D52"/>
    <w:rsid w:val="00185F1C"/>
    <w:rsid w:val="001860E5"/>
    <w:rsid w:val="0018643B"/>
    <w:rsid w:val="001866A2"/>
    <w:rsid w:val="0018670B"/>
    <w:rsid w:val="00186712"/>
    <w:rsid w:val="001873F9"/>
    <w:rsid w:val="00187856"/>
    <w:rsid w:val="00187935"/>
    <w:rsid w:val="00190091"/>
    <w:rsid w:val="00190A94"/>
    <w:rsid w:val="00191079"/>
    <w:rsid w:val="00191287"/>
    <w:rsid w:val="00191422"/>
    <w:rsid w:val="001917C9"/>
    <w:rsid w:val="00191851"/>
    <w:rsid w:val="00191965"/>
    <w:rsid w:val="00191A7D"/>
    <w:rsid w:val="00191E7D"/>
    <w:rsid w:val="0019273F"/>
    <w:rsid w:val="00192A25"/>
    <w:rsid w:val="00193244"/>
    <w:rsid w:val="001934CC"/>
    <w:rsid w:val="001935F8"/>
    <w:rsid w:val="0019458B"/>
    <w:rsid w:val="00194C6C"/>
    <w:rsid w:val="00194CFA"/>
    <w:rsid w:val="00195605"/>
    <w:rsid w:val="0019563E"/>
    <w:rsid w:val="00195905"/>
    <w:rsid w:val="00195F0C"/>
    <w:rsid w:val="00196133"/>
    <w:rsid w:val="001961B1"/>
    <w:rsid w:val="00196307"/>
    <w:rsid w:val="00196329"/>
    <w:rsid w:val="001963B8"/>
    <w:rsid w:val="00196592"/>
    <w:rsid w:val="001967A4"/>
    <w:rsid w:val="00196F9C"/>
    <w:rsid w:val="00197B72"/>
    <w:rsid w:val="00197C70"/>
    <w:rsid w:val="00197F03"/>
    <w:rsid w:val="001A0565"/>
    <w:rsid w:val="001A0769"/>
    <w:rsid w:val="001A0C71"/>
    <w:rsid w:val="001A0D10"/>
    <w:rsid w:val="001A0F07"/>
    <w:rsid w:val="001A0F70"/>
    <w:rsid w:val="001A1011"/>
    <w:rsid w:val="001A13B3"/>
    <w:rsid w:val="001A1403"/>
    <w:rsid w:val="001A14DC"/>
    <w:rsid w:val="001A1697"/>
    <w:rsid w:val="001A21AA"/>
    <w:rsid w:val="001A276F"/>
    <w:rsid w:val="001A2ADE"/>
    <w:rsid w:val="001A2C07"/>
    <w:rsid w:val="001A2E37"/>
    <w:rsid w:val="001A2F16"/>
    <w:rsid w:val="001A3202"/>
    <w:rsid w:val="001A3263"/>
    <w:rsid w:val="001A33EA"/>
    <w:rsid w:val="001A3615"/>
    <w:rsid w:val="001A3682"/>
    <w:rsid w:val="001A40EC"/>
    <w:rsid w:val="001A4135"/>
    <w:rsid w:val="001A43E6"/>
    <w:rsid w:val="001A4413"/>
    <w:rsid w:val="001A4B87"/>
    <w:rsid w:val="001A4C4F"/>
    <w:rsid w:val="001A4F85"/>
    <w:rsid w:val="001A551A"/>
    <w:rsid w:val="001A5948"/>
    <w:rsid w:val="001A5A2B"/>
    <w:rsid w:val="001A6193"/>
    <w:rsid w:val="001A6896"/>
    <w:rsid w:val="001A6A02"/>
    <w:rsid w:val="001A6CAB"/>
    <w:rsid w:val="001A6DFF"/>
    <w:rsid w:val="001A76FB"/>
    <w:rsid w:val="001B017F"/>
    <w:rsid w:val="001B0457"/>
    <w:rsid w:val="001B0861"/>
    <w:rsid w:val="001B0B62"/>
    <w:rsid w:val="001B0B79"/>
    <w:rsid w:val="001B103B"/>
    <w:rsid w:val="001B1209"/>
    <w:rsid w:val="001B19EA"/>
    <w:rsid w:val="001B255B"/>
    <w:rsid w:val="001B2920"/>
    <w:rsid w:val="001B2BBC"/>
    <w:rsid w:val="001B2BCD"/>
    <w:rsid w:val="001B3286"/>
    <w:rsid w:val="001B33ED"/>
    <w:rsid w:val="001B3613"/>
    <w:rsid w:val="001B36D0"/>
    <w:rsid w:val="001B3A40"/>
    <w:rsid w:val="001B3FFE"/>
    <w:rsid w:val="001B41D0"/>
    <w:rsid w:val="001B4996"/>
    <w:rsid w:val="001B4AB8"/>
    <w:rsid w:val="001B4E7C"/>
    <w:rsid w:val="001B4FB8"/>
    <w:rsid w:val="001B4FC5"/>
    <w:rsid w:val="001B5129"/>
    <w:rsid w:val="001B599E"/>
    <w:rsid w:val="001B6076"/>
    <w:rsid w:val="001B6CD8"/>
    <w:rsid w:val="001B6E3D"/>
    <w:rsid w:val="001B7456"/>
    <w:rsid w:val="001B7FAB"/>
    <w:rsid w:val="001B7FD1"/>
    <w:rsid w:val="001C000A"/>
    <w:rsid w:val="001C08F7"/>
    <w:rsid w:val="001C0B4C"/>
    <w:rsid w:val="001C0EC4"/>
    <w:rsid w:val="001C1195"/>
    <w:rsid w:val="001C11DC"/>
    <w:rsid w:val="001C12AE"/>
    <w:rsid w:val="001C155D"/>
    <w:rsid w:val="001C1773"/>
    <w:rsid w:val="001C189C"/>
    <w:rsid w:val="001C1E84"/>
    <w:rsid w:val="001C20E1"/>
    <w:rsid w:val="001C2528"/>
    <w:rsid w:val="001C2A0F"/>
    <w:rsid w:val="001C2A44"/>
    <w:rsid w:val="001C2C4C"/>
    <w:rsid w:val="001C2C84"/>
    <w:rsid w:val="001C2DC3"/>
    <w:rsid w:val="001C2E42"/>
    <w:rsid w:val="001C31D4"/>
    <w:rsid w:val="001C3E50"/>
    <w:rsid w:val="001C3ED3"/>
    <w:rsid w:val="001C3F0A"/>
    <w:rsid w:val="001C40E4"/>
    <w:rsid w:val="001C564B"/>
    <w:rsid w:val="001C5B5F"/>
    <w:rsid w:val="001C5E50"/>
    <w:rsid w:val="001C5FC6"/>
    <w:rsid w:val="001C6A15"/>
    <w:rsid w:val="001C6C99"/>
    <w:rsid w:val="001C6DEA"/>
    <w:rsid w:val="001C7588"/>
    <w:rsid w:val="001C7C00"/>
    <w:rsid w:val="001C7E88"/>
    <w:rsid w:val="001D08D5"/>
    <w:rsid w:val="001D0DDD"/>
    <w:rsid w:val="001D1581"/>
    <w:rsid w:val="001D1A2A"/>
    <w:rsid w:val="001D1D4A"/>
    <w:rsid w:val="001D1F5F"/>
    <w:rsid w:val="001D261A"/>
    <w:rsid w:val="001D2794"/>
    <w:rsid w:val="001D2A91"/>
    <w:rsid w:val="001D2E65"/>
    <w:rsid w:val="001D3755"/>
    <w:rsid w:val="001D3A3D"/>
    <w:rsid w:val="001D3AB8"/>
    <w:rsid w:val="001D3C05"/>
    <w:rsid w:val="001D3EBB"/>
    <w:rsid w:val="001D47B5"/>
    <w:rsid w:val="001D49DB"/>
    <w:rsid w:val="001D502E"/>
    <w:rsid w:val="001D5084"/>
    <w:rsid w:val="001D519E"/>
    <w:rsid w:val="001D52E8"/>
    <w:rsid w:val="001D54ED"/>
    <w:rsid w:val="001D54FC"/>
    <w:rsid w:val="001D5BCF"/>
    <w:rsid w:val="001D5F77"/>
    <w:rsid w:val="001D6495"/>
    <w:rsid w:val="001D6DC6"/>
    <w:rsid w:val="001D7099"/>
    <w:rsid w:val="001D7944"/>
    <w:rsid w:val="001D79B1"/>
    <w:rsid w:val="001D7BD8"/>
    <w:rsid w:val="001E0086"/>
    <w:rsid w:val="001E02D8"/>
    <w:rsid w:val="001E04BB"/>
    <w:rsid w:val="001E06D2"/>
    <w:rsid w:val="001E0DAC"/>
    <w:rsid w:val="001E1518"/>
    <w:rsid w:val="001E17C4"/>
    <w:rsid w:val="001E1E17"/>
    <w:rsid w:val="001E2187"/>
    <w:rsid w:val="001E25F5"/>
    <w:rsid w:val="001E2866"/>
    <w:rsid w:val="001E2A47"/>
    <w:rsid w:val="001E2D65"/>
    <w:rsid w:val="001E2F32"/>
    <w:rsid w:val="001E327D"/>
    <w:rsid w:val="001E3D01"/>
    <w:rsid w:val="001E3D24"/>
    <w:rsid w:val="001E441E"/>
    <w:rsid w:val="001E4E1D"/>
    <w:rsid w:val="001E5059"/>
    <w:rsid w:val="001E513F"/>
    <w:rsid w:val="001E550D"/>
    <w:rsid w:val="001E56C2"/>
    <w:rsid w:val="001E5930"/>
    <w:rsid w:val="001E5A2C"/>
    <w:rsid w:val="001E5C0F"/>
    <w:rsid w:val="001E5CC6"/>
    <w:rsid w:val="001E5DB9"/>
    <w:rsid w:val="001E6430"/>
    <w:rsid w:val="001E6645"/>
    <w:rsid w:val="001E6BE7"/>
    <w:rsid w:val="001E70F6"/>
    <w:rsid w:val="001E7141"/>
    <w:rsid w:val="001E716F"/>
    <w:rsid w:val="001E7570"/>
    <w:rsid w:val="001E7999"/>
    <w:rsid w:val="001F005B"/>
    <w:rsid w:val="001F07F6"/>
    <w:rsid w:val="001F0B30"/>
    <w:rsid w:val="001F1020"/>
    <w:rsid w:val="001F12E2"/>
    <w:rsid w:val="001F16BD"/>
    <w:rsid w:val="001F1850"/>
    <w:rsid w:val="001F1856"/>
    <w:rsid w:val="001F1FBF"/>
    <w:rsid w:val="001F2311"/>
    <w:rsid w:val="001F2546"/>
    <w:rsid w:val="001F2777"/>
    <w:rsid w:val="001F29CC"/>
    <w:rsid w:val="001F2A01"/>
    <w:rsid w:val="001F2B80"/>
    <w:rsid w:val="001F2C5B"/>
    <w:rsid w:val="001F2E6D"/>
    <w:rsid w:val="001F2F1C"/>
    <w:rsid w:val="001F3189"/>
    <w:rsid w:val="001F364B"/>
    <w:rsid w:val="001F37A7"/>
    <w:rsid w:val="001F38AD"/>
    <w:rsid w:val="001F3BDC"/>
    <w:rsid w:val="001F3EC6"/>
    <w:rsid w:val="001F4016"/>
    <w:rsid w:val="001F41D8"/>
    <w:rsid w:val="001F42A1"/>
    <w:rsid w:val="001F42FF"/>
    <w:rsid w:val="001F436D"/>
    <w:rsid w:val="001F443E"/>
    <w:rsid w:val="001F4ECE"/>
    <w:rsid w:val="001F57E6"/>
    <w:rsid w:val="001F5C42"/>
    <w:rsid w:val="001F5D4E"/>
    <w:rsid w:val="001F6395"/>
    <w:rsid w:val="001F6E43"/>
    <w:rsid w:val="001F7924"/>
    <w:rsid w:val="001F7F02"/>
    <w:rsid w:val="002001CC"/>
    <w:rsid w:val="002002CE"/>
    <w:rsid w:val="002004F3"/>
    <w:rsid w:val="00200569"/>
    <w:rsid w:val="002008A7"/>
    <w:rsid w:val="00200AE0"/>
    <w:rsid w:val="00200BEA"/>
    <w:rsid w:val="00200C2A"/>
    <w:rsid w:val="00200DCA"/>
    <w:rsid w:val="00200F3F"/>
    <w:rsid w:val="00201185"/>
    <w:rsid w:val="002014EC"/>
    <w:rsid w:val="0020196A"/>
    <w:rsid w:val="00201F24"/>
    <w:rsid w:val="00201F31"/>
    <w:rsid w:val="00201FB8"/>
    <w:rsid w:val="00202267"/>
    <w:rsid w:val="0020235E"/>
    <w:rsid w:val="00202FEE"/>
    <w:rsid w:val="00203348"/>
    <w:rsid w:val="00203568"/>
    <w:rsid w:val="002037FE"/>
    <w:rsid w:val="002038A4"/>
    <w:rsid w:val="00203B4D"/>
    <w:rsid w:val="00203FAC"/>
    <w:rsid w:val="00204979"/>
    <w:rsid w:val="00204E1C"/>
    <w:rsid w:val="00205331"/>
    <w:rsid w:val="0020551B"/>
    <w:rsid w:val="002056CD"/>
    <w:rsid w:val="00205F61"/>
    <w:rsid w:val="002062E4"/>
    <w:rsid w:val="00206738"/>
    <w:rsid w:val="00206DCE"/>
    <w:rsid w:val="00207193"/>
    <w:rsid w:val="002074A1"/>
    <w:rsid w:val="002074F1"/>
    <w:rsid w:val="00207C33"/>
    <w:rsid w:val="0021047F"/>
    <w:rsid w:val="002104C9"/>
    <w:rsid w:val="00210EF9"/>
    <w:rsid w:val="00211638"/>
    <w:rsid w:val="00212015"/>
    <w:rsid w:val="00212377"/>
    <w:rsid w:val="002123A0"/>
    <w:rsid w:val="002123FF"/>
    <w:rsid w:val="002126AE"/>
    <w:rsid w:val="00212AE4"/>
    <w:rsid w:val="00212FC0"/>
    <w:rsid w:val="002132F6"/>
    <w:rsid w:val="002133A3"/>
    <w:rsid w:val="002133FB"/>
    <w:rsid w:val="00213902"/>
    <w:rsid w:val="00213C1B"/>
    <w:rsid w:val="00213CFB"/>
    <w:rsid w:val="002143B4"/>
    <w:rsid w:val="00214712"/>
    <w:rsid w:val="002148F8"/>
    <w:rsid w:val="00214AD8"/>
    <w:rsid w:val="00214E79"/>
    <w:rsid w:val="00215023"/>
    <w:rsid w:val="002154D9"/>
    <w:rsid w:val="0021553C"/>
    <w:rsid w:val="0021557B"/>
    <w:rsid w:val="00215D55"/>
    <w:rsid w:val="00216075"/>
    <w:rsid w:val="00216114"/>
    <w:rsid w:val="002161BB"/>
    <w:rsid w:val="0021651B"/>
    <w:rsid w:val="002167F4"/>
    <w:rsid w:val="00216B87"/>
    <w:rsid w:val="00216D58"/>
    <w:rsid w:val="002174F3"/>
    <w:rsid w:val="002174FD"/>
    <w:rsid w:val="00217808"/>
    <w:rsid w:val="00217BE1"/>
    <w:rsid w:val="00217BF9"/>
    <w:rsid w:val="00217EE0"/>
    <w:rsid w:val="002205A5"/>
    <w:rsid w:val="002206D5"/>
    <w:rsid w:val="002209B7"/>
    <w:rsid w:val="00220D18"/>
    <w:rsid w:val="00220EA3"/>
    <w:rsid w:val="00221286"/>
    <w:rsid w:val="00221361"/>
    <w:rsid w:val="00221465"/>
    <w:rsid w:val="002214B9"/>
    <w:rsid w:val="0022157A"/>
    <w:rsid w:val="00221BFC"/>
    <w:rsid w:val="00222680"/>
    <w:rsid w:val="0022297D"/>
    <w:rsid w:val="00222C31"/>
    <w:rsid w:val="00222C59"/>
    <w:rsid w:val="00222C9A"/>
    <w:rsid w:val="00222D84"/>
    <w:rsid w:val="00223370"/>
    <w:rsid w:val="00223722"/>
    <w:rsid w:val="00223D63"/>
    <w:rsid w:val="002241A4"/>
    <w:rsid w:val="00224C5B"/>
    <w:rsid w:val="00224D1E"/>
    <w:rsid w:val="00224DF7"/>
    <w:rsid w:val="00224F44"/>
    <w:rsid w:val="0022521C"/>
    <w:rsid w:val="0022546C"/>
    <w:rsid w:val="002255AA"/>
    <w:rsid w:val="002258CB"/>
    <w:rsid w:val="002259AA"/>
    <w:rsid w:val="00226528"/>
    <w:rsid w:val="00226611"/>
    <w:rsid w:val="0022676E"/>
    <w:rsid w:val="002267E2"/>
    <w:rsid w:val="00227B6A"/>
    <w:rsid w:val="00227BC5"/>
    <w:rsid w:val="00227DA5"/>
    <w:rsid w:val="0023049B"/>
    <w:rsid w:val="00230B9A"/>
    <w:rsid w:val="00230BE0"/>
    <w:rsid w:val="00230F63"/>
    <w:rsid w:val="00231013"/>
    <w:rsid w:val="002310CE"/>
    <w:rsid w:val="002312D5"/>
    <w:rsid w:val="00231CDE"/>
    <w:rsid w:val="0023239C"/>
    <w:rsid w:val="00232616"/>
    <w:rsid w:val="00232C45"/>
    <w:rsid w:val="00232E31"/>
    <w:rsid w:val="00232F9B"/>
    <w:rsid w:val="002333B0"/>
    <w:rsid w:val="0023381E"/>
    <w:rsid w:val="00233931"/>
    <w:rsid w:val="00234252"/>
    <w:rsid w:val="0023466E"/>
    <w:rsid w:val="00234745"/>
    <w:rsid w:val="00234799"/>
    <w:rsid w:val="00234A35"/>
    <w:rsid w:val="00234B06"/>
    <w:rsid w:val="00234EF6"/>
    <w:rsid w:val="002352D7"/>
    <w:rsid w:val="002354B5"/>
    <w:rsid w:val="002366E4"/>
    <w:rsid w:val="00236FA6"/>
    <w:rsid w:val="00236FC6"/>
    <w:rsid w:val="00237408"/>
    <w:rsid w:val="0023754F"/>
    <w:rsid w:val="002376D7"/>
    <w:rsid w:val="002376EF"/>
    <w:rsid w:val="00237A8F"/>
    <w:rsid w:val="00237AC6"/>
    <w:rsid w:val="00237E67"/>
    <w:rsid w:val="00240253"/>
    <w:rsid w:val="00240845"/>
    <w:rsid w:val="0024097F"/>
    <w:rsid w:val="00240E6F"/>
    <w:rsid w:val="002415F2"/>
    <w:rsid w:val="0024222C"/>
    <w:rsid w:val="002422DA"/>
    <w:rsid w:val="002426EF"/>
    <w:rsid w:val="0024281F"/>
    <w:rsid w:val="00242B41"/>
    <w:rsid w:val="00242B64"/>
    <w:rsid w:val="00242BFD"/>
    <w:rsid w:val="00242D5B"/>
    <w:rsid w:val="00243081"/>
    <w:rsid w:val="002432E6"/>
    <w:rsid w:val="00243449"/>
    <w:rsid w:val="00243951"/>
    <w:rsid w:val="00243B2C"/>
    <w:rsid w:val="00243B5D"/>
    <w:rsid w:val="00244139"/>
    <w:rsid w:val="0024431D"/>
    <w:rsid w:val="00244490"/>
    <w:rsid w:val="00244A42"/>
    <w:rsid w:val="00244B99"/>
    <w:rsid w:val="00244BA9"/>
    <w:rsid w:val="00244BEC"/>
    <w:rsid w:val="00244C38"/>
    <w:rsid w:val="00244C39"/>
    <w:rsid w:val="00244E0F"/>
    <w:rsid w:val="002453AB"/>
    <w:rsid w:val="00245B9C"/>
    <w:rsid w:val="00245CB2"/>
    <w:rsid w:val="002469C5"/>
    <w:rsid w:val="00247375"/>
    <w:rsid w:val="0024738D"/>
    <w:rsid w:val="00247457"/>
    <w:rsid w:val="002474C8"/>
    <w:rsid w:val="00247BA4"/>
    <w:rsid w:val="00247C75"/>
    <w:rsid w:val="002500F9"/>
    <w:rsid w:val="00250949"/>
    <w:rsid w:val="00250B0C"/>
    <w:rsid w:val="00250E09"/>
    <w:rsid w:val="00250E1C"/>
    <w:rsid w:val="002510C6"/>
    <w:rsid w:val="0025123F"/>
    <w:rsid w:val="0025164A"/>
    <w:rsid w:val="00251B7C"/>
    <w:rsid w:val="00251C41"/>
    <w:rsid w:val="00252095"/>
    <w:rsid w:val="002520E8"/>
    <w:rsid w:val="00252129"/>
    <w:rsid w:val="00252587"/>
    <w:rsid w:val="00252A2A"/>
    <w:rsid w:val="00252B0B"/>
    <w:rsid w:val="00252CD9"/>
    <w:rsid w:val="00252DC3"/>
    <w:rsid w:val="00252EEF"/>
    <w:rsid w:val="00252F45"/>
    <w:rsid w:val="0025327D"/>
    <w:rsid w:val="002533D1"/>
    <w:rsid w:val="00253499"/>
    <w:rsid w:val="00253C1B"/>
    <w:rsid w:val="00253C64"/>
    <w:rsid w:val="00253F24"/>
    <w:rsid w:val="00254257"/>
    <w:rsid w:val="0025472D"/>
    <w:rsid w:val="002547CF"/>
    <w:rsid w:val="00254BFF"/>
    <w:rsid w:val="00254F9F"/>
    <w:rsid w:val="002551A4"/>
    <w:rsid w:val="00255289"/>
    <w:rsid w:val="002558D3"/>
    <w:rsid w:val="00255C41"/>
    <w:rsid w:val="00255C4F"/>
    <w:rsid w:val="00255ED5"/>
    <w:rsid w:val="002566D5"/>
    <w:rsid w:val="0025697B"/>
    <w:rsid w:val="00256E12"/>
    <w:rsid w:val="00256F5C"/>
    <w:rsid w:val="00257219"/>
    <w:rsid w:val="002575FD"/>
    <w:rsid w:val="00257664"/>
    <w:rsid w:val="002577B8"/>
    <w:rsid w:val="00260165"/>
    <w:rsid w:val="00260A6C"/>
    <w:rsid w:val="00260DFB"/>
    <w:rsid w:val="0026121A"/>
    <w:rsid w:val="002612E9"/>
    <w:rsid w:val="0026151A"/>
    <w:rsid w:val="002615C6"/>
    <w:rsid w:val="00261A36"/>
    <w:rsid w:val="00261E23"/>
    <w:rsid w:val="0026228E"/>
    <w:rsid w:val="002627B9"/>
    <w:rsid w:val="00262B9F"/>
    <w:rsid w:val="00262CFC"/>
    <w:rsid w:val="0026315D"/>
    <w:rsid w:val="0026385B"/>
    <w:rsid w:val="00263EB1"/>
    <w:rsid w:val="00263F8C"/>
    <w:rsid w:val="0026412E"/>
    <w:rsid w:val="002649C6"/>
    <w:rsid w:val="00265151"/>
    <w:rsid w:val="002652A6"/>
    <w:rsid w:val="00265658"/>
    <w:rsid w:val="00265728"/>
    <w:rsid w:val="00265923"/>
    <w:rsid w:val="00265C2C"/>
    <w:rsid w:val="00266509"/>
    <w:rsid w:val="002665B7"/>
    <w:rsid w:val="00266CD7"/>
    <w:rsid w:val="00266D52"/>
    <w:rsid w:val="00266F3E"/>
    <w:rsid w:val="00266FC9"/>
    <w:rsid w:val="002679D2"/>
    <w:rsid w:val="0027011B"/>
    <w:rsid w:val="0027032F"/>
    <w:rsid w:val="00270415"/>
    <w:rsid w:val="002704BD"/>
    <w:rsid w:val="0027050F"/>
    <w:rsid w:val="0027060E"/>
    <w:rsid w:val="00270881"/>
    <w:rsid w:val="00270BDD"/>
    <w:rsid w:val="00270F45"/>
    <w:rsid w:val="00271042"/>
    <w:rsid w:val="002712E8"/>
    <w:rsid w:val="00271B64"/>
    <w:rsid w:val="00271B6F"/>
    <w:rsid w:val="00271BA1"/>
    <w:rsid w:val="00271D39"/>
    <w:rsid w:val="00271DDD"/>
    <w:rsid w:val="00271F6E"/>
    <w:rsid w:val="0027241E"/>
    <w:rsid w:val="00272571"/>
    <w:rsid w:val="00272BEA"/>
    <w:rsid w:val="002739B4"/>
    <w:rsid w:val="00273AC5"/>
    <w:rsid w:val="00273F7E"/>
    <w:rsid w:val="002741E9"/>
    <w:rsid w:val="0027448F"/>
    <w:rsid w:val="00275C74"/>
    <w:rsid w:val="00275ECF"/>
    <w:rsid w:val="002762FA"/>
    <w:rsid w:val="00276597"/>
    <w:rsid w:val="002765C6"/>
    <w:rsid w:val="00276670"/>
    <w:rsid w:val="00276BE3"/>
    <w:rsid w:val="00276C30"/>
    <w:rsid w:val="00276D44"/>
    <w:rsid w:val="00277439"/>
    <w:rsid w:val="00277505"/>
    <w:rsid w:val="00277873"/>
    <w:rsid w:val="00277C89"/>
    <w:rsid w:val="00277EA7"/>
    <w:rsid w:val="0028059E"/>
    <w:rsid w:val="00280742"/>
    <w:rsid w:val="002807DD"/>
    <w:rsid w:val="00280916"/>
    <w:rsid w:val="002811FB"/>
    <w:rsid w:val="0028158C"/>
    <w:rsid w:val="00281B6C"/>
    <w:rsid w:val="00281F13"/>
    <w:rsid w:val="002823B6"/>
    <w:rsid w:val="00282AF3"/>
    <w:rsid w:val="00282EAA"/>
    <w:rsid w:val="00282FCC"/>
    <w:rsid w:val="002838DC"/>
    <w:rsid w:val="00283A7C"/>
    <w:rsid w:val="00283B71"/>
    <w:rsid w:val="00283C52"/>
    <w:rsid w:val="00283FF1"/>
    <w:rsid w:val="002845B4"/>
    <w:rsid w:val="00284736"/>
    <w:rsid w:val="00284816"/>
    <w:rsid w:val="002850CE"/>
    <w:rsid w:val="0028514E"/>
    <w:rsid w:val="00285793"/>
    <w:rsid w:val="0028613F"/>
    <w:rsid w:val="002861BD"/>
    <w:rsid w:val="002862D1"/>
    <w:rsid w:val="00286629"/>
    <w:rsid w:val="00286D79"/>
    <w:rsid w:val="00286D7A"/>
    <w:rsid w:val="00287901"/>
    <w:rsid w:val="002879BA"/>
    <w:rsid w:val="00287B00"/>
    <w:rsid w:val="00287DF9"/>
    <w:rsid w:val="00287F6D"/>
    <w:rsid w:val="00290077"/>
    <w:rsid w:val="002909CE"/>
    <w:rsid w:val="00290C03"/>
    <w:rsid w:val="00290EDC"/>
    <w:rsid w:val="00291203"/>
    <w:rsid w:val="00291678"/>
    <w:rsid w:val="00291B99"/>
    <w:rsid w:val="00291DBD"/>
    <w:rsid w:val="00292204"/>
    <w:rsid w:val="00292392"/>
    <w:rsid w:val="0029265B"/>
    <w:rsid w:val="0029299E"/>
    <w:rsid w:val="00292B54"/>
    <w:rsid w:val="00292E3B"/>
    <w:rsid w:val="00293023"/>
    <w:rsid w:val="002931A2"/>
    <w:rsid w:val="002933A8"/>
    <w:rsid w:val="00293780"/>
    <w:rsid w:val="00293AE5"/>
    <w:rsid w:val="00294274"/>
    <w:rsid w:val="002942D2"/>
    <w:rsid w:val="00294376"/>
    <w:rsid w:val="00294471"/>
    <w:rsid w:val="0029458F"/>
    <w:rsid w:val="00295010"/>
    <w:rsid w:val="00295BD6"/>
    <w:rsid w:val="0029610F"/>
    <w:rsid w:val="002961D1"/>
    <w:rsid w:val="00296EE7"/>
    <w:rsid w:val="002971BC"/>
    <w:rsid w:val="00297219"/>
    <w:rsid w:val="00297330"/>
    <w:rsid w:val="00297A63"/>
    <w:rsid w:val="00297C7F"/>
    <w:rsid w:val="002A018F"/>
    <w:rsid w:val="002A038D"/>
    <w:rsid w:val="002A0AB3"/>
    <w:rsid w:val="002A0C79"/>
    <w:rsid w:val="002A0E04"/>
    <w:rsid w:val="002A104C"/>
    <w:rsid w:val="002A1240"/>
    <w:rsid w:val="002A18E7"/>
    <w:rsid w:val="002A1EF7"/>
    <w:rsid w:val="002A2927"/>
    <w:rsid w:val="002A2B7B"/>
    <w:rsid w:val="002A2DA6"/>
    <w:rsid w:val="002A3365"/>
    <w:rsid w:val="002A3819"/>
    <w:rsid w:val="002A4080"/>
    <w:rsid w:val="002A4228"/>
    <w:rsid w:val="002A427F"/>
    <w:rsid w:val="002A4537"/>
    <w:rsid w:val="002A46FD"/>
    <w:rsid w:val="002A483F"/>
    <w:rsid w:val="002A494D"/>
    <w:rsid w:val="002A4960"/>
    <w:rsid w:val="002A4B04"/>
    <w:rsid w:val="002A4B8D"/>
    <w:rsid w:val="002A52C9"/>
    <w:rsid w:val="002A5B02"/>
    <w:rsid w:val="002A5DA6"/>
    <w:rsid w:val="002A5F65"/>
    <w:rsid w:val="002A636A"/>
    <w:rsid w:val="002A6795"/>
    <w:rsid w:val="002A6D50"/>
    <w:rsid w:val="002A6E14"/>
    <w:rsid w:val="002A71F0"/>
    <w:rsid w:val="002A7306"/>
    <w:rsid w:val="002A7546"/>
    <w:rsid w:val="002A7548"/>
    <w:rsid w:val="002A755F"/>
    <w:rsid w:val="002A7844"/>
    <w:rsid w:val="002A7CA3"/>
    <w:rsid w:val="002B0130"/>
    <w:rsid w:val="002B0394"/>
    <w:rsid w:val="002B0938"/>
    <w:rsid w:val="002B0AD5"/>
    <w:rsid w:val="002B0AE0"/>
    <w:rsid w:val="002B0D4E"/>
    <w:rsid w:val="002B0E4D"/>
    <w:rsid w:val="002B12D1"/>
    <w:rsid w:val="002B151E"/>
    <w:rsid w:val="002B19A4"/>
    <w:rsid w:val="002B1A64"/>
    <w:rsid w:val="002B1AE6"/>
    <w:rsid w:val="002B1D51"/>
    <w:rsid w:val="002B1E72"/>
    <w:rsid w:val="002B24D8"/>
    <w:rsid w:val="002B2CE9"/>
    <w:rsid w:val="002B2DE8"/>
    <w:rsid w:val="002B2ED5"/>
    <w:rsid w:val="002B30F8"/>
    <w:rsid w:val="002B3159"/>
    <w:rsid w:val="002B321B"/>
    <w:rsid w:val="002B388A"/>
    <w:rsid w:val="002B3BFE"/>
    <w:rsid w:val="002B3C1A"/>
    <w:rsid w:val="002B4006"/>
    <w:rsid w:val="002B43D6"/>
    <w:rsid w:val="002B4AC2"/>
    <w:rsid w:val="002B4C2A"/>
    <w:rsid w:val="002B53F1"/>
    <w:rsid w:val="002B5596"/>
    <w:rsid w:val="002B563D"/>
    <w:rsid w:val="002B5D50"/>
    <w:rsid w:val="002B6144"/>
    <w:rsid w:val="002B68A7"/>
    <w:rsid w:val="002B68E6"/>
    <w:rsid w:val="002B6C41"/>
    <w:rsid w:val="002B6F47"/>
    <w:rsid w:val="002B77D7"/>
    <w:rsid w:val="002B792B"/>
    <w:rsid w:val="002B79E0"/>
    <w:rsid w:val="002B7D3D"/>
    <w:rsid w:val="002C0763"/>
    <w:rsid w:val="002C0CC1"/>
    <w:rsid w:val="002C13BB"/>
    <w:rsid w:val="002C1CA6"/>
    <w:rsid w:val="002C1D73"/>
    <w:rsid w:val="002C212F"/>
    <w:rsid w:val="002C2281"/>
    <w:rsid w:val="002C2752"/>
    <w:rsid w:val="002C279F"/>
    <w:rsid w:val="002C2B46"/>
    <w:rsid w:val="002C2DD4"/>
    <w:rsid w:val="002C2F35"/>
    <w:rsid w:val="002C36CF"/>
    <w:rsid w:val="002C3CAF"/>
    <w:rsid w:val="002C3D6D"/>
    <w:rsid w:val="002C461A"/>
    <w:rsid w:val="002C47F1"/>
    <w:rsid w:val="002C4A06"/>
    <w:rsid w:val="002C5590"/>
    <w:rsid w:val="002C5A18"/>
    <w:rsid w:val="002C5BDD"/>
    <w:rsid w:val="002C5C04"/>
    <w:rsid w:val="002C60D9"/>
    <w:rsid w:val="002C68A0"/>
    <w:rsid w:val="002C6AA9"/>
    <w:rsid w:val="002C6C4F"/>
    <w:rsid w:val="002C6C9F"/>
    <w:rsid w:val="002C7485"/>
    <w:rsid w:val="002C77FF"/>
    <w:rsid w:val="002C786E"/>
    <w:rsid w:val="002C7B36"/>
    <w:rsid w:val="002C7DCA"/>
    <w:rsid w:val="002D0068"/>
    <w:rsid w:val="002D06B1"/>
    <w:rsid w:val="002D07D9"/>
    <w:rsid w:val="002D0CE6"/>
    <w:rsid w:val="002D1E57"/>
    <w:rsid w:val="002D1E90"/>
    <w:rsid w:val="002D2641"/>
    <w:rsid w:val="002D2667"/>
    <w:rsid w:val="002D280D"/>
    <w:rsid w:val="002D283A"/>
    <w:rsid w:val="002D3155"/>
    <w:rsid w:val="002D3DE3"/>
    <w:rsid w:val="002D4222"/>
    <w:rsid w:val="002D4362"/>
    <w:rsid w:val="002D4543"/>
    <w:rsid w:val="002D45DB"/>
    <w:rsid w:val="002D4747"/>
    <w:rsid w:val="002D4783"/>
    <w:rsid w:val="002D47CB"/>
    <w:rsid w:val="002D4BB5"/>
    <w:rsid w:val="002D4CE4"/>
    <w:rsid w:val="002D54AB"/>
    <w:rsid w:val="002D58B0"/>
    <w:rsid w:val="002D5D98"/>
    <w:rsid w:val="002D69E3"/>
    <w:rsid w:val="002D6C6C"/>
    <w:rsid w:val="002D6E2C"/>
    <w:rsid w:val="002D6FB0"/>
    <w:rsid w:val="002D715F"/>
    <w:rsid w:val="002D719F"/>
    <w:rsid w:val="002D7260"/>
    <w:rsid w:val="002D75AE"/>
    <w:rsid w:val="002D7782"/>
    <w:rsid w:val="002D7920"/>
    <w:rsid w:val="002D799B"/>
    <w:rsid w:val="002D7EFF"/>
    <w:rsid w:val="002E022A"/>
    <w:rsid w:val="002E0413"/>
    <w:rsid w:val="002E057E"/>
    <w:rsid w:val="002E07C9"/>
    <w:rsid w:val="002E0B01"/>
    <w:rsid w:val="002E1209"/>
    <w:rsid w:val="002E1921"/>
    <w:rsid w:val="002E1ABE"/>
    <w:rsid w:val="002E22CA"/>
    <w:rsid w:val="002E2AE1"/>
    <w:rsid w:val="002E3153"/>
    <w:rsid w:val="002E31CD"/>
    <w:rsid w:val="002E3310"/>
    <w:rsid w:val="002E3494"/>
    <w:rsid w:val="002E38AA"/>
    <w:rsid w:val="002E398E"/>
    <w:rsid w:val="002E3CF1"/>
    <w:rsid w:val="002E3F4C"/>
    <w:rsid w:val="002E3F8C"/>
    <w:rsid w:val="002E4418"/>
    <w:rsid w:val="002E4A02"/>
    <w:rsid w:val="002E4DF0"/>
    <w:rsid w:val="002E4DFC"/>
    <w:rsid w:val="002E4F67"/>
    <w:rsid w:val="002E5292"/>
    <w:rsid w:val="002E5AF1"/>
    <w:rsid w:val="002E5B93"/>
    <w:rsid w:val="002E5DCD"/>
    <w:rsid w:val="002E5E59"/>
    <w:rsid w:val="002E6DBF"/>
    <w:rsid w:val="002E7290"/>
    <w:rsid w:val="002E72CA"/>
    <w:rsid w:val="002E7426"/>
    <w:rsid w:val="002E75DD"/>
    <w:rsid w:val="002E7717"/>
    <w:rsid w:val="002E7D30"/>
    <w:rsid w:val="002E7D47"/>
    <w:rsid w:val="002F049E"/>
    <w:rsid w:val="002F1083"/>
    <w:rsid w:val="002F10CA"/>
    <w:rsid w:val="002F14CF"/>
    <w:rsid w:val="002F1524"/>
    <w:rsid w:val="002F156D"/>
    <w:rsid w:val="002F17DA"/>
    <w:rsid w:val="002F1905"/>
    <w:rsid w:val="002F1B28"/>
    <w:rsid w:val="002F1CAB"/>
    <w:rsid w:val="002F1D07"/>
    <w:rsid w:val="002F1D5E"/>
    <w:rsid w:val="002F2B45"/>
    <w:rsid w:val="002F3967"/>
    <w:rsid w:val="002F3C31"/>
    <w:rsid w:val="002F4687"/>
    <w:rsid w:val="002F485D"/>
    <w:rsid w:val="002F49B6"/>
    <w:rsid w:val="002F4A79"/>
    <w:rsid w:val="002F4AA6"/>
    <w:rsid w:val="002F4B57"/>
    <w:rsid w:val="002F4BFD"/>
    <w:rsid w:val="002F4C08"/>
    <w:rsid w:val="002F4CCC"/>
    <w:rsid w:val="002F5135"/>
    <w:rsid w:val="002F52C7"/>
    <w:rsid w:val="002F5845"/>
    <w:rsid w:val="002F5C5B"/>
    <w:rsid w:val="002F5E17"/>
    <w:rsid w:val="002F600D"/>
    <w:rsid w:val="002F6230"/>
    <w:rsid w:val="002F6B58"/>
    <w:rsid w:val="002F6F0F"/>
    <w:rsid w:val="002F7236"/>
    <w:rsid w:val="002F749E"/>
    <w:rsid w:val="002F77ED"/>
    <w:rsid w:val="002F7AC4"/>
    <w:rsid w:val="002F7E47"/>
    <w:rsid w:val="0030037F"/>
    <w:rsid w:val="003003E1"/>
    <w:rsid w:val="003007E0"/>
    <w:rsid w:val="00300AD1"/>
    <w:rsid w:val="00300AD6"/>
    <w:rsid w:val="00300B1B"/>
    <w:rsid w:val="00300F4F"/>
    <w:rsid w:val="0030183A"/>
    <w:rsid w:val="003019D0"/>
    <w:rsid w:val="003019DE"/>
    <w:rsid w:val="00301DD8"/>
    <w:rsid w:val="00301FF3"/>
    <w:rsid w:val="00302357"/>
    <w:rsid w:val="00302987"/>
    <w:rsid w:val="00302B19"/>
    <w:rsid w:val="00302F0E"/>
    <w:rsid w:val="0030311E"/>
    <w:rsid w:val="00303733"/>
    <w:rsid w:val="003040C1"/>
    <w:rsid w:val="00304ABE"/>
    <w:rsid w:val="00304CAE"/>
    <w:rsid w:val="00304D56"/>
    <w:rsid w:val="00304D83"/>
    <w:rsid w:val="00304F2D"/>
    <w:rsid w:val="003056E4"/>
    <w:rsid w:val="0030589B"/>
    <w:rsid w:val="003058C3"/>
    <w:rsid w:val="003064AF"/>
    <w:rsid w:val="003065A2"/>
    <w:rsid w:val="0030681F"/>
    <w:rsid w:val="003068F7"/>
    <w:rsid w:val="00306DB5"/>
    <w:rsid w:val="00306FD4"/>
    <w:rsid w:val="003075E5"/>
    <w:rsid w:val="0030767A"/>
    <w:rsid w:val="00307DC6"/>
    <w:rsid w:val="00310A8B"/>
    <w:rsid w:val="00310B68"/>
    <w:rsid w:val="00310C68"/>
    <w:rsid w:val="00310D9F"/>
    <w:rsid w:val="00310DBB"/>
    <w:rsid w:val="0031103B"/>
    <w:rsid w:val="0031104A"/>
    <w:rsid w:val="0031143B"/>
    <w:rsid w:val="003116EB"/>
    <w:rsid w:val="0031172C"/>
    <w:rsid w:val="00311B3B"/>
    <w:rsid w:val="00311B7B"/>
    <w:rsid w:val="00312292"/>
    <w:rsid w:val="00312B58"/>
    <w:rsid w:val="00312C20"/>
    <w:rsid w:val="00312E4F"/>
    <w:rsid w:val="00312F28"/>
    <w:rsid w:val="00313A1C"/>
    <w:rsid w:val="00313BB1"/>
    <w:rsid w:val="00313CBA"/>
    <w:rsid w:val="00314008"/>
    <w:rsid w:val="003145F8"/>
    <w:rsid w:val="00314E69"/>
    <w:rsid w:val="00314ECD"/>
    <w:rsid w:val="00314EF1"/>
    <w:rsid w:val="00314F69"/>
    <w:rsid w:val="00315331"/>
    <w:rsid w:val="00315AB7"/>
    <w:rsid w:val="003160AA"/>
    <w:rsid w:val="003160D2"/>
    <w:rsid w:val="0031635C"/>
    <w:rsid w:val="00316E03"/>
    <w:rsid w:val="003170AC"/>
    <w:rsid w:val="003173FC"/>
    <w:rsid w:val="00317628"/>
    <w:rsid w:val="00317883"/>
    <w:rsid w:val="00317938"/>
    <w:rsid w:val="003179E2"/>
    <w:rsid w:val="00317C08"/>
    <w:rsid w:val="00317C6C"/>
    <w:rsid w:val="00317C8D"/>
    <w:rsid w:val="00317D9C"/>
    <w:rsid w:val="0032008A"/>
    <w:rsid w:val="00320185"/>
    <w:rsid w:val="003206E8"/>
    <w:rsid w:val="00320790"/>
    <w:rsid w:val="003207C4"/>
    <w:rsid w:val="0032095E"/>
    <w:rsid w:val="0032099F"/>
    <w:rsid w:val="00320B80"/>
    <w:rsid w:val="00320C00"/>
    <w:rsid w:val="00320CD3"/>
    <w:rsid w:val="00320DFB"/>
    <w:rsid w:val="003215FF"/>
    <w:rsid w:val="00321887"/>
    <w:rsid w:val="00321A27"/>
    <w:rsid w:val="00321F1E"/>
    <w:rsid w:val="00322667"/>
    <w:rsid w:val="0032298B"/>
    <w:rsid w:val="00322FF3"/>
    <w:rsid w:val="003235C3"/>
    <w:rsid w:val="00323998"/>
    <w:rsid w:val="00323FDE"/>
    <w:rsid w:val="00324485"/>
    <w:rsid w:val="003246B1"/>
    <w:rsid w:val="00324ACA"/>
    <w:rsid w:val="00324DE2"/>
    <w:rsid w:val="00325329"/>
    <w:rsid w:val="003256D0"/>
    <w:rsid w:val="0032597A"/>
    <w:rsid w:val="00325E18"/>
    <w:rsid w:val="00325E62"/>
    <w:rsid w:val="0032607C"/>
    <w:rsid w:val="00326627"/>
    <w:rsid w:val="003268C7"/>
    <w:rsid w:val="00326D37"/>
    <w:rsid w:val="00326E79"/>
    <w:rsid w:val="0032748A"/>
    <w:rsid w:val="00327A5D"/>
    <w:rsid w:val="003301B1"/>
    <w:rsid w:val="003305AB"/>
    <w:rsid w:val="00330EB9"/>
    <w:rsid w:val="00331189"/>
    <w:rsid w:val="003312CD"/>
    <w:rsid w:val="00331BEE"/>
    <w:rsid w:val="0033263D"/>
    <w:rsid w:val="003328F5"/>
    <w:rsid w:val="0033303E"/>
    <w:rsid w:val="00333450"/>
    <w:rsid w:val="0033345C"/>
    <w:rsid w:val="00333585"/>
    <w:rsid w:val="0033387B"/>
    <w:rsid w:val="00333A2A"/>
    <w:rsid w:val="00333D9F"/>
    <w:rsid w:val="00333DEB"/>
    <w:rsid w:val="00334496"/>
    <w:rsid w:val="00334851"/>
    <w:rsid w:val="00334E69"/>
    <w:rsid w:val="0033518A"/>
    <w:rsid w:val="00335240"/>
    <w:rsid w:val="00335535"/>
    <w:rsid w:val="003365DD"/>
    <w:rsid w:val="00336692"/>
    <w:rsid w:val="003367EF"/>
    <w:rsid w:val="003369FE"/>
    <w:rsid w:val="0033710E"/>
    <w:rsid w:val="00337687"/>
    <w:rsid w:val="00340002"/>
    <w:rsid w:val="00340152"/>
    <w:rsid w:val="003403D1"/>
    <w:rsid w:val="00340E75"/>
    <w:rsid w:val="00341303"/>
    <w:rsid w:val="0034148F"/>
    <w:rsid w:val="003415C7"/>
    <w:rsid w:val="0034162F"/>
    <w:rsid w:val="003417C5"/>
    <w:rsid w:val="003418A7"/>
    <w:rsid w:val="00341AE4"/>
    <w:rsid w:val="003423A7"/>
    <w:rsid w:val="0034242E"/>
    <w:rsid w:val="003425CA"/>
    <w:rsid w:val="0034283D"/>
    <w:rsid w:val="00342FD2"/>
    <w:rsid w:val="00343147"/>
    <w:rsid w:val="003432EF"/>
    <w:rsid w:val="00343334"/>
    <w:rsid w:val="003434E3"/>
    <w:rsid w:val="00343D01"/>
    <w:rsid w:val="00343DCB"/>
    <w:rsid w:val="00343FB7"/>
    <w:rsid w:val="003442B8"/>
    <w:rsid w:val="00344463"/>
    <w:rsid w:val="0034479A"/>
    <w:rsid w:val="00344F56"/>
    <w:rsid w:val="003451A7"/>
    <w:rsid w:val="0034526C"/>
    <w:rsid w:val="0034556B"/>
    <w:rsid w:val="003455F6"/>
    <w:rsid w:val="003456AC"/>
    <w:rsid w:val="0034573A"/>
    <w:rsid w:val="003459B6"/>
    <w:rsid w:val="00345A27"/>
    <w:rsid w:val="00345B55"/>
    <w:rsid w:val="00345EDE"/>
    <w:rsid w:val="00345F19"/>
    <w:rsid w:val="003460A8"/>
    <w:rsid w:val="003460C5"/>
    <w:rsid w:val="003463D6"/>
    <w:rsid w:val="00346567"/>
    <w:rsid w:val="00346B56"/>
    <w:rsid w:val="00346C44"/>
    <w:rsid w:val="00346CD7"/>
    <w:rsid w:val="00346EB3"/>
    <w:rsid w:val="00347162"/>
    <w:rsid w:val="00347208"/>
    <w:rsid w:val="0034747E"/>
    <w:rsid w:val="003476EE"/>
    <w:rsid w:val="00347713"/>
    <w:rsid w:val="003500C9"/>
    <w:rsid w:val="0035017B"/>
    <w:rsid w:val="003505AE"/>
    <w:rsid w:val="00350885"/>
    <w:rsid w:val="00350BDF"/>
    <w:rsid w:val="00350CBA"/>
    <w:rsid w:val="00350D62"/>
    <w:rsid w:val="00350DEF"/>
    <w:rsid w:val="003517B2"/>
    <w:rsid w:val="00351EEC"/>
    <w:rsid w:val="00352FBD"/>
    <w:rsid w:val="00352FF4"/>
    <w:rsid w:val="0035305F"/>
    <w:rsid w:val="00353896"/>
    <w:rsid w:val="00353A45"/>
    <w:rsid w:val="00353C57"/>
    <w:rsid w:val="00354140"/>
    <w:rsid w:val="003541DD"/>
    <w:rsid w:val="00354413"/>
    <w:rsid w:val="00354489"/>
    <w:rsid w:val="00354D7A"/>
    <w:rsid w:val="00354EA5"/>
    <w:rsid w:val="00354F11"/>
    <w:rsid w:val="003550D5"/>
    <w:rsid w:val="0035521B"/>
    <w:rsid w:val="0035529B"/>
    <w:rsid w:val="00355524"/>
    <w:rsid w:val="00355779"/>
    <w:rsid w:val="00356274"/>
    <w:rsid w:val="003563A7"/>
    <w:rsid w:val="00356782"/>
    <w:rsid w:val="003568BF"/>
    <w:rsid w:val="00356921"/>
    <w:rsid w:val="00356E5B"/>
    <w:rsid w:val="00357A85"/>
    <w:rsid w:val="00360887"/>
    <w:rsid w:val="00360B6D"/>
    <w:rsid w:val="00361712"/>
    <w:rsid w:val="00361BD0"/>
    <w:rsid w:val="00362307"/>
    <w:rsid w:val="0036249F"/>
    <w:rsid w:val="003625D5"/>
    <w:rsid w:val="0036265F"/>
    <w:rsid w:val="00362816"/>
    <w:rsid w:val="003628D3"/>
    <w:rsid w:val="0036312C"/>
    <w:rsid w:val="003637B4"/>
    <w:rsid w:val="00363D85"/>
    <w:rsid w:val="00364247"/>
    <w:rsid w:val="0036427B"/>
    <w:rsid w:val="003643B7"/>
    <w:rsid w:val="003648BF"/>
    <w:rsid w:val="00364CBF"/>
    <w:rsid w:val="003654BC"/>
    <w:rsid w:val="00365902"/>
    <w:rsid w:val="00365CE0"/>
    <w:rsid w:val="0036601D"/>
    <w:rsid w:val="003662DA"/>
    <w:rsid w:val="00367480"/>
    <w:rsid w:val="00367628"/>
    <w:rsid w:val="00367644"/>
    <w:rsid w:val="00367A9E"/>
    <w:rsid w:val="00370222"/>
    <w:rsid w:val="00370D23"/>
    <w:rsid w:val="00370EA9"/>
    <w:rsid w:val="00371089"/>
    <w:rsid w:val="003711EC"/>
    <w:rsid w:val="00371246"/>
    <w:rsid w:val="00371292"/>
    <w:rsid w:val="003713B9"/>
    <w:rsid w:val="00371402"/>
    <w:rsid w:val="00371627"/>
    <w:rsid w:val="00371680"/>
    <w:rsid w:val="00371994"/>
    <w:rsid w:val="00371A5D"/>
    <w:rsid w:val="00371F07"/>
    <w:rsid w:val="00373000"/>
    <w:rsid w:val="003736C9"/>
    <w:rsid w:val="00373CB6"/>
    <w:rsid w:val="003743CA"/>
    <w:rsid w:val="003744FD"/>
    <w:rsid w:val="00374E51"/>
    <w:rsid w:val="0037535A"/>
    <w:rsid w:val="0037566C"/>
    <w:rsid w:val="00375740"/>
    <w:rsid w:val="00375D3A"/>
    <w:rsid w:val="00376204"/>
    <w:rsid w:val="0037686D"/>
    <w:rsid w:val="00377223"/>
    <w:rsid w:val="00377416"/>
    <w:rsid w:val="003776A7"/>
    <w:rsid w:val="00377B81"/>
    <w:rsid w:val="00377E94"/>
    <w:rsid w:val="003800E1"/>
    <w:rsid w:val="00380104"/>
    <w:rsid w:val="0038014D"/>
    <w:rsid w:val="00380BF5"/>
    <w:rsid w:val="00380D1C"/>
    <w:rsid w:val="00380D48"/>
    <w:rsid w:val="00380D8D"/>
    <w:rsid w:val="00380DB5"/>
    <w:rsid w:val="00380EFE"/>
    <w:rsid w:val="003812BD"/>
    <w:rsid w:val="00381BE4"/>
    <w:rsid w:val="00382173"/>
    <w:rsid w:val="00382DB7"/>
    <w:rsid w:val="00382FA0"/>
    <w:rsid w:val="0038345D"/>
    <w:rsid w:val="0038362E"/>
    <w:rsid w:val="00383B77"/>
    <w:rsid w:val="00383ED2"/>
    <w:rsid w:val="00384023"/>
    <w:rsid w:val="003844D8"/>
    <w:rsid w:val="003846F7"/>
    <w:rsid w:val="00384988"/>
    <w:rsid w:val="00384A21"/>
    <w:rsid w:val="00384AC0"/>
    <w:rsid w:val="00384E2D"/>
    <w:rsid w:val="00385600"/>
    <w:rsid w:val="00385F9F"/>
    <w:rsid w:val="003861AF"/>
    <w:rsid w:val="003863CA"/>
    <w:rsid w:val="003865D9"/>
    <w:rsid w:val="00386A25"/>
    <w:rsid w:val="00386B25"/>
    <w:rsid w:val="00386CE9"/>
    <w:rsid w:val="00386CF5"/>
    <w:rsid w:val="003872CF"/>
    <w:rsid w:val="003874CB"/>
    <w:rsid w:val="0039020A"/>
    <w:rsid w:val="00390A36"/>
    <w:rsid w:val="00390C7E"/>
    <w:rsid w:val="00390F70"/>
    <w:rsid w:val="00390FF8"/>
    <w:rsid w:val="00391160"/>
    <w:rsid w:val="003911B6"/>
    <w:rsid w:val="003913E6"/>
    <w:rsid w:val="003917DC"/>
    <w:rsid w:val="00391902"/>
    <w:rsid w:val="003922F1"/>
    <w:rsid w:val="0039260E"/>
    <w:rsid w:val="003928DE"/>
    <w:rsid w:val="00392FD4"/>
    <w:rsid w:val="0039333C"/>
    <w:rsid w:val="003938CE"/>
    <w:rsid w:val="00393B07"/>
    <w:rsid w:val="00393CB1"/>
    <w:rsid w:val="00394160"/>
    <w:rsid w:val="003946C6"/>
    <w:rsid w:val="00394A55"/>
    <w:rsid w:val="00394DAD"/>
    <w:rsid w:val="00394E7F"/>
    <w:rsid w:val="0039557A"/>
    <w:rsid w:val="0039593B"/>
    <w:rsid w:val="00395CCA"/>
    <w:rsid w:val="00395F68"/>
    <w:rsid w:val="003962C3"/>
    <w:rsid w:val="00396661"/>
    <w:rsid w:val="003967B9"/>
    <w:rsid w:val="003968BE"/>
    <w:rsid w:val="00396CBA"/>
    <w:rsid w:val="00396CE4"/>
    <w:rsid w:val="00396E08"/>
    <w:rsid w:val="003970DD"/>
    <w:rsid w:val="00397358"/>
    <w:rsid w:val="0039782C"/>
    <w:rsid w:val="003979F1"/>
    <w:rsid w:val="00397F0F"/>
    <w:rsid w:val="003A07EC"/>
    <w:rsid w:val="003A13A6"/>
    <w:rsid w:val="003A158A"/>
    <w:rsid w:val="003A190F"/>
    <w:rsid w:val="003A1C3F"/>
    <w:rsid w:val="003A1E6B"/>
    <w:rsid w:val="003A207B"/>
    <w:rsid w:val="003A2165"/>
    <w:rsid w:val="003A2C15"/>
    <w:rsid w:val="003A2C1A"/>
    <w:rsid w:val="003A2E49"/>
    <w:rsid w:val="003A316E"/>
    <w:rsid w:val="003A3716"/>
    <w:rsid w:val="003A3AF3"/>
    <w:rsid w:val="003A3BE0"/>
    <w:rsid w:val="003A3DB9"/>
    <w:rsid w:val="003A3FA6"/>
    <w:rsid w:val="003A3FD4"/>
    <w:rsid w:val="003A4052"/>
    <w:rsid w:val="003A425F"/>
    <w:rsid w:val="003A4831"/>
    <w:rsid w:val="003A4B2A"/>
    <w:rsid w:val="003A548E"/>
    <w:rsid w:val="003A5506"/>
    <w:rsid w:val="003A5881"/>
    <w:rsid w:val="003A5B4A"/>
    <w:rsid w:val="003A5CF9"/>
    <w:rsid w:val="003A5D95"/>
    <w:rsid w:val="003A6510"/>
    <w:rsid w:val="003A69BC"/>
    <w:rsid w:val="003A6CDE"/>
    <w:rsid w:val="003A74E2"/>
    <w:rsid w:val="003A783E"/>
    <w:rsid w:val="003A7F32"/>
    <w:rsid w:val="003B05E4"/>
    <w:rsid w:val="003B0AD5"/>
    <w:rsid w:val="003B0ADA"/>
    <w:rsid w:val="003B0ADD"/>
    <w:rsid w:val="003B0D3A"/>
    <w:rsid w:val="003B12E1"/>
    <w:rsid w:val="003B172A"/>
    <w:rsid w:val="003B1968"/>
    <w:rsid w:val="003B1B47"/>
    <w:rsid w:val="003B1B87"/>
    <w:rsid w:val="003B1E95"/>
    <w:rsid w:val="003B1FE7"/>
    <w:rsid w:val="003B2302"/>
    <w:rsid w:val="003B23C5"/>
    <w:rsid w:val="003B27F6"/>
    <w:rsid w:val="003B2932"/>
    <w:rsid w:val="003B2A75"/>
    <w:rsid w:val="003B2BBB"/>
    <w:rsid w:val="003B309E"/>
    <w:rsid w:val="003B319A"/>
    <w:rsid w:val="003B32B2"/>
    <w:rsid w:val="003B3F11"/>
    <w:rsid w:val="003B3FFE"/>
    <w:rsid w:val="003B406B"/>
    <w:rsid w:val="003B40AC"/>
    <w:rsid w:val="003B43EC"/>
    <w:rsid w:val="003B4503"/>
    <w:rsid w:val="003B4549"/>
    <w:rsid w:val="003B48F3"/>
    <w:rsid w:val="003B4950"/>
    <w:rsid w:val="003B49B2"/>
    <w:rsid w:val="003B4AAE"/>
    <w:rsid w:val="003B4BF4"/>
    <w:rsid w:val="003B4D0A"/>
    <w:rsid w:val="003B4F69"/>
    <w:rsid w:val="003B5A91"/>
    <w:rsid w:val="003B5F09"/>
    <w:rsid w:val="003B6124"/>
    <w:rsid w:val="003B65BC"/>
    <w:rsid w:val="003B6A89"/>
    <w:rsid w:val="003B6D57"/>
    <w:rsid w:val="003B6E4D"/>
    <w:rsid w:val="003B7068"/>
    <w:rsid w:val="003B76DA"/>
    <w:rsid w:val="003B7960"/>
    <w:rsid w:val="003B79DE"/>
    <w:rsid w:val="003C00B4"/>
    <w:rsid w:val="003C045C"/>
    <w:rsid w:val="003C0760"/>
    <w:rsid w:val="003C07B8"/>
    <w:rsid w:val="003C0856"/>
    <w:rsid w:val="003C08C5"/>
    <w:rsid w:val="003C0908"/>
    <w:rsid w:val="003C093A"/>
    <w:rsid w:val="003C0BF4"/>
    <w:rsid w:val="003C0C7A"/>
    <w:rsid w:val="003C0E42"/>
    <w:rsid w:val="003C14B0"/>
    <w:rsid w:val="003C1A4D"/>
    <w:rsid w:val="003C1CA1"/>
    <w:rsid w:val="003C1ECF"/>
    <w:rsid w:val="003C2076"/>
    <w:rsid w:val="003C2090"/>
    <w:rsid w:val="003C21FF"/>
    <w:rsid w:val="003C2259"/>
    <w:rsid w:val="003C2A0A"/>
    <w:rsid w:val="003C2FB5"/>
    <w:rsid w:val="003C30FA"/>
    <w:rsid w:val="003C3353"/>
    <w:rsid w:val="003C3357"/>
    <w:rsid w:val="003C37FC"/>
    <w:rsid w:val="003C3DB5"/>
    <w:rsid w:val="003C3E1D"/>
    <w:rsid w:val="003C48AC"/>
    <w:rsid w:val="003C50DF"/>
    <w:rsid w:val="003C5345"/>
    <w:rsid w:val="003C6064"/>
    <w:rsid w:val="003C6089"/>
    <w:rsid w:val="003C6216"/>
    <w:rsid w:val="003C630C"/>
    <w:rsid w:val="003C6EA5"/>
    <w:rsid w:val="003C72AC"/>
    <w:rsid w:val="003C7510"/>
    <w:rsid w:val="003C7973"/>
    <w:rsid w:val="003C7A61"/>
    <w:rsid w:val="003C7DD1"/>
    <w:rsid w:val="003C7E02"/>
    <w:rsid w:val="003C7F42"/>
    <w:rsid w:val="003D06BD"/>
    <w:rsid w:val="003D097B"/>
    <w:rsid w:val="003D0DF6"/>
    <w:rsid w:val="003D1057"/>
    <w:rsid w:val="003D1382"/>
    <w:rsid w:val="003D1813"/>
    <w:rsid w:val="003D1B25"/>
    <w:rsid w:val="003D1E82"/>
    <w:rsid w:val="003D2467"/>
    <w:rsid w:val="003D24C5"/>
    <w:rsid w:val="003D29BC"/>
    <w:rsid w:val="003D2BB4"/>
    <w:rsid w:val="003D32A9"/>
    <w:rsid w:val="003D3829"/>
    <w:rsid w:val="003D3E3E"/>
    <w:rsid w:val="003D4594"/>
    <w:rsid w:val="003D48D6"/>
    <w:rsid w:val="003D4AC4"/>
    <w:rsid w:val="003D4FB4"/>
    <w:rsid w:val="003D5433"/>
    <w:rsid w:val="003D5481"/>
    <w:rsid w:val="003D5D03"/>
    <w:rsid w:val="003D5D7D"/>
    <w:rsid w:val="003D63B7"/>
    <w:rsid w:val="003D6777"/>
    <w:rsid w:val="003D6869"/>
    <w:rsid w:val="003D71FB"/>
    <w:rsid w:val="003D7385"/>
    <w:rsid w:val="003D74C5"/>
    <w:rsid w:val="003D78DB"/>
    <w:rsid w:val="003D78FB"/>
    <w:rsid w:val="003D7A89"/>
    <w:rsid w:val="003D7BB9"/>
    <w:rsid w:val="003E0882"/>
    <w:rsid w:val="003E08EC"/>
    <w:rsid w:val="003E0EC3"/>
    <w:rsid w:val="003E0F2F"/>
    <w:rsid w:val="003E1235"/>
    <w:rsid w:val="003E15CA"/>
    <w:rsid w:val="003E25BF"/>
    <w:rsid w:val="003E25EA"/>
    <w:rsid w:val="003E2AEB"/>
    <w:rsid w:val="003E2BCF"/>
    <w:rsid w:val="003E2FB8"/>
    <w:rsid w:val="003E31B0"/>
    <w:rsid w:val="003E3510"/>
    <w:rsid w:val="003E352E"/>
    <w:rsid w:val="003E35B6"/>
    <w:rsid w:val="003E390D"/>
    <w:rsid w:val="003E4374"/>
    <w:rsid w:val="003E468B"/>
    <w:rsid w:val="003E4EC4"/>
    <w:rsid w:val="003E5380"/>
    <w:rsid w:val="003E5463"/>
    <w:rsid w:val="003E556F"/>
    <w:rsid w:val="003E5BA9"/>
    <w:rsid w:val="003E62BD"/>
    <w:rsid w:val="003E658D"/>
    <w:rsid w:val="003E6BBF"/>
    <w:rsid w:val="003E7278"/>
    <w:rsid w:val="003E79B8"/>
    <w:rsid w:val="003F0024"/>
    <w:rsid w:val="003F044F"/>
    <w:rsid w:val="003F0C3A"/>
    <w:rsid w:val="003F0F69"/>
    <w:rsid w:val="003F124C"/>
    <w:rsid w:val="003F1492"/>
    <w:rsid w:val="003F15B4"/>
    <w:rsid w:val="003F15F0"/>
    <w:rsid w:val="003F2216"/>
    <w:rsid w:val="003F2AA1"/>
    <w:rsid w:val="003F2AD9"/>
    <w:rsid w:val="003F2AE7"/>
    <w:rsid w:val="003F3008"/>
    <w:rsid w:val="003F3228"/>
    <w:rsid w:val="003F329B"/>
    <w:rsid w:val="003F3374"/>
    <w:rsid w:val="003F34CF"/>
    <w:rsid w:val="003F34D0"/>
    <w:rsid w:val="003F3571"/>
    <w:rsid w:val="003F3B91"/>
    <w:rsid w:val="003F41CE"/>
    <w:rsid w:val="003F4928"/>
    <w:rsid w:val="003F4A71"/>
    <w:rsid w:val="003F4D07"/>
    <w:rsid w:val="003F4E70"/>
    <w:rsid w:val="003F511E"/>
    <w:rsid w:val="003F5306"/>
    <w:rsid w:val="003F5527"/>
    <w:rsid w:val="003F5C8C"/>
    <w:rsid w:val="003F5F3B"/>
    <w:rsid w:val="003F601C"/>
    <w:rsid w:val="003F61A5"/>
    <w:rsid w:val="003F63CE"/>
    <w:rsid w:val="003F689E"/>
    <w:rsid w:val="003F6A58"/>
    <w:rsid w:val="003F71E4"/>
    <w:rsid w:val="003F73C5"/>
    <w:rsid w:val="003F765F"/>
    <w:rsid w:val="003F775A"/>
    <w:rsid w:val="003F7D73"/>
    <w:rsid w:val="00400181"/>
    <w:rsid w:val="00400D2D"/>
    <w:rsid w:val="00400E55"/>
    <w:rsid w:val="00400FA1"/>
    <w:rsid w:val="0040103E"/>
    <w:rsid w:val="0040118E"/>
    <w:rsid w:val="00401244"/>
    <w:rsid w:val="0040128E"/>
    <w:rsid w:val="00401640"/>
    <w:rsid w:val="004016E4"/>
    <w:rsid w:val="00401D69"/>
    <w:rsid w:val="00401ED1"/>
    <w:rsid w:val="0040216B"/>
    <w:rsid w:val="00402370"/>
    <w:rsid w:val="00402CD6"/>
    <w:rsid w:val="00404330"/>
    <w:rsid w:val="004043CA"/>
    <w:rsid w:val="00404852"/>
    <w:rsid w:val="00404B93"/>
    <w:rsid w:val="004056E7"/>
    <w:rsid w:val="0040590E"/>
    <w:rsid w:val="00405974"/>
    <w:rsid w:val="00405F56"/>
    <w:rsid w:val="00406476"/>
    <w:rsid w:val="004064E9"/>
    <w:rsid w:val="00406664"/>
    <w:rsid w:val="00406947"/>
    <w:rsid w:val="00406AC7"/>
    <w:rsid w:val="00406E0D"/>
    <w:rsid w:val="00407296"/>
    <w:rsid w:val="004074D9"/>
    <w:rsid w:val="00407CC8"/>
    <w:rsid w:val="00407E22"/>
    <w:rsid w:val="00407EAC"/>
    <w:rsid w:val="00410A2C"/>
    <w:rsid w:val="00410A97"/>
    <w:rsid w:val="00410C8E"/>
    <w:rsid w:val="00410F92"/>
    <w:rsid w:val="0041108C"/>
    <w:rsid w:val="004113DB"/>
    <w:rsid w:val="00411A80"/>
    <w:rsid w:val="00412252"/>
    <w:rsid w:val="0041232F"/>
    <w:rsid w:val="00412843"/>
    <w:rsid w:val="00412966"/>
    <w:rsid w:val="00412E44"/>
    <w:rsid w:val="00412FC6"/>
    <w:rsid w:val="004139B7"/>
    <w:rsid w:val="004139D2"/>
    <w:rsid w:val="00414800"/>
    <w:rsid w:val="00414F0C"/>
    <w:rsid w:val="00414FF6"/>
    <w:rsid w:val="00415BE0"/>
    <w:rsid w:val="00416649"/>
    <w:rsid w:val="004167CA"/>
    <w:rsid w:val="00416D1B"/>
    <w:rsid w:val="0041748B"/>
    <w:rsid w:val="0041785E"/>
    <w:rsid w:val="00417E8B"/>
    <w:rsid w:val="004202A8"/>
    <w:rsid w:val="00420400"/>
    <w:rsid w:val="00420C6D"/>
    <w:rsid w:val="0042104D"/>
    <w:rsid w:val="0042109F"/>
    <w:rsid w:val="00422544"/>
    <w:rsid w:val="004228A6"/>
    <w:rsid w:val="00422E2C"/>
    <w:rsid w:val="00423590"/>
    <w:rsid w:val="00423882"/>
    <w:rsid w:val="00423A0A"/>
    <w:rsid w:val="00423B41"/>
    <w:rsid w:val="00423E04"/>
    <w:rsid w:val="00423E78"/>
    <w:rsid w:val="00424149"/>
    <w:rsid w:val="00424163"/>
    <w:rsid w:val="00424338"/>
    <w:rsid w:val="00425162"/>
    <w:rsid w:val="004252EC"/>
    <w:rsid w:val="00425A30"/>
    <w:rsid w:val="00425C90"/>
    <w:rsid w:val="00425E5D"/>
    <w:rsid w:val="00425EF9"/>
    <w:rsid w:val="0042615F"/>
    <w:rsid w:val="004262FB"/>
    <w:rsid w:val="00426687"/>
    <w:rsid w:val="00426C8A"/>
    <w:rsid w:val="00427358"/>
    <w:rsid w:val="00427859"/>
    <w:rsid w:val="0043024A"/>
    <w:rsid w:val="00430D39"/>
    <w:rsid w:val="00431096"/>
    <w:rsid w:val="00431C33"/>
    <w:rsid w:val="00431C60"/>
    <w:rsid w:val="00431F74"/>
    <w:rsid w:val="0043325D"/>
    <w:rsid w:val="00433CF9"/>
    <w:rsid w:val="00433E77"/>
    <w:rsid w:val="00433EB6"/>
    <w:rsid w:val="00434ADE"/>
    <w:rsid w:val="004352CC"/>
    <w:rsid w:val="004357BE"/>
    <w:rsid w:val="004357DE"/>
    <w:rsid w:val="00435C79"/>
    <w:rsid w:val="00435C8F"/>
    <w:rsid w:val="00435DFF"/>
    <w:rsid w:val="00435E5F"/>
    <w:rsid w:val="0043604D"/>
    <w:rsid w:val="00436868"/>
    <w:rsid w:val="004371CA"/>
    <w:rsid w:val="0043790F"/>
    <w:rsid w:val="00437C9C"/>
    <w:rsid w:val="00437CAC"/>
    <w:rsid w:val="004400D1"/>
    <w:rsid w:val="00440108"/>
    <w:rsid w:val="004411B9"/>
    <w:rsid w:val="004411C3"/>
    <w:rsid w:val="00441730"/>
    <w:rsid w:val="0044175D"/>
    <w:rsid w:val="004417B7"/>
    <w:rsid w:val="00441B24"/>
    <w:rsid w:val="00442649"/>
    <w:rsid w:val="004426E2"/>
    <w:rsid w:val="00442A77"/>
    <w:rsid w:val="00442C74"/>
    <w:rsid w:val="00442C91"/>
    <w:rsid w:val="00442DC8"/>
    <w:rsid w:val="0044301A"/>
    <w:rsid w:val="00443068"/>
    <w:rsid w:val="0044377F"/>
    <w:rsid w:val="00443893"/>
    <w:rsid w:val="00443C8F"/>
    <w:rsid w:val="00443D4B"/>
    <w:rsid w:val="00443D94"/>
    <w:rsid w:val="00443E24"/>
    <w:rsid w:val="00443EF3"/>
    <w:rsid w:val="0044406B"/>
    <w:rsid w:val="00444201"/>
    <w:rsid w:val="00444AC0"/>
    <w:rsid w:val="00444E9D"/>
    <w:rsid w:val="00444FEA"/>
    <w:rsid w:val="004454DC"/>
    <w:rsid w:val="004455A7"/>
    <w:rsid w:val="00445E07"/>
    <w:rsid w:val="00445F90"/>
    <w:rsid w:val="00446443"/>
    <w:rsid w:val="004465BD"/>
    <w:rsid w:val="004468E1"/>
    <w:rsid w:val="00446938"/>
    <w:rsid w:val="00446EE7"/>
    <w:rsid w:val="004470CB"/>
    <w:rsid w:val="00447C00"/>
    <w:rsid w:val="00447C85"/>
    <w:rsid w:val="00447DC8"/>
    <w:rsid w:val="00447E7A"/>
    <w:rsid w:val="004503BE"/>
    <w:rsid w:val="004505E5"/>
    <w:rsid w:val="00450843"/>
    <w:rsid w:val="00450A1D"/>
    <w:rsid w:val="00450A78"/>
    <w:rsid w:val="00450D00"/>
    <w:rsid w:val="00450D89"/>
    <w:rsid w:val="00450E72"/>
    <w:rsid w:val="00450F55"/>
    <w:rsid w:val="004510F9"/>
    <w:rsid w:val="004511E6"/>
    <w:rsid w:val="0045122C"/>
    <w:rsid w:val="00451C8F"/>
    <w:rsid w:val="00451D5C"/>
    <w:rsid w:val="00451E81"/>
    <w:rsid w:val="00451F94"/>
    <w:rsid w:val="00452123"/>
    <w:rsid w:val="004523D6"/>
    <w:rsid w:val="00452426"/>
    <w:rsid w:val="004526F9"/>
    <w:rsid w:val="004528D4"/>
    <w:rsid w:val="004528FA"/>
    <w:rsid w:val="00452A6C"/>
    <w:rsid w:val="0045306D"/>
    <w:rsid w:val="0045313C"/>
    <w:rsid w:val="004534F9"/>
    <w:rsid w:val="00453B4D"/>
    <w:rsid w:val="00453ED4"/>
    <w:rsid w:val="00453EFA"/>
    <w:rsid w:val="0045496B"/>
    <w:rsid w:val="00454B20"/>
    <w:rsid w:val="00454B98"/>
    <w:rsid w:val="00454D86"/>
    <w:rsid w:val="00454F7C"/>
    <w:rsid w:val="004551BE"/>
    <w:rsid w:val="004551FE"/>
    <w:rsid w:val="00456009"/>
    <w:rsid w:val="00456BCC"/>
    <w:rsid w:val="00456C54"/>
    <w:rsid w:val="00456E94"/>
    <w:rsid w:val="00456F0D"/>
    <w:rsid w:val="0045787D"/>
    <w:rsid w:val="00457A31"/>
    <w:rsid w:val="00457C3D"/>
    <w:rsid w:val="00460253"/>
    <w:rsid w:val="00460E5E"/>
    <w:rsid w:val="0046122F"/>
    <w:rsid w:val="00461415"/>
    <w:rsid w:val="004614C9"/>
    <w:rsid w:val="00461550"/>
    <w:rsid w:val="0046158F"/>
    <w:rsid w:val="00461961"/>
    <w:rsid w:val="00461A44"/>
    <w:rsid w:val="00462B13"/>
    <w:rsid w:val="00462B6B"/>
    <w:rsid w:val="00462D26"/>
    <w:rsid w:val="00462D2A"/>
    <w:rsid w:val="004631AA"/>
    <w:rsid w:val="004633A4"/>
    <w:rsid w:val="0046368B"/>
    <w:rsid w:val="00463768"/>
    <w:rsid w:val="0046385A"/>
    <w:rsid w:val="00463B41"/>
    <w:rsid w:val="00463EEC"/>
    <w:rsid w:val="00463FD1"/>
    <w:rsid w:val="00464039"/>
    <w:rsid w:val="00464A36"/>
    <w:rsid w:val="00464B9A"/>
    <w:rsid w:val="00465003"/>
    <w:rsid w:val="004650F8"/>
    <w:rsid w:val="0046530D"/>
    <w:rsid w:val="004656FC"/>
    <w:rsid w:val="00465BE8"/>
    <w:rsid w:val="00465E29"/>
    <w:rsid w:val="00466142"/>
    <w:rsid w:val="0046679D"/>
    <w:rsid w:val="0046687F"/>
    <w:rsid w:val="0046692C"/>
    <w:rsid w:val="00466976"/>
    <w:rsid w:val="00466ADA"/>
    <w:rsid w:val="00466EB2"/>
    <w:rsid w:val="004670AD"/>
    <w:rsid w:val="004672D0"/>
    <w:rsid w:val="004672D6"/>
    <w:rsid w:val="00467D29"/>
    <w:rsid w:val="00467D40"/>
    <w:rsid w:val="004700CB"/>
    <w:rsid w:val="004702BB"/>
    <w:rsid w:val="00470437"/>
    <w:rsid w:val="0047052D"/>
    <w:rsid w:val="00470A4E"/>
    <w:rsid w:val="00470B4C"/>
    <w:rsid w:val="00470FD5"/>
    <w:rsid w:val="004713AF"/>
    <w:rsid w:val="00471536"/>
    <w:rsid w:val="00471901"/>
    <w:rsid w:val="0047227A"/>
    <w:rsid w:val="0047230F"/>
    <w:rsid w:val="004726D4"/>
    <w:rsid w:val="00472831"/>
    <w:rsid w:val="004728B6"/>
    <w:rsid w:val="004732E4"/>
    <w:rsid w:val="0047339C"/>
    <w:rsid w:val="00473610"/>
    <w:rsid w:val="00473714"/>
    <w:rsid w:val="00473958"/>
    <w:rsid w:val="0047395F"/>
    <w:rsid w:val="00473ACE"/>
    <w:rsid w:val="00473BFE"/>
    <w:rsid w:val="00473EA4"/>
    <w:rsid w:val="0047494B"/>
    <w:rsid w:val="004749E9"/>
    <w:rsid w:val="00474A54"/>
    <w:rsid w:val="00474B2C"/>
    <w:rsid w:val="00474D98"/>
    <w:rsid w:val="004755C4"/>
    <w:rsid w:val="0047572F"/>
    <w:rsid w:val="00475FC5"/>
    <w:rsid w:val="00476245"/>
    <w:rsid w:val="0047739E"/>
    <w:rsid w:val="00477A9B"/>
    <w:rsid w:val="00477DC9"/>
    <w:rsid w:val="0048036C"/>
    <w:rsid w:val="00480444"/>
    <w:rsid w:val="004818CE"/>
    <w:rsid w:val="00481A70"/>
    <w:rsid w:val="00481D1A"/>
    <w:rsid w:val="00481F6A"/>
    <w:rsid w:val="004820A2"/>
    <w:rsid w:val="00482466"/>
    <w:rsid w:val="004826BD"/>
    <w:rsid w:val="00482AB2"/>
    <w:rsid w:val="00482AE4"/>
    <w:rsid w:val="00483035"/>
    <w:rsid w:val="0048306D"/>
    <w:rsid w:val="00483087"/>
    <w:rsid w:val="004831CA"/>
    <w:rsid w:val="0048329C"/>
    <w:rsid w:val="004833DC"/>
    <w:rsid w:val="00483740"/>
    <w:rsid w:val="0048386D"/>
    <w:rsid w:val="00483EF9"/>
    <w:rsid w:val="004849CD"/>
    <w:rsid w:val="00484C08"/>
    <w:rsid w:val="00484D87"/>
    <w:rsid w:val="00484EFA"/>
    <w:rsid w:val="00485438"/>
    <w:rsid w:val="00485703"/>
    <w:rsid w:val="004857AC"/>
    <w:rsid w:val="00485940"/>
    <w:rsid w:val="00485B2B"/>
    <w:rsid w:val="00485D3C"/>
    <w:rsid w:val="00485EA5"/>
    <w:rsid w:val="0048602E"/>
    <w:rsid w:val="004862D6"/>
    <w:rsid w:val="0048634D"/>
    <w:rsid w:val="004866CF"/>
    <w:rsid w:val="00486AA1"/>
    <w:rsid w:val="00486C95"/>
    <w:rsid w:val="00486CA0"/>
    <w:rsid w:val="00486D50"/>
    <w:rsid w:val="00487490"/>
    <w:rsid w:val="004875FF"/>
    <w:rsid w:val="004877C2"/>
    <w:rsid w:val="00487C2B"/>
    <w:rsid w:val="00487E02"/>
    <w:rsid w:val="00487EB5"/>
    <w:rsid w:val="00487F09"/>
    <w:rsid w:val="00490021"/>
    <w:rsid w:val="00490112"/>
    <w:rsid w:val="004904B9"/>
    <w:rsid w:val="004904E3"/>
    <w:rsid w:val="004909B9"/>
    <w:rsid w:val="00490B45"/>
    <w:rsid w:val="00490F52"/>
    <w:rsid w:val="004912FD"/>
    <w:rsid w:val="004914ED"/>
    <w:rsid w:val="004915F4"/>
    <w:rsid w:val="00491C32"/>
    <w:rsid w:val="00491D4F"/>
    <w:rsid w:val="00491EDC"/>
    <w:rsid w:val="0049248B"/>
    <w:rsid w:val="00492720"/>
    <w:rsid w:val="004928E1"/>
    <w:rsid w:val="00492D8D"/>
    <w:rsid w:val="00493156"/>
    <w:rsid w:val="00493BCF"/>
    <w:rsid w:val="00493F5A"/>
    <w:rsid w:val="00494094"/>
    <w:rsid w:val="00494357"/>
    <w:rsid w:val="0049475B"/>
    <w:rsid w:val="00494DCE"/>
    <w:rsid w:val="00495438"/>
    <w:rsid w:val="00495439"/>
    <w:rsid w:val="00495531"/>
    <w:rsid w:val="00495FF3"/>
    <w:rsid w:val="00496662"/>
    <w:rsid w:val="0049677D"/>
    <w:rsid w:val="0049727D"/>
    <w:rsid w:val="004975DD"/>
    <w:rsid w:val="00497777"/>
    <w:rsid w:val="00497841"/>
    <w:rsid w:val="00497A44"/>
    <w:rsid w:val="00497F7E"/>
    <w:rsid w:val="004A0D3F"/>
    <w:rsid w:val="004A0E1D"/>
    <w:rsid w:val="004A0FAE"/>
    <w:rsid w:val="004A1112"/>
    <w:rsid w:val="004A1219"/>
    <w:rsid w:val="004A1431"/>
    <w:rsid w:val="004A1630"/>
    <w:rsid w:val="004A17A1"/>
    <w:rsid w:val="004A1BDC"/>
    <w:rsid w:val="004A202E"/>
    <w:rsid w:val="004A228C"/>
    <w:rsid w:val="004A237A"/>
    <w:rsid w:val="004A2484"/>
    <w:rsid w:val="004A2F26"/>
    <w:rsid w:val="004A34FF"/>
    <w:rsid w:val="004A36A0"/>
    <w:rsid w:val="004A3766"/>
    <w:rsid w:val="004A3919"/>
    <w:rsid w:val="004A39A0"/>
    <w:rsid w:val="004A4198"/>
    <w:rsid w:val="004A47E7"/>
    <w:rsid w:val="004A49F9"/>
    <w:rsid w:val="004A4C12"/>
    <w:rsid w:val="004A4E71"/>
    <w:rsid w:val="004A5A85"/>
    <w:rsid w:val="004A5C28"/>
    <w:rsid w:val="004A603B"/>
    <w:rsid w:val="004A61CD"/>
    <w:rsid w:val="004A63FB"/>
    <w:rsid w:val="004A6A45"/>
    <w:rsid w:val="004A6EF8"/>
    <w:rsid w:val="004A70F1"/>
    <w:rsid w:val="004A71D1"/>
    <w:rsid w:val="004A72E6"/>
    <w:rsid w:val="004A74DC"/>
    <w:rsid w:val="004A7AE0"/>
    <w:rsid w:val="004A7C5B"/>
    <w:rsid w:val="004A7E5B"/>
    <w:rsid w:val="004B01BA"/>
    <w:rsid w:val="004B0373"/>
    <w:rsid w:val="004B0C1D"/>
    <w:rsid w:val="004B0CAD"/>
    <w:rsid w:val="004B111B"/>
    <w:rsid w:val="004B17E4"/>
    <w:rsid w:val="004B1845"/>
    <w:rsid w:val="004B1BE4"/>
    <w:rsid w:val="004B1C91"/>
    <w:rsid w:val="004B2348"/>
    <w:rsid w:val="004B2B92"/>
    <w:rsid w:val="004B2E01"/>
    <w:rsid w:val="004B2E98"/>
    <w:rsid w:val="004B3A65"/>
    <w:rsid w:val="004B3AB4"/>
    <w:rsid w:val="004B4192"/>
    <w:rsid w:val="004B4554"/>
    <w:rsid w:val="004B4905"/>
    <w:rsid w:val="004B510B"/>
    <w:rsid w:val="004B52B4"/>
    <w:rsid w:val="004B5640"/>
    <w:rsid w:val="004B600C"/>
    <w:rsid w:val="004B6029"/>
    <w:rsid w:val="004B6084"/>
    <w:rsid w:val="004B63FC"/>
    <w:rsid w:val="004B6683"/>
    <w:rsid w:val="004B66FD"/>
    <w:rsid w:val="004B67EC"/>
    <w:rsid w:val="004B692B"/>
    <w:rsid w:val="004B69A6"/>
    <w:rsid w:val="004B7026"/>
    <w:rsid w:val="004B78F9"/>
    <w:rsid w:val="004B7BC9"/>
    <w:rsid w:val="004B7C66"/>
    <w:rsid w:val="004BCF29"/>
    <w:rsid w:val="004C0206"/>
    <w:rsid w:val="004C03D0"/>
    <w:rsid w:val="004C0496"/>
    <w:rsid w:val="004C06A9"/>
    <w:rsid w:val="004C0907"/>
    <w:rsid w:val="004C1445"/>
    <w:rsid w:val="004C1BD7"/>
    <w:rsid w:val="004C1BF2"/>
    <w:rsid w:val="004C2123"/>
    <w:rsid w:val="004C239C"/>
    <w:rsid w:val="004C2436"/>
    <w:rsid w:val="004C29F2"/>
    <w:rsid w:val="004C2CEB"/>
    <w:rsid w:val="004C31C4"/>
    <w:rsid w:val="004C31FE"/>
    <w:rsid w:val="004C34BF"/>
    <w:rsid w:val="004C35A9"/>
    <w:rsid w:val="004C371B"/>
    <w:rsid w:val="004C3832"/>
    <w:rsid w:val="004C3870"/>
    <w:rsid w:val="004C3A1D"/>
    <w:rsid w:val="004C4BE5"/>
    <w:rsid w:val="004C51E8"/>
    <w:rsid w:val="004C524C"/>
    <w:rsid w:val="004C53B7"/>
    <w:rsid w:val="004C5651"/>
    <w:rsid w:val="004C5CCF"/>
    <w:rsid w:val="004C5D59"/>
    <w:rsid w:val="004C5EDD"/>
    <w:rsid w:val="004C5FFA"/>
    <w:rsid w:val="004C6380"/>
    <w:rsid w:val="004C6614"/>
    <w:rsid w:val="004C6844"/>
    <w:rsid w:val="004C691D"/>
    <w:rsid w:val="004C6C07"/>
    <w:rsid w:val="004C6DE0"/>
    <w:rsid w:val="004C7D51"/>
    <w:rsid w:val="004C7E15"/>
    <w:rsid w:val="004C7EC6"/>
    <w:rsid w:val="004D04BA"/>
    <w:rsid w:val="004D073C"/>
    <w:rsid w:val="004D162B"/>
    <w:rsid w:val="004D1AE7"/>
    <w:rsid w:val="004D1CF8"/>
    <w:rsid w:val="004D1F3C"/>
    <w:rsid w:val="004D21B0"/>
    <w:rsid w:val="004D21BC"/>
    <w:rsid w:val="004D2AD5"/>
    <w:rsid w:val="004D2BCC"/>
    <w:rsid w:val="004D2CD1"/>
    <w:rsid w:val="004D2D0A"/>
    <w:rsid w:val="004D2DE1"/>
    <w:rsid w:val="004D2FA3"/>
    <w:rsid w:val="004D3070"/>
    <w:rsid w:val="004D34CB"/>
    <w:rsid w:val="004D365C"/>
    <w:rsid w:val="004D37FD"/>
    <w:rsid w:val="004D38FD"/>
    <w:rsid w:val="004D3920"/>
    <w:rsid w:val="004D3CFF"/>
    <w:rsid w:val="004D3DDD"/>
    <w:rsid w:val="004D4116"/>
    <w:rsid w:val="004D4143"/>
    <w:rsid w:val="004D41BC"/>
    <w:rsid w:val="004D43D7"/>
    <w:rsid w:val="004D47F2"/>
    <w:rsid w:val="004D4FF6"/>
    <w:rsid w:val="004D5487"/>
    <w:rsid w:val="004D583B"/>
    <w:rsid w:val="004D5950"/>
    <w:rsid w:val="004D59C1"/>
    <w:rsid w:val="004D5ADD"/>
    <w:rsid w:val="004D5EBB"/>
    <w:rsid w:val="004D644B"/>
    <w:rsid w:val="004D6627"/>
    <w:rsid w:val="004D6A30"/>
    <w:rsid w:val="004D6F68"/>
    <w:rsid w:val="004D7008"/>
    <w:rsid w:val="004D73E5"/>
    <w:rsid w:val="004D78E8"/>
    <w:rsid w:val="004D790C"/>
    <w:rsid w:val="004D7D26"/>
    <w:rsid w:val="004D7D2D"/>
    <w:rsid w:val="004D7E51"/>
    <w:rsid w:val="004E0161"/>
    <w:rsid w:val="004E0602"/>
    <w:rsid w:val="004E07EB"/>
    <w:rsid w:val="004E0CC3"/>
    <w:rsid w:val="004E0FF4"/>
    <w:rsid w:val="004E182A"/>
    <w:rsid w:val="004E1AA1"/>
    <w:rsid w:val="004E1B0E"/>
    <w:rsid w:val="004E1F7C"/>
    <w:rsid w:val="004E250E"/>
    <w:rsid w:val="004E2D73"/>
    <w:rsid w:val="004E2DFF"/>
    <w:rsid w:val="004E3146"/>
    <w:rsid w:val="004E382C"/>
    <w:rsid w:val="004E3951"/>
    <w:rsid w:val="004E436A"/>
    <w:rsid w:val="004E46B9"/>
    <w:rsid w:val="004E488C"/>
    <w:rsid w:val="004E5902"/>
    <w:rsid w:val="004E59EE"/>
    <w:rsid w:val="004E633E"/>
    <w:rsid w:val="004E6744"/>
    <w:rsid w:val="004E692D"/>
    <w:rsid w:val="004E69A3"/>
    <w:rsid w:val="004E6B6D"/>
    <w:rsid w:val="004E6D8B"/>
    <w:rsid w:val="004E709B"/>
    <w:rsid w:val="004E7230"/>
    <w:rsid w:val="004E729C"/>
    <w:rsid w:val="004E7C24"/>
    <w:rsid w:val="004E7D87"/>
    <w:rsid w:val="004E7EA5"/>
    <w:rsid w:val="004F0AE7"/>
    <w:rsid w:val="004F0BFE"/>
    <w:rsid w:val="004F0ECB"/>
    <w:rsid w:val="004F0EFE"/>
    <w:rsid w:val="004F148F"/>
    <w:rsid w:val="004F1568"/>
    <w:rsid w:val="004F21A9"/>
    <w:rsid w:val="004F2553"/>
    <w:rsid w:val="004F28E8"/>
    <w:rsid w:val="004F291F"/>
    <w:rsid w:val="004F306A"/>
    <w:rsid w:val="004F32C7"/>
    <w:rsid w:val="004F3695"/>
    <w:rsid w:val="004F3739"/>
    <w:rsid w:val="004F39F8"/>
    <w:rsid w:val="004F3B03"/>
    <w:rsid w:val="004F3BD1"/>
    <w:rsid w:val="004F406A"/>
    <w:rsid w:val="004F42FC"/>
    <w:rsid w:val="004F45F5"/>
    <w:rsid w:val="004F4D3D"/>
    <w:rsid w:val="004F5315"/>
    <w:rsid w:val="004F55C7"/>
    <w:rsid w:val="004F625E"/>
    <w:rsid w:val="004F6753"/>
    <w:rsid w:val="004F6CFF"/>
    <w:rsid w:val="004F7293"/>
    <w:rsid w:val="004F7A56"/>
    <w:rsid w:val="004F7F53"/>
    <w:rsid w:val="004F7FA1"/>
    <w:rsid w:val="005002CD"/>
    <w:rsid w:val="00500311"/>
    <w:rsid w:val="00500442"/>
    <w:rsid w:val="0050048B"/>
    <w:rsid w:val="00500C9A"/>
    <w:rsid w:val="00500FB5"/>
    <w:rsid w:val="00501002"/>
    <w:rsid w:val="0050124C"/>
    <w:rsid w:val="005013D5"/>
    <w:rsid w:val="00501554"/>
    <w:rsid w:val="0050176E"/>
    <w:rsid w:val="00501954"/>
    <w:rsid w:val="00501B38"/>
    <w:rsid w:val="00502176"/>
    <w:rsid w:val="005024E8"/>
    <w:rsid w:val="00502AFE"/>
    <w:rsid w:val="00502D9C"/>
    <w:rsid w:val="00502E64"/>
    <w:rsid w:val="00503326"/>
    <w:rsid w:val="00503AD7"/>
    <w:rsid w:val="00503AE3"/>
    <w:rsid w:val="00503D9E"/>
    <w:rsid w:val="00503E89"/>
    <w:rsid w:val="00504019"/>
    <w:rsid w:val="00504044"/>
    <w:rsid w:val="00504079"/>
    <w:rsid w:val="0050483E"/>
    <w:rsid w:val="00504CDF"/>
    <w:rsid w:val="00504E0C"/>
    <w:rsid w:val="00504E13"/>
    <w:rsid w:val="00504EA1"/>
    <w:rsid w:val="00504F51"/>
    <w:rsid w:val="005054A5"/>
    <w:rsid w:val="0050557A"/>
    <w:rsid w:val="00505BCD"/>
    <w:rsid w:val="00505C76"/>
    <w:rsid w:val="00506411"/>
    <w:rsid w:val="00506497"/>
    <w:rsid w:val="005066B4"/>
    <w:rsid w:val="00506966"/>
    <w:rsid w:val="00506AE4"/>
    <w:rsid w:val="00506BC7"/>
    <w:rsid w:val="0050735E"/>
    <w:rsid w:val="005077F7"/>
    <w:rsid w:val="00507C29"/>
    <w:rsid w:val="005109D4"/>
    <w:rsid w:val="00510B83"/>
    <w:rsid w:val="00510BE2"/>
    <w:rsid w:val="00510CD2"/>
    <w:rsid w:val="00510F46"/>
    <w:rsid w:val="00511452"/>
    <w:rsid w:val="00511BCE"/>
    <w:rsid w:val="00511E45"/>
    <w:rsid w:val="005120C1"/>
    <w:rsid w:val="005121D2"/>
    <w:rsid w:val="0051230A"/>
    <w:rsid w:val="0051230E"/>
    <w:rsid w:val="005127C6"/>
    <w:rsid w:val="00512AF6"/>
    <w:rsid w:val="00512EB4"/>
    <w:rsid w:val="00512F10"/>
    <w:rsid w:val="005130B5"/>
    <w:rsid w:val="0051358C"/>
    <w:rsid w:val="00513698"/>
    <w:rsid w:val="00513E86"/>
    <w:rsid w:val="0051419B"/>
    <w:rsid w:val="00514540"/>
    <w:rsid w:val="00514CD7"/>
    <w:rsid w:val="00514DF5"/>
    <w:rsid w:val="0051578D"/>
    <w:rsid w:val="00515DDB"/>
    <w:rsid w:val="005166CF"/>
    <w:rsid w:val="00516718"/>
    <w:rsid w:val="005167EC"/>
    <w:rsid w:val="00516C85"/>
    <w:rsid w:val="005170DA"/>
    <w:rsid w:val="005172B6"/>
    <w:rsid w:val="0051785F"/>
    <w:rsid w:val="005179B4"/>
    <w:rsid w:val="00520400"/>
    <w:rsid w:val="00520599"/>
    <w:rsid w:val="00520698"/>
    <w:rsid w:val="005208B1"/>
    <w:rsid w:val="005208EA"/>
    <w:rsid w:val="005208EE"/>
    <w:rsid w:val="005209D3"/>
    <w:rsid w:val="00520AE1"/>
    <w:rsid w:val="00520D6A"/>
    <w:rsid w:val="00520EED"/>
    <w:rsid w:val="0052118E"/>
    <w:rsid w:val="005215EB"/>
    <w:rsid w:val="0052197F"/>
    <w:rsid w:val="005222A0"/>
    <w:rsid w:val="005225BF"/>
    <w:rsid w:val="00522DB6"/>
    <w:rsid w:val="00523133"/>
    <w:rsid w:val="005232FE"/>
    <w:rsid w:val="00523343"/>
    <w:rsid w:val="0052394D"/>
    <w:rsid w:val="00523F53"/>
    <w:rsid w:val="0052410D"/>
    <w:rsid w:val="00524194"/>
    <w:rsid w:val="00524DCF"/>
    <w:rsid w:val="00524F57"/>
    <w:rsid w:val="005252CF"/>
    <w:rsid w:val="005257CA"/>
    <w:rsid w:val="005259FE"/>
    <w:rsid w:val="00525C4E"/>
    <w:rsid w:val="00525FEF"/>
    <w:rsid w:val="005264A7"/>
    <w:rsid w:val="00526A2B"/>
    <w:rsid w:val="00526B55"/>
    <w:rsid w:val="00526B84"/>
    <w:rsid w:val="00526C7C"/>
    <w:rsid w:val="0052792D"/>
    <w:rsid w:val="00527CB5"/>
    <w:rsid w:val="00530259"/>
    <w:rsid w:val="0053027A"/>
    <w:rsid w:val="0053155F"/>
    <w:rsid w:val="005319B2"/>
    <w:rsid w:val="00531C04"/>
    <w:rsid w:val="00531F6C"/>
    <w:rsid w:val="005320AF"/>
    <w:rsid w:val="00532402"/>
    <w:rsid w:val="00532A7B"/>
    <w:rsid w:val="00532C74"/>
    <w:rsid w:val="005331CB"/>
    <w:rsid w:val="00533239"/>
    <w:rsid w:val="00533A46"/>
    <w:rsid w:val="00533A4F"/>
    <w:rsid w:val="00534ABF"/>
    <w:rsid w:val="00534E2E"/>
    <w:rsid w:val="00535133"/>
    <w:rsid w:val="00535BCC"/>
    <w:rsid w:val="00536877"/>
    <w:rsid w:val="005375A9"/>
    <w:rsid w:val="005376BF"/>
    <w:rsid w:val="00537B67"/>
    <w:rsid w:val="00537D02"/>
    <w:rsid w:val="00540505"/>
    <w:rsid w:val="0054064C"/>
    <w:rsid w:val="00541329"/>
    <w:rsid w:val="0054188A"/>
    <w:rsid w:val="00541A87"/>
    <w:rsid w:val="00542727"/>
    <w:rsid w:val="0054279C"/>
    <w:rsid w:val="0054280E"/>
    <w:rsid w:val="0054286D"/>
    <w:rsid w:val="00542932"/>
    <w:rsid w:val="00542BDB"/>
    <w:rsid w:val="00543407"/>
    <w:rsid w:val="00543932"/>
    <w:rsid w:val="00543B54"/>
    <w:rsid w:val="00543EA4"/>
    <w:rsid w:val="00544552"/>
    <w:rsid w:val="0054464A"/>
    <w:rsid w:val="00544A57"/>
    <w:rsid w:val="00544FD8"/>
    <w:rsid w:val="00545130"/>
    <w:rsid w:val="00545163"/>
    <w:rsid w:val="005455E0"/>
    <w:rsid w:val="00545B85"/>
    <w:rsid w:val="00545BEA"/>
    <w:rsid w:val="00545E78"/>
    <w:rsid w:val="00546369"/>
    <w:rsid w:val="005469E4"/>
    <w:rsid w:val="00546B36"/>
    <w:rsid w:val="00546D83"/>
    <w:rsid w:val="00547396"/>
    <w:rsid w:val="005476F4"/>
    <w:rsid w:val="00547B76"/>
    <w:rsid w:val="00550FC6"/>
    <w:rsid w:val="00551146"/>
    <w:rsid w:val="00551973"/>
    <w:rsid w:val="00551998"/>
    <w:rsid w:val="0055286A"/>
    <w:rsid w:val="00552E89"/>
    <w:rsid w:val="00552EAF"/>
    <w:rsid w:val="00553080"/>
    <w:rsid w:val="0055340A"/>
    <w:rsid w:val="00553618"/>
    <w:rsid w:val="00553724"/>
    <w:rsid w:val="00553B44"/>
    <w:rsid w:val="00554593"/>
    <w:rsid w:val="005545FD"/>
    <w:rsid w:val="00554E96"/>
    <w:rsid w:val="0055564A"/>
    <w:rsid w:val="00555724"/>
    <w:rsid w:val="00555745"/>
    <w:rsid w:val="0055580C"/>
    <w:rsid w:val="00555B32"/>
    <w:rsid w:val="00555F05"/>
    <w:rsid w:val="005561A6"/>
    <w:rsid w:val="00556579"/>
    <w:rsid w:val="00556751"/>
    <w:rsid w:val="005568F5"/>
    <w:rsid w:val="00556F21"/>
    <w:rsid w:val="00556F3B"/>
    <w:rsid w:val="00556FAF"/>
    <w:rsid w:val="005571BE"/>
    <w:rsid w:val="005572F8"/>
    <w:rsid w:val="00557375"/>
    <w:rsid w:val="00557D4F"/>
    <w:rsid w:val="005601C4"/>
    <w:rsid w:val="005603E3"/>
    <w:rsid w:val="0056076E"/>
    <w:rsid w:val="00560DAE"/>
    <w:rsid w:val="00560E73"/>
    <w:rsid w:val="00560EDB"/>
    <w:rsid w:val="00561160"/>
    <w:rsid w:val="0056122E"/>
    <w:rsid w:val="00561334"/>
    <w:rsid w:val="00561671"/>
    <w:rsid w:val="0056192A"/>
    <w:rsid w:val="00561A43"/>
    <w:rsid w:val="00562077"/>
    <w:rsid w:val="00562275"/>
    <w:rsid w:val="00562296"/>
    <w:rsid w:val="00562ABE"/>
    <w:rsid w:val="00562D46"/>
    <w:rsid w:val="00563989"/>
    <w:rsid w:val="00563A2F"/>
    <w:rsid w:val="00563EC5"/>
    <w:rsid w:val="00563F9B"/>
    <w:rsid w:val="005642F2"/>
    <w:rsid w:val="005642F7"/>
    <w:rsid w:val="005644BC"/>
    <w:rsid w:val="0056484C"/>
    <w:rsid w:val="0056484E"/>
    <w:rsid w:val="00564C48"/>
    <w:rsid w:val="005651C1"/>
    <w:rsid w:val="00565314"/>
    <w:rsid w:val="00565480"/>
    <w:rsid w:val="00565500"/>
    <w:rsid w:val="00565999"/>
    <w:rsid w:val="00565B8D"/>
    <w:rsid w:val="00565D3C"/>
    <w:rsid w:val="00565F8E"/>
    <w:rsid w:val="0056647D"/>
    <w:rsid w:val="00566A58"/>
    <w:rsid w:val="00566B0A"/>
    <w:rsid w:val="00566E83"/>
    <w:rsid w:val="00566F3E"/>
    <w:rsid w:val="00567709"/>
    <w:rsid w:val="005678BD"/>
    <w:rsid w:val="00567C98"/>
    <w:rsid w:val="00567CCD"/>
    <w:rsid w:val="00567D8A"/>
    <w:rsid w:val="00567DBC"/>
    <w:rsid w:val="00570231"/>
    <w:rsid w:val="00570A0A"/>
    <w:rsid w:val="00570ABA"/>
    <w:rsid w:val="00570C92"/>
    <w:rsid w:val="0057106D"/>
    <w:rsid w:val="00571115"/>
    <w:rsid w:val="005714B7"/>
    <w:rsid w:val="005714CB"/>
    <w:rsid w:val="00571898"/>
    <w:rsid w:val="005719E1"/>
    <w:rsid w:val="005721C8"/>
    <w:rsid w:val="00572557"/>
    <w:rsid w:val="0057278F"/>
    <w:rsid w:val="005728B2"/>
    <w:rsid w:val="0057330D"/>
    <w:rsid w:val="005738D4"/>
    <w:rsid w:val="00573B0F"/>
    <w:rsid w:val="00573B50"/>
    <w:rsid w:val="00573EB2"/>
    <w:rsid w:val="005740DD"/>
    <w:rsid w:val="0057419C"/>
    <w:rsid w:val="00574348"/>
    <w:rsid w:val="005751F6"/>
    <w:rsid w:val="00575A22"/>
    <w:rsid w:val="00575A5D"/>
    <w:rsid w:val="00575FD5"/>
    <w:rsid w:val="005760B4"/>
    <w:rsid w:val="005761F3"/>
    <w:rsid w:val="0057629C"/>
    <w:rsid w:val="00576312"/>
    <w:rsid w:val="005764CD"/>
    <w:rsid w:val="005764EC"/>
    <w:rsid w:val="00576DB5"/>
    <w:rsid w:val="00577699"/>
    <w:rsid w:val="00577C4D"/>
    <w:rsid w:val="00577C53"/>
    <w:rsid w:val="00580532"/>
    <w:rsid w:val="00580DE5"/>
    <w:rsid w:val="005817E9"/>
    <w:rsid w:val="00581932"/>
    <w:rsid w:val="00581AA6"/>
    <w:rsid w:val="0058221B"/>
    <w:rsid w:val="00582323"/>
    <w:rsid w:val="0058234F"/>
    <w:rsid w:val="005828B3"/>
    <w:rsid w:val="005829D9"/>
    <w:rsid w:val="00583002"/>
    <w:rsid w:val="005836F0"/>
    <w:rsid w:val="0058371B"/>
    <w:rsid w:val="00583C5A"/>
    <w:rsid w:val="00583FB0"/>
    <w:rsid w:val="00584BB4"/>
    <w:rsid w:val="0058523B"/>
    <w:rsid w:val="0058535A"/>
    <w:rsid w:val="005853F7"/>
    <w:rsid w:val="00586214"/>
    <w:rsid w:val="00586367"/>
    <w:rsid w:val="00586AEB"/>
    <w:rsid w:val="00586AFC"/>
    <w:rsid w:val="00586B3E"/>
    <w:rsid w:val="00587541"/>
    <w:rsid w:val="00587DF1"/>
    <w:rsid w:val="005900F7"/>
    <w:rsid w:val="005903BB"/>
    <w:rsid w:val="0059073C"/>
    <w:rsid w:val="00590913"/>
    <w:rsid w:val="00590E9D"/>
    <w:rsid w:val="00591DDD"/>
    <w:rsid w:val="00592CE6"/>
    <w:rsid w:val="00593893"/>
    <w:rsid w:val="00594072"/>
    <w:rsid w:val="005940E4"/>
    <w:rsid w:val="00594576"/>
    <w:rsid w:val="00594D77"/>
    <w:rsid w:val="00594D8C"/>
    <w:rsid w:val="0059533E"/>
    <w:rsid w:val="005958A0"/>
    <w:rsid w:val="00596014"/>
    <w:rsid w:val="005960C8"/>
    <w:rsid w:val="005963BB"/>
    <w:rsid w:val="0059645C"/>
    <w:rsid w:val="005965D9"/>
    <w:rsid w:val="00596642"/>
    <w:rsid w:val="005969A4"/>
    <w:rsid w:val="00596AD9"/>
    <w:rsid w:val="00596D05"/>
    <w:rsid w:val="00596D37"/>
    <w:rsid w:val="00596F01"/>
    <w:rsid w:val="005973ED"/>
    <w:rsid w:val="00597F02"/>
    <w:rsid w:val="005A0E89"/>
    <w:rsid w:val="005A0F6C"/>
    <w:rsid w:val="005A11AE"/>
    <w:rsid w:val="005A1530"/>
    <w:rsid w:val="005A15D2"/>
    <w:rsid w:val="005A1659"/>
    <w:rsid w:val="005A1873"/>
    <w:rsid w:val="005A1CD0"/>
    <w:rsid w:val="005A25A2"/>
    <w:rsid w:val="005A29BA"/>
    <w:rsid w:val="005A2B68"/>
    <w:rsid w:val="005A2EF8"/>
    <w:rsid w:val="005A3173"/>
    <w:rsid w:val="005A3223"/>
    <w:rsid w:val="005A34D1"/>
    <w:rsid w:val="005A367B"/>
    <w:rsid w:val="005A3720"/>
    <w:rsid w:val="005A38C0"/>
    <w:rsid w:val="005A3CC9"/>
    <w:rsid w:val="005A3DA3"/>
    <w:rsid w:val="005A3FCE"/>
    <w:rsid w:val="005A452A"/>
    <w:rsid w:val="005A52C4"/>
    <w:rsid w:val="005A6380"/>
    <w:rsid w:val="005A63A1"/>
    <w:rsid w:val="005A6681"/>
    <w:rsid w:val="005A6CF3"/>
    <w:rsid w:val="005A6CFB"/>
    <w:rsid w:val="005A7368"/>
    <w:rsid w:val="005A7452"/>
    <w:rsid w:val="005A7D5D"/>
    <w:rsid w:val="005B0212"/>
    <w:rsid w:val="005B0486"/>
    <w:rsid w:val="005B0658"/>
    <w:rsid w:val="005B06F0"/>
    <w:rsid w:val="005B0DD9"/>
    <w:rsid w:val="005B1032"/>
    <w:rsid w:val="005B1060"/>
    <w:rsid w:val="005B118A"/>
    <w:rsid w:val="005B13F5"/>
    <w:rsid w:val="005B1421"/>
    <w:rsid w:val="005B1457"/>
    <w:rsid w:val="005B1473"/>
    <w:rsid w:val="005B1709"/>
    <w:rsid w:val="005B1F2E"/>
    <w:rsid w:val="005B2254"/>
    <w:rsid w:val="005B266B"/>
    <w:rsid w:val="005B2AF7"/>
    <w:rsid w:val="005B2E45"/>
    <w:rsid w:val="005B3291"/>
    <w:rsid w:val="005B33AC"/>
    <w:rsid w:val="005B345D"/>
    <w:rsid w:val="005B35E2"/>
    <w:rsid w:val="005B36FA"/>
    <w:rsid w:val="005B37DA"/>
    <w:rsid w:val="005B3AA4"/>
    <w:rsid w:val="005B40D5"/>
    <w:rsid w:val="005B4652"/>
    <w:rsid w:val="005B5183"/>
    <w:rsid w:val="005B538F"/>
    <w:rsid w:val="005B5624"/>
    <w:rsid w:val="005B57B1"/>
    <w:rsid w:val="005B5A5D"/>
    <w:rsid w:val="005B619A"/>
    <w:rsid w:val="005B6286"/>
    <w:rsid w:val="005B67A8"/>
    <w:rsid w:val="005B6E65"/>
    <w:rsid w:val="005B71C4"/>
    <w:rsid w:val="005B72A3"/>
    <w:rsid w:val="005B7422"/>
    <w:rsid w:val="005B784F"/>
    <w:rsid w:val="005B7A86"/>
    <w:rsid w:val="005C0025"/>
    <w:rsid w:val="005C02F6"/>
    <w:rsid w:val="005C091C"/>
    <w:rsid w:val="005C1A06"/>
    <w:rsid w:val="005C29CE"/>
    <w:rsid w:val="005C2C2E"/>
    <w:rsid w:val="005C2EF5"/>
    <w:rsid w:val="005C2F57"/>
    <w:rsid w:val="005C32A0"/>
    <w:rsid w:val="005C33EB"/>
    <w:rsid w:val="005C348E"/>
    <w:rsid w:val="005C3518"/>
    <w:rsid w:val="005C37B6"/>
    <w:rsid w:val="005C3827"/>
    <w:rsid w:val="005C3B87"/>
    <w:rsid w:val="005C3EE3"/>
    <w:rsid w:val="005C3F97"/>
    <w:rsid w:val="005C3FCD"/>
    <w:rsid w:val="005C4421"/>
    <w:rsid w:val="005C46BC"/>
    <w:rsid w:val="005C4816"/>
    <w:rsid w:val="005C497A"/>
    <w:rsid w:val="005C4B0A"/>
    <w:rsid w:val="005C4B15"/>
    <w:rsid w:val="005C4F73"/>
    <w:rsid w:val="005C4FFA"/>
    <w:rsid w:val="005C5721"/>
    <w:rsid w:val="005C5CC3"/>
    <w:rsid w:val="005C60C0"/>
    <w:rsid w:val="005C6905"/>
    <w:rsid w:val="005C6CCC"/>
    <w:rsid w:val="005C7401"/>
    <w:rsid w:val="005C74B0"/>
    <w:rsid w:val="005C7850"/>
    <w:rsid w:val="005C7D6C"/>
    <w:rsid w:val="005D0151"/>
    <w:rsid w:val="005D03AB"/>
    <w:rsid w:val="005D09B1"/>
    <w:rsid w:val="005D0C08"/>
    <w:rsid w:val="005D1345"/>
    <w:rsid w:val="005D135B"/>
    <w:rsid w:val="005D1499"/>
    <w:rsid w:val="005D24EC"/>
    <w:rsid w:val="005D28B2"/>
    <w:rsid w:val="005D2976"/>
    <w:rsid w:val="005D2A24"/>
    <w:rsid w:val="005D2AFA"/>
    <w:rsid w:val="005D32F9"/>
    <w:rsid w:val="005D3402"/>
    <w:rsid w:val="005D34FF"/>
    <w:rsid w:val="005D3672"/>
    <w:rsid w:val="005D3BE1"/>
    <w:rsid w:val="005D3DB3"/>
    <w:rsid w:val="005D401D"/>
    <w:rsid w:val="005D41FA"/>
    <w:rsid w:val="005D476D"/>
    <w:rsid w:val="005D4971"/>
    <w:rsid w:val="005D4BF0"/>
    <w:rsid w:val="005D4FA8"/>
    <w:rsid w:val="005D5017"/>
    <w:rsid w:val="005D504C"/>
    <w:rsid w:val="005D507F"/>
    <w:rsid w:val="005D535D"/>
    <w:rsid w:val="005D5708"/>
    <w:rsid w:val="005D5773"/>
    <w:rsid w:val="005D5DF9"/>
    <w:rsid w:val="005D6141"/>
    <w:rsid w:val="005D61DF"/>
    <w:rsid w:val="005D61F8"/>
    <w:rsid w:val="005D63FA"/>
    <w:rsid w:val="005D643D"/>
    <w:rsid w:val="005D64B5"/>
    <w:rsid w:val="005D6616"/>
    <w:rsid w:val="005D6E1A"/>
    <w:rsid w:val="005D7002"/>
    <w:rsid w:val="005D72E3"/>
    <w:rsid w:val="005D739B"/>
    <w:rsid w:val="005D73C7"/>
    <w:rsid w:val="005D7443"/>
    <w:rsid w:val="005D7853"/>
    <w:rsid w:val="005D7BA3"/>
    <w:rsid w:val="005D7C93"/>
    <w:rsid w:val="005D7ECA"/>
    <w:rsid w:val="005E0050"/>
    <w:rsid w:val="005E0162"/>
    <w:rsid w:val="005E04A2"/>
    <w:rsid w:val="005E06BF"/>
    <w:rsid w:val="005E0C2D"/>
    <w:rsid w:val="005E0C84"/>
    <w:rsid w:val="005E0D82"/>
    <w:rsid w:val="005E0F59"/>
    <w:rsid w:val="005E10D0"/>
    <w:rsid w:val="005E1333"/>
    <w:rsid w:val="005E144F"/>
    <w:rsid w:val="005E18E6"/>
    <w:rsid w:val="005E215B"/>
    <w:rsid w:val="005E2300"/>
    <w:rsid w:val="005E2F59"/>
    <w:rsid w:val="005E30C2"/>
    <w:rsid w:val="005E3136"/>
    <w:rsid w:val="005E3433"/>
    <w:rsid w:val="005E3580"/>
    <w:rsid w:val="005E35A1"/>
    <w:rsid w:val="005E387F"/>
    <w:rsid w:val="005E393F"/>
    <w:rsid w:val="005E3AB0"/>
    <w:rsid w:val="005E3B08"/>
    <w:rsid w:val="005E3B7B"/>
    <w:rsid w:val="005E41F6"/>
    <w:rsid w:val="005E441B"/>
    <w:rsid w:val="005E443E"/>
    <w:rsid w:val="005E507D"/>
    <w:rsid w:val="005E50C8"/>
    <w:rsid w:val="005E5277"/>
    <w:rsid w:val="005E5960"/>
    <w:rsid w:val="005E60ED"/>
    <w:rsid w:val="005E63F4"/>
    <w:rsid w:val="005E66AD"/>
    <w:rsid w:val="005E6D5F"/>
    <w:rsid w:val="005E7162"/>
    <w:rsid w:val="005E7890"/>
    <w:rsid w:val="005E7CA2"/>
    <w:rsid w:val="005F0A03"/>
    <w:rsid w:val="005F0ABE"/>
    <w:rsid w:val="005F0AD0"/>
    <w:rsid w:val="005F0C3F"/>
    <w:rsid w:val="005F14CF"/>
    <w:rsid w:val="005F192B"/>
    <w:rsid w:val="005F19F1"/>
    <w:rsid w:val="005F2127"/>
    <w:rsid w:val="005F2469"/>
    <w:rsid w:val="005F28C9"/>
    <w:rsid w:val="005F2CD3"/>
    <w:rsid w:val="005F30B4"/>
    <w:rsid w:val="005F31CA"/>
    <w:rsid w:val="005F3400"/>
    <w:rsid w:val="005F3DD8"/>
    <w:rsid w:val="005F41E6"/>
    <w:rsid w:val="005F452A"/>
    <w:rsid w:val="005F4C53"/>
    <w:rsid w:val="005F51AB"/>
    <w:rsid w:val="005F5319"/>
    <w:rsid w:val="005F5EFC"/>
    <w:rsid w:val="005F6101"/>
    <w:rsid w:val="005F6991"/>
    <w:rsid w:val="005F6EFE"/>
    <w:rsid w:val="005F70E1"/>
    <w:rsid w:val="005F72D3"/>
    <w:rsid w:val="005F7594"/>
    <w:rsid w:val="005F7605"/>
    <w:rsid w:val="005F7894"/>
    <w:rsid w:val="005F7918"/>
    <w:rsid w:val="005F7AD4"/>
    <w:rsid w:val="005F7BFB"/>
    <w:rsid w:val="00600335"/>
    <w:rsid w:val="00600555"/>
    <w:rsid w:val="006011A3"/>
    <w:rsid w:val="00601328"/>
    <w:rsid w:val="006013DC"/>
    <w:rsid w:val="0060152E"/>
    <w:rsid w:val="0060155E"/>
    <w:rsid w:val="00601634"/>
    <w:rsid w:val="006019C6"/>
    <w:rsid w:val="00601A16"/>
    <w:rsid w:val="00601A91"/>
    <w:rsid w:val="00601B88"/>
    <w:rsid w:val="00601CF5"/>
    <w:rsid w:val="00601DAE"/>
    <w:rsid w:val="00602063"/>
    <w:rsid w:val="00602222"/>
    <w:rsid w:val="006024A8"/>
    <w:rsid w:val="00602BA3"/>
    <w:rsid w:val="006030BD"/>
    <w:rsid w:val="006035E9"/>
    <w:rsid w:val="00603AAF"/>
    <w:rsid w:val="00603ABA"/>
    <w:rsid w:val="00603AD1"/>
    <w:rsid w:val="00603C88"/>
    <w:rsid w:val="00604040"/>
    <w:rsid w:val="006046F8"/>
    <w:rsid w:val="00604A27"/>
    <w:rsid w:val="006051F2"/>
    <w:rsid w:val="006053F5"/>
    <w:rsid w:val="00605B63"/>
    <w:rsid w:val="00605BAF"/>
    <w:rsid w:val="00605C4F"/>
    <w:rsid w:val="00605F05"/>
    <w:rsid w:val="00605F9A"/>
    <w:rsid w:val="00606302"/>
    <w:rsid w:val="00606442"/>
    <w:rsid w:val="0060653F"/>
    <w:rsid w:val="00606744"/>
    <w:rsid w:val="00606C31"/>
    <w:rsid w:val="00606D6F"/>
    <w:rsid w:val="00606EED"/>
    <w:rsid w:val="00607DDB"/>
    <w:rsid w:val="00607EB9"/>
    <w:rsid w:val="00610021"/>
    <w:rsid w:val="00610640"/>
    <w:rsid w:val="00610D05"/>
    <w:rsid w:val="006110D7"/>
    <w:rsid w:val="0061149A"/>
    <w:rsid w:val="00611533"/>
    <w:rsid w:val="006115E4"/>
    <w:rsid w:val="00611655"/>
    <w:rsid w:val="0061173F"/>
    <w:rsid w:val="006123A3"/>
    <w:rsid w:val="00612A95"/>
    <w:rsid w:val="00612E34"/>
    <w:rsid w:val="006130A9"/>
    <w:rsid w:val="00613249"/>
    <w:rsid w:val="00613F42"/>
    <w:rsid w:val="006140F5"/>
    <w:rsid w:val="00614159"/>
    <w:rsid w:val="006149FF"/>
    <w:rsid w:val="00614CBB"/>
    <w:rsid w:val="00614E96"/>
    <w:rsid w:val="00615422"/>
    <w:rsid w:val="00615728"/>
    <w:rsid w:val="00615857"/>
    <w:rsid w:val="006158A3"/>
    <w:rsid w:val="00615A7E"/>
    <w:rsid w:val="00615BE8"/>
    <w:rsid w:val="006164AB"/>
    <w:rsid w:val="00616812"/>
    <w:rsid w:val="006168F3"/>
    <w:rsid w:val="00616C5F"/>
    <w:rsid w:val="00616DAC"/>
    <w:rsid w:val="00616DC7"/>
    <w:rsid w:val="00616E33"/>
    <w:rsid w:val="00617336"/>
    <w:rsid w:val="00617382"/>
    <w:rsid w:val="00617554"/>
    <w:rsid w:val="00617725"/>
    <w:rsid w:val="006179B4"/>
    <w:rsid w:val="006179DA"/>
    <w:rsid w:val="00617C00"/>
    <w:rsid w:val="00617F5F"/>
    <w:rsid w:val="00620010"/>
    <w:rsid w:val="00620A56"/>
    <w:rsid w:val="00620E14"/>
    <w:rsid w:val="00620E1D"/>
    <w:rsid w:val="0062119E"/>
    <w:rsid w:val="006214E1"/>
    <w:rsid w:val="006220DC"/>
    <w:rsid w:val="006224FD"/>
    <w:rsid w:val="00622B17"/>
    <w:rsid w:val="00622E30"/>
    <w:rsid w:val="0062330E"/>
    <w:rsid w:val="0062360C"/>
    <w:rsid w:val="0062365F"/>
    <w:rsid w:val="00623786"/>
    <w:rsid w:val="00624195"/>
    <w:rsid w:val="00624354"/>
    <w:rsid w:val="0062451E"/>
    <w:rsid w:val="006249B3"/>
    <w:rsid w:val="00624A0A"/>
    <w:rsid w:val="00624A2B"/>
    <w:rsid w:val="00624D7B"/>
    <w:rsid w:val="00624F22"/>
    <w:rsid w:val="00624FC9"/>
    <w:rsid w:val="0062509A"/>
    <w:rsid w:val="00625134"/>
    <w:rsid w:val="00625B73"/>
    <w:rsid w:val="006262B2"/>
    <w:rsid w:val="006263BF"/>
    <w:rsid w:val="00626838"/>
    <w:rsid w:val="00626A1B"/>
    <w:rsid w:val="00626F8C"/>
    <w:rsid w:val="0062748A"/>
    <w:rsid w:val="00627F9B"/>
    <w:rsid w:val="006300E7"/>
    <w:rsid w:val="00630546"/>
    <w:rsid w:val="0063070D"/>
    <w:rsid w:val="0063078B"/>
    <w:rsid w:val="00630A2C"/>
    <w:rsid w:val="00630A85"/>
    <w:rsid w:val="00631112"/>
    <w:rsid w:val="006311EF"/>
    <w:rsid w:val="00631212"/>
    <w:rsid w:val="006313D6"/>
    <w:rsid w:val="006321A9"/>
    <w:rsid w:val="00632C6B"/>
    <w:rsid w:val="00632D22"/>
    <w:rsid w:val="00633438"/>
    <w:rsid w:val="0063392A"/>
    <w:rsid w:val="00633BFD"/>
    <w:rsid w:val="00633E8B"/>
    <w:rsid w:val="0063416D"/>
    <w:rsid w:val="00634A75"/>
    <w:rsid w:val="00634FAD"/>
    <w:rsid w:val="0063529B"/>
    <w:rsid w:val="006354E7"/>
    <w:rsid w:val="00635A69"/>
    <w:rsid w:val="006366FC"/>
    <w:rsid w:val="0063682E"/>
    <w:rsid w:val="006372A1"/>
    <w:rsid w:val="00637EE4"/>
    <w:rsid w:val="00640088"/>
    <w:rsid w:val="006400FF"/>
    <w:rsid w:val="006403F5"/>
    <w:rsid w:val="00640C14"/>
    <w:rsid w:val="00640D16"/>
    <w:rsid w:val="00642517"/>
    <w:rsid w:val="00642672"/>
    <w:rsid w:val="006426CD"/>
    <w:rsid w:val="00642DA8"/>
    <w:rsid w:val="00642FAB"/>
    <w:rsid w:val="006436CD"/>
    <w:rsid w:val="00643707"/>
    <w:rsid w:val="00643717"/>
    <w:rsid w:val="00644298"/>
    <w:rsid w:val="00644357"/>
    <w:rsid w:val="00644A93"/>
    <w:rsid w:val="00644CEB"/>
    <w:rsid w:val="0064543E"/>
    <w:rsid w:val="00645C6B"/>
    <w:rsid w:val="0064633F"/>
    <w:rsid w:val="006466CA"/>
    <w:rsid w:val="00646E43"/>
    <w:rsid w:val="0064734C"/>
    <w:rsid w:val="0064739D"/>
    <w:rsid w:val="0065049E"/>
    <w:rsid w:val="00650976"/>
    <w:rsid w:val="00650B68"/>
    <w:rsid w:val="00651169"/>
    <w:rsid w:val="00651791"/>
    <w:rsid w:val="0065182F"/>
    <w:rsid w:val="00651CDA"/>
    <w:rsid w:val="00652C30"/>
    <w:rsid w:val="00652EE9"/>
    <w:rsid w:val="00652FD6"/>
    <w:rsid w:val="006530C0"/>
    <w:rsid w:val="006535BA"/>
    <w:rsid w:val="006539B2"/>
    <w:rsid w:val="00653D69"/>
    <w:rsid w:val="00653E3D"/>
    <w:rsid w:val="00653E56"/>
    <w:rsid w:val="00653FE1"/>
    <w:rsid w:val="006540AE"/>
    <w:rsid w:val="00654379"/>
    <w:rsid w:val="006545AA"/>
    <w:rsid w:val="0065481A"/>
    <w:rsid w:val="006549E6"/>
    <w:rsid w:val="00654CB9"/>
    <w:rsid w:val="00654CBB"/>
    <w:rsid w:val="00654E7C"/>
    <w:rsid w:val="006552E6"/>
    <w:rsid w:val="00655794"/>
    <w:rsid w:val="00655C4E"/>
    <w:rsid w:val="00655CB4"/>
    <w:rsid w:val="00655E35"/>
    <w:rsid w:val="00655E8B"/>
    <w:rsid w:val="0065638F"/>
    <w:rsid w:val="00656477"/>
    <w:rsid w:val="00656831"/>
    <w:rsid w:val="00656877"/>
    <w:rsid w:val="00656A82"/>
    <w:rsid w:val="00656DB6"/>
    <w:rsid w:val="00656F2F"/>
    <w:rsid w:val="00657836"/>
    <w:rsid w:val="00657C63"/>
    <w:rsid w:val="0066040B"/>
    <w:rsid w:val="00660E5D"/>
    <w:rsid w:val="00660F5B"/>
    <w:rsid w:val="0066103A"/>
    <w:rsid w:val="0066146D"/>
    <w:rsid w:val="006619CC"/>
    <w:rsid w:val="00661CBC"/>
    <w:rsid w:val="00662173"/>
    <w:rsid w:val="006621BC"/>
    <w:rsid w:val="006621D1"/>
    <w:rsid w:val="00662236"/>
    <w:rsid w:val="0066231B"/>
    <w:rsid w:val="00662434"/>
    <w:rsid w:val="00662B85"/>
    <w:rsid w:val="0066365C"/>
    <w:rsid w:val="00663747"/>
    <w:rsid w:val="006639FE"/>
    <w:rsid w:val="00664121"/>
    <w:rsid w:val="006648EE"/>
    <w:rsid w:val="00664B7F"/>
    <w:rsid w:val="00664E47"/>
    <w:rsid w:val="006656ED"/>
    <w:rsid w:val="00665E55"/>
    <w:rsid w:val="00666560"/>
    <w:rsid w:val="00666C3C"/>
    <w:rsid w:val="006670B3"/>
    <w:rsid w:val="006670BE"/>
    <w:rsid w:val="0066752C"/>
    <w:rsid w:val="006675A9"/>
    <w:rsid w:val="00667BD7"/>
    <w:rsid w:val="00667BFB"/>
    <w:rsid w:val="00667F6C"/>
    <w:rsid w:val="00670817"/>
    <w:rsid w:val="00670990"/>
    <w:rsid w:val="00670A76"/>
    <w:rsid w:val="00670E1E"/>
    <w:rsid w:val="00670EB3"/>
    <w:rsid w:val="006711AA"/>
    <w:rsid w:val="006722BF"/>
    <w:rsid w:val="006729A5"/>
    <w:rsid w:val="00672B57"/>
    <w:rsid w:val="00673167"/>
    <w:rsid w:val="00673402"/>
    <w:rsid w:val="00673BE0"/>
    <w:rsid w:val="00673CE3"/>
    <w:rsid w:val="00673F1F"/>
    <w:rsid w:val="00674897"/>
    <w:rsid w:val="006753A8"/>
    <w:rsid w:val="006753B4"/>
    <w:rsid w:val="00675622"/>
    <w:rsid w:val="006757DD"/>
    <w:rsid w:val="00675D2F"/>
    <w:rsid w:val="00675DEB"/>
    <w:rsid w:val="00676084"/>
    <w:rsid w:val="0067747D"/>
    <w:rsid w:val="006778CC"/>
    <w:rsid w:val="00680A41"/>
    <w:rsid w:val="00680B1A"/>
    <w:rsid w:val="00680BB4"/>
    <w:rsid w:val="00680E4C"/>
    <w:rsid w:val="00681570"/>
    <w:rsid w:val="00681849"/>
    <w:rsid w:val="006818D5"/>
    <w:rsid w:val="00681AF2"/>
    <w:rsid w:val="00681CA4"/>
    <w:rsid w:val="00681CC2"/>
    <w:rsid w:val="00682841"/>
    <w:rsid w:val="00682AAF"/>
    <w:rsid w:val="00682AE3"/>
    <w:rsid w:val="00682D0D"/>
    <w:rsid w:val="00682F8C"/>
    <w:rsid w:val="006833E2"/>
    <w:rsid w:val="0068373F"/>
    <w:rsid w:val="00683CFE"/>
    <w:rsid w:val="00683FE7"/>
    <w:rsid w:val="00684001"/>
    <w:rsid w:val="006841C6"/>
    <w:rsid w:val="006842B9"/>
    <w:rsid w:val="0068454C"/>
    <w:rsid w:val="00685042"/>
    <w:rsid w:val="006852DB"/>
    <w:rsid w:val="0068530B"/>
    <w:rsid w:val="0068543D"/>
    <w:rsid w:val="00685477"/>
    <w:rsid w:val="0068575E"/>
    <w:rsid w:val="00685B11"/>
    <w:rsid w:val="00686164"/>
    <w:rsid w:val="006864B3"/>
    <w:rsid w:val="00686559"/>
    <w:rsid w:val="00686920"/>
    <w:rsid w:val="00686E7F"/>
    <w:rsid w:val="00686EDF"/>
    <w:rsid w:val="00686FD1"/>
    <w:rsid w:val="00687381"/>
    <w:rsid w:val="00687559"/>
    <w:rsid w:val="00687572"/>
    <w:rsid w:val="00687630"/>
    <w:rsid w:val="00687828"/>
    <w:rsid w:val="00687855"/>
    <w:rsid w:val="00687AD5"/>
    <w:rsid w:val="00687C55"/>
    <w:rsid w:val="0069039D"/>
    <w:rsid w:val="00690494"/>
    <w:rsid w:val="0069054E"/>
    <w:rsid w:val="006906DB"/>
    <w:rsid w:val="00690882"/>
    <w:rsid w:val="006909AD"/>
    <w:rsid w:val="006910E7"/>
    <w:rsid w:val="006910F9"/>
    <w:rsid w:val="006911B1"/>
    <w:rsid w:val="0069164B"/>
    <w:rsid w:val="00691883"/>
    <w:rsid w:val="00691900"/>
    <w:rsid w:val="00691A23"/>
    <w:rsid w:val="00691E6C"/>
    <w:rsid w:val="00692093"/>
    <w:rsid w:val="006920A5"/>
    <w:rsid w:val="00692307"/>
    <w:rsid w:val="006924C2"/>
    <w:rsid w:val="0069275C"/>
    <w:rsid w:val="00692B50"/>
    <w:rsid w:val="00692EA2"/>
    <w:rsid w:val="00693400"/>
    <w:rsid w:val="00693425"/>
    <w:rsid w:val="0069342D"/>
    <w:rsid w:val="00693632"/>
    <w:rsid w:val="00693D60"/>
    <w:rsid w:val="00693DFB"/>
    <w:rsid w:val="00693E89"/>
    <w:rsid w:val="00694441"/>
    <w:rsid w:val="00694EC6"/>
    <w:rsid w:val="00694F18"/>
    <w:rsid w:val="00694FD5"/>
    <w:rsid w:val="00695011"/>
    <w:rsid w:val="0069501D"/>
    <w:rsid w:val="006952AD"/>
    <w:rsid w:val="00695B0E"/>
    <w:rsid w:val="00695F47"/>
    <w:rsid w:val="00696000"/>
    <w:rsid w:val="00696129"/>
    <w:rsid w:val="006965BD"/>
    <w:rsid w:val="006966E1"/>
    <w:rsid w:val="00696C7D"/>
    <w:rsid w:val="006974DF"/>
    <w:rsid w:val="00697918"/>
    <w:rsid w:val="00697A5A"/>
    <w:rsid w:val="00697CEA"/>
    <w:rsid w:val="00697CF2"/>
    <w:rsid w:val="00697F4E"/>
    <w:rsid w:val="00697FE1"/>
    <w:rsid w:val="006A05B5"/>
    <w:rsid w:val="006A0C23"/>
    <w:rsid w:val="006A100B"/>
    <w:rsid w:val="006A1227"/>
    <w:rsid w:val="006A12A5"/>
    <w:rsid w:val="006A15AA"/>
    <w:rsid w:val="006A17E4"/>
    <w:rsid w:val="006A189A"/>
    <w:rsid w:val="006A1BCC"/>
    <w:rsid w:val="006A1F99"/>
    <w:rsid w:val="006A2515"/>
    <w:rsid w:val="006A3AED"/>
    <w:rsid w:val="006A3DF0"/>
    <w:rsid w:val="006A450B"/>
    <w:rsid w:val="006A48BC"/>
    <w:rsid w:val="006A4B2B"/>
    <w:rsid w:val="006A4C19"/>
    <w:rsid w:val="006A572D"/>
    <w:rsid w:val="006A5B35"/>
    <w:rsid w:val="006A5E20"/>
    <w:rsid w:val="006A614A"/>
    <w:rsid w:val="006A62EF"/>
    <w:rsid w:val="006A6BDD"/>
    <w:rsid w:val="006A6C0C"/>
    <w:rsid w:val="006A6CA0"/>
    <w:rsid w:val="006A746A"/>
    <w:rsid w:val="006A7471"/>
    <w:rsid w:val="006A7548"/>
    <w:rsid w:val="006A7641"/>
    <w:rsid w:val="006A7B22"/>
    <w:rsid w:val="006A7DA4"/>
    <w:rsid w:val="006B00DC"/>
    <w:rsid w:val="006B04A8"/>
    <w:rsid w:val="006B07C1"/>
    <w:rsid w:val="006B08D0"/>
    <w:rsid w:val="006B08F7"/>
    <w:rsid w:val="006B0928"/>
    <w:rsid w:val="006B0A01"/>
    <w:rsid w:val="006B0D94"/>
    <w:rsid w:val="006B0DBE"/>
    <w:rsid w:val="006B12D8"/>
    <w:rsid w:val="006B1452"/>
    <w:rsid w:val="006B1482"/>
    <w:rsid w:val="006B16B6"/>
    <w:rsid w:val="006B1889"/>
    <w:rsid w:val="006B1BFD"/>
    <w:rsid w:val="006B2506"/>
    <w:rsid w:val="006B265C"/>
    <w:rsid w:val="006B26FA"/>
    <w:rsid w:val="006B28C4"/>
    <w:rsid w:val="006B2B42"/>
    <w:rsid w:val="006B300D"/>
    <w:rsid w:val="006B3A1E"/>
    <w:rsid w:val="006B3C59"/>
    <w:rsid w:val="006B4120"/>
    <w:rsid w:val="006B4377"/>
    <w:rsid w:val="006B485D"/>
    <w:rsid w:val="006B4962"/>
    <w:rsid w:val="006B4A39"/>
    <w:rsid w:val="006B4A7A"/>
    <w:rsid w:val="006B4B4F"/>
    <w:rsid w:val="006B4FEC"/>
    <w:rsid w:val="006B539F"/>
    <w:rsid w:val="006B56D4"/>
    <w:rsid w:val="006B5DED"/>
    <w:rsid w:val="006B644F"/>
    <w:rsid w:val="006B6589"/>
    <w:rsid w:val="006B6AFD"/>
    <w:rsid w:val="006B6B34"/>
    <w:rsid w:val="006B6B3E"/>
    <w:rsid w:val="006B74EF"/>
    <w:rsid w:val="006B7731"/>
    <w:rsid w:val="006B7B30"/>
    <w:rsid w:val="006B7DDA"/>
    <w:rsid w:val="006C0732"/>
    <w:rsid w:val="006C086F"/>
    <w:rsid w:val="006C09F1"/>
    <w:rsid w:val="006C0BAF"/>
    <w:rsid w:val="006C0C45"/>
    <w:rsid w:val="006C0F9C"/>
    <w:rsid w:val="006C152A"/>
    <w:rsid w:val="006C2511"/>
    <w:rsid w:val="006C2806"/>
    <w:rsid w:val="006C2BB4"/>
    <w:rsid w:val="006C2BD9"/>
    <w:rsid w:val="006C2BE1"/>
    <w:rsid w:val="006C2FCD"/>
    <w:rsid w:val="006C334C"/>
    <w:rsid w:val="006C383E"/>
    <w:rsid w:val="006C3CC1"/>
    <w:rsid w:val="006C4050"/>
    <w:rsid w:val="006C432E"/>
    <w:rsid w:val="006C4378"/>
    <w:rsid w:val="006C447F"/>
    <w:rsid w:val="006C56F1"/>
    <w:rsid w:val="006C598B"/>
    <w:rsid w:val="006C63B5"/>
    <w:rsid w:val="006C6C10"/>
    <w:rsid w:val="006C6CC2"/>
    <w:rsid w:val="006C6CCB"/>
    <w:rsid w:val="006C6F8C"/>
    <w:rsid w:val="006C6FC7"/>
    <w:rsid w:val="006C708E"/>
    <w:rsid w:val="006C7224"/>
    <w:rsid w:val="006C7431"/>
    <w:rsid w:val="006C7BA0"/>
    <w:rsid w:val="006D0765"/>
    <w:rsid w:val="006D0BA9"/>
    <w:rsid w:val="006D102B"/>
    <w:rsid w:val="006D1321"/>
    <w:rsid w:val="006D14E7"/>
    <w:rsid w:val="006D170A"/>
    <w:rsid w:val="006D1AFA"/>
    <w:rsid w:val="006D1B7F"/>
    <w:rsid w:val="006D1CB8"/>
    <w:rsid w:val="006D1CC4"/>
    <w:rsid w:val="006D1D63"/>
    <w:rsid w:val="006D1EB1"/>
    <w:rsid w:val="006D28E7"/>
    <w:rsid w:val="006D2E32"/>
    <w:rsid w:val="006D31E1"/>
    <w:rsid w:val="006D358C"/>
    <w:rsid w:val="006D38AE"/>
    <w:rsid w:val="006D3CF9"/>
    <w:rsid w:val="006D3D93"/>
    <w:rsid w:val="006D3EA0"/>
    <w:rsid w:val="006D3EEC"/>
    <w:rsid w:val="006D40A5"/>
    <w:rsid w:val="006D4253"/>
    <w:rsid w:val="006D4444"/>
    <w:rsid w:val="006D4949"/>
    <w:rsid w:val="006D53A8"/>
    <w:rsid w:val="006D5D4B"/>
    <w:rsid w:val="006D6141"/>
    <w:rsid w:val="006D6493"/>
    <w:rsid w:val="006D653D"/>
    <w:rsid w:val="006D6622"/>
    <w:rsid w:val="006D696C"/>
    <w:rsid w:val="006D6EC7"/>
    <w:rsid w:val="006D730E"/>
    <w:rsid w:val="006D74D5"/>
    <w:rsid w:val="006D75EA"/>
    <w:rsid w:val="006D79F7"/>
    <w:rsid w:val="006D7B05"/>
    <w:rsid w:val="006D7D28"/>
    <w:rsid w:val="006D7E45"/>
    <w:rsid w:val="006E0D71"/>
    <w:rsid w:val="006E1143"/>
    <w:rsid w:val="006E1336"/>
    <w:rsid w:val="006E1612"/>
    <w:rsid w:val="006E1BCD"/>
    <w:rsid w:val="006E2268"/>
    <w:rsid w:val="006E2732"/>
    <w:rsid w:val="006E35AA"/>
    <w:rsid w:val="006E3DE4"/>
    <w:rsid w:val="006E4187"/>
    <w:rsid w:val="006E4753"/>
    <w:rsid w:val="006E47B0"/>
    <w:rsid w:val="006E47BD"/>
    <w:rsid w:val="006E4842"/>
    <w:rsid w:val="006E4895"/>
    <w:rsid w:val="006E4BFE"/>
    <w:rsid w:val="006E5570"/>
    <w:rsid w:val="006E5751"/>
    <w:rsid w:val="006E59CD"/>
    <w:rsid w:val="006E5EC5"/>
    <w:rsid w:val="006E5EFB"/>
    <w:rsid w:val="006E5FDD"/>
    <w:rsid w:val="006E6FD2"/>
    <w:rsid w:val="006E7080"/>
    <w:rsid w:val="006E72B6"/>
    <w:rsid w:val="006E744D"/>
    <w:rsid w:val="006E7467"/>
    <w:rsid w:val="006E7B98"/>
    <w:rsid w:val="006F00ED"/>
    <w:rsid w:val="006F026F"/>
    <w:rsid w:val="006F08B4"/>
    <w:rsid w:val="006F0A71"/>
    <w:rsid w:val="006F0BBA"/>
    <w:rsid w:val="006F0D12"/>
    <w:rsid w:val="006F0D1C"/>
    <w:rsid w:val="006F0EBC"/>
    <w:rsid w:val="006F0EC9"/>
    <w:rsid w:val="006F0F84"/>
    <w:rsid w:val="006F12B1"/>
    <w:rsid w:val="006F1729"/>
    <w:rsid w:val="006F17A5"/>
    <w:rsid w:val="006F17AA"/>
    <w:rsid w:val="006F17CD"/>
    <w:rsid w:val="006F18C9"/>
    <w:rsid w:val="006F18F8"/>
    <w:rsid w:val="006F1C6B"/>
    <w:rsid w:val="006F2094"/>
    <w:rsid w:val="006F26F6"/>
    <w:rsid w:val="006F2960"/>
    <w:rsid w:val="006F298C"/>
    <w:rsid w:val="006F2A3D"/>
    <w:rsid w:val="006F2F4A"/>
    <w:rsid w:val="006F3475"/>
    <w:rsid w:val="006F358C"/>
    <w:rsid w:val="006F387C"/>
    <w:rsid w:val="006F3AEE"/>
    <w:rsid w:val="006F3B65"/>
    <w:rsid w:val="006F3DC9"/>
    <w:rsid w:val="006F40C2"/>
    <w:rsid w:val="006F42D5"/>
    <w:rsid w:val="006F4E96"/>
    <w:rsid w:val="006F5125"/>
    <w:rsid w:val="006F531B"/>
    <w:rsid w:val="006F57F6"/>
    <w:rsid w:val="006F595A"/>
    <w:rsid w:val="006F5A35"/>
    <w:rsid w:val="006F5BD0"/>
    <w:rsid w:val="006F5F98"/>
    <w:rsid w:val="006F6121"/>
    <w:rsid w:val="006F61A1"/>
    <w:rsid w:val="006F6281"/>
    <w:rsid w:val="006F6372"/>
    <w:rsid w:val="006F657E"/>
    <w:rsid w:val="006F733D"/>
    <w:rsid w:val="007000A3"/>
    <w:rsid w:val="00700633"/>
    <w:rsid w:val="00700765"/>
    <w:rsid w:val="0070078E"/>
    <w:rsid w:val="00700B58"/>
    <w:rsid w:val="00700C1E"/>
    <w:rsid w:val="00700C75"/>
    <w:rsid w:val="00700D7B"/>
    <w:rsid w:val="00700E84"/>
    <w:rsid w:val="00701D36"/>
    <w:rsid w:val="0070267B"/>
    <w:rsid w:val="00702777"/>
    <w:rsid w:val="00702959"/>
    <w:rsid w:val="00702B6F"/>
    <w:rsid w:val="00702CA1"/>
    <w:rsid w:val="00702EBA"/>
    <w:rsid w:val="007030B4"/>
    <w:rsid w:val="0070320D"/>
    <w:rsid w:val="00703B47"/>
    <w:rsid w:val="00703B86"/>
    <w:rsid w:val="00703CBD"/>
    <w:rsid w:val="00704069"/>
    <w:rsid w:val="00704A4B"/>
    <w:rsid w:val="00705278"/>
    <w:rsid w:val="00705839"/>
    <w:rsid w:val="00705B28"/>
    <w:rsid w:val="00706191"/>
    <w:rsid w:val="0070622F"/>
    <w:rsid w:val="00706232"/>
    <w:rsid w:val="00706269"/>
    <w:rsid w:val="007062B3"/>
    <w:rsid w:val="0070655E"/>
    <w:rsid w:val="00706A2F"/>
    <w:rsid w:val="00706C4C"/>
    <w:rsid w:val="00707045"/>
    <w:rsid w:val="007070CB"/>
    <w:rsid w:val="0070718E"/>
    <w:rsid w:val="007075A6"/>
    <w:rsid w:val="007079D9"/>
    <w:rsid w:val="00707D43"/>
    <w:rsid w:val="00707E52"/>
    <w:rsid w:val="00707FC7"/>
    <w:rsid w:val="00710133"/>
    <w:rsid w:val="00710259"/>
    <w:rsid w:val="00710309"/>
    <w:rsid w:val="0071031F"/>
    <w:rsid w:val="007104C3"/>
    <w:rsid w:val="00710737"/>
    <w:rsid w:val="00710801"/>
    <w:rsid w:val="00710E45"/>
    <w:rsid w:val="007116E5"/>
    <w:rsid w:val="0071190A"/>
    <w:rsid w:val="00711ADB"/>
    <w:rsid w:val="00711D18"/>
    <w:rsid w:val="007121D4"/>
    <w:rsid w:val="007126D4"/>
    <w:rsid w:val="00713199"/>
    <w:rsid w:val="0071340B"/>
    <w:rsid w:val="007134A1"/>
    <w:rsid w:val="00713C50"/>
    <w:rsid w:val="00713DB3"/>
    <w:rsid w:val="0071436D"/>
    <w:rsid w:val="0071439F"/>
    <w:rsid w:val="007148B9"/>
    <w:rsid w:val="00714BAA"/>
    <w:rsid w:val="007150D3"/>
    <w:rsid w:val="007154FE"/>
    <w:rsid w:val="00715BBB"/>
    <w:rsid w:val="00715CA7"/>
    <w:rsid w:val="007162B4"/>
    <w:rsid w:val="007163EF"/>
    <w:rsid w:val="0071647F"/>
    <w:rsid w:val="0071672D"/>
    <w:rsid w:val="0071678B"/>
    <w:rsid w:val="0071679B"/>
    <w:rsid w:val="00716876"/>
    <w:rsid w:val="00716EA7"/>
    <w:rsid w:val="007174BB"/>
    <w:rsid w:val="007176AA"/>
    <w:rsid w:val="00717848"/>
    <w:rsid w:val="00717FB2"/>
    <w:rsid w:val="0072025D"/>
    <w:rsid w:val="0072058E"/>
    <w:rsid w:val="007207FE"/>
    <w:rsid w:val="00720ED8"/>
    <w:rsid w:val="0072146E"/>
    <w:rsid w:val="00721890"/>
    <w:rsid w:val="00721AB2"/>
    <w:rsid w:val="00722194"/>
    <w:rsid w:val="0072219B"/>
    <w:rsid w:val="00722D84"/>
    <w:rsid w:val="00723053"/>
    <w:rsid w:val="00723328"/>
    <w:rsid w:val="007237DE"/>
    <w:rsid w:val="00723A9F"/>
    <w:rsid w:val="00723B1E"/>
    <w:rsid w:val="00724122"/>
    <w:rsid w:val="007248A0"/>
    <w:rsid w:val="00724995"/>
    <w:rsid w:val="0072502E"/>
    <w:rsid w:val="00725BE8"/>
    <w:rsid w:val="0072603B"/>
    <w:rsid w:val="00726391"/>
    <w:rsid w:val="00726D03"/>
    <w:rsid w:val="007270C9"/>
    <w:rsid w:val="00727524"/>
    <w:rsid w:val="00727A67"/>
    <w:rsid w:val="00727D2A"/>
    <w:rsid w:val="00730134"/>
    <w:rsid w:val="00730543"/>
    <w:rsid w:val="007306CA"/>
    <w:rsid w:val="007306EC"/>
    <w:rsid w:val="0073111C"/>
    <w:rsid w:val="007311CC"/>
    <w:rsid w:val="0073137C"/>
    <w:rsid w:val="0073155C"/>
    <w:rsid w:val="007316E3"/>
    <w:rsid w:val="0073170C"/>
    <w:rsid w:val="00731B88"/>
    <w:rsid w:val="00732587"/>
    <w:rsid w:val="007326F4"/>
    <w:rsid w:val="0073292D"/>
    <w:rsid w:val="00732AE0"/>
    <w:rsid w:val="00733569"/>
    <w:rsid w:val="0073369E"/>
    <w:rsid w:val="00733B39"/>
    <w:rsid w:val="00733D56"/>
    <w:rsid w:val="00733DD7"/>
    <w:rsid w:val="007340B9"/>
    <w:rsid w:val="00734593"/>
    <w:rsid w:val="007345BB"/>
    <w:rsid w:val="0073468B"/>
    <w:rsid w:val="007347BB"/>
    <w:rsid w:val="007353D3"/>
    <w:rsid w:val="007353F3"/>
    <w:rsid w:val="00735AC1"/>
    <w:rsid w:val="00735E89"/>
    <w:rsid w:val="00735F18"/>
    <w:rsid w:val="0073614D"/>
    <w:rsid w:val="0073649D"/>
    <w:rsid w:val="00736981"/>
    <w:rsid w:val="007369B8"/>
    <w:rsid w:val="00736C30"/>
    <w:rsid w:val="00736E63"/>
    <w:rsid w:val="0073736F"/>
    <w:rsid w:val="007375EE"/>
    <w:rsid w:val="00737C1B"/>
    <w:rsid w:val="0074026E"/>
    <w:rsid w:val="0074092D"/>
    <w:rsid w:val="00740E17"/>
    <w:rsid w:val="0074156B"/>
    <w:rsid w:val="00741619"/>
    <w:rsid w:val="00741B7C"/>
    <w:rsid w:val="00741CA1"/>
    <w:rsid w:val="00741E95"/>
    <w:rsid w:val="00742311"/>
    <w:rsid w:val="00742885"/>
    <w:rsid w:val="00742A88"/>
    <w:rsid w:val="00742CD9"/>
    <w:rsid w:val="00743033"/>
    <w:rsid w:val="007433AB"/>
    <w:rsid w:val="0074360F"/>
    <w:rsid w:val="00743F8E"/>
    <w:rsid w:val="00744200"/>
    <w:rsid w:val="00744912"/>
    <w:rsid w:val="007449FA"/>
    <w:rsid w:val="00744F6C"/>
    <w:rsid w:val="0074555B"/>
    <w:rsid w:val="00745D47"/>
    <w:rsid w:val="00746206"/>
    <w:rsid w:val="00746787"/>
    <w:rsid w:val="007469A3"/>
    <w:rsid w:val="007469C9"/>
    <w:rsid w:val="00746C19"/>
    <w:rsid w:val="00746D54"/>
    <w:rsid w:val="00747092"/>
    <w:rsid w:val="00747095"/>
    <w:rsid w:val="0074729F"/>
    <w:rsid w:val="0074758F"/>
    <w:rsid w:val="00747626"/>
    <w:rsid w:val="007477FF"/>
    <w:rsid w:val="00747A15"/>
    <w:rsid w:val="00747A6A"/>
    <w:rsid w:val="00750209"/>
    <w:rsid w:val="00750223"/>
    <w:rsid w:val="00750326"/>
    <w:rsid w:val="007503A6"/>
    <w:rsid w:val="007505C8"/>
    <w:rsid w:val="0075069C"/>
    <w:rsid w:val="00750A46"/>
    <w:rsid w:val="00751231"/>
    <w:rsid w:val="0075180A"/>
    <w:rsid w:val="00751952"/>
    <w:rsid w:val="00751B73"/>
    <w:rsid w:val="00751C15"/>
    <w:rsid w:val="00751FFF"/>
    <w:rsid w:val="00752298"/>
    <w:rsid w:val="007526E6"/>
    <w:rsid w:val="00752BA0"/>
    <w:rsid w:val="00752BFB"/>
    <w:rsid w:val="0075305D"/>
    <w:rsid w:val="00753288"/>
    <w:rsid w:val="00753933"/>
    <w:rsid w:val="00753E52"/>
    <w:rsid w:val="0075403E"/>
    <w:rsid w:val="007549FD"/>
    <w:rsid w:val="00754A96"/>
    <w:rsid w:val="00754AF4"/>
    <w:rsid w:val="00754C41"/>
    <w:rsid w:val="00754DF9"/>
    <w:rsid w:val="00755370"/>
    <w:rsid w:val="00755413"/>
    <w:rsid w:val="0075551E"/>
    <w:rsid w:val="007555E8"/>
    <w:rsid w:val="00755750"/>
    <w:rsid w:val="007558D1"/>
    <w:rsid w:val="007559C2"/>
    <w:rsid w:val="00755CC5"/>
    <w:rsid w:val="00756423"/>
    <w:rsid w:val="0075665D"/>
    <w:rsid w:val="00756823"/>
    <w:rsid w:val="00756AA4"/>
    <w:rsid w:val="0075705C"/>
    <w:rsid w:val="00757FC0"/>
    <w:rsid w:val="007602F2"/>
    <w:rsid w:val="0076141B"/>
    <w:rsid w:val="0076164E"/>
    <w:rsid w:val="00761AB8"/>
    <w:rsid w:val="00761B6B"/>
    <w:rsid w:val="00761E99"/>
    <w:rsid w:val="0076207F"/>
    <w:rsid w:val="007621A3"/>
    <w:rsid w:val="00762386"/>
    <w:rsid w:val="00762862"/>
    <w:rsid w:val="007628AB"/>
    <w:rsid w:val="00763263"/>
    <w:rsid w:val="007634D6"/>
    <w:rsid w:val="00763508"/>
    <w:rsid w:val="007636FD"/>
    <w:rsid w:val="00763817"/>
    <w:rsid w:val="0076420C"/>
    <w:rsid w:val="007642C5"/>
    <w:rsid w:val="00764813"/>
    <w:rsid w:val="00764E32"/>
    <w:rsid w:val="007658CF"/>
    <w:rsid w:val="007659C0"/>
    <w:rsid w:val="007659F6"/>
    <w:rsid w:val="00765F2A"/>
    <w:rsid w:val="00765F79"/>
    <w:rsid w:val="007662DF"/>
    <w:rsid w:val="0076652D"/>
    <w:rsid w:val="00766EDB"/>
    <w:rsid w:val="00766F30"/>
    <w:rsid w:val="00767172"/>
    <w:rsid w:val="0076753D"/>
    <w:rsid w:val="007675DF"/>
    <w:rsid w:val="00767631"/>
    <w:rsid w:val="007686DF"/>
    <w:rsid w:val="007704CB"/>
    <w:rsid w:val="007710F2"/>
    <w:rsid w:val="00771D07"/>
    <w:rsid w:val="00771E04"/>
    <w:rsid w:val="007720A9"/>
    <w:rsid w:val="00772649"/>
    <w:rsid w:val="007727A3"/>
    <w:rsid w:val="00772A9A"/>
    <w:rsid w:val="00772AA8"/>
    <w:rsid w:val="007735FD"/>
    <w:rsid w:val="00773864"/>
    <w:rsid w:val="00773946"/>
    <w:rsid w:val="00773BE3"/>
    <w:rsid w:val="00773C86"/>
    <w:rsid w:val="007741C0"/>
    <w:rsid w:val="0077427E"/>
    <w:rsid w:val="007743DD"/>
    <w:rsid w:val="007747AF"/>
    <w:rsid w:val="00774B9C"/>
    <w:rsid w:val="00774E2C"/>
    <w:rsid w:val="0077503C"/>
    <w:rsid w:val="0077518D"/>
    <w:rsid w:val="007753C2"/>
    <w:rsid w:val="00776068"/>
    <w:rsid w:val="0077630F"/>
    <w:rsid w:val="0077652E"/>
    <w:rsid w:val="00776E00"/>
    <w:rsid w:val="00777325"/>
    <w:rsid w:val="007774A9"/>
    <w:rsid w:val="00777645"/>
    <w:rsid w:val="007801A0"/>
    <w:rsid w:val="00780AC5"/>
    <w:rsid w:val="00780E42"/>
    <w:rsid w:val="00781157"/>
    <w:rsid w:val="0078142E"/>
    <w:rsid w:val="00781625"/>
    <w:rsid w:val="007816FC"/>
    <w:rsid w:val="00781791"/>
    <w:rsid w:val="007818E0"/>
    <w:rsid w:val="00781AAE"/>
    <w:rsid w:val="00782337"/>
    <w:rsid w:val="00782572"/>
    <w:rsid w:val="00782D3D"/>
    <w:rsid w:val="007838B8"/>
    <w:rsid w:val="007838C5"/>
    <w:rsid w:val="0078415A"/>
    <w:rsid w:val="00784B6D"/>
    <w:rsid w:val="00784D03"/>
    <w:rsid w:val="00785389"/>
    <w:rsid w:val="00785779"/>
    <w:rsid w:val="0078599B"/>
    <w:rsid w:val="00785EE5"/>
    <w:rsid w:val="007863EB"/>
    <w:rsid w:val="00786923"/>
    <w:rsid w:val="00786FA0"/>
    <w:rsid w:val="00786FDC"/>
    <w:rsid w:val="00787330"/>
    <w:rsid w:val="007873F4"/>
    <w:rsid w:val="00787FD8"/>
    <w:rsid w:val="007901BC"/>
    <w:rsid w:val="00790265"/>
    <w:rsid w:val="0079034F"/>
    <w:rsid w:val="00790438"/>
    <w:rsid w:val="007904D7"/>
    <w:rsid w:val="007908AD"/>
    <w:rsid w:val="0079159A"/>
    <w:rsid w:val="007915BA"/>
    <w:rsid w:val="0079178B"/>
    <w:rsid w:val="00791844"/>
    <w:rsid w:val="007918FF"/>
    <w:rsid w:val="00791B20"/>
    <w:rsid w:val="00791E59"/>
    <w:rsid w:val="00792422"/>
    <w:rsid w:val="0079250E"/>
    <w:rsid w:val="00792898"/>
    <w:rsid w:val="00792E6C"/>
    <w:rsid w:val="0079348D"/>
    <w:rsid w:val="00793B61"/>
    <w:rsid w:val="00793BE0"/>
    <w:rsid w:val="00793C27"/>
    <w:rsid w:val="00793C5F"/>
    <w:rsid w:val="00793CE9"/>
    <w:rsid w:val="00794582"/>
    <w:rsid w:val="007946E1"/>
    <w:rsid w:val="007948E8"/>
    <w:rsid w:val="007949AE"/>
    <w:rsid w:val="00794A0C"/>
    <w:rsid w:val="00794DEF"/>
    <w:rsid w:val="00794F3E"/>
    <w:rsid w:val="0079526C"/>
    <w:rsid w:val="0079559A"/>
    <w:rsid w:val="007957CC"/>
    <w:rsid w:val="00795926"/>
    <w:rsid w:val="00796441"/>
    <w:rsid w:val="0079652D"/>
    <w:rsid w:val="00796667"/>
    <w:rsid w:val="00797068"/>
    <w:rsid w:val="007979BD"/>
    <w:rsid w:val="00797A00"/>
    <w:rsid w:val="007A010D"/>
    <w:rsid w:val="007A0364"/>
    <w:rsid w:val="007A0B6A"/>
    <w:rsid w:val="007A0C8E"/>
    <w:rsid w:val="007A0F47"/>
    <w:rsid w:val="007A127C"/>
    <w:rsid w:val="007A141E"/>
    <w:rsid w:val="007A1D36"/>
    <w:rsid w:val="007A2E15"/>
    <w:rsid w:val="007A31A7"/>
    <w:rsid w:val="007A32C3"/>
    <w:rsid w:val="007A3D8E"/>
    <w:rsid w:val="007A3FAE"/>
    <w:rsid w:val="007A4033"/>
    <w:rsid w:val="007A4496"/>
    <w:rsid w:val="007A4C12"/>
    <w:rsid w:val="007A4CE3"/>
    <w:rsid w:val="007A4E5A"/>
    <w:rsid w:val="007A4F46"/>
    <w:rsid w:val="007A4F49"/>
    <w:rsid w:val="007A566B"/>
    <w:rsid w:val="007A5755"/>
    <w:rsid w:val="007A58C6"/>
    <w:rsid w:val="007A5C88"/>
    <w:rsid w:val="007A613D"/>
    <w:rsid w:val="007A6505"/>
    <w:rsid w:val="007A6A2F"/>
    <w:rsid w:val="007A7007"/>
    <w:rsid w:val="007A7122"/>
    <w:rsid w:val="007A712A"/>
    <w:rsid w:val="007A7729"/>
    <w:rsid w:val="007A7A99"/>
    <w:rsid w:val="007A7B77"/>
    <w:rsid w:val="007A7D47"/>
    <w:rsid w:val="007B024E"/>
    <w:rsid w:val="007B05DD"/>
    <w:rsid w:val="007B06E9"/>
    <w:rsid w:val="007B084A"/>
    <w:rsid w:val="007B0CF9"/>
    <w:rsid w:val="007B1113"/>
    <w:rsid w:val="007B15E6"/>
    <w:rsid w:val="007B2A64"/>
    <w:rsid w:val="007B2A6C"/>
    <w:rsid w:val="007B30C0"/>
    <w:rsid w:val="007B35EB"/>
    <w:rsid w:val="007B3889"/>
    <w:rsid w:val="007B3BAF"/>
    <w:rsid w:val="007B3DDC"/>
    <w:rsid w:val="007B4015"/>
    <w:rsid w:val="007B4A62"/>
    <w:rsid w:val="007B4B68"/>
    <w:rsid w:val="007B4D20"/>
    <w:rsid w:val="007B55F8"/>
    <w:rsid w:val="007B56C2"/>
    <w:rsid w:val="007B595F"/>
    <w:rsid w:val="007B5F10"/>
    <w:rsid w:val="007B7234"/>
    <w:rsid w:val="007B72A6"/>
    <w:rsid w:val="007B73CC"/>
    <w:rsid w:val="007B7D3C"/>
    <w:rsid w:val="007C06D2"/>
    <w:rsid w:val="007C0809"/>
    <w:rsid w:val="007C08E0"/>
    <w:rsid w:val="007C0941"/>
    <w:rsid w:val="007C0A72"/>
    <w:rsid w:val="007C0F57"/>
    <w:rsid w:val="007C1165"/>
    <w:rsid w:val="007C1525"/>
    <w:rsid w:val="007C1921"/>
    <w:rsid w:val="007C1DF2"/>
    <w:rsid w:val="007C1F99"/>
    <w:rsid w:val="007C225F"/>
    <w:rsid w:val="007C254A"/>
    <w:rsid w:val="007C29A7"/>
    <w:rsid w:val="007C2BFE"/>
    <w:rsid w:val="007C2C61"/>
    <w:rsid w:val="007C2D7D"/>
    <w:rsid w:val="007C2F4B"/>
    <w:rsid w:val="007C2FF1"/>
    <w:rsid w:val="007C3837"/>
    <w:rsid w:val="007C3EDB"/>
    <w:rsid w:val="007C40B6"/>
    <w:rsid w:val="007C40C7"/>
    <w:rsid w:val="007C4102"/>
    <w:rsid w:val="007C413F"/>
    <w:rsid w:val="007C4303"/>
    <w:rsid w:val="007C4D14"/>
    <w:rsid w:val="007C52DC"/>
    <w:rsid w:val="007C5974"/>
    <w:rsid w:val="007C5975"/>
    <w:rsid w:val="007C5ABB"/>
    <w:rsid w:val="007C5D81"/>
    <w:rsid w:val="007C5E42"/>
    <w:rsid w:val="007C69E8"/>
    <w:rsid w:val="007C6E21"/>
    <w:rsid w:val="007C7112"/>
    <w:rsid w:val="007C729F"/>
    <w:rsid w:val="007C72AD"/>
    <w:rsid w:val="007C72F4"/>
    <w:rsid w:val="007C74A1"/>
    <w:rsid w:val="007C74FB"/>
    <w:rsid w:val="007D069B"/>
    <w:rsid w:val="007D12E5"/>
    <w:rsid w:val="007D151B"/>
    <w:rsid w:val="007D16FF"/>
    <w:rsid w:val="007D1B1C"/>
    <w:rsid w:val="007D1EA4"/>
    <w:rsid w:val="007D1F13"/>
    <w:rsid w:val="007D2AFD"/>
    <w:rsid w:val="007D2CBF"/>
    <w:rsid w:val="007D2D94"/>
    <w:rsid w:val="007D311F"/>
    <w:rsid w:val="007D34FD"/>
    <w:rsid w:val="007D3841"/>
    <w:rsid w:val="007D3EC8"/>
    <w:rsid w:val="007D428F"/>
    <w:rsid w:val="007D4511"/>
    <w:rsid w:val="007D503D"/>
    <w:rsid w:val="007D59E7"/>
    <w:rsid w:val="007D5BF0"/>
    <w:rsid w:val="007D5F2A"/>
    <w:rsid w:val="007D6064"/>
    <w:rsid w:val="007D66A5"/>
    <w:rsid w:val="007D7094"/>
    <w:rsid w:val="007D7336"/>
    <w:rsid w:val="007D749C"/>
    <w:rsid w:val="007D74CF"/>
    <w:rsid w:val="007D7E4F"/>
    <w:rsid w:val="007E00FE"/>
    <w:rsid w:val="007E024D"/>
    <w:rsid w:val="007E027E"/>
    <w:rsid w:val="007E07AC"/>
    <w:rsid w:val="007E0C60"/>
    <w:rsid w:val="007E1014"/>
    <w:rsid w:val="007E12F8"/>
    <w:rsid w:val="007E1439"/>
    <w:rsid w:val="007E14EB"/>
    <w:rsid w:val="007E19B5"/>
    <w:rsid w:val="007E19C4"/>
    <w:rsid w:val="007E1BC7"/>
    <w:rsid w:val="007E1D28"/>
    <w:rsid w:val="007E1F08"/>
    <w:rsid w:val="007E24A4"/>
    <w:rsid w:val="007E2832"/>
    <w:rsid w:val="007E2C00"/>
    <w:rsid w:val="007E2D2F"/>
    <w:rsid w:val="007E2FCC"/>
    <w:rsid w:val="007E3481"/>
    <w:rsid w:val="007E3747"/>
    <w:rsid w:val="007E4564"/>
    <w:rsid w:val="007E490F"/>
    <w:rsid w:val="007E4C7A"/>
    <w:rsid w:val="007E5940"/>
    <w:rsid w:val="007E6001"/>
    <w:rsid w:val="007E6217"/>
    <w:rsid w:val="007E6533"/>
    <w:rsid w:val="007E68DC"/>
    <w:rsid w:val="007E70E1"/>
    <w:rsid w:val="007E71D0"/>
    <w:rsid w:val="007E75B2"/>
    <w:rsid w:val="007E794F"/>
    <w:rsid w:val="007E79F3"/>
    <w:rsid w:val="007E7ACD"/>
    <w:rsid w:val="007E7B66"/>
    <w:rsid w:val="007E7E88"/>
    <w:rsid w:val="007F0021"/>
    <w:rsid w:val="007F0E07"/>
    <w:rsid w:val="007F0FC6"/>
    <w:rsid w:val="007F1054"/>
    <w:rsid w:val="007F1105"/>
    <w:rsid w:val="007F134B"/>
    <w:rsid w:val="007F17FC"/>
    <w:rsid w:val="007F18D4"/>
    <w:rsid w:val="007F18E9"/>
    <w:rsid w:val="007F1E23"/>
    <w:rsid w:val="007F22FA"/>
    <w:rsid w:val="007F2641"/>
    <w:rsid w:val="007F2A32"/>
    <w:rsid w:val="007F2BC7"/>
    <w:rsid w:val="007F353F"/>
    <w:rsid w:val="007F3B68"/>
    <w:rsid w:val="007F40B2"/>
    <w:rsid w:val="007F4F0F"/>
    <w:rsid w:val="007F5919"/>
    <w:rsid w:val="007F59A0"/>
    <w:rsid w:val="007F5E7B"/>
    <w:rsid w:val="007F6147"/>
    <w:rsid w:val="007F6306"/>
    <w:rsid w:val="007F635D"/>
    <w:rsid w:val="007F6F6D"/>
    <w:rsid w:val="007F7361"/>
    <w:rsid w:val="007F7C36"/>
    <w:rsid w:val="007F7F45"/>
    <w:rsid w:val="0080001F"/>
    <w:rsid w:val="008001CC"/>
    <w:rsid w:val="00800AF6"/>
    <w:rsid w:val="00800B85"/>
    <w:rsid w:val="00800E72"/>
    <w:rsid w:val="008015BF"/>
    <w:rsid w:val="00801958"/>
    <w:rsid w:val="00801ACA"/>
    <w:rsid w:val="00801BD3"/>
    <w:rsid w:val="00801F96"/>
    <w:rsid w:val="008024F6"/>
    <w:rsid w:val="008026C3"/>
    <w:rsid w:val="0080281B"/>
    <w:rsid w:val="0080290A"/>
    <w:rsid w:val="008029EA"/>
    <w:rsid w:val="0080309C"/>
    <w:rsid w:val="00803A05"/>
    <w:rsid w:val="0080445E"/>
    <w:rsid w:val="008048B7"/>
    <w:rsid w:val="008050AF"/>
    <w:rsid w:val="008055AF"/>
    <w:rsid w:val="008057CD"/>
    <w:rsid w:val="008059E2"/>
    <w:rsid w:val="008066B8"/>
    <w:rsid w:val="00806796"/>
    <w:rsid w:val="00806BD1"/>
    <w:rsid w:val="008070FA"/>
    <w:rsid w:val="008079F2"/>
    <w:rsid w:val="00810167"/>
    <w:rsid w:val="0081026E"/>
    <w:rsid w:val="0081038E"/>
    <w:rsid w:val="008104D0"/>
    <w:rsid w:val="00811589"/>
    <w:rsid w:val="008119B9"/>
    <w:rsid w:val="00811CC0"/>
    <w:rsid w:val="008121AC"/>
    <w:rsid w:val="0081262D"/>
    <w:rsid w:val="00813771"/>
    <w:rsid w:val="00813939"/>
    <w:rsid w:val="00813A01"/>
    <w:rsid w:val="00813E29"/>
    <w:rsid w:val="0081422D"/>
    <w:rsid w:val="00814276"/>
    <w:rsid w:val="00814376"/>
    <w:rsid w:val="008148FC"/>
    <w:rsid w:val="00814E2C"/>
    <w:rsid w:val="008151D6"/>
    <w:rsid w:val="0081580F"/>
    <w:rsid w:val="0081597B"/>
    <w:rsid w:val="008159F9"/>
    <w:rsid w:val="00815A28"/>
    <w:rsid w:val="00815D99"/>
    <w:rsid w:val="00815E17"/>
    <w:rsid w:val="008160D4"/>
    <w:rsid w:val="008165A7"/>
    <w:rsid w:val="00816808"/>
    <w:rsid w:val="008168FD"/>
    <w:rsid w:val="0081698C"/>
    <w:rsid w:val="00816BB7"/>
    <w:rsid w:val="008176CC"/>
    <w:rsid w:val="0082030B"/>
    <w:rsid w:val="008207FF"/>
    <w:rsid w:val="00820803"/>
    <w:rsid w:val="00820E73"/>
    <w:rsid w:val="00821527"/>
    <w:rsid w:val="00821C25"/>
    <w:rsid w:val="008221A9"/>
    <w:rsid w:val="008225CE"/>
    <w:rsid w:val="00822696"/>
    <w:rsid w:val="00822F0A"/>
    <w:rsid w:val="00822F10"/>
    <w:rsid w:val="008234FE"/>
    <w:rsid w:val="008236FD"/>
    <w:rsid w:val="00824525"/>
    <w:rsid w:val="00824B69"/>
    <w:rsid w:val="00824F3D"/>
    <w:rsid w:val="0082531E"/>
    <w:rsid w:val="00825536"/>
    <w:rsid w:val="00825787"/>
    <w:rsid w:val="008258C7"/>
    <w:rsid w:val="00825A6C"/>
    <w:rsid w:val="00825B84"/>
    <w:rsid w:val="00825CB9"/>
    <w:rsid w:val="0082617E"/>
    <w:rsid w:val="00826255"/>
    <w:rsid w:val="0082643B"/>
    <w:rsid w:val="008265ED"/>
    <w:rsid w:val="00826866"/>
    <w:rsid w:val="008268BB"/>
    <w:rsid w:val="00826988"/>
    <w:rsid w:val="00826D9D"/>
    <w:rsid w:val="00826DA0"/>
    <w:rsid w:val="00826EE7"/>
    <w:rsid w:val="00826F05"/>
    <w:rsid w:val="00826F6D"/>
    <w:rsid w:val="00826F79"/>
    <w:rsid w:val="00827035"/>
    <w:rsid w:val="008273BC"/>
    <w:rsid w:val="008275E0"/>
    <w:rsid w:val="00827D97"/>
    <w:rsid w:val="00830234"/>
    <w:rsid w:val="008306F3"/>
    <w:rsid w:val="008308A5"/>
    <w:rsid w:val="008309F9"/>
    <w:rsid w:val="00830BA8"/>
    <w:rsid w:val="00830E40"/>
    <w:rsid w:val="00830E5D"/>
    <w:rsid w:val="00830EDC"/>
    <w:rsid w:val="00832165"/>
    <w:rsid w:val="008321D0"/>
    <w:rsid w:val="008323DC"/>
    <w:rsid w:val="0083287E"/>
    <w:rsid w:val="008329CE"/>
    <w:rsid w:val="00832D9A"/>
    <w:rsid w:val="00832E85"/>
    <w:rsid w:val="00832E8F"/>
    <w:rsid w:val="0083300F"/>
    <w:rsid w:val="00833319"/>
    <w:rsid w:val="008334D5"/>
    <w:rsid w:val="0083354B"/>
    <w:rsid w:val="00833848"/>
    <w:rsid w:val="00833B8B"/>
    <w:rsid w:val="00834254"/>
    <w:rsid w:val="008345A6"/>
    <w:rsid w:val="008345EA"/>
    <w:rsid w:val="008349F4"/>
    <w:rsid w:val="00835054"/>
    <w:rsid w:val="008352D1"/>
    <w:rsid w:val="00835468"/>
    <w:rsid w:val="00835912"/>
    <w:rsid w:val="00835C62"/>
    <w:rsid w:val="00835DE4"/>
    <w:rsid w:val="00835EBF"/>
    <w:rsid w:val="00835EC5"/>
    <w:rsid w:val="008363B0"/>
    <w:rsid w:val="008366AF"/>
    <w:rsid w:val="008368A1"/>
    <w:rsid w:val="008368E7"/>
    <w:rsid w:val="00836AB1"/>
    <w:rsid w:val="00837017"/>
    <w:rsid w:val="008370BB"/>
    <w:rsid w:val="008376E5"/>
    <w:rsid w:val="00837B7F"/>
    <w:rsid w:val="00837D01"/>
    <w:rsid w:val="00837F95"/>
    <w:rsid w:val="00840594"/>
    <w:rsid w:val="008405FC"/>
    <w:rsid w:val="00840CA3"/>
    <w:rsid w:val="00840EEE"/>
    <w:rsid w:val="00840EF7"/>
    <w:rsid w:val="00840EF9"/>
    <w:rsid w:val="00841648"/>
    <w:rsid w:val="00841799"/>
    <w:rsid w:val="008417A4"/>
    <w:rsid w:val="00841F90"/>
    <w:rsid w:val="008420E2"/>
    <w:rsid w:val="0084221F"/>
    <w:rsid w:val="00842BDA"/>
    <w:rsid w:val="00842D25"/>
    <w:rsid w:val="008434AA"/>
    <w:rsid w:val="00843608"/>
    <w:rsid w:val="00843628"/>
    <w:rsid w:val="0084425C"/>
    <w:rsid w:val="00844439"/>
    <w:rsid w:val="008444D3"/>
    <w:rsid w:val="008446BD"/>
    <w:rsid w:val="00844C04"/>
    <w:rsid w:val="00844C0A"/>
    <w:rsid w:val="00845342"/>
    <w:rsid w:val="00845BB3"/>
    <w:rsid w:val="00846056"/>
    <w:rsid w:val="00846065"/>
    <w:rsid w:val="008464B4"/>
    <w:rsid w:val="0084681F"/>
    <w:rsid w:val="00846ED6"/>
    <w:rsid w:val="008470E9"/>
    <w:rsid w:val="0084743F"/>
    <w:rsid w:val="008474D4"/>
    <w:rsid w:val="00847AB3"/>
    <w:rsid w:val="00847C46"/>
    <w:rsid w:val="00847D08"/>
    <w:rsid w:val="00847EC0"/>
    <w:rsid w:val="00850A92"/>
    <w:rsid w:val="008510EC"/>
    <w:rsid w:val="0085127C"/>
    <w:rsid w:val="0085168F"/>
    <w:rsid w:val="00851ABB"/>
    <w:rsid w:val="00851B32"/>
    <w:rsid w:val="00852179"/>
    <w:rsid w:val="00852492"/>
    <w:rsid w:val="00852CDA"/>
    <w:rsid w:val="00852D7B"/>
    <w:rsid w:val="00853008"/>
    <w:rsid w:val="00853895"/>
    <w:rsid w:val="00853C86"/>
    <w:rsid w:val="00853D60"/>
    <w:rsid w:val="00853F18"/>
    <w:rsid w:val="00854126"/>
    <w:rsid w:val="00854323"/>
    <w:rsid w:val="00854506"/>
    <w:rsid w:val="00854907"/>
    <w:rsid w:val="0085524C"/>
    <w:rsid w:val="00855CEE"/>
    <w:rsid w:val="00855FD6"/>
    <w:rsid w:val="00855FD7"/>
    <w:rsid w:val="008568F6"/>
    <w:rsid w:val="00856B80"/>
    <w:rsid w:val="00856C10"/>
    <w:rsid w:val="00856CFA"/>
    <w:rsid w:val="00856DDD"/>
    <w:rsid w:val="00856EB8"/>
    <w:rsid w:val="008574D7"/>
    <w:rsid w:val="0085771C"/>
    <w:rsid w:val="00860233"/>
    <w:rsid w:val="0086023C"/>
    <w:rsid w:val="008603FC"/>
    <w:rsid w:val="0086063F"/>
    <w:rsid w:val="00860E2B"/>
    <w:rsid w:val="008611D4"/>
    <w:rsid w:val="00861459"/>
    <w:rsid w:val="008614BA"/>
    <w:rsid w:val="00861761"/>
    <w:rsid w:val="00861848"/>
    <w:rsid w:val="00861DC9"/>
    <w:rsid w:val="008620CD"/>
    <w:rsid w:val="0086210E"/>
    <w:rsid w:val="00862496"/>
    <w:rsid w:val="00862512"/>
    <w:rsid w:val="00862AF2"/>
    <w:rsid w:val="00862BA5"/>
    <w:rsid w:val="00863536"/>
    <w:rsid w:val="00863A07"/>
    <w:rsid w:val="00863AAD"/>
    <w:rsid w:val="00863E68"/>
    <w:rsid w:val="00863F3C"/>
    <w:rsid w:val="008643D0"/>
    <w:rsid w:val="008643EB"/>
    <w:rsid w:val="00864542"/>
    <w:rsid w:val="008647B5"/>
    <w:rsid w:val="00865030"/>
    <w:rsid w:val="008655DF"/>
    <w:rsid w:val="00865CBA"/>
    <w:rsid w:val="00865F3B"/>
    <w:rsid w:val="008661C2"/>
    <w:rsid w:val="008666AF"/>
    <w:rsid w:val="00866DEF"/>
    <w:rsid w:val="008675B7"/>
    <w:rsid w:val="008675BC"/>
    <w:rsid w:val="00867BA0"/>
    <w:rsid w:val="00867C5B"/>
    <w:rsid w:val="00867D64"/>
    <w:rsid w:val="00867FDA"/>
    <w:rsid w:val="0087051B"/>
    <w:rsid w:val="00870564"/>
    <w:rsid w:val="00870C1E"/>
    <w:rsid w:val="00871599"/>
    <w:rsid w:val="00871734"/>
    <w:rsid w:val="00871C74"/>
    <w:rsid w:val="00871E55"/>
    <w:rsid w:val="00872AE6"/>
    <w:rsid w:val="00872E8F"/>
    <w:rsid w:val="008737EE"/>
    <w:rsid w:val="00873948"/>
    <w:rsid w:val="00873C70"/>
    <w:rsid w:val="00873D7B"/>
    <w:rsid w:val="00874381"/>
    <w:rsid w:val="00874B71"/>
    <w:rsid w:val="0087503A"/>
    <w:rsid w:val="0087547F"/>
    <w:rsid w:val="00875827"/>
    <w:rsid w:val="00875DCB"/>
    <w:rsid w:val="00875DD6"/>
    <w:rsid w:val="00876735"/>
    <w:rsid w:val="008768E4"/>
    <w:rsid w:val="00876B53"/>
    <w:rsid w:val="00876C5C"/>
    <w:rsid w:val="00876CAC"/>
    <w:rsid w:val="00876FBF"/>
    <w:rsid w:val="0087755A"/>
    <w:rsid w:val="00877605"/>
    <w:rsid w:val="00877837"/>
    <w:rsid w:val="00877DD1"/>
    <w:rsid w:val="00877E89"/>
    <w:rsid w:val="00877F33"/>
    <w:rsid w:val="008800C9"/>
    <w:rsid w:val="008801DA"/>
    <w:rsid w:val="00880407"/>
    <w:rsid w:val="008808A5"/>
    <w:rsid w:val="00880D84"/>
    <w:rsid w:val="00880F73"/>
    <w:rsid w:val="0088113D"/>
    <w:rsid w:val="00881C4E"/>
    <w:rsid w:val="00882041"/>
    <w:rsid w:val="00882085"/>
    <w:rsid w:val="0088223F"/>
    <w:rsid w:val="00882252"/>
    <w:rsid w:val="00882756"/>
    <w:rsid w:val="008828F0"/>
    <w:rsid w:val="00883188"/>
    <w:rsid w:val="00883588"/>
    <w:rsid w:val="008838C2"/>
    <w:rsid w:val="00883960"/>
    <w:rsid w:val="00883D58"/>
    <w:rsid w:val="00884901"/>
    <w:rsid w:val="00884A0C"/>
    <w:rsid w:val="008854DF"/>
    <w:rsid w:val="008855C9"/>
    <w:rsid w:val="00885FF3"/>
    <w:rsid w:val="008869D0"/>
    <w:rsid w:val="008869F0"/>
    <w:rsid w:val="00886AC1"/>
    <w:rsid w:val="00886ACA"/>
    <w:rsid w:val="00886B01"/>
    <w:rsid w:val="00886EC0"/>
    <w:rsid w:val="00887120"/>
    <w:rsid w:val="00887236"/>
    <w:rsid w:val="008872E1"/>
    <w:rsid w:val="008875ED"/>
    <w:rsid w:val="0089031E"/>
    <w:rsid w:val="0089065B"/>
    <w:rsid w:val="00890728"/>
    <w:rsid w:val="00890BB9"/>
    <w:rsid w:val="00890C15"/>
    <w:rsid w:val="0089109A"/>
    <w:rsid w:val="008912D6"/>
    <w:rsid w:val="0089150D"/>
    <w:rsid w:val="00891CD0"/>
    <w:rsid w:val="00891F8C"/>
    <w:rsid w:val="00892B3D"/>
    <w:rsid w:val="00893126"/>
    <w:rsid w:val="008933A6"/>
    <w:rsid w:val="00893884"/>
    <w:rsid w:val="00893B51"/>
    <w:rsid w:val="00893D5C"/>
    <w:rsid w:val="00893DD8"/>
    <w:rsid w:val="0089400A"/>
    <w:rsid w:val="0089447E"/>
    <w:rsid w:val="0089451F"/>
    <w:rsid w:val="0089460B"/>
    <w:rsid w:val="00894639"/>
    <w:rsid w:val="00894FDF"/>
    <w:rsid w:val="008957C1"/>
    <w:rsid w:val="0089682B"/>
    <w:rsid w:val="00896A07"/>
    <w:rsid w:val="0089740E"/>
    <w:rsid w:val="0089754C"/>
    <w:rsid w:val="00897965"/>
    <w:rsid w:val="00897D58"/>
    <w:rsid w:val="00897DAA"/>
    <w:rsid w:val="00897F22"/>
    <w:rsid w:val="008A0721"/>
    <w:rsid w:val="008A07AF"/>
    <w:rsid w:val="008A0B39"/>
    <w:rsid w:val="008A0B95"/>
    <w:rsid w:val="008A0DE6"/>
    <w:rsid w:val="008A1560"/>
    <w:rsid w:val="008A17A3"/>
    <w:rsid w:val="008A1956"/>
    <w:rsid w:val="008A1A17"/>
    <w:rsid w:val="008A1E85"/>
    <w:rsid w:val="008A2419"/>
    <w:rsid w:val="008A281B"/>
    <w:rsid w:val="008A2CB6"/>
    <w:rsid w:val="008A2DF5"/>
    <w:rsid w:val="008A308C"/>
    <w:rsid w:val="008A3311"/>
    <w:rsid w:val="008A3343"/>
    <w:rsid w:val="008A34B7"/>
    <w:rsid w:val="008A368B"/>
    <w:rsid w:val="008A3738"/>
    <w:rsid w:val="008A3B1E"/>
    <w:rsid w:val="008A3ECF"/>
    <w:rsid w:val="008A4019"/>
    <w:rsid w:val="008A42C2"/>
    <w:rsid w:val="008A44D6"/>
    <w:rsid w:val="008A465D"/>
    <w:rsid w:val="008A4937"/>
    <w:rsid w:val="008A4A7E"/>
    <w:rsid w:val="008A4A86"/>
    <w:rsid w:val="008A4A8F"/>
    <w:rsid w:val="008A4B0D"/>
    <w:rsid w:val="008A4FF7"/>
    <w:rsid w:val="008A50F1"/>
    <w:rsid w:val="008A550B"/>
    <w:rsid w:val="008A596E"/>
    <w:rsid w:val="008A5999"/>
    <w:rsid w:val="008A59D9"/>
    <w:rsid w:val="008A5A71"/>
    <w:rsid w:val="008A5D80"/>
    <w:rsid w:val="008A609E"/>
    <w:rsid w:val="008A643E"/>
    <w:rsid w:val="008A6819"/>
    <w:rsid w:val="008A6884"/>
    <w:rsid w:val="008A68AD"/>
    <w:rsid w:val="008A69F2"/>
    <w:rsid w:val="008A7007"/>
    <w:rsid w:val="008A7B4E"/>
    <w:rsid w:val="008A7E10"/>
    <w:rsid w:val="008B000C"/>
    <w:rsid w:val="008B003F"/>
    <w:rsid w:val="008B007A"/>
    <w:rsid w:val="008B0B2B"/>
    <w:rsid w:val="008B0D9E"/>
    <w:rsid w:val="008B1000"/>
    <w:rsid w:val="008B11BA"/>
    <w:rsid w:val="008B17A6"/>
    <w:rsid w:val="008B1C54"/>
    <w:rsid w:val="008B1CAF"/>
    <w:rsid w:val="008B2150"/>
    <w:rsid w:val="008B2307"/>
    <w:rsid w:val="008B2435"/>
    <w:rsid w:val="008B2E75"/>
    <w:rsid w:val="008B2EC0"/>
    <w:rsid w:val="008B335D"/>
    <w:rsid w:val="008B33CA"/>
    <w:rsid w:val="008B383E"/>
    <w:rsid w:val="008B3F8C"/>
    <w:rsid w:val="008B46C4"/>
    <w:rsid w:val="008B4DC5"/>
    <w:rsid w:val="008B4ED7"/>
    <w:rsid w:val="008B510D"/>
    <w:rsid w:val="008B539D"/>
    <w:rsid w:val="008B5464"/>
    <w:rsid w:val="008B5542"/>
    <w:rsid w:val="008B559E"/>
    <w:rsid w:val="008B5700"/>
    <w:rsid w:val="008B59D4"/>
    <w:rsid w:val="008B6475"/>
    <w:rsid w:val="008B68F9"/>
    <w:rsid w:val="008B69A4"/>
    <w:rsid w:val="008B6D06"/>
    <w:rsid w:val="008B6DCF"/>
    <w:rsid w:val="008B7217"/>
    <w:rsid w:val="008B784E"/>
    <w:rsid w:val="008B7CE8"/>
    <w:rsid w:val="008B7D73"/>
    <w:rsid w:val="008C045C"/>
    <w:rsid w:val="008C06C2"/>
    <w:rsid w:val="008C09B9"/>
    <w:rsid w:val="008C1560"/>
    <w:rsid w:val="008C19EA"/>
    <w:rsid w:val="008C1D09"/>
    <w:rsid w:val="008C2487"/>
    <w:rsid w:val="008C28D0"/>
    <w:rsid w:val="008C2E01"/>
    <w:rsid w:val="008C2F98"/>
    <w:rsid w:val="008C3060"/>
    <w:rsid w:val="008C30E8"/>
    <w:rsid w:val="008C3749"/>
    <w:rsid w:val="008C3E50"/>
    <w:rsid w:val="008C41DF"/>
    <w:rsid w:val="008C4D49"/>
    <w:rsid w:val="008C52C0"/>
    <w:rsid w:val="008C5987"/>
    <w:rsid w:val="008C5A3A"/>
    <w:rsid w:val="008C60CC"/>
    <w:rsid w:val="008C6393"/>
    <w:rsid w:val="008C6A86"/>
    <w:rsid w:val="008C704C"/>
    <w:rsid w:val="008C78A8"/>
    <w:rsid w:val="008C79CE"/>
    <w:rsid w:val="008C7A48"/>
    <w:rsid w:val="008C7B47"/>
    <w:rsid w:val="008D0052"/>
    <w:rsid w:val="008D0123"/>
    <w:rsid w:val="008D073E"/>
    <w:rsid w:val="008D0836"/>
    <w:rsid w:val="008D0945"/>
    <w:rsid w:val="008D0AA4"/>
    <w:rsid w:val="008D0BA4"/>
    <w:rsid w:val="008D0DBC"/>
    <w:rsid w:val="008D1409"/>
    <w:rsid w:val="008D148C"/>
    <w:rsid w:val="008D14EC"/>
    <w:rsid w:val="008D15CC"/>
    <w:rsid w:val="008D1729"/>
    <w:rsid w:val="008D1A26"/>
    <w:rsid w:val="008D1B5C"/>
    <w:rsid w:val="008D1C06"/>
    <w:rsid w:val="008D24D8"/>
    <w:rsid w:val="008D2758"/>
    <w:rsid w:val="008D2BE0"/>
    <w:rsid w:val="008D2C3E"/>
    <w:rsid w:val="008D30E1"/>
    <w:rsid w:val="008D31B7"/>
    <w:rsid w:val="008D3B19"/>
    <w:rsid w:val="008D3B8D"/>
    <w:rsid w:val="008D3C82"/>
    <w:rsid w:val="008D3D3D"/>
    <w:rsid w:val="008D4280"/>
    <w:rsid w:val="008D447E"/>
    <w:rsid w:val="008D4A1A"/>
    <w:rsid w:val="008D4A37"/>
    <w:rsid w:val="008D4EA2"/>
    <w:rsid w:val="008D4EB8"/>
    <w:rsid w:val="008D5079"/>
    <w:rsid w:val="008D54B7"/>
    <w:rsid w:val="008D54D7"/>
    <w:rsid w:val="008D64C4"/>
    <w:rsid w:val="008D6ACF"/>
    <w:rsid w:val="008D6C22"/>
    <w:rsid w:val="008D77F3"/>
    <w:rsid w:val="008D7A41"/>
    <w:rsid w:val="008D7F3A"/>
    <w:rsid w:val="008E0671"/>
    <w:rsid w:val="008E0C50"/>
    <w:rsid w:val="008E0DF5"/>
    <w:rsid w:val="008E15A6"/>
    <w:rsid w:val="008E1938"/>
    <w:rsid w:val="008E19DD"/>
    <w:rsid w:val="008E29E7"/>
    <w:rsid w:val="008E2C72"/>
    <w:rsid w:val="008E2F54"/>
    <w:rsid w:val="008E30F6"/>
    <w:rsid w:val="008E34A2"/>
    <w:rsid w:val="008E35C6"/>
    <w:rsid w:val="008E3680"/>
    <w:rsid w:val="008E3894"/>
    <w:rsid w:val="008E3A40"/>
    <w:rsid w:val="008E3AC4"/>
    <w:rsid w:val="008E3D60"/>
    <w:rsid w:val="008E4126"/>
    <w:rsid w:val="008E4168"/>
    <w:rsid w:val="008E4407"/>
    <w:rsid w:val="008E47D4"/>
    <w:rsid w:val="008E4E9F"/>
    <w:rsid w:val="008E4F87"/>
    <w:rsid w:val="008E5053"/>
    <w:rsid w:val="008E5792"/>
    <w:rsid w:val="008E5870"/>
    <w:rsid w:val="008E63AA"/>
    <w:rsid w:val="008E6416"/>
    <w:rsid w:val="008E6822"/>
    <w:rsid w:val="008E75B6"/>
    <w:rsid w:val="008E76BA"/>
    <w:rsid w:val="008E77E4"/>
    <w:rsid w:val="008E7A79"/>
    <w:rsid w:val="008E7BE1"/>
    <w:rsid w:val="008E7FEC"/>
    <w:rsid w:val="008F01AD"/>
    <w:rsid w:val="008F0213"/>
    <w:rsid w:val="008F0247"/>
    <w:rsid w:val="008F07ED"/>
    <w:rsid w:val="008F0A9A"/>
    <w:rsid w:val="008F0BC7"/>
    <w:rsid w:val="008F0D3E"/>
    <w:rsid w:val="008F0D4B"/>
    <w:rsid w:val="008F11F8"/>
    <w:rsid w:val="008F1434"/>
    <w:rsid w:val="008F163A"/>
    <w:rsid w:val="008F1730"/>
    <w:rsid w:val="008F1980"/>
    <w:rsid w:val="008F1B9E"/>
    <w:rsid w:val="008F1C3C"/>
    <w:rsid w:val="008F2111"/>
    <w:rsid w:val="008F2BB9"/>
    <w:rsid w:val="008F2C3E"/>
    <w:rsid w:val="008F2E69"/>
    <w:rsid w:val="008F3227"/>
    <w:rsid w:val="008F34C5"/>
    <w:rsid w:val="008F3D6A"/>
    <w:rsid w:val="008F3D8D"/>
    <w:rsid w:val="008F3DA3"/>
    <w:rsid w:val="008F3FD1"/>
    <w:rsid w:val="008F40D8"/>
    <w:rsid w:val="008F4C33"/>
    <w:rsid w:val="008F4E23"/>
    <w:rsid w:val="008F4E30"/>
    <w:rsid w:val="008F519D"/>
    <w:rsid w:val="008F521E"/>
    <w:rsid w:val="008F53B5"/>
    <w:rsid w:val="008F54C3"/>
    <w:rsid w:val="008F62AA"/>
    <w:rsid w:val="008F6C51"/>
    <w:rsid w:val="008F7355"/>
    <w:rsid w:val="008F7392"/>
    <w:rsid w:val="008F748E"/>
    <w:rsid w:val="008F7656"/>
    <w:rsid w:val="008F7884"/>
    <w:rsid w:val="008F78BB"/>
    <w:rsid w:val="008F78F8"/>
    <w:rsid w:val="008F7E1F"/>
    <w:rsid w:val="0090029F"/>
    <w:rsid w:val="009009E7"/>
    <w:rsid w:val="00900B40"/>
    <w:rsid w:val="00900C75"/>
    <w:rsid w:val="00900CD5"/>
    <w:rsid w:val="00900EE2"/>
    <w:rsid w:val="00901031"/>
    <w:rsid w:val="0090193B"/>
    <w:rsid w:val="009019F6"/>
    <w:rsid w:val="00901A2B"/>
    <w:rsid w:val="00901C4B"/>
    <w:rsid w:val="009023DC"/>
    <w:rsid w:val="009027C5"/>
    <w:rsid w:val="0090296D"/>
    <w:rsid w:val="009029E7"/>
    <w:rsid w:val="00902F2A"/>
    <w:rsid w:val="009035AD"/>
    <w:rsid w:val="00903616"/>
    <w:rsid w:val="00903ECE"/>
    <w:rsid w:val="00904413"/>
    <w:rsid w:val="00904A25"/>
    <w:rsid w:val="00904A75"/>
    <w:rsid w:val="00904BB8"/>
    <w:rsid w:val="00905061"/>
    <w:rsid w:val="009050B5"/>
    <w:rsid w:val="00905304"/>
    <w:rsid w:val="0090536E"/>
    <w:rsid w:val="0090554A"/>
    <w:rsid w:val="009058C4"/>
    <w:rsid w:val="00906270"/>
    <w:rsid w:val="009067B7"/>
    <w:rsid w:val="00906AB3"/>
    <w:rsid w:val="00906BE2"/>
    <w:rsid w:val="00906D3B"/>
    <w:rsid w:val="00906E7A"/>
    <w:rsid w:val="00906E7F"/>
    <w:rsid w:val="009070AA"/>
    <w:rsid w:val="00907420"/>
    <w:rsid w:val="00907581"/>
    <w:rsid w:val="0090775A"/>
    <w:rsid w:val="0090778C"/>
    <w:rsid w:val="00907DFD"/>
    <w:rsid w:val="00907F23"/>
    <w:rsid w:val="00910138"/>
    <w:rsid w:val="00910583"/>
    <w:rsid w:val="009105AD"/>
    <w:rsid w:val="00910B2D"/>
    <w:rsid w:val="00910C85"/>
    <w:rsid w:val="00910CEF"/>
    <w:rsid w:val="0091108B"/>
    <w:rsid w:val="009114DA"/>
    <w:rsid w:val="00911782"/>
    <w:rsid w:val="0091180D"/>
    <w:rsid w:val="00911D44"/>
    <w:rsid w:val="009124B6"/>
    <w:rsid w:val="0091259E"/>
    <w:rsid w:val="0091272A"/>
    <w:rsid w:val="00912A23"/>
    <w:rsid w:val="00913531"/>
    <w:rsid w:val="0091363D"/>
    <w:rsid w:val="009138F1"/>
    <w:rsid w:val="00913B72"/>
    <w:rsid w:val="00913C99"/>
    <w:rsid w:val="00913FC6"/>
    <w:rsid w:val="00914370"/>
    <w:rsid w:val="00914500"/>
    <w:rsid w:val="00914AFC"/>
    <w:rsid w:val="00914F8E"/>
    <w:rsid w:val="009155D5"/>
    <w:rsid w:val="00915A9F"/>
    <w:rsid w:val="00915F0D"/>
    <w:rsid w:val="0091631D"/>
    <w:rsid w:val="00916452"/>
    <w:rsid w:val="009167E7"/>
    <w:rsid w:val="00917242"/>
    <w:rsid w:val="00917566"/>
    <w:rsid w:val="00917D69"/>
    <w:rsid w:val="0092026E"/>
    <w:rsid w:val="00920B6D"/>
    <w:rsid w:val="0092108E"/>
    <w:rsid w:val="009210C5"/>
    <w:rsid w:val="009213F8"/>
    <w:rsid w:val="00921493"/>
    <w:rsid w:val="00921555"/>
    <w:rsid w:val="0092210B"/>
    <w:rsid w:val="00922205"/>
    <w:rsid w:val="00922A56"/>
    <w:rsid w:val="00922EC6"/>
    <w:rsid w:val="00923396"/>
    <w:rsid w:val="00923793"/>
    <w:rsid w:val="0092389D"/>
    <w:rsid w:val="00923B76"/>
    <w:rsid w:val="00923C63"/>
    <w:rsid w:val="00923C81"/>
    <w:rsid w:val="00923FF6"/>
    <w:rsid w:val="00924074"/>
    <w:rsid w:val="009240B5"/>
    <w:rsid w:val="009241B4"/>
    <w:rsid w:val="009245E2"/>
    <w:rsid w:val="0092466F"/>
    <w:rsid w:val="00924AB9"/>
    <w:rsid w:val="0092520F"/>
    <w:rsid w:val="0092544C"/>
    <w:rsid w:val="009254EC"/>
    <w:rsid w:val="009262A7"/>
    <w:rsid w:val="00926560"/>
    <w:rsid w:val="009265A8"/>
    <w:rsid w:val="00926B15"/>
    <w:rsid w:val="00926C91"/>
    <w:rsid w:val="00926E05"/>
    <w:rsid w:val="009270DF"/>
    <w:rsid w:val="0092757A"/>
    <w:rsid w:val="00927E3F"/>
    <w:rsid w:val="00927F77"/>
    <w:rsid w:val="009301B9"/>
    <w:rsid w:val="00930291"/>
    <w:rsid w:val="0093048B"/>
    <w:rsid w:val="00930666"/>
    <w:rsid w:val="00930694"/>
    <w:rsid w:val="0093079F"/>
    <w:rsid w:val="00930937"/>
    <w:rsid w:val="009309AC"/>
    <w:rsid w:val="00930B0C"/>
    <w:rsid w:val="0093125F"/>
    <w:rsid w:val="00931B48"/>
    <w:rsid w:val="00931EA6"/>
    <w:rsid w:val="00931F53"/>
    <w:rsid w:val="009324A6"/>
    <w:rsid w:val="0093251B"/>
    <w:rsid w:val="009326D6"/>
    <w:rsid w:val="00932D9D"/>
    <w:rsid w:val="00933206"/>
    <w:rsid w:val="0093365F"/>
    <w:rsid w:val="00933B7D"/>
    <w:rsid w:val="00933D75"/>
    <w:rsid w:val="00933E6C"/>
    <w:rsid w:val="00933F3E"/>
    <w:rsid w:val="009342B4"/>
    <w:rsid w:val="0093455E"/>
    <w:rsid w:val="009353C5"/>
    <w:rsid w:val="00935863"/>
    <w:rsid w:val="00935A6E"/>
    <w:rsid w:val="00935FE5"/>
    <w:rsid w:val="00936007"/>
    <w:rsid w:val="00936B16"/>
    <w:rsid w:val="00936B7C"/>
    <w:rsid w:val="00937958"/>
    <w:rsid w:val="00937F2D"/>
    <w:rsid w:val="009405B7"/>
    <w:rsid w:val="009406E5"/>
    <w:rsid w:val="009410BF"/>
    <w:rsid w:val="009412DC"/>
    <w:rsid w:val="00941473"/>
    <w:rsid w:val="00941602"/>
    <w:rsid w:val="009418FF"/>
    <w:rsid w:val="00941DF8"/>
    <w:rsid w:val="00942160"/>
    <w:rsid w:val="0094254E"/>
    <w:rsid w:val="00942D43"/>
    <w:rsid w:val="00942F52"/>
    <w:rsid w:val="0094338B"/>
    <w:rsid w:val="009434A6"/>
    <w:rsid w:val="00943B07"/>
    <w:rsid w:val="00943B5E"/>
    <w:rsid w:val="00943D72"/>
    <w:rsid w:val="00943EFE"/>
    <w:rsid w:val="009445E0"/>
    <w:rsid w:val="009446AE"/>
    <w:rsid w:val="0094473F"/>
    <w:rsid w:val="009448B6"/>
    <w:rsid w:val="00945519"/>
    <w:rsid w:val="0094552B"/>
    <w:rsid w:val="009456C6"/>
    <w:rsid w:val="00945D1F"/>
    <w:rsid w:val="00946712"/>
    <w:rsid w:val="00946921"/>
    <w:rsid w:val="00946F30"/>
    <w:rsid w:val="0094726F"/>
    <w:rsid w:val="00947343"/>
    <w:rsid w:val="009477EA"/>
    <w:rsid w:val="00947A5C"/>
    <w:rsid w:val="00947C89"/>
    <w:rsid w:val="0095013A"/>
    <w:rsid w:val="00950444"/>
    <w:rsid w:val="0095052B"/>
    <w:rsid w:val="00950726"/>
    <w:rsid w:val="00950CD6"/>
    <w:rsid w:val="0095146F"/>
    <w:rsid w:val="00951744"/>
    <w:rsid w:val="00951787"/>
    <w:rsid w:val="00951864"/>
    <w:rsid w:val="00951F2D"/>
    <w:rsid w:val="00952366"/>
    <w:rsid w:val="00952411"/>
    <w:rsid w:val="00952561"/>
    <w:rsid w:val="00952839"/>
    <w:rsid w:val="00952B0F"/>
    <w:rsid w:val="00952F37"/>
    <w:rsid w:val="0095344C"/>
    <w:rsid w:val="009534C7"/>
    <w:rsid w:val="00953711"/>
    <w:rsid w:val="0095390C"/>
    <w:rsid w:val="009541EA"/>
    <w:rsid w:val="00954440"/>
    <w:rsid w:val="009547D7"/>
    <w:rsid w:val="00954ED6"/>
    <w:rsid w:val="0095546C"/>
    <w:rsid w:val="0095566A"/>
    <w:rsid w:val="00955D08"/>
    <w:rsid w:val="00955FEA"/>
    <w:rsid w:val="00956743"/>
    <w:rsid w:val="00957239"/>
    <w:rsid w:val="009572B2"/>
    <w:rsid w:val="009572E0"/>
    <w:rsid w:val="00957470"/>
    <w:rsid w:val="009576D4"/>
    <w:rsid w:val="00957944"/>
    <w:rsid w:val="009579EA"/>
    <w:rsid w:val="009602C5"/>
    <w:rsid w:val="00960A22"/>
    <w:rsid w:val="00960B28"/>
    <w:rsid w:val="00960BDC"/>
    <w:rsid w:val="00960DC5"/>
    <w:rsid w:val="00960F98"/>
    <w:rsid w:val="0096103A"/>
    <w:rsid w:val="00961080"/>
    <w:rsid w:val="009610F6"/>
    <w:rsid w:val="0096114B"/>
    <w:rsid w:val="009617F7"/>
    <w:rsid w:val="00961880"/>
    <w:rsid w:val="00961DE4"/>
    <w:rsid w:val="00962223"/>
    <w:rsid w:val="0096252B"/>
    <w:rsid w:val="00962857"/>
    <w:rsid w:val="00962C01"/>
    <w:rsid w:val="00962F22"/>
    <w:rsid w:val="009631B8"/>
    <w:rsid w:val="0096361B"/>
    <w:rsid w:val="0096394A"/>
    <w:rsid w:val="00963E72"/>
    <w:rsid w:val="009644D9"/>
    <w:rsid w:val="00964A9F"/>
    <w:rsid w:val="009652E1"/>
    <w:rsid w:val="0096558D"/>
    <w:rsid w:val="00965B75"/>
    <w:rsid w:val="009661FD"/>
    <w:rsid w:val="00966815"/>
    <w:rsid w:val="00966CC9"/>
    <w:rsid w:val="00966D0D"/>
    <w:rsid w:val="00966F6D"/>
    <w:rsid w:val="00967154"/>
    <w:rsid w:val="009673B5"/>
    <w:rsid w:val="00967732"/>
    <w:rsid w:val="0096783C"/>
    <w:rsid w:val="00967FBF"/>
    <w:rsid w:val="00970023"/>
    <w:rsid w:val="009705ED"/>
    <w:rsid w:val="00970673"/>
    <w:rsid w:val="009708A4"/>
    <w:rsid w:val="0097090D"/>
    <w:rsid w:val="009709A6"/>
    <w:rsid w:val="00970B14"/>
    <w:rsid w:val="00971135"/>
    <w:rsid w:val="00971178"/>
    <w:rsid w:val="00971876"/>
    <w:rsid w:val="00971977"/>
    <w:rsid w:val="009722B3"/>
    <w:rsid w:val="0097245E"/>
    <w:rsid w:val="00972C2B"/>
    <w:rsid w:val="0097349F"/>
    <w:rsid w:val="009735DF"/>
    <w:rsid w:val="00973822"/>
    <w:rsid w:val="00973942"/>
    <w:rsid w:val="00973E24"/>
    <w:rsid w:val="0097437F"/>
    <w:rsid w:val="00974C21"/>
    <w:rsid w:val="00974C5E"/>
    <w:rsid w:val="00974D5F"/>
    <w:rsid w:val="00975938"/>
    <w:rsid w:val="00975948"/>
    <w:rsid w:val="0097620A"/>
    <w:rsid w:val="009762BA"/>
    <w:rsid w:val="00976C18"/>
    <w:rsid w:val="00976CE4"/>
    <w:rsid w:val="009772FD"/>
    <w:rsid w:val="00977646"/>
    <w:rsid w:val="00977BF3"/>
    <w:rsid w:val="00977E54"/>
    <w:rsid w:val="00977EAA"/>
    <w:rsid w:val="009803E4"/>
    <w:rsid w:val="00980B0E"/>
    <w:rsid w:val="00980C3E"/>
    <w:rsid w:val="00980C53"/>
    <w:rsid w:val="009813D4"/>
    <w:rsid w:val="009814B6"/>
    <w:rsid w:val="009817BF"/>
    <w:rsid w:val="00981B0C"/>
    <w:rsid w:val="00981DC5"/>
    <w:rsid w:val="00981DEF"/>
    <w:rsid w:val="009826C6"/>
    <w:rsid w:val="00982715"/>
    <w:rsid w:val="00982789"/>
    <w:rsid w:val="00982A39"/>
    <w:rsid w:val="00982B39"/>
    <w:rsid w:val="00983577"/>
    <w:rsid w:val="009836A3"/>
    <w:rsid w:val="009837EA"/>
    <w:rsid w:val="009841F6"/>
    <w:rsid w:val="00984384"/>
    <w:rsid w:val="00984C58"/>
    <w:rsid w:val="0098531F"/>
    <w:rsid w:val="009855A8"/>
    <w:rsid w:val="009858D8"/>
    <w:rsid w:val="0098599A"/>
    <w:rsid w:val="00985CBE"/>
    <w:rsid w:val="00985D14"/>
    <w:rsid w:val="00985D1A"/>
    <w:rsid w:val="009864F1"/>
    <w:rsid w:val="00986A63"/>
    <w:rsid w:val="009871EF"/>
    <w:rsid w:val="00987537"/>
    <w:rsid w:val="009875DD"/>
    <w:rsid w:val="0098775B"/>
    <w:rsid w:val="0098799A"/>
    <w:rsid w:val="00987B32"/>
    <w:rsid w:val="009900F0"/>
    <w:rsid w:val="009906F2"/>
    <w:rsid w:val="0099079C"/>
    <w:rsid w:val="009909E7"/>
    <w:rsid w:val="00990A78"/>
    <w:rsid w:val="00990CF8"/>
    <w:rsid w:val="0099111B"/>
    <w:rsid w:val="009913F4"/>
    <w:rsid w:val="00991782"/>
    <w:rsid w:val="00991B14"/>
    <w:rsid w:val="00991D28"/>
    <w:rsid w:val="0099219A"/>
    <w:rsid w:val="009922D0"/>
    <w:rsid w:val="009928A8"/>
    <w:rsid w:val="009929B6"/>
    <w:rsid w:val="00993060"/>
    <w:rsid w:val="009931BF"/>
    <w:rsid w:val="0099355C"/>
    <w:rsid w:val="009935F9"/>
    <w:rsid w:val="009937F7"/>
    <w:rsid w:val="0099454F"/>
    <w:rsid w:val="0099465B"/>
    <w:rsid w:val="00994E38"/>
    <w:rsid w:val="0099519B"/>
    <w:rsid w:val="009951A1"/>
    <w:rsid w:val="00995210"/>
    <w:rsid w:val="009952FF"/>
    <w:rsid w:val="00995485"/>
    <w:rsid w:val="0099566D"/>
    <w:rsid w:val="00995806"/>
    <w:rsid w:val="00995C42"/>
    <w:rsid w:val="00995F77"/>
    <w:rsid w:val="0099631B"/>
    <w:rsid w:val="00996931"/>
    <w:rsid w:val="00996B8C"/>
    <w:rsid w:val="00996FC0"/>
    <w:rsid w:val="009971D5"/>
    <w:rsid w:val="0099743E"/>
    <w:rsid w:val="009975F9"/>
    <w:rsid w:val="00997A44"/>
    <w:rsid w:val="009A0008"/>
    <w:rsid w:val="009A0207"/>
    <w:rsid w:val="009A0537"/>
    <w:rsid w:val="009A0739"/>
    <w:rsid w:val="009A0991"/>
    <w:rsid w:val="009A0A01"/>
    <w:rsid w:val="009A0CDD"/>
    <w:rsid w:val="009A1098"/>
    <w:rsid w:val="009A1239"/>
    <w:rsid w:val="009A1C1C"/>
    <w:rsid w:val="009A1CDF"/>
    <w:rsid w:val="009A2124"/>
    <w:rsid w:val="009A2EF8"/>
    <w:rsid w:val="009A3168"/>
    <w:rsid w:val="009A3A7F"/>
    <w:rsid w:val="009A4621"/>
    <w:rsid w:val="009A48DC"/>
    <w:rsid w:val="009A4BDF"/>
    <w:rsid w:val="009A50CB"/>
    <w:rsid w:val="009A564D"/>
    <w:rsid w:val="009A571D"/>
    <w:rsid w:val="009A5D04"/>
    <w:rsid w:val="009A5F54"/>
    <w:rsid w:val="009A6025"/>
    <w:rsid w:val="009A61CA"/>
    <w:rsid w:val="009A62D4"/>
    <w:rsid w:val="009A6729"/>
    <w:rsid w:val="009A67CC"/>
    <w:rsid w:val="009A69A2"/>
    <w:rsid w:val="009A6B80"/>
    <w:rsid w:val="009A6D8E"/>
    <w:rsid w:val="009A72C5"/>
    <w:rsid w:val="009A7B1E"/>
    <w:rsid w:val="009B0062"/>
    <w:rsid w:val="009B0C64"/>
    <w:rsid w:val="009B0EBD"/>
    <w:rsid w:val="009B0F67"/>
    <w:rsid w:val="009B129E"/>
    <w:rsid w:val="009B15D5"/>
    <w:rsid w:val="009B183D"/>
    <w:rsid w:val="009B1A65"/>
    <w:rsid w:val="009B1C62"/>
    <w:rsid w:val="009B1F53"/>
    <w:rsid w:val="009B208A"/>
    <w:rsid w:val="009B259F"/>
    <w:rsid w:val="009B2639"/>
    <w:rsid w:val="009B2756"/>
    <w:rsid w:val="009B27AF"/>
    <w:rsid w:val="009B28B2"/>
    <w:rsid w:val="009B2E88"/>
    <w:rsid w:val="009B3050"/>
    <w:rsid w:val="009B3089"/>
    <w:rsid w:val="009B3090"/>
    <w:rsid w:val="009B35A8"/>
    <w:rsid w:val="009B3908"/>
    <w:rsid w:val="009B3D56"/>
    <w:rsid w:val="009B3F8C"/>
    <w:rsid w:val="009B424B"/>
    <w:rsid w:val="009B42AB"/>
    <w:rsid w:val="009B42E6"/>
    <w:rsid w:val="009B46B6"/>
    <w:rsid w:val="009B4B3E"/>
    <w:rsid w:val="009B4BBA"/>
    <w:rsid w:val="009B4F95"/>
    <w:rsid w:val="009B50FF"/>
    <w:rsid w:val="009B533B"/>
    <w:rsid w:val="009B546B"/>
    <w:rsid w:val="009B584B"/>
    <w:rsid w:val="009B5898"/>
    <w:rsid w:val="009B58EA"/>
    <w:rsid w:val="009B58F8"/>
    <w:rsid w:val="009B6661"/>
    <w:rsid w:val="009B68C5"/>
    <w:rsid w:val="009B6C76"/>
    <w:rsid w:val="009B6DFA"/>
    <w:rsid w:val="009B6E7C"/>
    <w:rsid w:val="009B6FFC"/>
    <w:rsid w:val="009B721C"/>
    <w:rsid w:val="009B7E04"/>
    <w:rsid w:val="009B7E1B"/>
    <w:rsid w:val="009C0262"/>
    <w:rsid w:val="009C02FE"/>
    <w:rsid w:val="009C0520"/>
    <w:rsid w:val="009C097F"/>
    <w:rsid w:val="009C09C2"/>
    <w:rsid w:val="009C0D09"/>
    <w:rsid w:val="009C0F12"/>
    <w:rsid w:val="009C0F93"/>
    <w:rsid w:val="009C10BD"/>
    <w:rsid w:val="009C1386"/>
    <w:rsid w:val="009C193A"/>
    <w:rsid w:val="009C1A1E"/>
    <w:rsid w:val="009C25E3"/>
    <w:rsid w:val="009C26AA"/>
    <w:rsid w:val="009C2D4C"/>
    <w:rsid w:val="009C3A42"/>
    <w:rsid w:val="009C3A7E"/>
    <w:rsid w:val="009C43DA"/>
    <w:rsid w:val="009C4523"/>
    <w:rsid w:val="009C472A"/>
    <w:rsid w:val="009C4F1A"/>
    <w:rsid w:val="009C5079"/>
    <w:rsid w:val="009C5439"/>
    <w:rsid w:val="009C54C4"/>
    <w:rsid w:val="009C66E2"/>
    <w:rsid w:val="009C6A14"/>
    <w:rsid w:val="009C6D9B"/>
    <w:rsid w:val="009C703C"/>
    <w:rsid w:val="009C70BE"/>
    <w:rsid w:val="009C715D"/>
    <w:rsid w:val="009C77E7"/>
    <w:rsid w:val="009C7A62"/>
    <w:rsid w:val="009C7A7D"/>
    <w:rsid w:val="009C7E82"/>
    <w:rsid w:val="009D0801"/>
    <w:rsid w:val="009D0957"/>
    <w:rsid w:val="009D0B3C"/>
    <w:rsid w:val="009D0C29"/>
    <w:rsid w:val="009D180F"/>
    <w:rsid w:val="009D206E"/>
    <w:rsid w:val="009D226E"/>
    <w:rsid w:val="009D27C5"/>
    <w:rsid w:val="009D2D5C"/>
    <w:rsid w:val="009D2D80"/>
    <w:rsid w:val="009D3138"/>
    <w:rsid w:val="009D33BC"/>
    <w:rsid w:val="009D3CAA"/>
    <w:rsid w:val="009D3F35"/>
    <w:rsid w:val="009D4953"/>
    <w:rsid w:val="009D4A54"/>
    <w:rsid w:val="009D5043"/>
    <w:rsid w:val="009D507A"/>
    <w:rsid w:val="009D508A"/>
    <w:rsid w:val="009D54E8"/>
    <w:rsid w:val="009D605F"/>
    <w:rsid w:val="009D6337"/>
    <w:rsid w:val="009D6425"/>
    <w:rsid w:val="009D6532"/>
    <w:rsid w:val="009D67D6"/>
    <w:rsid w:val="009D71FD"/>
    <w:rsid w:val="009E06F0"/>
    <w:rsid w:val="009E0755"/>
    <w:rsid w:val="009E098D"/>
    <w:rsid w:val="009E0E8A"/>
    <w:rsid w:val="009E10AD"/>
    <w:rsid w:val="009E1E96"/>
    <w:rsid w:val="009E1F69"/>
    <w:rsid w:val="009E2588"/>
    <w:rsid w:val="009E2700"/>
    <w:rsid w:val="009E2870"/>
    <w:rsid w:val="009E2E1D"/>
    <w:rsid w:val="009E2E8E"/>
    <w:rsid w:val="009E3435"/>
    <w:rsid w:val="009E3BEC"/>
    <w:rsid w:val="009E3CC0"/>
    <w:rsid w:val="009E3F78"/>
    <w:rsid w:val="009E40E1"/>
    <w:rsid w:val="009E482A"/>
    <w:rsid w:val="009E4984"/>
    <w:rsid w:val="009E49E2"/>
    <w:rsid w:val="009E4BD5"/>
    <w:rsid w:val="009E4E3E"/>
    <w:rsid w:val="009E50C6"/>
    <w:rsid w:val="009E53DB"/>
    <w:rsid w:val="009E56DC"/>
    <w:rsid w:val="009E5966"/>
    <w:rsid w:val="009E5BDB"/>
    <w:rsid w:val="009E5FB8"/>
    <w:rsid w:val="009E6380"/>
    <w:rsid w:val="009E6594"/>
    <w:rsid w:val="009E671E"/>
    <w:rsid w:val="009E6A64"/>
    <w:rsid w:val="009E6BE5"/>
    <w:rsid w:val="009E7176"/>
    <w:rsid w:val="009E71BD"/>
    <w:rsid w:val="009E7312"/>
    <w:rsid w:val="009E78FC"/>
    <w:rsid w:val="009F02B2"/>
    <w:rsid w:val="009F03B0"/>
    <w:rsid w:val="009F050F"/>
    <w:rsid w:val="009F063D"/>
    <w:rsid w:val="009F0C3A"/>
    <w:rsid w:val="009F0EE4"/>
    <w:rsid w:val="009F0EFA"/>
    <w:rsid w:val="009F1252"/>
    <w:rsid w:val="009F1C43"/>
    <w:rsid w:val="009F1D85"/>
    <w:rsid w:val="009F1DAB"/>
    <w:rsid w:val="009F30D1"/>
    <w:rsid w:val="009F317A"/>
    <w:rsid w:val="009F34BE"/>
    <w:rsid w:val="009F35D4"/>
    <w:rsid w:val="009F36E9"/>
    <w:rsid w:val="009F371A"/>
    <w:rsid w:val="009F37DE"/>
    <w:rsid w:val="009F394D"/>
    <w:rsid w:val="009F39BC"/>
    <w:rsid w:val="009F3AC7"/>
    <w:rsid w:val="009F3F1C"/>
    <w:rsid w:val="009F4E46"/>
    <w:rsid w:val="009F55B0"/>
    <w:rsid w:val="009F564A"/>
    <w:rsid w:val="009F5B65"/>
    <w:rsid w:val="009F5F2E"/>
    <w:rsid w:val="009F69B5"/>
    <w:rsid w:val="009F6F09"/>
    <w:rsid w:val="009F77DA"/>
    <w:rsid w:val="009F79B9"/>
    <w:rsid w:val="009F7BD4"/>
    <w:rsid w:val="009F7CBE"/>
    <w:rsid w:val="009F7DF7"/>
    <w:rsid w:val="009F7FDD"/>
    <w:rsid w:val="00A005AE"/>
    <w:rsid w:val="00A006DC"/>
    <w:rsid w:val="00A00AB4"/>
    <w:rsid w:val="00A00D1B"/>
    <w:rsid w:val="00A00EE4"/>
    <w:rsid w:val="00A00F77"/>
    <w:rsid w:val="00A0125E"/>
    <w:rsid w:val="00A01432"/>
    <w:rsid w:val="00A015BB"/>
    <w:rsid w:val="00A01645"/>
    <w:rsid w:val="00A01858"/>
    <w:rsid w:val="00A01EDC"/>
    <w:rsid w:val="00A021B5"/>
    <w:rsid w:val="00A02385"/>
    <w:rsid w:val="00A02469"/>
    <w:rsid w:val="00A02657"/>
    <w:rsid w:val="00A027C9"/>
    <w:rsid w:val="00A02A5F"/>
    <w:rsid w:val="00A02EEC"/>
    <w:rsid w:val="00A0309D"/>
    <w:rsid w:val="00A034DB"/>
    <w:rsid w:val="00A03FD8"/>
    <w:rsid w:val="00A0432B"/>
    <w:rsid w:val="00A04727"/>
    <w:rsid w:val="00A06225"/>
    <w:rsid w:val="00A066E6"/>
    <w:rsid w:val="00A06E28"/>
    <w:rsid w:val="00A10231"/>
    <w:rsid w:val="00A103B2"/>
    <w:rsid w:val="00A10CB4"/>
    <w:rsid w:val="00A10D4D"/>
    <w:rsid w:val="00A10F93"/>
    <w:rsid w:val="00A10FC5"/>
    <w:rsid w:val="00A110D1"/>
    <w:rsid w:val="00A11461"/>
    <w:rsid w:val="00A117B4"/>
    <w:rsid w:val="00A117B8"/>
    <w:rsid w:val="00A117C5"/>
    <w:rsid w:val="00A119A6"/>
    <w:rsid w:val="00A12587"/>
    <w:rsid w:val="00A1268B"/>
    <w:rsid w:val="00A128E6"/>
    <w:rsid w:val="00A12B80"/>
    <w:rsid w:val="00A12C0B"/>
    <w:rsid w:val="00A12DCC"/>
    <w:rsid w:val="00A12E3B"/>
    <w:rsid w:val="00A13440"/>
    <w:rsid w:val="00A139F9"/>
    <w:rsid w:val="00A13B89"/>
    <w:rsid w:val="00A13BB4"/>
    <w:rsid w:val="00A14143"/>
    <w:rsid w:val="00A144D3"/>
    <w:rsid w:val="00A1491C"/>
    <w:rsid w:val="00A14C01"/>
    <w:rsid w:val="00A14F26"/>
    <w:rsid w:val="00A14FE5"/>
    <w:rsid w:val="00A165EB"/>
    <w:rsid w:val="00A16613"/>
    <w:rsid w:val="00A1680D"/>
    <w:rsid w:val="00A16F84"/>
    <w:rsid w:val="00A16FEF"/>
    <w:rsid w:val="00A17010"/>
    <w:rsid w:val="00A17EA7"/>
    <w:rsid w:val="00A17ECB"/>
    <w:rsid w:val="00A200E0"/>
    <w:rsid w:val="00A20255"/>
    <w:rsid w:val="00A202B9"/>
    <w:rsid w:val="00A20C9C"/>
    <w:rsid w:val="00A211AB"/>
    <w:rsid w:val="00A21359"/>
    <w:rsid w:val="00A21686"/>
    <w:rsid w:val="00A216C1"/>
    <w:rsid w:val="00A21831"/>
    <w:rsid w:val="00A218EB"/>
    <w:rsid w:val="00A219A5"/>
    <w:rsid w:val="00A21D7D"/>
    <w:rsid w:val="00A22AC3"/>
    <w:rsid w:val="00A22B73"/>
    <w:rsid w:val="00A22C01"/>
    <w:rsid w:val="00A22FF1"/>
    <w:rsid w:val="00A234EE"/>
    <w:rsid w:val="00A2351E"/>
    <w:rsid w:val="00A23D8D"/>
    <w:rsid w:val="00A23F3F"/>
    <w:rsid w:val="00A2401C"/>
    <w:rsid w:val="00A24067"/>
    <w:rsid w:val="00A24134"/>
    <w:rsid w:val="00A241BB"/>
    <w:rsid w:val="00A241DA"/>
    <w:rsid w:val="00A24632"/>
    <w:rsid w:val="00A249E2"/>
    <w:rsid w:val="00A24A4B"/>
    <w:rsid w:val="00A24B23"/>
    <w:rsid w:val="00A25B59"/>
    <w:rsid w:val="00A26003"/>
    <w:rsid w:val="00A26402"/>
    <w:rsid w:val="00A26403"/>
    <w:rsid w:val="00A26685"/>
    <w:rsid w:val="00A267E9"/>
    <w:rsid w:val="00A26909"/>
    <w:rsid w:val="00A2744D"/>
    <w:rsid w:val="00A277C7"/>
    <w:rsid w:val="00A27AE7"/>
    <w:rsid w:val="00A27BD8"/>
    <w:rsid w:val="00A27C72"/>
    <w:rsid w:val="00A27CD4"/>
    <w:rsid w:val="00A30D16"/>
    <w:rsid w:val="00A30D91"/>
    <w:rsid w:val="00A30DC5"/>
    <w:rsid w:val="00A31788"/>
    <w:rsid w:val="00A319B7"/>
    <w:rsid w:val="00A31DD7"/>
    <w:rsid w:val="00A32434"/>
    <w:rsid w:val="00A32750"/>
    <w:rsid w:val="00A3281B"/>
    <w:rsid w:val="00A32885"/>
    <w:rsid w:val="00A32ABE"/>
    <w:rsid w:val="00A33003"/>
    <w:rsid w:val="00A33106"/>
    <w:rsid w:val="00A3352C"/>
    <w:rsid w:val="00A33714"/>
    <w:rsid w:val="00A339AB"/>
    <w:rsid w:val="00A339F7"/>
    <w:rsid w:val="00A33B99"/>
    <w:rsid w:val="00A33EB7"/>
    <w:rsid w:val="00A34465"/>
    <w:rsid w:val="00A34E6C"/>
    <w:rsid w:val="00A34FD0"/>
    <w:rsid w:val="00A355CC"/>
    <w:rsid w:val="00A35CF4"/>
    <w:rsid w:val="00A35D48"/>
    <w:rsid w:val="00A360D0"/>
    <w:rsid w:val="00A3630A"/>
    <w:rsid w:val="00A36398"/>
    <w:rsid w:val="00A36649"/>
    <w:rsid w:val="00A3685B"/>
    <w:rsid w:val="00A36AA3"/>
    <w:rsid w:val="00A36CA0"/>
    <w:rsid w:val="00A3722C"/>
    <w:rsid w:val="00A3725D"/>
    <w:rsid w:val="00A37972"/>
    <w:rsid w:val="00A37C8D"/>
    <w:rsid w:val="00A37FE6"/>
    <w:rsid w:val="00A40000"/>
    <w:rsid w:val="00A400BB"/>
    <w:rsid w:val="00A401C0"/>
    <w:rsid w:val="00A401C5"/>
    <w:rsid w:val="00A4020E"/>
    <w:rsid w:val="00A403EB"/>
    <w:rsid w:val="00A40493"/>
    <w:rsid w:val="00A406E8"/>
    <w:rsid w:val="00A408E8"/>
    <w:rsid w:val="00A40B33"/>
    <w:rsid w:val="00A40BB4"/>
    <w:rsid w:val="00A40D9E"/>
    <w:rsid w:val="00A40FB5"/>
    <w:rsid w:val="00A41164"/>
    <w:rsid w:val="00A4146B"/>
    <w:rsid w:val="00A4163B"/>
    <w:rsid w:val="00A41B86"/>
    <w:rsid w:val="00A4257B"/>
    <w:rsid w:val="00A42826"/>
    <w:rsid w:val="00A429B3"/>
    <w:rsid w:val="00A42A05"/>
    <w:rsid w:val="00A43113"/>
    <w:rsid w:val="00A43171"/>
    <w:rsid w:val="00A4317E"/>
    <w:rsid w:val="00A43859"/>
    <w:rsid w:val="00A439B8"/>
    <w:rsid w:val="00A43F3F"/>
    <w:rsid w:val="00A442C2"/>
    <w:rsid w:val="00A4457A"/>
    <w:rsid w:val="00A44D2F"/>
    <w:rsid w:val="00A44EC1"/>
    <w:rsid w:val="00A44FB8"/>
    <w:rsid w:val="00A454C2"/>
    <w:rsid w:val="00A4573E"/>
    <w:rsid w:val="00A45B13"/>
    <w:rsid w:val="00A45DC7"/>
    <w:rsid w:val="00A46807"/>
    <w:rsid w:val="00A46E41"/>
    <w:rsid w:val="00A472A9"/>
    <w:rsid w:val="00A472F0"/>
    <w:rsid w:val="00A4734A"/>
    <w:rsid w:val="00A47663"/>
    <w:rsid w:val="00A47D4D"/>
    <w:rsid w:val="00A47EA9"/>
    <w:rsid w:val="00A50206"/>
    <w:rsid w:val="00A5022D"/>
    <w:rsid w:val="00A5032B"/>
    <w:rsid w:val="00A5052E"/>
    <w:rsid w:val="00A5069A"/>
    <w:rsid w:val="00A50AF3"/>
    <w:rsid w:val="00A510E4"/>
    <w:rsid w:val="00A512DF"/>
    <w:rsid w:val="00A51F8C"/>
    <w:rsid w:val="00A526F7"/>
    <w:rsid w:val="00A5273B"/>
    <w:rsid w:val="00A53016"/>
    <w:rsid w:val="00A5312B"/>
    <w:rsid w:val="00A53883"/>
    <w:rsid w:val="00A53A9D"/>
    <w:rsid w:val="00A53BBB"/>
    <w:rsid w:val="00A5402D"/>
    <w:rsid w:val="00A542F0"/>
    <w:rsid w:val="00A545BC"/>
    <w:rsid w:val="00A54ABF"/>
    <w:rsid w:val="00A54B98"/>
    <w:rsid w:val="00A54F60"/>
    <w:rsid w:val="00A5502C"/>
    <w:rsid w:val="00A55240"/>
    <w:rsid w:val="00A556FB"/>
    <w:rsid w:val="00A55A13"/>
    <w:rsid w:val="00A55A27"/>
    <w:rsid w:val="00A55F13"/>
    <w:rsid w:val="00A55F9F"/>
    <w:rsid w:val="00A55FEE"/>
    <w:rsid w:val="00A56304"/>
    <w:rsid w:val="00A563CA"/>
    <w:rsid w:val="00A5671D"/>
    <w:rsid w:val="00A569C6"/>
    <w:rsid w:val="00A56E28"/>
    <w:rsid w:val="00A5729C"/>
    <w:rsid w:val="00A572A5"/>
    <w:rsid w:val="00A57422"/>
    <w:rsid w:val="00A57820"/>
    <w:rsid w:val="00A57CBD"/>
    <w:rsid w:val="00A57ED5"/>
    <w:rsid w:val="00A603A9"/>
    <w:rsid w:val="00A60A27"/>
    <w:rsid w:val="00A60A76"/>
    <w:rsid w:val="00A61382"/>
    <w:rsid w:val="00A616CE"/>
    <w:rsid w:val="00A618DD"/>
    <w:rsid w:val="00A61C3F"/>
    <w:rsid w:val="00A61CEB"/>
    <w:rsid w:val="00A6242D"/>
    <w:rsid w:val="00A62983"/>
    <w:rsid w:val="00A62C03"/>
    <w:rsid w:val="00A62C1A"/>
    <w:rsid w:val="00A63934"/>
    <w:rsid w:val="00A63CA2"/>
    <w:rsid w:val="00A6426D"/>
    <w:rsid w:val="00A6439B"/>
    <w:rsid w:val="00A646C4"/>
    <w:rsid w:val="00A646D8"/>
    <w:rsid w:val="00A64C82"/>
    <w:rsid w:val="00A65206"/>
    <w:rsid w:val="00A6563E"/>
    <w:rsid w:val="00A65A7C"/>
    <w:rsid w:val="00A65C31"/>
    <w:rsid w:val="00A65C38"/>
    <w:rsid w:val="00A665C1"/>
    <w:rsid w:val="00A672C2"/>
    <w:rsid w:val="00A673A4"/>
    <w:rsid w:val="00A67561"/>
    <w:rsid w:val="00A7001A"/>
    <w:rsid w:val="00A70622"/>
    <w:rsid w:val="00A708F5"/>
    <w:rsid w:val="00A70977"/>
    <w:rsid w:val="00A70D58"/>
    <w:rsid w:val="00A70E01"/>
    <w:rsid w:val="00A70FD1"/>
    <w:rsid w:val="00A715BC"/>
    <w:rsid w:val="00A72107"/>
    <w:rsid w:val="00A72DD3"/>
    <w:rsid w:val="00A7316A"/>
    <w:rsid w:val="00A73855"/>
    <w:rsid w:val="00A73D69"/>
    <w:rsid w:val="00A73F08"/>
    <w:rsid w:val="00A744F9"/>
    <w:rsid w:val="00A74B22"/>
    <w:rsid w:val="00A74CDC"/>
    <w:rsid w:val="00A74D64"/>
    <w:rsid w:val="00A753A1"/>
    <w:rsid w:val="00A7588E"/>
    <w:rsid w:val="00A760C6"/>
    <w:rsid w:val="00A76124"/>
    <w:rsid w:val="00A764F4"/>
    <w:rsid w:val="00A76C37"/>
    <w:rsid w:val="00A76F41"/>
    <w:rsid w:val="00A77613"/>
    <w:rsid w:val="00A77933"/>
    <w:rsid w:val="00A77A13"/>
    <w:rsid w:val="00A77B87"/>
    <w:rsid w:val="00A77CC1"/>
    <w:rsid w:val="00A77E01"/>
    <w:rsid w:val="00A801AD"/>
    <w:rsid w:val="00A80266"/>
    <w:rsid w:val="00A8066B"/>
    <w:rsid w:val="00A80FEE"/>
    <w:rsid w:val="00A81370"/>
    <w:rsid w:val="00A81851"/>
    <w:rsid w:val="00A819EF"/>
    <w:rsid w:val="00A81BB6"/>
    <w:rsid w:val="00A81C09"/>
    <w:rsid w:val="00A81D6A"/>
    <w:rsid w:val="00A8230F"/>
    <w:rsid w:val="00A82665"/>
    <w:rsid w:val="00A828FC"/>
    <w:rsid w:val="00A82DA5"/>
    <w:rsid w:val="00A83356"/>
    <w:rsid w:val="00A8341E"/>
    <w:rsid w:val="00A8390C"/>
    <w:rsid w:val="00A83B85"/>
    <w:rsid w:val="00A8418F"/>
    <w:rsid w:val="00A84376"/>
    <w:rsid w:val="00A8484E"/>
    <w:rsid w:val="00A8503C"/>
    <w:rsid w:val="00A855B7"/>
    <w:rsid w:val="00A85F1C"/>
    <w:rsid w:val="00A86AE0"/>
    <w:rsid w:val="00A8706F"/>
    <w:rsid w:val="00A877B1"/>
    <w:rsid w:val="00A87DBA"/>
    <w:rsid w:val="00A87ECC"/>
    <w:rsid w:val="00A90708"/>
    <w:rsid w:val="00A91174"/>
    <w:rsid w:val="00A912B0"/>
    <w:rsid w:val="00A91362"/>
    <w:rsid w:val="00A9151C"/>
    <w:rsid w:val="00A919B2"/>
    <w:rsid w:val="00A919C6"/>
    <w:rsid w:val="00A91C91"/>
    <w:rsid w:val="00A92290"/>
    <w:rsid w:val="00A92576"/>
    <w:rsid w:val="00A925A0"/>
    <w:rsid w:val="00A928BD"/>
    <w:rsid w:val="00A92965"/>
    <w:rsid w:val="00A92AB0"/>
    <w:rsid w:val="00A92D61"/>
    <w:rsid w:val="00A93273"/>
    <w:rsid w:val="00A9385D"/>
    <w:rsid w:val="00A93893"/>
    <w:rsid w:val="00A949C6"/>
    <w:rsid w:val="00A94C42"/>
    <w:rsid w:val="00A959DA"/>
    <w:rsid w:val="00A95FF9"/>
    <w:rsid w:val="00A96147"/>
    <w:rsid w:val="00A964F2"/>
    <w:rsid w:val="00A96971"/>
    <w:rsid w:val="00A9757D"/>
    <w:rsid w:val="00A975B0"/>
    <w:rsid w:val="00A97D1C"/>
    <w:rsid w:val="00A97DE9"/>
    <w:rsid w:val="00AA00FC"/>
    <w:rsid w:val="00AA0261"/>
    <w:rsid w:val="00AA02E4"/>
    <w:rsid w:val="00AA0405"/>
    <w:rsid w:val="00AA0815"/>
    <w:rsid w:val="00AA08AB"/>
    <w:rsid w:val="00AA0D01"/>
    <w:rsid w:val="00AA0EAC"/>
    <w:rsid w:val="00AA0F01"/>
    <w:rsid w:val="00AA1093"/>
    <w:rsid w:val="00AA12CD"/>
    <w:rsid w:val="00AA1319"/>
    <w:rsid w:val="00AA184B"/>
    <w:rsid w:val="00AA1D93"/>
    <w:rsid w:val="00AA21C9"/>
    <w:rsid w:val="00AA2562"/>
    <w:rsid w:val="00AA2636"/>
    <w:rsid w:val="00AA26A7"/>
    <w:rsid w:val="00AA27FA"/>
    <w:rsid w:val="00AA28A7"/>
    <w:rsid w:val="00AA36D6"/>
    <w:rsid w:val="00AA3BE9"/>
    <w:rsid w:val="00AA3CBC"/>
    <w:rsid w:val="00AA3EEF"/>
    <w:rsid w:val="00AA4287"/>
    <w:rsid w:val="00AA4D1C"/>
    <w:rsid w:val="00AA52FD"/>
    <w:rsid w:val="00AA5434"/>
    <w:rsid w:val="00AA5A48"/>
    <w:rsid w:val="00AA5E72"/>
    <w:rsid w:val="00AA606F"/>
    <w:rsid w:val="00AA668F"/>
    <w:rsid w:val="00AA6D53"/>
    <w:rsid w:val="00AA7006"/>
    <w:rsid w:val="00AA7851"/>
    <w:rsid w:val="00AA7A46"/>
    <w:rsid w:val="00AA7C2A"/>
    <w:rsid w:val="00AA7C2C"/>
    <w:rsid w:val="00AB015E"/>
    <w:rsid w:val="00AB0385"/>
    <w:rsid w:val="00AB05B1"/>
    <w:rsid w:val="00AB0960"/>
    <w:rsid w:val="00AB0993"/>
    <w:rsid w:val="00AB1020"/>
    <w:rsid w:val="00AB1105"/>
    <w:rsid w:val="00AB1866"/>
    <w:rsid w:val="00AB1B92"/>
    <w:rsid w:val="00AB1F45"/>
    <w:rsid w:val="00AB1F4A"/>
    <w:rsid w:val="00AB2664"/>
    <w:rsid w:val="00AB27D4"/>
    <w:rsid w:val="00AB2A39"/>
    <w:rsid w:val="00AB2CFD"/>
    <w:rsid w:val="00AB2F0E"/>
    <w:rsid w:val="00AB3120"/>
    <w:rsid w:val="00AB3138"/>
    <w:rsid w:val="00AB3329"/>
    <w:rsid w:val="00AB3CF1"/>
    <w:rsid w:val="00AB3EAA"/>
    <w:rsid w:val="00AB3EF3"/>
    <w:rsid w:val="00AB437E"/>
    <w:rsid w:val="00AB4684"/>
    <w:rsid w:val="00AB4B77"/>
    <w:rsid w:val="00AB4E5E"/>
    <w:rsid w:val="00AB4FAC"/>
    <w:rsid w:val="00AB5190"/>
    <w:rsid w:val="00AB5297"/>
    <w:rsid w:val="00AB5856"/>
    <w:rsid w:val="00AB5A2F"/>
    <w:rsid w:val="00AB5E01"/>
    <w:rsid w:val="00AB5E4D"/>
    <w:rsid w:val="00AB64E5"/>
    <w:rsid w:val="00AB785B"/>
    <w:rsid w:val="00AB7DE0"/>
    <w:rsid w:val="00AC0506"/>
    <w:rsid w:val="00AC081D"/>
    <w:rsid w:val="00AC0B28"/>
    <w:rsid w:val="00AC0C6F"/>
    <w:rsid w:val="00AC0E00"/>
    <w:rsid w:val="00AC122C"/>
    <w:rsid w:val="00AC1266"/>
    <w:rsid w:val="00AC1445"/>
    <w:rsid w:val="00AC193C"/>
    <w:rsid w:val="00AC195B"/>
    <w:rsid w:val="00AC1DD4"/>
    <w:rsid w:val="00AC1F56"/>
    <w:rsid w:val="00AC208A"/>
    <w:rsid w:val="00AC2269"/>
    <w:rsid w:val="00AC2277"/>
    <w:rsid w:val="00AC24B1"/>
    <w:rsid w:val="00AC2A68"/>
    <w:rsid w:val="00AC30C1"/>
    <w:rsid w:val="00AC39D3"/>
    <w:rsid w:val="00AC3EEB"/>
    <w:rsid w:val="00AC4026"/>
    <w:rsid w:val="00AC4558"/>
    <w:rsid w:val="00AC4577"/>
    <w:rsid w:val="00AC45D9"/>
    <w:rsid w:val="00AC4838"/>
    <w:rsid w:val="00AC4933"/>
    <w:rsid w:val="00AC4B00"/>
    <w:rsid w:val="00AC4DE5"/>
    <w:rsid w:val="00AC4EBB"/>
    <w:rsid w:val="00AC4F3A"/>
    <w:rsid w:val="00AC5206"/>
    <w:rsid w:val="00AC54F8"/>
    <w:rsid w:val="00AC56A5"/>
    <w:rsid w:val="00AC5A2C"/>
    <w:rsid w:val="00AC6D8D"/>
    <w:rsid w:val="00AC6DF3"/>
    <w:rsid w:val="00AC6EB7"/>
    <w:rsid w:val="00AC7112"/>
    <w:rsid w:val="00AC7270"/>
    <w:rsid w:val="00AC74FB"/>
    <w:rsid w:val="00AC785E"/>
    <w:rsid w:val="00AC793F"/>
    <w:rsid w:val="00AC79B8"/>
    <w:rsid w:val="00AC7C81"/>
    <w:rsid w:val="00AC7F7C"/>
    <w:rsid w:val="00AD095B"/>
    <w:rsid w:val="00AD12ED"/>
    <w:rsid w:val="00AD1828"/>
    <w:rsid w:val="00AD1911"/>
    <w:rsid w:val="00AD1916"/>
    <w:rsid w:val="00AD1C17"/>
    <w:rsid w:val="00AD21CD"/>
    <w:rsid w:val="00AD2598"/>
    <w:rsid w:val="00AD2F8F"/>
    <w:rsid w:val="00AD3106"/>
    <w:rsid w:val="00AD313B"/>
    <w:rsid w:val="00AD35E7"/>
    <w:rsid w:val="00AD36EF"/>
    <w:rsid w:val="00AD3B76"/>
    <w:rsid w:val="00AD4069"/>
    <w:rsid w:val="00AD4322"/>
    <w:rsid w:val="00AD56B9"/>
    <w:rsid w:val="00AD56EC"/>
    <w:rsid w:val="00AD5E7C"/>
    <w:rsid w:val="00AD6121"/>
    <w:rsid w:val="00AD62DD"/>
    <w:rsid w:val="00AD6DED"/>
    <w:rsid w:val="00AD74EA"/>
    <w:rsid w:val="00AD777C"/>
    <w:rsid w:val="00AD77A7"/>
    <w:rsid w:val="00AD7977"/>
    <w:rsid w:val="00AD79B7"/>
    <w:rsid w:val="00AD7C0B"/>
    <w:rsid w:val="00AD7E18"/>
    <w:rsid w:val="00AD7F26"/>
    <w:rsid w:val="00AE0793"/>
    <w:rsid w:val="00AE0BD6"/>
    <w:rsid w:val="00AE11A5"/>
    <w:rsid w:val="00AE13E2"/>
    <w:rsid w:val="00AE1767"/>
    <w:rsid w:val="00AE1976"/>
    <w:rsid w:val="00AE1ED6"/>
    <w:rsid w:val="00AE22D3"/>
    <w:rsid w:val="00AE235D"/>
    <w:rsid w:val="00AE2993"/>
    <w:rsid w:val="00AE2C33"/>
    <w:rsid w:val="00AE310C"/>
    <w:rsid w:val="00AE3269"/>
    <w:rsid w:val="00AE33AF"/>
    <w:rsid w:val="00AE345B"/>
    <w:rsid w:val="00AE3480"/>
    <w:rsid w:val="00AE3502"/>
    <w:rsid w:val="00AE3862"/>
    <w:rsid w:val="00AE44DB"/>
    <w:rsid w:val="00AE49A9"/>
    <w:rsid w:val="00AE4A30"/>
    <w:rsid w:val="00AE4E8E"/>
    <w:rsid w:val="00AE5245"/>
    <w:rsid w:val="00AE5987"/>
    <w:rsid w:val="00AE5A49"/>
    <w:rsid w:val="00AE5BD2"/>
    <w:rsid w:val="00AE5C92"/>
    <w:rsid w:val="00AE5E50"/>
    <w:rsid w:val="00AE5ED2"/>
    <w:rsid w:val="00AE64AF"/>
    <w:rsid w:val="00AE6C14"/>
    <w:rsid w:val="00AE6C2B"/>
    <w:rsid w:val="00AE6C6F"/>
    <w:rsid w:val="00AE7434"/>
    <w:rsid w:val="00AE76DF"/>
    <w:rsid w:val="00AE7808"/>
    <w:rsid w:val="00AF0081"/>
    <w:rsid w:val="00AF0192"/>
    <w:rsid w:val="00AF02CA"/>
    <w:rsid w:val="00AF03E6"/>
    <w:rsid w:val="00AF04FD"/>
    <w:rsid w:val="00AF0AE8"/>
    <w:rsid w:val="00AF0D7F"/>
    <w:rsid w:val="00AF100D"/>
    <w:rsid w:val="00AF1189"/>
    <w:rsid w:val="00AF11D8"/>
    <w:rsid w:val="00AF1BF3"/>
    <w:rsid w:val="00AF2791"/>
    <w:rsid w:val="00AF2982"/>
    <w:rsid w:val="00AF2E8E"/>
    <w:rsid w:val="00AF39C6"/>
    <w:rsid w:val="00AF3A0F"/>
    <w:rsid w:val="00AF3AEC"/>
    <w:rsid w:val="00AF3CF4"/>
    <w:rsid w:val="00AF3CFD"/>
    <w:rsid w:val="00AF42A8"/>
    <w:rsid w:val="00AF4812"/>
    <w:rsid w:val="00AF496C"/>
    <w:rsid w:val="00AF4C29"/>
    <w:rsid w:val="00AF4CA5"/>
    <w:rsid w:val="00AF50D5"/>
    <w:rsid w:val="00AF51A5"/>
    <w:rsid w:val="00AF54F5"/>
    <w:rsid w:val="00AF55CF"/>
    <w:rsid w:val="00AF562B"/>
    <w:rsid w:val="00AF5867"/>
    <w:rsid w:val="00AF5AB7"/>
    <w:rsid w:val="00AF5CD7"/>
    <w:rsid w:val="00AF5E82"/>
    <w:rsid w:val="00AF62DF"/>
    <w:rsid w:val="00AF6315"/>
    <w:rsid w:val="00AF686A"/>
    <w:rsid w:val="00AF686D"/>
    <w:rsid w:val="00AF68CC"/>
    <w:rsid w:val="00AF6FEE"/>
    <w:rsid w:val="00AF70D7"/>
    <w:rsid w:val="00AF7256"/>
    <w:rsid w:val="00AF768C"/>
    <w:rsid w:val="00AF7761"/>
    <w:rsid w:val="00AF777B"/>
    <w:rsid w:val="00AF7AEE"/>
    <w:rsid w:val="00B00086"/>
    <w:rsid w:val="00B0027B"/>
    <w:rsid w:val="00B00336"/>
    <w:rsid w:val="00B00CD0"/>
    <w:rsid w:val="00B00E7F"/>
    <w:rsid w:val="00B01307"/>
    <w:rsid w:val="00B014E8"/>
    <w:rsid w:val="00B0152A"/>
    <w:rsid w:val="00B0156C"/>
    <w:rsid w:val="00B01C35"/>
    <w:rsid w:val="00B01CE0"/>
    <w:rsid w:val="00B01FF4"/>
    <w:rsid w:val="00B022BA"/>
    <w:rsid w:val="00B02C2A"/>
    <w:rsid w:val="00B02C69"/>
    <w:rsid w:val="00B02DE0"/>
    <w:rsid w:val="00B02E31"/>
    <w:rsid w:val="00B0326D"/>
    <w:rsid w:val="00B035EA"/>
    <w:rsid w:val="00B03A60"/>
    <w:rsid w:val="00B03F74"/>
    <w:rsid w:val="00B0464E"/>
    <w:rsid w:val="00B047F9"/>
    <w:rsid w:val="00B04ABE"/>
    <w:rsid w:val="00B0560B"/>
    <w:rsid w:val="00B0572C"/>
    <w:rsid w:val="00B059E7"/>
    <w:rsid w:val="00B05A55"/>
    <w:rsid w:val="00B06024"/>
    <w:rsid w:val="00B06037"/>
    <w:rsid w:val="00B06478"/>
    <w:rsid w:val="00B067AF"/>
    <w:rsid w:val="00B06968"/>
    <w:rsid w:val="00B069C1"/>
    <w:rsid w:val="00B06EE9"/>
    <w:rsid w:val="00B07533"/>
    <w:rsid w:val="00B075F6"/>
    <w:rsid w:val="00B076B1"/>
    <w:rsid w:val="00B07CFB"/>
    <w:rsid w:val="00B10399"/>
    <w:rsid w:val="00B103E0"/>
    <w:rsid w:val="00B1059E"/>
    <w:rsid w:val="00B10615"/>
    <w:rsid w:val="00B11559"/>
    <w:rsid w:val="00B119DD"/>
    <w:rsid w:val="00B11C80"/>
    <w:rsid w:val="00B11D16"/>
    <w:rsid w:val="00B11D7F"/>
    <w:rsid w:val="00B1243E"/>
    <w:rsid w:val="00B12EAE"/>
    <w:rsid w:val="00B13016"/>
    <w:rsid w:val="00B130FA"/>
    <w:rsid w:val="00B1311A"/>
    <w:rsid w:val="00B13273"/>
    <w:rsid w:val="00B13439"/>
    <w:rsid w:val="00B13CF4"/>
    <w:rsid w:val="00B14448"/>
    <w:rsid w:val="00B14A36"/>
    <w:rsid w:val="00B14B21"/>
    <w:rsid w:val="00B14BC8"/>
    <w:rsid w:val="00B15034"/>
    <w:rsid w:val="00B15802"/>
    <w:rsid w:val="00B159BC"/>
    <w:rsid w:val="00B15C73"/>
    <w:rsid w:val="00B15EEB"/>
    <w:rsid w:val="00B16273"/>
    <w:rsid w:val="00B1632C"/>
    <w:rsid w:val="00B1635D"/>
    <w:rsid w:val="00B1653E"/>
    <w:rsid w:val="00B16C36"/>
    <w:rsid w:val="00B16EEE"/>
    <w:rsid w:val="00B170A5"/>
    <w:rsid w:val="00B1725F"/>
    <w:rsid w:val="00B1726A"/>
    <w:rsid w:val="00B17398"/>
    <w:rsid w:val="00B176C8"/>
    <w:rsid w:val="00B17EE5"/>
    <w:rsid w:val="00B204AC"/>
    <w:rsid w:val="00B205AA"/>
    <w:rsid w:val="00B20B73"/>
    <w:rsid w:val="00B2100A"/>
    <w:rsid w:val="00B21728"/>
    <w:rsid w:val="00B217AD"/>
    <w:rsid w:val="00B21A91"/>
    <w:rsid w:val="00B21CC5"/>
    <w:rsid w:val="00B21F2E"/>
    <w:rsid w:val="00B22E84"/>
    <w:rsid w:val="00B23028"/>
    <w:rsid w:val="00B231A3"/>
    <w:rsid w:val="00B23212"/>
    <w:rsid w:val="00B23230"/>
    <w:rsid w:val="00B23304"/>
    <w:rsid w:val="00B233AD"/>
    <w:rsid w:val="00B23655"/>
    <w:rsid w:val="00B239C9"/>
    <w:rsid w:val="00B23E25"/>
    <w:rsid w:val="00B2441E"/>
    <w:rsid w:val="00B24962"/>
    <w:rsid w:val="00B24A50"/>
    <w:rsid w:val="00B2525F"/>
    <w:rsid w:val="00B25348"/>
    <w:rsid w:val="00B25563"/>
    <w:rsid w:val="00B258DC"/>
    <w:rsid w:val="00B25943"/>
    <w:rsid w:val="00B25ABF"/>
    <w:rsid w:val="00B25EC3"/>
    <w:rsid w:val="00B25EE8"/>
    <w:rsid w:val="00B25F75"/>
    <w:rsid w:val="00B26010"/>
    <w:rsid w:val="00B263E8"/>
    <w:rsid w:val="00B26705"/>
    <w:rsid w:val="00B267FB"/>
    <w:rsid w:val="00B268DC"/>
    <w:rsid w:val="00B26A11"/>
    <w:rsid w:val="00B26B3F"/>
    <w:rsid w:val="00B26DC1"/>
    <w:rsid w:val="00B2778F"/>
    <w:rsid w:val="00B27A0A"/>
    <w:rsid w:val="00B27FB4"/>
    <w:rsid w:val="00B30139"/>
    <w:rsid w:val="00B306D5"/>
    <w:rsid w:val="00B30791"/>
    <w:rsid w:val="00B3087D"/>
    <w:rsid w:val="00B30C40"/>
    <w:rsid w:val="00B30C91"/>
    <w:rsid w:val="00B3170F"/>
    <w:rsid w:val="00B32334"/>
    <w:rsid w:val="00B3256D"/>
    <w:rsid w:val="00B32720"/>
    <w:rsid w:val="00B327E2"/>
    <w:rsid w:val="00B335E1"/>
    <w:rsid w:val="00B33635"/>
    <w:rsid w:val="00B33696"/>
    <w:rsid w:val="00B33B95"/>
    <w:rsid w:val="00B34003"/>
    <w:rsid w:val="00B3486F"/>
    <w:rsid w:val="00B34D13"/>
    <w:rsid w:val="00B34D2A"/>
    <w:rsid w:val="00B3500E"/>
    <w:rsid w:val="00B358E8"/>
    <w:rsid w:val="00B361D2"/>
    <w:rsid w:val="00B366FA"/>
    <w:rsid w:val="00B37A23"/>
    <w:rsid w:val="00B37AB7"/>
    <w:rsid w:val="00B37CF8"/>
    <w:rsid w:val="00B4010C"/>
    <w:rsid w:val="00B40881"/>
    <w:rsid w:val="00B40CED"/>
    <w:rsid w:val="00B41714"/>
    <w:rsid w:val="00B4183A"/>
    <w:rsid w:val="00B41A97"/>
    <w:rsid w:val="00B42105"/>
    <w:rsid w:val="00B42148"/>
    <w:rsid w:val="00B42AF4"/>
    <w:rsid w:val="00B42DFB"/>
    <w:rsid w:val="00B43087"/>
    <w:rsid w:val="00B43353"/>
    <w:rsid w:val="00B433AE"/>
    <w:rsid w:val="00B43904"/>
    <w:rsid w:val="00B43947"/>
    <w:rsid w:val="00B43DF7"/>
    <w:rsid w:val="00B43E90"/>
    <w:rsid w:val="00B4411B"/>
    <w:rsid w:val="00B44126"/>
    <w:rsid w:val="00B44185"/>
    <w:rsid w:val="00B44308"/>
    <w:rsid w:val="00B4453C"/>
    <w:rsid w:val="00B45260"/>
    <w:rsid w:val="00B45443"/>
    <w:rsid w:val="00B45722"/>
    <w:rsid w:val="00B46084"/>
    <w:rsid w:val="00B460F4"/>
    <w:rsid w:val="00B4625B"/>
    <w:rsid w:val="00B467DC"/>
    <w:rsid w:val="00B47038"/>
    <w:rsid w:val="00B475B9"/>
    <w:rsid w:val="00B47A88"/>
    <w:rsid w:val="00B47CD2"/>
    <w:rsid w:val="00B50701"/>
    <w:rsid w:val="00B50C56"/>
    <w:rsid w:val="00B50C89"/>
    <w:rsid w:val="00B50CEA"/>
    <w:rsid w:val="00B5111A"/>
    <w:rsid w:val="00B513A9"/>
    <w:rsid w:val="00B51628"/>
    <w:rsid w:val="00B5191F"/>
    <w:rsid w:val="00B51B7B"/>
    <w:rsid w:val="00B51E96"/>
    <w:rsid w:val="00B52025"/>
    <w:rsid w:val="00B520E8"/>
    <w:rsid w:val="00B52303"/>
    <w:rsid w:val="00B5264A"/>
    <w:rsid w:val="00B528CD"/>
    <w:rsid w:val="00B52CE7"/>
    <w:rsid w:val="00B52E93"/>
    <w:rsid w:val="00B52EB9"/>
    <w:rsid w:val="00B531A5"/>
    <w:rsid w:val="00B53206"/>
    <w:rsid w:val="00B532D5"/>
    <w:rsid w:val="00B53347"/>
    <w:rsid w:val="00B5392A"/>
    <w:rsid w:val="00B539EF"/>
    <w:rsid w:val="00B53CBA"/>
    <w:rsid w:val="00B53CBB"/>
    <w:rsid w:val="00B53D22"/>
    <w:rsid w:val="00B53D4D"/>
    <w:rsid w:val="00B544D5"/>
    <w:rsid w:val="00B548E5"/>
    <w:rsid w:val="00B54BD7"/>
    <w:rsid w:val="00B54DCE"/>
    <w:rsid w:val="00B54F41"/>
    <w:rsid w:val="00B54FC4"/>
    <w:rsid w:val="00B551F2"/>
    <w:rsid w:val="00B55C15"/>
    <w:rsid w:val="00B560E1"/>
    <w:rsid w:val="00B56118"/>
    <w:rsid w:val="00B566E1"/>
    <w:rsid w:val="00B567F7"/>
    <w:rsid w:val="00B56AFB"/>
    <w:rsid w:val="00B56D74"/>
    <w:rsid w:val="00B5735D"/>
    <w:rsid w:val="00B5736C"/>
    <w:rsid w:val="00B5771A"/>
    <w:rsid w:val="00B57BD8"/>
    <w:rsid w:val="00B60206"/>
    <w:rsid w:val="00B60213"/>
    <w:rsid w:val="00B602F6"/>
    <w:rsid w:val="00B60877"/>
    <w:rsid w:val="00B60CD2"/>
    <w:rsid w:val="00B61167"/>
    <w:rsid w:val="00B61278"/>
    <w:rsid w:val="00B6148C"/>
    <w:rsid w:val="00B617F9"/>
    <w:rsid w:val="00B619B7"/>
    <w:rsid w:val="00B61DB4"/>
    <w:rsid w:val="00B6214D"/>
    <w:rsid w:val="00B62369"/>
    <w:rsid w:val="00B6252E"/>
    <w:rsid w:val="00B62846"/>
    <w:rsid w:val="00B62AF0"/>
    <w:rsid w:val="00B62CE2"/>
    <w:rsid w:val="00B62EC1"/>
    <w:rsid w:val="00B63838"/>
    <w:rsid w:val="00B63AED"/>
    <w:rsid w:val="00B641F8"/>
    <w:rsid w:val="00B646B9"/>
    <w:rsid w:val="00B64A96"/>
    <w:rsid w:val="00B64ECB"/>
    <w:rsid w:val="00B6533B"/>
    <w:rsid w:val="00B654DA"/>
    <w:rsid w:val="00B65685"/>
    <w:rsid w:val="00B658D6"/>
    <w:rsid w:val="00B659F2"/>
    <w:rsid w:val="00B65C06"/>
    <w:rsid w:val="00B6636D"/>
    <w:rsid w:val="00B67020"/>
    <w:rsid w:val="00B671C6"/>
    <w:rsid w:val="00B6727B"/>
    <w:rsid w:val="00B672AA"/>
    <w:rsid w:val="00B676FF"/>
    <w:rsid w:val="00B6773F"/>
    <w:rsid w:val="00B67D18"/>
    <w:rsid w:val="00B67E53"/>
    <w:rsid w:val="00B70009"/>
    <w:rsid w:val="00B70189"/>
    <w:rsid w:val="00B701B0"/>
    <w:rsid w:val="00B702DC"/>
    <w:rsid w:val="00B705CB"/>
    <w:rsid w:val="00B70EB3"/>
    <w:rsid w:val="00B7143A"/>
    <w:rsid w:val="00B71CBC"/>
    <w:rsid w:val="00B71F7F"/>
    <w:rsid w:val="00B71FBD"/>
    <w:rsid w:val="00B720D7"/>
    <w:rsid w:val="00B72501"/>
    <w:rsid w:val="00B72906"/>
    <w:rsid w:val="00B72A70"/>
    <w:rsid w:val="00B72E5A"/>
    <w:rsid w:val="00B73456"/>
    <w:rsid w:val="00B737F7"/>
    <w:rsid w:val="00B739EF"/>
    <w:rsid w:val="00B74086"/>
    <w:rsid w:val="00B743CC"/>
    <w:rsid w:val="00B74ED7"/>
    <w:rsid w:val="00B74F48"/>
    <w:rsid w:val="00B7525E"/>
    <w:rsid w:val="00B75433"/>
    <w:rsid w:val="00B754EC"/>
    <w:rsid w:val="00B75A73"/>
    <w:rsid w:val="00B75AA5"/>
    <w:rsid w:val="00B75B7B"/>
    <w:rsid w:val="00B75BCC"/>
    <w:rsid w:val="00B75E51"/>
    <w:rsid w:val="00B75F70"/>
    <w:rsid w:val="00B7606E"/>
    <w:rsid w:val="00B760FB"/>
    <w:rsid w:val="00B761B2"/>
    <w:rsid w:val="00B76348"/>
    <w:rsid w:val="00B76419"/>
    <w:rsid w:val="00B766E1"/>
    <w:rsid w:val="00B76765"/>
    <w:rsid w:val="00B767AB"/>
    <w:rsid w:val="00B767B3"/>
    <w:rsid w:val="00B76F4D"/>
    <w:rsid w:val="00B76FFE"/>
    <w:rsid w:val="00B7763A"/>
    <w:rsid w:val="00B77A79"/>
    <w:rsid w:val="00B77CB2"/>
    <w:rsid w:val="00B77CE9"/>
    <w:rsid w:val="00B77FDC"/>
    <w:rsid w:val="00B801BA"/>
    <w:rsid w:val="00B8058F"/>
    <w:rsid w:val="00B8109C"/>
    <w:rsid w:val="00B812D6"/>
    <w:rsid w:val="00B815F5"/>
    <w:rsid w:val="00B816F7"/>
    <w:rsid w:val="00B81C29"/>
    <w:rsid w:val="00B81F1B"/>
    <w:rsid w:val="00B822D9"/>
    <w:rsid w:val="00B823ED"/>
    <w:rsid w:val="00B82BAE"/>
    <w:rsid w:val="00B82D67"/>
    <w:rsid w:val="00B82E9C"/>
    <w:rsid w:val="00B83001"/>
    <w:rsid w:val="00B83011"/>
    <w:rsid w:val="00B8316C"/>
    <w:rsid w:val="00B83236"/>
    <w:rsid w:val="00B832A3"/>
    <w:rsid w:val="00B83964"/>
    <w:rsid w:val="00B839E2"/>
    <w:rsid w:val="00B841FC"/>
    <w:rsid w:val="00B84200"/>
    <w:rsid w:val="00B843FA"/>
    <w:rsid w:val="00B846E6"/>
    <w:rsid w:val="00B84A59"/>
    <w:rsid w:val="00B84BC5"/>
    <w:rsid w:val="00B84C04"/>
    <w:rsid w:val="00B84D5C"/>
    <w:rsid w:val="00B84E8F"/>
    <w:rsid w:val="00B856F9"/>
    <w:rsid w:val="00B85AF6"/>
    <w:rsid w:val="00B85C5F"/>
    <w:rsid w:val="00B86A29"/>
    <w:rsid w:val="00B86D2E"/>
    <w:rsid w:val="00B87AC6"/>
    <w:rsid w:val="00B87C43"/>
    <w:rsid w:val="00B87C99"/>
    <w:rsid w:val="00B87E58"/>
    <w:rsid w:val="00B87EE2"/>
    <w:rsid w:val="00B9050B"/>
    <w:rsid w:val="00B905D4"/>
    <w:rsid w:val="00B90708"/>
    <w:rsid w:val="00B90846"/>
    <w:rsid w:val="00B909DF"/>
    <w:rsid w:val="00B90FAE"/>
    <w:rsid w:val="00B90FF3"/>
    <w:rsid w:val="00B91372"/>
    <w:rsid w:val="00B91787"/>
    <w:rsid w:val="00B919B4"/>
    <w:rsid w:val="00B91F02"/>
    <w:rsid w:val="00B9248C"/>
    <w:rsid w:val="00B926B8"/>
    <w:rsid w:val="00B926BE"/>
    <w:rsid w:val="00B92D2D"/>
    <w:rsid w:val="00B92E46"/>
    <w:rsid w:val="00B92F46"/>
    <w:rsid w:val="00B92F91"/>
    <w:rsid w:val="00B93159"/>
    <w:rsid w:val="00B93B8F"/>
    <w:rsid w:val="00B941ED"/>
    <w:rsid w:val="00B94393"/>
    <w:rsid w:val="00B94B94"/>
    <w:rsid w:val="00B9505C"/>
    <w:rsid w:val="00B956ED"/>
    <w:rsid w:val="00B95830"/>
    <w:rsid w:val="00B95FA2"/>
    <w:rsid w:val="00B9605C"/>
    <w:rsid w:val="00B9611D"/>
    <w:rsid w:val="00B96222"/>
    <w:rsid w:val="00B96740"/>
    <w:rsid w:val="00B96E06"/>
    <w:rsid w:val="00B97147"/>
    <w:rsid w:val="00B97583"/>
    <w:rsid w:val="00B975FC"/>
    <w:rsid w:val="00B9778C"/>
    <w:rsid w:val="00B979E5"/>
    <w:rsid w:val="00B97A3B"/>
    <w:rsid w:val="00B97B9C"/>
    <w:rsid w:val="00B97DDA"/>
    <w:rsid w:val="00BA015F"/>
    <w:rsid w:val="00BA01B1"/>
    <w:rsid w:val="00BA01C1"/>
    <w:rsid w:val="00BA0375"/>
    <w:rsid w:val="00BA07D7"/>
    <w:rsid w:val="00BA093C"/>
    <w:rsid w:val="00BA1FC4"/>
    <w:rsid w:val="00BA2980"/>
    <w:rsid w:val="00BA2DA8"/>
    <w:rsid w:val="00BA2E38"/>
    <w:rsid w:val="00BA3464"/>
    <w:rsid w:val="00BA347C"/>
    <w:rsid w:val="00BA3EEC"/>
    <w:rsid w:val="00BA41F0"/>
    <w:rsid w:val="00BA432A"/>
    <w:rsid w:val="00BA4366"/>
    <w:rsid w:val="00BA4665"/>
    <w:rsid w:val="00BA466A"/>
    <w:rsid w:val="00BA47FB"/>
    <w:rsid w:val="00BA4C79"/>
    <w:rsid w:val="00BA4EBD"/>
    <w:rsid w:val="00BA5041"/>
    <w:rsid w:val="00BA551D"/>
    <w:rsid w:val="00BA5921"/>
    <w:rsid w:val="00BA61EB"/>
    <w:rsid w:val="00BA64C1"/>
    <w:rsid w:val="00BA6542"/>
    <w:rsid w:val="00BA65E9"/>
    <w:rsid w:val="00BA6AEE"/>
    <w:rsid w:val="00BA7188"/>
    <w:rsid w:val="00BA7B51"/>
    <w:rsid w:val="00BB01CA"/>
    <w:rsid w:val="00BB0301"/>
    <w:rsid w:val="00BB05F0"/>
    <w:rsid w:val="00BB0D65"/>
    <w:rsid w:val="00BB0DE7"/>
    <w:rsid w:val="00BB179D"/>
    <w:rsid w:val="00BB298A"/>
    <w:rsid w:val="00BB2B46"/>
    <w:rsid w:val="00BB2E50"/>
    <w:rsid w:val="00BB3469"/>
    <w:rsid w:val="00BB362E"/>
    <w:rsid w:val="00BB42C7"/>
    <w:rsid w:val="00BB42EA"/>
    <w:rsid w:val="00BB43DA"/>
    <w:rsid w:val="00BB47CE"/>
    <w:rsid w:val="00BB4826"/>
    <w:rsid w:val="00BB4B7C"/>
    <w:rsid w:val="00BB4C2A"/>
    <w:rsid w:val="00BB4D36"/>
    <w:rsid w:val="00BB50E8"/>
    <w:rsid w:val="00BB5387"/>
    <w:rsid w:val="00BB5414"/>
    <w:rsid w:val="00BB595C"/>
    <w:rsid w:val="00BB59EE"/>
    <w:rsid w:val="00BB5C1A"/>
    <w:rsid w:val="00BB5C49"/>
    <w:rsid w:val="00BB5CB8"/>
    <w:rsid w:val="00BB5CFC"/>
    <w:rsid w:val="00BB5EAC"/>
    <w:rsid w:val="00BB6240"/>
    <w:rsid w:val="00BB6285"/>
    <w:rsid w:val="00BB65B5"/>
    <w:rsid w:val="00BB6763"/>
    <w:rsid w:val="00BB6834"/>
    <w:rsid w:val="00BB69F5"/>
    <w:rsid w:val="00BB6B00"/>
    <w:rsid w:val="00BB6BED"/>
    <w:rsid w:val="00BB6E48"/>
    <w:rsid w:val="00BB7025"/>
    <w:rsid w:val="00BB740C"/>
    <w:rsid w:val="00BB7490"/>
    <w:rsid w:val="00BB75CC"/>
    <w:rsid w:val="00BB765A"/>
    <w:rsid w:val="00BB76C3"/>
    <w:rsid w:val="00BB7833"/>
    <w:rsid w:val="00BB7D1E"/>
    <w:rsid w:val="00BB7D63"/>
    <w:rsid w:val="00BB7D8B"/>
    <w:rsid w:val="00BB7E92"/>
    <w:rsid w:val="00BB7EC3"/>
    <w:rsid w:val="00BC0339"/>
    <w:rsid w:val="00BC04B1"/>
    <w:rsid w:val="00BC061B"/>
    <w:rsid w:val="00BC0B57"/>
    <w:rsid w:val="00BC0CE2"/>
    <w:rsid w:val="00BC0E44"/>
    <w:rsid w:val="00BC1159"/>
    <w:rsid w:val="00BC1387"/>
    <w:rsid w:val="00BC1423"/>
    <w:rsid w:val="00BC14AE"/>
    <w:rsid w:val="00BC1C71"/>
    <w:rsid w:val="00BC21A7"/>
    <w:rsid w:val="00BC2373"/>
    <w:rsid w:val="00BC27A9"/>
    <w:rsid w:val="00BC2891"/>
    <w:rsid w:val="00BC28FF"/>
    <w:rsid w:val="00BC2E37"/>
    <w:rsid w:val="00BC399F"/>
    <w:rsid w:val="00BC3A19"/>
    <w:rsid w:val="00BC4160"/>
    <w:rsid w:val="00BC4218"/>
    <w:rsid w:val="00BC42AA"/>
    <w:rsid w:val="00BC4561"/>
    <w:rsid w:val="00BC470E"/>
    <w:rsid w:val="00BC473A"/>
    <w:rsid w:val="00BC4B21"/>
    <w:rsid w:val="00BC4B9A"/>
    <w:rsid w:val="00BC4E26"/>
    <w:rsid w:val="00BC500F"/>
    <w:rsid w:val="00BC5C64"/>
    <w:rsid w:val="00BC603E"/>
    <w:rsid w:val="00BC64E1"/>
    <w:rsid w:val="00BC666A"/>
    <w:rsid w:val="00BC7347"/>
    <w:rsid w:val="00BC7992"/>
    <w:rsid w:val="00BC7E18"/>
    <w:rsid w:val="00BC7F18"/>
    <w:rsid w:val="00BD02C3"/>
    <w:rsid w:val="00BD033F"/>
    <w:rsid w:val="00BD04EB"/>
    <w:rsid w:val="00BD04F2"/>
    <w:rsid w:val="00BD0882"/>
    <w:rsid w:val="00BD0C7D"/>
    <w:rsid w:val="00BD109B"/>
    <w:rsid w:val="00BD11EB"/>
    <w:rsid w:val="00BD161C"/>
    <w:rsid w:val="00BD1863"/>
    <w:rsid w:val="00BD1BB1"/>
    <w:rsid w:val="00BD1CE8"/>
    <w:rsid w:val="00BD1FE2"/>
    <w:rsid w:val="00BD26AE"/>
    <w:rsid w:val="00BD2CFB"/>
    <w:rsid w:val="00BD2E81"/>
    <w:rsid w:val="00BD324B"/>
    <w:rsid w:val="00BD3C8F"/>
    <w:rsid w:val="00BD3E34"/>
    <w:rsid w:val="00BD4014"/>
    <w:rsid w:val="00BD42DC"/>
    <w:rsid w:val="00BD43E7"/>
    <w:rsid w:val="00BD4A8E"/>
    <w:rsid w:val="00BD4E5C"/>
    <w:rsid w:val="00BD4F4E"/>
    <w:rsid w:val="00BD55C8"/>
    <w:rsid w:val="00BD5E62"/>
    <w:rsid w:val="00BD65B5"/>
    <w:rsid w:val="00BD65D0"/>
    <w:rsid w:val="00BD6835"/>
    <w:rsid w:val="00BD6928"/>
    <w:rsid w:val="00BD6993"/>
    <w:rsid w:val="00BD6BE2"/>
    <w:rsid w:val="00BD7483"/>
    <w:rsid w:val="00BD74A6"/>
    <w:rsid w:val="00BD7819"/>
    <w:rsid w:val="00BD784C"/>
    <w:rsid w:val="00BD7949"/>
    <w:rsid w:val="00BE020A"/>
    <w:rsid w:val="00BE0280"/>
    <w:rsid w:val="00BE02E9"/>
    <w:rsid w:val="00BE0312"/>
    <w:rsid w:val="00BE0594"/>
    <w:rsid w:val="00BE0627"/>
    <w:rsid w:val="00BE0F14"/>
    <w:rsid w:val="00BE0FEC"/>
    <w:rsid w:val="00BE1258"/>
    <w:rsid w:val="00BE13B1"/>
    <w:rsid w:val="00BE13DF"/>
    <w:rsid w:val="00BE14CA"/>
    <w:rsid w:val="00BE1725"/>
    <w:rsid w:val="00BE1B74"/>
    <w:rsid w:val="00BE1B80"/>
    <w:rsid w:val="00BE1EF0"/>
    <w:rsid w:val="00BE1F44"/>
    <w:rsid w:val="00BE21BF"/>
    <w:rsid w:val="00BE256F"/>
    <w:rsid w:val="00BE25D7"/>
    <w:rsid w:val="00BE261B"/>
    <w:rsid w:val="00BE2778"/>
    <w:rsid w:val="00BE2F1E"/>
    <w:rsid w:val="00BE3217"/>
    <w:rsid w:val="00BE32CC"/>
    <w:rsid w:val="00BE38DA"/>
    <w:rsid w:val="00BE39A0"/>
    <w:rsid w:val="00BE3B02"/>
    <w:rsid w:val="00BE3F2F"/>
    <w:rsid w:val="00BE3F99"/>
    <w:rsid w:val="00BE41A1"/>
    <w:rsid w:val="00BE473F"/>
    <w:rsid w:val="00BE4827"/>
    <w:rsid w:val="00BE4D56"/>
    <w:rsid w:val="00BE5471"/>
    <w:rsid w:val="00BE573A"/>
    <w:rsid w:val="00BE658D"/>
    <w:rsid w:val="00BE6668"/>
    <w:rsid w:val="00BE6986"/>
    <w:rsid w:val="00BE69A1"/>
    <w:rsid w:val="00BE69D9"/>
    <w:rsid w:val="00BE6A1C"/>
    <w:rsid w:val="00BE7062"/>
    <w:rsid w:val="00BE71A1"/>
    <w:rsid w:val="00BE74B7"/>
    <w:rsid w:val="00BE756C"/>
    <w:rsid w:val="00BE7C11"/>
    <w:rsid w:val="00BF0302"/>
    <w:rsid w:val="00BF0352"/>
    <w:rsid w:val="00BF066A"/>
    <w:rsid w:val="00BF092C"/>
    <w:rsid w:val="00BF0EC1"/>
    <w:rsid w:val="00BF1873"/>
    <w:rsid w:val="00BF1A2C"/>
    <w:rsid w:val="00BF1FE1"/>
    <w:rsid w:val="00BF2665"/>
    <w:rsid w:val="00BF27A0"/>
    <w:rsid w:val="00BF29EF"/>
    <w:rsid w:val="00BF2BF5"/>
    <w:rsid w:val="00BF33D2"/>
    <w:rsid w:val="00BF3C97"/>
    <w:rsid w:val="00BF3E7F"/>
    <w:rsid w:val="00BF3E84"/>
    <w:rsid w:val="00BF3FC7"/>
    <w:rsid w:val="00BF4078"/>
    <w:rsid w:val="00BF4464"/>
    <w:rsid w:val="00BF46BE"/>
    <w:rsid w:val="00BF4B18"/>
    <w:rsid w:val="00BF4BA4"/>
    <w:rsid w:val="00BF4C35"/>
    <w:rsid w:val="00BF4CB6"/>
    <w:rsid w:val="00BF4D39"/>
    <w:rsid w:val="00BF4E7E"/>
    <w:rsid w:val="00BF4F30"/>
    <w:rsid w:val="00BF51E1"/>
    <w:rsid w:val="00BF5820"/>
    <w:rsid w:val="00BF59F2"/>
    <w:rsid w:val="00BF5B26"/>
    <w:rsid w:val="00BF5CC6"/>
    <w:rsid w:val="00BF5CF4"/>
    <w:rsid w:val="00BF5D22"/>
    <w:rsid w:val="00BF5D23"/>
    <w:rsid w:val="00BF65C5"/>
    <w:rsid w:val="00BF66D5"/>
    <w:rsid w:val="00BF6786"/>
    <w:rsid w:val="00BF6C24"/>
    <w:rsid w:val="00BF6CBD"/>
    <w:rsid w:val="00BF73F5"/>
    <w:rsid w:val="00BF7490"/>
    <w:rsid w:val="00BF760B"/>
    <w:rsid w:val="00C00216"/>
    <w:rsid w:val="00C005A1"/>
    <w:rsid w:val="00C008B4"/>
    <w:rsid w:val="00C00DA7"/>
    <w:rsid w:val="00C012D0"/>
    <w:rsid w:val="00C0146D"/>
    <w:rsid w:val="00C016EF"/>
    <w:rsid w:val="00C016F0"/>
    <w:rsid w:val="00C01C44"/>
    <w:rsid w:val="00C02386"/>
    <w:rsid w:val="00C023D1"/>
    <w:rsid w:val="00C02792"/>
    <w:rsid w:val="00C02965"/>
    <w:rsid w:val="00C02A99"/>
    <w:rsid w:val="00C02B2C"/>
    <w:rsid w:val="00C0326C"/>
    <w:rsid w:val="00C03447"/>
    <w:rsid w:val="00C03456"/>
    <w:rsid w:val="00C034FB"/>
    <w:rsid w:val="00C0373A"/>
    <w:rsid w:val="00C041E2"/>
    <w:rsid w:val="00C04414"/>
    <w:rsid w:val="00C047F1"/>
    <w:rsid w:val="00C049B9"/>
    <w:rsid w:val="00C04C44"/>
    <w:rsid w:val="00C04CDE"/>
    <w:rsid w:val="00C04D56"/>
    <w:rsid w:val="00C04FC5"/>
    <w:rsid w:val="00C059D5"/>
    <w:rsid w:val="00C05D6B"/>
    <w:rsid w:val="00C061D2"/>
    <w:rsid w:val="00C063BC"/>
    <w:rsid w:val="00C063C2"/>
    <w:rsid w:val="00C068A6"/>
    <w:rsid w:val="00C06CD4"/>
    <w:rsid w:val="00C06E37"/>
    <w:rsid w:val="00C070C5"/>
    <w:rsid w:val="00C073A2"/>
    <w:rsid w:val="00C0779F"/>
    <w:rsid w:val="00C10339"/>
    <w:rsid w:val="00C10EE7"/>
    <w:rsid w:val="00C10F9C"/>
    <w:rsid w:val="00C111C3"/>
    <w:rsid w:val="00C113DC"/>
    <w:rsid w:val="00C11FDB"/>
    <w:rsid w:val="00C12768"/>
    <w:rsid w:val="00C12D70"/>
    <w:rsid w:val="00C135EC"/>
    <w:rsid w:val="00C13CEE"/>
    <w:rsid w:val="00C142FB"/>
    <w:rsid w:val="00C147E8"/>
    <w:rsid w:val="00C14C43"/>
    <w:rsid w:val="00C14DF4"/>
    <w:rsid w:val="00C1527C"/>
    <w:rsid w:val="00C15525"/>
    <w:rsid w:val="00C15784"/>
    <w:rsid w:val="00C158E2"/>
    <w:rsid w:val="00C1596B"/>
    <w:rsid w:val="00C15C28"/>
    <w:rsid w:val="00C160EE"/>
    <w:rsid w:val="00C162F8"/>
    <w:rsid w:val="00C163B5"/>
    <w:rsid w:val="00C16724"/>
    <w:rsid w:val="00C167D9"/>
    <w:rsid w:val="00C16A0F"/>
    <w:rsid w:val="00C16A30"/>
    <w:rsid w:val="00C16DC3"/>
    <w:rsid w:val="00C16FB5"/>
    <w:rsid w:val="00C17310"/>
    <w:rsid w:val="00C174FA"/>
    <w:rsid w:val="00C17E27"/>
    <w:rsid w:val="00C20533"/>
    <w:rsid w:val="00C2092D"/>
    <w:rsid w:val="00C20C2E"/>
    <w:rsid w:val="00C20C51"/>
    <w:rsid w:val="00C20DE0"/>
    <w:rsid w:val="00C20DE2"/>
    <w:rsid w:val="00C21B09"/>
    <w:rsid w:val="00C21EAE"/>
    <w:rsid w:val="00C21F94"/>
    <w:rsid w:val="00C21FA7"/>
    <w:rsid w:val="00C22080"/>
    <w:rsid w:val="00C22A5C"/>
    <w:rsid w:val="00C2308C"/>
    <w:rsid w:val="00C23299"/>
    <w:rsid w:val="00C23A3C"/>
    <w:rsid w:val="00C23E3B"/>
    <w:rsid w:val="00C240CC"/>
    <w:rsid w:val="00C24547"/>
    <w:rsid w:val="00C24740"/>
    <w:rsid w:val="00C24E92"/>
    <w:rsid w:val="00C24F11"/>
    <w:rsid w:val="00C2507C"/>
    <w:rsid w:val="00C25164"/>
    <w:rsid w:val="00C25624"/>
    <w:rsid w:val="00C25648"/>
    <w:rsid w:val="00C259F4"/>
    <w:rsid w:val="00C25EFF"/>
    <w:rsid w:val="00C2673A"/>
    <w:rsid w:val="00C2688D"/>
    <w:rsid w:val="00C26B86"/>
    <w:rsid w:val="00C26D5E"/>
    <w:rsid w:val="00C27610"/>
    <w:rsid w:val="00C276D8"/>
    <w:rsid w:val="00C278CD"/>
    <w:rsid w:val="00C279C0"/>
    <w:rsid w:val="00C27B3B"/>
    <w:rsid w:val="00C27B58"/>
    <w:rsid w:val="00C27C1C"/>
    <w:rsid w:val="00C30013"/>
    <w:rsid w:val="00C31060"/>
    <w:rsid w:val="00C31174"/>
    <w:rsid w:val="00C31538"/>
    <w:rsid w:val="00C3166C"/>
    <w:rsid w:val="00C31861"/>
    <w:rsid w:val="00C31D93"/>
    <w:rsid w:val="00C327E6"/>
    <w:rsid w:val="00C33186"/>
    <w:rsid w:val="00C3363E"/>
    <w:rsid w:val="00C33A96"/>
    <w:rsid w:val="00C33E3A"/>
    <w:rsid w:val="00C34598"/>
    <w:rsid w:val="00C34C7B"/>
    <w:rsid w:val="00C34D79"/>
    <w:rsid w:val="00C34D93"/>
    <w:rsid w:val="00C35504"/>
    <w:rsid w:val="00C35996"/>
    <w:rsid w:val="00C361A7"/>
    <w:rsid w:val="00C3630E"/>
    <w:rsid w:val="00C36315"/>
    <w:rsid w:val="00C365CA"/>
    <w:rsid w:val="00C365FC"/>
    <w:rsid w:val="00C3696E"/>
    <w:rsid w:val="00C36BDF"/>
    <w:rsid w:val="00C3766B"/>
    <w:rsid w:val="00C40160"/>
    <w:rsid w:val="00C40BE8"/>
    <w:rsid w:val="00C41161"/>
    <w:rsid w:val="00C418F3"/>
    <w:rsid w:val="00C41B7D"/>
    <w:rsid w:val="00C41F32"/>
    <w:rsid w:val="00C4219A"/>
    <w:rsid w:val="00C4249E"/>
    <w:rsid w:val="00C4262F"/>
    <w:rsid w:val="00C42A6A"/>
    <w:rsid w:val="00C42BCD"/>
    <w:rsid w:val="00C43D8C"/>
    <w:rsid w:val="00C43F40"/>
    <w:rsid w:val="00C43F7D"/>
    <w:rsid w:val="00C43F7F"/>
    <w:rsid w:val="00C4485F"/>
    <w:rsid w:val="00C4491E"/>
    <w:rsid w:val="00C44E40"/>
    <w:rsid w:val="00C451E2"/>
    <w:rsid w:val="00C454D1"/>
    <w:rsid w:val="00C4561B"/>
    <w:rsid w:val="00C457DF"/>
    <w:rsid w:val="00C4584A"/>
    <w:rsid w:val="00C4597D"/>
    <w:rsid w:val="00C459A0"/>
    <w:rsid w:val="00C460B3"/>
    <w:rsid w:val="00C46571"/>
    <w:rsid w:val="00C46788"/>
    <w:rsid w:val="00C46C13"/>
    <w:rsid w:val="00C46F33"/>
    <w:rsid w:val="00C471BA"/>
    <w:rsid w:val="00C4747E"/>
    <w:rsid w:val="00C47D31"/>
    <w:rsid w:val="00C47ED9"/>
    <w:rsid w:val="00C50421"/>
    <w:rsid w:val="00C5054F"/>
    <w:rsid w:val="00C50667"/>
    <w:rsid w:val="00C506C8"/>
    <w:rsid w:val="00C509F4"/>
    <w:rsid w:val="00C5151E"/>
    <w:rsid w:val="00C5169C"/>
    <w:rsid w:val="00C52129"/>
    <w:rsid w:val="00C521DC"/>
    <w:rsid w:val="00C52256"/>
    <w:rsid w:val="00C52288"/>
    <w:rsid w:val="00C522AA"/>
    <w:rsid w:val="00C523D8"/>
    <w:rsid w:val="00C5267A"/>
    <w:rsid w:val="00C52B9C"/>
    <w:rsid w:val="00C52F54"/>
    <w:rsid w:val="00C5342C"/>
    <w:rsid w:val="00C538A0"/>
    <w:rsid w:val="00C53B2B"/>
    <w:rsid w:val="00C53CC6"/>
    <w:rsid w:val="00C5402A"/>
    <w:rsid w:val="00C543B9"/>
    <w:rsid w:val="00C547F5"/>
    <w:rsid w:val="00C5483C"/>
    <w:rsid w:val="00C549BA"/>
    <w:rsid w:val="00C54CBB"/>
    <w:rsid w:val="00C54F00"/>
    <w:rsid w:val="00C55079"/>
    <w:rsid w:val="00C551EE"/>
    <w:rsid w:val="00C5526C"/>
    <w:rsid w:val="00C55281"/>
    <w:rsid w:val="00C55388"/>
    <w:rsid w:val="00C5559C"/>
    <w:rsid w:val="00C55C9D"/>
    <w:rsid w:val="00C55D16"/>
    <w:rsid w:val="00C55DA9"/>
    <w:rsid w:val="00C55EE3"/>
    <w:rsid w:val="00C55F15"/>
    <w:rsid w:val="00C5686C"/>
    <w:rsid w:val="00C56A01"/>
    <w:rsid w:val="00C56D78"/>
    <w:rsid w:val="00C56FE9"/>
    <w:rsid w:val="00C57391"/>
    <w:rsid w:val="00C57465"/>
    <w:rsid w:val="00C57515"/>
    <w:rsid w:val="00C576B2"/>
    <w:rsid w:val="00C577FD"/>
    <w:rsid w:val="00C57A26"/>
    <w:rsid w:val="00C60272"/>
    <w:rsid w:val="00C603D4"/>
    <w:rsid w:val="00C607FC"/>
    <w:rsid w:val="00C60845"/>
    <w:rsid w:val="00C6087F"/>
    <w:rsid w:val="00C60959"/>
    <w:rsid w:val="00C6128A"/>
    <w:rsid w:val="00C612E8"/>
    <w:rsid w:val="00C616BC"/>
    <w:rsid w:val="00C618E9"/>
    <w:rsid w:val="00C618EE"/>
    <w:rsid w:val="00C619D6"/>
    <w:rsid w:val="00C61CA9"/>
    <w:rsid w:val="00C6208A"/>
    <w:rsid w:val="00C622B9"/>
    <w:rsid w:val="00C6256A"/>
    <w:rsid w:val="00C625BA"/>
    <w:rsid w:val="00C626F3"/>
    <w:rsid w:val="00C62796"/>
    <w:rsid w:val="00C62CD9"/>
    <w:rsid w:val="00C62D47"/>
    <w:rsid w:val="00C62EB4"/>
    <w:rsid w:val="00C62F19"/>
    <w:rsid w:val="00C63147"/>
    <w:rsid w:val="00C63BF7"/>
    <w:rsid w:val="00C63DC7"/>
    <w:rsid w:val="00C63E89"/>
    <w:rsid w:val="00C63E98"/>
    <w:rsid w:val="00C63F73"/>
    <w:rsid w:val="00C63FDA"/>
    <w:rsid w:val="00C640ED"/>
    <w:rsid w:val="00C643B1"/>
    <w:rsid w:val="00C64525"/>
    <w:rsid w:val="00C647AF"/>
    <w:rsid w:val="00C64EBC"/>
    <w:rsid w:val="00C65F77"/>
    <w:rsid w:val="00C664D2"/>
    <w:rsid w:val="00C666BD"/>
    <w:rsid w:val="00C66AAE"/>
    <w:rsid w:val="00C67349"/>
    <w:rsid w:val="00C67444"/>
    <w:rsid w:val="00C677E1"/>
    <w:rsid w:val="00C6795D"/>
    <w:rsid w:val="00C67C1A"/>
    <w:rsid w:val="00C70028"/>
    <w:rsid w:val="00C70246"/>
    <w:rsid w:val="00C7027D"/>
    <w:rsid w:val="00C70854"/>
    <w:rsid w:val="00C70D10"/>
    <w:rsid w:val="00C70E6E"/>
    <w:rsid w:val="00C70FF6"/>
    <w:rsid w:val="00C710E2"/>
    <w:rsid w:val="00C71635"/>
    <w:rsid w:val="00C717F2"/>
    <w:rsid w:val="00C71C3F"/>
    <w:rsid w:val="00C71CFD"/>
    <w:rsid w:val="00C71DB3"/>
    <w:rsid w:val="00C71F8B"/>
    <w:rsid w:val="00C72309"/>
    <w:rsid w:val="00C7288C"/>
    <w:rsid w:val="00C72943"/>
    <w:rsid w:val="00C7294B"/>
    <w:rsid w:val="00C72F44"/>
    <w:rsid w:val="00C735E3"/>
    <w:rsid w:val="00C737E2"/>
    <w:rsid w:val="00C73898"/>
    <w:rsid w:val="00C73D99"/>
    <w:rsid w:val="00C7409E"/>
    <w:rsid w:val="00C74188"/>
    <w:rsid w:val="00C742EF"/>
    <w:rsid w:val="00C74937"/>
    <w:rsid w:val="00C74C52"/>
    <w:rsid w:val="00C74D6D"/>
    <w:rsid w:val="00C75693"/>
    <w:rsid w:val="00C75EA3"/>
    <w:rsid w:val="00C76101"/>
    <w:rsid w:val="00C76177"/>
    <w:rsid w:val="00C7627C"/>
    <w:rsid w:val="00C76390"/>
    <w:rsid w:val="00C764B1"/>
    <w:rsid w:val="00C76E76"/>
    <w:rsid w:val="00C76F11"/>
    <w:rsid w:val="00C77891"/>
    <w:rsid w:val="00C77B74"/>
    <w:rsid w:val="00C80080"/>
    <w:rsid w:val="00C801B3"/>
    <w:rsid w:val="00C80345"/>
    <w:rsid w:val="00C80EBF"/>
    <w:rsid w:val="00C8124F"/>
    <w:rsid w:val="00C813FA"/>
    <w:rsid w:val="00C81718"/>
    <w:rsid w:val="00C81E9B"/>
    <w:rsid w:val="00C82062"/>
    <w:rsid w:val="00C829A9"/>
    <w:rsid w:val="00C82AD3"/>
    <w:rsid w:val="00C82F48"/>
    <w:rsid w:val="00C83CBD"/>
    <w:rsid w:val="00C83DB9"/>
    <w:rsid w:val="00C84504"/>
    <w:rsid w:val="00C8504B"/>
    <w:rsid w:val="00C85559"/>
    <w:rsid w:val="00C85939"/>
    <w:rsid w:val="00C85AA9"/>
    <w:rsid w:val="00C85AD4"/>
    <w:rsid w:val="00C85E20"/>
    <w:rsid w:val="00C85E40"/>
    <w:rsid w:val="00C860AA"/>
    <w:rsid w:val="00C86A46"/>
    <w:rsid w:val="00C86BA2"/>
    <w:rsid w:val="00C87810"/>
    <w:rsid w:val="00C87B80"/>
    <w:rsid w:val="00C87EB5"/>
    <w:rsid w:val="00C902DB"/>
    <w:rsid w:val="00C90330"/>
    <w:rsid w:val="00C909EB"/>
    <w:rsid w:val="00C90FE5"/>
    <w:rsid w:val="00C9106C"/>
    <w:rsid w:val="00C910C0"/>
    <w:rsid w:val="00C91289"/>
    <w:rsid w:val="00C9134E"/>
    <w:rsid w:val="00C91449"/>
    <w:rsid w:val="00C9171D"/>
    <w:rsid w:val="00C91C28"/>
    <w:rsid w:val="00C91F74"/>
    <w:rsid w:val="00C9248A"/>
    <w:rsid w:val="00C9288E"/>
    <w:rsid w:val="00C92CC8"/>
    <w:rsid w:val="00C92D10"/>
    <w:rsid w:val="00C92F79"/>
    <w:rsid w:val="00C93548"/>
    <w:rsid w:val="00C93584"/>
    <w:rsid w:val="00C94658"/>
    <w:rsid w:val="00C95200"/>
    <w:rsid w:val="00C95420"/>
    <w:rsid w:val="00C9597C"/>
    <w:rsid w:val="00C95DF7"/>
    <w:rsid w:val="00C96335"/>
    <w:rsid w:val="00C963B6"/>
    <w:rsid w:val="00C964BE"/>
    <w:rsid w:val="00C96EC0"/>
    <w:rsid w:val="00C972F4"/>
    <w:rsid w:val="00C978E8"/>
    <w:rsid w:val="00C97EAC"/>
    <w:rsid w:val="00CA013A"/>
    <w:rsid w:val="00CA01D3"/>
    <w:rsid w:val="00CA022C"/>
    <w:rsid w:val="00CA069E"/>
    <w:rsid w:val="00CA06F9"/>
    <w:rsid w:val="00CA0897"/>
    <w:rsid w:val="00CA129C"/>
    <w:rsid w:val="00CA13E3"/>
    <w:rsid w:val="00CA14BB"/>
    <w:rsid w:val="00CA18A0"/>
    <w:rsid w:val="00CA1B0D"/>
    <w:rsid w:val="00CA1FE8"/>
    <w:rsid w:val="00CA2136"/>
    <w:rsid w:val="00CA22F4"/>
    <w:rsid w:val="00CA230C"/>
    <w:rsid w:val="00CA35C2"/>
    <w:rsid w:val="00CA3646"/>
    <w:rsid w:val="00CA3702"/>
    <w:rsid w:val="00CA3D8B"/>
    <w:rsid w:val="00CA3E00"/>
    <w:rsid w:val="00CA4077"/>
    <w:rsid w:val="00CA424F"/>
    <w:rsid w:val="00CA48D9"/>
    <w:rsid w:val="00CA48DF"/>
    <w:rsid w:val="00CA5201"/>
    <w:rsid w:val="00CA553A"/>
    <w:rsid w:val="00CA56C2"/>
    <w:rsid w:val="00CA58D1"/>
    <w:rsid w:val="00CA5DCF"/>
    <w:rsid w:val="00CA64B8"/>
    <w:rsid w:val="00CA6B7F"/>
    <w:rsid w:val="00CA6F5F"/>
    <w:rsid w:val="00CA7562"/>
    <w:rsid w:val="00CA774E"/>
    <w:rsid w:val="00CA7BD6"/>
    <w:rsid w:val="00CA7C25"/>
    <w:rsid w:val="00CA7CB3"/>
    <w:rsid w:val="00CA7F42"/>
    <w:rsid w:val="00CB00F2"/>
    <w:rsid w:val="00CB037F"/>
    <w:rsid w:val="00CB0770"/>
    <w:rsid w:val="00CB0791"/>
    <w:rsid w:val="00CB0854"/>
    <w:rsid w:val="00CB1073"/>
    <w:rsid w:val="00CB117A"/>
    <w:rsid w:val="00CB1193"/>
    <w:rsid w:val="00CB19FA"/>
    <w:rsid w:val="00CB1D92"/>
    <w:rsid w:val="00CB2066"/>
    <w:rsid w:val="00CB2090"/>
    <w:rsid w:val="00CB2452"/>
    <w:rsid w:val="00CB24D4"/>
    <w:rsid w:val="00CB3130"/>
    <w:rsid w:val="00CB353B"/>
    <w:rsid w:val="00CB35C1"/>
    <w:rsid w:val="00CB37F4"/>
    <w:rsid w:val="00CB39C6"/>
    <w:rsid w:val="00CB3B70"/>
    <w:rsid w:val="00CB3C37"/>
    <w:rsid w:val="00CB402E"/>
    <w:rsid w:val="00CB4767"/>
    <w:rsid w:val="00CB47D6"/>
    <w:rsid w:val="00CB493D"/>
    <w:rsid w:val="00CB4A9F"/>
    <w:rsid w:val="00CB4CBA"/>
    <w:rsid w:val="00CB5357"/>
    <w:rsid w:val="00CB551B"/>
    <w:rsid w:val="00CB56F0"/>
    <w:rsid w:val="00CB5BCF"/>
    <w:rsid w:val="00CB60FC"/>
    <w:rsid w:val="00CB618C"/>
    <w:rsid w:val="00CB66BA"/>
    <w:rsid w:val="00CB6C28"/>
    <w:rsid w:val="00CB6C4A"/>
    <w:rsid w:val="00CB6D6F"/>
    <w:rsid w:val="00CB6F1A"/>
    <w:rsid w:val="00CB7252"/>
    <w:rsid w:val="00CB75BE"/>
    <w:rsid w:val="00CB7894"/>
    <w:rsid w:val="00CB78A0"/>
    <w:rsid w:val="00CB7B6D"/>
    <w:rsid w:val="00CB7CB7"/>
    <w:rsid w:val="00CB7D05"/>
    <w:rsid w:val="00CB7F05"/>
    <w:rsid w:val="00CC08E9"/>
    <w:rsid w:val="00CC09FB"/>
    <w:rsid w:val="00CC0A6A"/>
    <w:rsid w:val="00CC0B55"/>
    <w:rsid w:val="00CC1203"/>
    <w:rsid w:val="00CC124A"/>
    <w:rsid w:val="00CC126D"/>
    <w:rsid w:val="00CC1604"/>
    <w:rsid w:val="00CC18CA"/>
    <w:rsid w:val="00CC1B5B"/>
    <w:rsid w:val="00CC1C11"/>
    <w:rsid w:val="00CC1C69"/>
    <w:rsid w:val="00CC1D5F"/>
    <w:rsid w:val="00CC1EBC"/>
    <w:rsid w:val="00CC213C"/>
    <w:rsid w:val="00CC2224"/>
    <w:rsid w:val="00CC22C3"/>
    <w:rsid w:val="00CC2A23"/>
    <w:rsid w:val="00CC30A3"/>
    <w:rsid w:val="00CC3490"/>
    <w:rsid w:val="00CC356B"/>
    <w:rsid w:val="00CC38FB"/>
    <w:rsid w:val="00CC3B97"/>
    <w:rsid w:val="00CC3D0C"/>
    <w:rsid w:val="00CC41F8"/>
    <w:rsid w:val="00CC428A"/>
    <w:rsid w:val="00CC448B"/>
    <w:rsid w:val="00CC46A7"/>
    <w:rsid w:val="00CC4DA4"/>
    <w:rsid w:val="00CC53A5"/>
    <w:rsid w:val="00CC6101"/>
    <w:rsid w:val="00CC641B"/>
    <w:rsid w:val="00CC6636"/>
    <w:rsid w:val="00CC6654"/>
    <w:rsid w:val="00CC6B2C"/>
    <w:rsid w:val="00CC6D32"/>
    <w:rsid w:val="00CC6EDB"/>
    <w:rsid w:val="00CC71BC"/>
    <w:rsid w:val="00CC73F5"/>
    <w:rsid w:val="00CC744E"/>
    <w:rsid w:val="00CC76DB"/>
    <w:rsid w:val="00CC7859"/>
    <w:rsid w:val="00CC788C"/>
    <w:rsid w:val="00CC7C8C"/>
    <w:rsid w:val="00CC7CB6"/>
    <w:rsid w:val="00CD009C"/>
    <w:rsid w:val="00CD0164"/>
    <w:rsid w:val="00CD0472"/>
    <w:rsid w:val="00CD090F"/>
    <w:rsid w:val="00CD0BAB"/>
    <w:rsid w:val="00CD14B5"/>
    <w:rsid w:val="00CD16FC"/>
    <w:rsid w:val="00CD18DC"/>
    <w:rsid w:val="00CD1BEE"/>
    <w:rsid w:val="00CD1C6F"/>
    <w:rsid w:val="00CD1E16"/>
    <w:rsid w:val="00CD20F0"/>
    <w:rsid w:val="00CD2FCA"/>
    <w:rsid w:val="00CD303F"/>
    <w:rsid w:val="00CD481E"/>
    <w:rsid w:val="00CD4E37"/>
    <w:rsid w:val="00CD4ED3"/>
    <w:rsid w:val="00CD5BBC"/>
    <w:rsid w:val="00CD5D5A"/>
    <w:rsid w:val="00CD6257"/>
    <w:rsid w:val="00CD629D"/>
    <w:rsid w:val="00CD6AF0"/>
    <w:rsid w:val="00CD709C"/>
    <w:rsid w:val="00CD73E2"/>
    <w:rsid w:val="00CD7511"/>
    <w:rsid w:val="00CD76D1"/>
    <w:rsid w:val="00CD7729"/>
    <w:rsid w:val="00CD78C1"/>
    <w:rsid w:val="00CD7BBA"/>
    <w:rsid w:val="00CD7C0B"/>
    <w:rsid w:val="00CE05AD"/>
    <w:rsid w:val="00CE05D5"/>
    <w:rsid w:val="00CE0ACE"/>
    <w:rsid w:val="00CE10C4"/>
    <w:rsid w:val="00CE10FD"/>
    <w:rsid w:val="00CE11E9"/>
    <w:rsid w:val="00CE14BE"/>
    <w:rsid w:val="00CE1B48"/>
    <w:rsid w:val="00CE1B70"/>
    <w:rsid w:val="00CE1C5A"/>
    <w:rsid w:val="00CE1C77"/>
    <w:rsid w:val="00CE1D83"/>
    <w:rsid w:val="00CE22B4"/>
    <w:rsid w:val="00CE2343"/>
    <w:rsid w:val="00CE24D1"/>
    <w:rsid w:val="00CE27B5"/>
    <w:rsid w:val="00CE2BDF"/>
    <w:rsid w:val="00CE2DE6"/>
    <w:rsid w:val="00CE348E"/>
    <w:rsid w:val="00CE3542"/>
    <w:rsid w:val="00CE375E"/>
    <w:rsid w:val="00CE3E45"/>
    <w:rsid w:val="00CE3E99"/>
    <w:rsid w:val="00CE42AF"/>
    <w:rsid w:val="00CE4A87"/>
    <w:rsid w:val="00CE52AA"/>
    <w:rsid w:val="00CE5665"/>
    <w:rsid w:val="00CE5C05"/>
    <w:rsid w:val="00CE5CDA"/>
    <w:rsid w:val="00CE5D83"/>
    <w:rsid w:val="00CE637A"/>
    <w:rsid w:val="00CE675C"/>
    <w:rsid w:val="00CE6983"/>
    <w:rsid w:val="00CE6B4A"/>
    <w:rsid w:val="00CE6B6A"/>
    <w:rsid w:val="00CE6C79"/>
    <w:rsid w:val="00CE6D24"/>
    <w:rsid w:val="00CE6DAF"/>
    <w:rsid w:val="00CE7658"/>
    <w:rsid w:val="00CE7927"/>
    <w:rsid w:val="00CE7FF0"/>
    <w:rsid w:val="00CF0119"/>
    <w:rsid w:val="00CF05C1"/>
    <w:rsid w:val="00CF088A"/>
    <w:rsid w:val="00CF1111"/>
    <w:rsid w:val="00CF1281"/>
    <w:rsid w:val="00CF1AFC"/>
    <w:rsid w:val="00CF1D0A"/>
    <w:rsid w:val="00CF1F1F"/>
    <w:rsid w:val="00CF20E7"/>
    <w:rsid w:val="00CF254B"/>
    <w:rsid w:val="00CF26FA"/>
    <w:rsid w:val="00CF2E84"/>
    <w:rsid w:val="00CF2E87"/>
    <w:rsid w:val="00CF2EDC"/>
    <w:rsid w:val="00CF3587"/>
    <w:rsid w:val="00CF383E"/>
    <w:rsid w:val="00CF38C0"/>
    <w:rsid w:val="00CF410A"/>
    <w:rsid w:val="00CF4339"/>
    <w:rsid w:val="00CF44D3"/>
    <w:rsid w:val="00CF4998"/>
    <w:rsid w:val="00CF5396"/>
    <w:rsid w:val="00CF54B9"/>
    <w:rsid w:val="00CF59A7"/>
    <w:rsid w:val="00CF5F4D"/>
    <w:rsid w:val="00CF684E"/>
    <w:rsid w:val="00CF6C12"/>
    <w:rsid w:val="00CF73CA"/>
    <w:rsid w:val="00CF7528"/>
    <w:rsid w:val="00CF7B03"/>
    <w:rsid w:val="00CF7C6C"/>
    <w:rsid w:val="00CF7FDE"/>
    <w:rsid w:val="00D000FE"/>
    <w:rsid w:val="00D00121"/>
    <w:rsid w:val="00D006AF"/>
    <w:rsid w:val="00D01226"/>
    <w:rsid w:val="00D012AF"/>
    <w:rsid w:val="00D01462"/>
    <w:rsid w:val="00D0168E"/>
    <w:rsid w:val="00D017B5"/>
    <w:rsid w:val="00D01DF7"/>
    <w:rsid w:val="00D020FE"/>
    <w:rsid w:val="00D0299E"/>
    <w:rsid w:val="00D02E13"/>
    <w:rsid w:val="00D0321E"/>
    <w:rsid w:val="00D038F1"/>
    <w:rsid w:val="00D038F2"/>
    <w:rsid w:val="00D03C6B"/>
    <w:rsid w:val="00D04031"/>
    <w:rsid w:val="00D042B7"/>
    <w:rsid w:val="00D04AE4"/>
    <w:rsid w:val="00D04BF9"/>
    <w:rsid w:val="00D05457"/>
    <w:rsid w:val="00D059BA"/>
    <w:rsid w:val="00D05D79"/>
    <w:rsid w:val="00D069EB"/>
    <w:rsid w:val="00D07A8A"/>
    <w:rsid w:val="00D07B09"/>
    <w:rsid w:val="00D104E7"/>
    <w:rsid w:val="00D106E1"/>
    <w:rsid w:val="00D1078C"/>
    <w:rsid w:val="00D10B1B"/>
    <w:rsid w:val="00D10C06"/>
    <w:rsid w:val="00D10C37"/>
    <w:rsid w:val="00D10E31"/>
    <w:rsid w:val="00D10EB0"/>
    <w:rsid w:val="00D1107E"/>
    <w:rsid w:val="00D11199"/>
    <w:rsid w:val="00D118BF"/>
    <w:rsid w:val="00D121DC"/>
    <w:rsid w:val="00D1224A"/>
    <w:rsid w:val="00D122DE"/>
    <w:rsid w:val="00D1230D"/>
    <w:rsid w:val="00D1239B"/>
    <w:rsid w:val="00D12A93"/>
    <w:rsid w:val="00D12C3E"/>
    <w:rsid w:val="00D12F2F"/>
    <w:rsid w:val="00D132E2"/>
    <w:rsid w:val="00D135DA"/>
    <w:rsid w:val="00D143CC"/>
    <w:rsid w:val="00D1455A"/>
    <w:rsid w:val="00D14573"/>
    <w:rsid w:val="00D1498B"/>
    <w:rsid w:val="00D14A70"/>
    <w:rsid w:val="00D14BD7"/>
    <w:rsid w:val="00D14D29"/>
    <w:rsid w:val="00D14DD0"/>
    <w:rsid w:val="00D15161"/>
    <w:rsid w:val="00D162BF"/>
    <w:rsid w:val="00D1638F"/>
    <w:rsid w:val="00D16540"/>
    <w:rsid w:val="00D16670"/>
    <w:rsid w:val="00D16767"/>
    <w:rsid w:val="00D16875"/>
    <w:rsid w:val="00D16E0D"/>
    <w:rsid w:val="00D16FB8"/>
    <w:rsid w:val="00D171B2"/>
    <w:rsid w:val="00D1769E"/>
    <w:rsid w:val="00D17860"/>
    <w:rsid w:val="00D17D24"/>
    <w:rsid w:val="00D17E03"/>
    <w:rsid w:val="00D203C5"/>
    <w:rsid w:val="00D20432"/>
    <w:rsid w:val="00D207EA"/>
    <w:rsid w:val="00D211F1"/>
    <w:rsid w:val="00D211FB"/>
    <w:rsid w:val="00D21847"/>
    <w:rsid w:val="00D21D79"/>
    <w:rsid w:val="00D22093"/>
    <w:rsid w:val="00D220CD"/>
    <w:rsid w:val="00D22165"/>
    <w:rsid w:val="00D223AA"/>
    <w:rsid w:val="00D226B3"/>
    <w:rsid w:val="00D22C6F"/>
    <w:rsid w:val="00D22EC8"/>
    <w:rsid w:val="00D233B0"/>
    <w:rsid w:val="00D238ED"/>
    <w:rsid w:val="00D239F0"/>
    <w:rsid w:val="00D23E44"/>
    <w:rsid w:val="00D24BB4"/>
    <w:rsid w:val="00D25358"/>
    <w:rsid w:val="00D2540D"/>
    <w:rsid w:val="00D2554D"/>
    <w:rsid w:val="00D25776"/>
    <w:rsid w:val="00D25936"/>
    <w:rsid w:val="00D259CA"/>
    <w:rsid w:val="00D25A11"/>
    <w:rsid w:val="00D25B14"/>
    <w:rsid w:val="00D25C93"/>
    <w:rsid w:val="00D25F65"/>
    <w:rsid w:val="00D26166"/>
    <w:rsid w:val="00D26787"/>
    <w:rsid w:val="00D2678B"/>
    <w:rsid w:val="00D26896"/>
    <w:rsid w:val="00D270E5"/>
    <w:rsid w:val="00D2716A"/>
    <w:rsid w:val="00D272C0"/>
    <w:rsid w:val="00D274CC"/>
    <w:rsid w:val="00D277AB"/>
    <w:rsid w:val="00D27836"/>
    <w:rsid w:val="00D27858"/>
    <w:rsid w:val="00D27917"/>
    <w:rsid w:val="00D27A7D"/>
    <w:rsid w:val="00D27D1B"/>
    <w:rsid w:val="00D3055E"/>
    <w:rsid w:val="00D3066A"/>
    <w:rsid w:val="00D30697"/>
    <w:rsid w:val="00D30892"/>
    <w:rsid w:val="00D31150"/>
    <w:rsid w:val="00D312F4"/>
    <w:rsid w:val="00D3138B"/>
    <w:rsid w:val="00D31555"/>
    <w:rsid w:val="00D31575"/>
    <w:rsid w:val="00D3164E"/>
    <w:rsid w:val="00D3181C"/>
    <w:rsid w:val="00D31961"/>
    <w:rsid w:val="00D319CC"/>
    <w:rsid w:val="00D31F60"/>
    <w:rsid w:val="00D31FCE"/>
    <w:rsid w:val="00D32137"/>
    <w:rsid w:val="00D322ED"/>
    <w:rsid w:val="00D322F2"/>
    <w:rsid w:val="00D3280C"/>
    <w:rsid w:val="00D32B60"/>
    <w:rsid w:val="00D32BEB"/>
    <w:rsid w:val="00D32E85"/>
    <w:rsid w:val="00D33013"/>
    <w:rsid w:val="00D3311F"/>
    <w:rsid w:val="00D33456"/>
    <w:rsid w:val="00D3375B"/>
    <w:rsid w:val="00D33C7A"/>
    <w:rsid w:val="00D33E35"/>
    <w:rsid w:val="00D33FA2"/>
    <w:rsid w:val="00D3406A"/>
    <w:rsid w:val="00D34310"/>
    <w:rsid w:val="00D34D24"/>
    <w:rsid w:val="00D34DCB"/>
    <w:rsid w:val="00D35216"/>
    <w:rsid w:val="00D35BCA"/>
    <w:rsid w:val="00D360B6"/>
    <w:rsid w:val="00D364EC"/>
    <w:rsid w:val="00D3683E"/>
    <w:rsid w:val="00D36D7C"/>
    <w:rsid w:val="00D371CE"/>
    <w:rsid w:val="00D37E44"/>
    <w:rsid w:val="00D40943"/>
    <w:rsid w:val="00D40AB0"/>
    <w:rsid w:val="00D40B11"/>
    <w:rsid w:val="00D41362"/>
    <w:rsid w:val="00D419EC"/>
    <w:rsid w:val="00D41C3C"/>
    <w:rsid w:val="00D41F37"/>
    <w:rsid w:val="00D42403"/>
    <w:rsid w:val="00D42864"/>
    <w:rsid w:val="00D4288B"/>
    <w:rsid w:val="00D429EC"/>
    <w:rsid w:val="00D43878"/>
    <w:rsid w:val="00D438A0"/>
    <w:rsid w:val="00D43B5B"/>
    <w:rsid w:val="00D43E0B"/>
    <w:rsid w:val="00D43F35"/>
    <w:rsid w:val="00D44169"/>
    <w:rsid w:val="00D441F1"/>
    <w:rsid w:val="00D44306"/>
    <w:rsid w:val="00D4454D"/>
    <w:rsid w:val="00D449D1"/>
    <w:rsid w:val="00D44A2E"/>
    <w:rsid w:val="00D44C75"/>
    <w:rsid w:val="00D4555F"/>
    <w:rsid w:val="00D4564E"/>
    <w:rsid w:val="00D4569A"/>
    <w:rsid w:val="00D4572C"/>
    <w:rsid w:val="00D4635A"/>
    <w:rsid w:val="00D46373"/>
    <w:rsid w:val="00D46444"/>
    <w:rsid w:val="00D46655"/>
    <w:rsid w:val="00D4678E"/>
    <w:rsid w:val="00D469B2"/>
    <w:rsid w:val="00D46CB7"/>
    <w:rsid w:val="00D46D7D"/>
    <w:rsid w:val="00D46E14"/>
    <w:rsid w:val="00D46F76"/>
    <w:rsid w:val="00D4708F"/>
    <w:rsid w:val="00D4710B"/>
    <w:rsid w:val="00D47218"/>
    <w:rsid w:val="00D47393"/>
    <w:rsid w:val="00D476E7"/>
    <w:rsid w:val="00D506DF"/>
    <w:rsid w:val="00D509FD"/>
    <w:rsid w:val="00D50C66"/>
    <w:rsid w:val="00D5139B"/>
    <w:rsid w:val="00D513B0"/>
    <w:rsid w:val="00D5146E"/>
    <w:rsid w:val="00D51645"/>
    <w:rsid w:val="00D518D2"/>
    <w:rsid w:val="00D519AC"/>
    <w:rsid w:val="00D51B0C"/>
    <w:rsid w:val="00D522A1"/>
    <w:rsid w:val="00D52B24"/>
    <w:rsid w:val="00D52C13"/>
    <w:rsid w:val="00D52E68"/>
    <w:rsid w:val="00D52EAA"/>
    <w:rsid w:val="00D52ECF"/>
    <w:rsid w:val="00D530F0"/>
    <w:rsid w:val="00D5338B"/>
    <w:rsid w:val="00D53828"/>
    <w:rsid w:val="00D53BA6"/>
    <w:rsid w:val="00D53CD5"/>
    <w:rsid w:val="00D54097"/>
    <w:rsid w:val="00D5416C"/>
    <w:rsid w:val="00D54180"/>
    <w:rsid w:val="00D5419E"/>
    <w:rsid w:val="00D54972"/>
    <w:rsid w:val="00D54B09"/>
    <w:rsid w:val="00D54D24"/>
    <w:rsid w:val="00D557F0"/>
    <w:rsid w:val="00D559A1"/>
    <w:rsid w:val="00D55D19"/>
    <w:rsid w:val="00D55D5F"/>
    <w:rsid w:val="00D56210"/>
    <w:rsid w:val="00D56B83"/>
    <w:rsid w:val="00D56DE7"/>
    <w:rsid w:val="00D574DD"/>
    <w:rsid w:val="00D57538"/>
    <w:rsid w:val="00D60A55"/>
    <w:rsid w:val="00D61296"/>
    <w:rsid w:val="00D61612"/>
    <w:rsid w:val="00D61820"/>
    <w:rsid w:val="00D61A7D"/>
    <w:rsid w:val="00D61B62"/>
    <w:rsid w:val="00D61DDF"/>
    <w:rsid w:val="00D6239E"/>
    <w:rsid w:val="00D6243E"/>
    <w:rsid w:val="00D6270B"/>
    <w:rsid w:val="00D62915"/>
    <w:rsid w:val="00D629D7"/>
    <w:rsid w:val="00D63040"/>
    <w:rsid w:val="00D6404F"/>
    <w:rsid w:val="00D642D2"/>
    <w:rsid w:val="00D64334"/>
    <w:rsid w:val="00D64A9C"/>
    <w:rsid w:val="00D65010"/>
    <w:rsid w:val="00D6512D"/>
    <w:rsid w:val="00D652BA"/>
    <w:rsid w:val="00D65658"/>
    <w:rsid w:val="00D657F5"/>
    <w:rsid w:val="00D65A88"/>
    <w:rsid w:val="00D65BA2"/>
    <w:rsid w:val="00D66205"/>
    <w:rsid w:val="00D66456"/>
    <w:rsid w:val="00D666DE"/>
    <w:rsid w:val="00D6677B"/>
    <w:rsid w:val="00D669A8"/>
    <w:rsid w:val="00D66F42"/>
    <w:rsid w:val="00D66FCB"/>
    <w:rsid w:val="00D673F2"/>
    <w:rsid w:val="00D67458"/>
    <w:rsid w:val="00D67C96"/>
    <w:rsid w:val="00D67D70"/>
    <w:rsid w:val="00D67EB2"/>
    <w:rsid w:val="00D70330"/>
    <w:rsid w:val="00D70349"/>
    <w:rsid w:val="00D70585"/>
    <w:rsid w:val="00D709D7"/>
    <w:rsid w:val="00D70A9C"/>
    <w:rsid w:val="00D70D01"/>
    <w:rsid w:val="00D70EE9"/>
    <w:rsid w:val="00D711EF"/>
    <w:rsid w:val="00D7130A"/>
    <w:rsid w:val="00D71B50"/>
    <w:rsid w:val="00D71C80"/>
    <w:rsid w:val="00D72248"/>
    <w:rsid w:val="00D72685"/>
    <w:rsid w:val="00D7282A"/>
    <w:rsid w:val="00D728A1"/>
    <w:rsid w:val="00D72B6F"/>
    <w:rsid w:val="00D72F25"/>
    <w:rsid w:val="00D73109"/>
    <w:rsid w:val="00D73456"/>
    <w:rsid w:val="00D73DA0"/>
    <w:rsid w:val="00D741EB"/>
    <w:rsid w:val="00D7458B"/>
    <w:rsid w:val="00D74CEA"/>
    <w:rsid w:val="00D74EA8"/>
    <w:rsid w:val="00D753D1"/>
    <w:rsid w:val="00D7565F"/>
    <w:rsid w:val="00D75B24"/>
    <w:rsid w:val="00D75FE9"/>
    <w:rsid w:val="00D76260"/>
    <w:rsid w:val="00D76594"/>
    <w:rsid w:val="00D76667"/>
    <w:rsid w:val="00D7679C"/>
    <w:rsid w:val="00D768C9"/>
    <w:rsid w:val="00D76A6F"/>
    <w:rsid w:val="00D76EBB"/>
    <w:rsid w:val="00D7738F"/>
    <w:rsid w:val="00D77570"/>
    <w:rsid w:val="00D77618"/>
    <w:rsid w:val="00D77FDE"/>
    <w:rsid w:val="00D80EAA"/>
    <w:rsid w:val="00D81668"/>
    <w:rsid w:val="00D817A9"/>
    <w:rsid w:val="00D81B8B"/>
    <w:rsid w:val="00D81BD2"/>
    <w:rsid w:val="00D81DEC"/>
    <w:rsid w:val="00D820F3"/>
    <w:rsid w:val="00D82C05"/>
    <w:rsid w:val="00D82C9E"/>
    <w:rsid w:val="00D82E07"/>
    <w:rsid w:val="00D83605"/>
    <w:rsid w:val="00D83708"/>
    <w:rsid w:val="00D83A22"/>
    <w:rsid w:val="00D84547"/>
    <w:rsid w:val="00D84934"/>
    <w:rsid w:val="00D84E65"/>
    <w:rsid w:val="00D85328"/>
    <w:rsid w:val="00D85659"/>
    <w:rsid w:val="00D859B5"/>
    <w:rsid w:val="00D85AA4"/>
    <w:rsid w:val="00D861C8"/>
    <w:rsid w:val="00D862E7"/>
    <w:rsid w:val="00D86464"/>
    <w:rsid w:val="00D866EB"/>
    <w:rsid w:val="00D86982"/>
    <w:rsid w:val="00D86C2C"/>
    <w:rsid w:val="00D87695"/>
    <w:rsid w:val="00D87A46"/>
    <w:rsid w:val="00D87C83"/>
    <w:rsid w:val="00D87D1A"/>
    <w:rsid w:val="00D9012F"/>
    <w:rsid w:val="00D9036D"/>
    <w:rsid w:val="00D9045D"/>
    <w:rsid w:val="00D906DA"/>
    <w:rsid w:val="00D9087D"/>
    <w:rsid w:val="00D90907"/>
    <w:rsid w:val="00D90F53"/>
    <w:rsid w:val="00D9102F"/>
    <w:rsid w:val="00D91209"/>
    <w:rsid w:val="00D91271"/>
    <w:rsid w:val="00D913ED"/>
    <w:rsid w:val="00D919F5"/>
    <w:rsid w:val="00D91C77"/>
    <w:rsid w:val="00D92148"/>
    <w:rsid w:val="00D92654"/>
    <w:rsid w:val="00D926F8"/>
    <w:rsid w:val="00D92B3D"/>
    <w:rsid w:val="00D92BE4"/>
    <w:rsid w:val="00D93613"/>
    <w:rsid w:val="00D939C5"/>
    <w:rsid w:val="00D94099"/>
    <w:rsid w:val="00D942C6"/>
    <w:rsid w:val="00D94545"/>
    <w:rsid w:val="00D945D5"/>
    <w:rsid w:val="00D945F6"/>
    <w:rsid w:val="00D94F03"/>
    <w:rsid w:val="00D94F96"/>
    <w:rsid w:val="00D95161"/>
    <w:rsid w:val="00D952DF"/>
    <w:rsid w:val="00D95678"/>
    <w:rsid w:val="00D95B8F"/>
    <w:rsid w:val="00D95BF9"/>
    <w:rsid w:val="00D95C23"/>
    <w:rsid w:val="00D95E00"/>
    <w:rsid w:val="00D95F6D"/>
    <w:rsid w:val="00D9603D"/>
    <w:rsid w:val="00D9607A"/>
    <w:rsid w:val="00D96868"/>
    <w:rsid w:val="00D969EE"/>
    <w:rsid w:val="00D970D9"/>
    <w:rsid w:val="00D97FBF"/>
    <w:rsid w:val="00DA0441"/>
    <w:rsid w:val="00DA05FB"/>
    <w:rsid w:val="00DA07A8"/>
    <w:rsid w:val="00DA0889"/>
    <w:rsid w:val="00DA0A82"/>
    <w:rsid w:val="00DA0C3D"/>
    <w:rsid w:val="00DA0D14"/>
    <w:rsid w:val="00DA11AF"/>
    <w:rsid w:val="00DA14BB"/>
    <w:rsid w:val="00DA1A65"/>
    <w:rsid w:val="00DA1FC9"/>
    <w:rsid w:val="00DA2451"/>
    <w:rsid w:val="00DA2CB5"/>
    <w:rsid w:val="00DA2D0A"/>
    <w:rsid w:val="00DA2F41"/>
    <w:rsid w:val="00DA3024"/>
    <w:rsid w:val="00DA3310"/>
    <w:rsid w:val="00DA33C5"/>
    <w:rsid w:val="00DA3532"/>
    <w:rsid w:val="00DA358F"/>
    <w:rsid w:val="00DA383E"/>
    <w:rsid w:val="00DA3BEB"/>
    <w:rsid w:val="00DA3C38"/>
    <w:rsid w:val="00DA3FDE"/>
    <w:rsid w:val="00DA41C3"/>
    <w:rsid w:val="00DA4619"/>
    <w:rsid w:val="00DA466B"/>
    <w:rsid w:val="00DA4BAC"/>
    <w:rsid w:val="00DA50D2"/>
    <w:rsid w:val="00DA53FB"/>
    <w:rsid w:val="00DA5AF5"/>
    <w:rsid w:val="00DA5D6B"/>
    <w:rsid w:val="00DA5FB5"/>
    <w:rsid w:val="00DA6045"/>
    <w:rsid w:val="00DA6AF6"/>
    <w:rsid w:val="00DA722E"/>
    <w:rsid w:val="00DA7447"/>
    <w:rsid w:val="00DA792A"/>
    <w:rsid w:val="00DA7A99"/>
    <w:rsid w:val="00DA7FFA"/>
    <w:rsid w:val="00DB0137"/>
    <w:rsid w:val="00DB0151"/>
    <w:rsid w:val="00DB0160"/>
    <w:rsid w:val="00DB022C"/>
    <w:rsid w:val="00DB04D7"/>
    <w:rsid w:val="00DB1AD8"/>
    <w:rsid w:val="00DB22A6"/>
    <w:rsid w:val="00DB240E"/>
    <w:rsid w:val="00DB2565"/>
    <w:rsid w:val="00DB2606"/>
    <w:rsid w:val="00DB2718"/>
    <w:rsid w:val="00DB27C5"/>
    <w:rsid w:val="00DB2B80"/>
    <w:rsid w:val="00DB34DE"/>
    <w:rsid w:val="00DB3AAF"/>
    <w:rsid w:val="00DB3BD9"/>
    <w:rsid w:val="00DB3F6D"/>
    <w:rsid w:val="00DB4110"/>
    <w:rsid w:val="00DB50E1"/>
    <w:rsid w:val="00DB543F"/>
    <w:rsid w:val="00DB566D"/>
    <w:rsid w:val="00DB567C"/>
    <w:rsid w:val="00DB567F"/>
    <w:rsid w:val="00DB58C2"/>
    <w:rsid w:val="00DB5CA5"/>
    <w:rsid w:val="00DB5D89"/>
    <w:rsid w:val="00DB5EFB"/>
    <w:rsid w:val="00DB69FC"/>
    <w:rsid w:val="00DB6C83"/>
    <w:rsid w:val="00DB708D"/>
    <w:rsid w:val="00DB741D"/>
    <w:rsid w:val="00DB7583"/>
    <w:rsid w:val="00DB793C"/>
    <w:rsid w:val="00DB7AA1"/>
    <w:rsid w:val="00DC0076"/>
    <w:rsid w:val="00DC0566"/>
    <w:rsid w:val="00DC05E1"/>
    <w:rsid w:val="00DC0794"/>
    <w:rsid w:val="00DC09A0"/>
    <w:rsid w:val="00DC0CBB"/>
    <w:rsid w:val="00DC0ECB"/>
    <w:rsid w:val="00DC1499"/>
    <w:rsid w:val="00DC16CF"/>
    <w:rsid w:val="00DC1956"/>
    <w:rsid w:val="00DC1E1D"/>
    <w:rsid w:val="00DC1F34"/>
    <w:rsid w:val="00DC22FD"/>
    <w:rsid w:val="00DC2869"/>
    <w:rsid w:val="00DC2C3E"/>
    <w:rsid w:val="00DC2FE8"/>
    <w:rsid w:val="00DC3137"/>
    <w:rsid w:val="00DC3155"/>
    <w:rsid w:val="00DC3A4D"/>
    <w:rsid w:val="00DC3A71"/>
    <w:rsid w:val="00DC4880"/>
    <w:rsid w:val="00DC490B"/>
    <w:rsid w:val="00DC4A38"/>
    <w:rsid w:val="00DC4A6D"/>
    <w:rsid w:val="00DC4D12"/>
    <w:rsid w:val="00DC5636"/>
    <w:rsid w:val="00DC5692"/>
    <w:rsid w:val="00DC59E2"/>
    <w:rsid w:val="00DC5E90"/>
    <w:rsid w:val="00DC5EC6"/>
    <w:rsid w:val="00DC5EDB"/>
    <w:rsid w:val="00DC5F2D"/>
    <w:rsid w:val="00DC6023"/>
    <w:rsid w:val="00DC6171"/>
    <w:rsid w:val="00DC63D4"/>
    <w:rsid w:val="00DC66E4"/>
    <w:rsid w:val="00DC6B28"/>
    <w:rsid w:val="00DC6D54"/>
    <w:rsid w:val="00DC6E4B"/>
    <w:rsid w:val="00DC70E5"/>
    <w:rsid w:val="00DC731A"/>
    <w:rsid w:val="00DC7387"/>
    <w:rsid w:val="00DC7E7B"/>
    <w:rsid w:val="00DD023D"/>
    <w:rsid w:val="00DD0369"/>
    <w:rsid w:val="00DD076B"/>
    <w:rsid w:val="00DD0865"/>
    <w:rsid w:val="00DD0BE9"/>
    <w:rsid w:val="00DD0E9A"/>
    <w:rsid w:val="00DD0F38"/>
    <w:rsid w:val="00DD0F74"/>
    <w:rsid w:val="00DD11BF"/>
    <w:rsid w:val="00DD1478"/>
    <w:rsid w:val="00DD199F"/>
    <w:rsid w:val="00DD210A"/>
    <w:rsid w:val="00DD26F9"/>
    <w:rsid w:val="00DD2C5C"/>
    <w:rsid w:val="00DD2E79"/>
    <w:rsid w:val="00DD350E"/>
    <w:rsid w:val="00DD3542"/>
    <w:rsid w:val="00DD3B3B"/>
    <w:rsid w:val="00DD3BA7"/>
    <w:rsid w:val="00DD3C8D"/>
    <w:rsid w:val="00DD42AB"/>
    <w:rsid w:val="00DD4356"/>
    <w:rsid w:val="00DD4B56"/>
    <w:rsid w:val="00DD4C11"/>
    <w:rsid w:val="00DD55F3"/>
    <w:rsid w:val="00DD65E3"/>
    <w:rsid w:val="00DD68BB"/>
    <w:rsid w:val="00DD69B9"/>
    <w:rsid w:val="00DD6C6C"/>
    <w:rsid w:val="00DD6DDD"/>
    <w:rsid w:val="00DD75D1"/>
    <w:rsid w:val="00DD75EA"/>
    <w:rsid w:val="00DE004B"/>
    <w:rsid w:val="00DE033A"/>
    <w:rsid w:val="00DE05D7"/>
    <w:rsid w:val="00DE06AF"/>
    <w:rsid w:val="00DE07AE"/>
    <w:rsid w:val="00DE07FE"/>
    <w:rsid w:val="00DE0AFD"/>
    <w:rsid w:val="00DE1C44"/>
    <w:rsid w:val="00DE1CA0"/>
    <w:rsid w:val="00DE1FDC"/>
    <w:rsid w:val="00DE213E"/>
    <w:rsid w:val="00DE21D5"/>
    <w:rsid w:val="00DE2210"/>
    <w:rsid w:val="00DE2AFA"/>
    <w:rsid w:val="00DE405B"/>
    <w:rsid w:val="00DE427B"/>
    <w:rsid w:val="00DE449A"/>
    <w:rsid w:val="00DE483C"/>
    <w:rsid w:val="00DE4FC1"/>
    <w:rsid w:val="00DE5259"/>
    <w:rsid w:val="00DE570A"/>
    <w:rsid w:val="00DE58C3"/>
    <w:rsid w:val="00DE5A3D"/>
    <w:rsid w:val="00DE5A81"/>
    <w:rsid w:val="00DE64CE"/>
    <w:rsid w:val="00DE6745"/>
    <w:rsid w:val="00DE6961"/>
    <w:rsid w:val="00DE6A3C"/>
    <w:rsid w:val="00DE6D27"/>
    <w:rsid w:val="00DE72FB"/>
    <w:rsid w:val="00DE74B4"/>
    <w:rsid w:val="00DE76EA"/>
    <w:rsid w:val="00DE78C2"/>
    <w:rsid w:val="00DE7C36"/>
    <w:rsid w:val="00DF01F8"/>
    <w:rsid w:val="00DF021D"/>
    <w:rsid w:val="00DF0230"/>
    <w:rsid w:val="00DF025B"/>
    <w:rsid w:val="00DF0297"/>
    <w:rsid w:val="00DF1160"/>
    <w:rsid w:val="00DF14EE"/>
    <w:rsid w:val="00DF18BB"/>
    <w:rsid w:val="00DF1F60"/>
    <w:rsid w:val="00DF2157"/>
    <w:rsid w:val="00DF217D"/>
    <w:rsid w:val="00DF21F6"/>
    <w:rsid w:val="00DF23C0"/>
    <w:rsid w:val="00DF26A7"/>
    <w:rsid w:val="00DF288A"/>
    <w:rsid w:val="00DF2AA0"/>
    <w:rsid w:val="00DF3079"/>
    <w:rsid w:val="00DF3277"/>
    <w:rsid w:val="00DF3577"/>
    <w:rsid w:val="00DF3CAE"/>
    <w:rsid w:val="00DF3CC4"/>
    <w:rsid w:val="00DF3FBD"/>
    <w:rsid w:val="00DF4247"/>
    <w:rsid w:val="00DF4C1B"/>
    <w:rsid w:val="00DF5622"/>
    <w:rsid w:val="00DF5BA2"/>
    <w:rsid w:val="00DF5C19"/>
    <w:rsid w:val="00DF6065"/>
    <w:rsid w:val="00DF6388"/>
    <w:rsid w:val="00DF64B7"/>
    <w:rsid w:val="00DF65C8"/>
    <w:rsid w:val="00DF6627"/>
    <w:rsid w:val="00DF69FE"/>
    <w:rsid w:val="00DF6A31"/>
    <w:rsid w:val="00DF6D82"/>
    <w:rsid w:val="00DF7049"/>
    <w:rsid w:val="00DF716F"/>
    <w:rsid w:val="00DF74EF"/>
    <w:rsid w:val="00DF77A1"/>
    <w:rsid w:val="00DF78D3"/>
    <w:rsid w:val="00DF7919"/>
    <w:rsid w:val="00DF7ACB"/>
    <w:rsid w:val="00DF7CAD"/>
    <w:rsid w:val="00E00ADC"/>
    <w:rsid w:val="00E00E5E"/>
    <w:rsid w:val="00E0100C"/>
    <w:rsid w:val="00E0141E"/>
    <w:rsid w:val="00E01428"/>
    <w:rsid w:val="00E0144E"/>
    <w:rsid w:val="00E01B41"/>
    <w:rsid w:val="00E01C63"/>
    <w:rsid w:val="00E0207E"/>
    <w:rsid w:val="00E02443"/>
    <w:rsid w:val="00E02AE6"/>
    <w:rsid w:val="00E02BB3"/>
    <w:rsid w:val="00E02CD0"/>
    <w:rsid w:val="00E03176"/>
    <w:rsid w:val="00E03308"/>
    <w:rsid w:val="00E03912"/>
    <w:rsid w:val="00E03B7B"/>
    <w:rsid w:val="00E04414"/>
    <w:rsid w:val="00E04640"/>
    <w:rsid w:val="00E04748"/>
    <w:rsid w:val="00E053A4"/>
    <w:rsid w:val="00E060AF"/>
    <w:rsid w:val="00E060C6"/>
    <w:rsid w:val="00E06432"/>
    <w:rsid w:val="00E0646A"/>
    <w:rsid w:val="00E06692"/>
    <w:rsid w:val="00E069F8"/>
    <w:rsid w:val="00E06D7E"/>
    <w:rsid w:val="00E06E20"/>
    <w:rsid w:val="00E06FDE"/>
    <w:rsid w:val="00E071AE"/>
    <w:rsid w:val="00E0758F"/>
    <w:rsid w:val="00E078D9"/>
    <w:rsid w:val="00E10062"/>
    <w:rsid w:val="00E10293"/>
    <w:rsid w:val="00E103A0"/>
    <w:rsid w:val="00E1043F"/>
    <w:rsid w:val="00E10746"/>
    <w:rsid w:val="00E107D9"/>
    <w:rsid w:val="00E1157E"/>
    <w:rsid w:val="00E115C2"/>
    <w:rsid w:val="00E11A68"/>
    <w:rsid w:val="00E11F44"/>
    <w:rsid w:val="00E1230D"/>
    <w:rsid w:val="00E12388"/>
    <w:rsid w:val="00E13685"/>
    <w:rsid w:val="00E1381C"/>
    <w:rsid w:val="00E13E60"/>
    <w:rsid w:val="00E13ECB"/>
    <w:rsid w:val="00E13EFF"/>
    <w:rsid w:val="00E144DA"/>
    <w:rsid w:val="00E15627"/>
    <w:rsid w:val="00E15711"/>
    <w:rsid w:val="00E15A5B"/>
    <w:rsid w:val="00E15AD6"/>
    <w:rsid w:val="00E164B3"/>
    <w:rsid w:val="00E16910"/>
    <w:rsid w:val="00E1692F"/>
    <w:rsid w:val="00E16F32"/>
    <w:rsid w:val="00E1749D"/>
    <w:rsid w:val="00E175D9"/>
    <w:rsid w:val="00E177FE"/>
    <w:rsid w:val="00E17944"/>
    <w:rsid w:val="00E200BC"/>
    <w:rsid w:val="00E20FC3"/>
    <w:rsid w:val="00E21164"/>
    <w:rsid w:val="00E215B6"/>
    <w:rsid w:val="00E21951"/>
    <w:rsid w:val="00E224C2"/>
    <w:rsid w:val="00E226AF"/>
    <w:rsid w:val="00E2273C"/>
    <w:rsid w:val="00E22C9B"/>
    <w:rsid w:val="00E22D57"/>
    <w:rsid w:val="00E22FBB"/>
    <w:rsid w:val="00E23332"/>
    <w:rsid w:val="00E2353D"/>
    <w:rsid w:val="00E23792"/>
    <w:rsid w:val="00E239E2"/>
    <w:rsid w:val="00E23FA5"/>
    <w:rsid w:val="00E24D44"/>
    <w:rsid w:val="00E24E09"/>
    <w:rsid w:val="00E24F9B"/>
    <w:rsid w:val="00E250F6"/>
    <w:rsid w:val="00E25371"/>
    <w:rsid w:val="00E2577D"/>
    <w:rsid w:val="00E25B86"/>
    <w:rsid w:val="00E25C8A"/>
    <w:rsid w:val="00E25CDD"/>
    <w:rsid w:val="00E2622B"/>
    <w:rsid w:val="00E26946"/>
    <w:rsid w:val="00E26A93"/>
    <w:rsid w:val="00E26B9A"/>
    <w:rsid w:val="00E26C62"/>
    <w:rsid w:val="00E27234"/>
    <w:rsid w:val="00E27310"/>
    <w:rsid w:val="00E27618"/>
    <w:rsid w:val="00E27B65"/>
    <w:rsid w:val="00E27F60"/>
    <w:rsid w:val="00E30428"/>
    <w:rsid w:val="00E30B48"/>
    <w:rsid w:val="00E30DF1"/>
    <w:rsid w:val="00E31453"/>
    <w:rsid w:val="00E3147E"/>
    <w:rsid w:val="00E3148E"/>
    <w:rsid w:val="00E31703"/>
    <w:rsid w:val="00E31987"/>
    <w:rsid w:val="00E31B7D"/>
    <w:rsid w:val="00E31D20"/>
    <w:rsid w:val="00E32080"/>
    <w:rsid w:val="00E321A1"/>
    <w:rsid w:val="00E322C6"/>
    <w:rsid w:val="00E32AAC"/>
    <w:rsid w:val="00E32E0E"/>
    <w:rsid w:val="00E33DDC"/>
    <w:rsid w:val="00E341F1"/>
    <w:rsid w:val="00E34268"/>
    <w:rsid w:val="00E3459D"/>
    <w:rsid w:val="00E345BF"/>
    <w:rsid w:val="00E3495C"/>
    <w:rsid w:val="00E34A5E"/>
    <w:rsid w:val="00E34B83"/>
    <w:rsid w:val="00E34C73"/>
    <w:rsid w:val="00E34FED"/>
    <w:rsid w:val="00E35330"/>
    <w:rsid w:val="00E353DB"/>
    <w:rsid w:val="00E35664"/>
    <w:rsid w:val="00E35F32"/>
    <w:rsid w:val="00E36F28"/>
    <w:rsid w:val="00E37166"/>
    <w:rsid w:val="00E37882"/>
    <w:rsid w:val="00E37CB7"/>
    <w:rsid w:val="00E4036A"/>
    <w:rsid w:val="00E4037A"/>
    <w:rsid w:val="00E40752"/>
    <w:rsid w:val="00E40864"/>
    <w:rsid w:val="00E40E29"/>
    <w:rsid w:val="00E41586"/>
    <w:rsid w:val="00E416D8"/>
    <w:rsid w:val="00E420E6"/>
    <w:rsid w:val="00E42141"/>
    <w:rsid w:val="00E4269D"/>
    <w:rsid w:val="00E42915"/>
    <w:rsid w:val="00E42A90"/>
    <w:rsid w:val="00E42BDB"/>
    <w:rsid w:val="00E43175"/>
    <w:rsid w:val="00E43375"/>
    <w:rsid w:val="00E43574"/>
    <w:rsid w:val="00E438A3"/>
    <w:rsid w:val="00E43ECB"/>
    <w:rsid w:val="00E43F52"/>
    <w:rsid w:val="00E44383"/>
    <w:rsid w:val="00E44567"/>
    <w:rsid w:val="00E447C0"/>
    <w:rsid w:val="00E44A59"/>
    <w:rsid w:val="00E44D66"/>
    <w:rsid w:val="00E44D9D"/>
    <w:rsid w:val="00E44F91"/>
    <w:rsid w:val="00E44FE0"/>
    <w:rsid w:val="00E45503"/>
    <w:rsid w:val="00E455C0"/>
    <w:rsid w:val="00E45B1A"/>
    <w:rsid w:val="00E45C47"/>
    <w:rsid w:val="00E45C75"/>
    <w:rsid w:val="00E4601A"/>
    <w:rsid w:val="00E4785B"/>
    <w:rsid w:val="00E47A31"/>
    <w:rsid w:val="00E47A91"/>
    <w:rsid w:val="00E47CFE"/>
    <w:rsid w:val="00E508A6"/>
    <w:rsid w:val="00E50A54"/>
    <w:rsid w:val="00E50C51"/>
    <w:rsid w:val="00E51370"/>
    <w:rsid w:val="00E51A17"/>
    <w:rsid w:val="00E52053"/>
    <w:rsid w:val="00E524A9"/>
    <w:rsid w:val="00E52643"/>
    <w:rsid w:val="00E53324"/>
    <w:rsid w:val="00E53F1A"/>
    <w:rsid w:val="00E53F6C"/>
    <w:rsid w:val="00E54043"/>
    <w:rsid w:val="00E54755"/>
    <w:rsid w:val="00E54A3F"/>
    <w:rsid w:val="00E54BB9"/>
    <w:rsid w:val="00E54BE1"/>
    <w:rsid w:val="00E54DDE"/>
    <w:rsid w:val="00E54F55"/>
    <w:rsid w:val="00E550EE"/>
    <w:rsid w:val="00E5512C"/>
    <w:rsid w:val="00E5520D"/>
    <w:rsid w:val="00E55665"/>
    <w:rsid w:val="00E5588C"/>
    <w:rsid w:val="00E55BB0"/>
    <w:rsid w:val="00E563FD"/>
    <w:rsid w:val="00E5655F"/>
    <w:rsid w:val="00E56673"/>
    <w:rsid w:val="00E566CA"/>
    <w:rsid w:val="00E56FD7"/>
    <w:rsid w:val="00E5726D"/>
    <w:rsid w:val="00E57340"/>
    <w:rsid w:val="00E575CE"/>
    <w:rsid w:val="00E575FE"/>
    <w:rsid w:val="00E57CC0"/>
    <w:rsid w:val="00E57D87"/>
    <w:rsid w:val="00E57EEB"/>
    <w:rsid w:val="00E601A8"/>
    <w:rsid w:val="00E605C1"/>
    <w:rsid w:val="00E60655"/>
    <w:rsid w:val="00E6067E"/>
    <w:rsid w:val="00E60897"/>
    <w:rsid w:val="00E60BE5"/>
    <w:rsid w:val="00E60C26"/>
    <w:rsid w:val="00E610D7"/>
    <w:rsid w:val="00E61408"/>
    <w:rsid w:val="00E615A8"/>
    <w:rsid w:val="00E61622"/>
    <w:rsid w:val="00E61636"/>
    <w:rsid w:val="00E61867"/>
    <w:rsid w:val="00E619B1"/>
    <w:rsid w:val="00E61D7E"/>
    <w:rsid w:val="00E62D94"/>
    <w:rsid w:val="00E62DB8"/>
    <w:rsid w:val="00E62ECC"/>
    <w:rsid w:val="00E63202"/>
    <w:rsid w:val="00E63A24"/>
    <w:rsid w:val="00E64593"/>
    <w:rsid w:val="00E64B49"/>
    <w:rsid w:val="00E64CA5"/>
    <w:rsid w:val="00E64F37"/>
    <w:rsid w:val="00E65091"/>
    <w:rsid w:val="00E65393"/>
    <w:rsid w:val="00E656A5"/>
    <w:rsid w:val="00E65C1A"/>
    <w:rsid w:val="00E65E54"/>
    <w:rsid w:val="00E66125"/>
    <w:rsid w:val="00E661C7"/>
    <w:rsid w:val="00E662B3"/>
    <w:rsid w:val="00E66679"/>
    <w:rsid w:val="00E666D7"/>
    <w:rsid w:val="00E667FD"/>
    <w:rsid w:val="00E66C40"/>
    <w:rsid w:val="00E67213"/>
    <w:rsid w:val="00E6754A"/>
    <w:rsid w:val="00E676F3"/>
    <w:rsid w:val="00E677B1"/>
    <w:rsid w:val="00E67F02"/>
    <w:rsid w:val="00E67FE9"/>
    <w:rsid w:val="00E70A2D"/>
    <w:rsid w:val="00E70C12"/>
    <w:rsid w:val="00E70CD3"/>
    <w:rsid w:val="00E70E27"/>
    <w:rsid w:val="00E7122C"/>
    <w:rsid w:val="00E71A7C"/>
    <w:rsid w:val="00E71C26"/>
    <w:rsid w:val="00E71DD8"/>
    <w:rsid w:val="00E71E42"/>
    <w:rsid w:val="00E72101"/>
    <w:rsid w:val="00E72453"/>
    <w:rsid w:val="00E728C5"/>
    <w:rsid w:val="00E729C7"/>
    <w:rsid w:val="00E7314A"/>
    <w:rsid w:val="00E732C4"/>
    <w:rsid w:val="00E732FB"/>
    <w:rsid w:val="00E73845"/>
    <w:rsid w:val="00E73A57"/>
    <w:rsid w:val="00E74134"/>
    <w:rsid w:val="00E74200"/>
    <w:rsid w:val="00E74D24"/>
    <w:rsid w:val="00E74E41"/>
    <w:rsid w:val="00E753FC"/>
    <w:rsid w:val="00E757D7"/>
    <w:rsid w:val="00E75DD5"/>
    <w:rsid w:val="00E75E07"/>
    <w:rsid w:val="00E7632B"/>
    <w:rsid w:val="00E764E2"/>
    <w:rsid w:val="00E76A87"/>
    <w:rsid w:val="00E76D1E"/>
    <w:rsid w:val="00E7714F"/>
    <w:rsid w:val="00E77282"/>
    <w:rsid w:val="00E7737F"/>
    <w:rsid w:val="00E773E9"/>
    <w:rsid w:val="00E77786"/>
    <w:rsid w:val="00E77CC3"/>
    <w:rsid w:val="00E77F29"/>
    <w:rsid w:val="00E80155"/>
    <w:rsid w:val="00E809D3"/>
    <w:rsid w:val="00E80C16"/>
    <w:rsid w:val="00E8100D"/>
    <w:rsid w:val="00E811E1"/>
    <w:rsid w:val="00E8134B"/>
    <w:rsid w:val="00E81557"/>
    <w:rsid w:val="00E8180F"/>
    <w:rsid w:val="00E81C24"/>
    <w:rsid w:val="00E81CD1"/>
    <w:rsid w:val="00E81E0D"/>
    <w:rsid w:val="00E81F28"/>
    <w:rsid w:val="00E82C3B"/>
    <w:rsid w:val="00E82DFE"/>
    <w:rsid w:val="00E8374D"/>
    <w:rsid w:val="00E83CFF"/>
    <w:rsid w:val="00E845C5"/>
    <w:rsid w:val="00E84679"/>
    <w:rsid w:val="00E8478D"/>
    <w:rsid w:val="00E848C0"/>
    <w:rsid w:val="00E84BB8"/>
    <w:rsid w:val="00E84CC2"/>
    <w:rsid w:val="00E84CC9"/>
    <w:rsid w:val="00E84F9C"/>
    <w:rsid w:val="00E8513A"/>
    <w:rsid w:val="00E85521"/>
    <w:rsid w:val="00E858E1"/>
    <w:rsid w:val="00E85B8D"/>
    <w:rsid w:val="00E85F17"/>
    <w:rsid w:val="00E860ED"/>
    <w:rsid w:val="00E8628B"/>
    <w:rsid w:val="00E86490"/>
    <w:rsid w:val="00E86850"/>
    <w:rsid w:val="00E86AA8"/>
    <w:rsid w:val="00E86F92"/>
    <w:rsid w:val="00E8742B"/>
    <w:rsid w:val="00E8751B"/>
    <w:rsid w:val="00E87915"/>
    <w:rsid w:val="00E87FCD"/>
    <w:rsid w:val="00E900E4"/>
    <w:rsid w:val="00E90413"/>
    <w:rsid w:val="00E90918"/>
    <w:rsid w:val="00E909D3"/>
    <w:rsid w:val="00E90F71"/>
    <w:rsid w:val="00E91A0E"/>
    <w:rsid w:val="00E91A13"/>
    <w:rsid w:val="00E91B96"/>
    <w:rsid w:val="00E9204C"/>
    <w:rsid w:val="00E92B94"/>
    <w:rsid w:val="00E92F2E"/>
    <w:rsid w:val="00E93483"/>
    <w:rsid w:val="00E935DA"/>
    <w:rsid w:val="00E93D1E"/>
    <w:rsid w:val="00E93E40"/>
    <w:rsid w:val="00E941A1"/>
    <w:rsid w:val="00E944D0"/>
    <w:rsid w:val="00E94A6C"/>
    <w:rsid w:val="00E94CA3"/>
    <w:rsid w:val="00E94D2D"/>
    <w:rsid w:val="00E95252"/>
    <w:rsid w:val="00E95CE3"/>
    <w:rsid w:val="00E95F9A"/>
    <w:rsid w:val="00E96481"/>
    <w:rsid w:val="00E9656B"/>
    <w:rsid w:val="00E967E9"/>
    <w:rsid w:val="00E96A06"/>
    <w:rsid w:val="00E96CAD"/>
    <w:rsid w:val="00E96CEF"/>
    <w:rsid w:val="00E971D7"/>
    <w:rsid w:val="00E97462"/>
    <w:rsid w:val="00E975E7"/>
    <w:rsid w:val="00EA0178"/>
    <w:rsid w:val="00EA01ED"/>
    <w:rsid w:val="00EA024E"/>
    <w:rsid w:val="00EA05E0"/>
    <w:rsid w:val="00EA061D"/>
    <w:rsid w:val="00EA06CE"/>
    <w:rsid w:val="00EA0856"/>
    <w:rsid w:val="00EA08B0"/>
    <w:rsid w:val="00EA0B05"/>
    <w:rsid w:val="00EA1135"/>
    <w:rsid w:val="00EA154D"/>
    <w:rsid w:val="00EA1DC4"/>
    <w:rsid w:val="00EA1DE4"/>
    <w:rsid w:val="00EA1FA2"/>
    <w:rsid w:val="00EA244F"/>
    <w:rsid w:val="00EA24F3"/>
    <w:rsid w:val="00EA252F"/>
    <w:rsid w:val="00EA27F0"/>
    <w:rsid w:val="00EA2825"/>
    <w:rsid w:val="00EA2D31"/>
    <w:rsid w:val="00EA37E7"/>
    <w:rsid w:val="00EA3A86"/>
    <w:rsid w:val="00EA426B"/>
    <w:rsid w:val="00EA42FF"/>
    <w:rsid w:val="00EA4618"/>
    <w:rsid w:val="00EA4753"/>
    <w:rsid w:val="00EA49B6"/>
    <w:rsid w:val="00EA4A5F"/>
    <w:rsid w:val="00EA5027"/>
    <w:rsid w:val="00EA5EF3"/>
    <w:rsid w:val="00EA62A3"/>
    <w:rsid w:val="00EA64C2"/>
    <w:rsid w:val="00EA6518"/>
    <w:rsid w:val="00EA71A2"/>
    <w:rsid w:val="00EA73C4"/>
    <w:rsid w:val="00EA7466"/>
    <w:rsid w:val="00EA74E8"/>
    <w:rsid w:val="00EA761B"/>
    <w:rsid w:val="00EA797D"/>
    <w:rsid w:val="00EA7EDE"/>
    <w:rsid w:val="00EA7F22"/>
    <w:rsid w:val="00EA7F39"/>
    <w:rsid w:val="00EA7FBF"/>
    <w:rsid w:val="00EB0305"/>
    <w:rsid w:val="00EB0B63"/>
    <w:rsid w:val="00EB0ED6"/>
    <w:rsid w:val="00EB1525"/>
    <w:rsid w:val="00EB16AF"/>
    <w:rsid w:val="00EB1936"/>
    <w:rsid w:val="00EB1E8F"/>
    <w:rsid w:val="00EB25FF"/>
    <w:rsid w:val="00EB326C"/>
    <w:rsid w:val="00EB337E"/>
    <w:rsid w:val="00EB3545"/>
    <w:rsid w:val="00EB37BE"/>
    <w:rsid w:val="00EB4697"/>
    <w:rsid w:val="00EB4B60"/>
    <w:rsid w:val="00EB4BAE"/>
    <w:rsid w:val="00EB4E43"/>
    <w:rsid w:val="00EB5088"/>
    <w:rsid w:val="00EB533A"/>
    <w:rsid w:val="00EB5364"/>
    <w:rsid w:val="00EB54BD"/>
    <w:rsid w:val="00EB5D93"/>
    <w:rsid w:val="00EB5D97"/>
    <w:rsid w:val="00EB66ED"/>
    <w:rsid w:val="00EB6B26"/>
    <w:rsid w:val="00EB6BB8"/>
    <w:rsid w:val="00EB6C6C"/>
    <w:rsid w:val="00EB6C88"/>
    <w:rsid w:val="00EB6D9F"/>
    <w:rsid w:val="00EB7210"/>
    <w:rsid w:val="00EB7944"/>
    <w:rsid w:val="00EB7D54"/>
    <w:rsid w:val="00EC0082"/>
    <w:rsid w:val="00EC0270"/>
    <w:rsid w:val="00EC0340"/>
    <w:rsid w:val="00EC04BE"/>
    <w:rsid w:val="00EC10EA"/>
    <w:rsid w:val="00EC1300"/>
    <w:rsid w:val="00EC15B0"/>
    <w:rsid w:val="00EC180E"/>
    <w:rsid w:val="00EC1F55"/>
    <w:rsid w:val="00EC21B7"/>
    <w:rsid w:val="00EC22A2"/>
    <w:rsid w:val="00EC2726"/>
    <w:rsid w:val="00EC2781"/>
    <w:rsid w:val="00EC2991"/>
    <w:rsid w:val="00EC3299"/>
    <w:rsid w:val="00EC3B1E"/>
    <w:rsid w:val="00EC3EED"/>
    <w:rsid w:val="00EC3FA0"/>
    <w:rsid w:val="00EC415A"/>
    <w:rsid w:val="00EC42FB"/>
    <w:rsid w:val="00EC439E"/>
    <w:rsid w:val="00EC44B5"/>
    <w:rsid w:val="00EC48B9"/>
    <w:rsid w:val="00EC4DB7"/>
    <w:rsid w:val="00EC4E12"/>
    <w:rsid w:val="00EC56F9"/>
    <w:rsid w:val="00EC575E"/>
    <w:rsid w:val="00EC5F5F"/>
    <w:rsid w:val="00EC601D"/>
    <w:rsid w:val="00EC666F"/>
    <w:rsid w:val="00EC681C"/>
    <w:rsid w:val="00EC6BEA"/>
    <w:rsid w:val="00EC75DE"/>
    <w:rsid w:val="00EC772D"/>
    <w:rsid w:val="00EC7B87"/>
    <w:rsid w:val="00EC7D98"/>
    <w:rsid w:val="00ED00BF"/>
    <w:rsid w:val="00ED05D8"/>
    <w:rsid w:val="00ED0ED7"/>
    <w:rsid w:val="00ED1471"/>
    <w:rsid w:val="00ED14BD"/>
    <w:rsid w:val="00ED1644"/>
    <w:rsid w:val="00ED1EB3"/>
    <w:rsid w:val="00ED2409"/>
    <w:rsid w:val="00ED249F"/>
    <w:rsid w:val="00ED2593"/>
    <w:rsid w:val="00ED33CE"/>
    <w:rsid w:val="00ED3709"/>
    <w:rsid w:val="00ED37E8"/>
    <w:rsid w:val="00ED39B4"/>
    <w:rsid w:val="00ED43DD"/>
    <w:rsid w:val="00ED4D3E"/>
    <w:rsid w:val="00ED5050"/>
    <w:rsid w:val="00ED5055"/>
    <w:rsid w:val="00ED5430"/>
    <w:rsid w:val="00ED5695"/>
    <w:rsid w:val="00ED58F6"/>
    <w:rsid w:val="00ED5996"/>
    <w:rsid w:val="00ED6144"/>
    <w:rsid w:val="00ED711B"/>
    <w:rsid w:val="00ED7D55"/>
    <w:rsid w:val="00ED7D9C"/>
    <w:rsid w:val="00EE00A7"/>
    <w:rsid w:val="00EE040E"/>
    <w:rsid w:val="00EE0468"/>
    <w:rsid w:val="00EE05BD"/>
    <w:rsid w:val="00EE1ADC"/>
    <w:rsid w:val="00EE1BE6"/>
    <w:rsid w:val="00EE21B8"/>
    <w:rsid w:val="00EE2824"/>
    <w:rsid w:val="00EE2984"/>
    <w:rsid w:val="00EE2ADF"/>
    <w:rsid w:val="00EE2C55"/>
    <w:rsid w:val="00EE2CA0"/>
    <w:rsid w:val="00EE2F77"/>
    <w:rsid w:val="00EE3158"/>
    <w:rsid w:val="00EE31A2"/>
    <w:rsid w:val="00EE347E"/>
    <w:rsid w:val="00EE3E1A"/>
    <w:rsid w:val="00EE4329"/>
    <w:rsid w:val="00EE4809"/>
    <w:rsid w:val="00EE4869"/>
    <w:rsid w:val="00EE4A44"/>
    <w:rsid w:val="00EE4F10"/>
    <w:rsid w:val="00EE556D"/>
    <w:rsid w:val="00EE5736"/>
    <w:rsid w:val="00EE5E7B"/>
    <w:rsid w:val="00EE61FD"/>
    <w:rsid w:val="00EE6203"/>
    <w:rsid w:val="00EE64CB"/>
    <w:rsid w:val="00EE6D2C"/>
    <w:rsid w:val="00EE6D37"/>
    <w:rsid w:val="00EE6EAC"/>
    <w:rsid w:val="00EE7B43"/>
    <w:rsid w:val="00EE7C3E"/>
    <w:rsid w:val="00EF0069"/>
    <w:rsid w:val="00EF0578"/>
    <w:rsid w:val="00EF0D60"/>
    <w:rsid w:val="00EF13B4"/>
    <w:rsid w:val="00EF1A72"/>
    <w:rsid w:val="00EF1D57"/>
    <w:rsid w:val="00EF1EAB"/>
    <w:rsid w:val="00EF1F34"/>
    <w:rsid w:val="00EF2071"/>
    <w:rsid w:val="00EF232B"/>
    <w:rsid w:val="00EF2884"/>
    <w:rsid w:val="00EF28ED"/>
    <w:rsid w:val="00EF2DB4"/>
    <w:rsid w:val="00EF3038"/>
    <w:rsid w:val="00EF3046"/>
    <w:rsid w:val="00EF3142"/>
    <w:rsid w:val="00EF335F"/>
    <w:rsid w:val="00EF345D"/>
    <w:rsid w:val="00EF34CC"/>
    <w:rsid w:val="00EF364E"/>
    <w:rsid w:val="00EF3C52"/>
    <w:rsid w:val="00EF44A0"/>
    <w:rsid w:val="00EF4580"/>
    <w:rsid w:val="00EF4BBC"/>
    <w:rsid w:val="00EF4C02"/>
    <w:rsid w:val="00EF4ED7"/>
    <w:rsid w:val="00EF4FED"/>
    <w:rsid w:val="00EF519E"/>
    <w:rsid w:val="00EF5CE9"/>
    <w:rsid w:val="00EF5F45"/>
    <w:rsid w:val="00EF601B"/>
    <w:rsid w:val="00EF60DC"/>
    <w:rsid w:val="00EF6535"/>
    <w:rsid w:val="00EF6843"/>
    <w:rsid w:val="00EF6941"/>
    <w:rsid w:val="00EF69E1"/>
    <w:rsid w:val="00EF6F8A"/>
    <w:rsid w:val="00EF6FB3"/>
    <w:rsid w:val="00EF71E0"/>
    <w:rsid w:val="00EF722C"/>
    <w:rsid w:val="00EF72D3"/>
    <w:rsid w:val="00EF7688"/>
    <w:rsid w:val="00EF7891"/>
    <w:rsid w:val="00EF7953"/>
    <w:rsid w:val="00F001EA"/>
    <w:rsid w:val="00F00604"/>
    <w:rsid w:val="00F0068B"/>
    <w:rsid w:val="00F00775"/>
    <w:rsid w:val="00F007C6"/>
    <w:rsid w:val="00F00DB1"/>
    <w:rsid w:val="00F00E4B"/>
    <w:rsid w:val="00F0155D"/>
    <w:rsid w:val="00F015CB"/>
    <w:rsid w:val="00F0172E"/>
    <w:rsid w:val="00F01A7C"/>
    <w:rsid w:val="00F01CFE"/>
    <w:rsid w:val="00F01D9B"/>
    <w:rsid w:val="00F0365C"/>
    <w:rsid w:val="00F037E3"/>
    <w:rsid w:val="00F039AC"/>
    <w:rsid w:val="00F03A34"/>
    <w:rsid w:val="00F04113"/>
    <w:rsid w:val="00F0444A"/>
    <w:rsid w:val="00F0455A"/>
    <w:rsid w:val="00F046BE"/>
    <w:rsid w:val="00F0489C"/>
    <w:rsid w:val="00F04912"/>
    <w:rsid w:val="00F04EE1"/>
    <w:rsid w:val="00F050BD"/>
    <w:rsid w:val="00F054C8"/>
    <w:rsid w:val="00F05657"/>
    <w:rsid w:val="00F05A27"/>
    <w:rsid w:val="00F05AB0"/>
    <w:rsid w:val="00F05B2B"/>
    <w:rsid w:val="00F05C35"/>
    <w:rsid w:val="00F0604C"/>
    <w:rsid w:val="00F06133"/>
    <w:rsid w:val="00F0647D"/>
    <w:rsid w:val="00F0651E"/>
    <w:rsid w:val="00F06DF7"/>
    <w:rsid w:val="00F06F42"/>
    <w:rsid w:val="00F07DBB"/>
    <w:rsid w:val="00F10433"/>
    <w:rsid w:val="00F1061E"/>
    <w:rsid w:val="00F108A2"/>
    <w:rsid w:val="00F10903"/>
    <w:rsid w:val="00F109B0"/>
    <w:rsid w:val="00F11382"/>
    <w:rsid w:val="00F11470"/>
    <w:rsid w:val="00F1170E"/>
    <w:rsid w:val="00F117ED"/>
    <w:rsid w:val="00F118EB"/>
    <w:rsid w:val="00F11AE2"/>
    <w:rsid w:val="00F11D82"/>
    <w:rsid w:val="00F12423"/>
    <w:rsid w:val="00F12AEB"/>
    <w:rsid w:val="00F12C74"/>
    <w:rsid w:val="00F12E6F"/>
    <w:rsid w:val="00F12EFE"/>
    <w:rsid w:val="00F12F8A"/>
    <w:rsid w:val="00F12F97"/>
    <w:rsid w:val="00F13214"/>
    <w:rsid w:val="00F13315"/>
    <w:rsid w:val="00F13789"/>
    <w:rsid w:val="00F13E0F"/>
    <w:rsid w:val="00F144DF"/>
    <w:rsid w:val="00F14F4C"/>
    <w:rsid w:val="00F150E5"/>
    <w:rsid w:val="00F152B6"/>
    <w:rsid w:val="00F1559A"/>
    <w:rsid w:val="00F15684"/>
    <w:rsid w:val="00F1572F"/>
    <w:rsid w:val="00F16489"/>
    <w:rsid w:val="00F166B0"/>
    <w:rsid w:val="00F16912"/>
    <w:rsid w:val="00F16A01"/>
    <w:rsid w:val="00F16EEE"/>
    <w:rsid w:val="00F16F90"/>
    <w:rsid w:val="00F16F9F"/>
    <w:rsid w:val="00F17015"/>
    <w:rsid w:val="00F171C0"/>
    <w:rsid w:val="00F17434"/>
    <w:rsid w:val="00F174FF"/>
    <w:rsid w:val="00F17517"/>
    <w:rsid w:val="00F17549"/>
    <w:rsid w:val="00F17ED6"/>
    <w:rsid w:val="00F201A7"/>
    <w:rsid w:val="00F20255"/>
    <w:rsid w:val="00F204AF"/>
    <w:rsid w:val="00F20676"/>
    <w:rsid w:val="00F206D4"/>
    <w:rsid w:val="00F207FC"/>
    <w:rsid w:val="00F209E2"/>
    <w:rsid w:val="00F20EB4"/>
    <w:rsid w:val="00F20FAA"/>
    <w:rsid w:val="00F217C8"/>
    <w:rsid w:val="00F222BA"/>
    <w:rsid w:val="00F2269A"/>
    <w:rsid w:val="00F22780"/>
    <w:rsid w:val="00F22971"/>
    <w:rsid w:val="00F22B3C"/>
    <w:rsid w:val="00F22C59"/>
    <w:rsid w:val="00F230B4"/>
    <w:rsid w:val="00F234B9"/>
    <w:rsid w:val="00F23972"/>
    <w:rsid w:val="00F2398F"/>
    <w:rsid w:val="00F239F7"/>
    <w:rsid w:val="00F24412"/>
    <w:rsid w:val="00F244BD"/>
    <w:rsid w:val="00F244C7"/>
    <w:rsid w:val="00F2453E"/>
    <w:rsid w:val="00F247AE"/>
    <w:rsid w:val="00F24883"/>
    <w:rsid w:val="00F24E60"/>
    <w:rsid w:val="00F25566"/>
    <w:rsid w:val="00F25578"/>
    <w:rsid w:val="00F25832"/>
    <w:rsid w:val="00F258E5"/>
    <w:rsid w:val="00F25B9C"/>
    <w:rsid w:val="00F25D74"/>
    <w:rsid w:val="00F261F9"/>
    <w:rsid w:val="00F263E5"/>
    <w:rsid w:val="00F2644C"/>
    <w:rsid w:val="00F2675A"/>
    <w:rsid w:val="00F267CF"/>
    <w:rsid w:val="00F26CC6"/>
    <w:rsid w:val="00F273F3"/>
    <w:rsid w:val="00F300BC"/>
    <w:rsid w:val="00F301B5"/>
    <w:rsid w:val="00F3021E"/>
    <w:rsid w:val="00F302E7"/>
    <w:rsid w:val="00F305FA"/>
    <w:rsid w:val="00F3097E"/>
    <w:rsid w:val="00F30F08"/>
    <w:rsid w:val="00F30F0E"/>
    <w:rsid w:val="00F30F20"/>
    <w:rsid w:val="00F31035"/>
    <w:rsid w:val="00F314E7"/>
    <w:rsid w:val="00F31BBF"/>
    <w:rsid w:val="00F32166"/>
    <w:rsid w:val="00F3219B"/>
    <w:rsid w:val="00F32253"/>
    <w:rsid w:val="00F32337"/>
    <w:rsid w:val="00F3261A"/>
    <w:rsid w:val="00F3263C"/>
    <w:rsid w:val="00F328B5"/>
    <w:rsid w:val="00F32D45"/>
    <w:rsid w:val="00F3334E"/>
    <w:rsid w:val="00F33358"/>
    <w:rsid w:val="00F33868"/>
    <w:rsid w:val="00F3389A"/>
    <w:rsid w:val="00F33E16"/>
    <w:rsid w:val="00F33E6A"/>
    <w:rsid w:val="00F345A4"/>
    <w:rsid w:val="00F347E5"/>
    <w:rsid w:val="00F34994"/>
    <w:rsid w:val="00F34ADD"/>
    <w:rsid w:val="00F34B76"/>
    <w:rsid w:val="00F35395"/>
    <w:rsid w:val="00F353F4"/>
    <w:rsid w:val="00F3573A"/>
    <w:rsid w:val="00F36509"/>
    <w:rsid w:val="00F36AC5"/>
    <w:rsid w:val="00F36ADA"/>
    <w:rsid w:val="00F36CCB"/>
    <w:rsid w:val="00F36E04"/>
    <w:rsid w:val="00F36F83"/>
    <w:rsid w:val="00F370C9"/>
    <w:rsid w:val="00F373FB"/>
    <w:rsid w:val="00F374E5"/>
    <w:rsid w:val="00F37A0B"/>
    <w:rsid w:val="00F37B93"/>
    <w:rsid w:val="00F37BAD"/>
    <w:rsid w:val="00F37ECA"/>
    <w:rsid w:val="00F40031"/>
    <w:rsid w:val="00F4075D"/>
    <w:rsid w:val="00F4088A"/>
    <w:rsid w:val="00F408E8"/>
    <w:rsid w:val="00F40A1C"/>
    <w:rsid w:val="00F40D57"/>
    <w:rsid w:val="00F40EE3"/>
    <w:rsid w:val="00F411A9"/>
    <w:rsid w:val="00F416BE"/>
    <w:rsid w:val="00F4180E"/>
    <w:rsid w:val="00F41988"/>
    <w:rsid w:val="00F41992"/>
    <w:rsid w:val="00F4242D"/>
    <w:rsid w:val="00F42BB2"/>
    <w:rsid w:val="00F42E7B"/>
    <w:rsid w:val="00F42EBC"/>
    <w:rsid w:val="00F42F16"/>
    <w:rsid w:val="00F43AF2"/>
    <w:rsid w:val="00F43E60"/>
    <w:rsid w:val="00F440FA"/>
    <w:rsid w:val="00F4448D"/>
    <w:rsid w:val="00F44670"/>
    <w:rsid w:val="00F45216"/>
    <w:rsid w:val="00F455B1"/>
    <w:rsid w:val="00F45934"/>
    <w:rsid w:val="00F45A35"/>
    <w:rsid w:val="00F45A44"/>
    <w:rsid w:val="00F45C45"/>
    <w:rsid w:val="00F45E49"/>
    <w:rsid w:val="00F45E6A"/>
    <w:rsid w:val="00F45F5A"/>
    <w:rsid w:val="00F461AC"/>
    <w:rsid w:val="00F46638"/>
    <w:rsid w:val="00F46D7F"/>
    <w:rsid w:val="00F46F47"/>
    <w:rsid w:val="00F46FFE"/>
    <w:rsid w:val="00F4726F"/>
    <w:rsid w:val="00F5007E"/>
    <w:rsid w:val="00F50692"/>
    <w:rsid w:val="00F5074B"/>
    <w:rsid w:val="00F50778"/>
    <w:rsid w:val="00F508F6"/>
    <w:rsid w:val="00F50EC4"/>
    <w:rsid w:val="00F515FC"/>
    <w:rsid w:val="00F517A7"/>
    <w:rsid w:val="00F52232"/>
    <w:rsid w:val="00F523B2"/>
    <w:rsid w:val="00F527B1"/>
    <w:rsid w:val="00F5282A"/>
    <w:rsid w:val="00F52DC2"/>
    <w:rsid w:val="00F53104"/>
    <w:rsid w:val="00F5397B"/>
    <w:rsid w:val="00F53B64"/>
    <w:rsid w:val="00F53DE7"/>
    <w:rsid w:val="00F53E1E"/>
    <w:rsid w:val="00F5493A"/>
    <w:rsid w:val="00F54A11"/>
    <w:rsid w:val="00F54AF9"/>
    <w:rsid w:val="00F54CD3"/>
    <w:rsid w:val="00F54FE4"/>
    <w:rsid w:val="00F550CF"/>
    <w:rsid w:val="00F55195"/>
    <w:rsid w:val="00F553D2"/>
    <w:rsid w:val="00F56053"/>
    <w:rsid w:val="00F56520"/>
    <w:rsid w:val="00F56A2D"/>
    <w:rsid w:val="00F56B8A"/>
    <w:rsid w:val="00F57479"/>
    <w:rsid w:val="00F57724"/>
    <w:rsid w:val="00F57A6D"/>
    <w:rsid w:val="00F57C45"/>
    <w:rsid w:val="00F57CBF"/>
    <w:rsid w:val="00F57CD4"/>
    <w:rsid w:val="00F600D2"/>
    <w:rsid w:val="00F603A4"/>
    <w:rsid w:val="00F60448"/>
    <w:rsid w:val="00F6044B"/>
    <w:rsid w:val="00F60486"/>
    <w:rsid w:val="00F60681"/>
    <w:rsid w:val="00F60887"/>
    <w:rsid w:val="00F6089B"/>
    <w:rsid w:val="00F60947"/>
    <w:rsid w:val="00F61230"/>
    <w:rsid w:val="00F6123E"/>
    <w:rsid w:val="00F61ACE"/>
    <w:rsid w:val="00F61C23"/>
    <w:rsid w:val="00F61E6D"/>
    <w:rsid w:val="00F621C4"/>
    <w:rsid w:val="00F62645"/>
    <w:rsid w:val="00F6295E"/>
    <w:rsid w:val="00F629E7"/>
    <w:rsid w:val="00F62F19"/>
    <w:rsid w:val="00F62F56"/>
    <w:rsid w:val="00F6386F"/>
    <w:rsid w:val="00F638CC"/>
    <w:rsid w:val="00F63C9A"/>
    <w:rsid w:val="00F6461C"/>
    <w:rsid w:val="00F6483F"/>
    <w:rsid w:val="00F64C1C"/>
    <w:rsid w:val="00F64C9E"/>
    <w:rsid w:val="00F64CC1"/>
    <w:rsid w:val="00F64CDA"/>
    <w:rsid w:val="00F64D22"/>
    <w:rsid w:val="00F64E18"/>
    <w:rsid w:val="00F653F0"/>
    <w:rsid w:val="00F667AF"/>
    <w:rsid w:val="00F669D9"/>
    <w:rsid w:val="00F66BB6"/>
    <w:rsid w:val="00F66C2C"/>
    <w:rsid w:val="00F675DB"/>
    <w:rsid w:val="00F67A3A"/>
    <w:rsid w:val="00F70173"/>
    <w:rsid w:val="00F703A9"/>
    <w:rsid w:val="00F708B1"/>
    <w:rsid w:val="00F709B3"/>
    <w:rsid w:val="00F70B10"/>
    <w:rsid w:val="00F70B64"/>
    <w:rsid w:val="00F70B77"/>
    <w:rsid w:val="00F70FCF"/>
    <w:rsid w:val="00F7132B"/>
    <w:rsid w:val="00F71406"/>
    <w:rsid w:val="00F72317"/>
    <w:rsid w:val="00F723A2"/>
    <w:rsid w:val="00F7265A"/>
    <w:rsid w:val="00F7298B"/>
    <w:rsid w:val="00F72B52"/>
    <w:rsid w:val="00F737AA"/>
    <w:rsid w:val="00F73DC1"/>
    <w:rsid w:val="00F74776"/>
    <w:rsid w:val="00F747C8"/>
    <w:rsid w:val="00F74E8D"/>
    <w:rsid w:val="00F75044"/>
    <w:rsid w:val="00F75240"/>
    <w:rsid w:val="00F75450"/>
    <w:rsid w:val="00F75695"/>
    <w:rsid w:val="00F75BB8"/>
    <w:rsid w:val="00F75C3E"/>
    <w:rsid w:val="00F767ED"/>
    <w:rsid w:val="00F76DF9"/>
    <w:rsid w:val="00F770FD"/>
    <w:rsid w:val="00F77714"/>
    <w:rsid w:val="00F77805"/>
    <w:rsid w:val="00F77AB3"/>
    <w:rsid w:val="00F77ABB"/>
    <w:rsid w:val="00F77F83"/>
    <w:rsid w:val="00F80475"/>
    <w:rsid w:val="00F80565"/>
    <w:rsid w:val="00F80E6E"/>
    <w:rsid w:val="00F81390"/>
    <w:rsid w:val="00F815A7"/>
    <w:rsid w:val="00F81607"/>
    <w:rsid w:val="00F81AB7"/>
    <w:rsid w:val="00F81F7A"/>
    <w:rsid w:val="00F82259"/>
    <w:rsid w:val="00F822D8"/>
    <w:rsid w:val="00F82411"/>
    <w:rsid w:val="00F8247A"/>
    <w:rsid w:val="00F82ADB"/>
    <w:rsid w:val="00F82E5C"/>
    <w:rsid w:val="00F83099"/>
    <w:rsid w:val="00F834C8"/>
    <w:rsid w:val="00F837B6"/>
    <w:rsid w:val="00F83963"/>
    <w:rsid w:val="00F83E86"/>
    <w:rsid w:val="00F83F58"/>
    <w:rsid w:val="00F84576"/>
    <w:rsid w:val="00F84635"/>
    <w:rsid w:val="00F84949"/>
    <w:rsid w:val="00F84C3A"/>
    <w:rsid w:val="00F84CC1"/>
    <w:rsid w:val="00F85206"/>
    <w:rsid w:val="00F85495"/>
    <w:rsid w:val="00F8558D"/>
    <w:rsid w:val="00F858A0"/>
    <w:rsid w:val="00F859D9"/>
    <w:rsid w:val="00F85FF0"/>
    <w:rsid w:val="00F8684B"/>
    <w:rsid w:val="00F86B98"/>
    <w:rsid w:val="00F86E68"/>
    <w:rsid w:val="00F87738"/>
    <w:rsid w:val="00F878AB"/>
    <w:rsid w:val="00F87C7A"/>
    <w:rsid w:val="00F87CEA"/>
    <w:rsid w:val="00F90030"/>
    <w:rsid w:val="00F90055"/>
    <w:rsid w:val="00F907A5"/>
    <w:rsid w:val="00F907B9"/>
    <w:rsid w:val="00F90906"/>
    <w:rsid w:val="00F90DD8"/>
    <w:rsid w:val="00F91118"/>
    <w:rsid w:val="00F911B5"/>
    <w:rsid w:val="00F914C5"/>
    <w:rsid w:val="00F91EBA"/>
    <w:rsid w:val="00F92155"/>
    <w:rsid w:val="00F92576"/>
    <w:rsid w:val="00F9265D"/>
    <w:rsid w:val="00F927A0"/>
    <w:rsid w:val="00F9304C"/>
    <w:rsid w:val="00F932F4"/>
    <w:rsid w:val="00F93829"/>
    <w:rsid w:val="00F93B25"/>
    <w:rsid w:val="00F93FDB"/>
    <w:rsid w:val="00F94143"/>
    <w:rsid w:val="00F9438E"/>
    <w:rsid w:val="00F94692"/>
    <w:rsid w:val="00F94865"/>
    <w:rsid w:val="00F948B9"/>
    <w:rsid w:val="00F948E0"/>
    <w:rsid w:val="00F94C23"/>
    <w:rsid w:val="00F94CB7"/>
    <w:rsid w:val="00F94E7D"/>
    <w:rsid w:val="00F94F87"/>
    <w:rsid w:val="00F955BE"/>
    <w:rsid w:val="00F960B2"/>
    <w:rsid w:val="00F960EB"/>
    <w:rsid w:val="00F9629A"/>
    <w:rsid w:val="00F96319"/>
    <w:rsid w:val="00F96A88"/>
    <w:rsid w:val="00F96E45"/>
    <w:rsid w:val="00F97760"/>
    <w:rsid w:val="00F97EFC"/>
    <w:rsid w:val="00FA04EC"/>
    <w:rsid w:val="00FA06B3"/>
    <w:rsid w:val="00FA0A0F"/>
    <w:rsid w:val="00FA0B04"/>
    <w:rsid w:val="00FA0C3D"/>
    <w:rsid w:val="00FA0C7C"/>
    <w:rsid w:val="00FA0E4F"/>
    <w:rsid w:val="00FA1239"/>
    <w:rsid w:val="00FA1BDD"/>
    <w:rsid w:val="00FA1D7D"/>
    <w:rsid w:val="00FA1EB9"/>
    <w:rsid w:val="00FA1FC7"/>
    <w:rsid w:val="00FA2823"/>
    <w:rsid w:val="00FA287C"/>
    <w:rsid w:val="00FA2936"/>
    <w:rsid w:val="00FA2A8A"/>
    <w:rsid w:val="00FA2C31"/>
    <w:rsid w:val="00FA305C"/>
    <w:rsid w:val="00FA34ED"/>
    <w:rsid w:val="00FA35B5"/>
    <w:rsid w:val="00FA3702"/>
    <w:rsid w:val="00FA3EB4"/>
    <w:rsid w:val="00FA4441"/>
    <w:rsid w:val="00FA4444"/>
    <w:rsid w:val="00FA462E"/>
    <w:rsid w:val="00FA47FB"/>
    <w:rsid w:val="00FA4BCC"/>
    <w:rsid w:val="00FA4C63"/>
    <w:rsid w:val="00FA4D8C"/>
    <w:rsid w:val="00FA4DD5"/>
    <w:rsid w:val="00FA4E24"/>
    <w:rsid w:val="00FA5883"/>
    <w:rsid w:val="00FA5E9B"/>
    <w:rsid w:val="00FA6055"/>
    <w:rsid w:val="00FA69EA"/>
    <w:rsid w:val="00FA6E3B"/>
    <w:rsid w:val="00FA6ED7"/>
    <w:rsid w:val="00FA7109"/>
    <w:rsid w:val="00FA74FF"/>
    <w:rsid w:val="00FA7AAC"/>
    <w:rsid w:val="00FB0AC3"/>
    <w:rsid w:val="00FB0B39"/>
    <w:rsid w:val="00FB0D6E"/>
    <w:rsid w:val="00FB0F71"/>
    <w:rsid w:val="00FB10F7"/>
    <w:rsid w:val="00FB14C4"/>
    <w:rsid w:val="00FB15AD"/>
    <w:rsid w:val="00FB17DB"/>
    <w:rsid w:val="00FB1BFD"/>
    <w:rsid w:val="00FB2108"/>
    <w:rsid w:val="00FB213E"/>
    <w:rsid w:val="00FB227C"/>
    <w:rsid w:val="00FB23BA"/>
    <w:rsid w:val="00FB24AE"/>
    <w:rsid w:val="00FB255B"/>
    <w:rsid w:val="00FB2562"/>
    <w:rsid w:val="00FB26EF"/>
    <w:rsid w:val="00FB2A97"/>
    <w:rsid w:val="00FB2B03"/>
    <w:rsid w:val="00FB2C3E"/>
    <w:rsid w:val="00FB322F"/>
    <w:rsid w:val="00FB34CA"/>
    <w:rsid w:val="00FB3526"/>
    <w:rsid w:val="00FB38AE"/>
    <w:rsid w:val="00FB3F3D"/>
    <w:rsid w:val="00FB3FE6"/>
    <w:rsid w:val="00FB442F"/>
    <w:rsid w:val="00FB4554"/>
    <w:rsid w:val="00FB50F6"/>
    <w:rsid w:val="00FB5544"/>
    <w:rsid w:val="00FB5A7E"/>
    <w:rsid w:val="00FB5BF7"/>
    <w:rsid w:val="00FB60DF"/>
    <w:rsid w:val="00FB6810"/>
    <w:rsid w:val="00FB6987"/>
    <w:rsid w:val="00FB69FC"/>
    <w:rsid w:val="00FB6D64"/>
    <w:rsid w:val="00FB6D66"/>
    <w:rsid w:val="00FB70A5"/>
    <w:rsid w:val="00FB717A"/>
    <w:rsid w:val="00FB7534"/>
    <w:rsid w:val="00FB78C6"/>
    <w:rsid w:val="00FB78EF"/>
    <w:rsid w:val="00FB7CDC"/>
    <w:rsid w:val="00FB7D58"/>
    <w:rsid w:val="00FB7E36"/>
    <w:rsid w:val="00FB7F76"/>
    <w:rsid w:val="00FC01DC"/>
    <w:rsid w:val="00FC02CD"/>
    <w:rsid w:val="00FC0496"/>
    <w:rsid w:val="00FC0C06"/>
    <w:rsid w:val="00FC1054"/>
    <w:rsid w:val="00FC118C"/>
    <w:rsid w:val="00FC1278"/>
    <w:rsid w:val="00FC1596"/>
    <w:rsid w:val="00FC1853"/>
    <w:rsid w:val="00FC1929"/>
    <w:rsid w:val="00FC1A70"/>
    <w:rsid w:val="00FC1E8D"/>
    <w:rsid w:val="00FC2604"/>
    <w:rsid w:val="00FC2F48"/>
    <w:rsid w:val="00FC34CC"/>
    <w:rsid w:val="00FC3534"/>
    <w:rsid w:val="00FC35FB"/>
    <w:rsid w:val="00FC38E8"/>
    <w:rsid w:val="00FC3DCD"/>
    <w:rsid w:val="00FC40CD"/>
    <w:rsid w:val="00FC42CF"/>
    <w:rsid w:val="00FC4610"/>
    <w:rsid w:val="00FC4F50"/>
    <w:rsid w:val="00FC564F"/>
    <w:rsid w:val="00FC5B04"/>
    <w:rsid w:val="00FC5B3A"/>
    <w:rsid w:val="00FC5B46"/>
    <w:rsid w:val="00FC5DF3"/>
    <w:rsid w:val="00FC6175"/>
    <w:rsid w:val="00FC6284"/>
    <w:rsid w:val="00FC65BA"/>
    <w:rsid w:val="00FC6940"/>
    <w:rsid w:val="00FC7037"/>
    <w:rsid w:val="00FC748C"/>
    <w:rsid w:val="00FC7658"/>
    <w:rsid w:val="00FC7D37"/>
    <w:rsid w:val="00FD0367"/>
    <w:rsid w:val="00FD03B7"/>
    <w:rsid w:val="00FD04E2"/>
    <w:rsid w:val="00FD058D"/>
    <w:rsid w:val="00FD08A1"/>
    <w:rsid w:val="00FD0A47"/>
    <w:rsid w:val="00FD1597"/>
    <w:rsid w:val="00FD1D4F"/>
    <w:rsid w:val="00FD1E9F"/>
    <w:rsid w:val="00FD24BF"/>
    <w:rsid w:val="00FD2598"/>
    <w:rsid w:val="00FD270A"/>
    <w:rsid w:val="00FD29E8"/>
    <w:rsid w:val="00FD34C8"/>
    <w:rsid w:val="00FD36FB"/>
    <w:rsid w:val="00FD3759"/>
    <w:rsid w:val="00FD382B"/>
    <w:rsid w:val="00FD3A7F"/>
    <w:rsid w:val="00FD3B6E"/>
    <w:rsid w:val="00FD3DFF"/>
    <w:rsid w:val="00FD401D"/>
    <w:rsid w:val="00FD4140"/>
    <w:rsid w:val="00FD5271"/>
    <w:rsid w:val="00FD5285"/>
    <w:rsid w:val="00FD543B"/>
    <w:rsid w:val="00FD54BF"/>
    <w:rsid w:val="00FD57EB"/>
    <w:rsid w:val="00FD5B69"/>
    <w:rsid w:val="00FD6647"/>
    <w:rsid w:val="00FD6A10"/>
    <w:rsid w:val="00FD6D8E"/>
    <w:rsid w:val="00FD6FBB"/>
    <w:rsid w:val="00FD75D2"/>
    <w:rsid w:val="00FD7809"/>
    <w:rsid w:val="00FD7D54"/>
    <w:rsid w:val="00FD7F45"/>
    <w:rsid w:val="00FE0663"/>
    <w:rsid w:val="00FE0868"/>
    <w:rsid w:val="00FE0A27"/>
    <w:rsid w:val="00FE0D4E"/>
    <w:rsid w:val="00FE0E94"/>
    <w:rsid w:val="00FE12BA"/>
    <w:rsid w:val="00FE14DF"/>
    <w:rsid w:val="00FE1635"/>
    <w:rsid w:val="00FE184E"/>
    <w:rsid w:val="00FE1A38"/>
    <w:rsid w:val="00FE1E94"/>
    <w:rsid w:val="00FE1F4A"/>
    <w:rsid w:val="00FE2261"/>
    <w:rsid w:val="00FE2300"/>
    <w:rsid w:val="00FE277C"/>
    <w:rsid w:val="00FE2CDB"/>
    <w:rsid w:val="00FE2E94"/>
    <w:rsid w:val="00FE2F2C"/>
    <w:rsid w:val="00FE32D9"/>
    <w:rsid w:val="00FE357B"/>
    <w:rsid w:val="00FE369C"/>
    <w:rsid w:val="00FE3832"/>
    <w:rsid w:val="00FE3A63"/>
    <w:rsid w:val="00FE3C87"/>
    <w:rsid w:val="00FE3CD9"/>
    <w:rsid w:val="00FE3F13"/>
    <w:rsid w:val="00FE4BAB"/>
    <w:rsid w:val="00FE597A"/>
    <w:rsid w:val="00FE5BB5"/>
    <w:rsid w:val="00FE5E89"/>
    <w:rsid w:val="00FE5F05"/>
    <w:rsid w:val="00FE6D1D"/>
    <w:rsid w:val="00FE6EEF"/>
    <w:rsid w:val="00FE70BD"/>
    <w:rsid w:val="00FE72F2"/>
    <w:rsid w:val="00FE7599"/>
    <w:rsid w:val="00FE7810"/>
    <w:rsid w:val="00FE7A5C"/>
    <w:rsid w:val="00FE7A62"/>
    <w:rsid w:val="00FE7D86"/>
    <w:rsid w:val="00FF00BD"/>
    <w:rsid w:val="00FF03DF"/>
    <w:rsid w:val="00FF067C"/>
    <w:rsid w:val="00FF0B13"/>
    <w:rsid w:val="00FF0E01"/>
    <w:rsid w:val="00FF0EB9"/>
    <w:rsid w:val="00FF0ECA"/>
    <w:rsid w:val="00FF1353"/>
    <w:rsid w:val="00FF1523"/>
    <w:rsid w:val="00FF1672"/>
    <w:rsid w:val="00FF177D"/>
    <w:rsid w:val="00FF1ED4"/>
    <w:rsid w:val="00FF2631"/>
    <w:rsid w:val="00FF2801"/>
    <w:rsid w:val="00FF2E12"/>
    <w:rsid w:val="00FF316B"/>
    <w:rsid w:val="00FF35FD"/>
    <w:rsid w:val="00FF38DB"/>
    <w:rsid w:val="00FF4921"/>
    <w:rsid w:val="00FF50AB"/>
    <w:rsid w:val="00FF5142"/>
    <w:rsid w:val="00FF553E"/>
    <w:rsid w:val="00FF5B33"/>
    <w:rsid w:val="00FF5C8A"/>
    <w:rsid w:val="00FF5EB1"/>
    <w:rsid w:val="00FF6282"/>
    <w:rsid w:val="00FF62F9"/>
    <w:rsid w:val="00FF65C4"/>
    <w:rsid w:val="00FF65CA"/>
    <w:rsid w:val="00FF66C8"/>
    <w:rsid w:val="00FF6D26"/>
    <w:rsid w:val="00FF6DBB"/>
    <w:rsid w:val="00FF6EEF"/>
    <w:rsid w:val="00FF70C5"/>
    <w:rsid w:val="00FF745C"/>
    <w:rsid w:val="00FF799B"/>
    <w:rsid w:val="012A7082"/>
    <w:rsid w:val="0143FC8B"/>
    <w:rsid w:val="01472274"/>
    <w:rsid w:val="01680782"/>
    <w:rsid w:val="01744B6B"/>
    <w:rsid w:val="01991820"/>
    <w:rsid w:val="01A542A8"/>
    <w:rsid w:val="01AAA2FB"/>
    <w:rsid w:val="01AFE329"/>
    <w:rsid w:val="01BAC867"/>
    <w:rsid w:val="0212A45D"/>
    <w:rsid w:val="0245A05A"/>
    <w:rsid w:val="0254441C"/>
    <w:rsid w:val="0259F751"/>
    <w:rsid w:val="028D3DEA"/>
    <w:rsid w:val="02964AA1"/>
    <w:rsid w:val="02B51BCE"/>
    <w:rsid w:val="02CE79B3"/>
    <w:rsid w:val="02DE8625"/>
    <w:rsid w:val="02E816C3"/>
    <w:rsid w:val="02F76070"/>
    <w:rsid w:val="0319796D"/>
    <w:rsid w:val="03213FFF"/>
    <w:rsid w:val="032394EB"/>
    <w:rsid w:val="033B2F40"/>
    <w:rsid w:val="037A1494"/>
    <w:rsid w:val="03C92719"/>
    <w:rsid w:val="03DCE723"/>
    <w:rsid w:val="03FC6F83"/>
    <w:rsid w:val="0437B5A4"/>
    <w:rsid w:val="04A12F4E"/>
    <w:rsid w:val="04DBE9EA"/>
    <w:rsid w:val="05182518"/>
    <w:rsid w:val="051C8A12"/>
    <w:rsid w:val="051D99F9"/>
    <w:rsid w:val="052A076A"/>
    <w:rsid w:val="052BD9CF"/>
    <w:rsid w:val="05763424"/>
    <w:rsid w:val="05B612E3"/>
    <w:rsid w:val="05D8AD09"/>
    <w:rsid w:val="05F72C6E"/>
    <w:rsid w:val="0605216C"/>
    <w:rsid w:val="060A0681"/>
    <w:rsid w:val="061081DF"/>
    <w:rsid w:val="061F184E"/>
    <w:rsid w:val="063EE9F7"/>
    <w:rsid w:val="0697ECFF"/>
    <w:rsid w:val="069EE29B"/>
    <w:rsid w:val="069F379E"/>
    <w:rsid w:val="06F271CD"/>
    <w:rsid w:val="071821A5"/>
    <w:rsid w:val="071D034C"/>
    <w:rsid w:val="0738FC38"/>
    <w:rsid w:val="074F40E9"/>
    <w:rsid w:val="07636F97"/>
    <w:rsid w:val="076CEE75"/>
    <w:rsid w:val="077A37A0"/>
    <w:rsid w:val="08185FB9"/>
    <w:rsid w:val="082A09EB"/>
    <w:rsid w:val="086C3C89"/>
    <w:rsid w:val="08934EB2"/>
    <w:rsid w:val="089BC592"/>
    <w:rsid w:val="08C739BE"/>
    <w:rsid w:val="08CCB203"/>
    <w:rsid w:val="08CCFA40"/>
    <w:rsid w:val="08D5819E"/>
    <w:rsid w:val="08E3636B"/>
    <w:rsid w:val="093BAD0E"/>
    <w:rsid w:val="0982FB12"/>
    <w:rsid w:val="09965DA2"/>
    <w:rsid w:val="09A91FF1"/>
    <w:rsid w:val="09CB7175"/>
    <w:rsid w:val="09E8023E"/>
    <w:rsid w:val="0A0C7AE1"/>
    <w:rsid w:val="0A2677CC"/>
    <w:rsid w:val="0A52A91E"/>
    <w:rsid w:val="0A663D94"/>
    <w:rsid w:val="0A771F62"/>
    <w:rsid w:val="0A922DFE"/>
    <w:rsid w:val="0B1BF5E7"/>
    <w:rsid w:val="0B4E375A"/>
    <w:rsid w:val="0B73B7C0"/>
    <w:rsid w:val="0B8F77E4"/>
    <w:rsid w:val="0BB84D1D"/>
    <w:rsid w:val="0BBD9AEA"/>
    <w:rsid w:val="0BBEB61A"/>
    <w:rsid w:val="0BD94A4C"/>
    <w:rsid w:val="0BF6B391"/>
    <w:rsid w:val="0C43CD5E"/>
    <w:rsid w:val="0C517A35"/>
    <w:rsid w:val="0C70D5C1"/>
    <w:rsid w:val="0C737789"/>
    <w:rsid w:val="0C7A781A"/>
    <w:rsid w:val="0CBA42C9"/>
    <w:rsid w:val="0CD74D52"/>
    <w:rsid w:val="0CDFECEB"/>
    <w:rsid w:val="0CF130DF"/>
    <w:rsid w:val="0CF631C5"/>
    <w:rsid w:val="0CFE1DFD"/>
    <w:rsid w:val="0CFF9737"/>
    <w:rsid w:val="0D020AC4"/>
    <w:rsid w:val="0D4FC7CF"/>
    <w:rsid w:val="0D7862BB"/>
    <w:rsid w:val="0DC4E36E"/>
    <w:rsid w:val="0DE90B25"/>
    <w:rsid w:val="0E3B9412"/>
    <w:rsid w:val="0E43876F"/>
    <w:rsid w:val="0E45EE35"/>
    <w:rsid w:val="0E5E506F"/>
    <w:rsid w:val="0EF2D82B"/>
    <w:rsid w:val="0F5CF529"/>
    <w:rsid w:val="0FC042FC"/>
    <w:rsid w:val="0FC31246"/>
    <w:rsid w:val="1018A2AE"/>
    <w:rsid w:val="1023E0F9"/>
    <w:rsid w:val="103BDE90"/>
    <w:rsid w:val="10538CDC"/>
    <w:rsid w:val="10713F50"/>
    <w:rsid w:val="10A323DD"/>
    <w:rsid w:val="10BA51AE"/>
    <w:rsid w:val="10D00B66"/>
    <w:rsid w:val="10DA8079"/>
    <w:rsid w:val="10E7DDA3"/>
    <w:rsid w:val="110FDE4A"/>
    <w:rsid w:val="11173C94"/>
    <w:rsid w:val="111AD993"/>
    <w:rsid w:val="11694FDE"/>
    <w:rsid w:val="119ED61D"/>
    <w:rsid w:val="11AB5060"/>
    <w:rsid w:val="11EC15A4"/>
    <w:rsid w:val="120F9862"/>
    <w:rsid w:val="1244E455"/>
    <w:rsid w:val="1272477B"/>
    <w:rsid w:val="1285DF47"/>
    <w:rsid w:val="12B95C68"/>
    <w:rsid w:val="136FC486"/>
    <w:rsid w:val="137135B3"/>
    <w:rsid w:val="137BC783"/>
    <w:rsid w:val="13FA4A3A"/>
    <w:rsid w:val="1403FB52"/>
    <w:rsid w:val="1420FFCD"/>
    <w:rsid w:val="1427B894"/>
    <w:rsid w:val="142B3870"/>
    <w:rsid w:val="148D5FEB"/>
    <w:rsid w:val="149A6DC9"/>
    <w:rsid w:val="14F07869"/>
    <w:rsid w:val="150C8D13"/>
    <w:rsid w:val="15107A79"/>
    <w:rsid w:val="15203191"/>
    <w:rsid w:val="15278634"/>
    <w:rsid w:val="153C3F65"/>
    <w:rsid w:val="15517B97"/>
    <w:rsid w:val="1559BAC6"/>
    <w:rsid w:val="1586E7CB"/>
    <w:rsid w:val="158A3581"/>
    <w:rsid w:val="158E5514"/>
    <w:rsid w:val="162998A6"/>
    <w:rsid w:val="166DBB24"/>
    <w:rsid w:val="16A09CAD"/>
    <w:rsid w:val="16CA3FF2"/>
    <w:rsid w:val="16CAF0B6"/>
    <w:rsid w:val="1753E2E8"/>
    <w:rsid w:val="1756786E"/>
    <w:rsid w:val="1775BF0B"/>
    <w:rsid w:val="179B84B1"/>
    <w:rsid w:val="17F1B665"/>
    <w:rsid w:val="17FD5F39"/>
    <w:rsid w:val="1805670A"/>
    <w:rsid w:val="18418E99"/>
    <w:rsid w:val="185D522D"/>
    <w:rsid w:val="18657CF4"/>
    <w:rsid w:val="18D62F93"/>
    <w:rsid w:val="1934C8D3"/>
    <w:rsid w:val="193C3F08"/>
    <w:rsid w:val="19890FA6"/>
    <w:rsid w:val="19918F5C"/>
    <w:rsid w:val="199EA519"/>
    <w:rsid w:val="199F56B4"/>
    <w:rsid w:val="19A41526"/>
    <w:rsid w:val="19B44400"/>
    <w:rsid w:val="19F2311B"/>
    <w:rsid w:val="19F2FF4F"/>
    <w:rsid w:val="19F7AA11"/>
    <w:rsid w:val="1A0589F0"/>
    <w:rsid w:val="1A0D3C6A"/>
    <w:rsid w:val="1A2D1BE7"/>
    <w:rsid w:val="1A8A0C43"/>
    <w:rsid w:val="1AC0B9EF"/>
    <w:rsid w:val="1AC9E2D7"/>
    <w:rsid w:val="1AEA30A5"/>
    <w:rsid w:val="1B0BFFE7"/>
    <w:rsid w:val="1B104262"/>
    <w:rsid w:val="1B3A2251"/>
    <w:rsid w:val="1B4B823E"/>
    <w:rsid w:val="1B4DABE9"/>
    <w:rsid w:val="1B5411F2"/>
    <w:rsid w:val="1B884194"/>
    <w:rsid w:val="1BBFD095"/>
    <w:rsid w:val="1BD1B5C0"/>
    <w:rsid w:val="1BD6F67D"/>
    <w:rsid w:val="1C666A06"/>
    <w:rsid w:val="1C7C1F9D"/>
    <w:rsid w:val="1CA05D8C"/>
    <w:rsid w:val="1CA18163"/>
    <w:rsid w:val="1D0108AE"/>
    <w:rsid w:val="1D4BF673"/>
    <w:rsid w:val="1D4E7C25"/>
    <w:rsid w:val="1D6033D6"/>
    <w:rsid w:val="1D643D10"/>
    <w:rsid w:val="1DDBDA0D"/>
    <w:rsid w:val="1E278C60"/>
    <w:rsid w:val="1E382E8C"/>
    <w:rsid w:val="1E393A8F"/>
    <w:rsid w:val="1E47A233"/>
    <w:rsid w:val="1E8A5144"/>
    <w:rsid w:val="1E938E64"/>
    <w:rsid w:val="1EA49E9B"/>
    <w:rsid w:val="1EAFF635"/>
    <w:rsid w:val="1ECC74E6"/>
    <w:rsid w:val="1F169C9B"/>
    <w:rsid w:val="1F3EECBD"/>
    <w:rsid w:val="1F6ABA09"/>
    <w:rsid w:val="1F88A176"/>
    <w:rsid w:val="1FA650AC"/>
    <w:rsid w:val="1FB6E350"/>
    <w:rsid w:val="1FDD4BAE"/>
    <w:rsid w:val="1FF3162D"/>
    <w:rsid w:val="2009EB8A"/>
    <w:rsid w:val="201730D2"/>
    <w:rsid w:val="201CFCC0"/>
    <w:rsid w:val="20234899"/>
    <w:rsid w:val="2034D946"/>
    <w:rsid w:val="20468F52"/>
    <w:rsid w:val="20D84B93"/>
    <w:rsid w:val="210F5AF1"/>
    <w:rsid w:val="2129404A"/>
    <w:rsid w:val="212CBC64"/>
    <w:rsid w:val="2146CF6C"/>
    <w:rsid w:val="21DA320A"/>
    <w:rsid w:val="21F25A30"/>
    <w:rsid w:val="2203BAEA"/>
    <w:rsid w:val="2211DE58"/>
    <w:rsid w:val="22822A30"/>
    <w:rsid w:val="22830B56"/>
    <w:rsid w:val="22B868EE"/>
    <w:rsid w:val="22BFE56B"/>
    <w:rsid w:val="23100F09"/>
    <w:rsid w:val="231C3354"/>
    <w:rsid w:val="2337EEA3"/>
    <w:rsid w:val="236A5758"/>
    <w:rsid w:val="238CC620"/>
    <w:rsid w:val="23E501B9"/>
    <w:rsid w:val="240CD56C"/>
    <w:rsid w:val="244B8CF8"/>
    <w:rsid w:val="2471CDD7"/>
    <w:rsid w:val="24C0A041"/>
    <w:rsid w:val="24CA5046"/>
    <w:rsid w:val="24F49182"/>
    <w:rsid w:val="251CB37F"/>
    <w:rsid w:val="251FDDD1"/>
    <w:rsid w:val="2535CC0C"/>
    <w:rsid w:val="2566E02A"/>
    <w:rsid w:val="25894C31"/>
    <w:rsid w:val="25B921C5"/>
    <w:rsid w:val="25C37756"/>
    <w:rsid w:val="25D0E7DD"/>
    <w:rsid w:val="262936A3"/>
    <w:rsid w:val="26615FE7"/>
    <w:rsid w:val="2678B15D"/>
    <w:rsid w:val="26B216C6"/>
    <w:rsid w:val="26B91621"/>
    <w:rsid w:val="26BDC49C"/>
    <w:rsid w:val="26CE46E7"/>
    <w:rsid w:val="26E9117C"/>
    <w:rsid w:val="26F6F44A"/>
    <w:rsid w:val="27394882"/>
    <w:rsid w:val="275496B9"/>
    <w:rsid w:val="27604B44"/>
    <w:rsid w:val="2792FB72"/>
    <w:rsid w:val="279F76B4"/>
    <w:rsid w:val="27AB84CC"/>
    <w:rsid w:val="27F3C0B7"/>
    <w:rsid w:val="27F3FCD1"/>
    <w:rsid w:val="27F75DB0"/>
    <w:rsid w:val="28001819"/>
    <w:rsid w:val="280BEE28"/>
    <w:rsid w:val="2818A7FB"/>
    <w:rsid w:val="288B564B"/>
    <w:rsid w:val="28B27485"/>
    <w:rsid w:val="290343ED"/>
    <w:rsid w:val="2904808E"/>
    <w:rsid w:val="2918E7AB"/>
    <w:rsid w:val="292D8809"/>
    <w:rsid w:val="29365BD7"/>
    <w:rsid w:val="29808DD5"/>
    <w:rsid w:val="29882150"/>
    <w:rsid w:val="29DF4F92"/>
    <w:rsid w:val="29E088CD"/>
    <w:rsid w:val="29E0E709"/>
    <w:rsid w:val="2A018452"/>
    <w:rsid w:val="2A2D20E3"/>
    <w:rsid w:val="2A7D01EC"/>
    <w:rsid w:val="2A99BBA2"/>
    <w:rsid w:val="2AA490C3"/>
    <w:rsid w:val="2AB480AD"/>
    <w:rsid w:val="2B08292B"/>
    <w:rsid w:val="2B0D4ED5"/>
    <w:rsid w:val="2B6EAB3C"/>
    <w:rsid w:val="2B8395BB"/>
    <w:rsid w:val="2B8D5B09"/>
    <w:rsid w:val="2B913D32"/>
    <w:rsid w:val="2B923A55"/>
    <w:rsid w:val="2C17FFF6"/>
    <w:rsid w:val="2C1C38BC"/>
    <w:rsid w:val="2C3713C3"/>
    <w:rsid w:val="2C46D0C1"/>
    <w:rsid w:val="2C4C1D68"/>
    <w:rsid w:val="2C6E69E1"/>
    <w:rsid w:val="2C7816B8"/>
    <w:rsid w:val="2C7C3DFB"/>
    <w:rsid w:val="2CD2CA10"/>
    <w:rsid w:val="2D470254"/>
    <w:rsid w:val="2DAB9777"/>
    <w:rsid w:val="2DB8540A"/>
    <w:rsid w:val="2DD318A9"/>
    <w:rsid w:val="2DECC312"/>
    <w:rsid w:val="2E4579D6"/>
    <w:rsid w:val="2E4F898A"/>
    <w:rsid w:val="2E5D42B2"/>
    <w:rsid w:val="2E9A5230"/>
    <w:rsid w:val="2E9B185B"/>
    <w:rsid w:val="2EEECA9F"/>
    <w:rsid w:val="2EF0545B"/>
    <w:rsid w:val="2F77A6AA"/>
    <w:rsid w:val="2FC97F8A"/>
    <w:rsid w:val="2FD032F0"/>
    <w:rsid w:val="30081649"/>
    <w:rsid w:val="300EDF22"/>
    <w:rsid w:val="30156D29"/>
    <w:rsid w:val="30419E24"/>
    <w:rsid w:val="3079EB0D"/>
    <w:rsid w:val="307D714D"/>
    <w:rsid w:val="307E63F7"/>
    <w:rsid w:val="3093AC95"/>
    <w:rsid w:val="309C2394"/>
    <w:rsid w:val="30CCCFE8"/>
    <w:rsid w:val="30DE9C5C"/>
    <w:rsid w:val="30E8B387"/>
    <w:rsid w:val="3185F11A"/>
    <w:rsid w:val="31C1265F"/>
    <w:rsid w:val="31C35EAB"/>
    <w:rsid w:val="31CF7BE0"/>
    <w:rsid w:val="321F658F"/>
    <w:rsid w:val="325C8277"/>
    <w:rsid w:val="327F3E31"/>
    <w:rsid w:val="328FB06C"/>
    <w:rsid w:val="32EC271F"/>
    <w:rsid w:val="32FFC29C"/>
    <w:rsid w:val="3320F36F"/>
    <w:rsid w:val="333653B2"/>
    <w:rsid w:val="33530660"/>
    <w:rsid w:val="3356D0F6"/>
    <w:rsid w:val="3381B723"/>
    <w:rsid w:val="33AB4C7A"/>
    <w:rsid w:val="33D3847A"/>
    <w:rsid w:val="33D46A2A"/>
    <w:rsid w:val="340D0A3D"/>
    <w:rsid w:val="343A4F58"/>
    <w:rsid w:val="3452E6CA"/>
    <w:rsid w:val="34B8048C"/>
    <w:rsid w:val="34D34E51"/>
    <w:rsid w:val="34E7EA92"/>
    <w:rsid w:val="34F6EF06"/>
    <w:rsid w:val="3500518C"/>
    <w:rsid w:val="35412375"/>
    <w:rsid w:val="35696224"/>
    <w:rsid w:val="35768A77"/>
    <w:rsid w:val="36034C89"/>
    <w:rsid w:val="363425FC"/>
    <w:rsid w:val="363583EB"/>
    <w:rsid w:val="36461301"/>
    <w:rsid w:val="3714A150"/>
    <w:rsid w:val="373C6128"/>
    <w:rsid w:val="374DB860"/>
    <w:rsid w:val="377FE3CE"/>
    <w:rsid w:val="379FEE28"/>
    <w:rsid w:val="37C1F8E8"/>
    <w:rsid w:val="3805C0E7"/>
    <w:rsid w:val="3815B504"/>
    <w:rsid w:val="38168071"/>
    <w:rsid w:val="38527DDF"/>
    <w:rsid w:val="393376D2"/>
    <w:rsid w:val="395463D1"/>
    <w:rsid w:val="39627759"/>
    <w:rsid w:val="398863F1"/>
    <w:rsid w:val="3990F3A6"/>
    <w:rsid w:val="3996105E"/>
    <w:rsid w:val="39F54B25"/>
    <w:rsid w:val="3A20C143"/>
    <w:rsid w:val="3A4C135D"/>
    <w:rsid w:val="3A7A22AD"/>
    <w:rsid w:val="3A7C1B8C"/>
    <w:rsid w:val="3A96BE7C"/>
    <w:rsid w:val="3B4FD1D0"/>
    <w:rsid w:val="3B6BE49C"/>
    <w:rsid w:val="3B7F85BF"/>
    <w:rsid w:val="3BA095AD"/>
    <w:rsid w:val="3BC982B8"/>
    <w:rsid w:val="3BCB01D3"/>
    <w:rsid w:val="3C0BBD1D"/>
    <w:rsid w:val="3C15BE24"/>
    <w:rsid w:val="3C320587"/>
    <w:rsid w:val="3C49DA1D"/>
    <w:rsid w:val="3C8A9E4C"/>
    <w:rsid w:val="3CC0E6C1"/>
    <w:rsid w:val="3D06E369"/>
    <w:rsid w:val="3D6D1C3B"/>
    <w:rsid w:val="3DC2B32F"/>
    <w:rsid w:val="3E2DDA86"/>
    <w:rsid w:val="3E332F0D"/>
    <w:rsid w:val="3E59EE7B"/>
    <w:rsid w:val="3E60E7B3"/>
    <w:rsid w:val="3E6C7B42"/>
    <w:rsid w:val="3E8F8976"/>
    <w:rsid w:val="3EDC23CB"/>
    <w:rsid w:val="3F06ED3E"/>
    <w:rsid w:val="3F4584B1"/>
    <w:rsid w:val="3F81852E"/>
    <w:rsid w:val="3F8831D7"/>
    <w:rsid w:val="3FCF30A0"/>
    <w:rsid w:val="3FE24B8E"/>
    <w:rsid w:val="3FFFBD76"/>
    <w:rsid w:val="403FFA2D"/>
    <w:rsid w:val="404E0318"/>
    <w:rsid w:val="40747D19"/>
    <w:rsid w:val="40771079"/>
    <w:rsid w:val="40930EF5"/>
    <w:rsid w:val="4110CDB4"/>
    <w:rsid w:val="41670CA5"/>
    <w:rsid w:val="420D9E0C"/>
    <w:rsid w:val="4232B718"/>
    <w:rsid w:val="42691D0F"/>
    <w:rsid w:val="426B9282"/>
    <w:rsid w:val="4276ABBD"/>
    <w:rsid w:val="42B77733"/>
    <w:rsid w:val="42C086B3"/>
    <w:rsid w:val="42ED032F"/>
    <w:rsid w:val="4372D6C2"/>
    <w:rsid w:val="4385983B"/>
    <w:rsid w:val="43A3FA42"/>
    <w:rsid w:val="43B45BDD"/>
    <w:rsid w:val="43C66906"/>
    <w:rsid w:val="43CEE5FA"/>
    <w:rsid w:val="43D4AC5D"/>
    <w:rsid w:val="43DB0FB5"/>
    <w:rsid w:val="443448FB"/>
    <w:rsid w:val="44505BFC"/>
    <w:rsid w:val="445DEA9D"/>
    <w:rsid w:val="4474D830"/>
    <w:rsid w:val="450F5A46"/>
    <w:rsid w:val="45122334"/>
    <w:rsid w:val="4532BBAB"/>
    <w:rsid w:val="456C4AA2"/>
    <w:rsid w:val="456EDE36"/>
    <w:rsid w:val="45B13034"/>
    <w:rsid w:val="45E71EF6"/>
    <w:rsid w:val="461F2570"/>
    <w:rsid w:val="4641A0D0"/>
    <w:rsid w:val="46484AF3"/>
    <w:rsid w:val="466EA9C8"/>
    <w:rsid w:val="46A8D454"/>
    <w:rsid w:val="46B192A8"/>
    <w:rsid w:val="46E43BCD"/>
    <w:rsid w:val="471D73C3"/>
    <w:rsid w:val="47399B6F"/>
    <w:rsid w:val="477C89A1"/>
    <w:rsid w:val="479EE379"/>
    <w:rsid w:val="48045D6F"/>
    <w:rsid w:val="480D72A2"/>
    <w:rsid w:val="481B1497"/>
    <w:rsid w:val="483DA525"/>
    <w:rsid w:val="48622584"/>
    <w:rsid w:val="4873567A"/>
    <w:rsid w:val="487A055A"/>
    <w:rsid w:val="487BCFA4"/>
    <w:rsid w:val="48B3E878"/>
    <w:rsid w:val="48F582C0"/>
    <w:rsid w:val="495D9BBE"/>
    <w:rsid w:val="496E4A01"/>
    <w:rsid w:val="4995C168"/>
    <w:rsid w:val="49B18E16"/>
    <w:rsid w:val="49B7B512"/>
    <w:rsid w:val="4A5234CD"/>
    <w:rsid w:val="4AA91A5B"/>
    <w:rsid w:val="4AE86C22"/>
    <w:rsid w:val="4B053CE9"/>
    <w:rsid w:val="4B2E98B8"/>
    <w:rsid w:val="4B726289"/>
    <w:rsid w:val="4B8CA088"/>
    <w:rsid w:val="4B9FC909"/>
    <w:rsid w:val="4BA183BB"/>
    <w:rsid w:val="4C04052E"/>
    <w:rsid w:val="4C4AA4D3"/>
    <w:rsid w:val="4C6034BB"/>
    <w:rsid w:val="4C72C2AB"/>
    <w:rsid w:val="4C8B405E"/>
    <w:rsid w:val="4CA8BA21"/>
    <w:rsid w:val="4CA980DF"/>
    <w:rsid w:val="4D21EA56"/>
    <w:rsid w:val="4D2CA5F0"/>
    <w:rsid w:val="4D86E0DC"/>
    <w:rsid w:val="4DA14906"/>
    <w:rsid w:val="4DD74500"/>
    <w:rsid w:val="4E12ACEF"/>
    <w:rsid w:val="4E2B4360"/>
    <w:rsid w:val="4E685B66"/>
    <w:rsid w:val="4E79F70B"/>
    <w:rsid w:val="4E9C4D46"/>
    <w:rsid w:val="4EC3A82E"/>
    <w:rsid w:val="4EC9DE00"/>
    <w:rsid w:val="4ED4B708"/>
    <w:rsid w:val="4EE3854C"/>
    <w:rsid w:val="4F28A562"/>
    <w:rsid w:val="4F67DD10"/>
    <w:rsid w:val="4F702753"/>
    <w:rsid w:val="4F80B17A"/>
    <w:rsid w:val="4F8E3077"/>
    <w:rsid w:val="4FC7720C"/>
    <w:rsid w:val="4FDAA4F9"/>
    <w:rsid w:val="5037CAA6"/>
    <w:rsid w:val="5057B658"/>
    <w:rsid w:val="50BF7F46"/>
    <w:rsid w:val="50CDD159"/>
    <w:rsid w:val="50F1C25A"/>
    <w:rsid w:val="51376701"/>
    <w:rsid w:val="51511E82"/>
    <w:rsid w:val="5153E3B2"/>
    <w:rsid w:val="517C50E5"/>
    <w:rsid w:val="51898042"/>
    <w:rsid w:val="51A107A9"/>
    <w:rsid w:val="51ED7497"/>
    <w:rsid w:val="51FB1635"/>
    <w:rsid w:val="521C1C44"/>
    <w:rsid w:val="528DC15D"/>
    <w:rsid w:val="529A5937"/>
    <w:rsid w:val="52A26928"/>
    <w:rsid w:val="52C46110"/>
    <w:rsid w:val="52F33BA7"/>
    <w:rsid w:val="52FEC105"/>
    <w:rsid w:val="53044900"/>
    <w:rsid w:val="53229BC9"/>
    <w:rsid w:val="53397C04"/>
    <w:rsid w:val="534EE677"/>
    <w:rsid w:val="53B39A2E"/>
    <w:rsid w:val="53D32032"/>
    <w:rsid w:val="53F46C21"/>
    <w:rsid w:val="54024C59"/>
    <w:rsid w:val="54B3912A"/>
    <w:rsid w:val="54BAB68E"/>
    <w:rsid w:val="54C17BA2"/>
    <w:rsid w:val="54EF2376"/>
    <w:rsid w:val="552094E4"/>
    <w:rsid w:val="552F56DA"/>
    <w:rsid w:val="553311EF"/>
    <w:rsid w:val="5538DA2C"/>
    <w:rsid w:val="555C5254"/>
    <w:rsid w:val="55640A33"/>
    <w:rsid w:val="559C7A2C"/>
    <w:rsid w:val="55ACD1A0"/>
    <w:rsid w:val="55B7F7DF"/>
    <w:rsid w:val="55E36EAC"/>
    <w:rsid w:val="56AFA43F"/>
    <w:rsid w:val="57067A6C"/>
    <w:rsid w:val="572830EF"/>
    <w:rsid w:val="57471547"/>
    <w:rsid w:val="574B5C7A"/>
    <w:rsid w:val="57933787"/>
    <w:rsid w:val="57E63004"/>
    <w:rsid w:val="58226908"/>
    <w:rsid w:val="58787C4B"/>
    <w:rsid w:val="58963761"/>
    <w:rsid w:val="589E126F"/>
    <w:rsid w:val="58F30316"/>
    <w:rsid w:val="59185BFB"/>
    <w:rsid w:val="593F501C"/>
    <w:rsid w:val="595FA2CB"/>
    <w:rsid w:val="5967565B"/>
    <w:rsid w:val="59B27E80"/>
    <w:rsid w:val="59C24303"/>
    <w:rsid w:val="59D6D748"/>
    <w:rsid w:val="59F092D7"/>
    <w:rsid w:val="5A05D725"/>
    <w:rsid w:val="5A54ED24"/>
    <w:rsid w:val="5A86450E"/>
    <w:rsid w:val="5AAD8D5A"/>
    <w:rsid w:val="5ADD90BE"/>
    <w:rsid w:val="5AE7F4E4"/>
    <w:rsid w:val="5AF2F547"/>
    <w:rsid w:val="5B1E38D7"/>
    <w:rsid w:val="5B8A0E57"/>
    <w:rsid w:val="5B9D8C93"/>
    <w:rsid w:val="5BC1FED2"/>
    <w:rsid w:val="5C66B902"/>
    <w:rsid w:val="5C8F6E82"/>
    <w:rsid w:val="5C951C95"/>
    <w:rsid w:val="5CB076C8"/>
    <w:rsid w:val="5CBCB338"/>
    <w:rsid w:val="5CE47059"/>
    <w:rsid w:val="5D5832E9"/>
    <w:rsid w:val="5D80A09E"/>
    <w:rsid w:val="5DC1C88E"/>
    <w:rsid w:val="5DD8F205"/>
    <w:rsid w:val="5DF2A876"/>
    <w:rsid w:val="5E113BC6"/>
    <w:rsid w:val="5E5D3ABD"/>
    <w:rsid w:val="5E886C71"/>
    <w:rsid w:val="5EAC8237"/>
    <w:rsid w:val="5EACEEBD"/>
    <w:rsid w:val="5EBDDC85"/>
    <w:rsid w:val="5EDF3CAB"/>
    <w:rsid w:val="5EEB7DAA"/>
    <w:rsid w:val="5EFB15F7"/>
    <w:rsid w:val="5F418F92"/>
    <w:rsid w:val="5F8C18FC"/>
    <w:rsid w:val="600E03FD"/>
    <w:rsid w:val="600E51DE"/>
    <w:rsid w:val="6072C2FE"/>
    <w:rsid w:val="6083CB7E"/>
    <w:rsid w:val="60D13CBB"/>
    <w:rsid w:val="611B7D28"/>
    <w:rsid w:val="611FEAE9"/>
    <w:rsid w:val="61D72AA6"/>
    <w:rsid w:val="62129B54"/>
    <w:rsid w:val="6238D218"/>
    <w:rsid w:val="62530AE9"/>
    <w:rsid w:val="628CB478"/>
    <w:rsid w:val="629221DD"/>
    <w:rsid w:val="62946460"/>
    <w:rsid w:val="629DAA93"/>
    <w:rsid w:val="62AD93BA"/>
    <w:rsid w:val="634ADDCB"/>
    <w:rsid w:val="63555756"/>
    <w:rsid w:val="63789F2A"/>
    <w:rsid w:val="63C3C698"/>
    <w:rsid w:val="644E444D"/>
    <w:rsid w:val="647D3DC1"/>
    <w:rsid w:val="648DB467"/>
    <w:rsid w:val="64CA4549"/>
    <w:rsid w:val="652B6CB9"/>
    <w:rsid w:val="654207C3"/>
    <w:rsid w:val="65573E26"/>
    <w:rsid w:val="6571AFB3"/>
    <w:rsid w:val="65AD35BA"/>
    <w:rsid w:val="65C2D45A"/>
    <w:rsid w:val="6657C95B"/>
    <w:rsid w:val="6657D135"/>
    <w:rsid w:val="66AD487C"/>
    <w:rsid w:val="66D0EA00"/>
    <w:rsid w:val="66D9E62A"/>
    <w:rsid w:val="66E8E023"/>
    <w:rsid w:val="66FAD18A"/>
    <w:rsid w:val="670D439F"/>
    <w:rsid w:val="6728F4B3"/>
    <w:rsid w:val="67381D77"/>
    <w:rsid w:val="673BE400"/>
    <w:rsid w:val="673DDF08"/>
    <w:rsid w:val="674879BA"/>
    <w:rsid w:val="6748E972"/>
    <w:rsid w:val="6773DE53"/>
    <w:rsid w:val="67A16D35"/>
    <w:rsid w:val="67A21663"/>
    <w:rsid w:val="67B6BAF7"/>
    <w:rsid w:val="6848B0F8"/>
    <w:rsid w:val="6861710C"/>
    <w:rsid w:val="68B0BA3B"/>
    <w:rsid w:val="68E0347C"/>
    <w:rsid w:val="68E5D504"/>
    <w:rsid w:val="6956685D"/>
    <w:rsid w:val="697BE3D4"/>
    <w:rsid w:val="6990E6F5"/>
    <w:rsid w:val="6994766E"/>
    <w:rsid w:val="699B3EBB"/>
    <w:rsid w:val="699BC72A"/>
    <w:rsid w:val="69A7D5B7"/>
    <w:rsid w:val="69EFA761"/>
    <w:rsid w:val="6A00A46E"/>
    <w:rsid w:val="6A1FB842"/>
    <w:rsid w:val="6A24B353"/>
    <w:rsid w:val="6A2AAF49"/>
    <w:rsid w:val="6A3272BD"/>
    <w:rsid w:val="6AAFA9E0"/>
    <w:rsid w:val="6B122830"/>
    <w:rsid w:val="6B4E3ACE"/>
    <w:rsid w:val="6B925E81"/>
    <w:rsid w:val="6BAD574D"/>
    <w:rsid w:val="6C01BA51"/>
    <w:rsid w:val="6C4E0CC9"/>
    <w:rsid w:val="6C5744B3"/>
    <w:rsid w:val="6C7CD490"/>
    <w:rsid w:val="6C99A978"/>
    <w:rsid w:val="6CA77350"/>
    <w:rsid w:val="6D55DD5D"/>
    <w:rsid w:val="6D5D1AB8"/>
    <w:rsid w:val="6E3B0440"/>
    <w:rsid w:val="6E7E4CC8"/>
    <w:rsid w:val="6EDAD300"/>
    <w:rsid w:val="6EFB1F91"/>
    <w:rsid w:val="6F026FDA"/>
    <w:rsid w:val="6F1CF829"/>
    <w:rsid w:val="6F7B178B"/>
    <w:rsid w:val="6F893927"/>
    <w:rsid w:val="6FA23A0F"/>
    <w:rsid w:val="6FCE3EC6"/>
    <w:rsid w:val="701AB3BD"/>
    <w:rsid w:val="702002E0"/>
    <w:rsid w:val="702E65A5"/>
    <w:rsid w:val="7089642E"/>
    <w:rsid w:val="70971A32"/>
    <w:rsid w:val="709A626A"/>
    <w:rsid w:val="70C13CE7"/>
    <w:rsid w:val="70D79F7D"/>
    <w:rsid w:val="7105BA70"/>
    <w:rsid w:val="7121337A"/>
    <w:rsid w:val="71250A70"/>
    <w:rsid w:val="715B5A8E"/>
    <w:rsid w:val="716B23BD"/>
    <w:rsid w:val="716D6D8F"/>
    <w:rsid w:val="717A561E"/>
    <w:rsid w:val="717D88A7"/>
    <w:rsid w:val="71C0BEA5"/>
    <w:rsid w:val="71D02F15"/>
    <w:rsid w:val="71DD570D"/>
    <w:rsid w:val="721D9B7D"/>
    <w:rsid w:val="723AD576"/>
    <w:rsid w:val="72844682"/>
    <w:rsid w:val="72AC8BD2"/>
    <w:rsid w:val="72BB3D58"/>
    <w:rsid w:val="72C799C1"/>
    <w:rsid w:val="72F24CFF"/>
    <w:rsid w:val="731BA24E"/>
    <w:rsid w:val="732DCFCF"/>
    <w:rsid w:val="73591C85"/>
    <w:rsid w:val="7391038B"/>
    <w:rsid w:val="73AA0683"/>
    <w:rsid w:val="73C1EA55"/>
    <w:rsid w:val="73C929CD"/>
    <w:rsid w:val="73E7CF48"/>
    <w:rsid w:val="73FD3F00"/>
    <w:rsid w:val="73FDDF5B"/>
    <w:rsid w:val="743A5A3D"/>
    <w:rsid w:val="74B50BF6"/>
    <w:rsid w:val="74DECD4E"/>
    <w:rsid w:val="7599F5DA"/>
    <w:rsid w:val="75B5D97D"/>
    <w:rsid w:val="75B9CE48"/>
    <w:rsid w:val="76294D98"/>
    <w:rsid w:val="764DA178"/>
    <w:rsid w:val="7666C5E8"/>
    <w:rsid w:val="7699F50A"/>
    <w:rsid w:val="76F7CA7E"/>
    <w:rsid w:val="77021B20"/>
    <w:rsid w:val="773165EC"/>
    <w:rsid w:val="775CC3FC"/>
    <w:rsid w:val="775F01DD"/>
    <w:rsid w:val="77749767"/>
    <w:rsid w:val="779FDAF1"/>
    <w:rsid w:val="77A7BE65"/>
    <w:rsid w:val="77B642A1"/>
    <w:rsid w:val="77BCB930"/>
    <w:rsid w:val="77FC6CA3"/>
    <w:rsid w:val="78063D85"/>
    <w:rsid w:val="78168F3E"/>
    <w:rsid w:val="782A1B04"/>
    <w:rsid w:val="783B82C8"/>
    <w:rsid w:val="78733BAC"/>
    <w:rsid w:val="78844631"/>
    <w:rsid w:val="78E271BD"/>
    <w:rsid w:val="78E93C4E"/>
    <w:rsid w:val="78FD3C47"/>
    <w:rsid w:val="7931200A"/>
    <w:rsid w:val="797FE8B5"/>
    <w:rsid w:val="79D27108"/>
    <w:rsid w:val="79E941EA"/>
    <w:rsid w:val="7A3DE86F"/>
    <w:rsid w:val="7A40AD43"/>
    <w:rsid w:val="7A91949A"/>
    <w:rsid w:val="7AD150D7"/>
    <w:rsid w:val="7AD6838E"/>
    <w:rsid w:val="7AD7DAEC"/>
    <w:rsid w:val="7AE87CC2"/>
    <w:rsid w:val="7B180F93"/>
    <w:rsid w:val="7B1B6DA9"/>
    <w:rsid w:val="7B1CBA6E"/>
    <w:rsid w:val="7B349606"/>
    <w:rsid w:val="7C63B7C1"/>
    <w:rsid w:val="7C73E7A8"/>
    <w:rsid w:val="7C7878ED"/>
    <w:rsid w:val="7C963A9C"/>
    <w:rsid w:val="7CB984AF"/>
    <w:rsid w:val="7CDEBC17"/>
    <w:rsid w:val="7D1F8CE6"/>
    <w:rsid w:val="7D37E079"/>
    <w:rsid w:val="7D61AEBC"/>
    <w:rsid w:val="7D80AAA8"/>
    <w:rsid w:val="7D89D7CF"/>
    <w:rsid w:val="7D98DA3E"/>
    <w:rsid w:val="7DAC400C"/>
    <w:rsid w:val="7E073A54"/>
    <w:rsid w:val="7E303FD3"/>
    <w:rsid w:val="7E3EF267"/>
    <w:rsid w:val="7E6B0BFA"/>
    <w:rsid w:val="7E703695"/>
    <w:rsid w:val="7E77EEEF"/>
    <w:rsid w:val="7E784689"/>
    <w:rsid w:val="7E880AF1"/>
    <w:rsid w:val="7E9A54A9"/>
    <w:rsid w:val="7EB4AA89"/>
    <w:rsid w:val="7F179A50"/>
    <w:rsid w:val="7F47C472"/>
    <w:rsid w:val="7FA82C29"/>
    <w:rsid w:val="7FC15486"/>
    <w:rsid w:val="7FC7E3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rsid w:val="00A65A7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ES Paragraph,PBAC ES Paragraph,PBAC normal points,Bullet List,L,Bullet Point,Bulletr List Paragraph,l"/>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uiPriority w:val="99"/>
    <w:rsid w:val="00BB7EC3"/>
    <w:rPr>
      <w:sz w:val="20"/>
      <w:szCs w:val="20"/>
    </w:rPr>
  </w:style>
  <w:style w:type="character" w:customStyle="1" w:styleId="CommentTextChar">
    <w:name w:val="Comment Text Char"/>
    <w:basedOn w:val="DefaultParagraphFont"/>
    <w:link w:val="CommentText"/>
    <w:uiPriority w:val="99"/>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L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1"/>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3"/>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4"/>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cf01">
    <w:name w:val="cf01"/>
    <w:basedOn w:val="DefaultParagraphFont"/>
    <w:rsid w:val="00170C4D"/>
    <w:rPr>
      <w:rFonts w:ascii="Segoe UI" w:hAnsi="Segoe UI" w:cs="Segoe UI" w:hint="default"/>
      <w:sz w:val="18"/>
      <w:szCs w:val="18"/>
    </w:rPr>
  </w:style>
  <w:style w:type="paragraph" w:customStyle="1" w:styleId="4Bodytextnumbered">
    <w:name w:val="4. Body text numbered"/>
    <w:basedOn w:val="ListParagraph"/>
    <w:qFormat/>
    <w:rsid w:val="00A211AB"/>
    <w:pPr>
      <w:ind w:left="720" w:hanging="720"/>
      <w:jc w:val="both"/>
    </w:pPr>
    <w:rPr>
      <w:rFonts w:eastAsiaTheme="minorHAnsi" w:cstheme="minorBidi"/>
      <w:snapToGrid/>
      <w:szCs w:val="22"/>
      <w:lang w:eastAsia="en-US"/>
    </w:rPr>
  </w:style>
  <w:style w:type="paragraph" w:customStyle="1" w:styleId="3Subheading1">
    <w:name w:val="3. Subheading 1"/>
    <w:basedOn w:val="Heading2"/>
    <w:link w:val="3Subheading1Char"/>
    <w:qFormat/>
    <w:rsid w:val="005252CF"/>
    <w:pPr>
      <w:spacing w:before="120" w:after="120"/>
    </w:pPr>
    <w:rPr>
      <w:rFonts w:asciiTheme="minorHAnsi" w:hAnsiTheme="minorHAnsi" w:cstheme="minorHAnsi"/>
      <w:sz w:val="24"/>
    </w:rPr>
  </w:style>
  <w:style w:type="character" w:customStyle="1" w:styleId="3Subheading1Char">
    <w:name w:val="3. Subheading 1 Char"/>
    <w:basedOn w:val="DefaultParagraphFont"/>
    <w:link w:val="3Subheading1"/>
    <w:rsid w:val="005252CF"/>
    <w:rPr>
      <w:rFonts w:asciiTheme="minorHAnsi" w:hAnsiTheme="minorHAnsi" w:cstheme="minorHAnsi"/>
      <w:b/>
      <w:i/>
      <w:sz w:val="24"/>
      <w:szCs w:val="24"/>
    </w:rPr>
  </w:style>
  <w:style w:type="paragraph" w:styleId="FootnoteText">
    <w:name w:val="footnote text"/>
    <w:basedOn w:val="Normal"/>
    <w:link w:val="FootnoteTextChar"/>
    <w:uiPriority w:val="99"/>
    <w:semiHidden/>
    <w:unhideWhenUsed/>
    <w:rsid w:val="00893DD8"/>
    <w:rPr>
      <w:sz w:val="20"/>
      <w:szCs w:val="20"/>
    </w:rPr>
  </w:style>
  <w:style w:type="character" w:customStyle="1" w:styleId="FootnoteTextChar">
    <w:name w:val="Footnote Text Char"/>
    <w:basedOn w:val="DefaultParagraphFont"/>
    <w:link w:val="FootnoteText"/>
    <w:uiPriority w:val="99"/>
    <w:semiHidden/>
    <w:rsid w:val="00893DD8"/>
    <w:rPr>
      <w:rFonts w:ascii="Calibri" w:hAnsi="Calibri"/>
    </w:rPr>
  </w:style>
  <w:style w:type="character" w:styleId="FootnoteReference">
    <w:name w:val="footnote reference"/>
    <w:basedOn w:val="DefaultParagraphFont"/>
    <w:uiPriority w:val="99"/>
    <w:semiHidden/>
    <w:unhideWhenUsed/>
    <w:rsid w:val="00893DD8"/>
    <w:rPr>
      <w:vertAlign w:val="superscript"/>
    </w:rPr>
  </w:style>
  <w:style w:type="paragraph" w:customStyle="1" w:styleId="COMH1-numbered">
    <w:name w:val="COM H1 - numbered"/>
    <w:next w:val="COMexecsummnumbered"/>
    <w:qFormat/>
    <w:rsid w:val="00FE7810"/>
    <w:pPr>
      <w:keepNext/>
      <w:spacing w:before="240" w:after="120"/>
      <w:ind w:left="720" w:hanging="720"/>
      <w:outlineLvl w:val="0"/>
    </w:pPr>
    <w:rPr>
      <w:rFonts w:asciiTheme="minorHAnsi" w:hAnsiTheme="minorHAnsi" w:cs="Arial"/>
      <w:b/>
      <w:snapToGrid w:val="0"/>
      <w:sz w:val="32"/>
      <w:szCs w:val="32"/>
    </w:rPr>
  </w:style>
  <w:style w:type="paragraph" w:customStyle="1" w:styleId="COMexecsummnumbered">
    <w:name w:val="COM exec summ numbered"/>
    <w:qFormat/>
    <w:rsid w:val="00FE7810"/>
    <w:pPr>
      <w:spacing w:before="60" w:after="60"/>
      <w:ind w:left="720" w:hanging="720"/>
      <w:jc w:val="both"/>
    </w:pPr>
    <w:rPr>
      <w:rFonts w:asciiTheme="minorHAnsi" w:eastAsiaTheme="minorHAnsi" w:hAnsiTheme="minorHAnsi" w:cstheme="minorBidi"/>
      <w:sz w:val="24"/>
      <w:szCs w:val="22"/>
    </w:rPr>
  </w:style>
  <w:style w:type="character" w:customStyle="1" w:styleId="Heading4Char">
    <w:name w:val="Heading 4 Char"/>
    <w:basedOn w:val="DefaultParagraphFont"/>
    <w:link w:val="Heading4"/>
    <w:semiHidden/>
    <w:rsid w:val="00A65A7C"/>
    <w:rPr>
      <w:rFonts w:asciiTheme="majorHAnsi" w:eastAsiaTheme="majorEastAsia" w:hAnsiTheme="majorHAnsi" w:cstheme="majorBidi"/>
      <w:i/>
      <w:iCs/>
      <w:color w:val="365F91" w:themeColor="accent1" w:themeShade="BF"/>
      <w:sz w:val="24"/>
      <w:szCs w:val="24"/>
    </w:rPr>
  </w:style>
  <w:style w:type="paragraph" w:customStyle="1" w:styleId="AIHWbodytext">
    <w:name w:val="AIHW body text"/>
    <w:basedOn w:val="Normal"/>
    <w:link w:val="AIHWbodytextChar"/>
    <w:qFormat/>
    <w:rsid w:val="00A65A7C"/>
    <w:pPr>
      <w:spacing w:before="120" w:after="120" w:line="260" w:lineRule="atLeast"/>
      <w:jc w:val="left"/>
    </w:pPr>
    <w:rPr>
      <w:rFonts w:ascii="Arial" w:hAnsi="Arial"/>
      <w:sz w:val="22"/>
      <w:szCs w:val="20"/>
      <w:lang w:eastAsia="en-US"/>
    </w:rPr>
  </w:style>
  <w:style w:type="character" w:customStyle="1" w:styleId="AIHWbodytextChar">
    <w:name w:val="AIHW body text Char"/>
    <w:link w:val="AIHWbodytext"/>
    <w:locked/>
    <w:rsid w:val="00A65A7C"/>
    <w:rPr>
      <w:rFonts w:ascii="Arial" w:hAnsi="Arial"/>
      <w:sz w:val="22"/>
      <w:lang w:eastAsia="en-US"/>
    </w:rPr>
  </w:style>
  <w:style w:type="character" w:styleId="PlaceholderText">
    <w:name w:val="Placeholder Text"/>
    <w:basedOn w:val="DefaultParagraphFont"/>
    <w:uiPriority w:val="99"/>
    <w:unhideWhenUsed/>
    <w:rsid w:val="00B34003"/>
    <w:rPr>
      <w:color w:val="666666"/>
    </w:rPr>
  </w:style>
  <w:style w:type="paragraph" w:styleId="NormalWeb">
    <w:name w:val="Normal (Web)"/>
    <w:basedOn w:val="Normal"/>
    <w:uiPriority w:val="99"/>
    <w:semiHidden/>
    <w:unhideWhenUsed/>
    <w:rsid w:val="001367EC"/>
    <w:pPr>
      <w:spacing w:before="100" w:beforeAutospacing="1" w:after="100" w:afterAutospacing="1"/>
      <w:jc w:val="left"/>
    </w:pPr>
    <w:rPr>
      <w:rFonts w:ascii="Times New Roman" w:hAnsi="Times New Roman"/>
    </w:rPr>
  </w:style>
  <w:style w:type="paragraph" w:customStyle="1" w:styleId="paragraph">
    <w:name w:val="paragraph"/>
    <w:basedOn w:val="Normal"/>
    <w:rsid w:val="00254257"/>
    <w:pPr>
      <w:spacing w:before="100" w:beforeAutospacing="1" w:after="100" w:afterAutospacing="1"/>
      <w:jc w:val="left"/>
    </w:pPr>
    <w:rPr>
      <w:rFonts w:ascii="Times New Roman" w:hAnsi="Times New Roman"/>
    </w:rPr>
  </w:style>
  <w:style w:type="character" w:customStyle="1" w:styleId="normaltextrun">
    <w:name w:val="normaltextrun"/>
    <w:basedOn w:val="DefaultParagraphFont"/>
    <w:rsid w:val="00254257"/>
  </w:style>
  <w:style w:type="character" w:customStyle="1" w:styleId="scxw233242147">
    <w:name w:val="scxw233242147"/>
    <w:basedOn w:val="DefaultParagraphFont"/>
    <w:rsid w:val="00254257"/>
  </w:style>
  <w:style w:type="character" w:customStyle="1" w:styleId="eop">
    <w:name w:val="eop"/>
    <w:basedOn w:val="DefaultParagraphFont"/>
    <w:rsid w:val="00254257"/>
  </w:style>
  <w:style w:type="character" w:styleId="Strong">
    <w:name w:val="Strong"/>
    <w:basedOn w:val="DefaultParagraphFont"/>
    <w:uiPriority w:val="22"/>
    <w:qFormat/>
    <w:rsid w:val="00254257"/>
    <w:rPr>
      <w:b/>
      <w:bCs/>
    </w:rPr>
  </w:style>
  <w:style w:type="character" w:styleId="Mention">
    <w:name w:val="Mention"/>
    <w:basedOn w:val="DefaultParagraphFont"/>
    <w:uiPriority w:val="99"/>
    <w:unhideWhenUsed/>
    <w:rsid w:val="003B0AD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0408">
      <w:bodyDiv w:val="1"/>
      <w:marLeft w:val="0"/>
      <w:marRight w:val="0"/>
      <w:marTop w:val="0"/>
      <w:marBottom w:val="0"/>
      <w:divBdr>
        <w:top w:val="none" w:sz="0" w:space="0" w:color="auto"/>
        <w:left w:val="none" w:sz="0" w:space="0" w:color="auto"/>
        <w:bottom w:val="none" w:sz="0" w:space="0" w:color="auto"/>
        <w:right w:val="none" w:sz="0" w:space="0" w:color="auto"/>
      </w:divBdr>
    </w:div>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95903186">
      <w:bodyDiv w:val="1"/>
      <w:marLeft w:val="0"/>
      <w:marRight w:val="0"/>
      <w:marTop w:val="0"/>
      <w:marBottom w:val="0"/>
      <w:divBdr>
        <w:top w:val="none" w:sz="0" w:space="0" w:color="auto"/>
        <w:left w:val="none" w:sz="0" w:space="0" w:color="auto"/>
        <w:bottom w:val="none" w:sz="0" w:space="0" w:color="auto"/>
        <w:right w:val="none" w:sz="0" w:space="0" w:color="auto"/>
      </w:divBdr>
      <w:divsChild>
        <w:div w:id="988366303">
          <w:marLeft w:val="0"/>
          <w:marRight w:val="0"/>
          <w:marTop w:val="0"/>
          <w:marBottom w:val="0"/>
          <w:divBdr>
            <w:top w:val="none" w:sz="0" w:space="0" w:color="auto"/>
            <w:left w:val="none" w:sz="0" w:space="0" w:color="auto"/>
            <w:bottom w:val="none" w:sz="0" w:space="0" w:color="auto"/>
            <w:right w:val="none" w:sz="0" w:space="0" w:color="auto"/>
          </w:divBdr>
          <w:divsChild>
            <w:div w:id="209728043">
              <w:marLeft w:val="0"/>
              <w:marRight w:val="0"/>
              <w:marTop w:val="0"/>
              <w:marBottom w:val="0"/>
              <w:divBdr>
                <w:top w:val="none" w:sz="0" w:space="0" w:color="auto"/>
                <w:left w:val="none" w:sz="0" w:space="0" w:color="auto"/>
                <w:bottom w:val="none" w:sz="0" w:space="0" w:color="auto"/>
                <w:right w:val="none" w:sz="0" w:space="0" w:color="auto"/>
              </w:divBdr>
            </w:div>
            <w:div w:id="265579962">
              <w:marLeft w:val="0"/>
              <w:marRight w:val="0"/>
              <w:marTop w:val="0"/>
              <w:marBottom w:val="0"/>
              <w:divBdr>
                <w:top w:val="none" w:sz="0" w:space="0" w:color="auto"/>
                <w:left w:val="none" w:sz="0" w:space="0" w:color="auto"/>
                <w:bottom w:val="none" w:sz="0" w:space="0" w:color="auto"/>
                <w:right w:val="none" w:sz="0" w:space="0" w:color="auto"/>
              </w:divBdr>
            </w:div>
            <w:div w:id="362439649">
              <w:marLeft w:val="0"/>
              <w:marRight w:val="0"/>
              <w:marTop w:val="0"/>
              <w:marBottom w:val="0"/>
              <w:divBdr>
                <w:top w:val="none" w:sz="0" w:space="0" w:color="auto"/>
                <w:left w:val="none" w:sz="0" w:space="0" w:color="auto"/>
                <w:bottom w:val="none" w:sz="0" w:space="0" w:color="auto"/>
                <w:right w:val="none" w:sz="0" w:space="0" w:color="auto"/>
              </w:divBdr>
            </w:div>
            <w:div w:id="378824859">
              <w:marLeft w:val="0"/>
              <w:marRight w:val="0"/>
              <w:marTop w:val="0"/>
              <w:marBottom w:val="0"/>
              <w:divBdr>
                <w:top w:val="none" w:sz="0" w:space="0" w:color="auto"/>
                <w:left w:val="none" w:sz="0" w:space="0" w:color="auto"/>
                <w:bottom w:val="none" w:sz="0" w:space="0" w:color="auto"/>
                <w:right w:val="none" w:sz="0" w:space="0" w:color="auto"/>
              </w:divBdr>
            </w:div>
            <w:div w:id="456729163">
              <w:marLeft w:val="0"/>
              <w:marRight w:val="0"/>
              <w:marTop w:val="0"/>
              <w:marBottom w:val="0"/>
              <w:divBdr>
                <w:top w:val="none" w:sz="0" w:space="0" w:color="auto"/>
                <w:left w:val="none" w:sz="0" w:space="0" w:color="auto"/>
                <w:bottom w:val="none" w:sz="0" w:space="0" w:color="auto"/>
                <w:right w:val="none" w:sz="0" w:space="0" w:color="auto"/>
              </w:divBdr>
            </w:div>
            <w:div w:id="900334593">
              <w:marLeft w:val="0"/>
              <w:marRight w:val="0"/>
              <w:marTop w:val="0"/>
              <w:marBottom w:val="0"/>
              <w:divBdr>
                <w:top w:val="none" w:sz="0" w:space="0" w:color="auto"/>
                <w:left w:val="none" w:sz="0" w:space="0" w:color="auto"/>
                <w:bottom w:val="none" w:sz="0" w:space="0" w:color="auto"/>
                <w:right w:val="none" w:sz="0" w:space="0" w:color="auto"/>
              </w:divBdr>
            </w:div>
            <w:div w:id="951520273">
              <w:marLeft w:val="0"/>
              <w:marRight w:val="0"/>
              <w:marTop w:val="0"/>
              <w:marBottom w:val="0"/>
              <w:divBdr>
                <w:top w:val="none" w:sz="0" w:space="0" w:color="auto"/>
                <w:left w:val="none" w:sz="0" w:space="0" w:color="auto"/>
                <w:bottom w:val="none" w:sz="0" w:space="0" w:color="auto"/>
                <w:right w:val="none" w:sz="0" w:space="0" w:color="auto"/>
              </w:divBdr>
            </w:div>
            <w:div w:id="1038972594">
              <w:marLeft w:val="0"/>
              <w:marRight w:val="0"/>
              <w:marTop w:val="0"/>
              <w:marBottom w:val="0"/>
              <w:divBdr>
                <w:top w:val="none" w:sz="0" w:space="0" w:color="auto"/>
                <w:left w:val="none" w:sz="0" w:space="0" w:color="auto"/>
                <w:bottom w:val="none" w:sz="0" w:space="0" w:color="auto"/>
                <w:right w:val="none" w:sz="0" w:space="0" w:color="auto"/>
              </w:divBdr>
            </w:div>
            <w:div w:id="1101997837">
              <w:marLeft w:val="0"/>
              <w:marRight w:val="0"/>
              <w:marTop w:val="0"/>
              <w:marBottom w:val="0"/>
              <w:divBdr>
                <w:top w:val="none" w:sz="0" w:space="0" w:color="auto"/>
                <w:left w:val="none" w:sz="0" w:space="0" w:color="auto"/>
                <w:bottom w:val="none" w:sz="0" w:space="0" w:color="auto"/>
                <w:right w:val="none" w:sz="0" w:space="0" w:color="auto"/>
              </w:divBdr>
            </w:div>
            <w:div w:id="1367561012">
              <w:marLeft w:val="0"/>
              <w:marRight w:val="0"/>
              <w:marTop w:val="0"/>
              <w:marBottom w:val="0"/>
              <w:divBdr>
                <w:top w:val="none" w:sz="0" w:space="0" w:color="auto"/>
                <w:left w:val="none" w:sz="0" w:space="0" w:color="auto"/>
                <w:bottom w:val="none" w:sz="0" w:space="0" w:color="auto"/>
                <w:right w:val="none" w:sz="0" w:space="0" w:color="auto"/>
              </w:divBdr>
            </w:div>
            <w:div w:id="1400009843">
              <w:marLeft w:val="0"/>
              <w:marRight w:val="0"/>
              <w:marTop w:val="0"/>
              <w:marBottom w:val="0"/>
              <w:divBdr>
                <w:top w:val="none" w:sz="0" w:space="0" w:color="auto"/>
                <w:left w:val="none" w:sz="0" w:space="0" w:color="auto"/>
                <w:bottom w:val="none" w:sz="0" w:space="0" w:color="auto"/>
                <w:right w:val="none" w:sz="0" w:space="0" w:color="auto"/>
              </w:divBdr>
            </w:div>
            <w:div w:id="2009478984">
              <w:marLeft w:val="0"/>
              <w:marRight w:val="0"/>
              <w:marTop w:val="0"/>
              <w:marBottom w:val="0"/>
              <w:divBdr>
                <w:top w:val="none" w:sz="0" w:space="0" w:color="auto"/>
                <w:left w:val="none" w:sz="0" w:space="0" w:color="auto"/>
                <w:bottom w:val="none" w:sz="0" w:space="0" w:color="auto"/>
                <w:right w:val="none" w:sz="0" w:space="0" w:color="auto"/>
              </w:divBdr>
            </w:div>
            <w:div w:id="2113428294">
              <w:marLeft w:val="0"/>
              <w:marRight w:val="0"/>
              <w:marTop w:val="0"/>
              <w:marBottom w:val="0"/>
              <w:divBdr>
                <w:top w:val="none" w:sz="0" w:space="0" w:color="auto"/>
                <w:left w:val="none" w:sz="0" w:space="0" w:color="auto"/>
                <w:bottom w:val="none" w:sz="0" w:space="0" w:color="auto"/>
                <w:right w:val="none" w:sz="0" w:space="0" w:color="auto"/>
              </w:divBdr>
            </w:div>
            <w:div w:id="2123105884">
              <w:marLeft w:val="0"/>
              <w:marRight w:val="0"/>
              <w:marTop w:val="0"/>
              <w:marBottom w:val="0"/>
              <w:divBdr>
                <w:top w:val="none" w:sz="0" w:space="0" w:color="auto"/>
                <w:left w:val="none" w:sz="0" w:space="0" w:color="auto"/>
                <w:bottom w:val="none" w:sz="0" w:space="0" w:color="auto"/>
                <w:right w:val="none" w:sz="0" w:space="0" w:color="auto"/>
              </w:divBdr>
            </w:div>
          </w:divsChild>
        </w:div>
        <w:div w:id="1690640466">
          <w:marLeft w:val="0"/>
          <w:marRight w:val="0"/>
          <w:marTop w:val="0"/>
          <w:marBottom w:val="0"/>
          <w:divBdr>
            <w:top w:val="none" w:sz="0" w:space="0" w:color="auto"/>
            <w:left w:val="none" w:sz="0" w:space="0" w:color="auto"/>
            <w:bottom w:val="none" w:sz="0" w:space="0" w:color="auto"/>
            <w:right w:val="none" w:sz="0" w:space="0" w:color="auto"/>
          </w:divBdr>
          <w:divsChild>
            <w:div w:id="15430542">
              <w:marLeft w:val="0"/>
              <w:marRight w:val="0"/>
              <w:marTop w:val="0"/>
              <w:marBottom w:val="0"/>
              <w:divBdr>
                <w:top w:val="none" w:sz="0" w:space="0" w:color="auto"/>
                <w:left w:val="none" w:sz="0" w:space="0" w:color="auto"/>
                <w:bottom w:val="none" w:sz="0" w:space="0" w:color="auto"/>
                <w:right w:val="none" w:sz="0" w:space="0" w:color="auto"/>
              </w:divBdr>
            </w:div>
            <w:div w:id="462307075">
              <w:marLeft w:val="0"/>
              <w:marRight w:val="0"/>
              <w:marTop w:val="0"/>
              <w:marBottom w:val="0"/>
              <w:divBdr>
                <w:top w:val="none" w:sz="0" w:space="0" w:color="auto"/>
                <w:left w:val="none" w:sz="0" w:space="0" w:color="auto"/>
                <w:bottom w:val="none" w:sz="0" w:space="0" w:color="auto"/>
                <w:right w:val="none" w:sz="0" w:space="0" w:color="auto"/>
              </w:divBdr>
            </w:div>
            <w:div w:id="478815183">
              <w:marLeft w:val="0"/>
              <w:marRight w:val="0"/>
              <w:marTop w:val="0"/>
              <w:marBottom w:val="0"/>
              <w:divBdr>
                <w:top w:val="none" w:sz="0" w:space="0" w:color="auto"/>
                <w:left w:val="none" w:sz="0" w:space="0" w:color="auto"/>
                <w:bottom w:val="none" w:sz="0" w:space="0" w:color="auto"/>
                <w:right w:val="none" w:sz="0" w:space="0" w:color="auto"/>
              </w:divBdr>
            </w:div>
            <w:div w:id="742876656">
              <w:marLeft w:val="0"/>
              <w:marRight w:val="0"/>
              <w:marTop w:val="0"/>
              <w:marBottom w:val="0"/>
              <w:divBdr>
                <w:top w:val="none" w:sz="0" w:space="0" w:color="auto"/>
                <w:left w:val="none" w:sz="0" w:space="0" w:color="auto"/>
                <w:bottom w:val="none" w:sz="0" w:space="0" w:color="auto"/>
                <w:right w:val="none" w:sz="0" w:space="0" w:color="auto"/>
              </w:divBdr>
            </w:div>
            <w:div w:id="871189516">
              <w:marLeft w:val="0"/>
              <w:marRight w:val="0"/>
              <w:marTop w:val="0"/>
              <w:marBottom w:val="0"/>
              <w:divBdr>
                <w:top w:val="none" w:sz="0" w:space="0" w:color="auto"/>
                <w:left w:val="none" w:sz="0" w:space="0" w:color="auto"/>
                <w:bottom w:val="none" w:sz="0" w:space="0" w:color="auto"/>
                <w:right w:val="none" w:sz="0" w:space="0" w:color="auto"/>
              </w:divBdr>
            </w:div>
            <w:div w:id="1390230189">
              <w:marLeft w:val="0"/>
              <w:marRight w:val="0"/>
              <w:marTop w:val="0"/>
              <w:marBottom w:val="0"/>
              <w:divBdr>
                <w:top w:val="none" w:sz="0" w:space="0" w:color="auto"/>
                <w:left w:val="none" w:sz="0" w:space="0" w:color="auto"/>
                <w:bottom w:val="none" w:sz="0" w:space="0" w:color="auto"/>
                <w:right w:val="none" w:sz="0" w:space="0" w:color="auto"/>
              </w:divBdr>
            </w:div>
            <w:div w:id="1488012602">
              <w:marLeft w:val="0"/>
              <w:marRight w:val="0"/>
              <w:marTop w:val="0"/>
              <w:marBottom w:val="0"/>
              <w:divBdr>
                <w:top w:val="none" w:sz="0" w:space="0" w:color="auto"/>
                <w:left w:val="none" w:sz="0" w:space="0" w:color="auto"/>
                <w:bottom w:val="none" w:sz="0" w:space="0" w:color="auto"/>
                <w:right w:val="none" w:sz="0" w:space="0" w:color="auto"/>
              </w:divBdr>
            </w:div>
            <w:div w:id="1511870050">
              <w:marLeft w:val="0"/>
              <w:marRight w:val="0"/>
              <w:marTop w:val="0"/>
              <w:marBottom w:val="0"/>
              <w:divBdr>
                <w:top w:val="none" w:sz="0" w:space="0" w:color="auto"/>
                <w:left w:val="none" w:sz="0" w:space="0" w:color="auto"/>
                <w:bottom w:val="none" w:sz="0" w:space="0" w:color="auto"/>
                <w:right w:val="none" w:sz="0" w:space="0" w:color="auto"/>
              </w:divBdr>
            </w:div>
            <w:div w:id="1926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7048">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274141217">
      <w:bodyDiv w:val="1"/>
      <w:marLeft w:val="0"/>
      <w:marRight w:val="0"/>
      <w:marTop w:val="0"/>
      <w:marBottom w:val="0"/>
      <w:divBdr>
        <w:top w:val="none" w:sz="0" w:space="0" w:color="auto"/>
        <w:left w:val="none" w:sz="0" w:space="0" w:color="auto"/>
        <w:bottom w:val="none" w:sz="0" w:space="0" w:color="auto"/>
        <w:right w:val="none" w:sz="0" w:space="0" w:color="auto"/>
      </w:divBdr>
    </w:div>
    <w:div w:id="326447054">
      <w:bodyDiv w:val="1"/>
      <w:marLeft w:val="0"/>
      <w:marRight w:val="0"/>
      <w:marTop w:val="0"/>
      <w:marBottom w:val="0"/>
      <w:divBdr>
        <w:top w:val="none" w:sz="0" w:space="0" w:color="auto"/>
        <w:left w:val="none" w:sz="0" w:space="0" w:color="auto"/>
        <w:bottom w:val="none" w:sz="0" w:space="0" w:color="auto"/>
        <w:right w:val="none" w:sz="0" w:space="0" w:color="auto"/>
      </w:divBdr>
    </w:div>
    <w:div w:id="366443427">
      <w:bodyDiv w:val="1"/>
      <w:marLeft w:val="0"/>
      <w:marRight w:val="0"/>
      <w:marTop w:val="0"/>
      <w:marBottom w:val="0"/>
      <w:divBdr>
        <w:top w:val="none" w:sz="0" w:space="0" w:color="auto"/>
        <w:left w:val="none" w:sz="0" w:space="0" w:color="auto"/>
        <w:bottom w:val="none" w:sz="0" w:space="0" w:color="auto"/>
        <w:right w:val="none" w:sz="0" w:space="0" w:color="auto"/>
      </w:divBdr>
    </w:div>
    <w:div w:id="384260315">
      <w:bodyDiv w:val="1"/>
      <w:marLeft w:val="0"/>
      <w:marRight w:val="0"/>
      <w:marTop w:val="0"/>
      <w:marBottom w:val="0"/>
      <w:divBdr>
        <w:top w:val="none" w:sz="0" w:space="0" w:color="auto"/>
        <w:left w:val="none" w:sz="0" w:space="0" w:color="auto"/>
        <w:bottom w:val="none" w:sz="0" w:space="0" w:color="auto"/>
        <w:right w:val="none" w:sz="0" w:space="0" w:color="auto"/>
      </w:divBdr>
    </w:div>
    <w:div w:id="403184464">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42656284">
      <w:bodyDiv w:val="1"/>
      <w:marLeft w:val="0"/>
      <w:marRight w:val="0"/>
      <w:marTop w:val="0"/>
      <w:marBottom w:val="0"/>
      <w:divBdr>
        <w:top w:val="none" w:sz="0" w:space="0" w:color="auto"/>
        <w:left w:val="none" w:sz="0" w:space="0" w:color="auto"/>
        <w:bottom w:val="none" w:sz="0" w:space="0" w:color="auto"/>
        <w:right w:val="none" w:sz="0" w:space="0" w:color="auto"/>
      </w:divBdr>
    </w:div>
    <w:div w:id="451556976">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525752526">
      <w:bodyDiv w:val="1"/>
      <w:marLeft w:val="0"/>
      <w:marRight w:val="0"/>
      <w:marTop w:val="0"/>
      <w:marBottom w:val="0"/>
      <w:divBdr>
        <w:top w:val="none" w:sz="0" w:space="0" w:color="auto"/>
        <w:left w:val="none" w:sz="0" w:space="0" w:color="auto"/>
        <w:bottom w:val="none" w:sz="0" w:space="0" w:color="auto"/>
        <w:right w:val="none" w:sz="0" w:space="0" w:color="auto"/>
      </w:divBdr>
    </w:div>
    <w:div w:id="526068973">
      <w:bodyDiv w:val="1"/>
      <w:marLeft w:val="0"/>
      <w:marRight w:val="0"/>
      <w:marTop w:val="0"/>
      <w:marBottom w:val="0"/>
      <w:divBdr>
        <w:top w:val="none" w:sz="0" w:space="0" w:color="auto"/>
        <w:left w:val="none" w:sz="0" w:space="0" w:color="auto"/>
        <w:bottom w:val="none" w:sz="0" w:space="0" w:color="auto"/>
        <w:right w:val="none" w:sz="0" w:space="0" w:color="auto"/>
      </w:divBdr>
    </w:div>
    <w:div w:id="568614006">
      <w:bodyDiv w:val="1"/>
      <w:marLeft w:val="0"/>
      <w:marRight w:val="0"/>
      <w:marTop w:val="0"/>
      <w:marBottom w:val="0"/>
      <w:divBdr>
        <w:top w:val="none" w:sz="0" w:space="0" w:color="auto"/>
        <w:left w:val="none" w:sz="0" w:space="0" w:color="auto"/>
        <w:bottom w:val="none" w:sz="0" w:space="0" w:color="auto"/>
        <w:right w:val="none" w:sz="0" w:space="0" w:color="auto"/>
      </w:divBdr>
    </w:div>
    <w:div w:id="611477227">
      <w:bodyDiv w:val="1"/>
      <w:marLeft w:val="0"/>
      <w:marRight w:val="0"/>
      <w:marTop w:val="0"/>
      <w:marBottom w:val="0"/>
      <w:divBdr>
        <w:top w:val="none" w:sz="0" w:space="0" w:color="auto"/>
        <w:left w:val="none" w:sz="0" w:space="0" w:color="auto"/>
        <w:bottom w:val="none" w:sz="0" w:space="0" w:color="auto"/>
        <w:right w:val="none" w:sz="0" w:space="0" w:color="auto"/>
      </w:divBdr>
    </w:div>
    <w:div w:id="668338026">
      <w:bodyDiv w:val="1"/>
      <w:marLeft w:val="0"/>
      <w:marRight w:val="0"/>
      <w:marTop w:val="0"/>
      <w:marBottom w:val="0"/>
      <w:divBdr>
        <w:top w:val="none" w:sz="0" w:space="0" w:color="auto"/>
        <w:left w:val="none" w:sz="0" w:space="0" w:color="auto"/>
        <w:bottom w:val="none" w:sz="0" w:space="0" w:color="auto"/>
        <w:right w:val="none" w:sz="0" w:space="0" w:color="auto"/>
      </w:divBdr>
    </w:div>
    <w:div w:id="679046529">
      <w:bodyDiv w:val="1"/>
      <w:marLeft w:val="0"/>
      <w:marRight w:val="0"/>
      <w:marTop w:val="0"/>
      <w:marBottom w:val="0"/>
      <w:divBdr>
        <w:top w:val="none" w:sz="0" w:space="0" w:color="auto"/>
        <w:left w:val="none" w:sz="0" w:space="0" w:color="auto"/>
        <w:bottom w:val="none" w:sz="0" w:space="0" w:color="auto"/>
        <w:right w:val="none" w:sz="0" w:space="0" w:color="auto"/>
      </w:divBdr>
    </w:div>
    <w:div w:id="680937708">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852036380">
      <w:bodyDiv w:val="1"/>
      <w:marLeft w:val="0"/>
      <w:marRight w:val="0"/>
      <w:marTop w:val="0"/>
      <w:marBottom w:val="0"/>
      <w:divBdr>
        <w:top w:val="none" w:sz="0" w:space="0" w:color="auto"/>
        <w:left w:val="none" w:sz="0" w:space="0" w:color="auto"/>
        <w:bottom w:val="none" w:sz="0" w:space="0" w:color="auto"/>
        <w:right w:val="none" w:sz="0" w:space="0" w:color="auto"/>
      </w:divBdr>
      <w:divsChild>
        <w:div w:id="290792915">
          <w:marLeft w:val="0"/>
          <w:marRight w:val="0"/>
          <w:marTop w:val="0"/>
          <w:marBottom w:val="0"/>
          <w:divBdr>
            <w:top w:val="none" w:sz="0" w:space="0" w:color="auto"/>
            <w:left w:val="none" w:sz="0" w:space="0" w:color="auto"/>
            <w:bottom w:val="none" w:sz="0" w:space="0" w:color="auto"/>
            <w:right w:val="none" w:sz="0" w:space="0" w:color="auto"/>
          </w:divBdr>
        </w:div>
        <w:div w:id="610286983">
          <w:marLeft w:val="0"/>
          <w:marRight w:val="0"/>
          <w:marTop w:val="0"/>
          <w:marBottom w:val="0"/>
          <w:divBdr>
            <w:top w:val="none" w:sz="0" w:space="0" w:color="auto"/>
            <w:left w:val="none" w:sz="0" w:space="0" w:color="auto"/>
            <w:bottom w:val="none" w:sz="0" w:space="0" w:color="auto"/>
            <w:right w:val="none" w:sz="0" w:space="0" w:color="auto"/>
          </w:divBdr>
          <w:divsChild>
            <w:div w:id="1036851313">
              <w:marLeft w:val="-75"/>
              <w:marRight w:val="0"/>
              <w:marTop w:val="30"/>
              <w:marBottom w:val="30"/>
              <w:divBdr>
                <w:top w:val="none" w:sz="0" w:space="0" w:color="auto"/>
                <w:left w:val="none" w:sz="0" w:space="0" w:color="auto"/>
                <w:bottom w:val="none" w:sz="0" w:space="0" w:color="auto"/>
                <w:right w:val="none" w:sz="0" w:space="0" w:color="auto"/>
              </w:divBdr>
              <w:divsChild>
                <w:div w:id="55981916">
                  <w:marLeft w:val="0"/>
                  <w:marRight w:val="0"/>
                  <w:marTop w:val="0"/>
                  <w:marBottom w:val="0"/>
                  <w:divBdr>
                    <w:top w:val="none" w:sz="0" w:space="0" w:color="auto"/>
                    <w:left w:val="none" w:sz="0" w:space="0" w:color="auto"/>
                    <w:bottom w:val="none" w:sz="0" w:space="0" w:color="auto"/>
                    <w:right w:val="none" w:sz="0" w:space="0" w:color="auto"/>
                  </w:divBdr>
                  <w:divsChild>
                    <w:div w:id="60299983">
                      <w:marLeft w:val="0"/>
                      <w:marRight w:val="0"/>
                      <w:marTop w:val="0"/>
                      <w:marBottom w:val="0"/>
                      <w:divBdr>
                        <w:top w:val="none" w:sz="0" w:space="0" w:color="auto"/>
                        <w:left w:val="none" w:sz="0" w:space="0" w:color="auto"/>
                        <w:bottom w:val="none" w:sz="0" w:space="0" w:color="auto"/>
                        <w:right w:val="none" w:sz="0" w:space="0" w:color="auto"/>
                      </w:divBdr>
                    </w:div>
                  </w:divsChild>
                </w:div>
                <w:div w:id="77100541">
                  <w:marLeft w:val="0"/>
                  <w:marRight w:val="0"/>
                  <w:marTop w:val="0"/>
                  <w:marBottom w:val="0"/>
                  <w:divBdr>
                    <w:top w:val="none" w:sz="0" w:space="0" w:color="auto"/>
                    <w:left w:val="none" w:sz="0" w:space="0" w:color="auto"/>
                    <w:bottom w:val="none" w:sz="0" w:space="0" w:color="auto"/>
                    <w:right w:val="none" w:sz="0" w:space="0" w:color="auto"/>
                  </w:divBdr>
                  <w:divsChild>
                    <w:div w:id="118494199">
                      <w:marLeft w:val="0"/>
                      <w:marRight w:val="0"/>
                      <w:marTop w:val="0"/>
                      <w:marBottom w:val="0"/>
                      <w:divBdr>
                        <w:top w:val="none" w:sz="0" w:space="0" w:color="auto"/>
                        <w:left w:val="none" w:sz="0" w:space="0" w:color="auto"/>
                        <w:bottom w:val="none" w:sz="0" w:space="0" w:color="auto"/>
                        <w:right w:val="none" w:sz="0" w:space="0" w:color="auto"/>
                      </w:divBdr>
                    </w:div>
                  </w:divsChild>
                </w:div>
                <w:div w:id="120853677">
                  <w:marLeft w:val="0"/>
                  <w:marRight w:val="0"/>
                  <w:marTop w:val="0"/>
                  <w:marBottom w:val="0"/>
                  <w:divBdr>
                    <w:top w:val="none" w:sz="0" w:space="0" w:color="auto"/>
                    <w:left w:val="none" w:sz="0" w:space="0" w:color="auto"/>
                    <w:bottom w:val="none" w:sz="0" w:space="0" w:color="auto"/>
                    <w:right w:val="none" w:sz="0" w:space="0" w:color="auto"/>
                  </w:divBdr>
                  <w:divsChild>
                    <w:div w:id="671683639">
                      <w:marLeft w:val="0"/>
                      <w:marRight w:val="0"/>
                      <w:marTop w:val="0"/>
                      <w:marBottom w:val="0"/>
                      <w:divBdr>
                        <w:top w:val="none" w:sz="0" w:space="0" w:color="auto"/>
                        <w:left w:val="none" w:sz="0" w:space="0" w:color="auto"/>
                        <w:bottom w:val="none" w:sz="0" w:space="0" w:color="auto"/>
                        <w:right w:val="none" w:sz="0" w:space="0" w:color="auto"/>
                      </w:divBdr>
                    </w:div>
                  </w:divsChild>
                </w:div>
                <w:div w:id="270553978">
                  <w:marLeft w:val="0"/>
                  <w:marRight w:val="0"/>
                  <w:marTop w:val="0"/>
                  <w:marBottom w:val="0"/>
                  <w:divBdr>
                    <w:top w:val="none" w:sz="0" w:space="0" w:color="auto"/>
                    <w:left w:val="none" w:sz="0" w:space="0" w:color="auto"/>
                    <w:bottom w:val="none" w:sz="0" w:space="0" w:color="auto"/>
                    <w:right w:val="none" w:sz="0" w:space="0" w:color="auto"/>
                  </w:divBdr>
                  <w:divsChild>
                    <w:div w:id="455107326">
                      <w:marLeft w:val="0"/>
                      <w:marRight w:val="0"/>
                      <w:marTop w:val="0"/>
                      <w:marBottom w:val="0"/>
                      <w:divBdr>
                        <w:top w:val="none" w:sz="0" w:space="0" w:color="auto"/>
                        <w:left w:val="none" w:sz="0" w:space="0" w:color="auto"/>
                        <w:bottom w:val="none" w:sz="0" w:space="0" w:color="auto"/>
                        <w:right w:val="none" w:sz="0" w:space="0" w:color="auto"/>
                      </w:divBdr>
                    </w:div>
                    <w:div w:id="1480998910">
                      <w:marLeft w:val="0"/>
                      <w:marRight w:val="0"/>
                      <w:marTop w:val="0"/>
                      <w:marBottom w:val="0"/>
                      <w:divBdr>
                        <w:top w:val="none" w:sz="0" w:space="0" w:color="auto"/>
                        <w:left w:val="none" w:sz="0" w:space="0" w:color="auto"/>
                        <w:bottom w:val="none" w:sz="0" w:space="0" w:color="auto"/>
                        <w:right w:val="none" w:sz="0" w:space="0" w:color="auto"/>
                      </w:divBdr>
                    </w:div>
                  </w:divsChild>
                </w:div>
                <w:div w:id="462240111">
                  <w:marLeft w:val="0"/>
                  <w:marRight w:val="0"/>
                  <w:marTop w:val="0"/>
                  <w:marBottom w:val="0"/>
                  <w:divBdr>
                    <w:top w:val="none" w:sz="0" w:space="0" w:color="auto"/>
                    <w:left w:val="none" w:sz="0" w:space="0" w:color="auto"/>
                    <w:bottom w:val="none" w:sz="0" w:space="0" w:color="auto"/>
                    <w:right w:val="none" w:sz="0" w:space="0" w:color="auto"/>
                  </w:divBdr>
                  <w:divsChild>
                    <w:div w:id="1006831994">
                      <w:marLeft w:val="0"/>
                      <w:marRight w:val="0"/>
                      <w:marTop w:val="0"/>
                      <w:marBottom w:val="0"/>
                      <w:divBdr>
                        <w:top w:val="none" w:sz="0" w:space="0" w:color="auto"/>
                        <w:left w:val="none" w:sz="0" w:space="0" w:color="auto"/>
                        <w:bottom w:val="none" w:sz="0" w:space="0" w:color="auto"/>
                        <w:right w:val="none" w:sz="0" w:space="0" w:color="auto"/>
                      </w:divBdr>
                    </w:div>
                  </w:divsChild>
                </w:div>
                <w:div w:id="488180512">
                  <w:marLeft w:val="0"/>
                  <w:marRight w:val="0"/>
                  <w:marTop w:val="0"/>
                  <w:marBottom w:val="0"/>
                  <w:divBdr>
                    <w:top w:val="none" w:sz="0" w:space="0" w:color="auto"/>
                    <w:left w:val="none" w:sz="0" w:space="0" w:color="auto"/>
                    <w:bottom w:val="none" w:sz="0" w:space="0" w:color="auto"/>
                    <w:right w:val="none" w:sz="0" w:space="0" w:color="auto"/>
                  </w:divBdr>
                  <w:divsChild>
                    <w:div w:id="1792749605">
                      <w:marLeft w:val="0"/>
                      <w:marRight w:val="0"/>
                      <w:marTop w:val="0"/>
                      <w:marBottom w:val="0"/>
                      <w:divBdr>
                        <w:top w:val="none" w:sz="0" w:space="0" w:color="auto"/>
                        <w:left w:val="none" w:sz="0" w:space="0" w:color="auto"/>
                        <w:bottom w:val="none" w:sz="0" w:space="0" w:color="auto"/>
                        <w:right w:val="none" w:sz="0" w:space="0" w:color="auto"/>
                      </w:divBdr>
                    </w:div>
                  </w:divsChild>
                </w:div>
                <w:div w:id="562913423">
                  <w:marLeft w:val="0"/>
                  <w:marRight w:val="0"/>
                  <w:marTop w:val="0"/>
                  <w:marBottom w:val="0"/>
                  <w:divBdr>
                    <w:top w:val="none" w:sz="0" w:space="0" w:color="auto"/>
                    <w:left w:val="none" w:sz="0" w:space="0" w:color="auto"/>
                    <w:bottom w:val="none" w:sz="0" w:space="0" w:color="auto"/>
                    <w:right w:val="none" w:sz="0" w:space="0" w:color="auto"/>
                  </w:divBdr>
                  <w:divsChild>
                    <w:div w:id="1323268542">
                      <w:marLeft w:val="0"/>
                      <w:marRight w:val="0"/>
                      <w:marTop w:val="0"/>
                      <w:marBottom w:val="0"/>
                      <w:divBdr>
                        <w:top w:val="none" w:sz="0" w:space="0" w:color="auto"/>
                        <w:left w:val="none" w:sz="0" w:space="0" w:color="auto"/>
                        <w:bottom w:val="none" w:sz="0" w:space="0" w:color="auto"/>
                        <w:right w:val="none" w:sz="0" w:space="0" w:color="auto"/>
                      </w:divBdr>
                    </w:div>
                  </w:divsChild>
                </w:div>
                <w:div w:id="697779358">
                  <w:marLeft w:val="0"/>
                  <w:marRight w:val="0"/>
                  <w:marTop w:val="0"/>
                  <w:marBottom w:val="0"/>
                  <w:divBdr>
                    <w:top w:val="none" w:sz="0" w:space="0" w:color="auto"/>
                    <w:left w:val="none" w:sz="0" w:space="0" w:color="auto"/>
                    <w:bottom w:val="none" w:sz="0" w:space="0" w:color="auto"/>
                    <w:right w:val="none" w:sz="0" w:space="0" w:color="auto"/>
                  </w:divBdr>
                  <w:divsChild>
                    <w:div w:id="1895697847">
                      <w:marLeft w:val="0"/>
                      <w:marRight w:val="0"/>
                      <w:marTop w:val="0"/>
                      <w:marBottom w:val="0"/>
                      <w:divBdr>
                        <w:top w:val="none" w:sz="0" w:space="0" w:color="auto"/>
                        <w:left w:val="none" w:sz="0" w:space="0" w:color="auto"/>
                        <w:bottom w:val="none" w:sz="0" w:space="0" w:color="auto"/>
                        <w:right w:val="none" w:sz="0" w:space="0" w:color="auto"/>
                      </w:divBdr>
                    </w:div>
                  </w:divsChild>
                </w:div>
                <w:div w:id="787236420">
                  <w:marLeft w:val="0"/>
                  <w:marRight w:val="0"/>
                  <w:marTop w:val="0"/>
                  <w:marBottom w:val="0"/>
                  <w:divBdr>
                    <w:top w:val="none" w:sz="0" w:space="0" w:color="auto"/>
                    <w:left w:val="none" w:sz="0" w:space="0" w:color="auto"/>
                    <w:bottom w:val="none" w:sz="0" w:space="0" w:color="auto"/>
                    <w:right w:val="none" w:sz="0" w:space="0" w:color="auto"/>
                  </w:divBdr>
                  <w:divsChild>
                    <w:div w:id="297761558">
                      <w:marLeft w:val="0"/>
                      <w:marRight w:val="0"/>
                      <w:marTop w:val="0"/>
                      <w:marBottom w:val="0"/>
                      <w:divBdr>
                        <w:top w:val="none" w:sz="0" w:space="0" w:color="auto"/>
                        <w:left w:val="none" w:sz="0" w:space="0" w:color="auto"/>
                        <w:bottom w:val="none" w:sz="0" w:space="0" w:color="auto"/>
                        <w:right w:val="none" w:sz="0" w:space="0" w:color="auto"/>
                      </w:divBdr>
                    </w:div>
                  </w:divsChild>
                </w:div>
                <w:div w:id="793210059">
                  <w:marLeft w:val="0"/>
                  <w:marRight w:val="0"/>
                  <w:marTop w:val="0"/>
                  <w:marBottom w:val="0"/>
                  <w:divBdr>
                    <w:top w:val="none" w:sz="0" w:space="0" w:color="auto"/>
                    <w:left w:val="none" w:sz="0" w:space="0" w:color="auto"/>
                    <w:bottom w:val="none" w:sz="0" w:space="0" w:color="auto"/>
                    <w:right w:val="none" w:sz="0" w:space="0" w:color="auto"/>
                  </w:divBdr>
                  <w:divsChild>
                    <w:div w:id="1650983046">
                      <w:marLeft w:val="0"/>
                      <w:marRight w:val="0"/>
                      <w:marTop w:val="0"/>
                      <w:marBottom w:val="0"/>
                      <w:divBdr>
                        <w:top w:val="none" w:sz="0" w:space="0" w:color="auto"/>
                        <w:left w:val="none" w:sz="0" w:space="0" w:color="auto"/>
                        <w:bottom w:val="none" w:sz="0" w:space="0" w:color="auto"/>
                        <w:right w:val="none" w:sz="0" w:space="0" w:color="auto"/>
                      </w:divBdr>
                    </w:div>
                  </w:divsChild>
                </w:div>
                <w:div w:id="801459196">
                  <w:marLeft w:val="0"/>
                  <w:marRight w:val="0"/>
                  <w:marTop w:val="0"/>
                  <w:marBottom w:val="0"/>
                  <w:divBdr>
                    <w:top w:val="none" w:sz="0" w:space="0" w:color="auto"/>
                    <w:left w:val="none" w:sz="0" w:space="0" w:color="auto"/>
                    <w:bottom w:val="none" w:sz="0" w:space="0" w:color="auto"/>
                    <w:right w:val="none" w:sz="0" w:space="0" w:color="auto"/>
                  </w:divBdr>
                  <w:divsChild>
                    <w:div w:id="2100566639">
                      <w:marLeft w:val="0"/>
                      <w:marRight w:val="0"/>
                      <w:marTop w:val="0"/>
                      <w:marBottom w:val="0"/>
                      <w:divBdr>
                        <w:top w:val="none" w:sz="0" w:space="0" w:color="auto"/>
                        <w:left w:val="none" w:sz="0" w:space="0" w:color="auto"/>
                        <w:bottom w:val="none" w:sz="0" w:space="0" w:color="auto"/>
                        <w:right w:val="none" w:sz="0" w:space="0" w:color="auto"/>
                      </w:divBdr>
                    </w:div>
                  </w:divsChild>
                </w:div>
                <w:div w:id="954219260">
                  <w:marLeft w:val="0"/>
                  <w:marRight w:val="0"/>
                  <w:marTop w:val="0"/>
                  <w:marBottom w:val="0"/>
                  <w:divBdr>
                    <w:top w:val="none" w:sz="0" w:space="0" w:color="auto"/>
                    <w:left w:val="none" w:sz="0" w:space="0" w:color="auto"/>
                    <w:bottom w:val="none" w:sz="0" w:space="0" w:color="auto"/>
                    <w:right w:val="none" w:sz="0" w:space="0" w:color="auto"/>
                  </w:divBdr>
                  <w:divsChild>
                    <w:div w:id="1503010312">
                      <w:marLeft w:val="0"/>
                      <w:marRight w:val="0"/>
                      <w:marTop w:val="0"/>
                      <w:marBottom w:val="0"/>
                      <w:divBdr>
                        <w:top w:val="none" w:sz="0" w:space="0" w:color="auto"/>
                        <w:left w:val="none" w:sz="0" w:space="0" w:color="auto"/>
                        <w:bottom w:val="none" w:sz="0" w:space="0" w:color="auto"/>
                        <w:right w:val="none" w:sz="0" w:space="0" w:color="auto"/>
                      </w:divBdr>
                    </w:div>
                  </w:divsChild>
                </w:div>
                <w:div w:id="1096288765">
                  <w:marLeft w:val="0"/>
                  <w:marRight w:val="0"/>
                  <w:marTop w:val="0"/>
                  <w:marBottom w:val="0"/>
                  <w:divBdr>
                    <w:top w:val="none" w:sz="0" w:space="0" w:color="auto"/>
                    <w:left w:val="none" w:sz="0" w:space="0" w:color="auto"/>
                    <w:bottom w:val="none" w:sz="0" w:space="0" w:color="auto"/>
                    <w:right w:val="none" w:sz="0" w:space="0" w:color="auto"/>
                  </w:divBdr>
                  <w:divsChild>
                    <w:div w:id="1920626627">
                      <w:marLeft w:val="0"/>
                      <w:marRight w:val="0"/>
                      <w:marTop w:val="0"/>
                      <w:marBottom w:val="0"/>
                      <w:divBdr>
                        <w:top w:val="none" w:sz="0" w:space="0" w:color="auto"/>
                        <w:left w:val="none" w:sz="0" w:space="0" w:color="auto"/>
                        <w:bottom w:val="none" w:sz="0" w:space="0" w:color="auto"/>
                        <w:right w:val="none" w:sz="0" w:space="0" w:color="auto"/>
                      </w:divBdr>
                    </w:div>
                  </w:divsChild>
                </w:div>
                <w:div w:id="1198348305">
                  <w:marLeft w:val="0"/>
                  <w:marRight w:val="0"/>
                  <w:marTop w:val="0"/>
                  <w:marBottom w:val="0"/>
                  <w:divBdr>
                    <w:top w:val="none" w:sz="0" w:space="0" w:color="auto"/>
                    <w:left w:val="none" w:sz="0" w:space="0" w:color="auto"/>
                    <w:bottom w:val="none" w:sz="0" w:space="0" w:color="auto"/>
                    <w:right w:val="none" w:sz="0" w:space="0" w:color="auto"/>
                  </w:divBdr>
                  <w:divsChild>
                    <w:div w:id="1012076450">
                      <w:marLeft w:val="0"/>
                      <w:marRight w:val="0"/>
                      <w:marTop w:val="0"/>
                      <w:marBottom w:val="0"/>
                      <w:divBdr>
                        <w:top w:val="none" w:sz="0" w:space="0" w:color="auto"/>
                        <w:left w:val="none" w:sz="0" w:space="0" w:color="auto"/>
                        <w:bottom w:val="none" w:sz="0" w:space="0" w:color="auto"/>
                        <w:right w:val="none" w:sz="0" w:space="0" w:color="auto"/>
                      </w:divBdr>
                    </w:div>
                  </w:divsChild>
                </w:div>
                <w:div w:id="1459297705">
                  <w:marLeft w:val="0"/>
                  <w:marRight w:val="0"/>
                  <w:marTop w:val="0"/>
                  <w:marBottom w:val="0"/>
                  <w:divBdr>
                    <w:top w:val="none" w:sz="0" w:space="0" w:color="auto"/>
                    <w:left w:val="none" w:sz="0" w:space="0" w:color="auto"/>
                    <w:bottom w:val="none" w:sz="0" w:space="0" w:color="auto"/>
                    <w:right w:val="none" w:sz="0" w:space="0" w:color="auto"/>
                  </w:divBdr>
                  <w:divsChild>
                    <w:div w:id="1315598176">
                      <w:marLeft w:val="0"/>
                      <w:marRight w:val="0"/>
                      <w:marTop w:val="0"/>
                      <w:marBottom w:val="0"/>
                      <w:divBdr>
                        <w:top w:val="none" w:sz="0" w:space="0" w:color="auto"/>
                        <w:left w:val="none" w:sz="0" w:space="0" w:color="auto"/>
                        <w:bottom w:val="none" w:sz="0" w:space="0" w:color="auto"/>
                        <w:right w:val="none" w:sz="0" w:space="0" w:color="auto"/>
                      </w:divBdr>
                    </w:div>
                  </w:divsChild>
                </w:div>
                <w:div w:id="1524127306">
                  <w:marLeft w:val="0"/>
                  <w:marRight w:val="0"/>
                  <w:marTop w:val="0"/>
                  <w:marBottom w:val="0"/>
                  <w:divBdr>
                    <w:top w:val="none" w:sz="0" w:space="0" w:color="auto"/>
                    <w:left w:val="none" w:sz="0" w:space="0" w:color="auto"/>
                    <w:bottom w:val="none" w:sz="0" w:space="0" w:color="auto"/>
                    <w:right w:val="none" w:sz="0" w:space="0" w:color="auto"/>
                  </w:divBdr>
                  <w:divsChild>
                    <w:div w:id="1218590716">
                      <w:marLeft w:val="0"/>
                      <w:marRight w:val="0"/>
                      <w:marTop w:val="0"/>
                      <w:marBottom w:val="0"/>
                      <w:divBdr>
                        <w:top w:val="none" w:sz="0" w:space="0" w:color="auto"/>
                        <w:left w:val="none" w:sz="0" w:space="0" w:color="auto"/>
                        <w:bottom w:val="none" w:sz="0" w:space="0" w:color="auto"/>
                        <w:right w:val="none" w:sz="0" w:space="0" w:color="auto"/>
                      </w:divBdr>
                    </w:div>
                  </w:divsChild>
                </w:div>
                <w:div w:id="1803768646">
                  <w:marLeft w:val="0"/>
                  <w:marRight w:val="0"/>
                  <w:marTop w:val="0"/>
                  <w:marBottom w:val="0"/>
                  <w:divBdr>
                    <w:top w:val="none" w:sz="0" w:space="0" w:color="auto"/>
                    <w:left w:val="none" w:sz="0" w:space="0" w:color="auto"/>
                    <w:bottom w:val="none" w:sz="0" w:space="0" w:color="auto"/>
                    <w:right w:val="none" w:sz="0" w:space="0" w:color="auto"/>
                  </w:divBdr>
                  <w:divsChild>
                    <w:div w:id="18434803">
                      <w:marLeft w:val="0"/>
                      <w:marRight w:val="0"/>
                      <w:marTop w:val="0"/>
                      <w:marBottom w:val="0"/>
                      <w:divBdr>
                        <w:top w:val="none" w:sz="0" w:space="0" w:color="auto"/>
                        <w:left w:val="none" w:sz="0" w:space="0" w:color="auto"/>
                        <w:bottom w:val="none" w:sz="0" w:space="0" w:color="auto"/>
                        <w:right w:val="none" w:sz="0" w:space="0" w:color="auto"/>
                      </w:divBdr>
                    </w:div>
                  </w:divsChild>
                </w:div>
                <w:div w:id="1935438793">
                  <w:marLeft w:val="0"/>
                  <w:marRight w:val="0"/>
                  <w:marTop w:val="0"/>
                  <w:marBottom w:val="0"/>
                  <w:divBdr>
                    <w:top w:val="none" w:sz="0" w:space="0" w:color="auto"/>
                    <w:left w:val="none" w:sz="0" w:space="0" w:color="auto"/>
                    <w:bottom w:val="none" w:sz="0" w:space="0" w:color="auto"/>
                    <w:right w:val="none" w:sz="0" w:space="0" w:color="auto"/>
                  </w:divBdr>
                  <w:divsChild>
                    <w:div w:id="771124151">
                      <w:marLeft w:val="0"/>
                      <w:marRight w:val="0"/>
                      <w:marTop w:val="0"/>
                      <w:marBottom w:val="0"/>
                      <w:divBdr>
                        <w:top w:val="none" w:sz="0" w:space="0" w:color="auto"/>
                        <w:left w:val="none" w:sz="0" w:space="0" w:color="auto"/>
                        <w:bottom w:val="none" w:sz="0" w:space="0" w:color="auto"/>
                        <w:right w:val="none" w:sz="0" w:space="0" w:color="auto"/>
                      </w:divBdr>
                    </w:div>
                  </w:divsChild>
                </w:div>
                <w:div w:id="2034379467">
                  <w:marLeft w:val="0"/>
                  <w:marRight w:val="0"/>
                  <w:marTop w:val="0"/>
                  <w:marBottom w:val="0"/>
                  <w:divBdr>
                    <w:top w:val="none" w:sz="0" w:space="0" w:color="auto"/>
                    <w:left w:val="none" w:sz="0" w:space="0" w:color="auto"/>
                    <w:bottom w:val="none" w:sz="0" w:space="0" w:color="auto"/>
                    <w:right w:val="none" w:sz="0" w:space="0" w:color="auto"/>
                  </w:divBdr>
                  <w:divsChild>
                    <w:div w:id="1516923931">
                      <w:marLeft w:val="0"/>
                      <w:marRight w:val="0"/>
                      <w:marTop w:val="0"/>
                      <w:marBottom w:val="0"/>
                      <w:divBdr>
                        <w:top w:val="none" w:sz="0" w:space="0" w:color="auto"/>
                        <w:left w:val="none" w:sz="0" w:space="0" w:color="auto"/>
                        <w:bottom w:val="none" w:sz="0" w:space="0" w:color="auto"/>
                        <w:right w:val="none" w:sz="0" w:space="0" w:color="auto"/>
                      </w:divBdr>
                    </w:div>
                  </w:divsChild>
                </w:div>
                <w:div w:id="2035038011">
                  <w:marLeft w:val="0"/>
                  <w:marRight w:val="0"/>
                  <w:marTop w:val="0"/>
                  <w:marBottom w:val="0"/>
                  <w:divBdr>
                    <w:top w:val="none" w:sz="0" w:space="0" w:color="auto"/>
                    <w:left w:val="none" w:sz="0" w:space="0" w:color="auto"/>
                    <w:bottom w:val="none" w:sz="0" w:space="0" w:color="auto"/>
                    <w:right w:val="none" w:sz="0" w:space="0" w:color="auto"/>
                  </w:divBdr>
                  <w:divsChild>
                    <w:div w:id="20891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902302">
          <w:marLeft w:val="0"/>
          <w:marRight w:val="0"/>
          <w:marTop w:val="0"/>
          <w:marBottom w:val="0"/>
          <w:divBdr>
            <w:top w:val="none" w:sz="0" w:space="0" w:color="auto"/>
            <w:left w:val="none" w:sz="0" w:space="0" w:color="auto"/>
            <w:bottom w:val="none" w:sz="0" w:space="0" w:color="auto"/>
            <w:right w:val="none" w:sz="0" w:space="0" w:color="auto"/>
          </w:divBdr>
        </w:div>
        <w:div w:id="1940211484">
          <w:marLeft w:val="0"/>
          <w:marRight w:val="0"/>
          <w:marTop w:val="0"/>
          <w:marBottom w:val="0"/>
          <w:divBdr>
            <w:top w:val="none" w:sz="0" w:space="0" w:color="auto"/>
            <w:left w:val="none" w:sz="0" w:space="0" w:color="auto"/>
            <w:bottom w:val="none" w:sz="0" w:space="0" w:color="auto"/>
            <w:right w:val="none" w:sz="0" w:space="0" w:color="auto"/>
          </w:divBdr>
        </w:div>
      </w:divsChild>
    </w:div>
    <w:div w:id="896668061">
      <w:bodyDiv w:val="1"/>
      <w:marLeft w:val="0"/>
      <w:marRight w:val="0"/>
      <w:marTop w:val="0"/>
      <w:marBottom w:val="0"/>
      <w:divBdr>
        <w:top w:val="none" w:sz="0" w:space="0" w:color="auto"/>
        <w:left w:val="none" w:sz="0" w:space="0" w:color="auto"/>
        <w:bottom w:val="none" w:sz="0" w:space="0" w:color="auto"/>
        <w:right w:val="none" w:sz="0" w:space="0" w:color="auto"/>
      </w:divBdr>
      <w:divsChild>
        <w:div w:id="93938294">
          <w:marLeft w:val="0"/>
          <w:marRight w:val="0"/>
          <w:marTop w:val="0"/>
          <w:marBottom w:val="0"/>
          <w:divBdr>
            <w:top w:val="none" w:sz="0" w:space="0" w:color="auto"/>
            <w:left w:val="none" w:sz="0" w:space="0" w:color="auto"/>
            <w:bottom w:val="none" w:sz="0" w:space="0" w:color="auto"/>
            <w:right w:val="none" w:sz="0" w:space="0" w:color="auto"/>
          </w:divBdr>
          <w:divsChild>
            <w:div w:id="1722366340">
              <w:marLeft w:val="-75"/>
              <w:marRight w:val="0"/>
              <w:marTop w:val="30"/>
              <w:marBottom w:val="30"/>
              <w:divBdr>
                <w:top w:val="none" w:sz="0" w:space="0" w:color="auto"/>
                <w:left w:val="none" w:sz="0" w:space="0" w:color="auto"/>
                <w:bottom w:val="none" w:sz="0" w:space="0" w:color="auto"/>
                <w:right w:val="none" w:sz="0" w:space="0" w:color="auto"/>
              </w:divBdr>
              <w:divsChild>
                <w:div w:id="89130263">
                  <w:marLeft w:val="0"/>
                  <w:marRight w:val="0"/>
                  <w:marTop w:val="0"/>
                  <w:marBottom w:val="0"/>
                  <w:divBdr>
                    <w:top w:val="none" w:sz="0" w:space="0" w:color="auto"/>
                    <w:left w:val="none" w:sz="0" w:space="0" w:color="auto"/>
                    <w:bottom w:val="none" w:sz="0" w:space="0" w:color="auto"/>
                    <w:right w:val="none" w:sz="0" w:space="0" w:color="auto"/>
                  </w:divBdr>
                  <w:divsChild>
                    <w:div w:id="717437749">
                      <w:marLeft w:val="0"/>
                      <w:marRight w:val="0"/>
                      <w:marTop w:val="0"/>
                      <w:marBottom w:val="0"/>
                      <w:divBdr>
                        <w:top w:val="none" w:sz="0" w:space="0" w:color="auto"/>
                        <w:left w:val="none" w:sz="0" w:space="0" w:color="auto"/>
                        <w:bottom w:val="none" w:sz="0" w:space="0" w:color="auto"/>
                        <w:right w:val="none" w:sz="0" w:space="0" w:color="auto"/>
                      </w:divBdr>
                    </w:div>
                    <w:div w:id="780993661">
                      <w:marLeft w:val="0"/>
                      <w:marRight w:val="0"/>
                      <w:marTop w:val="0"/>
                      <w:marBottom w:val="0"/>
                      <w:divBdr>
                        <w:top w:val="none" w:sz="0" w:space="0" w:color="auto"/>
                        <w:left w:val="none" w:sz="0" w:space="0" w:color="auto"/>
                        <w:bottom w:val="none" w:sz="0" w:space="0" w:color="auto"/>
                        <w:right w:val="none" w:sz="0" w:space="0" w:color="auto"/>
                      </w:divBdr>
                    </w:div>
                  </w:divsChild>
                </w:div>
                <w:div w:id="135492968">
                  <w:marLeft w:val="0"/>
                  <w:marRight w:val="0"/>
                  <w:marTop w:val="0"/>
                  <w:marBottom w:val="0"/>
                  <w:divBdr>
                    <w:top w:val="none" w:sz="0" w:space="0" w:color="auto"/>
                    <w:left w:val="none" w:sz="0" w:space="0" w:color="auto"/>
                    <w:bottom w:val="none" w:sz="0" w:space="0" w:color="auto"/>
                    <w:right w:val="none" w:sz="0" w:space="0" w:color="auto"/>
                  </w:divBdr>
                  <w:divsChild>
                    <w:div w:id="1315256818">
                      <w:marLeft w:val="0"/>
                      <w:marRight w:val="0"/>
                      <w:marTop w:val="0"/>
                      <w:marBottom w:val="0"/>
                      <w:divBdr>
                        <w:top w:val="none" w:sz="0" w:space="0" w:color="auto"/>
                        <w:left w:val="none" w:sz="0" w:space="0" w:color="auto"/>
                        <w:bottom w:val="none" w:sz="0" w:space="0" w:color="auto"/>
                        <w:right w:val="none" w:sz="0" w:space="0" w:color="auto"/>
                      </w:divBdr>
                    </w:div>
                  </w:divsChild>
                </w:div>
                <w:div w:id="192351281">
                  <w:marLeft w:val="0"/>
                  <w:marRight w:val="0"/>
                  <w:marTop w:val="0"/>
                  <w:marBottom w:val="0"/>
                  <w:divBdr>
                    <w:top w:val="none" w:sz="0" w:space="0" w:color="auto"/>
                    <w:left w:val="none" w:sz="0" w:space="0" w:color="auto"/>
                    <w:bottom w:val="none" w:sz="0" w:space="0" w:color="auto"/>
                    <w:right w:val="none" w:sz="0" w:space="0" w:color="auto"/>
                  </w:divBdr>
                  <w:divsChild>
                    <w:div w:id="1146975517">
                      <w:marLeft w:val="0"/>
                      <w:marRight w:val="0"/>
                      <w:marTop w:val="0"/>
                      <w:marBottom w:val="0"/>
                      <w:divBdr>
                        <w:top w:val="none" w:sz="0" w:space="0" w:color="auto"/>
                        <w:left w:val="none" w:sz="0" w:space="0" w:color="auto"/>
                        <w:bottom w:val="none" w:sz="0" w:space="0" w:color="auto"/>
                        <w:right w:val="none" w:sz="0" w:space="0" w:color="auto"/>
                      </w:divBdr>
                    </w:div>
                  </w:divsChild>
                </w:div>
                <w:div w:id="273950269">
                  <w:marLeft w:val="0"/>
                  <w:marRight w:val="0"/>
                  <w:marTop w:val="0"/>
                  <w:marBottom w:val="0"/>
                  <w:divBdr>
                    <w:top w:val="none" w:sz="0" w:space="0" w:color="auto"/>
                    <w:left w:val="none" w:sz="0" w:space="0" w:color="auto"/>
                    <w:bottom w:val="none" w:sz="0" w:space="0" w:color="auto"/>
                    <w:right w:val="none" w:sz="0" w:space="0" w:color="auto"/>
                  </w:divBdr>
                  <w:divsChild>
                    <w:div w:id="1216622883">
                      <w:marLeft w:val="0"/>
                      <w:marRight w:val="0"/>
                      <w:marTop w:val="0"/>
                      <w:marBottom w:val="0"/>
                      <w:divBdr>
                        <w:top w:val="none" w:sz="0" w:space="0" w:color="auto"/>
                        <w:left w:val="none" w:sz="0" w:space="0" w:color="auto"/>
                        <w:bottom w:val="none" w:sz="0" w:space="0" w:color="auto"/>
                        <w:right w:val="none" w:sz="0" w:space="0" w:color="auto"/>
                      </w:divBdr>
                    </w:div>
                  </w:divsChild>
                </w:div>
                <w:div w:id="410201501">
                  <w:marLeft w:val="0"/>
                  <w:marRight w:val="0"/>
                  <w:marTop w:val="0"/>
                  <w:marBottom w:val="0"/>
                  <w:divBdr>
                    <w:top w:val="none" w:sz="0" w:space="0" w:color="auto"/>
                    <w:left w:val="none" w:sz="0" w:space="0" w:color="auto"/>
                    <w:bottom w:val="none" w:sz="0" w:space="0" w:color="auto"/>
                    <w:right w:val="none" w:sz="0" w:space="0" w:color="auto"/>
                  </w:divBdr>
                  <w:divsChild>
                    <w:div w:id="1570454996">
                      <w:marLeft w:val="0"/>
                      <w:marRight w:val="0"/>
                      <w:marTop w:val="0"/>
                      <w:marBottom w:val="0"/>
                      <w:divBdr>
                        <w:top w:val="none" w:sz="0" w:space="0" w:color="auto"/>
                        <w:left w:val="none" w:sz="0" w:space="0" w:color="auto"/>
                        <w:bottom w:val="none" w:sz="0" w:space="0" w:color="auto"/>
                        <w:right w:val="none" w:sz="0" w:space="0" w:color="auto"/>
                      </w:divBdr>
                    </w:div>
                  </w:divsChild>
                </w:div>
                <w:div w:id="478503337">
                  <w:marLeft w:val="0"/>
                  <w:marRight w:val="0"/>
                  <w:marTop w:val="0"/>
                  <w:marBottom w:val="0"/>
                  <w:divBdr>
                    <w:top w:val="none" w:sz="0" w:space="0" w:color="auto"/>
                    <w:left w:val="none" w:sz="0" w:space="0" w:color="auto"/>
                    <w:bottom w:val="none" w:sz="0" w:space="0" w:color="auto"/>
                    <w:right w:val="none" w:sz="0" w:space="0" w:color="auto"/>
                  </w:divBdr>
                  <w:divsChild>
                    <w:div w:id="1668094912">
                      <w:marLeft w:val="0"/>
                      <w:marRight w:val="0"/>
                      <w:marTop w:val="0"/>
                      <w:marBottom w:val="0"/>
                      <w:divBdr>
                        <w:top w:val="none" w:sz="0" w:space="0" w:color="auto"/>
                        <w:left w:val="none" w:sz="0" w:space="0" w:color="auto"/>
                        <w:bottom w:val="none" w:sz="0" w:space="0" w:color="auto"/>
                        <w:right w:val="none" w:sz="0" w:space="0" w:color="auto"/>
                      </w:divBdr>
                    </w:div>
                  </w:divsChild>
                </w:div>
                <w:div w:id="700934039">
                  <w:marLeft w:val="0"/>
                  <w:marRight w:val="0"/>
                  <w:marTop w:val="0"/>
                  <w:marBottom w:val="0"/>
                  <w:divBdr>
                    <w:top w:val="none" w:sz="0" w:space="0" w:color="auto"/>
                    <w:left w:val="none" w:sz="0" w:space="0" w:color="auto"/>
                    <w:bottom w:val="none" w:sz="0" w:space="0" w:color="auto"/>
                    <w:right w:val="none" w:sz="0" w:space="0" w:color="auto"/>
                  </w:divBdr>
                  <w:divsChild>
                    <w:div w:id="1170875642">
                      <w:marLeft w:val="0"/>
                      <w:marRight w:val="0"/>
                      <w:marTop w:val="0"/>
                      <w:marBottom w:val="0"/>
                      <w:divBdr>
                        <w:top w:val="none" w:sz="0" w:space="0" w:color="auto"/>
                        <w:left w:val="none" w:sz="0" w:space="0" w:color="auto"/>
                        <w:bottom w:val="none" w:sz="0" w:space="0" w:color="auto"/>
                        <w:right w:val="none" w:sz="0" w:space="0" w:color="auto"/>
                      </w:divBdr>
                    </w:div>
                  </w:divsChild>
                </w:div>
                <w:div w:id="949429856">
                  <w:marLeft w:val="0"/>
                  <w:marRight w:val="0"/>
                  <w:marTop w:val="0"/>
                  <w:marBottom w:val="0"/>
                  <w:divBdr>
                    <w:top w:val="none" w:sz="0" w:space="0" w:color="auto"/>
                    <w:left w:val="none" w:sz="0" w:space="0" w:color="auto"/>
                    <w:bottom w:val="none" w:sz="0" w:space="0" w:color="auto"/>
                    <w:right w:val="none" w:sz="0" w:space="0" w:color="auto"/>
                  </w:divBdr>
                  <w:divsChild>
                    <w:div w:id="721830421">
                      <w:marLeft w:val="0"/>
                      <w:marRight w:val="0"/>
                      <w:marTop w:val="0"/>
                      <w:marBottom w:val="0"/>
                      <w:divBdr>
                        <w:top w:val="none" w:sz="0" w:space="0" w:color="auto"/>
                        <w:left w:val="none" w:sz="0" w:space="0" w:color="auto"/>
                        <w:bottom w:val="none" w:sz="0" w:space="0" w:color="auto"/>
                        <w:right w:val="none" w:sz="0" w:space="0" w:color="auto"/>
                      </w:divBdr>
                    </w:div>
                  </w:divsChild>
                </w:div>
                <w:div w:id="1115907106">
                  <w:marLeft w:val="0"/>
                  <w:marRight w:val="0"/>
                  <w:marTop w:val="0"/>
                  <w:marBottom w:val="0"/>
                  <w:divBdr>
                    <w:top w:val="none" w:sz="0" w:space="0" w:color="auto"/>
                    <w:left w:val="none" w:sz="0" w:space="0" w:color="auto"/>
                    <w:bottom w:val="none" w:sz="0" w:space="0" w:color="auto"/>
                    <w:right w:val="none" w:sz="0" w:space="0" w:color="auto"/>
                  </w:divBdr>
                  <w:divsChild>
                    <w:div w:id="1935280824">
                      <w:marLeft w:val="0"/>
                      <w:marRight w:val="0"/>
                      <w:marTop w:val="0"/>
                      <w:marBottom w:val="0"/>
                      <w:divBdr>
                        <w:top w:val="none" w:sz="0" w:space="0" w:color="auto"/>
                        <w:left w:val="none" w:sz="0" w:space="0" w:color="auto"/>
                        <w:bottom w:val="none" w:sz="0" w:space="0" w:color="auto"/>
                        <w:right w:val="none" w:sz="0" w:space="0" w:color="auto"/>
                      </w:divBdr>
                    </w:div>
                  </w:divsChild>
                </w:div>
                <w:div w:id="1232888440">
                  <w:marLeft w:val="0"/>
                  <w:marRight w:val="0"/>
                  <w:marTop w:val="0"/>
                  <w:marBottom w:val="0"/>
                  <w:divBdr>
                    <w:top w:val="none" w:sz="0" w:space="0" w:color="auto"/>
                    <w:left w:val="none" w:sz="0" w:space="0" w:color="auto"/>
                    <w:bottom w:val="none" w:sz="0" w:space="0" w:color="auto"/>
                    <w:right w:val="none" w:sz="0" w:space="0" w:color="auto"/>
                  </w:divBdr>
                  <w:divsChild>
                    <w:div w:id="2089107676">
                      <w:marLeft w:val="0"/>
                      <w:marRight w:val="0"/>
                      <w:marTop w:val="0"/>
                      <w:marBottom w:val="0"/>
                      <w:divBdr>
                        <w:top w:val="none" w:sz="0" w:space="0" w:color="auto"/>
                        <w:left w:val="none" w:sz="0" w:space="0" w:color="auto"/>
                        <w:bottom w:val="none" w:sz="0" w:space="0" w:color="auto"/>
                        <w:right w:val="none" w:sz="0" w:space="0" w:color="auto"/>
                      </w:divBdr>
                    </w:div>
                  </w:divsChild>
                </w:div>
                <w:div w:id="1277954366">
                  <w:marLeft w:val="0"/>
                  <w:marRight w:val="0"/>
                  <w:marTop w:val="0"/>
                  <w:marBottom w:val="0"/>
                  <w:divBdr>
                    <w:top w:val="none" w:sz="0" w:space="0" w:color="auto"/>
                    <w:left w:val="none" w:sz="0" w:space="0" w:color="auto"/>
                    <w:bottom w:val="none" w:sz="0" w:space="0" w:color="auto"/>
                    <w:right w:val="none" w:sz="0" w:space="0" w:color="auto"/>
                  </w:divBdr>
                  <w:divsChild>
                    <w:div w:id="565532767">
                      <w:marLeft w:val="0"/>
                      <w:marRight w:val="0"/>
                      <w:marTop w:val="0"/>
                      <w:marBottom w:val="0"/>
                      <w:divBdr>
                        <w:top w:val="none" w:sz="0" w:space="0" w:color="auto"/>
                        <w:left w:val="none" w:sz="0" w:space="0" w:color="auto"/>
                        <w:bottom w:val="none" w:sz="0" w:space="0" w:color="auto"/>
                        <w:right w:val="none" w:sz="0" w:space="0" w:color="auto"/>
                      </w:divBdr>
                    </w:div>
                  </w:divsChild>
                </w:div>
                <w:div w:id="1524399058">
                  <w:marLeft w:val="0"/>
                  <w:marRight w:val="0"/>
                  <w:marTop w:val="0"/>
                  <w:marBottom w:val="0"/>
                  <w:divBdr>
                    <w:top w:val="none" w:sz="0" w:space="0" w:color="auto"/>
                    <w:left w:val="none" w:sz="0" w:space="0" w:color="auto"/>
                    <w:bottom w:val="none" w:sz="0" w:space="0" w:color="auto"/>
                    <w:right w:val="none" w:sz="0" w:space="0" w:color="auto"/>
                  </w:divBdr>
                  <w:divsChild>
                    <w:div w:id="285701377">
                      <w:marLeft w:val="0"/>
                      <w:marRight w:val="0"/>
                      <w:marTop w:val="0"/>
                      <w:marBottom w:val="0"/>
                      <w:divBdr>
                        <w:top w:val="none" w:sz="0" w:space="0" w:color="auto"/>
                        <w:left w:val="none" w:sz="0" w:space="0" w:color="auto"/>
                        <w:bottom w:val="none" w:sz="0" w:space="0" w:color="auto"/>
                        <w:right w:val="none" w:sz="0" w:space="0" w:color="auto"/>
                      </w:divBdr>
                    </w:div>
                  </w:divsChild>
                </w:div>
                <w:div w:id="1591625470">
                  <w:marLeft w:val="0"/>
                  <w:marRight w:val="0"/>
                  <w:marTop w:val="0"/>
                  <w:marBottom w:val="0"/>
                  <w:divBdr>
                    <w:top w:val="none" w:sz="0" w:space="0" w:color="auto"/>
                    <w:left w:val="none" w:sz="0" w:space="0" w:color="auto"/>
                    <w:bottom w:val="none" w:sz="0" w:space="0" w:color="auto"/>
                    <w:right w:val="none" w:sz="0" w:space="0" w:color="auto"/>
                  </w:divBdr>
                  <w:divsChild>
                    <w:div w:id="1046175723">
                      <w:marLeft w:val="0"/>
                      <w:marRight w:val="0"/>
                      <w:marTop w:val="0"/>
                      <w:marBottom w:val="0"/>
                      <w:divBdr>
                        <w:top w:val="none" w:sz="0" w:space="0" w:color="auto"/>
                        <w:left w:val="none" w:sz="0" w:space="0" w:color="auto"/>
                        <w:bottom w:val="none" w:sz="0" w:space="0" w:color="auto"/>
                        <w:right w:val="none" w:sz="0" w:space="0" w:color="auto"/>
                      </w:divBdr>
                    </w:div>
                  </w:divsChild>
                </w:div>
                <w:div w:id="1630819661">
                  <w:marLeft w:val="0"/>
                  <w:marRight w:val="0"/>
                  <w:marTop w:val="0"/>
                  <w:marBottom w:val="0"/>
                  <w:divBdr>
                    <w:top w:val="none" w:sz="0" w:space="0" w:color="auto"/>
                    <w:left w:val="none" w:sz="0" w:space="0" w:color="auto"/>
                    <w:bottom w:val="none" w:sz="0" w:space="0" w:color="auto"/>
                    <w:right w:val="none" w:sz="0" w:space="0" w:color="auto"/>
                  </w:divBdr>
                  <w:divsChild>
                    <w:div w:id="494221051">
                      <w:marLeft w:val="0"/>
                      <w:marRight w:val="0"/>
                      <w:marTop w:val="0"/>
                      <w:marBottom w:val="0"/>
                      <w:divBdr>
                        <w:top w:val="none" w:sz="0" w:space="0" w:color="auto"/>
                        <w:left w:val="none" w:sz="0" w:space="0" w:color="auto"/>
                        <w:bottom w:val="none" w:sz="0" w:space="0" w:color="auto"/>
                        <w:right w:val="none" w:sz="0" w:space="0" w:color="auto"/>
                      </w:divBdr>
                    </w:div>
                  </w:divsChild>
                </w:div>
                <w:div w:id="1685933827">
                  <w:marLeft w:val="0"/>
                  <w:marRight w:val="0"/>
                  <w:marTop w:val="0"/>
                  <w:marBottom w:val="0"/>
                  <w:divBdr>
                    <w:top w:val="none" w:sz="0" w:space="0" w:color="auto"/>
                    <w:left w:val="none" w:sz="0" w:space="0" w:color="auto"/>
                    <w:bottom w:val="none" w:sz="0" w:space="0" w:color="auto"/>
                    <w:right w:val="none" w:sz="0" w:space="0" w:color="auto"/>
                  </w:divBdr>
                  <w:divsChild>
                    <w:div w:id="2014449851">
                      <w:marLeft w:val="0"/>
                      <w:marRight w:val="0"/>
                      <w:marTop w:val="0"/>
                      <w:marBottom w:val="0"/>
                      <w:divBdr>
                        <w:top w:val="none" w:sz="0" w:space="0" w:color="auto"/>
                        <w:left w:val="none" w:sz="0" w:space="0" w:color="auto"/>
                        <w:bottom w:val="none" w:sz="0" w:space="0" w:color="auto"/>
                        <w:right w:val="none" w:sz="0" w:space="0" w:color="auto"/>
                      </w:divBdr>
                    </w:div>
                  </w:divsChild>
                </w:div>
                <w:div w:id="1730224024">
                  <w:marLeft w:val="0"/>
                  <w:marRight w:val="0"/>
                  <w:marTop w:val="0"/>
                  <w:marBottom w:val="0"/>
                  <w:divBdr>
                    <w:top w:val="none" w:sz="0" w:space="0" w:color="auto"/>
                    <w:left w:val="none" w:sz="0" w:space="0" w:color="auto"/>
                    <w:bottom w:val="none" w:sz="0" w:space="0" w:color="auto"/>
                    <w:right w:val="none" w:sz="0" w:space="0" w:color="auto"/>
                  </w:divBdr>
                  <w:divsChild>
                    <w:div w:id="353580579">
                      <w:marLeft w:val="0"/>
                      <w:marRight w:val="0"/>
                      <w:marTop w:val="0"/>
                      <w:marBottom w:val="0"/>
                      <w:divBdr>
                        <w:top w:val="none" w:sz="0" w:space="0" w:color="auto"/>
                        <w:left w:val="none" w:sz="0" w:space="0" w:color="auto"/>
                        <w:bottom w:val="none" w:sz="0" w:space="0" w:color="auto"/>
                        <w:right w:val="none" w:sz="0" w:space="0" w:color="auto"/>
                      </w:divBdr>
                    </w:div>
                  </w:divsChild>
                </w:div>
                <w:div w:id="1736126338">
                  <w:marLeft w:val="0"/>
                  <w:marRight w:val="0"/>
                  <w:marTop w:val="0"/>
                  <w:marBottom w:val="0"/>
                  <w:divBdr>
                    <w:top w:val="none" w:sz="0" w:space="0" w:color="auto"/>
                    <w:left w:val="none" w:sz="0" w:space="0" w:color="auto"/>
                    <w:bottom w:val="none" w:sz="0" w:space="0" w:color="auto"/>
                    <w:right w:val="none" w:sz="0" w:space="0" w:color="auto"/>
                  </w:divBdr>
                  <w:divsChild>
                    <w:div w:id="12269534">
                      <w:marLeft w:val="0"/>
                      <w:marRight w:val="0"/>
                      <w:marTop w:val="0"/>
                      <w:marBottom w:val="0"/>
                      <w:divBdr>
                        <w:top w:val="none" w:sz="0" w:space="0" w:color="auto"/>
                        <w:left w:val="none" w:sz="0" w:space="0" w:color="auto"/>
                        <w:bottom w:val="none" w:sz="0" w:space="0" w:color="auto"/>
                        <w:right w:val="none" w:sz="0" w:space="0" w:color="auto"/>
                      </w:divBdr>
                    </w:div>
                  </w:divsChild>
                </w:div>
                <w:div w:id="1736584612">
                  <w:marLeft w:val="0"/>
                  <w:marRight w:val="0"/>
                  <w:marTop w:val="0"/>
                  <w:marBottom w:val="0"/>
                  <w:divBdr>
                    <w:top w:val="none" w:sz="0" w:space="0" w:color="auto"/>
                    <w:left w:val="none" w:sz="0" w:space="0" w:color="auto"/>
                    <w:bottom w:val="none" w:sz="0" w:space="0" w:color="auto"/>
                    <w:right w:val="none" w:sz="0" w:space="0" w:color="auto"/>
                  </w:divBdr>
                  <w:divsChild>
                    <w:div w:id="1333068896">
                      <w:marLeft w:val="0"/>
                      <w:marRight w:val="0"/>
                      <w:marTop w:val="0"/>
                      <w:marBottom w:val="0"/>
                      <w:divBdr>
                        <w:top w:val="none" w:sz="0" w:space="0" w:color="auto"/>
                        <w:left w:val="none" w:sz="0" w:space="0" w:color="auto"/>
                        <w:bottom w:val="none" w:sz="0" w:space="0" w:color="auto"/>
                        <w:right w:val="none" w:sz="0" w:space="0" w:color="auto"/>
                      </w:divBdr>
                    </w:div>
                  </w:divsChild>
                </w:div>
                <w:div w:id="1861310612">
                  <w:marLeft w:val="0"/>
                  <w:marRight w:val="0"/>
                  <w:marTop w:val="0"/>
                  <w:marBottom w:val="0"/>
                  <w:divBdr>
                    <w:top w:val="none" w:sz="0" w:space="0" w:color="auto"/>
                    <w:left w:val="none" w:sz="0" w:space="0" w:color="auto"/>
                    <w:bottom w:val="none" w:sz="0" w:space="0" w:color="auto"/>
                    <w:right w:val="none" w:sz="0" w:space="0" w:color="auto"/>
                  </w:divBdr>
                  <w:divsChild>
                    <w:div w:id="728966006">
                      <w:marLeft w:val="0"/>
                      <w:marRight w:val="0"/>
                      <w:marTop w:val="0"/>
                      <w:marBottom w:val="0"/>
                      <w:divBdr>
                        <w:top w:val="none" w:sz="0" w:space="0" w:color="auto"/>
                        <w:left w:val="none" w:sz="0" w:space="0" w:color="auto"/>
                        <w:bottom w:val="none" w:sz="0" w:space="0" w:color="auto"/>
                        <w:right w:val="none" w:sz="0" w:space="0" w:color="auto"/>
                      </w:divBdr>
                    </w:div>
                  </w:divsChild>
                </w:div>
                <w:div w:id="2105638705">
                  <w:marLeft w:val="0"/>
                  <w:marRight w:val="0"/>
                  <w:marTop w:val="0"/>
                  <w:marBottom w:val="0"/>
                  <w:divBdr>
                    <w:top w:val="none" w:sz="0" w:space="0" w:color="auto"/>
                    <w:left w:val="none" w:sz="0" w:space="0" w:color="auto"/>
                    <w:bottom w:val="none" w:sz="0" w:space="0" w:color="auto"/>
                    <w:right w:val="none" w:sz="0" w:space="0" w:color="auto"/>
                  </w:divBdr>
                  <w:divsChild>
                    <w:div w:id="110789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684439">
          <w:marLeft w:val="0"/>
          <w:marRight w:val="0"/>
          <w:marTop w:val="0"/>
          <w:marBottom w:val="0"/>
          <w:divBdr>
            <w:top w:val="none" w:sz="0" w:space="0" w:color="auto"/>
            <w:left w:val="none" w:sz="0" w:space="0" w:color="auto"/>
            <w:bottom w:val="none" w:sz="0" w:space="0" w:color="auto"/>
            <w:right w:val="none" w:sz="0" w:space="0" w:color="auto"/>
          </w:divBdr>
        </w:div>
        <w:div w:id="1846018251">
          <w:marLeft w:val="0"/>
          <w:marRight w:val="0"/>
          <w:marTop w:val="0"/>
          <w:marBottom w:val="0"/>
          <w:divBdr>
            <w:top w:val="none" w:sz="0" w:space="0" w:color="auto"/>
            <w:left w:val="none" w:sz="0" w:space="0" w:color="auto"/>
            <w:bottom w:val="none" w:sz="0" w:space="0" w:color="auto"/>
            <w:right w:val="none" w:sz="0" w:space="0" w:color="auto"/>
          </w:divBdr>
        </w:div>
        <w:div w:id="2146461985">
          <w:marLeft w:val="0"/>
          <w:marRight w:val="0"/>
          <w:marTop w:val="0"/>
          <w:marBottom w:val="0"/>
          <w:divBdr>
            <w:top w:val="none" w:sz="0" w:space="0" w:color="auto"/>
            <w:left w:val="none" w:sz="0" w:space="0" w:color="auto"/>
            <w:bottom w:val="none" w:sz="0" w:space="0" w:color="auto"/>
            <w:right w:val="none" w:sz="0" w:space="0" w:color="auto"/>
          </w:divBdr>
        </w:div>
      </w:divsChild>
    </w:div>
    <w:div w:id="913128256">
      <w:bodyDiv w:val="1"/>
      <w:marLeft w:val="0"/>
      <w:marRight w:val="0"/>
      <w:marTop w:val="0"/>
      <w:marBottom w:val="0"/>
      <w:divBdr>
        <w:top w:val="none" w:sz="0" w:space="0" w:color="auto"/>
        <w:left w:val="none" w:sz="0" w:space="0" w:color="auto"/>
        <w:bottom w:val="none" w:sz="0" w:space="0" w:color="auto"/>
        <w:right w:val="none" w:sz="0" w:space="0" w:color="auto"/>
      </w:divBdr>
    </w:div>
    <w:div w:id="945038745">
      <w:bodyDiv w:val="1"/>
      <w:marLeft w:val="0"/>
      <w:marRight w:val="0"/>
      <w:marTop w:val="0"/>
      <w:marBottom w:val="0"/>
      <w:divBdr>
        <w:top w:val="none" w:sz="0" w:space="0" w:color="auto"/>
        <w:left w:val="none" w:sz="0" w:space="0" w:color="auto"/>
        <w:bottom w:val="none" w:sz="0" w:space="0" w:color="auto"/>
        <w:right w:val="none" w:sz="0" w:space="0" w:color="auto"/>
      </w:divBdr>
    </w:div>
    <w:div w:id="960377388">
      <w:bodyDiv w:val="1"/>
      <w:marLeft w:val="0"/>
      <w:marRight w:val="0"/>
      <w:marTop w:val="0"/>
      <w:marBottom w:val="0"/>
      <w:divBdr>
        <w:top w:val="none" w:sz="0" w:space="0" w:color="auto"/>
        <w:left w:val="none" w:sz="0" w:space="0" w:color="auto"/>
        <w:bottom w:val="none" w:sz="0" w:space="0" w:color="auto"/>
        <w:right w:val="none" w:sz="0" w:space="0" w:color="auto"/>
      </w:divBdr>
      <w:divsChild>
        <w:div w:id="45027304">
          <w:marLeft w:val="0"/>
          <w:marRight w:val="0"/>
          <w:marTop w:val="0"/>
          <w:marBottom w:val="0"/>
          <w:divBdr>
            <w:top w:val="none" w:sz="0" w:space="0" w:color="auto"/>
            <w:left w:val="none" w:sz="0" w:space="0" w:color="auto"/>
            <w:bottom w:val="none" w:sz="0" w:space="0" w:color="auto"/>
            <w:right w:val="none" w:sz="0" w:space="0" w:color="auto"/>
          </w:divBdr>
        </w:div>
        <w:div w:id="156830172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39940838">
      <w:bodyDiv w:val="1"/>
      <w:marLeft w:val="0"/>
      <w:marRight w:val="0"/>
      <w:marTop w:val="0"/>
      <w:marBottom w:val="0"/>
      <w:divBdr>
        <w:top w:val="none" w:sz="0" w:space="0" w:color="auto"/>
        <w:left w:val="none" w:sz="0" w:space="0" w:color="auto"/>
        <w:bottom w:val="none" w:sz="0" w:space="0" w:color="auto"/>
        <w:right w:val="none" w:sz="0" w:space="0" w:color="auto"/>
      </w:divBdr>
    </w:div>
    <w:div w:id="1072854797">
      <w:bodyDiv w:val="1"/>
      <w:marLeft w:val="0"/>
      <w:marRight w:val="0"/>
      <w:marTop w:val="0"/>
      <w:marBottom w:val="0"/>
      <w:divBdr>
        <w:top w:val="none" w:sz="0" w:space="0" w:color="auto"/>
        <w:left w:val="none" w:sz="0" w:space="0" w:color="auto"/>
        <w:bottom w:val="none" w:sz="0" w:space="0" w:color="auto"/>
        <w:right w:val="none" w:sz="0" w:space="0" w:color="auto"/>
      </w:divBdr>
    </w:div>
    <w:div w:id="1102532042">
      <w:bodyDiv w:val="1"/>
      <w:marLeft w:val="0"/>
      <w:marRight w:val="0"/>
      <w:marTop w:val="0"/>
      <w:marBottom w:val="0"/>
      <w:divBdr>
        <w:top w:val="none" w:sz="0" w:space="0" w:color="auto"/>
        <w:left w:val="none" w:sz="0" w:space="0" w:color="auto"/>
        <w:bottom w:val="none" w:sz="0" w:space="0" w:color="auto"/>
        <w:right w:val="none" w:sz="0" w:space="0" w:color="auto"/>
      </w:divBdr>
    </w:div>
    <w:div w:id="1107654605">
      <w:bodyDiv w:val="1"/>
      <w:marLeft w:val="0"/>
      <w:marRight w:val="0"/>
      <w:marTop w:val="0"/>
      <w:marBottom w:val="0"/>
      <w:divBdr>
        <w:top w:val="none" w:sz="0" w:space="0" w:color="auto"/>
        <w:left w:val="none" w:sz="0" w:space="0" w:color="auto"/>
        <w:bottom w:val="none" w:sz="0" w:space="0" w:color="auto"/>
        <w:right w:val="none" w:sz="0" w:space="0" w:color="auto"/>
      </w:divBdr>
    </w:div>
    <w:div w:id="1118454609">
      <w:bodyDiv w:val="1"/>
      <w:marLeft w:val="0"/>
      <w:marRight w:val="0"/>
      <w:marTop w:val="0"/>
      <w:marBottom w:val="0"/>
      <w:divBdr>
        <w:top w:val="none" w:sz="0" w:space="0" w:color="auto"/>
        <w:left w:val="none" w:sz="0" w:space="0" w:color="auto"/>
        <w:bottom w:val="none" w:sz="0" w:space="0" w:color="auto"/>
        <w:right w:val="none" w:sz="0" w:space="0" w:color="auto"/>
      </w:divBdr>
    </w:div>
    <w:div w:id="1124695279">
      <w:bodyDiv w:val="1"/>
      <w:marLeft w:val="0"/>
      <w:marRight w:val="0"/>
      <w:marTop w:val="0"/>
      <w:marBottom w:val="0"/>
      <w:divBdr>
        <w:top w:val="none" w:sz="0" w:space="0" w:color="auto"/>
        <w:left w:val="none" w:sz="0" w:space="0" w:color="auto"/>
        <w:bottom w:val="none" w:sz="0" w:space="0" w:color="auto"/>
        <w:right w:val="none" w:sz="0" w:space="0" w:color="auto"/>
      </w:divBdr>
    </w:div>
    <w:div w:id="1167095259">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191651494">
      <w:bodyDiv w:val="1"/>
      <w:marLeft w:val="0"/>
      <w:marRight w:val="0"/>
      <w:marTop w:val="0"/>
      <w:marBottom w:val="0"/>
      <w:divBdr>
        <w:top w:val="none" w:sz="0" w:space="0" w:color="auto"/>
        <w:left w:val="none" w:sz="0" w:space="0" w:color="auto"/>
        <w:bottom w:val="none" w:sz="0" w:space="0" w:color="auto"/>
        <w:right w:val="none" w:sz="0" w:space="0" w:color="auto"/>
      </w:divBdr>
    </w:div>
    <w:div w:id="1192953994">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276477030">
      <w:bodyDiv w:val="1"/>
      <w:marLeft w:val="0"/>
      <w:marRight w:val="0"/>
      <w:marTop w:val="0"/>
      <w:marBottom w:val="0"/>
      <w:divBdr>
        <w:top w:val="none" w:sz="0" w:space="0" w:color="auto"/>
        <w:left w:val="none" w:sz="0" w:space="0" w:color="auto"/>
        <w:bottom w:val="none" w:sz="0" w:space="0" w:color="auto"/>
        <w:right w:val="none" w:sz="0" w:space="0" w:color="auto"/>
      </w:divBdr>
    </w:div>
    <w:div w:id="1281573814">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316376952">
      <w:bodyDiv w:val="1"/>
      <w:marLeft w:val="0"/>
      <w:marRight w:val="0"/>
      <w:marTop w:val="0"/>
      <w:marBottom w:val="0"/>
      <w:divBdr>
        <w:top w:val="none" w:sz="0" w:space="0" w:color="auto"/>
        <w:left w:val="none" w:sz="0" w:space="0" w:color="auto"/>
        <w:bottom w:val="none" w:sz="0" w:space="0" w:color="auto"/>
        <w:right w:val="none" w:sz="0" w:space="0" w:color="auto"/>
      </w:divBdr>
    </w:div>
    <w:div w:id="1322388338">
      <w:bodyDiv w:val="1"/>
      <w:marLeft w:val="0"/>
      <w:marRight w:val="0"/>
      <w:marTop w:val="0"/>
      <w:marBottom w:val="0"/>
      <w:divBdr>
        <w:top w:val="none" w:sz="0" w:space="0" w:color="auto"/>
        <w:left w:val="none" w:sz="0" w:space="0" w:color="auto"/>
        <w:bottom w:val="none" w:sz="0" w:space="0" w:color="auto"/>
        <w:right w:val="none" w:sz="0" w:space="0" w:color="auto"/>
      </w:divBdr>
    </w:div>
    <w:div w:id="1328170751">
      <w:bodyDiv w:val="1"/>
      <w:marLeft w:val="0"/>
      <w:marRight w:val="0"/>
      <w:marTop w:val="0"/>
      <w:marBottom w:val="0"/>
      <w:divBdr>
        <w:top w:val="none" w:sz="0" w:space="0" w:color="auto"/>
        <w:left w:val="none" w:sz="0" w:space="0" w:color="auto"/>
        <w:bottom w:val="none" w:sz="0" w:space="0" w:color="auto"/>
        <w:right w:val="none" w:sz="0" w:space="0" w:color="auto"/>
      </w:divBdr>
    </w:div>
    <w:div w:id="1347974841">
      <w:bodyDiv w:val="1"/>
      <w:marLeft w:val="0"/>
      <w:marRight w:val="0"/>
      <w:marTop w:val="0"/>
      <w:marBottom w:val="0"/>
      <w:divBdr>
        <w:top w:val="none" w:sz="0" w:space="0" w:color="auto"/>
        <w:left w:val="none" w:sz="0" w:space="0" w:color="auto"/>
        <w:bottom w:val="none" w:sz="0" w:space="0" w:color="auto"/>
        <w:right w:val="none" w:sz="0" w:space="0" w:color="auto"/>
      </w:divBdr>
    </w:div>
    <w:div w:id="1416704387">
      <w:bodyDiv w:val="1"/>
      <w:marLeft w:val="0"/>
      <w:marRight w:val="0"/>
      <w:marTop w:val="0"/>
      <w:marBottom w:val="0"/>
      <w:divBdr>
        <w:top w:val="none" w:sz="0" w:space="0" w:color="auto"/>
        <w:left w:val="none" w:sz="0" w:space="0" w:color="auto"/>
        <w:bottom w:val="none" w:sz="0" w:space="0" w:color="auto"/>
        <w:right w:val="none" w:sz="0" w:space="0" w:color="auto"/>
      </w:divBdr>
    </w:div>
    <w:div w:id="1416854427">
      <w:bodyDiv w:val="1"/>
      <w:marLeft w:val="0"/>
      <w:marRight w:val="0"/>
      <w:marTop w:val="0"/>
      <w:marBottom w:val="0"/>
      <w:divBdr>
        <w:top w:val="none" w:sz="0" w:space="0" w:color="auto"/>
        <w:left w:val="none" w:sz="0" w:space="0" w:color="auto"/>
        <w:bottom w:val="none" w:sz="0" w:space="0" w:color="auto"/>
        <w:right w:val="none" w:sz="0" w:space="0" w:color="auto"/>
      </w:divBdr>
    </w:div>
    <w:div w:id="1417633124">
      <w:bodyDiv w:val="1"/>
      <w:marLeft w:val="0"/>
      <w:marRight w:val="0"/>
      <w:marTop w:val="0"/>
      <w:marBottom w:val="0"/>
      <w:divBdr>
        <w:top w:val="none" w:sz="0" w:space="0" w:color="auto"/>
        <w:left w:val="none" w:sz="0" w:space="0" w:color="auto"/>
        <w:bottom w:val="none" w:sz="0" w:space="0" w:color="auto"/>
        <w:right w:val="none" w:sz="0" w:space="0" w:color="auto"/>
      </w:divBdr>
    </w:div>
    <w:div w:id="1422918252">
      <w:bodyDiv w:val="1"/>
      <w:marLeft w:val="0"/>
      <w:marRight w:val="0"/>
      <w:marTop w:val="0"/>
      <w:marBottom w:val="0"/>
      <w:divBdr>
        <w:top w:val="none" w:sz="0" w:space="0" w:color="auto"/>
        <w:left w:val="none" w:sz="0" w:space="0" w:color="auto"/>
        <w:bottom w:val="none" w:sz="0" w:space="0" w:color="auto"/>
        <w:right w:val="none" w:sz="0" w:space="0" w:color="auto"/>
      </w:divBdr>
    </w:div>
    <w:div w:id="1454130472">
      <w:bodyDiv w:val="1"/>
      <w:marLeft w:val="0"/>
      <w:marRight w:val="0"/>
      <w:marTop w:val="0"/>
      <w:marBottom w:val="0"/>
      <w:divBdr>
        <w:top w:val="none" w:sz="0" w:space="0" w:color="auto"/>
        <w:left w:val="none" w:sz="0" w:space="0" w:color="auto"/>
        <w:bottom w:val="none" w:sz="0" w:space="0" w:color="auto"/>
        <w:right w:val="none" w:sz="0" w:space="0" w:color="auto"/>
      </w:divBdr>
      <w:divsChild>
        <w:div w:id="154304396">
          <w:marLeft w:val="0"/>
          <w:marRight w:val="0"/>
          <w:marTop w:val="0"/>
          <w:marBottom w:val="0"/>
          <w:divBdr>
            <w:top w:val="none" w:sz="0" w:space="0" w:color="auto"/>
            <w:left w:val="none" w:sz="0" w:space="0" w:color="auto"/>
            <w:bottom w:val="none" w:sz="0" w:space="0" w:color="auto"/>
            <w:right w:val="none" w:sz="0" w:space="0" w:color="auto"/>
          </w:divBdr>
          <w:divsChild>
            <w:div w:id="237373290">
              <w:marLeft w:val="0"/>
              <w:marRight w:val="0"/>
              <w:marTop w:val="0"/>
              <w:marBottom w:val="0"/>
              <w:divBdr>
                <w:top w:val="none" w:sz="0" w:space="0" w:color="auto"/>
                <w:left w:val="none" w:sz="0" w:space="0" w:color="auto"/>
                <w:bottom w:val="none" w:sz="0" w:space="0" w:color="auto"/>
                <w:right w:val="none" w:sz="0" w:space="0" w:color="auto"/>
              </w:divBdr>
            </w:div>
            <w:div w:id="443160518">
              <w:marLeft w:val="0"/>
              <w:marRight w:val="0"/>
              <w:marTop w:val="0"/>
              <w:marBottom w:val="0"/>
              <w:divBdr>
                <w:top w:val="none" w:sz="0" w:space="0" w:color="auto"/>
                <w:left w:val="none" w:sz="0" w:space="0" w:color="auto"/>
                <w:bottom w:val="none" w:sz="0" w:space="0" w:color="auto"/>
                <w:right w:val="none" w:sz="0" w:space="0" w:color="auto"/>
              </w:divBdr>
            </w:div>
            <w:div w:id="642737975">
              <w:marLeft w:val="0"/>
              <w:marRight w:val="0"/>
              <w:marTop w:val="0"/>
              <w:marBottom w:val="0"/>
              <w:divBdr>
                <w:top w:val="none" w:sz="0" w:space="0" w:color="auto"/>
                <w:left w:val="none" w:sz="0" w:space="0" w:color="auto"/>
                <w:bottom w:val="none" w:sz="0" w:space="0" w:color="auto"/>
                <w:right w:val="none" w:sz="0" w:space="0" w:color="auto"/>
              </w:divBdr>
            </w:div>
            <w:div w:id="790704664">
              <w:marLeft w:val="0"/>
              <w:marRight w:val="0"/>
              <w:marTop w:val="0"/>
              <w:marBottom w:val="0"/>
              <w:divBdr>
                <w:top w:val="none" w:sz="0" w:space="0" w:color="auto"/>
                <w:left w:val="none" w:sz="0" w:space="0" w:color="auto"/>
                <w:bottom w:val="none" w:sz="0" w:space="0" w:color="auto"/>
                <w:right w:val="none" w:sz="0" w:space="0" w:color="auto"/>
              </w:divBdr>
            </w:div>
            <w:div w:id="1026753946">
              <w:marLeft w:val="0"/>
              <w:marRight w:val="0"/>
              <w:marTop w:val="0"/>
              <w:marBottom w:val="0"/>
              <w:divBdr>
                <w:top w:val="none" w:sz="0" w:space="0" w:color="auto"/>
                <w:left w:val="none" w:sz="0" w:space="0" w:color="auto"/>
                <w:bottom w:val="none" w:sz="0" w:space="0" w:color="auto"/>
                <w:right w:val="none" w:sz="0" w:space="0" w:color="auto"/>
              </w:divBdr>
            </w:div>
            <w:div w:id="1060251433">
              <w:marLeft w:val="0"/>
              <w:marRight w:val="0"/>
              <w:marTop w:val="0"/>
              <w:marBottom w:val="0"/>
              <w:divBdr>
                <w:top w:val="none" w:sz="0" w:space="0" w:color="auto"/>
                <w:left w:val="none" w:sz="0" w:space="0" w:color="auto"/>
                <w:bottom w:val="none" w:sz="0" w:space="0" w:color="auto"/>
                <w:right w:val="none" w:sz="0" w:space="0" w:color="auto"/>
              </w:divBdr>
            </w:div>
            <w:div w:id="1673988025">
              <w:marLeft w:val="0"/>
              <w:marRight w:val="0"/>
              <w:marTop w:val="0"/>
              <w:marBottom w:val="0"/>
              <w:divBdr>
                <w:top w:val="none" w:sz="0" w:space="0" w:color="auto"/>
                <w:left w:val="none" w:sz="0" w:space="0" w:color="auto"/>
                <w:bottom w:val="none" w:sz="0" w:space="0" w:color="auto"/>
                <w:right w:val="none" w:sz="0" w:space="0" w:color="auto"/>
              </w:divBdr>
            </w:div>
            <w:div w:id="1686516385">
              <w:marLeft w:val="0"/>
              <w:marRight w:val="0"/>
              <w:marTop w:val="0"/>
              <w:marBottom w:val="0"/>
              <w:divBdr>
                <w:top w:val="none" w:sz="0" w:space="0" w:color="auto"/>
                <w:left w:val="none" w:sz="0" w:space="0" w:color="auto"/>
                <w:bottom w:val="none" w:sz="0" w:space="0" w:color="auto"/>
                <w:right w:val="none" w:sz="0" w:space="0" w:color="auto"/>
              </w:divBdr>
            </w:div>
            <w:div w:id="1747612346">
              <w:marLeft w:val="0"/>
              <w:marRight w:val="0"/>
              <w:marTop w:val="0"/>
              <w:marBottom w:val="0"/>
              <w:divBdr>
                <w:top w:val="none" w:sz="0" w:space="0" w:color="auto"/>
                <w:left w:val="none" w:sz="0" w:space="0" w:color="auto"/>
                <w:bottom w:val="none" w:sz="0" w:space="0" w:color="auto"/>
                <w:right w:val="none" w:sz="0" w:space="0" w:color="auto"/>
              </w:divBdr>
            </w:div>
          </w:divsChild>
        </w:div>
        <w:div w:id="937643486">
          <w:marLeft w:val="0"/>
          <w:marRight w:val="0"/>
          <w:marTop w:val="0"/>
          <w:marBottom w:val="0"/>
          <w:divBdr>
            <w:top w:val="none" w:sz="0" w:space="0" w:color="auto"/>
            <w:left w:val="none" w:sz="0" w:space="0" w:color="auto"/>
            <w:bottom w:val="none" w:sz="0" w:space="0" w:color="auto"/>
            <w:right w:val="none" w:sz="0" w:space="0" w:color="auto"/>
          </w:divBdr>
          <w:divsChild>
            <w:div w:id="262493318">
              <w:marLeft w:val="0"/>
              <w:marRight w:val="0"/>
              <w:marTop w:val="0"/>
              <w:marBottom w:val="0"/>
              <w:divBdr>
                <w:top w:val="none" w:sz="0" w:space="0" w:color="auto"/>
                <w:left w:val="none" w:sz="0" w:space="0" w:color="auto"/>
                <w:bottom w:val="none" w:sz="0" w:space="0" w:color="auto"/>
                <w:right w:val="none" w:sz="0" w:space="0" w:color="auto"/>
              </w:divBdr>
            </w:div>
            <w:div w:id="292566703">
              <w:marLeft w:val="0"/>
              <w:marRight w:val="0"/>
              <w:marTop w:val="0"/>
              <w:marBottom w:val="0"/>
              <w:divBdr>
                <w:top w:val="none" w:sz="0" w:space="0" w:color="auto"/>
                <w:left w:val="none" w:sz="0" w:space="0" w:color="auto"/>
                <w:bottom w:val="none" w:sz="0" w:space="0" w:color="auto"/>
                <w:right w:val="none" w:sz="0" w:space="0" w:color="auto"/>
              </w:divBdr>
            </w:div>
            <w:div w:id="1044330892">
              <w:marLeft w:val="0"/>
              <w:marRight w:val="0"/>
              <w:marTop w:val="0"/>
              <w:marBottom w:val="0"/>
              <w:divBdr>
                <w:top w:val="none" w:sz="0" w:space="0" w:color="auto"/>
                <w:left w:val="none" w:sz="0" w:space="0" w:color="auto"/>
                <w:bottom w:val="none" w:sz="0" w:space="0" w:color="auto"/>
                <w:right w:val="none" w:sz="0" w:space="0" w:color="auto"/>
              </w:divBdr>
            </w:div>
            <w:div w:id="1070882513">
              <w:marLeft w:val="0"/>
              <w:marRight w:val="0"/>
              <w:marTop w:val="0"/>
              <w:marBottom w:val="0"/>
              <w:divBdr>
                <w:top w:val="none" w:sz="0" w:space="0" w:color="auto"/>
                <w:left w:val="none" w:sz="0" w:space="0" w:color="auto"/>
                <w:bottom w:val="none" w:sz="0" w:space="0" w:color="auto"/>
                <w:right w:val="none" w:sz="0" w:space="0" w:color="auto"/>
              </w:divBdr>
            </w:div>
            <w:div w:id="1160778639">
              <w:marLeft w:val="0"/>
              <w:marRight w:val="0"/>
              <w:marTop w:val="0"/>
              <w:marBottom w:val="0"/>
              <w:divBdr>
                <w:top w:val="none" w:sz="0" w:space="0" w:color="auto"/>
                <w:left w:val="none" w:sz="0" w:space="0" w:color="auto"/>
                <w:bottom w:val="none" w:sz="0" w:space="0" w:color="auto"/>
                <w:right w:val="none" w:sz="0" w:space="0" w:color="auto"/>
              </w:divBdr>
            </w:div>
            <w:div w:id="1182620441">
              <w:marLeft w:val="0"/>
              <w:marRight w:val="0"/>
              <w:marTop w:val="0"/>
              <w:marBottom w:val="0"/>
              <w:divBdr>
                <w:top w:val="none" w:sz="0" w:space="0" w:color="auto"/>
                <w:left w:val="none" w:sz="0" w:space="0" w:color="auto"/>
                <w:bottom w:val="none" w:sz="0" w:space="0" w:color="auto"/>
                <w:right w:val="none" w:sz="0" w:space="0" w:color="auto"/>
              </w:divBdr>
            </w:div>
            <w:div w:id="1198469645">
              <w:marLeft w:val="0"/>
              <w:marRight w:val="0"/>
              <w:marTop w:val="0"/>
              <w:marBottom w:val="0"/>
              <w:divBdr>
                <w:top w:val="none" w:sz="0" w:space="0" w:color="auto"/>
                <w:left w:val="none" w:sz="0" w:space="0" w:color="auto"/>
                <w:bottom w:val="none" w:sz="0" w:space="0" w:color="auto"/>
                <w:right w:val="none" w:sz="0" w:space="0" w:color="auto"/>
              </w:divBdr>
            </w:div>
            <w:div w:id="1222403563">
              <w:marLeft w:val="0"/>
              <w:marRight w:val="0"/>
              <w:marTop w:val="0"/>
              <w:marBottom w:val="0"/>
              <w:divBdr>
                <w:top w:val="none" w:sz="0" w:space="0" w:color="auto"/>
                <w:left w:val="none" w:sz="0" w:space="0" w:color="auto"/>
                <w:bottom w:val="none" w:sz="0" w:space="0" w:color="auto"/>
                <w:right w:val="none" w:sz="0" w:space="0" w:color="auto"/>
              </w:divBdr>
            </w:div>
            <w:div w:id="1228997252">
              <w:marLeft w:val="0"/>
              <w:marRight w:val="0"/>
              <w:marTop w:val="0"/>
              <w:marBottom w:val="0"/>
              <w:divBdr>
                <w:top w:val="none" w:sz="0" w:space="0" w:color="auto"/>
                <w:left w:val="none" w:sz="0" w:space="0" w:color="auto"/>
                <w:bottom w:val="none" w:sz="0" w:space="0" w:color="auto"/>
                <w:right w:val="none" w:sz="0" w:space="0" w:color="auto"/>
              </w:divBdr>
            </w:div>
            <w:div w:id="1289583626">
              <w:marLeft w:val="0"/>
              <w:marRight w:val="0"/>
              <w:marTop w:val="0"/>
              <w:marBottom w:val="0"/>
              <w:divBdr>
                <w:top w:val="none" w:sz="0" w:space="0" w:color="auto"/>
                <w:left w:val="none" w:sz="0" w:space="0" w:color="auto"/>
                <w:bottom w:val="none" w:sz="0" w:space="0" w:color="auto"/>
                <w:right w:val="none" w:sz="0" w:space="0" w:color="auto"/>
              </w:divBdr>
            </w:div>
            <w:div w:id="1421289109">
              <w:marLeft w:val="0"/>
              <w:marRight w:val="0"/>
              <w:marTop w:val="0"/>
              <w:marBottom w:val="0"/>
              <w:divBdr>
                <w:top w:val="none" w:sz="0" w:space="0" w:color="auto"/>
                <w:left w:val="none" w:sz="0" w:space="0" w:color="auto"/>
                <w:bottom w:val="none" w:sz="0" w:space="0" w:color="auto"/>
                <w:right w:val="none" w:sz="0" w:space="0" w:color="auto"/>
              </w:divBdr>
            </w:div>
            <w:div w:id="1501695641">
              <w:marLeft w:val="0"/>
              <w:marRight w:val="0"/>
              <w:marTop w:val="0"/>
              <w:marBottom w:val="0"/>
              <w:divBdr>
                <w:top w:val="none" w:sz="0" w:space="0" w:color="auto"/>
                <w:left w:val="none" w:sz="0" w:space="0" w:color="auto"/>
                <w:bottom w:val="none" w:sz="0" w:space="0" w:color="auto"/>
                <w:right w:val="none" w:sz="0" w:space="0" w:color="auto"/>
              </w:divBdr>
            </w:div>
            <w:div w:id="1708985177">
              <w:marLeft w:val="0"/>
              <w:marRight w:val="0"/>
              <w:marTop w:val="0"/>
              <w:marBottom w:val="0"/>
              <w:divBdr>
                <w:top w:val="none" w:sz="0" w:space="0" w:color="auto"/>
                <w:left w:val="none" w:sz="0" w:space="0" w:color="auto"/>
                <w:bottom w:val="none" w:sz="0" w:space="0" w:color="auto"/>
                <w:right w:val="none" w:sz="0" w:space="0" w:color="auto"/>
              </w:divBdr>
            </w:div>
            <w:div w:id="20298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9368">
      <w:bodyDiv w:val="1"/>
      <w:marLeft w:val="0"/>
      <w:marRight w:val="0"/>
      <w:marTop w:val="0"/>
      <w:marBottom w:val="0"/>
      <w:divBdr>
        <w:top w:val="none" w:sz="0" w:space="0" w:color="auto"/>
        <w:left w:val="none" w:sz="0" w:space="0" w:color="auto"/>
        <w:bottom w:val="none" w:sz="0" w:space="0" w:color="auto"/>
        <w:right w:val="none" w:sz="0" w:space="0" w:color="auto"/>
      </w:divBdr>
    </w:div>
    <w:div w:id="1483235446">
      <w:bodyDiv w:val="1"/>
      <w:marLeft w:val="0"/>
      <w:marRight w:val="0"/>
      <w:marTop w:val="0"/>
      <w:marBottom w:val="0"/>
      <w:divBdr>
        <w:top w:val="none" w:sz="0" w:space="0" w:color="auto"/>
        <w:left w:val="none" w:sz="0" w:space="0" w:color="auto"/>
        <w:bottom w:val="none" w:sz="0" w:space="0" w:color="auto"/>
        <w:right w:val="none" w:sz="0" w:space="0" w:color="auto"/>
      </w:divBdr>
    </w:div>
    <w:div w:id="1491092808">
      <w:bodyDiv w:val="1"/>
      <w:marLeft w:val="0"/>
      <w:marRight w:val="0"/>
      <w:marTop w:val="0"/>
      <w:marBottom w:val="0"/>
      <w:divBdr>
        <w:top w:val="none" w:sz="0" w:space="0" w:color="auto"/>
        <w:left w:val="none" w:sz="0" w:space="0" w:color="auto"/>
        <w:bottom w:val="none" w:sz="0" w:space="0" w:color="auto"/>
        <w:right w:val="none" w:sz="0" w:space="0" w:color="auto"/>
      </w:divBdr>
    </w:div>
    <w:div w:id="1502768811">
      <w:bodyDiv w:val="1"/>
      <w:marLeft w:val="0"/>
      <w:marRight w:val="0"/>
      <w:marTop w:val="0"/>
      <w:marBottom w:val="0"/>
      <w:divBdr>
        <w:top w:val="none" w:sz="0" w:space="0" w:color="auto"/>
        <w:left w:val="none" w:sz="0" w:space="0" w:color="auto"/>
        <w:bottom w:val="none" w:sz="0" w:space="0" w:color="auto"/>
        <w:right w:val="none" w:sz="0" w:space="0" w:color="auto"/>
      </w:divBdr>
      <w:divsChild>
        <w:div w:id="259145544">
          <w:marLeft w:val="0"/>
          <w:marRight w:val="0"/>
          <w:marTop w:val="0"/>
          <w:marBottom w:val="0"/>
          <w:divBdr>
            <w:top w:val="none" w:sz="0" w:space="0" w:color="auto"/>
            <w:left w:val="none" w:sz="0" w:space="0" w:color="auto"/>
            <w:bottom w:val="none" w:sz="0" w:space="0" w:color="auto"/>
            <w:right w:val="none" w:sz="0" w:space="0" w:color="auto"/>
          </w:divBdr>
        </w:div>
        <w:div w:id="985818892">
          <w:marLeft w:val="0"/>
          <w:marRight w:val="0"/>
          <w:marTop w:val="0"/>
          <w:marBottom w:val="0"/>
          <w:divBdr>
            <w:top w:val="none" w:sz="0" w:space="0" w:color="auto"/>
            <w:left w:val="none" w:sz="0" w:space="0" w:color="auto"/>
            <w:bottom w:val="none" w:sz="0" w:space="0" w:color="auto"/>
            <w:right w:val="none" w:sz="0" w:space="0" w:color="auto"/>
          </w:divBdr>
        </w:div>
      </w:divsChild>
    </w:div>
    <w:div w:id="1547909583">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555308979">
      <w:bodyDiv w:val="1"/>
      <w:marLeft w:val="0"/>
      <w:marRight w:val="0"/>
      <w:marTop w:val="0"/>
      <w:marBottom w:val="0"/>
      <w:divBdr>
        <w:top w:val="none" w:sz="0" w:space="0" w:color="auto"/>
        <w:left w:val="none" w:sz="0" w:space="0" w:color="auto"/>
        <w:bottom w:val="none" w:sz="0" w:space="0" w:color="auto"/>
        <w:right w:val="none" w:sz="0" w:space="0" w:color="auto"/>
      </w:divBdr>
    </w:div>
    <w:div w:id="1618179852">
      <w:bodyDiv w:val="1"/>
      <w:marLeft w:val="0"/>
      <w:marRight w:val="0"/>
      <w:marTop w:val="0"/>
      <w:marBottom w:val="0"/>
      <w:divBdr>
        <w:top w:val="none" w:sz="0" w:space="0" w:color="auto"/>
        <w:left w:val="none" w:sz="0" w:space="0" w:color="auto"/>
        <w:bottom w:val="none" w:sz="0" w:space="0" w:color="auto"/>
        <w:right w:val="none" w:sz="0" w:space="0" w:color="auto"/>
      </w:divBdr>
    </w:div>
    <w:div w:id="1661616979">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21709498">
      <w:bodyDiv w:val="1"/>
      <w:marLeft w:val="0"/>
      <w:marRight w:val="0"/>
      <w:marTop w:val="0"/>
      <w:marBottom w:val="0"/>
      <w:divBdr>
        <w:top w:val="none" w:sz="0" w:space="0" w:color="auto"/>
        <w:left w:val="none" w:sz="0" w:space="0" w:color="auto"/>
        <w:bottom w:val="none" w:sz="0" w:space="0" w:color="auto"/>
        <w:right w:val="none" w:sz="0" w:space="0" w:color="auto"/>
      </w:divBdr>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756396156">
      <w:bodyDiv w:val="1"/>
      <w:marLeft w:val="0"/>
      <w:marRight w:val="0"/>
      <w:marTop w:val="0"/>
      <w:marBottom w:val="0"/>
      <w:divBdr>
        <w:top w:val="none" w:sz="0" w:space="0" w:color="auto"/>
        <w:left w:val="none" w:sz="0" w:space="0" w:color="auto"/>
        <w:bottom w:val="none" w:sz="0" w:space="0" w:color="auto"/>
        <w:right w:val="none" w:sz="0" w:space="0" w:color="auto"/>
      </w:divBdr>
    </w:div>
    <w:div w:id="1826583237">
      <w:bodyDiv w:val="1"/>
      <w:marLeft w:val="0"/>
      <w:marRight w:val="0"/>
      <w:marTop w:val="0"/>
      <w:marBottom w:val="0"/>
      <w:divBdr>
        <w:top w:val="none" w:sz="0" w:space="0" w:color="auto"/>
        <w:left w:val="none" w:sz="0" w:space="0" w:color="auto"/>
        <w:bottom w:val="none" w:sz="0" w:space="0" w:color="auto"/>
        <w:right w:val="none" w:sz="0" w:space="0" w:color="auto"/>
      </w:divBdr>
      <w:divsChild>
        <w:div w:id="1296721287">
          <w:marLeft w:val="0"/>
          <w:marRight w:val="0"/>
          <w:marTop w:val="0"/>
          <w:marBottom w:val="0"/>
          <w:divBdr>
            <w:top w:val="none" w:sz="0" w:space="0" w:color="auto"/>
            <w:left w:val="none" w:sz="0" w:space="0" w:color="auto"/>
            <w:bottom w:val="none" w:sz="0" w:space="0" w:color="auto"/>
            <w:right w:val="none" w:sz="0" w:space="0" w:color="auto"/>
          </w:divBdr>
        </w:div>
        <w:div w:id="1666394501">
          <w:marLeft w:val="0"/>
          <w:marRight w:val="0"/>
          <w:marTop w:val="0"/>
          <w:marBottom w:val="0"/>
          <w:divBdr>
            <w:top w:val="none" w:sz="0" w:space="0" w:color="auto"/>
            <w:left w:val="none" w:sz="0" w:space="0" w:color="auto"/>
            <w:bottom w:val="none" w:sz="0" w:space="0" w:color="auto"/>
            <w:right w:val="none" w:sz="0" w:space="0" w:color="auto"/>
          </w:divBdr>
          <w:divsChild>
            <w:div w:id="1096897868">
              <w:marLeft w:val="-75"/>
              <w:marRight w:val="0"/>
              <w:marTop w:val="30"/>
              <w:marBottom w:val="30"/>
              <w:divBdr>
                <w:top w:val="none" w:sz="0" w:space="0" w:color="auto"/>
                <w:left w:val="none" w:sz="0" w:space="0" w:color="auto"/>
                <w:bottom w:val="none" w:sz="0" w:space="0" w:color="auto"/>
                <w:right w:val="none" w:sz="0" w:space="0" w:color="auto"/>
              </w:divBdr>
              <w:divsChild>
                <w:div w:id="328024960">
                  <w:marLeft w:val="0"/>
                  <w:marRight w:val="0"/>
                  <w:marTop w:val="0"/>
                  <w:marBottom w:val="0"/>
                  <w:divBdr>
                    <w:top w:val="none" w:sz="0" w:space="0" w:color="auto"/>
                    <w:left w:val="none" w:sz="0" w:space="0" w:color="auto"/>
                    <w:bottom w:val="none" w:sz="0" w:space="0" w:color="auto"/>
                    <w:right w:val="none" w:sz="0" w:space="0" w:color="auto"/>
                  </w:divBdr>
                  <w:divsChild>
                    <w:div w:id="1869488484">
                      <w:marLeft w:val="0"/>
                      <w:marRight w:val="0"/>
                      <w:marTop w:val="0"/>
                      <w:marBottom w:val="0"/>
                      <w:divBdr>
                        <w:top w:val="none" w:sz="0" w:space="0" w:color="auto"/>
                        <w:left w:val="none" w:sz="0" w:space="0" w:color="auto"/>
                        <w:bottom w:val="none" w:sz="0" w:space="0" w:color="auto"/>
                        <w:right w:val="none" w:sz="0" w:space="0" w:color="auto"/>
                      </w:divBdr>
                    </w:div>
                  </w:divsChild>
                </w:div>
                <w:div w:id="381102912">
                  <w:marLeft w:val="0"/>
                  <w:marRight w:val="0"/>
                  <w:marTop w:val="0"/>
                  <w:marBottom w:val="0"/>
                  <w:divBdr>
                    <w:top w:val="none" w:sz="0" w:space="0" w:color="auto"/>
                    <w:left w:val="none" w:sz="0" w:space="0" w:color="auto"/>
                    <w:bottom w:val="none" w:sz="0" w:space="0" w:color="auto"/>
                    <w:right w:val="none" w:sz="0" w:space="0" w:color="auto"/>
                  </w:divBdr>
                  <w:divsChild>
                    <w:div w:id="1917090358">
                      <w:marLeft w:val="0"/>
                      <w:marRight w:val="0"/>
                      <w:marTop w:val="0"/>
                      <w:marBottom w:val="0"/>
                      <w:divBdr>
                        <w:top w:val="none" w:sz="0" w:space="0" w:color="auto"/>
                        <w:left w:val="none" w:sz="0" w:space="0" w:color="auto"/>
                        <w:bottom w:val="none" w:sz="0" w:space="0" w:color="auto"/>
                        <w:right w:val="none" w:sz="0" w:space="0" w:color="auto"/>
                      </w:divBdr>
                    </w:div>
                  </w:divsChild>
                </w:div>
                <w:div w:id="528110717">
                  <w:marLeft w:val="0"/>
                  <w:marRight w:val="0"/>
                  <w:marTop w:val="0"/>
                  <w:marBottom w:val="0"/>
                  <w:divBdr>
                    <w:top w:val="none" w:sz="0" w:space="0" w:color="auto"/>
                    <w:left w:val="none" w:sz="0" w:space="0" w:color="auto"/>
                    <w:bottom w:val="none" w:sz="0" w:space="0" w:color="auto"/>
                    <w:right w:val="none" w:sz="0" w:space="0" w:color="auto"/>
                  </w:divBdr>
                  <w:divsChild>
                    <w:div w:id="784884617">
                      <w:marLeft w:val="0"/>
                      <w:marRight w:val="0"/>
                      <w:marTop w:val="0"/>
                      <w:marBottom w:val="0"/>
                      <w:divBdr>
                        <w:top w:val="none" w:sz="0" w:space="0" w:color="auto"/>
                        <w:left w:val="none" w:sz="0" w:space="0" w:color="auto"/>
                        <w:bottom w:val="none" w:sz="0" w:space="0" w:color="auto"/>
                        <w:right w:val="none" w:sz="0" w:space="0" w:color="auto"/>
                      </w:divBdr>
                    </w:div>
                  </w:divsChild>
                </w:div>
                <w:div w:id="615985302">
                  <w:marLeft w:val="0"/>
                  <w:marRight w:val="0"/>
                  <w:marTop w:val="0"/>
                  <w:marBottom w:val="0"/>
                  <w:divBdr>
                    <w:top w:val="none" w:sz="0" w:space="0" w:color="auto"/>
                    <w:left w:val="none" w:sz="0" w:space="0" w:color="auto"/>
                    <w:bottom w:val="none" w:sz="0" w:space="0" w:color="auto"/>
                    <w:right w:val="none" w:sz="0" w:space="0" w:color="auto"/>
                  </w:divBdr>
                  <w:divsChild>
                    <w:div w:id="271909662">
                      <w:marLeft w:val="0"/>
                      <w:marRight w:val="0"/>
                      <w:marTop w:val="0"/>
                      <w:marBottom w:val="0"/>
                      <w:divBdr>
                        <w:top w:val="none" w:sz="0" w:space="0" w:color="auto"/>
                        <w:left w:val="none" w:sz="0" w:space="0" w:color="auto"/>
                        <w:bottom w:val="none" w:sz="0" w:space="0" w:color="auto"/>
                        <w:right w:val="none" w:sz="0" w:space="0" w:color="auto"/>
                      </w:divBdr>
                    </w:div>
                  </w:divsChild>
                </w:div>
                <w:div w:id="623459380">
                  <w:marLeft w:val="0"/>
                  <w:marRight w:val="0"/>
                  <w:marTop w:val="0"/>
                  <w:marBottom w:val="0"/>
                  <w:divBdr>
                    <w:top w:val="none" w:sz="0" w:space="0" w:color="auto"/>
                    <w:left w:val="none" w:sz="0" w:space="0" w:color="auto"/>
                    <w:bottom w:val="none" w:sz="0" w:space="0" w:color="auto"/>
                    <w:right w:val="none" w:sz="0" w:space="0" w:color="auto"/>
                  </w:divBdr>
                  <w:divsChild>
                    <w:div w:id="2126775160">
                      <w:marLeft w:val="0"/>
                      <w:marRight w:val="0"/>
                      <w:marTop w:val="0"/>
                      <w:marBottom w:val="0"/>
                      <w:divBdr>
                        <w:top w:val="none" w:sz="0" w:space="0" w:color="auto"/>
                        <w:left w:val="none" w:sz="0" w:space="0" w:color="auto"/>
                        <w:bottom w:val="none" w:sz="0" w:space="0" w:color="auto"/>
                        <w:right w:val="none" w:sz="0" w:space="0" w:color="auto"/>
                      </w:divBdr>
                    </w:div>
                  </w:divsChild>
                </w:div>
                <w:div w:id="733087225">
                  <w:marLeft w:val="0"/>
                  <w:marRight w:val="0"/>
                  <w:marTop w:val="0"/>
                  <w:marBottom w:val="0"/>
                  <w:divBdr>
                    <w:top w:val="none" w:sz="0" w:space="0" w:color="auto"/>
                    <w:left w:val="none" w:sz="0" w:space="0" w:color="auto"/>
                    <w:bottom w:val="none" w:sz="0" w:space="0" w:color="auto"/>
                    <w:right w:val="none" w:sz="0" w:space="0" w:color="auto"/>
                  </w:divBdr>
                  <w:divsChild>
                    <w:div w:id="1481195956">
                      <w:marLeft w:val="0"/>
                      <w:marRight w:val="0"/>
                      <w:marTop w:val="0"/>
                      <w:marBottom w:val="0"/>
                      <w:divBdr>
                        <w:top w:val="none" w:sz="0" w:space="0" w:color="auto"/>
                        <w:left w:val="none" w:sz="0" w:space="0" w:color="auto"/>
                        <w:bottom w:val="none" w:sz="0" w:space="0" w:color="auto"/>
                        <w:right w:val="none" w:sz="0" w:space="0" w:color="auto"/>
                      </w:divBdr>
                    </w:div>
                  </w:divsChild>
                </w:div>
                <w:div w:id="758912898">
                  <w:marLeft w:val="0"/>
                  <w:marRight w:val="0"/>
                  <w:marTop w:val="0"/>
                  <w:marBottom w:val="0"/>
                  <w:divBdr>
                    <w:top w:val="none" w:sz="0" w:space="0" w:color="auto"/>
                    <w:left w:val="none" w:sz="0" w:space="0" w:color="auto"/>
                    <w:bottom w:val="none" w:sz="0" w:space="0" w:color="auto"/>
                    <w:right w:val="none" w:sz="0" w:space="0" w:color="auto"/>
                  </w:divBdr>
                  <w:divsChild>
                    <w:div w:id="126895197">
                      <w:marLeft w:val="0"/>
                      <w:marRight w:val="0"/>
                      <w:marTop w:val="0"/>
                      <w:marBottom w:val="0"/>
                      <w:divBdr>
                        <w:top w:val="none" w:sz="0" w:space="0" w:color="auto"/>
                        <w:left w:val="none" w:sz="0" w:space="0" w:color="auto"/>
                        <w:bottom w:val="none" w:sz="0" w:space="0" w:color="auto"/>
                        <w:right w:val="none" w:sz="0" w:space="0" w:color="auto"/>
                      </w:divBdr>
                    </w:div>
                  </w:divsChild>
                </w:div>
                <w:div w:id="865600774">
                  <w:marLeft w:val="0"/>
                  <w:marRight w:val="0"/>
                  <w:marTop w:val="0"/>
                  <w:marBottom w:val="0"/>
                  <w:divBdr>
                    <w:top w:val="none" w:sz="0" w:space="0" w:color="auto"/>
                    <w:left w:val="none" w:sz="0" w:space="0" w:color="auto"/>
                    <w:bottom w:val="none" w:sz="0" w:space="0" w:color="auto"/>
                    <w:right w:val="none" w:sz="0" w:space="0" w:color="auto"/>
                  </w:divBdr>
                  <w:divsChild>
                    <w:div w:id="1580865896">
                      <w:marLeft w:val="0"/>
                      <w:marRight w:val="0"/>
                      <w:marTop w:val="0"/>
                      <w:marBottom w:val="0"/>
                      <w:divBdr>
                        <w:top w:val="none" w:sz="0" w:space="0" w:color="auto"/>
                        <w:left w:val="none" w:sz="0" w:space="0" w:color="auto"/>
                        <w:bottom w:val="none" w:sz="0" w:space="0" w:color="auto"/>
                        <w:right w:val="none" w:sz="0" w:space="0" w:color="auto"/>
                      </w:divBdr>
                    </w:div>
                  </w:divsChild>
                </w:div>
                <w:div w:id="964116505">
                  <w:marLeft w:val="0"/>
                  <w:marRight w:val="0"/>
                  <w:marTop w:val="0"/>
                  <w:marBottom w:val="0"/>
                  <w:divBdr>
                    <w:top w:val="none" w:sz="0" w:space="0" w:color="auto"/>
                    <w:left w:val="none" w:sz="0" w:space="0" w:color="auto"/>
                    <w:bottom w:val="none" w:sz="0" w:space="0" w:color="auto"/>
                    <w:right w:val="none" w:sz="0" w:space="0" w:color="auto"/>
                  </w:divBdr>
                  <w:divsChild>
                    <w:div w:id="17974568">
                      <w:marLeft w:val="0"/>
                      <w:marRight w:val="0"/>
                      <w:marTop w:val="0"/>
                      <w:marBottom w:val="0"/>
                      <w:divBdr>
                        <w:top w:val="none" w:sz="0" w:space="0" w:color="auto"/>
                        <w:left w:val="none" w:sz="0" w:space="0" w:color="auto"/>
                        <w:bottom w:val="none" w:sz="0" w:space="0" w:color="auto"/>
                        <w:right w:val="none" w:sz="0" w:space="0" w:color="auto"/>
                      </w:divBdr>
                    </w:div>
                  </w:divsChild>
                </w:div>
                <w:div w:id="1025251711">
                  <w:marLeft w:val="0"/>
                  <w:marRight w:val="0"/>
                  <w:marTop w:val="0"/>
                  <w:marBottom w:val="0"/>
                  <w:divBdr>
                    <w:top w:val="none" w:sz="0" w:space="0" w:color="auto"/>
                    <w:left w:val="none" w:sz="0" w:space="0" w:color="auto"/>
                    <w:bottom w:val="none" w:sz="0" w:space="0" w:color="auto"/>
                    <w:right w:val="none" w:sz="0" w:space="0" w:color="auto"/>
                  </w:divBdr>
                  <w:divsChild>
                    <w:div w:id="543954653">
                      <w:marLeft w:val="0"/>
                      <w:marRight w:val="0"/>
                      <w:marTop w:val="0"/>
                      <w:marBottom w:val="0"/>
                      <w:divBdr>
                        <w:top w:val="none" w:sz="0" w:space="0" w:color="auto"/>
                        <w:left w:val="none" w:sz="0" w:space="0" w:color="auto"/>
                        <w:bottom w:val="none" w:sz="0" w:space="0" w:color="auto"/>
                        <w:right w:val="none" w:sz="0" w:space="0" w:color="auto"/>
                      </w:divBdr>
                    </w:div>
                  </w:divsChild>
                </w:div>
                <w:div w:id="1062873008">
                  <w:marLeft w:val="0"/>
                  <w:marRight w:val="0"/>
                  <w:marTop w:val="0"/>
                  <w:marBottom w:val="0"/>
                  <w:divBdr>
                    <w:top w:val="none" w:sz="0" w:space="0" w:color="auto"/>
                    <w:left w:val="none" w:sz="0" w:space="0" w:color="auto"/>
                    <w:bottom w:val="none" w:sz="0" w:space="0" w:color="auto"/>
                    <w:right w:val="none" w:sz="0" w:space="0" w:color="auto"/>
                  </w:divBdr>
                  <w:divsChild>
                    <w:div w:id="948004049">
                      <w:marLeft w:val="0"/>
                      <w:marRight w:val="0"/>
                      <w:marTop w:val="0"/>
                      <w:marBottom w:val="0"/>
                      <w:divBdr>
                        <w:top w:val="none" w:sz="0" w:space="0" w:color="auto"/>
                        <w:left w:val="none" w:sz="0" w:space="0" w:color="auto"/>
                        <w:bottom w:val="none" w:sz="0" w:space="0" w:color="auto"/>
                        <w:right w:val="none" w:sz="0" w:space="0" w:color="auto"/>
                      </w:divBdr>
                    </w:div>
                  </w:divsChild>
                </w:div>
                <w:div w:id="1322347734">
                  <w:marLeft w:val="0"/>
                  <w:marRight w:val="0"/>
                  <w:marTop w:val="0"/>
                  <w:marBottom w:val="0"/>
                  <w:divBdr>
                    <w:top w:val="none" w:sz="0" w:space="0" w:color="auto"/>
                    <w:left w:val="none" w:sz="0" w:space="0" w:color="auto"/>
                    <w:bottom w:val="none" w:sz="0" w:space="0" w:color="auto"/>
                    <w:right w:val="none" w:sz="0" w:space="0" w:color="auto"/>
                  </w:divBdr>
                  <w:divsChild>
                    <w:div w:id="621156896">
                      <w:marLeft w:val="0"/>
                      <w:marRight w:val="0"/>
                      <w:marTop w:val="0"/>
                      <w:marBottom w:val="0"/>
                      <w:divBdr>
                        <w:top w:val="none" w:sz="0" w:space="0" w:color="auto"/>
                        <w:left w:val="none" w:sz="0" w:space="0" w:color="auto"/>
                        <w:bottom w:val="none" w:sz="0" w:space="0" w:color="auto"/>
                        <w:right w:val="none" w:sz="0" w:space="0" w:color="auto"/>
                      </w:divBdr>
                    </w:div>
                  </w:divsChild>
                </w:div>
                <w:div w:id="1406611556">
                  <w:marLeft w:val="0"/>
                  <w:marRight w:val="0"/>
                  <w:marTop w:val="0"/>
                  <w:marBottom w:val="0"/>
                  <w:divBdr>
                    <w:top w:val="none" w:sz="0" w:space="0" w:color="auto"/>
                    <w:left w:val="none" w:sz="0" w:space="0" w:color="auto"/>
                    <w:bottom w:val="none" w:sz="0" w:space="0" w:color="auto"/>
                    <w:right w:val="none" w:sz="0" w:space="0" w:color="auto"/>
                  </w:divBdr>
                  <w:divsChild>
                    <w:div w:id="151916494">
                      <w:marLeft w:val="0"/>
                      <w:marRight w:val="0"/>
                      <w:marTop w:val="0"/>
                      <w:marBottom w:val="0"/>
                      <w:divBdr>
                        <w:top w:val="none" w:sz="0" w:space="0" w:color="auto"/>
                        <w:left w:val="none" w:sz="0" w:space="0" w:color="auto"/>
                        <w:bottom w:val="none" w:sz="0" w:space="0" w:color="auto"/>
                        <w:right w:val="none" w:sz="0" w:space="0" w:color="auto"/>
                      </w:divBdr>
                    </w:div>
                  </w:divsChild>
                </w:div>
                <w:div w:id="1424258896">
                  <w:marLeft w:val="0"/>
                  <w:marRight w:val="0"/>
                  <w:marTop w:val="0"/>
                  <w:marBottom w:val="0"/>
                  <w:divBdr>
                    <w:top w:val="none" w:sz="0" w:space="0" w:color="auto"/>
                    <w:left w:val="none" w:sz="0" w:space="0" w:color="auto"/>
                    <w:bottom w:val="none" w:sz="0" w:space="0" w:color="auto"/>
                    <w:right w:val="none" w:sz="0" w:space="0" w:color="auto"/>
                  </w:divBdr>
                  <w:divsChild>
                    <w:div w:id="921379391">
                      <w:marLeft w:val="0"/>
                      <w:marRight w:val="0"/>
                      <w:marTop w:val="0"/>
                      <w:marBottom w:val="0"/>
                      <w:divBdr>
                        <w:top w:val="none" w:sz="0" w:space="0" w:color="auto"/>
                        <w:left w:val="none" w:sz="0" w:space="0" w:color="auto"/>
                        <w:bottom w:val="none" w:sz="0" w:space="0" w:color="auto"/>
                        <w:right w:val="none" w:sz="0" w:space="0" w:color="auto"/>
                      </w:divBdr>
                    </w:div>
                  </w:divsChild>
                </w:div>
                <w:div w:id="1481072701">
                  <w:marLeft w:val="0"/>
                  <w:marRight w:val="0"/>
                  <w:marTop w:val="0"/>
                  <w:marBottom w:val="0"/>
                  <w:divBdr>
                    <w:top w:val="none" w:sz="0" w:space="0" w:color="auto"/>
                    <w:left w:val="none" w:sz="0" w:space="0" w:color="auto"/>
                    <w:bottom w:val="none" w:sz="0" w:space="0" w:color="auto"/>
                    <w:right w:val="none" w:sz="0" w:space="0" w:color="auto"/>
                  </w:divBdr>
                  <w:divsChild>
                    <w:div w:id="2021470280">
                      <w:marLeft w:val="0"/>
                      <w:marRight w:val="0"/>
                      <w:marTop w:val="0"/>
                      <w:marBottom w:val="0"/>
                      <w:divBdr>
                        <w:top w:val="none" w:sz="0" w:space="0" w:color="auto"/>
                        <w:left w:val="none" w:sz="0" w:space="0" w:color="auto"/>
                        <w:bottom w:val="none" w:sz="0" w:space="0" w:color="auto"/>
                        <w:right w:val="none" w:sz="0" w:space="0" w:color="auto"/>
                      </w:divBdr>
                    </w:div>
                  </w:divsChild>
                </w:div>
                <w:div w:id="1555507433">
                  <w:marLeft w:val="0"/>
                  <w:marRight w:val="0"/>
                  <w:marTop w:val="0"/>
                  <w:marBottom w:val="0"/>
                  <w:divBdr>
                    <w:top w:val="none" w:sz="0" w:space="0" w:color="auto"/>
                    <w:left w:val="none" w:sz="0" w:space="0" w:color="auto"/>
                    <w:bottom w:val="none" w:sz="0" w:space="0" w:color="auto"/>
                    <w:right w:val="none" w:sz="0" w:space="0" w:color="auto"/>
                  </w:divBdr>
                  <w:divsChild>
                    <w:div w:id="444934346">
                      <w:marLeft w:val="0"/>
                      <w:marRight w:val="0"/>
                      <w:marTop w:val="0"/>
                      <w:marBottom w:val="0"/>
                      <w:divBdr>
                        <w:top w:val="none" w:sz="0" w:space="0" w:color="auto"/>
                        <w:left w:val="none" w:sz="0" w:space="0" w:color="auto"/>
                        <w:bottom w:val="none" w:sz="0" w:space="0" w:color="auto"/>
                        <w:right w:val="none" w:sz="0" w:space="0" w:color="auto"/>
                      </w:divBdr>
                    </w:div>
                  </w:divsChild>
                </w:div>
                <w:div w:id="1675304745">
                  <w:marLeft w:val="0"/>
                  <w:marRight w:val="0"/>
                  <w:marTop w:val="0"/>
                  <w:marBottom w:val="0"/>
                  <w:divBdr>
                    <w:top w:val="none" w:sz="0" w:space="0" w:color="auto"/>
                    <w:left w:val="none" w:sz="0" w:space="0" w:color="auto"/>
                    <w:bottom w:val="none" w:sz="0" w:space="0" w:color="auto"/>
                    <w:right w:val="none" w:sz="0" w:space="0" w:color="auto"/>
                  </w:divBdr>
                  <w:divsChild>
                    <w:div w:id="1085809542">
                      <w:marLeft w:val="0"/>
                      <w:marRight w:val="0"/>
                      <w:marTop w:val="0"/>
                      <w:marBottom w:val="0"/>
                      <w:divBdr>
                        <w:top w:val="none" w:sz="0" w:space="0" w:color="auto"/>
                        <w:left w:val="none" w:sz="0" w:space="0" w:color="auto"/>
                        <w:bottom w:val="none" w:sz="0" w:space="0" w:color="auto"/>
                        <w:right w:val="none" w:sz="0" w:space="0" w:color="auto"/>
                      </w:divBdr>
                    </w:div>
                  </w:divsChild>
                </w:div>
                <w:div w:id="1748764158">
                  <w:marLeft w:val="0"/>
                  <w:marRight w:val="0"/>
                  <w:marTop w:val="0"/>
                  <w:marBottom w:val="0"/>
                  <w:divBdr>
                    <w:top w:val="none" w:sz="0" w:space="0" w:color="auto"/>
                    <w:left w:val="none" w:sz="0" w:space="0" w:color="auto"/>
                    <w:bottom w:val="none" w:sz="0" w:space="0" w:color="auto"/>
                    <w:right w:val="none" w:sz="0" w:space="0" w:color="auto"/>
                  </w:divBdr>
                  <w:divsChild>
                    <w:div w:id="1242061940">
                      <w:marLeft w:val="0"/>
                      <w:marRight w:val="0"/>
                      <w:marTop w:val="0"/>
                      <w:marBottom w:val="0"/>
                      <w:divBdr>
                        <w:top w:val="none" w:sz="0" w:space="0" w:color="auto"/>
                        <w:left w:val="none" w:sz="0" w:space="0" w:color="auto"/>
                        <w:bottom w:val="none" w:sz="0" w:space="0" w:color="auto"/>
                        <w:right w:val="none" w:sz="0" w:space="0" w:color="auto"/>
                      </w:divBdr>
                    </w:div>
                  </w:divsChild>
                </w:div>
                <w:div w:id="1781678275">
                  <w:marLeft w:val="0"/>
                  <w:marRight w:val="0"/>
                  <w:marTop w:val="0"/>
                  <w:marBottom w:val="0"/>
                  <w:divBdr>
                    <w:top w:val="none" w:sz="0" w:space="0" w:color="auto"/>
                    <w:left w:val="none" w:sz="0" w:space="0" w:color="auto"/>
                    <w:bottom w:val="none" w:sz="0" w:space="0" w:color="auto"/>
                    <w:right w:val="none" w:sz="0" w:space="0" w:color="auto"/>
                  </w:divBdr>
                  <w:divsChild>
                    <w:div w:id="1907716660">
                      <w:marLeft w:val="0"/>
                      <w:marRight w:val="0"/>
                      <w:marTop w:val="0"/>
                      <w:marBottom w:val="0"/>
                      <w:divBdr>
                        <w:top w:val="none" w:sz="0" w:space="0" w:color="auto"/>
                        <w:left w:val="none" w:sz="0" w:space="0" w:color="auto"/>
                        <w:bottom w:val="none" w:sz="0" w:space="0" w:color="auto"/>
                        <w:right w:val="none" w:sz="0" w:space="0" w:color="auto"/>
                      </w:divBdr>
                    </w:div>
                  </w:divsChild>
                </w:div>
                <w:div w:id="1954824790">
                  <w:marLeft w:val="0"/>
                  <w:marRight w:val="0"/>
                  <w:marTop w:val="0"/>
                  <w:marBottom w:val="0"/>
                  <w:divBdr>
                    <w:top w:val="none" w:sz="0" w:space="0" w:color="auto"/>
                    <w:left w:val="none" w:sz="0" w:space="0" w:color="auto"/>
                    <w:bottom w:val="none" w:sz="0" w:space="0" w:color="auto"/>
                    <w:right w:val="none" w:sz="0" w:space="0" w:color="auto"/>
                  </w:divBdr>
                  <w:divsChild>
                    <w:div w:id="817382213">
                      <w:marLeft w:val="0"/>
                      <w:marRight w:val="0"/>
                      <w:marTop w:val="0"/>
                      <w:marBottom w:val="0"/>
                      <w:divBdr>
                        <w:top w:val="none" w:sz="0" w:space="0" w:color="auto"/>
                        <w:left w:val="none" w:sz="0" w:space="0" w:color="auto"/>
                        <w:bottom w:val="none" w:sz="0" w:space="0" w:color="auto"/>
                        <w:right w:val="none" w:sz="0" w:space="0" w:color="auto"/>
                      </w:divBdr>
                    </w:div>
                    <w:div w:id="117383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637549">
          <w:marLeft w:val="0"/>
          <w:marRight w:val="0"/>
          <w:marTop w:val="0"/>
          <w:marBottom w:val="0"/>
          <w:divBdr>
            <w:top w:val="none" w:sz="0" w:space="0" w:color="auto"/>
            <w:left w:val="none" w:sz="0" w:space="0" w:color="auto"/>
            <w:bottom w:val="none" w:sz="0" w:space="0" w:color="auto"/>
            <w:right w:val="none" w:sz="0" w:space="0" w:color="auto"/>
          </w:divBdr>
        </w:div>
        <w:div w:id="1947804740">
          <w:marLeft w:val="0"/>
          <w:marRight w:val="0"/>
          <w:marTop w:val="0"/>
          <w:marBottom w:val="0"/>
          <w:divBdr>
            <w:top w:val="none" w:sz="0" w:space="0" w:color="auto"/>
            <w:left w:val="none" w:sz="0" w:space="0" w:color="auto"/>
            <w:bottom w:val="none" w:sz="0" w:space="0" w:color="auto"/>
            <w:right w:val="none" w:sz="0" w:space="0" w:color="auto"/>
          </w:divBdr>
        </w:div>
      </w:divsChild>
    </w:div>
    <w:div w:id="1862742549">
      <w:bodyDiv w:val="1"/>
      <w:marLeft w:val="0"/>
      <w:marRight w:val="0"/>
      <w:marTop w:val="0"/>
      <w:marBottom w:val="0"/>
      <w:divBdr>
        <w:top w:val="none" w:sz="0" w:space="0" w:color="auto"/>
        <w:left w:val="none" w:sz="0" w:space="0" w:color="auto"/>
        <w:bottom w:val="none" w:sz="0" w:space="0" w:color="auto"/>
        <w:right w:val="none" w:sz="0" w:space="0" w:color="auto"/>
      </w:divBdr>
    </w:div>
    <w:div w:id="1877812121">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58829097">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 w:id="2021738402">
      <w:bodyDiv w:val="1"/>
      <w:marLeft w:val="0"/>
      <w:marRight w:val="0"/>
      <w:marTop w:val="0"/>
      <w:marBottom w:val="0"/>
      <w:divBdr>
        <w:top w:val="none" w:sz="0" w:space="0" w:color="auto"/>
        <w:left w:val="none" w:sz="0" w:space="0" w:color="auto"/>
        <w:bottom w:val="none" w:sz="0" w:space="0" w:color="auto"/>
        <w:right w:val="none" w:sz="0" w:space="0" w:color="auto"/>
      </w:divBdr>
    </w:div>
    <w:div w:id="2051495210">
      <w:bodyDiv w:val="1"/>
      <w:marLeft w:val="0"/>
      <w:marRight w:val="0"/>
      <w:marTop w:val="0"/>
      <w:marBottom w:val="0"/>
      <w:divBdr>
        <w:top w:val="none" w:sz="0" w:space="0" w:color="auto"/>
        <w:left w:val="none" w:sz="0" w:space="0" w:color="auto"/>
        <w:bottom w:val="none" w:sz="0" w:space="0" w:color="auto"/>
        <w:right w:val="none" w:sz="0" w:space="0" w:color="auto"/>
      </w:divBdr>
    </w:div>
    <w:div w:id="2052915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resources/publications/national-obesity-strategy-2022-2032?language=en" TargetMode="External"/><Relationship Id="rId18" Type="http://schemas.openxmlformats.org/officeDocument/2006/relationships/hyperlink" Target="https://www.nice.org.uk/guidance/ta1026"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health.gov.au/topics/physical-activity-and-exercise/physical-activity-and-exercise-guidelines-for-all-australians" TargetMode="External"/><Relationship Id="rId17" Type="http://schemas.openxmlformats.org/officeDocument/2006/relationships/hyperlink" Target="https://www.thelancet.com/journals/landia/article/PIIS2213-8587(24)00316-4/abstract" TargetMode="External"/><Relationship Id="rId25" Type="http://schemas.openxmlformats.org/officeDocument/2006/relationships/footer" Target="footer2.xml"/><Relationship Id="rId33"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hyperlink" Target="https://www.deakin.edu.au/__data/assets/pdf_file/0024/116925/Draft-Guidelines-Guideines-Recommendation-Summary.pdf" TargetMode="External"/><Relationship Id="rId20" Type="http://schemas.openxmlformats.org/officeDocument/2006/relationships/image" Target="media/image1.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elements/pbac-meetings/stakeholder-meetings" TargetMode="External"/><Relationship Id="rId24" Type="http://schemas.openxmlformats.org/officeDocument/2006/relationships/footer" Target="footer1.xml"/><Relationship Id="rId32"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hyperlink" Target="https://www.deakin.edu.au/faculty-of-health/school-of-exercise-and-nutrition-sciences/public-consultation-of-overweight-and-obesity-guidelines" TargetMode="External"/><Relationship Id="rId23" Type="http://schemas.openxmlformats.org/officeDocument/2006/relationships/header" Target="header2.xml"/><Relationship Id="rId28"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s://www.england.nhs.uk/wp-content/uploads/2025/03/PRN01879-interim-commissioning-guidance-implementation-of-the-nice-technology-appraisal-ta1026-and-the-NICE-fu.pdf" TargetMode="External"/><Relationship Id="rId31"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helancet.com/journals/landia/article/PIIS2213-8587(24)00316-4/abstract"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image" Target="media/image5.png"/><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6" Type="http://schemas.openxmlformats.org/officeDocument/2006/relationships/hyperlink" Target="https://www.monash.edu/__data/assets/pdf_file/0009/4137057/Bariatric-Surgery-Registry-Australian-Annual-Report-2024.pdf" TargetMode="External"/><Relationship Id="rId21" Type="http://schemas.openxmlformats.org/officeDocument/2006/relationships/hyperlink" Target="https://www.abs.gov.au/statistics/health/food-and-nutrition/food-and-nutrients/2023" TargetMode="External"/><Relationship Id="rId42" Type="http://schemas.openxmlformats.org/officeDocument/2006/relationships/hyperlink" Target="https://www.bmj.com/content/390/bmj.r1606" TargetMode="External"/><Relationship Id="rId47" Type="http://schemas.openxmlformats.org/officeDocument/2006/relationships/hyperlink" Target="https://pmc.ncbi.nlm.nih.gov/articles/PMC10551116/" TargetMode="External"/><Relationship Id="rId63" Type="http://schemas.openxmlformats.org/officeDocument/2006/relationships/hyperlink" Target="https://www.england.nhs.uk/digital-weight-management/" TargetMode="External"/><Relationship Id="rId68" Type="http://schemas.openxmlformats.org/officeDocument/2006/relationships/hyperlink" Target="https://www.nejm.org/doi/pdf/10.1056/NEJMoa2511774" TargetMode="External"/><Relationship Id="rId84" Type="http://schemas.openxmlformats.org/officeDocument/2006/relationships/hyperlink" Target="https://www.fda.gov/drugs/news-events-human-drugs/fda-approves-treatment-serious-liver-disease-known-mash" TargetMode="External"/><Relationship Id="rId16" Type="http://schemas.openxmlformats.org/officeDocument/2006/relationships/hyperlink" Target="https://pmc.ncbi.nlm.nih.gov/articles/PMC7708309/" TargetMode="External"/><Relationship Id="rId11" Type="http://schemas.openxmlformats.org/officeDocument/2006/relationships/hyperlink" Target="https://www.myhealthforlife.com.au/" TargetMode="External"/><Relationship Id="rId32" Type="http://schemas.openxmlformats.org/officeDocument/2006/relationships/hyperlink" Target="https://onlinelibrary.wiley.com/doi/10.1002/oby.23563?msockid=2d3f49e85fcf6e383c355c235eda6fbb" TargetMode="External"/><Relationship Id="rId37" Type="http://schemas.openxmlformats.org/officeDocument/2006/relationships/hyperlink" Target="https://onlinelibrary.wiley.com/doi/epdf/10.1111/obr.13811" TargetMode="External"/><Relationship Id="rId53" Type="http://schemas.openxmlformats.org/officeDocument/2006/relationships/hyperlink" Target="https://www.downsyndrome.org.au/about-down-syndrome/statistics/" TargetMode="External"/><Relationship Id="rId58" Type="http://schemas.openxmlformats.org/officeDocument/2006/relationships/hyperlink" Target="https://www.nice.org.uk/guidance/gid-pmg10019/documents/final-scope" TargetMode="External"/><Relationship Id="rId74" Type="http://schemas.openxmlformats.org/officeDocument/2006/relationships/hyperlink" Target="https://clinicaltrials.gov/study/NCT06987695" TargetMode="External"/><Relationship Id="rId79" Type="http://schemas.openxmlformats.org/officeDocument/2006/relationships/hyperlink" Target="https://pubmed.ncbi.nlm.nih.gov/40550231/" TargetMode="External"/><Relationship Id="rId5" Type="http://schemas.openxmlformats.org/officeDocument/2006/relationships/hyperlink" Target="https://www.safetyandquality.gov.au/our-work/e-health-safety/safety-and-quality-virtual-care" TargetMode="External"/><Relationship Id="rId19" Type="http://schemas.openxmlformats.org/officeDocument/2006/relationships/hyperlink" Target="https://www.aihw.gov.au/reports/overweight-obesity/overweight-and-obesity/contents/summary" TargetMode="External"/><Relationship Id="rId14" Type="http://schemas.openxmlformats.org/officeDocument/2006/relationships/hyperlink" Target="https://pmc.ncbi.nlm.nih.gov/articles/PMC10092406/" TargetMode="External"/><Relationship Id="rId22" Type="http://schemas.openxmlformats.org/officeDocument/2006/relationships/hyperlink" Target="https://www.phrp.com.au/issues/october-2024-volume-34-issue-3/economic-benefits-of-reducing-childhood-and-adolescent-overweight-and-obesity/" TargetMode="External"/><Relationship Id="rId27" Type="http://schemas.openxmlformats.org/officeDocument/2006/relationships/hyperlink" Target="https://www.monash.edu/__data/assets/pdf_file/0005/4095779/2024_BSR_Annual_Report_Summary.pdf" TargetMode="External"/><Relationship Id="rId30" Type="http://schemas.openxmlformats.org/officeDocument/2006/relationships/hyperlink" Target="https://pubmed.ncbi.nlm.nih.gov/31965568/" TargetMode="External"/><Relationship Id="rId35" Type="http://schemas.openxmlformats.org/officeDocument/2006/relationships/hyperlink" Target="https://jamanetwork.com/journals/jamasurgery/article-abstract/2838016?utm_campaign=articlePDF" TargetMode="External"/><Relationship Id="rId43" Type="http://schemas.openxmlformats.org/officeDocument/2006/relationships/hyperlink" Target="https://pmc.ncbi.nlm.nih.gov/articles/PMC10597691/" TargetMode="External"/><Relationship Id="rId48" Type="http://schemas.openxmlformats.org/officeDocument/2006/relationships/hyperlink" Target="https://www.nature.com/articles/s41366-025-01819-0" TargetMode="External"/><Relationship Id="rId56" Type="http://schemas.openxmlformats.org/officeDocument/2006/relationships/hyperlink" Target="https://www.benefitsandpensionsmonitor.com/benefits/pharma/semaglutide-generics-in-canada-could-reshape-pricing-as-sandoz-prepares-for-2026-launch/392321" TargetMode="External"/><Relationship Id="rId64" Type="http://schemas.openxmlformats.org/officeDocument/2006/relationships/hyperlink" Target="https://www.bmj.com/content/390/bmj.r1855" TargetMode="External"/><Relationship Id="rId69" Type="http://schemas.openxmlformats.org/officeDocument/2006/relationships/hyperlink" Target="https://pmc.ncbi.nlm.nih.gov/articles/PMC10844714/" TargetMode="External"/><Relationship Id="rId77" Type="http://schemas.openxmlformats.org/officeDocument/2006/relationships/hyperlink" Target="https://diabetesjournals.org/diabetes/article/74/Supplement_1/743-P/158589/743-P-Efficacy-and-Safety-of-VCT220-in-Chinese" TargetMode="External"/><Relationship Id="rId8" Type="http://schemas.openxmlformats.org/officeDocument/2006/relationships/hyperlink" Target="https://dietitiansaustralia.org.au/advocacy-and-policy/parliamentary-friends-nutrition-2025-nutrition-first-glp-1-care" TargetMode="External"/><Relationship Id="rId51" Type="http://schemas.openxmlformats.org/officeDocument/2006/relationships/hyperlink" Target="https://pmc.ncbi.nlm.nih.gov/articles/PMC3215910/" TargetMode="External"/><Relationship Id="rId72" Type="http://schemas.openxmlformats.org/officeDocument/2006/relationships/hyperlink" Target="https://pubmed.ncbi.nlm.nih.gov/40555243/" TargetMode="External"/><Relationship Id="rId80" Type="http://schemas.openxmlformats.org/officeDocument/2006/relationships/hyperlink" Target="https://ipsearch.ipaustralia.gov.au/patents/2004273573" TargetMode="External"/><Relationship Id="rId85" Type="http://schemas.openxmlformats.org/officeDocument/2006/relationships/hyperlink" Target="https://www.nature.com/articles/s41573-025-01183-8" TargetMode="External"/><Relationship Id="rId3" Type="http://schemas.openxmlformats.org/officeDocument/2006/relationships/hyperlink" Target="https://www.mja.com.au/journal/2025/222/3/role-glp-1-receptor-agonists-management-obesity-risks-and-opportunities" TargetMode="External"/><Relationship Id="rId12" Type="http://schemas.openxmlformats.org/officeDocument/2006/relationships/hyperlink" Target="https://www.health.qld.gov.au/clinical-practice/referrals/smocc" TargetMode="External"/><Relationship Id="rId17" Type="http://schemas.openxmlformats.org/officeDocument/2006/relationships/hyperlink" Target="https://pubmed.ncbi.nlm.nih.gov/35101924/" TargetMode="External"/><Relationship Id="rId25" Type="http://schemas.openxmlformats.org/officeDocument/2006/relationships/hyperlink" Target="https://www9.health.gov.au/mbs/fullDisplay.cfm?type=item&amp;q=31575&amp;criteria=31575" TargetMode="External"/><Relationship Id="rId33" Type="http://schemas.openxmlformats.org/officeDocument/2006/relationships/hyperlink" Target="https://www.thelancet.com/journals/eclinm/article/PIIS2589-5370(25)00145-2/fulltext" TargetMode="External"/><Relationship Id="rId38" Type="http://schemas.openxmlformats.org/officeDocument/2006/relationships/hyperlink" Target="https://pubmed.ncbi.nlm.nih.gov/37494014/" TargetMode="External"/><Relationship Id="rId46" Type="http://schemas.openxmlformats.org/officeDocument/2006/relationships/hyperlink" Target="https://www.sciencedirect.com/science/article/pii/S2667368124000123" TargetMode="External"/><Relationship Id="rId59" Type="http://schemas.openxmlformats.org/officeDocument/2006/relationships/hyperlink" Target="https://www.nice.org.uk/guidance/ta664" TargetMode="External"/><Relationship Id="rId67" Type="http://schemas.openxmlformats.org/officeDocument/2006/relationships/hyperlink" Target="https://www.lilly.com/news/stories/what-to-know-about-orforglipron" TargetMode="External"/><Relationship Id="rId20" Type="http://schemas.openxmlformats.org/officeDocument/2006/relationships/hyperlink" Target="https://www.aihw.gov.au/reports/physical-activity/physical-activity" TargetMode="External"/><Relationship Id="rId41" Type="http://schemas.openxmlformats.org/officeDocument/2006/relationships/hyperlink" Target="https://www.ebs.tga.gov.au/ebs/picmi/picmirepository.nsf/pdf?OpenAgent=&amp;id=CP-2023-PI-02114-1&amp;d=20251209172310101" TargetMode="External"/><Relationship Id="rId54" Type="http://schemas.openxmlformats.org/officeDocument/2006/relationships/hyperlink" Target="https://www.cda-amc.ca/sites/default/files/DRR/2025/SR0841-Wegovy_FINAL_Rec.pdf" TargetMode="External"/><Relationship Id="rId62" Type="http://schemas.openxmlformats.org/officeDocument/2006/relationships/hyperlink" Target="https://www.england.nhs.uk/wp-content/uploads/2025/03/PRN01879-interim-commissioning-guidance-implementation-of-the-nice-technology-appraisal-ta1026-and-the-NICE-fu.pdf" TargetMode="External"/><Relationship Id="rId70" Type="http://schemas.openxmlformats.org/officeDocument/2006/relationships/hyperlink" Target="https://www.nejm.org/doi/full/10.1056/NEJMoa2502081" TargetMode="External"/><Relationship Id="rId75" Type="http://schemas.openxmlformats.org/officeDocument/2006/relationships/hyperlink" Target="https://www.nejm.org/doi/full/10.1056/NEJMoa2411528" TargetMode="External"/><Relationship Id="rId83" Type="http://schemas.openxmlformats.org/officeDocument/2006/relationships/hyperlink" Target="https://www.chemistwarehouse.com.au/buy/143701/wegovy-2-4mg-dose-flextouch-pen-3ml-semaglutide" TargetMode="External"/><Relationship Id="rId88" Type="http://schemas.openxmlformats.org/officeDocument/2006/relationships/hyperlink" Target="https://pmc.ncbi.nlm.nih.gov/articles/PMC12381620/" TargetMode="External"/><Relationship Id="rId1" Type="http://schemas.openxmlformats.org/officeDocument/2006/relationships/hyperlink" Target="https://www.wegovycare.com.au/" TargetMode="External"/><Relationship Id="rId6" Type="http://schemas.openxmlformats.org/officeDocument/2006/relationships/hyperlink" Target="https://pmc.ncbi.nlm.nih.gov/articles/PMC12304835/" TargetMode="External"/><Relationship Id="rId15" Type="http://schemas.openxmlformats.org/officeDocument/2006/relationships/hyperlink" Target="https://www.thelancet.com/journals/eclinm/article/PIIS2589-5370(24)00054-3/fulltext" TargetMode="External"/><Relationship Id="rId23" Type="http://schemas.openxmlformats.org/officeDocument/2006/relationships/hyperlink" Target="https://pmc.ncbi.nlm.nih.gov/articles/PMC11812886/" TargetMode="External"/><Relationship Id="rId28" Type="http://schemas.openxmlformats.org/officeDocument/2006/relationships/hyperlink" Target="https://pmc.ncbi.nlm.nih.gov/articles/PMC9998117/" TargetMode="External"/><Relationship Id="rId36" Type="http://schemas.openxmlformats.org/officeDocument/2006/relationships/hyperlink" Target="https://www.monash.edu/news/articles/fewer-australians-having-bariatric-surgery-monash-university-led-report" TargetMode="External"/><Relationship Id="rId49" Type="http://schemas.openxmlformats.org/officeDocument/2006/relationships/hyperlink" Target="https://www.thelancet.com/journals/lanchi/article/PIIS2352-4642(25)00065-3/fulltext" TargetMode="External"/><Relationship Id="rId57" Type="http://schemas.openxmlformats.org/officeDocument/2006/relationships/hyperlink" Target="https://www.ainvest.com/news/unstoppable-rise-generics-sandoz-70-discount-glp-1-drugs-canadian-market-era-2508/" TargetMode="External"/><Relationship Id="rId10" Type="http://schemas.openxmlformats.org/officeDocument/2006/relationships/hyperlink" Target="https://www.gethealthynsw.com.au/" TargetMode="External"/><Relationship Id="rId31" Type="http://schemas.openxmlformats.org/officeDocument/2006/relationships/hyperlink" Target="https://pubmed.ncbi.nlm.nih.gov/40960852/" TargetMode="External"/><Relationship Id="rId44" Type="http://schemas.openxmlformats.org/officeDocument/2006/relationships/hyperlink" Target="https://www.cvdcheck.org.au/reclassification-factors-other-considerations" TargetMode="External"/><Relationship Id="rId52" Type="http://schemas.openxmlformats.org/officeDocument/2006/relationships/hyperlink" Target="https://ojrd.biomedcentral.com/articles/10.1186/s13023-025-03787-0" TargetMode="External"/><Relationship Id="rId60" Type="http://schemas.openxmlformats.org/officeDocument/2006/relationships/hyperlink" Target="https://www.nice.org.uk/guidance/TA875/chapter/1-Recommendations" TargetMode="External"/><Relationship Id="rId65" Type="http://schemas.openxmlformats.org/officeDocument/2006/relationships/hyperlink" Target="https://pubmed.ncbi.nlm.nih.gov/39385353/" TargetMode="External"/><Relationship Id="rId73" Type="http://schemas.openxmlformats.org/officeDocument/2006/relationships/hyperlink" Target="https://pubmed.ncbi.nlm.nih.gov/40549887/" TargetMode="External"/><Relationship Id="rId78" Type="http://schemas.openxmlformats.org/officeDocument/2006/relationships/hyperlink" Target="https://www.hanmipharm.com/science/pipeline/focused/efocipegtrutide.hm" TargetMode="External"/><Relationship Id="rId81" Type="http://schemas.openxmlformats.org/officeDocument/2006/relationships/hyperlink" Target="https://ipsearch.ipaustralia.gov.au/patents/2016205435" TargetMode="External"/><Relationship Id="rId86" Type="http://schemas.openxmlformats.org/officeDocument/2006/relationships/hyperlink" Target="https://pubmed.ncbi.nlm.nih.gov/40525593/" TargetMode="External"/><Relationship Id="rId4" Type="http://schemas.openxmlformats.org/officeDocument/2006/relationships/hyperlink" Target="https://edfa.org.au/media-releases/eating-disorder-alliance-eda-calls-for-increased-governance-in-weight-loss-prescriptions/" TargetMode="External"/><Relationship Id="rId9" Type="http://schemas.openxmlformats.org/officeDocument/2006/relationships/hyperlink" Target="https://www.sciencedirect.com/science/article/pii/S2667368125000300?via%3Dihub" TargetMode="External"/><Relationship Id="rId13" Type="http://schemas.openxmlformats.org/officeDocument/2006/relationships/hyperlink" Target="https://pmc.ncbi.nlm.nih.gov/articles/PMC12381620/" TargetMode="External"/><Relationship Id="rId18" Type="http://schemas.openxmlformats.org/officeDocument/2006/relationships/hyperlink" Target="https://www.health.gov.au/resources/publications/national-obesity-strategy-2022-2032?language=en" TargetMode="External"/><Relationship Id="rId39" Type="http://schemas.openxmlformats.org/officeDocument/2006/relationships/hyperlink" Target="https://www.pbs.gov.au/info/industry/listing/participants/public-release-docs/2022-09/medicines-for-the-treatment-of-type-2-diabetes-september-2022" TargetMode="External"/><Relationship Id="rId34" Type="http://schemas.openxmlformats.org/officeDocument/2006/relationships/hyperlink" Target="https://www.americanjournalofsurgery.com/article/S0002-9610(25)00064-9/abstract" TargetMode="External"/><Relationship Id="rId50" Type="http://schemas.openxmlformats.org/officeDocument/2006/relationships/hyperlink" Target="https://www.mdpi.com/2227-9067/11/2/153" TargetMode="External"/><Relationship Id="rId55" Type="http://schemas.openxmlformats.org/officeDocument/2006/relationships/hyperlink" Target="https://www.pcpacanada.ca/negotiation/23209" TargetMode="External"/><Relationship Id="rId76" Type="http://schemas.openxmlformats.org/officeDocument/2006/relationships/hyperlink" Target="https://clinicaltrials.gov/study/NCT06904105" TargetMode="External"/><Relationship Id="rId7" Type="http://schemas.openxmlformats.org/officeDocument/2006/relationships/hyperlink" Target="https://www.health.gov.au/our-work/review-of-mbs-allied-health-chronic-disease-management-services" TargetMode="External"/><Relationship Id="rId71" Type="http://schemas.openxmlformats.org/officeDocument/2006/relationships/hyperlink" Target="https://pubmed.ncbi.nlm.nih.gov/39495965/" TargetMode="External"/><Relationship Id="rId2" Type="http://schemas.openxmlformats.org/officeDocument/2006/relationships/hyperlink" Target="https://www.novonordisk.com.au/content/dam/nncorp/au/en/pdfs/discontinuation-saxenda-hcp-letter-may2025.pdf" TargetMode="External"/><Relationship Id="rId29" Type="http://schemas.openxmlformats.org/officeDocument/2006/relationships/hyperlink" Target="https://pubmed.ncbi.nlm.nih.gov/31475297/" TargetMode="External"/><Relationship Id="rId24" Type="http://schemas.openxmlformats.org/officeDocument/2006/relationships/hyperlink" Target="https://www.thelancet.com/journals/landia/article/PIIS2213-85872400316-4/abstract" TargetMode="External"/><Relationship Id="rId40" Type="http://schemas.openxmlformats.org/officeDocument/2006/relationships/hyperlink" Target="https://www.pbs.gov.au/info/industry/listing/participants/public-release-docs/2024-06/analysis-of-semaglutide-DUSC-june-2024" TargetMode="External"/><Relationship Id="rId45" Type="http://schemas.openxmlformats.org/officeDocument/2006/relationships/hyperlink" Target="https://pubmed.ncbi.nlm.nih.gov/28346149/" TargetMode="External"/><Relationship Id="rId66" Type="http://schemas.openxmlformats.org/officeDocument/2006/relationships/hyperlink" Target="https://clinicaltrials.gov/study/NCT06643728" TargetMode="External"/><Relationship Id="rId87" Type="http://schemas.openxmlformats.org/officeDocument/2006/relationships/hyperlink" Target="https://www.mdpi.com/2076-328X/14/6/480" TargetMode="External"/><Relationship Id="rId61" Type="http://schemas.openxmlformats.org/officeDocument/2006/relationships/hyperlink" Target="https://bjd-abcd.com/index.php/bjd/article/view/1183/1497" TargetMode="External"/><Relationship Id="rId82" Type="http://schemas.openxmlformats.org/officeDocument/2006/relationships/hyperlink" Target="https://www1.racgp.org.au/newsgp/clinical/wegovy-launches-in-austral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0ca6119bb704a039e30cded50d496155">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d4a3fedec6abdf427e3bd28fcb8874fa"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0892AD-C596-40B4-89DF-FDD2641BC596}">
  <ds:schemaRefs>
    <ds:schemaRef ds:uri="http://schemas.openxmlformats.org/officeDocument/2006/bibliography"/>
  </ds:schemaRefs>
</ds:datastoreItem>
</file>

<file path=customXml/itemProps2.xml><?xml version="1.0" encoding="utf-8"?>
<ds:datastoreItem xmlns:ds="http://schemas.openxmlformats.org/officeDocument/2006/customXml" ds:itemID="{5C7A46BD-0A43-49D7-8EBE-60FF42250EB6}">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7EEC7FCC-B49B-4F96-AB94-6789348B5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FCC96D-FB6C-4B0B-B316-2C85A7B43B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17385</Words>
  <Characters>97882</Characters>
  <Application>Microsoft Office Word</Application>
  <DocSecurity>0</DocSecurity>
  <Lines>2966</Lines>
  <Paragraphs>654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114613</CharactersWithSpaces>
  <SharedDoc>false</SharedDoc>
  <HLinks>
    <vt:vector size="660" baseType="variant">
      <vt:variant>
        <vt:i4>5177367</vt:i4>
      </vt:variant>
      <vt:variant>
        <vt:i4>63</vt:i4>
      </vt:variant>
      <vt:variant>
        <vt:i4>0</vt:i4>
      </vt:variant>
      <vt:variant>
        <vt:i4>5</vt:i4>
      </vt:variant>
      <vt:variant>
        <vt:lpwstr/>
      </vt:variant>
      <vt:variant>
        <vt:lpwstr>Section10</vt:lpwstr>
      </vt:variant>
      <vt:variant>
        <vt:i4>5177367</vt:i4>
      </vt:variant>
      <vt:variant>
        <vt:i4>60</vt:i4>
      </vt:variant>
      <vt:variant>
        <vt:i4>0</vt:i4>
      </vt:variant>
      <vt:variant>
        <vt:i4>5</vt:i4>
      </vt:variant>
      <vt:variant>
        <vt:lpwstr/>
      </vt:variant>
      <vt:variant>
        <vt:lpwstr>Section10</vt:lpwstr>
      </vt:variant>
      <vt:variant>
        <vt:i4>5177367</vt:i4>
      </vt:variant>
      <vt:variant>
        <vt:i4>57</vt:i4>
      </vt:variant>
      <vt:variant>
        <vt:i4>0</vt:i4>
      </vt:variant>
      <vt:variant>
        <vt:i4>5</vt:i4>
      </vt:variant>
      <vt:variant>
        <vt:lpwstr/>
      </vt:variant>
      <vt:variant>
        <vt:lpwstr>Section10</vt:lpwstr>
      </vt:variant>
      <vt:variant>
        <vt:i4>2818174</vt:i4>
      </vt:variant>
      <vt:variant>
        <vt:i4>54</vt:i4>
      </vt:variant>
      <vt:variant>
        <vt:i4>0</vt:i4>
      </vt:variant>
      <vt:variant>
        <vt:i4>5</vt:i4>
      </vt:variant>
      <vt:variant>
        <vt:lpwstr/>
      </vt:variant>
      <vt:variant>
        <vt:lpwstr>Section4Canada</vt:lpwstr>
      </vt:variant>
      <vt:variant>
        <vt:i4>5177367</vt:i4>
      </vt:variant>
      <vt:variant>
        <vt:i4>51</vt:i4>
      </vt:variant>
      <vt:variant>
        <vt:i4>0</vt:i4>
      </vt:variant>
      <vt:variant>
        <vt:i4>5</vt:i4>
      </vt:variant>
      <vt:variant>
        <vt:lpwstr/>
      </vt:variant>
      <vt:variant>
        <vt:lpwstr>Section10</vt:lpwstr>
      </vt:variant>
      <vt:variant>
        <vt:i4>5963845</vt:i4>
      </vt:variant>
      <vt:variant>
        <vt:i4>48</vt:i4>
      </vt:variant>
      <vt:variant>
        <vt:i4>0</vt:i4>
      </vt:variant>
      <vt:variant>
        <vt:i4>5</vt:i4>
      </vt:variant>
      <vt:variant>
        <vt:lpwstr>https://www.england.nhs.uk/wp-content/uploads/2025/03/PRN01879-interim-commissioning-guidance-implementation-of-the-nice-technology-appraisal-ta1026-and-the-NICE-fu.pdf</vt:lpwstr>
      </vt:variant>
      <vt:variant>
        <vt:lpwstr/>
      </vt:variant>
      <vt:variant>
        <vt:i4>8060966</vt:i4>
      </vt:variant>
      <vt:variant>
        <vt:i4>45</vt:i4>
      </vt:variant>
      <vt:variant>
        <vt:i4>0</vt:i4>
      </vt:variant>
      <vt:variant>
        <vt:i4>5</vt:i4>
      </vt:variant>
      <vt:variant>
        <vt:lpwstr>https://www.nice.org.uk/guidance/ta1026</vt:lpwstr>
      </vt:variant>
      <vt:variant>
        <vt:lpwstr/>
      </vt:variant>
      <vt:variant>
        <vt:i4>5177367</vt:i4>
      </vt:variant>
      <vt:variant>
        <vt:i4>42</vt:i4>
      </vt:variant>
      <vt:variant>
        <vt:i4>0</vt:i4>
      </vt:variant>
      <vt:variant>
        <vt:i4>5</vt:i4>
      </vt:variant>
      <vt:variant>
        <vt:lpwstr/>
      </vt:variant>
      <vt:variant>
        <vt:lpwstr>Section10</vt:lpwstr>
      </vt:variant>
      <vt:variant>
        <vt:i4>4128822</vt:i4>
      </vt:variant>
      <vt:variant>
        <vt:i4>39</vt:i4>
      </vt:variant>
      <vt:variant>
        <vt:i4>0</vt:i4>
      </vt:variant>
      <vt:variant>
        <vt:i4>5</vt:i4>
      </vt:variant>
      <vt:variant>
        <vt:lpwstr>https://www.thelancet.com/journals/landia/article/PIIS2213-8587(24)00316-4/abstract</vt:lpwstr>
      </vt:variant>
      <vt:variant>
        <vt:lpwstr/>
      </vt:variant>
      <vt:variant>
        <vt:i4>4587543</vt:i4>
      </vt:variant>
      <vt:variant>
        <vt:i4>36</vt:i4>
      </vt:variant>
      <vt:variant>
        <vt:i4>0</vt:i4>
      </vt:variant>
      <vt:variant>
        <vt:i4>5</vt:i4>
      </vt:variant>
      <vt:variant>
        <vt:lpwstr/>
      </vt:variant>
      <vt:variant>
        <vt:lpwstr>Section8</vt:lpwstr>
      </vt:variant>
      <vt:variant>
        <vt:i4>3342417</vt:i4>
      </vt:variant>
      <vt:variant>
        <vt:i4>33</vt:i4>
      </vt:variant>
      <vt:variant>
        <vt:i4>0</vt:i4>
      </vt:variant>
      <vt:variant>
        <vt:i4>5</vt:i4>
      </vt:variant>
      <vt:variant>
        <vt:lpwstr>https://www.deakin.edu.au/__data/assets/pdf_file/0024/116925/Draft-Guidelines-Guideines-Recommendation-Summary.pdf</vt:lpwstr>
      </vt:variant>
      <vt:variant>
        <vt:lpwstr/>
      </vt:variant>
      <vt:variant>
        <vt:i4>7864416</vt:i4>
      </vt:variant>
      <vt:variant>
        <vt:i4>30</vt:i4>
      </vt:variant>
      <vt:variant>
        <vt:i4>0</vt:i4>
      </vt:variant>
      <vt:variant>
        <vt:i4>5</vt:i4>
      </vt:variant>
      <vt:variant>
        <vt:lpwstr>https://www.deakin.edu.au/faculty-of-health/school-of-exercise-and-nutrition-sciences/public-consultation-of-overweight-and-obesity-guidelines</vt:lpwstr>
      </vt:variant>
      <vt:variant>
        <vt:lpwstr/>
      </vt:variant>
      <vt:variant>
        <vt:i4>4128822</vt:i4>
      </vt:variant>
      <vt:variant>
        <vt:i4>27</vt:i4>
      </vt:variant>
      <vt:variant>
        <vt:i4>0</vt:i4>
      </vt:variant>
      <vt:variant>
        <vt:i4>5</vt:i4>
      </vt:variant>
      <vt:variant>
        <vt:lpwstr>https://www.thelancet.com/journals/landia/article/PIIS2213-8587(24)00316-4/abstract</vt:lpwstr>
      </vt:variant>
      <vt:variant>
        <vt:lpwstr/>
      </vt:variant>
      <vt:variant>
        <vt:i4>4325381</vt:i4>
      </vt:variant>
      <vt:variant>
        <vt:i4>24</vt:i4>
      </vt:variant>
      <vt:variant>
        <vt:i4>0</vt:i4>
      </vt:variant>
      <vt:variant>
        <vt:i4>5</vt:i4>
      </vt:variant>
      <vt:variant>
        <vt:lpwstr>https://www.health.gov.au/resources/publications/national-obesity-strategy-2022-2032?language=en</vt:lpwstr>
      </vt:variant>
      <vt:variant>
        <vt:lpwstr/>
      </vt:variant>
      <vt:variant>
        <vt:i4>4587543</vt:i4>
      </vt:variant>
      <vt:variant>
        <vt:i4>21</vt:i4>
      </vt:variant>
      <vt:variant>
        <vt:i4>0</vt:i4>
      </vt:variant>
      <vt:variant>
        <vt:i4>5</vt:i4>
      </vt:variant>
      <vt:variant>
        <vt:lpwstr/>
      </vt:variant>
      <vt:variant>
        <vt:lpwstr>Section8</vt:lpwstr>
      </vt:variant>
      <vt:variant>
        <vt:i4>4849694</vt:i4>
      </vt:variant>
      <vt:variant>
        <vt:i4>18</vt:i4>
      </vt:variant>
      <vt:variant>
        <vt:i4>0</vt:i4>
      </vt:variant>
      <vt:variant>
        <vt:i4>5</vt:i4>
      </vt:variant>
      <vt:variant>
        <vt:lpwstr>https://www.health.gov.au/topics/physical-activity-and-exercise/physical-activity-and-exercise-guidelines-for-all-australians</vt:lpwstr>
      </vt:variant>
      <vt:variant>
        <vt:lpwstr/>
      </vt:variant>
      <vt:variant>
        <vt:i4>4587543</vt:i4>
      </vt:variant>
      <vt:variant>
        <vt:i4>15</vt:i4>
      </vt:variant>
      <vt:variant>
        <vt:i4>0</vt:i4>
      </vt:variant>
      <vt:variant>
        <vt:i4>5</vt:i4>
      </vt:variant>
      <vt:variant>
        <vt:lpwstr/>
      </vt:variant>
      <vt:variant>
        <vt:lpwstr>Section8</vt:lpwstr>
      </vt:variant>
      <vt:variant>
        <vt:i4>6160454</vt:i4>
      </vt:variant>
      <vt:variant>
        <vt:i4>12</vt:i4>
      </vt:variant>
      <vt:variant>
        <vt:i4>0</vt:i4>
      </vt:variant>
      <vt:variant>
        <vt:i4>5</vt:i4>
      </vt:variant>
      <vt:variant>
        <vt:lpwstr>https://www.pbs.gov.au/info/industry/listing/elements/pbac-meetings/stakeholder-meetings</vt:lpwstr>
      </vt:variant>
      <vt:variant>
        <vt:lpwstr/>
      </vt:variant>
      <vt:variant>
        <vt:i4>4718615</vt:i4>
      </vt:variant>
      <vt:variant>
        <vt:i4>9</vt:i4>
      </vt:variant>
      <vt:variant>
        <vt:i4>0</vt:i4>
      </vt:variant>
      <vt:variant>
        <vt:i4>5</vt:i4>
      </vt:variant>
      <vt:variant>
        <vt:lpwstr/>
      </vt:variant>
      <vt:variant>
        <vt:lpwstr>Section6</vt:lpwstr>
      </vt:variant>
      <vt:variant>
        <vt:i4>4915223</vt:i4>
      </vt:variant>
      <vt:variant>
        <vt:i4>6</vt:i4>
      </vt:variant>
      <vt:variant>
        <vt:i4>0</vt:i4>
      </vt:variant>
      <vt:variant>
        <vt:i4>5</vt:i4>
      </vt:variant>
      <vt:variant>
        <vt:lpwstr/>
      </vt:variant>
      <vt:variant>
        <vt:lpwstr>Section5</vt:lpwstr>
      </vt:variant>
      <vt:variant>
        <vt:i4>4849687</vt:i4>
      </vt:variant>
      <vt:variant>
        <vt:i4>3</vt:i4>
      </vt:variant>
      <vt:variant>
        <vt:i4>0</vt:i4>
      </vt:variant>
      <vt:variant>
        <vt:i4>5</vt:i4>
      </vt:variant>
      <vt:variant>
        <vt:lpwstr/>
      </vt:variant>
      <vt:variant>
        <vt:lpwstr>Section4</vt:lpwstr>
      </vt:variant>
      <vt:variant>
        <vt:i4>5046295</vt:i4>
      </vt:variant>
      <vt:variant>
        <vt:i4>0</vt:i4>
      </vt:variant>
      <vt:variant>
        <vt:i4>0</vt:i4>
      </vt:variant>
      <vt:variant>
        <vt:i4>5</vt:i4>
      </vt:variant>
      <vt:variant>
        <vt:lpwstr/>
      </vt:variant>
      <vt:variant>
        <vt:lpwstr>Section3</vt:lpwstr>
      </vt:variant>
      <vt:variant>
        <vt:i4>3342383</vt:i4>
      </vt:variant>
      <vt:variant>
        <vt:i4>261</vt:i4>
      </vt:variant>
      <vt:variant>
        <vt:i4>0</vt:i4>
      </vt:variant>
      <vt:variant>
        <vt:i4>5</vt:i4>
      </vt:variant>
      <vt:variant>
        <vt:lpwstr>https://pmc.ncbi.nlm.nih.gov/articles/PMC12381620/</vt:lpwstr>
      </vt:variant>
      <vt:variant>
        <vt:lpwstr/>
      </vt:variant>
      <vt:variant>
        <vt:i4>2097191</vt:i4>
      </vt:variant>
      <vt:variant>
        <vt:i4>258</vt:i4>
      </vt:variant>
      <vt:variant>
        <vt:i4>0</vt:i4>
      </vt:variant>
      <vt:variant>
        <vt:i4>5</vt:i4>
      </vt:variant>
      <vt:variant>
        <vt:lpwstr>https://www.mdpi.com/2076-328X/14/6/480</vt:lpwstr>
      </vt:variant>
      <vt:variant>
        <vt:lpwstr/>
      </vt:variant>
      <vt:variant>
        <vt:i4>917514</vt:i4>
      </vt:variant>
      <vt:variant>
        <vt:i4>255</vt:i4>
      </vt:variant>
      <vt:variant>
        <vt:i4>0</vt:i4>
      </vt:variant>
      <vt:variant>
        <vt:i4>5</vt:i4>
      </vt:variant>
      <vt:variant>
        <vt:lpwstr>https://pubmed.ncbi.nlm.nih.gov/40525593/</vt:lpwstr>
      </vt:variant>
      <vt:variant>
        <vt:lpwstr/>
      </vt:variant>
      <vt:variant>
        <vt:i4>3538977</vt:i4>
      </vt:variant>
      <vt:variant>
        <vt:i4>252</vt:i4>
      </vt:variant>
      <vt:variant>
        <vt:i4>0</vt:i4>
      </vt:variant>
      <vt:variant>
        <vt:i4>5</vt:i4>
      </vt:variant>
      <vt:variant>
        <vt:lpwstr>https://www.nature.com/articles/s41573-025-01183-8</vt:lpwstr>
      </vt:variant>
      <vt:variant>
        <vt:lpwstr/>
      </vt:variant>
      <vt:variant>
        <vt:i4>1835036</vt:i4>
      </vt:variant>
      <vt:variant>
        <vt:i4>249</vt:i4>
      </vt:variant>
      <vt:variant>
        <vt:i4>0</vt:i4>
      </vt:variant>
      <vt:variant>
        <vt:i4>5</vt:i4>
      </vt:variant>
      <vt:variant>
        <vt:lpwstr>https://www.fda.gov/drugs/news-events-human-drugs/fda-approves-treatment-serious-liver-disease-known-mash</vt:lpwstr>
      </vt:variant>
      <vt:variant>
        <vt:lpwstr/>
      </vt:variant>
      <vt:variant>
        <vt:i4>7077938</vt:i4>
      </vt:variant>
      <vt:variant>
        <vt:i4>246</vt:i4>
      </vt:variant>
      <vt:variant>
        <vt:i4>0</vt:i4>
      </vt:variant>
      <vt:variant>
        <vt:i4>5</vt:i4>
      </vt:variant>
      <vt:variant>
        <vt:lpwstr>https://www.chemistwarehouse.com.au/buy/143701/wegovy-2-4mg-dose-flextouch-pen-3ml-semaglutide</vt:lpwstr>
      </vt:variant>
      <vt:variant>
        <vt:lpwstr/>
      </vt:variant>
      <vt:variant>
        <vt:i4>7929889</vt:i4>
      </vt:variant>
      <vt:variant>
        <vt:i4>243</vt:i4>
      </vt:variant>
      <vt:variant>
        <vt:i4>0</vt:i4>
      </vt:variant>
      <vt:variant>
        <vt:i4>5</vt:i4>
      </vt:variant>
      <vt:variant>
        <vt:lpwstr>https://www1.racgp.org.au/newsgp/clinical/wegovy-launches-in-australia</vt:lpwstr>
      </vt:variant>
      <vt:variant>
        <vt:lpwstr/>
      </vt:variant>
      <vt:variant>
        <vt:i4>2949179</vt:i4>
      </vt:variant>
      <vt:variant>
        <vt:i4>240</vt:i4>
      </vt:variant>
      <vt:variant>
        <vt:i4>0</vt:i4>
      </vt:variant>
      <vt:variant>
        <vt:i4>5</vt:i4>
      </vt:variant>
      <vt:variant>
        <vt:lpwstr>https://ipsearch.ipaustralia.gov.au/patents/2016205435</vt:lpwstr>
      </vt:variant>
      <vt:variant>
        <vt:lpwstr/>
      </vt:variant>
      <vt:variant>
        <vt:i4>3080248</vt:i4>
      </vt:variant>
      <vt:variant>
        <vt:i4>237</vt:i4>
      </vt:variant>
      <vt:variant>
        <vt:i4>0</vt:i4>
      </vt:variant>
      <vt:variant>
        <vt:i4>5</vt:i4>
      </vt:variant>
      <vt:variant>
        <vt:lpwstr>https://ipsearch.ipaustralia.gov.au/patents/2004273573</vt:lpwstr>
      </vt:variant>
      <vt:variant>
        <vt:lpwstr/>
      </vt:variant>
      <vt:variant>
        <vt:i4>786437</vt:i4>
      </vt:variant>
      <vt:variant>
        <vt:i4>234</vt:i4>
      </vt:variant>
      <vt:variant>
        <vt:i4>0</vt:i4>
      </vt:variant>
      <vt:variant>
        <vt:i4>5</vt:i4>
      </vt:variant>
      <vt:variant>
        <vt:lpwstr>https://pubmed.ncbi.nlm.nih.gov/40550231/</vt:lpwstr>
      </vt:variant>
      <vt:variant>
        <vt:lpwstr/>
      </vt:variant>
      <vt:variant>
        <vt:i4>6881376</vt:i4>
      </vt:variant>
      <vt:variant>
        <vt:i4>231</vt:i4>
      </vt:variant>
      <vt:variant>
        <vt:i4>0</vt:i4>
      </vt:variant>
      <vt:variant>
        <vt:i4>5</vt:i4>
      </vt:variant>
      <vt:variant>
        <vt:lpwstr>https://www.hanmipharm.com/science/pipeline/focused/efocipegtrutide.hm</vt:lpwstr>
      </vt:variant>
      <vt:variant>
        <vt:lpwstr/>
      </vt:variant>
      <vt:variant>
        <vt:i4>3735574</vt:i4>
      </vt:variant>
      <vt:variant>
        <vt:i4>228</vt:i4>
      </vt:variant>
      <vt:variant>
        <vt:i4>0</vt:i4>
      </vt:variant>
      <vt:variant>
        <vt:i4>5</vt:i4>
      </vt:variant>
      <vt:variant>
        <vt:lpwstr>https://diabetesjournals.org/diabetes/article/74/Supplement_1/743-P/158589/743-P-Efficacy-and-Safety-of-VCT220-in-Chinese</vt:lpwstr>
      </vt:variant>
      <vt:variant>
        <vt:lpwstr/>
      </vt:variant>
      <vt:variant>
        <vt:i4>655372</vt:i4>
      </vt:variant>
      <vt:variant>
        <vt:i4>225</vt:i4>
      </vt:variant>
      <vt:variant>
        <vt:i4>0</vt:i4>
      </vt:variant>
      <vt:variant>
        <vt:i4>5</vt:i4>
      </vt:variant>
      <vt:variant>
        <vt:lpwstr>https://clinicaltrials.gov/study/NCT06904105</vt:lpwstr>
      </vt:variant>
      <vt:variant>
        <vt:lpwstr/>
      </vt:variant>
      <vt:variant>
        <vt:i4>2424874</vt:i4>
      </vt:variant>
      <vt:variant>
        <vt:i4>222</vt:i4>
      </vt:variant>
      <vt:variant>
        <vt:i4>0</vt:i4>
      </vt:variant>
      <vt:variant>
        <vt:i4>5</vt:i4>
      </vt:variant>
      <vt:variant>
        <vt:lpwstr>https://www.nejm.org/doi/full/10.1056/NEJMoa2411528</vt:lpwstr>
      </vt:variant>
      <vt:variant>
        <vt:lpwstr/>
      </vt:variant>
      <vt:variant>
        <vt:i4>327686</vt:i4>
      </vt:variant>
      <vt:variant>
        <vt:i4>219</vt:i4>
      </vt:variant>
      <vt:variant>
        <vt:i4>0</vt:i4>
      </vt:variant>
      <vt:variant>
        <vt:i4>5</vt:i4>
      </vt:variant>
      <vt:variant>
        <vt:lpwstr>https://clinicaltrials.gov/study/NCT06987695</vt:lpwstr>
      </vt:variant>
      <vt:variant>
        <vt:lpwstr/>
      </vt:variant>
      <vt:variant>
        <vt:i4>65543</vt:i4>
      </vt:variant>
      <vt:variant>
        <vt:i4>216</vt:i4>
      </vt:variant>
      <vt:variant>
        <vt:i4>0</vt:i4>
      </vt:variant>
      <vt:variant>
        <vt:i4>5</vt:i4>
      </vt:variant>
      <vt:variant>
        <vt:lpwstr>https://pubmed.ncbi.nlm.nih.gov/40549887/</vt:lpwstr>
      </vt:variant>
      <vt:variant>
        <vt:lpwstr/>
      </vt:variant>
      <vt:variant>
        <vt:i4>917511</vt:i4>
      </vt:variant>
      <vt:variant>
        <vt:i4>213</vt:i4>
      </vt:variant>
      <vt:variant>
        <vt:i4>0</vt:i4>
      </vt:variant>
      <vt:variant>
        <vt:i4>5</vt:i4>
      </vt:variant>
      <vt:variant>
        <vt:lpwstr>https://pubmed.ncbi.nlm.nih.gov/40555243/</vt:lpwstr>
      </vt:variant>
      <vt:variant>
        <vt:lpwstr/>
      </vt:variant>
      <vt:variant>
        <vt:i4>393219</vt:i4>
      </vt:variant>
      <vt:variant>
        <vt:i4>210</vt:i4>
      </vt:variant>
      <vt:variant>
        <vt:i4>0</vt:i4>
      </vt:variant>
      <vt:variant>
        <vt:i4>5</vt:i4>
      </vt:variant>
      <vt:variant>
        <vt:lpwstr>https://pubmed.ncbi.nlm.nih.gov/39495965/</vt:lpwstr>
      </vt:variant>
      <vt:variant>
        <vt:lpwstr/>
      </vt:variant>
      <vt:variant>
        <vt:i4>2949166</vt:i4>
      </vt:variant>
      <vt:variant>
        <vt:i4>207</vt:i4>
      </vt:variant>
      <vt:variant>
        <vt:i4>0</vt:i4>
      </vt:variant>
      <vt:variant>
        <vt:i4>5</vt:i4>
      </vt:variant>
      <vt:variant>
        <vt:lpwstr>https://www.nejm.org/doi/full/10.1056/NEJMoa2502081</vt:lpwstr>
      </vt:variant>
      <vt:variant>
        <vt:lpwstr/>
      </vt:variant>
      <vt:variant>
        <vt:i4>4063268</vt:i4>
      </vt:variant>
      <vt:variant>
        <vt:i4>204</vt:i4>
      </vt:variant>
      <vt:variant>
        <vt:i4>0</vt:i4>
      </vt:variant>
      <vt:variant>
        <vt:i4>5</vt:i4>
      </vt:variant>
      <vt:variant>
        <vt:lpwstr>https://pmc.ncbi.nlm.nih.gov/articles/PMC10844714/</vt:lpwstr>
      </vt:variant>
      <vt:variant>
        <vt:lpwstr/>
      </vt:variant>
      <vt:variant>
        <vt:i4>2162813</vt:i4>
      </vt:variant>
      <vt:variant>
        <vt:i4>201</vt:i4>
      </vt:variant>
      <vt:variant>
        <vt:i4>0</vt:i4>
      </vt:variant>
      <vt:variant>
        <vt:i4>5</vt:i4>
      </vt:variant>
      <vt:variant>
        <vt:lpwstr>https://www.nejm.org/doi/pdf/10.1056/NEJMoa2511774</vt:lpwstr>
      </vt:variant>
      <vt:variant>
        <vt:lpwstr/>
      </vt:variant>
      <vt:variant>
        <vt:i4>8061027</vt:i4>
      </vt:variant>
      <vt:variant>
        <vt:i4>198</vt:i4>
      </vt:variant>
      <vt:variant>
        <vt:i4>0</vt:i4>
      </vt:variant>
      <vt:variant>
        <vt:i4>5</vt:i4>
      </vt:variant>
      <vt:variant>
        <vt:lpwstr>https://www.lilly.com/news/stories/what-to-know-about-orforglipron</vt:lpwstr>
      </vt:variant>
      <vt:variant>
        <vt:lpwstr/>
      </vt:variant>
      <vt:variant>
        <vt:i4>327686</vt:i4>
      </vt:variant>
      <vt:variant>
        <vt:i4>195</vt:i4>
      </vt:variant>
      <vt:variant>
        <vt:i4>0</vt:i4>
      </vt:variant>
      <vt:variant>
        <vt:i4>5</vt:i4>
      </vt:variant>
      <vt:variant>
        <vt:lpwstr>https://clinicaltrials.gov/study/NCT06643728</vt:lpwstr>
      </vt:variant>
      <vt:variant>
        <vt:lpwstr/>
      </vt:variant>
      <vt:variant>
        <vt:i4>720903</vt:i4>
      </vt:variant>
      <vt:variant>
        <vt:i4>192</vt:i4>
      </vt:variant>
      <vt:variant>
        <vt:i4>0</vt:i4>
      </vt:variant>
      <vt:variant>
        <vt:i4>5</vt:i4>
      </vt:variant>
      <vt:variant>
        <vt:lpwstr>https://pubmed.ncbi.nlm.nih.gov/39385353/</vt:lpwstr>
      </vt:variant>
      <vt:variant>
        <vt:lpwstr/>
      </vt:variant>
      <vt:variant>
        <vt:i4>4194331</vt:i4>
      </vt:variant>
      <vt:variant>
        <vt:i4>189</vt:i4>
      </vt:variant>
      <vt:variant>
        <vt:i4>0</vt:i4>
      </vt:variant>
      <vt:variant>
        <vt:i4>5</vt:i4>
      </vt:variant>
      <vt:variant>
        <vt:lpwstr>https://www.bmj.com/content/390/bmj.r1855</vt:lpwstr>
      </vt:variant>
      <vt:variant>
        <vt:lpwstr/>
      </vt:variant>
      <vt:variant>
        <vt:i4>1245277</vt:i4>
      </vt:variant>
      <vt:variant>
        <vt:i4>186</vt:i4>
      </vt:variant>
      <vt:variant>
        <vt:i4>0</vt:i4>
      </vt:variant>
      <vt:variant>
        <vt:i4>5</vt:i4>
      </vt:variant>
      <vt:variant>
        <vt:lpwstr>https://www.england.nhs.uk/digital-weight-management/</vt:lpwstr>
      </vt:variant>
      <vt:variant>
        <vt:lpwstr/>
      </vt:variant>
      <vt:variant>
        <vt:i4>5963845</vt:i4>
      </vt:variant>
      <vt:variant>
        <vt:i4>183</vt:i4>
      </vt:variant>
      <vt:variant>
        <vt:i4>0</vt:i4>
      </vt:variant>
      <vt:variant>
        <vt:i4>5</vt:i4>
      </vt:variant>
      <vt:variant>
        <vt:lpwstr>https://www.england.nhs.uk/wp-content/uploads/2025/03/PRN01879-interim-commissioning-guidance-implementation-of-the-nice-technology-appraisal-ta1026-and-the-NICE-fu.pdf</vt:lpwstr>
      </vt:variant>
      <vt:variant>
        <vt:lpwstr/>
      </vt:variant>
      <vt:variant>
        <vt:i4>524377</vt:i4>
      </vt:variant>
      <vt:variant>
        <vt:i4>180</vt:i4>
      </vt:variant>
      <vt:variant>
        <vt:i4>0</vt:i4>
      </vt:variant>
      <vt:variant>
        <vt:i4>5</vt:i4>
      </vt:variant>
      <vt:variant>
        <vt:lpwstr>https://bjd-abcd.com/index.php/bjd/article/view/1183/1497</vt:lpwstr>
      </vt:variant>
      <vt:variant>
        <vt:lpwstr/>
      </vt:variant>
      <vt:variant>
        <vt:i4>5570590</vt:i4>
      </vt:variant>
      <vt:variant>
        <vt:i4>177</vt:i4>
      </vt:variant>
      <vt:variant>
        <vt:i4>0</vt:i4>
      </vt:variant>
      <vt:variant>
        <vt:i4>5</vt:i4>
      </vt:variant>
      <vt:variant>
        <vt:lpwstr>https://www.nice.org.uk/guidance/TA875/chapter/1-Recommendations</vt:lpwstr>
      </vt:variant>
      <vt:variant>
        <vt:lpwstr/>
      </vt:variant>
      <vt:variant>
        <vt:i4>7995424</vt:i4>
      </vt:variant>
      <vt:variant>
        <vt:i4>174</vt:i4>
      </vt:variant>
      <vt:variant>
        <vt:i4>0</vt:i4>
      </vt:variant>
      <vt:variant>
        <vt:i4>5</vt:i4>
      </vt:variant>
      <vt:variant>
        <vt:lpwstr>https://www.nice.org.uk/guidance/ta664</vt:lpwstr>
      </vt:variant>
      <vt:variant>
        <vt:lpwstr/>
      </vt:variant>
      <vt:variant>
        <vt:i4>2359401</vt:i4>
      </vt:variant>
      <vt:variant>
        <vt:i4>171</vt:i4>
      </vt:variant>
      <vt:variant>
        <vt:i4>0</vt:i4>
      </vt:variant>
      <vt:variant>
        <vt:i4>5</vt:i4>
      </vt:variant>
      <vt:variant>
        <vt:lpwstr>https://www.nice.org.uk/guidance/gid-pmg10019/documents/final-scope</vt:lpwstr>
      </vt:variant>
      <vt:variant>
        <vt:lpwstr/>
      </vt:variant>
      <vt:variant>
        <vt:i4>7733346</vt:i4>
      </vt:variant>
      <vt:variant>
        <vt:i4>168</vt:i4>
      </vt:variant>
      <vt:variant>
        <vt:i4>0</vt:i4>
      </vt:variant>
      <vt:variant>
        <vt:i4>5</vt:i4>
      </vt:variant>
      <vt:variant>
        <vt:lpwstr>https://www.ainvest.com/news/unstoppable-rise-generics-sandoz-70-discount-glp-1-drugs-canadian-market-era-2508/</vt:lpwstr>
      </vt:variant>
      <vt:variant>
        <vt:lpwstr/>
      </vt:variant>
      <vt:variant>
        <vt:i4>1376257</vt:i4>
      </vt:variant>
      <vt:variant>
        <vt:i4>165</vt:i4>
      </vt:variant>
      <vt:variant>
        <vt:i4>0</vt:i4>
      </vt:variant>
      <vt:variant>
        <vt:i4>5</vt:i4>
      </vt:variant>
      <vt:variant>
        <vt:lpwstr>https://www.benefitsandpensionsmonitor.com/benefits/pharma/semaglutide-generics-in-canada-could-reshape-pricing-as-sandoz-prepares-for-2026-launch/392321</vt:lpwstr>
      </vt:variant>
      <vt:variant>
        <vt:lpwstr/>
      </vt:variant>
      <vt:variant>
        <vt:i4>3342461</vt:i4>
      </vt:variant>
      <vt:variant>
        <vt:i4>162</vt:i4>
      </vt:variant>
      <vt:variant>
        <vt:i4>0</vt:i4>
      </vt:variant>
      <vt:variant>
        <vt:i4>5</vt:i4>
      </vt:variant>
      <vt:variant>
        <vt:lpwstr>https://www.pcpacanada.ca/negotiation/23209</vt:lpwstr>
      </vt:variant>
      <vt:variant>
        <vt:lpwstr/>
      </vt:variant>
      <vt:variant>
        <vt:i4>3014719</vt:i4>
      </vt:variant>
      <vt:variant>
        <vt:i4>159</vt:i4>
      </vt:variant>
      <vt:variant>
        <vt:i4>0</vt:i4>
      </vt:variant>
      <vt:variant>
        <vt:i4>5</vt:i4>
      </vt:variant>
      <vt:variant>
        <vt:lpwstr>https://www.cda-amc.ca/sites/default/files/DRR/2025/SR0841-Wegovy_FINAL_Rec.pdf</vt:lpwstr>
      </vt:variant>
      <vt:variant>
        <vt:lpwstr/>
      </vt:variant>
      <vt:variant>
        <vt:i4>6750313</vt:i4>
      </vt:variant>
      <vt:variant>
        <vt:i4>156</vt:i4>
      </vt:variant>
      <vt:variant>
        <vt:i4>0</vt:i4>
      </vt:variant>
      <vt:variant>
        <vt:i4>5</vt:i4>
      </vt:variant>
      <vt:variant>
        <vt:lpwstr>https://www.downsyndrome.org.au/about-down-syndrome/statistics/</vt:lpwstr>
      </vt:variant>
      <vt:variant>
        <vt:lpwstr/>
      </vt:variant>
      <vt:variant>
        <vt:i4>7798903</vt:i4>
      </vt:variant>
      <vt:variant>
        <vt:i4>153</vt:i4>
      </vt:variant>
      <vt:variant>
        <vt:i4>0</vt:i4>
      </vt:variant>
      <vt:variant>
        <vt:i4>5</vt:i4>
      </vt:variant>
      <vt:variant>
        <vt:lpwstr>https://ojrd.biomedcentral.com/articles/10.1186/s13023-025-03787-0</vt:lpwstr>
      </vt:variant>
      <vt:variant>
        <vt:lpwstr/>
      </vt:variant>
      <vt:variant>
        <vt:i4>1441813</vt:i4>
      </vt:variant>
      <vt:variant>
        <vt:i4>150</vt:i4>
      </vt:variant>
      <vt:variant>
        <vt:i4>0</vt:i4>
      </vt:variant>
      <vt:variant>
        <vt:i4>5</vt:i4>
      </vt:variant>
      <vt:variant>
        <vt:lpwstr>https://pmc.ncbi.nlm.nih.gov/articles/PMC3215910/</vt:lpwstr>
      </vt:variant>
      <vt:variant>
        <vt:lpwstr/>
      </vt:variant>
      <vt:variant>
        <vt:i4>6619172</vt:i4>
      </vt:variant>
      <vt:variant>
        <vt:i4>147</vt:i4>
      </vt:variant>
      <vt:variant>
        <vt:i4>0</vt:i4>
      </vt:variant>
      <vt:variant>
        <vt:i4>5</vt:i4>
      </vt:variant>
      <vt:variant>
        <vt:lpwstr>https://www.mdpi.com/2227-9067/11/2/153</vt:lpwstr>
      </vt:variant>
      <vt:variant>
        <vt:lpwstr/>
      </vt:variant>
      <vt:variant>
        <vt:i4>3997751</vt:i4>
      </vt:variant>
      <vt:variant>
        <vt:i4>144</vt:i4>
      </vt:variant>
      <vt:variant>
        <vt:i4>0</vt:i4>
      </vt:variant>
      <vt:variant>
        <vt:i4>5</vt:i4>
      </vt:variant>
      <vt:variant>
        <vt:lpwstr>https://www.thelancet.com/journals/lanchi/article/PIIS2352-4642(25)00065-3/fulltext</vt:lpwstr>
      </vt:variant>
      <vt:variant>
        <vt:lpwstr/>
      </vt:variant>
      <vt:variant>
        <vt:i4>4063273</vt:i4>
      </vt:variant>
      <vt:variant>
        <vt:i4>141</vt:i4>
      </vt:variant>
      <vt:variant>
        <vt:i4>0</vt:i4>
      </vt:variant>
      <vt:variant>
        <vt:i4>5</vt:i4>
      </vt:variant>
      <vt:variant>
        <vt:lpwstr>https://www.nature.com/articles/s41366-025-01819-0</vt:lpwstr>
      </vt:variant>
      <vt:variant>
        <vt:lpwstr/>
      </vt:variant>
      <vt:variant>
        <vt:i4>3538977</vt:i4>
      </vt:variant>
      <vt:variant>
        <vt:i4>138</vt:i4>
      </vt:variant>
      <vt:variant>
        <vt:i4>0</vt:i4>
      </vt:variant>
      <vt:variant>
        <vt:i4>5</vt:i4>
      </vt:variant>
      <vt:variant>
        <vt:lpwstr>https://pmc.ncbi.nlm.nih.gov/articles/PMC10551116/</vt:lpwstr>
      </vt:variant>
      <vt:variant>
        <vt:lpwstr/>
      </vt:variant>
      <vt:variant>
        <vt:i4>7143548</vt:i4>
      </vt:variant>
      <vt:variant>
        <vt:i4>135</vt:i4>
      </vt:variant>
      <vt:variant>
        <vt:i4>0</vt:i4>
      </vt:variant>
      <vt:variant>
        <vt:i4>5</vt:i4>
      </vt:variant>
      <vt:variant>
        <vt:lpwstr>https://www.sciencedirect.com/science/article/pii/S2667368124000123</vt:lpwstr>
      </vt:variant>
      <vt:variant>
        <vt:lpwstr/>
      </vt:variant>
      <vt:variant>
        <vt:i4>917508</vt:i4>
      </vt:variant>
      <vt:variant>
        <vt:i4>132</vt:i4>
      </vt:variant>
      <vt:variant>
        <vt:i4>0</vt:i4>
      </vt:variant>
      <vt:variant>
        <vt:i4>5</vt:i4>
      </vt:variant>
      <vt:variant>
        <vt:lpwstr>https://pubmed.ncbi.nlm.nih.gov/28346149/</vt:lpwstr>
      </vt:variant>
      <vt:variant>
        <vt:lpwstr/>
      </vt:variant>
      <vt:variant>
        <vt:i4>131100</vt:i4>
      </vt:variant>
      <vt:variant>
        <vt:i4>129</vt:i4>
      </vt:variant>
      <vt:variant>
        <vt:i4>0</vt:i4>
      </vt:variant>
      <vt:variant>
        <vt:i4>5</vt:i4>
      </vt:variant>
      <vt:variant>
        <vt:lpwstr>https://www.cvdcheck.org.au/reclassification-factors-other-considerations</vt:lpwstr>
      </vt:variant>
      <vt:variant>
        <vt:lpwstr/>
      </vt:variant>
      <vt:variant>
        <vt:i4>3670061</vt:i4>
      </vt:variant>
      <vt:variant>
        <vt:i4>126</vt:i4>
      </vt:variant>
      <vt:variant>
        <vt:i4>0</vt:i4>
      </vt:variant>
      <vt:variant>
        <vt:i4>5</vt:i4>
      </vt:variant>
      <vt:variant>
        <vt:lpwstr>https://pmc.ncbi.nlm.nih.gov/articles/PMC10597691/</vt:lpwstr>
      </vt:variant>
      <vt:variant>
        <vt:lpwstr/>
      </vt:variant>
      <vt:variant>
        <vt:i4>4522005</vt:i4>
      </vt:variant>
      <vt:variant>
        <vt:i4>123</vt:i4>
      </vt:variant>
      <vt:variant>
        <vt:i4>0</vt:i4>
      </vt:variant>
      <vt:variant>
        <vt:i4>5</vt:i4>
      </vt:variant>
      <vt:variant>
        <vt:lpwstr>https://www.bmj.com/content/390/bmj.r1606</vt:lpwstr>
      </vt:variant>
      <vt:variant>
        <vt:lpwstr/>
      </vt:variant>
      <vt:variant>
        <vt:i4>1245192</vt:i4>
      </vt:variant>
      <vt:variant>
        <vt:i4>120</vt:i4>
      </vt:variant>
      <vt:variant>
        <vt:i4>0</vt:i4>
      </vt:variant>
      <vt:variant>
        <vt:i4>5</vt:i4>
      </vt:variant>
      <vt:variant>
        <vt:lpwstr>https://www.ebs.tga.gov.au/ebs/picmi/picmirepository.nsf/pdf?OpenAgent=&amp;id=CP-2023-PI-02114-1&amp;d=20251209172310101</vt:lpwstr>
      </vt:variant>
      <vt:variant>
        <vt:lpwstr/>
      </vt:variant>
      <vt:variant>
        <vt:i4>5373959</vt:i4>
      </vt:variant>
      <vt:variant>
        <vt:i4>117</vt:i4>
      </vt:variant>
      <vt:variant>
        <vt:i4>0</vt:i4>
      </vt:variant>
      <vt:variant>
        <vt:i4>5</vt:i4>
      </vt:variant>
      <vt:variant>
        <vt:lpwstr>https://www.pbs.gov.au/info/industry/listing/participants/public-release-docs/2024-06/analysis-of-semaglutide-DUSC-june-2024</vt:lpwstr>
      </vt:variant>
      <vt:variant>
        <vt:lpwstr/>
      </vt:variant>
      <vt:variant>
        <vt:i4>7667775</vt:i4>
      </vt:variant>
      <vt:variant>
        <vt:i4>114</vt:i4>
      </vt:variant>
      <vt:variant>
        <vt:i4>0</vt:i4>
      </vt:variant>
      <vt:variant>
        <vt:i4>5</vt:i4>
      </vt:variant>
      <vt:variant>
        <vt:lpwstr>https://www.pbs.gov.au/info/industry/listing/participants/public-release-docs/2022-09/medicines-for-the-treatment-of-type-2-diabetes-september-2022</vt:lpwstr>
      </vt:variant>
      <vt:variant>
        <vt:lpwstr/>
      </vt:variant>
      <vt:variant>
        <vt:i4>5</vt:i4>
      </vt:variant>
      <vt:variant>
        <vt:i4>111</vt:i4>
      </vt:variant>
      <vt:variant>
        <vt:i4>0</vt:i4>
      </vt:variant>
      <vt:variant>
        <vt:i4>5</vt:i4>
      </vt:variant>
      <vt:variant>
        <vt:lpwstr>https://pubmed.ncbi.nlm.nih.gov/37494014/</vt:lpwstr>
      </vt:variant>
      <vt:variant>
        <vt:lpwstr/>
      </vt:variant>
      <vt:variant>
        <vt:i4>3801125</vt:i4>
      </vt:variant>
      <vt:variant>
        <vt:i4>108</vt:i4>
      </vt:variant>
      <vt:variant>
        <vt:i4>0</vt:i4>
      </vt:variant>
      <vt:variant>
        <vt:i4>5</vt:i4>
      </vt:variant>
      <vt:variant>
        <vt:lpwstr>https://onlinelibrary.wiley.com/doi/epdf/10.1111/obr.13811</vt:lpwstr>
      </vt:variant>
      <vt:variant>
        <vt:lpwstr/>
      </vt:variant>
      <vt:variant>
        <vt:i4>5898325</vt:i4>
      </vt:variant>
      <vt:variant>
        <vt:i4>105</vt:i4>
      </vt:variant>
      <vt:variant>
        <vt:i4>0</vt:i4>
      </vt:variant>
      <vt:variant>
        <vt:i4>5</vt:i4>
      </vt:variant>
      <vt:variant>
        <vt:lpwstr>https://www.monash.edu/news/articles/fewer-australians-having-bariatric-surgery-monash-university-led-report</vt:lpwstr>
      </vt:variant>
      <vt:variant>
        <vt:lpwstr/>
      </vt:variant>
      <vt:variant>
        <vt:i4>7405662</vt:i4>
      </vt:variant>
      <vt:variant>
        <vt:i4>102</vt:i4>
      </vt:variant>
      <vt:variant>
        <vt:i4>0</vt:i4>
      </vt:variant>
      <vt:variant>
        <vt:i4>5</vt:i4>
      </vt:variant>
      <vt:variant>
        <vt:lpwstr>https://jamanetwork.com/journals/jamasurgery/article-abstract/2838016?utm_campaign=articlePDF</vt:lpwstr>
      </vt:variant>
      <vt:variant>
        <vt:lpwstr/>
      </vt:variant>
      <vt:variant>
        <vt:i4>2293794</vt:i4>
      </vt:variant>
      <vt:variant>
        <vt:i4>99</vt:i4>
      </vt:variant>
      <vt:variant>
        <vt:i4>0</vt:i4>
      </vt:variant>
      <vt:variant>
        <vt:i4>5</vt:i4>
      </vt:variant>
      <vt:variant>
        <vt:lpwstr>https://www.americanjournalofsurgery.com/article/S0002-9610(25)00064-9/abstract</vt:lpwstr>
      </vt:variant>
      <vt:variant>
        <vt:lpwstr/>
      </vt:variant>
      <vt:variant>
        <vt:i4>4128819</vt:i4>
      </vt:variant>
      <vt:variant>
        <vt:i4>96</vt:i4>
      </vt:variant>
      <vt:variant>
        <vt:i4>0</vt:i4>
      </vt:variant>
      <vt:variant>
        <vt:i4>5</vt:i4>
      </vt:variant>
      <vt:variant>
        <vt:lpwstr>https://www.thelancet.com/journals/eclinm/article/PIIS2589-5370(25)00145-2/fulltext</vt:lpwstr>
      </vt:variant>
      <vt:variant>
        <vt:lpwstr/>
      </vt:variant>
      <vt:variant>
        <vt:i4>6422633</vt:i4>
      </vt:variant>
      <vt:variant>
        <vt:i4>93</vt:i4>
      </vt:variant>
      <vt:variant>
        <vt:i4>0</vt:i4>
      </vt:variant>
      <vt:variant>
        <vt:i4>5</vt:i4>
      </vt:variant>
      <vt:variant>
        <vt:lpwstr>https://onlinelibrary.wiley.com/doi/10.1002/oby.23563?msockid=2d3f49e85fcf6e383c355c235eda6fbb</vt:lpwstr>
      </vt:variant>
      <vt:variant>
        <vt:lpwstr/>
      </vt:variant>
      <vt:variant>
        <vt:i4>393231</vt:i4>
      </vt:variant>
      <vt:variant>
        <vt:i4>90</vt:i4>
      </vt:variant>
      <vt:variant>
        <vt:i4>0</vt:i4>
      </vt:variant>
      <vt:variant>
        <vt:i4>5</vt:i4>
      </vt:variant>
      <vt:variant>
        <vt:lpwstr>https://pubmed.ncbi.nlm.nih.gov/40960852/</vt:lpwstr>
      </vt:variant>
      <vt:variant>
        <vt:lpwstr/>
      </vt:variant>
      <vt:variant>
        <vt:i4>14</vt:i4>
      </vt:variant>
      <vt:variant>
        <vt:i4>87</vt:i4>
      </vt:variant>
      <vt:variant>
        <vt:i4>0</vt:i4>
      </vt:variant>
      <vt:variant>
        <vt:i4>5</vt:i4>
      </vt:variant>
      <vt:variant>
        <vt:lpwstr>https://pubmed.ncbi.nlm.nih.gov/31965568/</vt:lpwstr>
      </vt:variant>
      <vt:variant>
        <vt:lpwstr/>
      </vt:variant>
      <vt:variant>
        <vt:i4>589836</vt:i4>
      </vt:variant>
      <vt:variant>
        <vt:i4>84</vt:i4>
      </vt:variant>
      <vt:variant>
        <vt:i4>0</vt:i4>
      </vt:variant>
      <vt:variant>
        <vt:i4>5</vt:i4>
      </vt:variant>
      <vt:variant>
        <vt:lpwstr>https://pubmed.ncbi.nlm.nih.gov/31475297/</vt:lpwstr>
      </vt:variant>
      <vt:variant>
        <vt:lpwstr/>
      </vt:variant>
      <vt:variant>
        <vt:i4>1769491</vt:i4>
      </vt:variant>
      <vt:variant>
        <vt:i4>81</vt:i4>
      </vt:variant>
      <vt:variant>
        <vt:i4>0</vt:i4>
      </vt:variant>
      <vt:variant>
        <vt:i4>5</vt:i4>
      </vt:variant>
      <vt:variant>
        <vt:lpwstr>https://pmc.ncbi.nlm.nih.gov/articles/PMC9998117/</vt:lpwstr>
      </vt:variant>
      <vt:variant>
        <vt:lpwstr/>
      </vt:variant>
      <vt:variant>
        <vt:i4>327787</vt:i4>
      </vt:variant>
      <vt:variant>
        <vt:i4>78</vt:i4>
      </vt:variant>
      <vt:variant>
        <vt:i4>0</vt:i4>
      </vt:variant>
      <vt:variant>
        <vt:i4>5</vt:i4>
      </vt:variant>
      <vt:variant>
        <vt:lpwstr>https://www.monash.edu/__data/assets/pdf_file/0005/4095779/2024_BSR_Annual_Report_Summary.pdf</vt:lpwstr>
      </vt:variant>
      <vt:variant>
        <vt:lpwstr/>
      </vt:variant>
      <vt:variant>
        <vt:i4>5570605</vt:i4>
      </vt:variant>
      <vt:variant>
        <vt:i4>75</vt:i4>
      </vt:variant>
      <vt:variant>
        <vt:i4>0</vt:i4>
      </vt:variant>
      <vt:variant>
        <vt:i4>5</vt:i4>
      </vt:variant>
      <vt:variant>
        <vt:lpwstr>https://www.monash.edu/__data/assets/pdf_file/0009/4137057/Bariatric-Surgery-Registry-Australian-Annual-Report-2024.pdf</vt:lpwstr>
      </vt:variant>
      <vt:variant>
        <vt:lpwstr/>
      </vt:variant>
      <vt:variant>
        <vt:i4>8323123</vt:i4>
      </vt:variant>
      <vt:variant>
        <vt:i4>72</vt:i4>
      </vt:variant>
      <vt:variant>
        <vt:i4>0</vt:i4>
      </vt:variant>
      <vt:variant>
        <vt:i4>5</vt:i4>
      </vt:variant>
      <vt:variant>
        <vt:lpwstr>https://www9.health.gov.au/mbs/fullDisplay.cfm?type=item&amp;q=31575&amp;criteria=31575</vt:lpwstr>
      </vt:variant>
      <vt:variant>
        <vt:lpwstr/>
      </vt:variant>
      <vt:variant>
        <vt:i4>1114137</vt:i4>
      </vt:variant>
      <vt:variant>
        <vt:i4>69</vt:i4>
      </vt:variant>
      <vt:variant>
        <vt:i4>0</vt:i4>
      </vt:variant>
      <vt:variant>
        <vt:i4>5</vt:i4>
      </vt:variant>
      <vt:variant>
        <vt:lpwstr>https://www.thelancet.com/journals/landia/article/PIIS2213-85872400316-4/abstract</vt:lpwstr>
      </vt:variant>
      <vt:variant>
        <vt:lpwstr/>
      </vt:variant>
      <vt:variant>
        <vt:i4>3211309</vt:i4>
      </vt:variant>
      <vt:variant>
        <vt:i4>66</vt:i4>
      </vt:variant>
      <vt:variant>
        <vt:i4>0</vt:i4>
      </vt:variant>
      <vt:variant>
        <vt:i4>5</vt:i4>
      </vt:variant>
      <vt:variant>
        <vt:lpwstr>https://pmc.ncbi.nlm.nih.gov/articles/PMC11812886/</vt:lpwstr>
      </vt:variant>
      <vt:variant>
        <vt:lpwstr/>
      </vt:variant>
      <vt:variant>
        <vt:i4>1638475</vt:i4>
      </vt:variant>
      <vt:variant>
        <vt:i4>63</vt:i4>
      </vt:variant>
      <vt:variant>
        <vt:i4>0</vt:i4>
      </vt:variant>
      <vt:variant>
        <vt:i4>5</vt:i4>
      </vt:variant>
      <vt:variant>
        <vt:lpwstr>https://www.phrp.com.au/issues/october-2024-volume-34-issue-3/economic-benefits-of-reducing-childhood-and-adolescent-overweight-and-obesity/</vt:lpwstr>
      </vt:variant>
      <vt:variant>
        <vt:lpwstr/>
      </vt:variant>
      <vt:variant>
        <vt:i4>3473511</vt:i4>
      </vt:variant>
      <vt:variant>
        <vt:i4>60</vt:i4>
      </vt:variant>
      <vt:variant>
        <vt:i4>0</vt:i4>
      </vt:variant>
      <vt:variant>
        <vt:i4>5</vt:i4>
      </vt:variant>
      <vt:variant>
        <vt:lpwstr>https://www.abs.gov.au/statistics/health/food-and-nutrition/food-and-nutrients/2023</vt:lpwstr>
      </vt:variant>
      <vt:variant>
        <vt:lpwstr>energy-intake</vt:lpwstr>
      </vt:variant>
      <vt:variant>
        <vt:i4>65567</vt:i4>
      </vt:variant>
      <vt:variant>
        <vt:i4>57</vt:i4>
      </vt:variant>
      <vt:variant>
        <vt:i4>0</vt:i4>
      </vt:variant>
      <vt:variant>
        <vt:i4>5</vt:i4>
      </vt:variant>
      <vt:variant>
        <vt:lpwstr>https://www.aihw.gov.au/reports/physical-activity/physical-activity</vt:lpwstr>
      </vt:variant>
      <vt:variant>
        <vt:lpwstr>meet-guidelines</vt:lpwstr>
      </vt:variant>
      <vt:variant>
        <vt:i4>6815871</vt:i4>
      </vt:variant>
      <vt:variant>
        <vt:i4>54</vt:i4>
      </vt:variant>
      <vt:variant>
        <vt:i4>0</vt:i4>
      </vt:variant>
      <vt:variant>
        <vt:i4>5</vt:i4>
      </vt:variant>
      <vt:variant>
        <vt:lpwstr>https://www.aihw.gov.au/reports/overweight-obesity/overweight-and-obesity/contents/summary</vt:lpwstr>
      </vt:variant>
      <vt:variant>
        <vt:lpwstr/>
      </vt:variant>
      <vt:variant>
        <vt:i4>4325381</vt:i4>
      </vt:variant>
      <vt:variant>
        <vt:i4>51</vt:i4>
      </vt:variant>
      <vt:variant>
        <vt:i4>0</vt:i4>
      </vt:variant>
      <vt:variant>
        <vt:i4>5</vt:i4>
      </vt:variant>
      <vt:variant>
        <vt:lpwstr>https://www.health.gov.au/resources/publications/national-obesity-strategy-2022-2032?language=en</vt:lpwstr>
      </vt:variant>
      <vt:variant>
        <vt:lpwstr/>
      </vt:variant>
      <vt:variant>
        <vt:i4>131078</vt:i4>
      </vt:variant>
      <vt:variant>
        <vt:i4>48</vt:i4>
      </vt:variant>
      <vt:variant>
        <vt:i4>0</vt:i4>
      </vt:variant>
      <vt:variant>
        <vt:i4>5</vt:i4>
      </vt:variant>
      <vt:variant>
        <vt:lpwstr>https://pubmed.ncbi.nlm.nih.gov/35101924/</vt:lpwstr>
      </vt:variant>
      <vt:variant>
        <vt:lpwstr/>
      </vt:variant>
      <vt:variant>
        <vt:i4>1048604</vt:i4>
      </vt:variant>
      <vt:variant>
        <vt:i4>45</vt:i4>
      </vt:variant>
      <vt:variant>
        <vt:i4>0</vt:i4>
      </vt:variant>
      <vt:variant>
        <vt:i4>5</vt:i4>
      </vt:variant>
      <vt:variant>
        <vt:lpwstr>https://pmc.ncbi.nlm.nih.gov/articles/PMC7708309/</vt:lpwstr>
      </vt:variant>
      <vt:variant>
        <vt:lpwstr/>
      </vt:variant>
      <vt:variant>
        <vt:i4>4128818</vt:i4>
      </vt:variant>
      <vt:variant>
        <vt:i4>42</vt:i4>
      </vt:variant>
      <vt:variant>
        <vt:i4>0</vt:i4>
      </vt:variant>
      <vt:variant>
        <vt:i4>5</vt:i4>
      </vt:variant>
      <vt:variant>
        <vt:lpwstr>https://www.thelancet.com/journals/eclinm/article/PIIS2589-5370(24)00054-3/fulltext</vt:lpwstr>
      </vt:variant>
      <vt:variant>
        <vt:lpwstr/>
      </vt:variant>
      <vt:variant>
        <vt:i4>3211304</vt:i4>
      </vt:variant>
      <vt:variant>
        <vt:i4>39</vt:i4>
      </vt:variant>
      <vt:variant>
        <vt:i4>0</vt:i4>
      </vt:variant>
      <vt:variant>
        <vt:i4>5</vt:i4>
      </vt:variant>
      <vt:variant>
        <vt:lpwstr>https://pmc.ncbi.nlm.nih.gov/articles/PMC10092406/</vt:lpwstr>
      </vt:variant>
      <vt:variant>
        <vt:lpwstr/>
      </vt:variant>
      <vt:variant>
        <vt:i4>3342383</vt:i4>
      </vt:variant>
      <vt:variant>
        <vt:i4>36</vt:i4>
      </vt:variant>
      <vt:variant>
        <vt:i4>0</vt:i4>
      </vt:variant>
      <vt:variant>
        <vt:i4>5</vt:i4>
      </vt:variant>
      <vt:variant>
        <vt:lpwstr>https://pmc.ncbi.nlm.nih.gov/articles/PMC12381620/</vt:lpwstr>
      </vt:variant>
      <vt:variant>
        <vt:lpwstr/>
      </vt:variant>
      <vt:variant>
        <vt:i4>7864383</vt:i4>
      </vt:variant>
      <vt:variant>
        <vt:i4>33</vt:i4>
      </vt:variant>
      <vt:variant>
        <vt:i4>0</vt:i4>
      </vt:variant>
      <vt:variant>
        <vt:i4>5</vt:i4>
      </vt:variant>
      <vt:variant>
        <vt:lpwstr>https://www.health.qld.gov.au/clinical-practice/referrals/smocc</vt:lpwstr>
      </vt:variant>
      <vt:variant>
        <vt:lpwstr/>
      </vt:variant>
      <vt:variant>
        <vt:i4>3080231</vt:i4>
      </vt:variant>
      <vt:variant>
        <vt:i4>30</vt:i4>
      </vt:variant>
      <vt:variant>
        <vt:i4>0</vt:i4>
      </vt:variant>
      <vt:variant>
        <vt:i4>5</vt:i4>
      </vt:variant>
      <vt:variant>
        <vt:lpwstr>https://www.myhealthforlife.com.au/</vt:lpwstr>
      </vt:variant>
      <vt:variant>
        <vt:lpwstr/>
      </vt:variant>
      <vt:variant>
        <vt:i4>4194372</vt:i4>
      </vt:variant>
      <vt:variant>
        <vt:i4>27</vt:i4>
      </vt:variant>
      <vt:variant>
        <vt:i4>0</vt:i4>
      </vt:variant>
      <vt:variant>
        <vt:i4>5</vt:i4>
      </vt:variant>
      <vt:variant>
        <vt:lpwstr>https://www.gethealthynsw.com.au/</vt:lpwstr>
      </vt:variant>
      <vt:variant>
        <vt:lpwstr/>
      </vt:variant>
      <vt:variant>
        <vt:i4>7471223</vt:i4>
      </vt:variant>
      <vt:variant>
        <vt:i4>24</vt:i4>
      </vt:variant>
      <vt:variant>
        <vt:i4>0</vt:i4>
      </vt:variant>
      <vt:variant>
        <vt:i4>5</vt:i4>
      </vt:variant>
      <vt:variant>
        <vt:lpwstr>https://www.sciencedirect.com/science/article/pii/S2667368125000300?via%3Dihub</vt:lpwstr>
      </vt:variant>
      <vt:variant>
        <vt:lpwstr/>
      </vt:variant>
      <vt:variant>
        <vt:i4>3604521</vt:i4>
      </vt:variant>
      <vt:variant>
        <vt:i4>21</vt:i4>
      </vt:variant>
      <vt:variant>
        <vt:i4>0</vt:i4>
      </vt:variant>
      <vt:variant>
        <vt:i4>5</vt:i4>
      </vt:variant>
      <vt:variant>
        <vt:lpwstr>https://dietitiansaustralia.org.au/advocacy-and-policy/parliamentary-friends-nutrition-2025-nutrition-first-glp-1-care</vt:lpwstr>
      </vt:variant>
      <vt:variant>
        <vt:lpwstr/>
      </vt:variant>
      <vt:variant>
        <vt:i4>8126527</vt:i4>
      </vt:variant>
      <vt:variant>
        <vt:i4>18</vt:i4>
      </vt:variant>
      <vt:variant>
        <vt:i4>0</vt:i4>
      </vt:variant>
      <vt:variant>
        <vt:i4>5</vt:i4>
      </vt:variant>
      <vt:variant>
        <vt:lpwstr>https://www.health.gov.au/our-work/review-of-mbs-allied-health-chronic-disease-management-services</vt:lpwstr>
      </vt:variant>
      <vt:variant>
        <vt:lpwstr/>
      </vt:variant>
      <vt:variant>
        <vt:i4>3604524</vt:i4>
      </vt:variant>
      <vt:variant>
        <vt:i4>15</vt:i4>
      </vt:variant>
      <vt:variant>
        <vt:i4>0</vt:i4>
      </vt:variant>
      <vt:variant>
        <vt:i4>5</vt:i4>
      </vt:variant>
      <vt:variant>
        <vt:lpwstr>https://pmc.ncbi.nlm.nih.gov/articles/PMC12304835/</vt:lpwstr>
      </vt:variant>
      <vt:variant>
        <vt:lpwstr/>
      </vt:variant>
      <vt:variant>
        <vt:i4>655378</vt:i4>
      </vt:variant>
      <vt:variant>
        <vt:i4>12</vt:i4>
      </vt:variant>
      <vt:variant>
        <vt:i4>0</vt:i4>
      </vt:variant>
      <vt:variant>
        <vt:i4>5</vt:i4>
      </vt:variant>
      <vt:variant>
        <vt:lpwstr>https://www.safetyandquality.gov.au/our-work/e-health-safety/safety-and-quality-virtual-care</vt:lpwstr>
      </vt:variant>
      <vt:variant>
        <vt:lpwstr/>
      </vt:variant>
      <vt:variant>
        <vt:i4>4784211</vt:i4>
      </vt:variant>
      <vt:variant>
        <vt:i4>9</vt:i4>
      </vt:variant>
      <vt:variant>
        <vt:i4>0</vt:i4>
      </vt:variant>
      <vt:variant>
        <vt:i4>5</vt:i4>
      </vt:variant>
      <vt:variant>
        <vt:lpwstr>https://edfa.org.au/media-releases/eating-disorder-alliance-eda-calls-for-increased-governance-in-weight-loss-prescriptions/</vt:lpwstr>
      </vt:variant>
      <vt:variant>
        <vt:lpwstr/>
      </vt:variant>
      <vt:variant>
        <vt:i4>4456463</vt:i4>
      </vt:variant>
      <vt:variant>
        <vt:i4>6</vt:i4>
      </vt:variant>
      <vt:variant>
        <vt:i4>0</vt:i4>
      </vt:variant>
      <vt:variant>
        <vt:i4>5</vt:i4>
      </vt:variant>
      <vt:variant>
        <vt:lpwstr>https://www.mja.com.au/journal/2025/222/3/role-glp-1-receptor-agonists-management-obesity-risks-and-opportunities</vt:lpwstr>
      </vt:variant>
      <vt:variant>
        <vt:lpwstr/>
      </vt:variant>
      <vt:variant>
        <vt:i4>2359349</vt:i4>
      </vt:variant>
      <vt:variant>
        <vt:i4>3</vt:i4>
      </vt:variant>
      <vt:variant>
        <vt:i4>0</vt:i4>
      </vt:variant>
      <vt:variant>
        <vt:i4>5</vt:i4>
      </vt:variant>
      <vt:variant>
        <vt:lpwstr>https://www.novonordisk.com.au/content/dam/nncorp/au/en/pdfs/discontinuation-saxenda-hcp-letter-may2025.pdf</vt:lpwstr>
      </vt:variant>
      <vt:variant>
        <vt:lpwstr/>
      </vt:variant>
      <vt:variant>
        <vt:i4>8323117</vt:i4>
      </vt:variant>
      <vt:variant>
        <vt:i4>0</vt:i4>
      </vt:variant>
      <vt:variant>
        <vt:i4>0</vt:i4>
      </vt:variant>
      <vt:variant>
        <vt:i4>5</vt:i4>
      </vt:variant>
      <vt:variant>
        <vt:lpwstr>https://www.wegovycare.com.au/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2025-12-12T19:21:00Z</dcterms:created>
  <dcterms:modified xsi:type="dcterms:W3CDTF">2026-02-26T23:42:00Z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671ade40,7a2699eb,73245a33</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5b9defbe,3bb60517,210c1570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2025-12-12T00:22:26Z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a0fb6fd4-5280-4375-bd61-ca54040ae3e8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docLang">
    <vt:lpwstr>en</vt:lpwstr>
  </property>
</Properties>
</file>