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3F5D6FA9" w:rsidR="00BA2732" w:rsidRPr="007E6B48" w:rsidRDefault="00D2517B" w:rsidP="003D033A">
      <w:pPr>
        <w:pStyle w:val="Title"/>
      </w:pPr>
      <w:r w:rsidRPr="007E6B48">
        <w:t xml:space="preserve">Equitable access to </w:t>
      </w:r>
      <w:r w:rsidR="00087436">
        <w:t>GLP-1</w:t>
      </w:r>
      <w:r w:rsidR="00D13FC3" w:rsidRPr="007E6B48">
        <w:t xml:space="preserve"> </w:t>
      </w:r>
      <w:r w:rsidR="00840277" w:rsidRPr="007E6B48">
        <w:t>medicines for the treatment of obesity</w:t>
      </w:r>
    </w:p>
    <w:p w14:paraId="669A467F" w14:textId="77777777" w:rsidR="00AC0947" w:rsidRDefault="00B31207" w:rsidP="00AC0947">
      <w:pPr>
        <w:pStyle w:val="Subtitle"/>
      </w:pPr>
      <w:r>
        <w:t>S</w:t>
      </w:r>
      <w:r w:rsidR="00F279C6" w:rsidRPr="007E6B48">
        <w:t>ummary</w:t>
      </w:r>
      <w:r>
        <w:t xml:space="preserve"> of public consultation submissions</w:t>
      </w:r>
    </w:p>
    <w:p w14:paraId="00ECD8FD" w14:textId="77777777" w:rsidR="00097211" w:rsidRDefault="00097211" w:rsidP="00097211"/>
    <w:p w14:paraId="6DA5930D" w14:textId="683CE725" w:rsidR="00C12A71" w:rsidRPr="00C12A71" w:rsidRDefault="00C12A71" w:rsidP="00C12A71">
      <w:pPr>
        <w:pStyle w:val="Heading2"/>
      </w:pPr>
      <w:r w:rsidRPr="00C12A71">
        <w:t>Contents</w:t>
      </w:r>
    </w:p>
    <w:p w14:paraId="56B56D8F" w14:textId="690BFB4A" w:rsidR="004D3DC5" w:rsidRPr="004D3DC5" w:rsidRDefault="00C12A71">
      <w:pPr>
        <w:pStyle w:val="TOC1"/>
        <w:tabs>
          <w:tab w:val="right" w:pos="9060"/>
        </w:tabs>
        <w:rPr>
          <w:rFonts w:eastAsiaTheme="minorEastAsia" w:cstheme="minorBidi"/>
          <w:b w:val="0"/>
          <w:bCs w:val="0"/>
          <w:caps w:val="0"/>
          <w:noProof/>
          <w:color w:val="auto"/>
          <w:kern w:val="2"/>
          <w:sz w:val="24"/>
          <w:szCs w:val="24"/>
          <w:lang w:eastAsia="en-AU"/>
          <w14:ligatures w14:val="standardContextual"/>
        </w:rPr>
      </w:pPr>
      <w:r w:rsidRPr="004D3DC5">
        <w:rPr>
          <w:rFonts w:ascii="Arial" w:hAnsi="Arial" w:cs="Arial"/>
          <w:caps w:val="0"/>
          <w:sz w:val="24"/>
          <w:szCs w:val="24"/>
        </w:rPr>
        <w:fldChar w:fldCharType="begin"/>
      </w:r>
      <w:r w:rsidRPr="004D3DC5">
        <w:rPr>
          <w:rFonts w:ascii="Arial" w:hAnsi="Arial" w:cs="Arial"/>
          <w:caps w:val="0"/>
          <w:sz w:val="24"/>
          <w:szCs w:val="24"/>
        </w:rPr>
        <w:instrText xml:space="preserve"> TOC \o "1-1" \h \z \u </w:instrText>
      </w:r>
      <w:r w:rsidRPr="004D3DC5">
        <w:rPr>
          <w:rFonts w:ascii="Arial" w:hAnsi="Arial" w:cs="Arial"/>
          <w:caps w:val="0"/>
          <w:sz w:val="24"/>
          <w:szCs w:val="24"/>
        </w:rPr>
        <w:fldChar w:fldCharType="separate"/>
      </w:r>
      <w:hyperlink w:anchor="_Toc223082160" w:history="1">
        <w:r w:rsidR="004D3DC5" w:rsidRPr="004D3DC5">
          <w:rPr>
            <w:rStyle w:val="Hyperlink"/>
            <w:b w:val="0"/>
            <w:bCs w:val="0"/>
            <w:noProof/>
            <w:sz w:val="24"/>
            <w:szCs w:val="24"/>
          </w:rPr>
          <w:t>Introduction</w:t>
        </w:r>
        <w:r w:rsidR="004D3DC5" w:rsidRPr="004D3DC5">
          <w:rPr>
            <w:b w:val="0"/>
            <w:bCs w:val="0"/>
            <w:noProof/>
            <w:webHidden/>
            <w:sz w:val="24"/>
            <w:szCs w:val="24"/>
          </w:rPr>
          <w:tab/>
        </w:r>
        <w:r w:rsidR="004D3DC5" w:rsidRPr="004D3DC5">
          <w:rPr>
            <w:b w:val="0"/>
            <w:bCs w:val="0"/>
            <w:noProof/>
            <w:webHidden/>
            <w:sz w:val="24"/>
            <w:szCs w:val="24"/>
          </w:rPr>
          <w:fldChar w:fldCharType="begin"/>
        </w:r>
        <w:r w:rsidR="004D3DC5" w:rsidRPr="004D3DC5">
          <w:rPr>
            <w:b w:val="0"/>
            <w:bCs w:val="0"/>
            <w:noProof/>
            <w:webHidden/>
            <w:sz w:val="24"/>
            <w:szCs w:val="24"/>
          </w:rPr>
          <w:instrText xml:space="preserve"> PAGEREF _Toc223082160 \h </w:instrText>
        </w:r>
        <w:r w:rsidR="004D3DC5" w:rsidRPr="004D3DC5">
          <w:rPr>
            <w:b w:val="0"/>
            <w:bCs w:val="0"/>
            <w:noProof/>
            <w:webHidden/>
            <w:sz w:val="24"/>
            <w:szCs w:val="24"/>
          </w:rPr>
        </w:r>
        <w:r w:rsidR="004D3DC5" w:rsidRPr="004D3DC5">
          <w:rPr>
            <w:b w:val="0"/>
            <w:bCs w:val="0"/>
            <w:noProof/>
            <w:webHidden/>
            <w:sz w:val="24"/>
            <w:szCs w:val="24"/>
          </w:rPr>
          <w:fldChar w:fldCharType="separate"/>
        </w:r>
        <w:r w:rsidR="00B12915">
          <w:rPr>
            <w:b w:val="0"/>
            <w:bCs w:val="0"/>
            <w:noProof/>
            <w:webHidden/>
            <w:sz w:val="24"/>
            <w:szCs w:val="24"/>
          </w:rPr>
          <w:t>2</w:t>
        </w:r>
        <w:r w:rsidR="004D3DC5" w:rsidRPr="004D3DC5">
          <w:rPr>
            <w:b w:val="0"/>
            <w:bCs w:val="0"/>
            <w:noProof/>
            <w:webHidden/>
            <w:sz w:val="24"/>
            <w:szCs w:val="24"/>
          </w:rPr>
          <w:fldChar w:fldCharType="end"/>
        </w:r>
      </w:hyperlink>
    </w:p>
    <w:p w14:paraId="0938DD15" w14:textId="4F35490B" w:rsidR="004D3DC5" w:rsidRPr="004D3DC5" w:rsidRDefault="004D3DC5">
      <w:pPr>
        <w:pStyle w:val="TOC1"/>
        <w:tabs>
          <w:tab w:val="right" w:pos="9060"/>
        </w:tabs>
        <w:rPr>
          <w:rFonts w:eastAsiaTheme="minorEastAsia" w:cstheme="minorBidi"/>
          <w:b w:val="0"/>
          <w:bCs w:val="0"/>
          <w:caps w:val="0"/>
          <w:noProof/>
          <w:color w:val="auto"/>
          <w:kern w:val="2"/>
          <w:sz w:val="24"/>
          <w:szCs w:val="24"/>
          <w:lang w:eastAsia="en-AU"/>
          <w14:ligatures w14:val="standardContextual"/>
        </w:rPr>
      </w:pPr>
      <w:hyperlink w:anchor="_Toc223082161" w:history="1">
        <w:r w:rsidRPr="004D3DC5">
          <w:rPr>
            <w:rStyle w:val="Hyperlink"/>
            <w:b w:val="0"/>
            <w:bCs w:val="0"/>
            <w:noProof/>
            <w:sz w:val="24"/>
            <w:szCs w:val="24"/>
          </w:rPr>
          <w:t>Consumer inputs</w:t>
        </w:r>
        <w:r w:rsidRPr="004D3DC5">
          <w:rPr>
            <w:b w:val="0"/>
            <w:bCs w:val="0"/>
            <w:noProof/>
            <w:webHidden/>
            <w:sz w:val="24"/>
            <w:szCs w:val="24"/>
          </w:rPr>
          <w:tab/>
        </w:r>
        <w:r w:rsidRPr="004D3DC5">
          <w:rPr>
            <w:b w:val="0"/>
            <w:bCs w:val="0"/>
            <w:noProof/>
            <w:webHidden/>
            <w:sz w:val="24"/>
            <w:szCs w:val="24"/>
          </w:rPr>
          <w:fldChar w:fldCharType="begin"/>
        </w:r>
        <w:r w:rsidRPr="004D3DC5">
          <w:rPr>
            <w:b w:val="0"/>
            <w:bCs w:val="0"/>
            <w:noProof/>
            <w:webHidden/>
            <w:sz w:val="24"/>
            <w:szCs w:val="24"/>
          </w:rPr>
          <w:instrText xml:space="preserve"> PAGEREF _Toc223082161 \h </w:instrText>
        </w:r>
        <w:r w:rsidRPr="004D3DC5">
          <w:rPr>
            <w:b w:val="0"/>
            <w:bCs w:val="0"/>
            <w:noProof/>
            <w:webHidden/>
            <w:sz w:val="24"/>
            <w:szCs w:val="24"/>
          </w:rPr>
        </w:r>
        <w:r w:rsidRPr="004D3DC5">
          <w:rPr>
            <w:b w:val="0"/>
            <w:bCs w:val="0"/>
            <w:noProof/>
            <w:webHidden/>
            <w:sz w:val="24"/>
            <w:szCs w:val="24"/>
          </w:rPr>
          <w:fldChar w:fldCharType="separate"/>
        </w:r>
        <w:r w:rsidR="00B12915">
          <w:rPr>
            <w:b w:val="0"/>
            <w:bCs w:val="0"/>
            <w:noProof/>
            <w:webHidden/>
            <w:sz w:val="24"/>
            <w:szCs w:val="24"/>
          </w:rPr>
          <w:t>4</w:t>
        </w:r>
        <w:r w:rsidRPr="004D3DC5">
          <w:rPr>
            <w:b w:val="0"/>
            <w:bCs w:val="0"/>
            <w:noProof/>
            <w:webHidden/>
            <w:sz w:val="24"/>
            <w:szCs w:val="24"/>
          </w:rPr>
          <w:fldChar w:fldCharType="end"/>
        </w:r>
      </w:hyperlink>
    </w:p>
    <w:p w14:paraId="65862D6B" w14:textId="18986E4B" w:rsidR="004D3DC5" w:rsidRPr="004D3DC5" w:rsidRDefault="004D3DC5">
      <w:pPr>
        <w:pStyle w:val="TOC1"/>
        <w:tabs>
          <w:tab w:val="right" w:pos="9060"/>
        </w:tabs>
        <w:rPr>
          <w:rFonts w:eastAsiaTheme="minorEastAsia" w:cstheme="minorBidi"/>
          <w:b w:val="0"/>
          <w:bCs w:val="0"/>
          <w:caps w:val="0"/>
          <w:noProof/>
          <w:color w:val="auto"/>
          <w:kern w:val="2"/>
          <w:sz w:val="24"/>
          <w:szCs w:val="24"/>
          <w:lang w:eastAsia="en-AU"/>
          <w14:ligatures w14:val="standardContextual"/>
        </w:rPr>
      </w:pPr>
      <w:hyperlink w:anchor="_Toc223082162" w:history="1">
        <w:r w:rsidRPr="004D3DC5">
          <w:rPr>
            <w:rStyle w:val="Hyperlink"/>
            <w:b w:val="0"/>
            <w:bCs w:val="0"/>
            <w:noProof/>
            <w:sz w:val="24"/>
            <w:szCs w:val="24"/>
          </w:rPr>
          <w:t>Health professional inputs</w:t>
        </w:r>
        <w:r w:rsidRPr="004D3DC5">
          <w:rPr>
            <w:b w:val="0"/>
            <w:bCs w:val="0"/>
            <w:noProof/>
            <w:webHidden/>
            <w:sz w:val="24"/>
            <w:szCs w:val="24"/>
          </w:rPr>
          <w:tab/>
        </w:r>
        <w:r w:rsidRPr="004D3DC5">
          <w:rPr>
            <w:b w:val="0"/>
            <w:bCs w:val="0"/>
            <w:noProof/>
            <w:webHidden/>
            <w:sz w:val="24"/>
            <w:szCs w:val="24"/>
          </w:rPr>
          <w:fldChar w:fldCharType="begin"/>
        </w:r>
        <w:r w:rsidRPr="004D3DC5">
          <w:rPr>
            <w:b w:val="0"/>
            <w:bCs w:val="0"/>
            <w:noProof/>
            <w:webHidden/>
            <w:sz w:val="24"/>
            <w:szCs w:val="24"/>
          </w:rPr>
          <w:instrText xml:space="preserve"> PAGEREF _Toc223082162 \h </w:instrText>
        </w:r>
        <w:r w:rsidRPr="004D3DC5">
          <w:rPr>
            <w:b w:val="0"/>
            <w:bCs w:val="0"/>
            <w:noProof/>
            <w:webHidden/>
            <w:sz w:val="24"/>
            <w:szCs w:val="24"/>
          </w:rPr>
        </w:r>
        <w:r w:rsidRPr="004D3DC5">
          <w:rPr>
            <w:b w:val="0"/>
            <w:bCs w:val="0"/>
            <w:noProof/>
            <w:webHidden/>
            <w:sz w:val="24"/>
            <w:szCs w:val="24"/>
          </w:rPr>
          <w:fldChar w:fldCharType="separate"/>
        </w:r>
        <w:r w:rsidR="00B12915">
          <w:rPr>
            <w:b w:val="0"/>
            <w:bCs w:val="0"/>
            <w:noProof/>
            <w:webHidden/>
            <w:sz w:val="24"/>
            <w:szCs w:val="24"/>
          </w:rPr>
          <w:t>9</w:t>
        </w:r>
        <w:r w:rsidRPr="004D3DC5">
          <w:rPr>
            <w:b w:val="0"/>
            <w:bCs w:val="0"/>
            <w:noProof/>
            <w:webHidden/>
            <w:sz w:val="24"/>
            <w:szCs w:val="24"/>
          </w:rPr>
          <w:fldChar w:fldCharType="end"/>
        </w:r>
      </w:hyperlink>
    </w:p>
    <w:p w14:paraId="678943F3" w14:textId="6A622442" w:rsidR="004D3DC5" w:rsidRPr="004D3DC5" w:rsidRDefault="004D3DC5">
      <w:pPr>
        <w:pStyle w:val="TOC1"/>
        <w:tabs>
          <w:tab w:val="right" w:pos="9060"/>
        </w:tabs>
        <w:rPr>
          <w:rFonts w:eastAsiaTheme="minorEastAsia" w:cstheme="minorBidi"/>
          <w:b w:val="0"/>
          <w:bCs w:val="0"/>
          <w:caps w:val="0"/>
          <w:noProof/>
          <w:color w:val="auto"/>
          <w:kern w:val="2"/>
          <w:sz w:val="24"/>
          <w:szCs w:val="24"/>
          <w:lang w:eastAsia="en-AU"/>
          <w14:ligatures w14:val="standardContextual"/>
        </w:rPr>
      </w:pPr>
      <w:hyperlink w:anchor="_Toc223082163" w:history="1">
        <w:r w:rsidRPr="004D3DC5">
          <w:rPr>
            <w:rStyle w:val="Hyperlink"/>
            <w:b w:val="0"/>
            <w:bCs w:val="0"/>
            <w:noProof/>
            <w:sz w:val="24"/>
            <w:szCs w:val="24"/>
          </w:rPr>
          <w:t>Organisation inputs</w:t>
        </w:r>
        <w:r w:rsidRPr="004D3DC5">
          <w:rPr>
            <w:b w:val="0"/>
            <w:bCs w:val="0"/>
            <w:noProof/>
            <w:webHidden/>
            <w:sz w:val="24"/>
            <w:szCs w:val="24"/>
          </w:rPr>
          <w:tab/>
        </w:r>
        <w:r w:rsidRPr="004D3DC5">
          <w:rPr>
            <w:b w:val="0"/>
            <w:bCs w:val="0"/>
            <w:noProof/>
            <w:webHidden/>
            <w:sz w:val="24"/>
            <w:szCs w:val="24"/>
          </w:rPr>
          <w:fldChar w:fldCharType="begin"/>
        </w:r>
        <w:r w:rsidRPr="004D3DC5">
          <w:rPr>
            <w:b w:val="0"/>
            <w:bCs w:val="0"/>
            <w:noProof/>
            <w:webHidden/>
            <w:sz w:val="24"/>
            <w:szCs w:val="24"/>
          </w:rPr>
          <w:instrText xml:space="preserve"> PAGEREF _Toc223082163 \h </w:instrText>
        </w:r>
        <w:r w:rsidRPr="004D3DC5">
          <w:rPr>
            <w:b w:val="0"/>
            <w:bCs w:val="0"/>
            <w:noProof/>
            <w:webHidden/>
            <w:sz w:val="24"/>
            <w:szCs w:val="24"/>
          </w:rPr>
        </w:r>
        <w:r w:rsidRPr="004D3DC5">
          <w:rPr>
            <w:b w:val="0"/>
            <w:bCs w:val="0"/>
            <w:noProof/>
            <w:webHidden/>
            <w:sz w:val="24"/>
            <w:szCs w:val="24"/>
          </w:rPr>
          <w:fldChar w:fldCharType="separate"/>
        </w:r>
        <w:r w:rsidR="00B12915">
          <w:rPr>
            <w:b w:val="0"/>
            <w:bCs w:val="0"/>
            <w:noProof/>
            <w:webHidden/>
            <w:sz w:val="24"/>
            <w:szCs w:val="24"/>
          </w:rPr>
          <w:t>12</w:t>
        </w:r>
        <w:r w:rsidRPr="004D3DC5">
          <w:rPr>
            <w:b w:val="0"/>
            <w:bCs w:val="0"/>
            <w:noProof/>
            <w:webHidden/>
            <w:sz w:val="24"/>
            <w:szCs w:val="24"/>
          </w:rPr>
          <w:fldChar w:fldCharType="end"/>
        </w:r>
      </w:hyperlink>
    </w:p>
    <w:p w14:paraId="1800B891" w14:textId="2CA8B35F" w:rsidR="004D3DC5" w:rsidRPr="004D3DC5" w:rsidRDefault="004D3DC5">
      <w:pPr>
        <w:pStyle w:val="TOC1"/>
        <w:tabs>
          <w:tab w:val="right" w:pos="9060"/>
        </w:tabs>
        <w:rPr>
          <w:rFonts w:eastAsiaTheme="minorEastAsia" w:cstheme="minorBidi"/>
          <w:caps w:val="0"/>
          <w:noProof/>
          <w:color w:val="auto"/>
          <w:kern w:val="2"/>
          <w:sz w:val="24"/>
          <w:szCs w:val="24"/>
          <w:lang w:eastAsia="en-AU"/>
          <w14:ligatures w14:val="standardContextual"/>
        </w:rPr>
      </w:pPr>
      <w:hyperlink w:anchor="_Toc223082164" w:history="1">
        <w:r w:rsidRPr="004D3DC5">
          <w:rPr>
            <w:rStyle w:val="Hyperlink"/>
            <w:b w:val="0"/>
            <w:bCs w:val="0"/>
            <w:noProof/>
            <w:sz w:val="24"/>
            <w:szCs w:val="24"/>
          </w:rPr>
          <w:t>Acronyms and abbreviations</w:t>
        </w:r>
        <w:r w:rsidRPr="004D3DC5">
          <w:rPr>
            <w:b w:val="0"/>
            <w:bCs w:val="0"/>
            <w:noProof/>
            <w:webHidden/>
            <w:sz w:val="24"/>
            <w:szCs w:val="24"/>
          </w:rPr>
          <w:tab/>
        </w:r>
        <w:r w:rsidRPr="004D3DC5">
          <w:rPr>
            <w:b w:val="0"/>
            <w:bCs w:val="0"/>
            <w:noProof/>
            <w:webHidden/>
            <w:sz w:val="24"/>
            <w:szCs w:val="24"/>
          </w:rPr>
          <w:fldChar w:fldCharType="begin"/>
        </w:r>
        <w:r w:rsidRPr="004D3DC5">
          <w:rPr>
            <w:b w:val="0"/>
            <w:bCs w:val="0"/>
            <w:noProof/>
            <w:webHidden/>
            <w:sz w:val="24"/>
            <w:szCs w:val="24"/>
          </w:rPr>
          <w:instrText xml:space="preserve"> PAGEREF _Toc223082164 \h </w:instrText>
        </w:r>
        <w:r w:rsidRPr="004D3DC5">
          <w:rPr>
            <w:b w:val="0"/>
            <w:bCs w:val="0"/>
            <w:noProof/>
            <w:webHidden/>
            <w:sz w:val="24"/>
            <w:szCs w:val="24"/>
          </w:rPr>
        </w:r>
        <w:r w:rsidRPr="004D3DC5">
          <w:rPr>
            <w:b w:val="0"/>
            <w:bCs w:val="0"/>
            <w:noProof/>
            <w:webHidden/>
            <w:sz w:val="24"/>
            <w:szCs w:val="24"/>
          </w:rPr>
          <w:fldChar w:fldCharType="separate"/>
        </w:r>
        <w:r w:rsidR="00B12915">
          <w:rPr>
            <w:b w:val="0"/>
            <w:bCs w:val="0"/>
            <w:noProof/>
            <w:webHidden/>
            <w:sz w:val="24"/>
            <w:szCs w:val="24"/>
          </w:rPr>
          <w:t>15</w:t>
        </w:r>
        <w:r w:rsidRPr="004D3DC5">
          <w:rPr>
            <w:b w:val="0"/>
            <w:bCs w:val="0"/>
            <w:noProof/>
            <w:webHidden/>
            <w:sz w:val="24"/>
            <w:szCs w:val="24"/>
          </w:rPr>
          <w:fldChar w:fldCharType="end"/>
        </w:r>
      </w:hyperlink>
    </w:p>
    <w:p w14:paraId="3E653B30" w14:textId="6EB54CBE" w:rsidR="00097211" w:rsidRPr="00097211" w:rsidRDefault="00C12A71" w:rsidP="00097211">
      <w:r w:rsidRPr="004D3DC5">
        <w:rPr>
          <w:rFonts w:cs="Arial"/>
          <w:b/>
          <w:bCs/>
          <w:caps/>
          <w:sz w:val="24"/>
        </w:rPr>
        <w:fldChar w:fldCharType="end"/>
      </w:r>
    </w:p>
    <w:p w14:paraId="0F9F5E92" w14:textId="64D8A762" w:rsidR="003A12A2" w:rsidRPr="007E6B48" w:rsidRDefault="003A12A2" w:rsidP="00AC0947">
      <w:pPr>
        <w:pStyle w:val="Heading1"/>
      </w:pPr>
      <w:bookmarkStart w:id="0" w:name="_Toc223082160"/>
      <w:r w:rsidRPr="007E6B48">
        <w:lastRenderedPageBreak/>
        <w:t>Introduction</w:t>
      </w:r>
      <w:bookmarkEnd w:id="0"/>
    </w:p>
    <w:p w14:paraId="0BF084D7" w14:textId="54E5E9DA" w:rsidR="00585D43" w:rsidRPr="007E6B48" w:rsidRDefault="00433611" w:rsidP="00550879">
      <w:hyperlink r:id="rId8" w:anchor=":~:text=Glucagon%2Dlike%20peptide%2D1%20receptor%20agonists%20(GLP%2D1RAs)" w:history="1">
        <w:r w:rsidRPr="007E6B48">
          <w:rPr>
            <w:rStyle w:val="Hyperlink"/>
          </w:rPr>
          <w:t>Glucagon-like peptide-1 receptor agonists</w:t>
        </w:r>
      </w:hyperlink>
      <w:r w:rsidRPr="007E6B48">
        <w:t xml:space="preserve"> (</w:t>
      </w:r>
      <w:r w:rsidR="00087436">
        <w:t>GLP-1</w:t>
      </w:r>
      <w:r w:rsidRPr="007E6B48">
        <w:t xml:space="preserve">s) are medicines that help control blood sugar levels. </w:t>
      </w:r>
      <w:r w:rsidR="00D83255" w:rsidRPr="007E6B48">
        <w:t xml:space="preserve">They slow digestion </w:t>
      </w:r>
      <w:r w:rsidR="00451B41">
        <w:t>(</w:t>
      </w:r>
      <w:r w:rsidR="00FB545A" w:rsidRPr="007E6B48">
        <w:t>which makes</w:t>
      </w:r>
      <w:r w:rsidR="00D83255" w:rsidRPr="007E6B48">
        <w:t xml:space="preserve"> you feel full for longer</w:t>
      </w:r>
      <w:r w:rsidR="00451B41">
        <w:t>)</w:t>
      </w:r>
      <w:r w:rsidR="00674A12">
        <w:t>,</w:t>
      </w:r>
      <w:r w:rsidR="009203C5">
        <w:t xml:space="preserve"> may act on the brain to reduce hunger</w:t>
      </w:r>
      <w:r w:rsidR="00674A12">
        <w:t xml:space="preserve">, and may </w:t>
      </w:r>
      <w:r w:rsidR="0046275B">
        <w:t>reduce inflammation</w:t>
      </w:r>
      <w:r w:rsidR="00D83255" w:rsidRPr="007E6B48">
        <w:t>.</w:t>
      </w:r>
    </w:p>
    <w:p w14:paraId="09255842" w14:textId="23AB88FD" w:rsidR="00A839AE" w:rsidRDefault="008477A0" w:rsidP="00550879">
      <w:r w:rsidRPr="008477A0">
        <w:t xml:space="preserve">There are several GLP-1s registered for use in Australia </w:t>
      </w:r>
      <w:r w:rsidR="001447CC">
        <w:t xml:space="preserve">by the Therapeutic Goods Administration (TGA) </w:t>
      </w:r>
      <w:r w:rsidRPr="008477A0">
        <w:t>for the treatment of a variety of conditions</w:t>
      </w:r>
      <w:r w:rsidR="00461B4D">
        <w:t>. A summary is provided in</w:t>
      </w:r>
      <w:r w:rsidR="005C2151">
        <w:t xml:space="preserve"> </w:t>
      </w:r>
      <w:r w:rsidR="005C2151">
        <w:fldChar w:fldCharType="begin"/>
      </w:r>
      <w:r w:rsidR="005C2151">
        <w:instrText xml:space="preserve"> REF _Ref216793518 \h </w:instrText>
      </w:r>
      <w:r w:rsidR="005C2151">
        <w:fldChar w:fldCharType="separate"/>
      </w:r>
      <w:r w:rsidR="00B12915">
        <w:t>Table </w:t>
      </w:r>
      <w:r w:rsidR="00B12915">
        <w:rPr>
          <w:noProof/>
        </w:rPr>
        <w:t>1</w:t>
      </w:r>
      <w:r w:rsidR="005C2151">
        <w:fldChar w:fldCharType="end"/>
      </w:r>
      <w:r w:rsidR="00461B4D">
        <w:t>.</w:t>
      </w:r>
    </w:p>
    <w:p w14:paraId="34B746AB" w14:textId="1ED31569" w:rsidR="00461B4D" w:rsidRDefault="005C2151" w:rsidP="00497C92">
      <w:pPr>
        <w:pStyle w:val="Tabletitle0"/>
      </w:pPr>
      <w:bookmarkStart w:id="1" w:name="_Ref216793518"/>
      <w:r>
        <w:t>Table </w:t>
      </w:r>
      <w:r>
        <w:fldChar w:fldCharType="begin"/>
      </w:r>
      <w:r>
        <w:instrText xml:space="preserve"> SEQ Table \* ARABIC </w:instrText>
      </w:r>
      <w:r>
        <w:fldChar w:fldCharType="separate"/>
      </w:r>
      <w:r w:rsidR="00B12915">
        <w:rPr>
          <w:noProof/>
        </w:rPr>
        <w:t>1</w:t>
      </w:r>
      <w:r>
        <w:fldChar w:fldCharType="end"/>
      </w:r>
      <w:bookmarkEnd w:id="1"/>
      <w:r>
        <w:t xml:space="preserve"> GLP-1s registered for use in Australia</w:t>
      </w:r>
    </w:p>
    <w:tbl>
      <w:tblPr>
        <w:tblStyle w:val="DepartmentofHealthtable"/>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1838"/>
        <w:gridCol w:w="4961"/>
        <w:gridCol w:w="2261"/>
      </w:tblGrid>
      <w:tr w:rsidR="0065400D" w14:paraId="671ED4EE" w14:textId="77777777" w:rsidTr="00447B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7076DCCD" w14:textId="5680DA37" w:rsidR="0065400D" w:rsidRDefault="001447CC" w:rsidP="00497C92">
            <w:pPr>
              <w:pStyle w:val="TableHeaderWhite"/>
            </w:pPr>
            <w:r>
              <w:t>Medicine</w:t>
            </w:r>
          </w:p>
        </w:tc>
        <w:tc>
          <w:tcPr>
            <w:tcW w:w="4961" w:type="dxa"/>
          </w:tcPr>
          <w:p w14:paraId="1B01A667" w14:textId="5161C1F9" w:rsidR="0065400D" w:rsidRDefault="00F250E3" w:rsidP="00497C92">
            <w:pPr>
              <w:pStyle w:val="TableHeaderWhite"/>
              <w:cnfStyle w:val="100000000000" w:firstRow="1" w:lastRow="0" w:firstColumn="0" w:lastColumn="0" w:oddVBand="0" w:evenVBand="0" w:oddHBand="0" w:evenHBand="0" w:firstRowFirstColumn="0" w:firstRowLastColumn="0" w:lastRowFirstColumn="0" w:lastRowLastColumn="0"/>
            </w:pPr>
            <w:proofErr w:type="spellStart"/>
            <w:r>
              <w:t>Summarised</w:t>
            </w:r>
            <w:proofErr w:type="spellEnd"/>
            <w:r w:rsidR="00DC78D3">
              <w:t xml:space="preserve"> </w:t>
            </w:r>
            <w:r w:rsidR="001447CC">
              <w:t>TGA-a</w:t>
            </w:r>
            <w:r w:rsidR="006C5699">
              <w:t xml:space="preserve">pproved </w:t>
            </w:r>
            <w:r>
              <w:t>use</w:t>
            </w:r>
            <w:r w:rsidR="001447CC">
              <w:t>s</w:t>
            </w:r>
          </w:p>
        </w:tc>
        <w:tc>
          <w:tcPr>
            <w:tcW w:w="2261" w:type="dxa"/>
          </w:tcPr>
          <w:p w14:paraId="73C9237F" w14:textId="13CF2D8A" w:rsidR="001447CC" w:rsidRDefault="001447CC" w:rsidP="00447BF4">
            <w:pPr>
              <w:pStyle w:val="TableHeaderWhite"/>
              <w:jc w:val="center"/>
              <w:cnfStyle w:val="100000000000" w:firstRow="1" w:lastRow="0" w:firstColumn="0" w:lastColumn="0" w:oddVBand="0" w:evenVBand="0" w:oddHBand="0" w:evenHBand="0" w:firstRowFirstColumn="0" w:firstRowLastColumn="0" w:lastRowFirstColumn="0" w:lastRowLastColumn="0"/>
            </w:pPr>
            <w:r>
              <w:t>PBS subsidised</w:t>
            </w:r>
          </w:p>
          <w:p w14:paraId="29596FB2" w14:textId="04C0CEC6" w:rsidR="0065400D" w:rsidRDefault="001447CC" w:rsidP="00447BF4">
            <w:pPr>
              <w:pStyle w:val="TableHeaderWhite"/>
              <w:jc w:val="center"/>
              <w:cnfStyle w:val="100000000000" w:firstRow="1" w:lastRow="0" w:firstColumn="0" w:lastColumn="0" w:oddVBand="0" w:evenVBand="0" w:oddHBand="0" w:evenHBand="0" w:firstRowFirstColumn="0" w:firstRowLastColumn="0" w:lastRowFirstColumn="0" w:lastRowLastColumn="0"/>
            </w:pPr>
            <w:r>
              <w:t>(</w:t>
            </w:r>
            <w:proofErr w:type="gramStart"/>
            <w:r>
              <w:t>at</w:t>
            </w:r>
            <w:proofErr w:type="gramEnd"/>
            <w:r>
              <w:t xml:space="preserve"> November 2025)</w:t>
            </w:r>
          </w:p>
        </w:tc>
      </w:tr>
      <w:tr w:rsidR="0065400D" w14:paraId="2E537682" w14:textId="77777777" w:rsidTr="00447BF4">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38" w:type="dxa"/>
          </w:tcPr>
          <w:p w14:paraId="24DBA36D" w14:textId="6AA5548C" w:rsidR="0065400D" w:rsidRDefault="001447CC" w:rsidP="001447CC">
            <w:pPr>
              <w:pStyle w:val="TableText"/>
            </w:pPr>
            <w:r>
              <w:t>Semaglutide (</w:t>
            </w:r>
            <w:r w:rsidRPr="008477A0">
              <w:t>Ozempic®</w:t>
            </w:r>
            <w:r>
              <w:t>)</w:t>
            </w:r>
          </w:p>
        </w:tc>
        <w:tc>
          <w:tcPr>
            <w:tcW w:w="4961" w:type="dxa"/>
          </w:tcPr>
          <w:p w14:paraId="34083315" w14:textId="79AC8812" w:rsidR="00265F7A" w:rsidRDefault="001447CC" w:rsidP="00447BF4">
            <w:pPr>
              <w:pStyle w:val="TableText"/>
              <w:numPr>
                <w:ilvl w:val="0"/>
                <w:numId w:val="39"/>
              </w:numPr>
              <w:ind w:left="357" w:hanging="357"/>
              <w:cnfStyle w:val="000000100000" w:firstRow="0" w:lastRow="0" w:firstColumn="0" w:lastColumn="0" w:oddVBand="0" w:evenVBand="0" w:oddHBand="1" w:evenHBand="0" w:firstRowFirstColumn="0" w:firstRowLastColumn="0" w:lastRowFirstColumn="0" w:lastRowLastColumn="0"/>
            </w:pPr>
            <w:r>
              <w:t>Type 2 diabetes</w:t>
            </w:r>
            <w:r w:rsidR="00447BF4">
              <w:t xml:space="preserve"> (blood sugar lowering)</w:t>
            </w:r>
          </w:p>
          <w:p w14:paraId="191954D5" w14:textId="69A575F3" w:rsidR="00DC78D3" w:rsidRDefault="00447BF4" w:rsidP="00447BF4">
            <w:pPr>
              <w:pStyle w:val="TableText"/>
              <w:numPr>
                <w:ilvl w:val="0"/>
                <w:numId w:val="39"/>
              </w:numPr>
              <w:ind w:left="357" w:hanging="357"/>
              <w:cnfStyle w:val="000000100000" w:firstRow="0" w:lastRow="0" w:firstColumn="0" w:lastColumn="0" w:oddVBand="0" w:evenVBand="0" w:oddHBand="1" w:evenHBand="0" w:firstRowFirstColumn="0" w:firstRowLastColumn="0" w:lastRowFirstColumn="0" w:lastRowLastColumn="0"/>
            </w:pPr>
            <w:r>
              <w:t>T</w:t>
            </w:r>
            <w:r w:rsidR="00DC78D3">
              <w:t>ype 2 diabetes</w:t>
            </w:r>
            <w:r>
              <w:t xml:space="preserve"> and chronic kidney disease</w:t>
            </w:r>
          </w:p>
        </w:tc>
        <w:tc>
          <w:tcPr>
            <w:tcW w:w="2261" w:type="dxa"/>
          </w:tcPr>
          <w:p w14:paraId="7BD826BF" w14:textId="18666EDB" w:rsidR="0065400D" w:rsidRDefault="001447CC" w:rsidP="00447BF4">
            <w:pPr>
              <w:pStyle w:val="TableText"/>
              <w:jc w:val="center"/>
              <w:cnfStyle w:val="000000100000" w:firstRow="0" w:lastRow="0" w:firstColumn="0" w:lastColumn="0" w:oddVBand="0" w:evenVBand="0" w:oddHBand="1" w:evenHBand="0" w:firstRowFirstColumn="0" w:firstRowLastColumn="0" w:lastRowFirstColumn="0" w:lastRowLastColumn="0"/>
            </w:pPr>
            <w:r>
              <w:t>Yes</w:t>
            </w:r>
          </w:p>
        </w:tc>
      </w:tr>
      <w:tr w:rsidR="001447CC" w14:paraId="6CBC0C9F" w14:textId="77777777" w:rsidTr="00447B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2501AC" w14:textId="7095773D" w:rsidR="001447CC" w:rsidRDefault="001447CC" w:rsidP="001447CC">
            <w:pPr>
              <w:pStyle w:val="TableText"/>
            </w:pPr>
            <w:r>
              <w:t>D</w:t>
            </w:r>
            <w:r w:rsidRPr="008477A0">
              <w:t xml:space="preserve">ulaglutide </w:t>
            </w:r>
            <w:r>
              <w:t>(</w:t>
            </w:r>
            <w:r w:rsidRPr="008477A0">
              <w:t>Trulicity®</w:t>
            </w:r>
            <w:r>
              <w:t>)</w:t>
            </w:r>
          </w:p>
        </w:tc>
        <w:tc>
          <w:tcPr>
            <w:tcW w:w="4961" w:type="dxa"/>
          </w:tcPr>
          <w:p w14:paraId="33D85042" w14:textId="35D732E8" w:rsidR="001447CC" w:rsidRDefault="001447CC" w:rsidP="00447BF4">
            <w:pPr>
              <w:pStyle w:val="TableText"/>
              <w:numPr>
                <w:ilvl w:val="0"/>
                <w:numId w:val="39"/>
              </w:numPr>
              <w:ind w:left="357" w:hanging="357"/>
              <w:cnfStyle w:val="000000010000" w:firstRow="0" w:lastRow="0" w:firstColumn="0" w:lastColumn="0" w:oddVBand="0" w:evenVBand="0" w:oddHBand="0" w:evenHBand="1" w:firstRowFirstColumn="0" w:firstRowLastColumn="0" w:lastRowFirstColumn="0" w:lastRowLastColumn="0"/>
            </w:pPr>
            <w:r>
              <w:t>Type 2 diabetes</w:t>
            </w:r>
            <w:r w:rsidR="00447BF4">
              <w:t xml:space="preserve"> (blood sugar lowering)</w:t>
            </w:r>
          </w:p>
          <w:p w14:paraId="59BE07E3" w14:textId="1E75122D" w:rsidR="00447BF4" w:rsidRDefault="00447BF4" w:rsidP="00447BF4">
            <w:pPr>
              <w:pStyle w:val="TableText"/>
              <w:numPr>
                <w:ilvl w:val="0"/>
                <w:numId w:val="39"/>
              </w:numPr>
              <w:ind w:left="357" w:hanging="357"/>
              <w:cnfStyle w:val="000000010000" w:firstRow="0" w:lastRow="0" w:firstColumn="0" w:lastColumn="0" w:oddVBand="0" w:evenVBand="0" w:oddHBand="0" w:evenHBand="1" w:firstRowFirstColumn="0" w:firstRowLastColumn="0" w:lastRowFirstColumn="0" w:lastRowLastColumn="0"/>
            </w:pPr>
            <w:r>
              <w:t>Type 2 diabetes and high cardiovascular risk</w:t>
            </w:r>
          </w:p>
        </w:tc>
        <w:tc>
          <w:tcPr>
            <w:tcW w:w="2261" w:type="dxa"/>
          </w:tcPr>
          <w:p w14:paraId="6A417896" w14:textId="11C2BF79" w:rsidR="001447CC" w:rsidRDefault="001447CC" w:rsidP="00447BF4">
            <w:pPr>
              <w:pStyle w:val="TableText"/>
              <w:jc w:val="center"/>
              <w:cnfStyle w:val="000000010000" w:firstRow="0" w:lastRow="0" w:firstColumn="0" w:lastColumn="0" w:oddVBand="0" w:evenVBand="0" w:oddHBand="0" w:evenHBand="1" w:firstRowFirstColumn="0" w:firstRowLastColumn="0" w:lastRowFirstColumn="0" w:lastRowLastColumn="0"/>
            </w:pPr>
            <w:r>
              <w:t>Yes</w:t>
            </w:r>
          </w:p>
        </w:tc>
      </w:tr>
      <w:tr w:rsidR="00706068" w14:paraId="5B597D8A" w14:textId="77777777" w:rsidTr="00480CE2">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838" w:type="dxa"/>
          </w:tcPr>
          <w:p w14:paraId="0F36E61C" w14:textId="77777777" w:rsidR="001447CC" w:rsidRDefault="001447CC" w:rsidP="001447CC">
            <w:pPr>
              <w:pStyle w:val="TableText"/>
            </w:pPr>
            <w:r>
              <w:t>L</w:t>
            </w:r>
            <w:r w:rsidRPr="008477A0">
              <w:t xml:space="preserve">iraglutide </w:t>
            </w:r>
          </w:p>
          <w:p w14:paraId="56C4F669" w14:textId="04CA98BB" w:rsidR="00706068" w:rsidRDefault="001447CC" w:rsidP="00480CE2">
            <w:pPr>
              <w:pStyle w:val="TableText"/>
            </w:pPr>
            <w:r w:rsidRPr="008477A0">
              <w:t>(</w:t>
            </w:r>
            <w:r>
              <w:t>various</w:t>
            </w:r>
            <w:r w:rsidRPr="008477A0">
              <w:t xml:space="preserve"> brands)</w:t>
            </w:r>
          </w:p>
        </w:tc>
        <w:tc>
          <w:tcPr>
            <w:tcW w:w="4961" w:type="dxa"/>
          </w:tcPr>
          <w:p w14:paraId="5D2DEBE4" w14:textId="6C6E383F" w:rsidR="00447BF4" w:rsidRDefault="001447CC" w:rsidP="00480CE2">
            <w:pPr>
              <w:pStyle w:val="TableText"/>
              <w:numPr>
                <w:ilvl w:val="0"/>
                <w:numId w:val="39"/>
              </w:numPr>
              <w:ind w:left="357" w:hanging="357"/>
              <w:cnfStyle w:val="000000100000" w:firstRow="0" w:lastRow="0" w:firstColumn="0" w:lastColumn="0" w:oddVBand="0" w:evenVBand="0" w:oddHBand="1" w:evenHBand="0" w:firstRowFirstColumn="0" w:firstRowLastColumn="0" w:lastRowFirstColumn="0" w:lastRowLastColumn="0"/>
            </w:pPr>
            <w:r>
              <w:t>Weight management (adults only)</w:t>
            </w:r>
          </w:p>
        </w:tc>
        <w:tc>
          <w:tcPr>
            <w:tcW w:w="2261" w:type="dxa"/>
          </w:tcPr>
          <w:p w14:paraId="45BF6A30" w14:textId="7C0B0A6F" w:rsidR="00706068" w:rsidRDefault="001447CC" w:rsidP="00447BF4">
            <w:pPr>
              <w:pStyle w:val="TableText"/>
              <w:jc w:val="center"/>
              <w:cnfStyle w:val="000000100000" w:firstRow="0" w:lastRow="0" w:firstColumn="0" w:lastColumn="0" w:oddVBand="0" w:evenVBand="0" w:oddHBand="1" w:evenHBand="0" w:firstRowFirstColumn="0" w:firstRowLastColumn="0" w:lastRowFirstColumn="0" w:lastRowLastColumn="0"/>
            </w:pPr>
            <w:r>
              <w:t>No</w:t>
            </w:r>
          </w:p>
        </w:tc>
      </w:tr>
      <w:tr w:rsidR="001447CC" w14:paraId="32933025" w14:textId="77777777" w:rsidTr="00447B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DB16C1" w14:textId="77777777" w:rsidR="001447CC" w:rsidRDefault="001447CC" w:rsidP="001447CC">
            <w:pPr>
              <w:pStyle w:val="TableText"/>
            </w:pPr>
            <w:r>
              <w:t>S</w:t>
            </w:r>
            <w:r w:rsidRPr="008477A0">
              <w:t>emaglutide (</w:t>
            </w:r>
            <w:proofErr w:type="spellStart"/>
            <w:r w:rsidRPr="008477A0">
              <w:t>Wegovy</w:t>
            </w:r>
            <w:proofErr w:type="spellEnd"/>
            <w:r w:rsidRPr="008477A0">
              <w:t>®)</w:t>
            </w:r>
          </w:p>
          <w:p w14:paraId="46077505" w14:textId="77777777" w:rsidR="001447CC" w:rsidRDefault="001447CC" w:rsidP="00706068">
            <w:pPr>
              <w:pStyle w:val="TableText"/>
            </w:pPr>
          </w:p>
        </w:tc>
        <w:tc>
          <w:tcPr>
            <w:tcW w:w="4961" w:type="dxa"/>
          </w:tcPr>
          <w:p w14:paraId="01B0794D" w14:textId="10997C21" w:rsidR="001447CC" w:rsidRDefault="001447CC" w:rsidP="00447BF4">
            <w:pPr>
              <w:pStyle w:val="TableText"/>
              <w:numPr>
                <w:ilvl w:val="0"/>
                <w:numId w:val="39"/>
              </w:numPr>
              <w:ind w:left="357" w:hanging="357"/>
              <w:cnfStyle w:val="000000010000" w:firstRow="0" w:lastRow="0" w:firstColumn="0" w:lastColumn="0" w:oddVBand="0" w:evenVBand="0" w:oddHBand="0" w:evenHBand="1" w:firstRowFirstColumn="0" w:firstRowLastColumn="0" w:lastRowFirstColumn="0" w:lastRowLastColumn="0"/>
            </w:pPr>
            <w:r>
              <w:t>Weight management (12 years</w:t>
            </w:r>
            <w:r w:rsidR="00447BF4">
              <w:t xml:space="preserve"> and over</w:t>
            </w:r>
            <w:r>
              <w:t>)</w:t>
            </w:r>
          </w:p>
          <w:p w14:paraId="27212094" w14:textId="5C3CEDBA" w:rsidR="001447CC" w:rsidRDefault="00DC78D3" w:rsidP="00447BF4">
            <w:pPr>
              <w:pStyle w:val="TableText"/>
              <w:numPr>
                <w:ilvl w:val="0"/>
                <w:numId w:val="39"/>
              </w:numPr>
              <w:ind w:left="357" w:hanging="357"/>
              <w:cnfStyle w:val="000000010000" w:firstRow="0" w:lastRow="0" w:firstColumn="0" w:lastColumn="0" w:oddVBand="0" w:evenVBand="0" w:oddHBand="0" w:evenHBand="1" w:firstRowFirstColumn="0" w:firstRowLastColumn="0" w:lastRowFirstColumn="0" w:lastRowLastColumn="0"/>
            </w:pPr>
            <w:r>
              <w:t>E</w:t>
            </w:r>
            <w:r w:rsidR="001447CC">
              <w:t xml:space="preserve">stablished cardiovascular disease </w:t>
            </w:r>
            <w:r>
              <w:t xml:space="preserve">in people </w:t>
            </w:r>
            <w:r w:rsidR="001447CC">
              <w:t>who are overweight or obese</w:t>
            </w:r>
          </w:p>
        </w:tc>
        <w:tc>
          <w:tcPr>
            <w:tcW w:w="2261" w:type="dxa"/>
          </w:tcPr>
          <w:p w14:paraId="3CEB867D" w14:textId="67416C3F" w:rsidR="001447CC" w:rsidRDefault="001447CC" w:rsidP="00447BF4">
            <w:pPr>
              <w:pStyle w:val="TableText"/>
              <w:jc w:val="center"/>
              <w:cnfStyle w:val="000000010000" w:firstRow="0" w:lastRow="0" w:firstColumn="0" w:lastColumn="0" w:oddVBand="0" w:evenVBand="0" w:oddHBand="0" w:evenHBand="1" w:firstRowFirstColumn="0" w:firstRowLastColumn="0" w:lastRowFirstColumn="0" w:lastRowLastColumn="0"/>
            </w:pPr>
            <w:r>
              <w:t>No</w:t>
            </w:r>
          </w:p>
        </w:tc>
      </w:tr>
      <w:tr w:rsidR="00706068" w14:paraId="4545454B" w14:textId="77777777" w:rsidTr="00447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2F61C49" w14:textId="35D7442D" w:rsidR="00706068" w:rsidRDefault="001447CC" w:rsidP="00497C92">
            <w:pPr>
              <w:pStyle w:val="TableText"/>
            </w:pPr>
            <w:r>
              <w:t>T</w:t>
            </w:r>
            <w:r w:rsidRPr="008477A0">
              <w:t>irzepatide (</w:t>
            </w:r>
            <w:proofErr w:type="spellStart"/>
            <w:r w:rsidRPr="008477A0">
              <w:t>Mounjaro</w:t>
            </w:r>
            <w:proofErr w:type="spellEnd"/>
            <w:r w:rsidR="00F250E3">
              <w:t>®</w:t>
            </w:r>
            <w:r w:rsidRPr="008477A0">
              <w:t>)</w:t>
            </w:r>
          </w:p>
        </w:tc>
        <w:tc>
          <w:tcPr>
            <w:tcW w:w="4961" w:type="dxa"/>
          </w:tcPr>
          <w:p w14:paraId="60AC1196" w14:textId="3FD5B65B" w:rsidR="00447BF4" w:rsidRDefault="00447BF4" w:rsidP="00447BF4">
            <w:pPr>
              <w:pStyle w:val="TableText"/>
              <w:numPr>
                <w:ilvl w:val="0"/>
                <w:numId w:val="39"/>
              </w:numPr>
              <w:ind w:left="357" w:hanging="357"/>
              <w:cnfStyle w:val="000000100000" w:firstRow="0" w:lastRow="0" w:firstColumn="0" w:lastColumn="0" w:oddVBand="0" w:evenVBand="0" w:oddHBand="1" w:evenHBand="0" w:firstRowFirstColumn="0" w:firstRowLastColumn="0" w:lastRowFirstColumn="0" w:lastRowLastColumn="0"/>
            </w:pPr>
            <w:r>
              <w:t>Type 2 diabetes (blood sugar lowering)</w:t>
            </w:r>
          </w:p>
          <w:p w14:paraId="59CD883F" w14:textId="13E559A0" w:rsidR="00706068" w:rsidRDefault="001447CC" w:rsidP="00447BF4">
            <w:pPr>
              <w:pStyle w:val="TableText"/>
              <w:numPr>
                <w:ilvl w:val="0"/>
                <w:numId w:val="39"/>
              </w:numPr>
              <w:ind w:left="357" w:hanging="357"/>
              <w:cnfStyle w:val="000000100000" w:firstRow="0" w:lastRow="0" w:firstColumn="0" w:lastColumn="0" w:oddVBand="0" w:evenVBand="0" w:oddHBand="1" w:evenHBand="0" w:firstRowFirstColumn="0" w:firstRowLastColumn="0" w:lastRowFirstColumn="0" w:lastRowLastColumn="0"/>
            </w:pPr>
            <w:r>
              <w:t>Weight management (adults only)</w:t>
            </w:r>
          </w:p>
          <w:p w14:paraId="46A80C2A" w14:textId="17DCFC7E" w:rsidR="00DC78D3" w:rsidRDefault="00DC78D3" w:rsidP="00447BF4">
            <w:pPr>
              <w:pStyle w:val="TableText"/>
              <w:numPr>
                <w:ilvl w:val="0"/>
                <w:numId w:val="39"/>
              </w:numPr>
              <w:ind w:left="357" w:hanging="357"/>
              <w:cnfStyle w:val="000000100000" w:firstRow="0" w:lastRow="0" w:firstColumn="0" w:lastColumn="0" w:oddVBand="0" w:evenVBand="0" w:oddHBand="1" w:evenHBand="0" w:firstRowFirstColumn="0" w:firstRowLastColumn="0" w:lastRowFirstColumn="0" w:lastRowLastColumn="0"/>
            </w:pPr>
            <w:r>
              <w:t>Obstructive sleep apnoea</w:t>
            </w:r>
            <w:r w:rsidR="00447BF4">
              <w:t xml:space="preserve"> (adults with obesity)</w:t>
            </w:r>
          </w:p>
        </w:tc>
        <w:tc>
          <w:tcPr>
            <w:tcW w:w="2261" w:type="dxa"/>
          </w:tcPr>
          <w:p w14:paraId="37E77376" w14:textId="292B2BD2" w:rsidR="00706068" w:rsidRDefault="00447BF4" w:rsidP="00447BF4">
            <w:pPr>
              <w:pStyle w:val="TableText"/>
              <w:jc w:val="center"/>
              <w:cnfStyle w:val="000000100000" w:firstRow="0" w:lastRow="0" w:firstColumn="0" w:lastColumn="0" w:oddVBand="0" w:evenVBand="0" w:oddHBand="1" w:evenHBand="0" w:firstRowFirstColumn="0" w:firstRowLastColumn="0" w:lastRowFirstColumn="0" w:lastRowLastColumn="0"/>
            </w:pPr>
            <w:r>
              <w:t>No</w:t>
            </w:r>
          </w:p>
        </w:tc>
      </w:tr>
    </w:tbl>
    <w:p w14:paraId="501BEB23" w14:textId="040BC678" w:rsidR="00FB7260" w:rsidRDefault="00063271" w:rsidP="00497C92">
      <w:pPr>
        <w:spacing w:before="240"/>
      </w:pPr>
      <w:r w:rsidRPr="007E6B48">
        <w:t xml:space="preserve">Because </w:t>
      </w:r>
      <w:r w:rsidR="00087436">
        <w:t>GLP-1</w:t>
      </w:r>
      <w:r w:rsidR="00C51795" w:rsidRPr="007E6B48">
        <w:t>s</w:t>
      </w:r>
      <w:r w:rsidRPr="007E6B48">
        <w:t xml:space="preserve"> can </w:t>
      </w:r>
      <w:r w:rsidR="007F010E" w:rsidRPr="007E6B48">
        <w:t xml:space="preserve">reduce appetite, they are used </w:t>
      </w:r>
      <w:r w:rsidR="00E03A3E" w:rsidRPr="007E6B48">
        <w:t>to help people lose weight.</w:t>
      </w:r>
      <w:r w:rsidR="00AD2E63" w:rsidRPr="007E6B48">
        <w:t xml:space="preserve"> This can be especially useful for </w:t>
      </w:r>
      <w:r w:rsidR="0087651B" w:rsidRPr="007E6B48">
        <w:t xml:space="preserve">people living with obesity who have not been able to </w:t>
      </w:r>
      <w:r w:rsidR="00D86208" w:rsidRPr="007E6B48">
        <w:t xml:space="preserve">lose weight </w:t>
      </w:r>
      <w:r w:rsidR="00C517B7" w:rsidRPr="007E6B48">
        <w:t xml:space="preserve">using other </w:t>
      </w:r>
      <w:r w:rsidR="00B27B72" w:rsidRPr="007E6B48">
        <w:t>methods</w:t>
      </w:r>
      <w:r w:rsidR="008548DA" w:rsidRPr="007E6B48">
        <w:t>.</w:t>
      </w:r>
      <w:r w:rsidR="00676605" w:rsidRPr="007E6B48">
        <w:t xml:space="preserve"> </w:t>
      </w:r>
      <w:r w:rsidR="00244C1A">
        <w:t>Currently, GLP</w:t>
      </w:r>
      <w:r w:rsidR="005B3324">
        <w:t>-</w:t>
      </w:r>
      <w:r w:rsidR="00244C1A">
        <w:t xml:space="preserve">1s are not subsidised through the PBS for the purpose of losing weight. </w:t>
      </w:r>
      <w:r w:rsidR="00703D84">
        <w:t>P</w:t>
      </w:r>
      <w:r w:rsidR="00676605" w:rsidRPr="007E6B48">
        <w:t xml:space="preserve">eople who want to use </w:t>
      </w:r>
      <w:r w:rsidR="00087436">
        <w:t>GLP-1</w:t>
      </w:r>
      <w:r w:rsidR="00676605" w:rsidRPr="007E6B48">
        <w:t>s to lose weight must pay for the medicines themselves.</w:t>
      </w:r>
    </w:p>
    <w:p w14:paraId="532AF722" w14:textId="2FCBE274" w:rsidR="00FB7260" w:rsidRDefault="00FB7260" w:rsidP="00FB7260">
      <w:pPr>
        <w:pStyle w:val="Heading2"/>
      </w:pPr>
      <w:r>
        <w:t>Pharmaceutical Benefits Advisory Committee</w:t>
      </w:r>
    </w:p>
    <w:p w14:paraId="30068EFB" w14:textId="411D5159" w:rsidR="00F250E3" w:rsidRDefault="00F250E3" w:rsidP="00FB7260">
      <w:r w:rsidRPr="00F250E3">
        <w:t xml:space="preserve">The Australian Government relies on advice from the </w:t>
      </w:r>
      <w:r>
        <w:t>Pharmaceutical Benefits Advisory Committee (</w:t>
      </w:r>
      <w:r w:rsidRPr="00F250E3">
        <w:t>PBAC</w:t>
      </w:r>
      <w:r>
        <w:t>)</w:t>
      </w:r>
      <w:r w:rsidRPr="00F250E3">
        <w:t xml:space="preserve"> when making decisions to list medicines on the PBS. The PBAC is a</w:t>
      </w:r>
      <w:r>
        <w:t>n</w:t>
      </w:r>
      <w:r w:rsidRPr="00F250E3">
        <w:t xml:space="preserve"> </w:t>
      </w:r>
      <w:r>
        <w:t xml:space="preserve">independent </w:t>
      </w:r>
      <w:r w:rsidRPr="00F250E3">
        <w:t>committee</w:t>
      </w:r>
      <w:r>
        <w:t xml:space="preserve"> made up of </w:t>
      </w:r>
      <w:r w:rsidRPr="00F250E3">
        <w:t>health professionals,</w:t>
      </w:r>
      <w:r>
        <w:t xml:space="preserve"> such as doctors and pharmacists, </w:t>
      </w:r>
      <w:r w:rsidRPr="00F250E3">
        <w:t xml:space="preserve">health economists and consumer representatives. Most undertake work for the PBAC on top of their roles delivering healthcare in the Australian community. They have extensive experience assessing medicines and interpreting evidence from clinical studies and other sources. </w:t>
      </w:r>
    </w:p>
    <w:p w14:paraId="6FC3438E" w14:textId="0C99FD69" w:rsidR="00FB7260" w:rsidRDefault="00F250E3" w:rsidP="00CE66F7">
      <w:r w:rsidRPr="005E7CD5">
        <w:t>The PBAC is required to assess how well new medicines work and how safe they are compared to existing care funded in Australia</w:t>
      </w:r>
      <w:r>
        <w:t xml:space="preserve">. The PBAC considers </w:t>
      </w:r>
      <w:r w:rsidRPr="005E7CD5">
        <w:t>whether</w:t>
      </w:r>
      <w:r>
        <w:t xml:space="preserve"> the</w:t>
      </w:r>
      <w:r w:rsidRPr="005E7CD5">
        <w:t xml:space="preserve"> benefits </w:t>
      </w:r>
      <w:r w:rsidRPr="005E7CD5">
        <w:lastRenderedPageBreak/>
        <w:t>justify any additional costs to Australian taxpayers.</w:t>
      </w:r>
      <w:r>
        <w:t xml:space="preserve"> </w:t>
      </w:r>
      <w:r>
        <w:rPr>
          <w:lang w:val="en"/>
        </w:rPr>
        <w:t>The committee then</w:t>
      </w:r>
      <w:r w:rsidRPr="00F060AD">
        <w:rPr>
          <w:lang w:val="en"/>
        </w:rPr>
        <w:t xml:space="preserve"> makes recommendations to the Government about which medicines should be subsidised through the PBS and</w:t>
      </w:r>
      <w:r w:rsidR="006A1A16">
        <w:rPr>
          <w:lang w:val="en"/>
        </w:rPr>
        <w:t xml:space="preserve"> any restrictions on their use</w:t>
      </w:r>
      <w:r w:rsidRPr="00F060AD">
        <w:rPr>
          <w:lang w:val="en"/>
        </w:rPr>
        <w:t>.</w:t>
      </w:r>
      <w:r w:rsidR="006A1A16">
        <w:rPr>
          <w:lang w:val="en"/>
        </w:rPr>
        <w:t xml:space="preserve"> </w:t>
      </w:r>
      <w:r w:rsidR="00FB7260" w:rsidRPr="00FB7260">
        <w:t>Further information on the PBAC, including membership, meeting agendas and outcomes</w:t>
      </w:r>
      <w:r w:rsidR="00F24FEE">
        <w:t>,</w:t>
      </w:r>
      <w:r w:rsidR="00FB7260" w:rsidRPr="00FB7260">
        <w:t xml:space="preserve"> </w:t>
      </w:r>
      <w:r w:rsidR="00F24FEE">
        <w:t>is</w:t>
      </w:r>
      <w:r w:rsidR="00FB7260" w:rsidRPr="00FB7260">
        <w:t xml:space="preserve"> available on the </w:t>
      </w:r>
      <w:hyperlink r:id="rId9" w:history="1">
        <w:r w:rsidR="00FB7260" w:rsidRPr="00F24FEE">
          <w:rPr>
            <w:rStyle w:val="Hyperlink"/>
          </w:rPr>
          <w:t>PBAC website</w:t>
        </w:r>
      </w:hyperlink>
      <w:r w:rsidR="00FB7260" w:rsidRPr="00FB7260">
        <w:t>.</w:t>
      </w:r>
    </w:p>
    <w:p w14:paraId="2C626DD4" w14:textId="735C0E12" w:rsidR="0005717C" w:rsidRPr="00FB7260" w:rsidRDefault="00867618" w:rsidP="00B36C36">
      <w:r w:rsidRPr="007E6B48">
        <w:t xml:space="preserve">At its meeting in November 2025, the PBAC discussed </w:t>
      </w:r>
      <w:r w:rsidR="00B36C36">
        <w:t xml:space="preserve">equitable </w:t>
      </w:r>
      <w:r w:rsidRPr="007E6B48">
        <w:t xml:space="preserve">access to PBS-subsidised </w:t>
      </w:r>
      <w:r>
        <w:t>GLP-1</w:t>
      </w:r>
      <w:r w:rsidRPr="007E6B48">
        <w:t xml:space="preserve"> medicines for the treatment of obesity.</w:t>
      </w:r>
      <w:r>
        <w:t xml:space="preserve"> </w:t>
      </w:r>
    </w:p>
    <w:p w14:paraId="552F9AEF" w14:textId="1F5257D0" w:rsidR="00FD478F" w:rsidRPr="007E6B48" w:rsidRDefault="000F7FB6" w:rsidP="008946BA">
      <w:pPr>
        <w:pStyle w:val="Heading2"/>
      </w:pPr>
      <w:r w:rsidRPr="007E6B48">
        <w:t>Public consultation</w:t>
      </w:r>
    </w:p>
    <w:p w14:paraId="59C2BFF2" w14:textId="36ED187C" w:rsidR="00C95E0B" w:rsidRPr="007E6B48" w:rsidRDefault="00E83F3D" w:rsidP="006F661F">
      <w:r>
        <w:t>M</w:t>
      </w:r>
      <w:r w:rsidR="00186FF8">
        <w:t>edicine</w:t>
      </w:r>
      <w:r>
        <w:t>s</w:t>
      </w:r>
      <w:r w:rsidR="00186FF8">
        <w:t xml:space="preserve"> that the PBAC consider</w:t>
      </w:r>
      <w:r w:rsidR="00B36C36">
        <w:t>s</w:t>
      </w:r>
      <w:r w:rsidR="00186FF8">
        <w:t xml:space="preserve"> </w:t>
      </w:r>
      <w:r w:rsidR="00F2303D">
        <w:t xml:space="preserve">usually </w:t>
      </w:r>
      <w:r w:rsidR="00186FF8">
        <w:t>go through</w:t>
      </w:r>
      <w:r w:rsidR="00FA3F9B">
        <w:t xml:space="preserve"> a public consultation process </w:t>
      </w:r>
      <w:r w:rsidR="00186FF8">
        <w:t xml:space="preserve">on </w:t>
      </w:r>
      <w:r w:rsidR="00A225F7">
        <w:t xml:space="preserve">the </w:t>
      </w:r>
      <w:hyperlink r:id="rId10" w:history="1">
        <w:r w:rsidR="006B113B" w:rsidRPr="006B113B">
          <w:rPr>
            <w:rStyle w:val="Hyperlink"/>
          </w:rPr>
          <w:t>Office of Health Technology Assessment consultation hub</w:t>
        </w:r>
      </w:hyperlink>
      <w:r w:rsidR="00E13433" w:rsidRPr="007E6B48">
        <w:t xml:space="preserve">. </w:t>
      </w:r>
      <w:r w:rsidR="003A6572" w:rsidRPr="007E6B48">
        <w:t xml:space="preserve">This is an important way for the PBAC to understand </w:t>
      </w:r>
      <w:r w:rsidR="00F81211" w:rsidRPr="007E6B48">
        <w:t xml:space="preserve">how the medicines are currently </w:t>
      </w:r>
      <w:proofErr w:type="gramStart"/>
      <w:r w:rsidR="00F81211" w:rsidRPr="007E6B48">
        <w:t>used</w:t>
      </w:r>
      <w:r w:rsidR="00CF4C5C" w:rsidRPr="007E6B48">
        <w:t>,</w:t>
      </w:r>
      <w:proofErr w:type="gramEnd"/>
      <w:r w:rsidR="00CF4C5C" w:rsidRPr="007E6B48">
        <w:t xml:space="preserve"> how effective they are and </w:t>
      </w:r>
      <w:r w:rsidR="000D08FF" w:rsidRPr="007E6B48">
        <w:t xml:space="preserve">if their use causes </w:t>
      </w:r>
      <w:r w:rsidR="00CF4C5C" w:rsidRPr="007E6B48">
        <w:t xml:space="preserve">any </w:t>
      </w:r>
      <w:r w:rsidR="0071112A">
        <w:t>adverse events (</w:t>
      </w:r>
      <w:r w:rsidR="009811A9" w:rsidRPr="007E6B48">
        <w:t>side effects</w:t>
      </w:r>
      <w:r w:rsidR="0071112A">
        <w:t>)</w:t>
      </w:r>
      <w:r w:rsidR="009811A9" w:rsidRPr="007E6B48">
        <w:t>.</w:t>
      </w:r>
      <w:r w:rsidR="00F81211" w:rsidRPr="007E6B48">
        <w:t xml:space="preserve"> </w:t>
      </w:r>
      <w:r w:rsidR="0071112A">
        <w:t>Anyone can</w:t>
      </w:r>
      <w:r w:rsidR="008A5A7B">
        <w:t xml:space="preserve"> provide input</w:t>
      </w:r>
      <w:r w:rsidR="0071112A">
        <w:t xml:space="preserve">. For this item, </w:t>
      </w:r>
      <w:r w:rsidR="00BD7D6B">
        <w:t xml:space="preserve">public consultation was open to </w:t>
      </w:r>
      <w:r w:rsidR="0071112A">
        <w:t>c</w:t>
      </w:r>
      <w:r w:rsidR="00E13433" w:rsidRPr="007E6B48">
        <w:t xml:space="preserve">onsumers, healthcare providers and organisations </w:t>
      </w:r>
      <w:r w:rsidR="00BD7D6B">
        <w:t>from 5 to 24</w:t>
      </w:r>
      <w:r w:rsidR="005A544F">
        <w:t> </w:t>
      </w:r>
      <w:r w:rsidR="00317800" w:rsidRPr="007E6B48">
        <w:t>September 2025.</w:t>
      </w:r>
    </w:p>
    <w:p w14:paraId="5726B242" w14:textId="3BAE036C" w:rsidR="00CE4D5D" w:rsidRPr="007E6B48" w:rsidRDefault="009B572D" w:rsidP="008946BA">
      <w:pPr>
        <w:pStyle w:val="Heading1"/>
      </w:pPr>
      <w:bookmarkStart w:id="2" w:name="_Toc223082161"/>
      <w:r w:rsidRPr="007E6B48">
        <w:lastRenderedPageBreak/>
        <w:t xml:space="preserve">Consumer </w:t>
      </w:r>
      <w:r w:rsidR="004D3DC5">
        <w:t>inputs</w:t>
      </w:r>
      <w:bookmarkEnd w:id="2"/>
    </w:p>
    <w:p w14:paraId="11290B59" w14:textId="77777777" w:rsidR="00A72550" w:rsidRPr="007E6B48" w:rsidRDefault="00A72550" w:rsidP="00A72550">
      <w:r w:rsidRPr="007E6B48">
        <w:t>Submissions were received from:</w:t>
      </w:r>
    </w:p>
    <w:p w14:paraId="6EA50AFA" w14:textId="30A5DD82" w:rsidR="00A72550" w:rsidRPr="007E6B48" w:rsidRDefault="00A72550" w:rsidP="00DF1A44">
      <w:pPr>
        <w:pStyle w:val="ListBullet"/>
      </w:pPr>
      <w:r w:rsidRPr="007E6B48">
        <w:t>458</w:t>
      </w:r>
      <w:r w:rsidR="00E2059A" w:rsidRPr="007E6B48">
        <w:t> </w:t>
      </w:r>
      <w:r w:rsidR="00DF1A44" w:rsidRPr="007E6B48">
        <w:t>people</w:t>
      </w:r>
      <w:r w:rsidRPr="007E6B48">
        <w:t xml:space="preserve"> who have used </w:t>
      </w:r>
      <w:r w:rsidR="00087436">
        <w:t>GLP-1</w:t>
      </w:r>
      <w:r w:rsidRPr="007E6B48">
        <w:t>s for their own health condition</w:t>
      </w:r>
    </w:p>
    <w:p w14:paraId="0CD5CA8F" w14:textId="709FAD5B" w:rsidR="00DE7791" w:rsidRDefault="00A72550" w:rsidP="00DF1A44">
      <w:pPr>
        <w:pStyle w:val="ListBullet"/>
      </w:pPr>
      <w:r w:rsidRPr="007E6B48">
        <w:t>3</w:t>
      </w:r>
      <w:r w:rsidR="00DE7791">
        <w:t>3</w:t>
      </w:r>
      <w:r w:rsidR="00E2059A" w:rsidRPr="007E6B48">
        <w:t> </w:t>
      </w:r>
      <w:r w:rsidR="00255752" w:rsidRPr="007E6B48">
        <w:t>people</w:t>
      </w:r>
      <w:r w:rsidRPr="007E6B48">
        <w:t xml:space="preserve"> who</w:t>
      </w:r>
      <w:r w:rsidR="00A77C68">
        <w:t xml:space="preserve"> either</w:t>
      </w:r>
    </w:p>
    <w:p w14:paraId="102F6F0C" w14:textId="65BACC30" w:rsidR="00EF07C4" w:rsidRPr="007E6B48" w:rsidRDefault="00A72550" w:rsidP="0086416A">
      <w:pPr>
        <w:pStyle w:val="ListBullet2"/>
      </w:pPr>
      <w:r w:rsidRPr="007E6B48">
        <w:t xml:space="preserve">would like to access </w:t>
      </w:r>
      <w:r w:rsidR="00087436">
        <w:t>GLP-1</w:t>
      </w:r>
      <w:r w:rsidR="00255752" w:rsidRPr="007E6B48">
        <w:t>s</w:t>
      </w:r>
      <w:r w:rsidRPr="007E6B48">
        <w:t xml:space="preserve"> to treat their own health condition but have never used </w:t>
      </w:r>
      <w:r w:rsidR="00255752" w:rsidRPr="007E6B48">
        <w:t>them</w:t>
      </w:r>
      <w:r w:rsidRPr="007E6B48">
        <w:t xml:space="preserve"> (although some of these</w:t>
      </w:r>
      <w:r w:rsidR="0095271D" w:rsidRPr="007E6B48">
        <w:t xml:space="preserve"> people</w:t>
      </w:r>
      <w:r w:rsidRPr="007E6B48">
        <w:t xml:space="preserve"> may have misclassified themselves, as it appeared that some had tried a </w:t>
      </w:r>
      <w:r w:rsidR="00087436">
        <w:t>GLP-1</w:t>
      </w:r>
      <w:r w:rsidRPr="007E6B48">
        <w:t xml:space="preserve"> in the past but were not currently taking it)</w:t>
      </w:r>
    </w:p>
    <w:p w14:paraId="3096ABF6" w14:textId="29A44C71" w:rsidR="00EF07C4" w:rsidRDefault="00A85879" w:rsidP="0086416A">
      <w:pPr>
        <w:pStyle w:val="ListBullet2"/>
      </w:pPr>
      <w:r>
        <w:t xml:space="preserve">are a </w:t>
      </w:r>
      <w:r w:rsidR="00A72550" w:rsidRPr="007E6B48">
        <w:t xml:space="preserve">parent or partner of </w:t>
      </w:r>
      <w:r w:rsidR="000D5A38" w:rsidRPr="007E6B48">
        <w:t xml:space="preserve">a </w:t>
      </w:r>
      <w:r w:rsidR="00E2059A" w:rsidRPr="007E6B48">
        <w:t>person</w:t>
      </w:r>
      <w:r w:rsidR="00A72550" w:rsidRPr="007E6B48">
        <w:t xml:space="preserve"> </w:t>
      </w:r>
      <w:r w:rsidR="00BB4CDE" w:rsidRPr="007E6B48">
        <w:t xml:space="preserve">who </w:t>
      </w:r>
      <w:r w:rsidR="00740CEB" w:rsidRPr="007E6B48">
        <w:t>uses</w:t>
      </w:r>
      <w:r w:rsidR="00BE6421">
        <w:t>,</w:t>
      </w:r>
      <w:r w:rsidR="00740CEB" w:rsidRPr="007E6B48">
        <w:t xml:space="preserve"> or would like to use</w:t>
      </w:r>
      <w:r w:rsidR="00BE6421">
        <w:t>,</w:t>
      </w:r>
      <w:r w:rsidR="00740CEB" w:rsidRPr="007E6B48">
        <w:t xml:space="preserve"> </w:t>
      </w:r>
      <w:r w:rsidR="00087436">
        <w:t>GLP-1</w:t>
      </w:r>
      <w:r w:rsidR="00740CEB" w:rsidRPr="007E6B48">
        <w:t>s</w:t>
      </w:r>
      <w:r w:rsidR="00D135C4" w:rsidRPr="007E6B48">
        <w:t xml:space="preserve"> for their health condition</w:t>
      </w:r>
    </w:p>
    <w:p w14:paraId="448D1565" w14:textId="10BA8111" w:rsidR="00A72550" w:rsidRPr="007E6B48" w:rsidRDefault="00EF07C4" w:rsidP="0086416A">
      <w:pPr>
        <w:pStyle w:val="ListBullet2"/>
      </w:pPr>
      <w:r>
        <w:t>a</w:t>
      </w:r>
      <w:r w:rsidR="00A85879">
        <w:t>re</w:t>
      </w:r>
      <w:r>
        <w:t xml:space="preserve"> an</w:t>
      </w:r>
      <w:r w:rsidR="00A72550" w:rsidRPr="007E6B48">
        <w:t xml:space="preserve"> interested </w:t>
      </w:r>
      <w:r w:rsidR="00E2059A" w:rsidRPr="007E6B48">
        <w:t xml:space="preserve">person who may have been </w:t>
      </w:r>
      <w:r w:rsidR="00A72550" w:rsidRPr="007E6B48">
        <w:t xml:space="preserve">a family member, friend or </w:t>
      </w:r>
      <w:r w:rsidR="00063146" w:rsidRPr="007E6B48">
        <w:t xml:space="preserve">general </w:t>
      </w:r>
      <w:r w:rsidR="00A72550" w:rsidRPr="007E6B48">
        <w:t>member of the public.</w:t>
      </w:r>
    </w:p>
    <w:p w14:paraId="737A9848" w14:textId="0FB1F2FD" w:rsidR="00A72550" w:rsidRPr="007E6B48" w:rsidRDefault="00A72550" w:rsidP="00A72550">
      <w:r w:rsidRPr="007E6B48">
        <w:t xml:space="preserve">All submissions </w:t>
      </w:r>
      <w:r w:rsidR="00BA37D2">
        <w:t>supported PBS</w:t>
      </w:r>
      <w:r w:rsidRPr="007E6B48">
        <w:t xml:space="preserve"> listing.</w:t>
      </w:r>
    </w:p>
    <w:p w14:paraId="41310522" w14:textId="0DE3E0ED" w:rsidR="00A72550" w:rsidRPr="007E6B48" w:rsidRDefault="00A72550" w:rsidP="008946BA">
      <w:pPr>
        <w:pStyle w:val="Heading2"/>
      </w:pPr>
      <w:r w:rsidRPr="007E6B48">
        <w:t xml:space="preserve">Reasons for using </w:t>
      </w:r>
      <w:r w:rsidR="00087436">
        <w:t>GLP-1</w:t>
      </w:r>
      <w:r w:rsidRPr="007E6B48">
        <w:t>s</w:t>
      </w:r>
    </w:p>
    <w:p w14:paraId="574BEAF4" w14:textId="2F0833F1" w:rsidR="00104DDB" w:rsidRPr="007E6B48" w:rsidRDefault="00A72550" w:rsidP="00A72550">
      <w:r w:rsidRPr="007E6B48">
        <w:t xml:space="preserve">Many </w:t>
      </w:r>
      <w:r w:rsidR="00CE63D4" w:rsidRPr="007E6B48">
        <w:t>people</w:t>
      </w:r>
      <w:r w:rsidRPr="007E6B48">
        <w:t xml:space="preserve"> </w:t>
      </w:r>
      <w:r w:rsidR="00CE63D4" w:rsidRPr="007E6B48">
        <w:t>said they had</w:t>
      </w:r>
      <w:r w:rsidRPr="007E6B48">
        <w:t xml:space="preserve"> long-term personal </w:t>
      </w:r>
      <w:r w:rsidR="00C76E3A">
        <w:t>challenges</w:t>
      </w:r>
      <w:r w:rsidR="00C76E3A" w:rsidRPr="007E6B48">
        <w:t xml:space="preserve"> </w:t>
      </w:r>
      <w:r w:rsidRPr="007E6B48">
        <w:t xml:space="preserve">with overweight and obesity, and weight loss was the reason for taking the </w:t>
      </w:r>
      <w:r w:rsidR="00087436">
        <w:t>GLP-1</w:t>
      </w:r>
      <w:r w:rsidRPr="007E6B48">
        <w:t xml:space="preserve">. </w:t>
      </w:r>
      <w:r w:rsidR="00DB6FDE">
        <w:t>Life circumstances that were cited as factor</w:t>
      </w:r>
      <w:r w:rsidR="0061246D">
        <w:t>s</w:t>
      </w:r>
      <w:r w:rsidR="00DB6FDE">
        <w:t xml:space="preserve"> in </w:t>
      </w:r>
      <w:r w:rsidR="0061246D">
        <w:t xml:space="preserve">the </w:t>
      </w:r>
      <w:r w:rsidR="00F43D11">
        <w:t>weight gain</w:t>
      </w:r>
      <w:r w:rsidR="00E8299A" w:rsidRPr="007E6B48">
        <w:t xml:space="preserve"> included</w:t>
      </w:r>
      <w:r w:rsidR="00636405" w:rsidRPr="007E6B48">
        <w:t>:</w:t>
      </w:r>
    </w:p>
    <w:p w14:paraId="7446DA08" w14:textId="1014802E" w:rsidR="00636405" w:rsidRPr="007E6B48" w:rsidRDefault="00636405" w:rsidP="00636405">
      <w:pPr>
        <w:pStyle w:val="ListBullet"/>
      </w:pPr>
      <w:r w:rsidRPr="007E6B48">
        <w:t>having a family history of obesity</w:t>
      </w:r>
    </w:p>
    <w:p w14:paraId="600E9126" w14:textId="6BC80346" w:rsidR="00636405" w:rsidRDefault="005D2DF6" w:rsidP="00636405">
      <w:pPr>
        <w:pStyle w:val="ListBullet"/>
      </w:pPr>
      <w:r w:rsidRPr="007E6B48">
        <w:t xml:space="preserve">going through </w:t>
      </w:r>
      <w:r w:rsidR="0078769E">
        <w:t xml:space="preserve">perimenopause </w:t>
      </w:r>
      <w:r w:rsidR="00107371">
        <w:t>or</w:t>
      </w:r>
      <w:r w:rsidR="0078769E">
        <w:t xml:space="preserve"> </w:t>
      </w:r>
      <w:r w:rsidRPr="007E6B48">
        <w:t>menopause</w:t>
      </w:r>
    </w:p>
    <w:p w14:paraId="3FA6DD77" w14:textId="77777777" w:rsidR="00A51A15" w:rsidRPr="007E6B48" w:rsidRDefault="00A51A15" w:rsidP="00A51A15">
      <w:pPr>
        <w:pStyle w:val="ListBullet"/>
      </w:pPr>
      <w:r>
        <w:t xml:space="preserve">having </w:t>
      </w:r>
      <w:r w:rsidRPr="007E6B48">
        <w:t>polycystic ovary syndrome</w:t>
      </w:r>
      <w:r>
        <w:t xml:space="preserve"> (</w:t>
      </w:r>
      <w:r w:rsidRPr="007E6B48">
        <w:t>PCOS)</w:t>
      </w:r>
    </w:p>
    <w:p w14:paraId="1C646B70" w14:textId="74DF658E" w:rsidR="00C25AD1" w:rsidRDefault="00A3457F" w:rsidP="00636405">
      <w:pPr>
        <w:pStyle w:val="ListBullet"/>
      </w:pPr>
      <w:r>
        <w:t xml:space="preserve">having </w:t>
      </w:r>
      <w:r w:rsidR="00EF4801" w:rsidRPr="007E6B48">
        <w:t xml:space="preserve">autoimmune disorders </w:t>
      </w:r>
      <w:r>
        <w:t xml:space="preserve">such as </w:t>
      </w:r>
      <w:r w:rsidR="00C25AD1">
        <w:t>thyroid disease (including Has</w:t>
      </w:r>
      <w:r w:rsidR="00A51A15">
        <w:t>h</w:t>
      </w:r>
      <w:r w:rsidR="00C25AD1">
        <w:t>imoto’s disease)</w:t>
      </w:r>
    </w:p>
    <w:p w14:paraId="06D07F38" w14:textId="6189B8F3" w:rsidR="00246C45" w:rsidRPr="007E6B48" w:rsidRDefault="00246C45" w:rsidP="00636405">
      <w:pPr>
        <w:pStyle w:val="ListBullet"/>
      </w:pPr>
      <w:r w:rsidRPr="007E6B48">
        <w:t>having children</w:t>
      </w:r>
      <w:r w:rsidR="00112566">
        <w:t xml:space="preserve"> (specifically, factors such as</w:t>
      </w:r>
      <w:r w:rsidR="00184D81">
        <w:t xml:space="preserve"> </w:t>
      </w:r>
      <w:r w:rsidR="002D38B0">
        <w:t>time-consuming carer responsibilities</w:t>
      </w:r>
      <w:r w:rsidR="00AF6D28">
        <w:t xml:space="preserve"> and</w:t>
      </w:r>
      <w:r w:rsidR="00DC721F">
        <w:t xml:space="preserve"> post-partum depression</w:t>
      </w:r>
      <w:r w:rsidR="004F5B45">
        <w:t>)</w:t>
      </w:r>
    </w:p>
    <w:p w14:paraId="207B28E6" w14:textId="168C371C" w:rsidR="00246C45" w:rsidRPr="007E6B48" w:rsidRDefault="00246C45" w:rsidP="00636405">
      <w:pPr>
        <w:pStyle w:val="ListBullet"/>
      </w:pPr>
      <w:r w:rsidRPr="007E6B48">
        <w:t xml:space="preserve">having surgery that affected </w:t>
      </w:r>
      <w:r w:rsidR="004D5584" w:rsidRPr="007E6B48">
        <w:t>hormonal balance, such as the removal of adrenal glands</w:t>
      </w:r>
    </w:p>
    <w:p w14:paraId="35E49BDD" w14:textId="7FB55F80" w:rsidR="004D5584" w:rsidRPr="007E6B48" w:rsidRDefault="00B44DD7" w:rsidP="00636405">
      <w:pPr>
        <w:pStyle w:val="ListBullet"/>
      </w:pPr>
      <w:r>
        <w:t xml:space="preserve">having difficulty </w:t>
      </w:r>
      <w:r w:rsidR="004D5584" w:rsidRPr="007E6B48">
        <w:t>exercis</w:t>
      </w:r>
      <w:r w:rsidR="00DC60ED">
        <w:t>ing</w:t>
      </w:r>
      <w:r w:rsidR="004D5584" w:rsidRPr="007E6B48">
        <w:t xml:space="preserve"> due to pain</w:t>
      </w:r>
      <w:r w:rsidR="00BF6534" w:rsidRPr="007E6B48">
        <w:t>, disability or living with obesity</w:t>
      </w:r>
    </w:p>
    <w:p w14:paraId="0CDAFBEC" w14:textId="6C1DBA2B" w:rsidR="00BF6534" w:rsidRPr="007E6B48" w:rsidRDefault="00F04B3C" w:rsidP="00636405">
      <w:pPr>
        <w:pStyle w:val="ListBullet"/>
      </w:pPr>
      <w:r w:rsidRPr="007E6B48">
        <w:t>taking medicines</w:t>
      </w:r>
      <w:r w:rsidR="00A57DE8" w:rsidRPr="007E6B48">
        <w:t xml:space="preserve"> for </w:t>
      </w:r>
      <w:r w:rsidR="00C45DA9" w:rsidRPr="007E6B48">
        <w:t>other conditions (</w:t>
      </w:r>
      <w:r w:rsidR="00A57DE8" w:rsidRPr="007E6B48">
        <w:t>comorbidities</w:t>
      </w:r>
      <w:r w:rsidR="00C45DA9" w:rsidRPr="007E6B48">
        <w:t>)</w:t>
      </w:r>
      <w:r w:rsidRPr="007E6B48">
        <w:t xml:space="preserve"> that caused weight gain.</w:t>
      </w:r>
    </w:p>
    <w:p w14:paraId="69E7536A" w14:textId="77777777" w:rsidR="007C5545" w:rsidRDefault="00A72550" w:rsidP="00A72550">
      <w:r w:rsidRPr="007E6B48">
        <w:t>Common comorbidities included</w:t>
      </w:r>
      <w:r w:rsidR="007C5545">
        <w:t>:</w:t>
      </w:r>
    </w:p>
    <w:p w14:paraId="10BA08F1" w14:textId="77777777" w:rsidR="007C5545" w:rsidRDefault="00430050" w:rsidP="007C5545">
      <w:pPr>
        <w:pStyle w:val="ListBullet"/>
      </w:pPr>
      <w:r w:rsidRPr="007E6B48">
        <w:t>heart</w:t>
      </w:r>
      <w:r w:rsidR="00A72550" w:rsidRPr="007E6B48">
        <w:t xml:space="preserve"> disease (especially </w:t>
      </w:r>
      <w:r w:rsidRPr="007E6B48">
        <w:t>high blood pressure</w:t>
      </w:r>
      <w:r w:rsidR="00A72550" w:rsidRPr="007E6B48">
        <w:t xml:space="preserve"> and high cholesterol)</w:t>
      </w:r>
    </w:p>
    <w:p w14:paraId="2659F064" w14:textId="77777777" w:rsidR="007C5545" w:rsidRDefault="00A72550" w:rsidP="007C5545">
      <w:pPr>
        <w:pStyle w:val="ListBullet"/>
      </w:pPr>
      <w:r w:rsidRPr="007E6B48">
        <w:t>chronic pain (including back pain)</w:t>
      </w:r>
    </w:p>
    <w:p w14:paraId="731540E8" w14:textId="77777777" w:rsidR="007C5545" w:rsidRDefault="00A72550" w:rsidP="007C5545">
      <w:pPr>
        <w:pStyle w:val="ListBullet"/>
      </w:pPr>
      <w:r w:rsidRPr="007E6B48">
        <w:t>pre-diabetes and diabetes</w:t>
      </w:r>
    </w:p>
    <w:p w14:paraId="0AA1D1EA" w14:textId="77777777" w:rsidR="007C5545" w:rsidRDefault="00A72550" w:rsidP="007C5545">
      <w:pPr>
        <w:pStyle w:val="ListBullet"/>
      </w:pPr>
      <w:r w:rsidRPr="007E6B48">
        <w:t>mental health disorders</w:t>
      </w:r>
    </w:p>
    <w:p w14:paraId="09583CC5" w14:textId="54F62AEE" w:rsidR="007826EC" w:rsidRPr="007E6B48" w:rsidRDefault="00A72550" w:rsidP="00A3457F">
      <w:pPr>
        <w:pStyle w:val="ListBullet"/>
      </w:pPr>
      <w:r w:rsidRPr="007E6B48">
        <w:t xml:space="preserve">obstructive sleep apnoea </w:t>
      </w:r>
      <w:r w:rsidR="00371DB6">
        <w:t>(OSA)</w:t>
      </w:r>
      <w:r w:rsidRPr="007E6B48">
        <w:t>.</w:t>
      </w:r>
    </w:p>
    <w:p w14:paraId="68B85FD4" w14:textId="3C768C37" w:rsidR="00526C78" w:rsidRPr="007E6B48" w:rsidRDefault="009C50CB" w:rsidP="00A72550">
      <w:r>
        <w:t>P</w:t>
      </w:r>
      <w:r w:rsidR="007826EC" w:rsidRPr="007E6B48">
        <w:t>eople</w:t>
      </w:r>
      <w:r w:rsidR="00A72550" w:rsidRPr="007E6B48">
        <w:t xml:space="preserve"> </w:t>
      </w:r>
      <w:r>
        <w:t>discussed different reasons for wanting to lose weight. Common reasons included</w:t>
      </w:r>
      <w:r w:rsidR="00705CBE">
        <w:t xml:space="preserve"> to</w:t>
      </w:r>
      <w:r>
        <w:t>:</w:t>
      </w:r>
    </w:p>
    <w:p w14:paraId="0E996F13" w14:textId="05A130AC" w:rsidR="009C50CB" w:rsidRDefault="009C50CB" w:rsidP="00526C78">
      <w:pPr>
        <w:pStyle w:val="ListBullet"/>
      </w:pPr>
      <w:r>
        <w:t>improve</w:t>
      </w:r>
      <w:r w:rsidR="006F080D">
        <w:t xml:space="preserve"> </w:t>
      </w:r>
      <w:r w:rsidR="00705CBE">
        <w:t xml:space="preserve">overall </w:t>
      </w:r>
      <w:r w:rsidR="006F080D">
        <w:t>physical</w:t>
      </w:r>
      <w:r>
        <w:t xml:space="preserve"> health</w:t>
      </w:r>
      <w:r w:rsidR="006F080D">
        <w:t>, mental health</w:t>
      </w:r>
      <w:r>
        <w:t xml:space="preserve"> and wellbeing</w:t>
      </w:r>
    </w:p>
    <w:p w14:paraId="1133213E" w14:textId="7502844A" w:rsidR="009C50CB" w:rsidRDefault="009C50CB" w:rsidP="00526C78">
      <w:pPr>
        <w:pStyle w:val="ListBullet"/>
      </w:pPr>
      <w:r>
        <w:t>avoid life-threatening comorbidities, such as cancer and diabetes</w:t>
      </w:r>
    </w:p>
    <w:p w14:paraId="1F5F8251" w14:textId="14D01A9B" w:rsidR="00526C78" w:rsidRPr="007E6B48" w:rsidRDefault="00D7391E" w:rsidP="00526C78">
      <w:pPr>
        <w:pStyle w:val="ListBullet"/>
      </w:pPr>
      <w:r w:rsidRPr="007E6B48">
        <w:t>relieve</w:t>
      </w:r>
      <w:r w:rsidR="00A72550" w:rsidRPr="007E6B48">
        <w:t xml:space="preserve"> some of the symptoms of their comorbidities</w:t>
      </w:r>
      <w:r w:rsidR="004013CA" w:rsidRPr="007E6B48">
        <w:t>, including</w:t>
      </w:r>
    </w:p>
    <w:p w14:paraId="2753A566" w14:textId="6775703B" w:rsidR="009D5D00" w:rsidRPr="007E6B48" w:rsidRDefault="009D5D00" w:rsidP="009C634D">
      <w:pPr>
        <w:pStyle w:val="ListBullet2"/>
      </w:pPr>
      <w:r w:rsidRPr="007E6B48">
        <w:t xml:space="preserve">reducing </w:t>
      </w:r>
      <w:r w:rsidR="000D7384" w:rsidRPr="007E6B48">
        <w:t>high blood sugar levels caused by pre-diabetes and diabetes</w:t>
      </w:r>
    </w:p>
    <w:p w14:paraId="7C3DB218" w14:textId="76CD32D3" w:rsidR="00050E72" w:rsidRPr="007E6B48" w:rsidRDefault="00496EC4" w:rsidP="004013CA">
      <w:pPr>
        <w:pStyle w:val="ListBullet2"/>
      </w:pPr>
      <w:r w:rsidRPr="007E6B48">
        <w:lastRenderedPageBreak/>
        <w:t xml:space="preserve">reducing inflammation and other symptoms caused by </w:t>
      </w:r>
      <w:r w:rsidR="00F251F1">
        <w:t>di</w:t>
      </w:r>
      <w:r w:rsidR="007B5967">
        <w:t xml:space="preserve">seases such as </w:t>
      </w:r>
      <w:r w:rsidR="009D5D00" w:rsidRPr="007E6B48">
        <w:t>PCOS and arthritis</w:t>
      </w:r>
    </w:p>
    <w:p w14:paraId="4FF680F0" w14:textId="1A08BBBE" w:rsidR="004013CA" w:rsidRPr="007E6B48" w:rsidRDefault="00976EF3" w:rsidP="004013CA">
      <w:pPr>
        <w:pStyle w:val="ListBullet"/>
      </w:pPr>
      <w:r w:rsidRPr="007E6B48">
        <w:t>help manage pain</w:t>
      </w:r>
    </w:p>
    <w:p w14:paraId="3368AF39" w14:textId="592B3D4A" w:rsidR="008A2E37" w:rsidRPr="007E6B48" w:rsidRDefault="00483469" w:rsidP="004013CA">
      <w:pPr>
        <w:pStyle w:val="ListBullet"/>
      </w:pPr>
      <w:r w:rsidRPr="007E6B48">
        <w:t>increase the chance of successful in vitro fertilisation</w:t>
      </w:r>
      <w:r w:rsidR="00B36C36">
        <w:t xml:space="preserve"> (IVF)</w:t>
      </w:r>
    </w:p>
    <w:p w14:paraId="7F037BD0" w14:textId="2674C3F4" w:rsidR="00333EE0" w:rsidRPr="007E6B48" w:rsidRDefault="00B36C36" w:rsidP="004013CA">
      <w:pPr>
        <w:pStyle w:val="ListBullet"/>
      </w:pPr>
      <w:r>
        <w:t xml:space="preserve">be eligible to undergo </w:t>
      </w:r>
      <w:r w:rsidR="00333EE0" w:rsidRPr="007E6B48">
        <w:t>surgery, especially for joint replacement</w:t>
      </w:r>
    </w:p>
    <w:p w14:paraId="2C1F1C88" w14:textId="0E9DFA0B" w:rsidR="00333EE0" w:rsidRPr="007E6B48" w:rsidRDefault="00333EE0" w:rsidP="006F080D">
      <w:pPr>
        <w:pStyle w:val="ListBullet"/>
      </w:pPr>
      <w:r w:rsidRPr="007E6B48">
        <w:t>improve mobility and energy</w:t>
      </w:r>
      <w:r w:rsidR="00E54CFE" w:rsidRPr="007E6B48">
        <w:t>.</w:t>
      </w:r>
    </w:p>
    <w:p w14:paraId="32DEA110" w14:textId="77777777" w:rsidR="00A72550" w:rsidRPr="007E6B48" w:rsidRDefault="00A72550" w:rsidP="008946BA">
      <w:pPr>
        <w:pStyle w:val="Heading2"/>
      </w:pPr>
      <w:r w:rsidRPr="007E6B48">
        <w:t>Dosing, duration of use and treatment regimen</w:t>
      </w:r>
    </w:p>
    <w:p w14:paraId="3F4E00B8" w14:textId="3923BA19" w:rsidR="00454BE2" w:rsidRPr="007E6B48" w:rsidRDefault="00EA0F2E" w:rsidP="00A72550">
      <w:r w:rsidRPr="007E6B48">
        <w:t xml:space="preserve">People usually </w:t>
      </w:r>
      <w:r w:rsidR="00705CBE">
        <w:t>self-administer</w:t>
      </w:r>
      <w:r w:rsidR="0058349E" w:rsidRPr="007E6B48">
        <w:t xml:space="preserve"> </w:t>
      </w:r>
      <w:r w:rsidR="00087436">
        <w:t>GLP-1</w:t>
      </w:r>
      <w:r w:rsidR="0058349E" w:rsidRPr="007E6B48">
        <w:t xml:space="preserve">s as a weekly injection. </w:t>
      </w:r>
      <w:r w:rsidR="002A6CD2" w:rsidRPr="007E6B48">
        <w:t xml:space="preserve">Many people said they had been taking </w:t>
      </w:r>
      <w:r w:rsidR="00087436">
        <w:t>GLP-1</w:t>
      </w:r>
      <w:r w:rsidR="002A6CD2" w:rsidRPr="007E6B48">
        <w:t>s for 12 to 18 months</w:t>
      </w:r>
      <w:r w:rsidR="00F6603B">
        <w:t>, but</w:t>
      </w:r>
      <w:r w:rsidR="002A6CD2" w:rsidRPr="007E6B48">
        <w:t xml:space="preserve"> </w:t>
      </w:r>
      <w:r w:rsidR="00F6603B">
        <w:t>s</w:t>
      </w:r>
      <w:r w:rsidR="00852572">
        <w:t xml:space="preserve">ome reported </w:t>
      </w:r>
      <w:r w:rsidR="00250725">
        <w:t>taking</w:t>
      </w:r>
      <w:r w:rsidR="00852572">
        <w:t xml:space="preserve"> the medicine for several years. </w:t>
      </w:r>
      <w:r w:rsidR="00454BE2" w:rsidRPr="007E6B48">
        <w:t>Lifestyle changes, such as healthy eating and exercise, are often a part of the treatment regimen.</w:t>
      </w:r>
    </w:p>
    <w:p w14:paraId="6776B9F1" w14:textId="2AA71BCA" w:rsidR="00B35507" w:rsidRPr="007E6B48" w:rsidRDefault="00882FD6" w:rsidP="00A72550">
      <w:r w:rsidRPr="007E6B48">
        <w:t>Once</w:t>
      </w:r>
      <w:r w:rsidR="00937CB0" w:rsidRPr="007E6B48">
        <w:t xml:space="preserve"> the target weight loss is achieved</w:t>
      </w:r>
      <w:r w:rsidR="00927466" w:rsidRPr="007E6B48">
        <w:t xml:space="preserve">, </w:t>
      </w:r>
      <w:r w:rsidR="00597DFF">
        <w:t xml:space="preserve">many people said that they reduce the </w:t>
      </w:r>
      <w:r w:rsidR="00087436">
        <w:t>GLP-1</w:t>
      </w:r>
      <w:r w:rsidRPr="007E6B48">
        <w:t xml:space="preserve"> dose </w:t>
      </w:r>
      <w:r w:rsidR="00927466" w:rsidRPr="007E6B48">
        <w:t>to a point where weight loss is maintained.</w:t>
      </w:r>
    </w:p>
    <w:p w14:paraId="21D5BEE7" w14:textId="2DCA379C" w:rsidR="00A72550" w:rsidRPr="007E6B48" w:rsidRDefault="00127C00" w:rsidP="00A72550">
      <w:r w:rsidRPr="007E6B48">
        <w:t>Some people</w:t>
      </w:r>
      <w:r w:rsidR="00A72550" w:rsidRPr="007E6B48">
        <w:t xml:space="preserve"> </w:t>
      </w:r>
      <w:r w:rsidRPr="007E6B48">
        <w:t>sai</w:t>
      </w:r>
      <w:r w:rsidR="00A72550" w:rsidRPr="007E6B48">
        <w:t xml:space="preserve">d that </w:t>
      </w:r>
      <w:r w:rsidR="001C41BE" w:rsidRPr="007E6B48">
        <w:t xml:space="preserve">they plan on using </w:t>
      </w:r>
      <w:r w:rsidR="00087436">
        <w:t>GLP-1</w:t>
      </w:r>
      <w:r w:rsidR="001C41BE" w:rsidRPr="007E6B48">
        <w:t xml:space="preserve">s for life, either because they have other conditions or they believe they need to </w:t>
      </w:r>
      <w:r w:rsidR="00F54F0D" w:rsidRPr="007E6B48">
        <w:t>for weight management.</w:t>
      </w:r>
    </w:p>
    <w:p w14:paraId="20096076" w14:textId="77777777" w:rsidR="00A72550" w:rsidRPr="007E6B48" w:rsidRDefault="00A72550" w:rsidP="008946BA">
      <w:pPr>
        <w:pStyle w:val="Heading2"/>
      </w:pPr>
      <w:r w:rsidRPr="007E6B48">
        <w:t>Other interventions tried</w:t>
      </w:r>
    </w:p>
    <w:p w14:paraId="7F4B6D21" w14:textId="0747B083" w:rsidR="00A64924" w:rsidRPr="007E6B48" w:rsidRDefault="00A72550" w:rsidP="00A72550">
      <w:r w:rsidRPr="007E6B48">
        <w:t xml:space="preserve">Many </w:t>
      </w:r>
      <w:r w:rsidR="004F39AD" w:rsidRPr="007E6B48">
        <w:t>people reported that they had</w:t>
      </w:r>
      <w:r w:rsidRPr="007E6B48">
        <w:t xml:space="preserve"> tr</w:t>
      </w:r>
      <w:r w:rsidR="004F39AD" w:rsidRPr="007E6B48">
        <w:t>ied</w:t>
      </w:r>
      <w:r w:rsidRPr="007E6B48">
        <w:t xml:space="preserve"> numerous other interventions before </w:t>
      </w:r>
      <w:r w:rsidR="007D415F" w:rsidRPr="007E6B48">
        <w:t>start</w:t>
      </w:r>
      <w:r w:rsidRPr="007E6B48">
        <w:t xml:space="preserve">ing on </w:t>
      </w:r>
      <w:r w:rsidR="00087436">
        <w:t>GLP-1</w:t>
      </w:r>
      <w:r w:rsidRPr="007E6B48">
        <w:t>s, including diet and exercise.</w:t>
      </w:r>
      <w:r w:rsidR="00954440">
        <w:t xml:space="preserve"> Some people reported that they had some success with diet and exercise, but it was not sustainable </w:t>
      </w:r>
      <w:r w:rsidR="00F545EF">
        <w:t xml:space="preserve">because of the </w:t>
      </w:r>
      <w:r w:rsidR="00E4587A">
        <w:t>drastic</w:t>
      </w:r>
      <w:r w:rsidR="00F545EF">
        <w:t xml:space="preserve"> measures </w:t>
      </w:r>
      <w:r w:rsidR="00F6603B">
        <w:t xml:space="preserve">they had to </w:t>
      </w:r>
      <w:r w:rsidR="00F545EF">
        <w:t>take, such as extreme caloric restriction.</w:t>
      </w:r>
    </w:p>
    <w:p w14:paraId="198684F0" w14:textId="346321FA" w:rsidR="00433A8A" w:rsidRPr="007E6B48" w:rsidRDefault="00433A8A" w:rsidP="00A72550">
      <w:r w:rsidRPr="007E6B48">
        <w:t xml:space="preserve">Some people said that trying to exercise while living with obesity </w:t>
      </w:r>
      <w:r w:rsidR="00500B03" w:rsidRPr="007E6B48">
        <w:t>led to injury and being unable to continue exercising</w:t>
      </w:r>
      <w:r w:rsidR="00AB604B" w:rsidRPr="007E6B48">
        <w:t xml:space="preserve">. It can also be difficult to exercise when living with disability or other conditions </w:t>
      </w:r>
      <w:r w:rsidR="006006FA">
        <w:t>that affect physical activity</w:t>
      </w:r>
      <w:r w:rsidR="002B6DDD" w:rsidRPr="007E6B48">
        <w:t>, even after some weight loss.</w:t>
      </w:r>
      <w:r w:rsidR="00A64924" w:rsidRPr="007E6B48">
        <w:t xml:space="preserve"> </w:t>
      </w:r>
      <w:r w:rsidR="00476A56" w:rsidRPr="007E6B48">
        <w:t>People also mentioned that healthy eating and exercise can be difficult to afford and access</w:t>
      </w:r>
      <w:r w:rsidR="001A7F5E">
        <w:t xml:space="preserve">, </w:t>
      </w:r>
      <w:r w:rsidR="00BA2E2E">
        <w:t xml:space="preserve">for reasons </w:t>
      </w:r>
      <w:r w:rsidR="001A7F5E">
        <w:t xml:space="preserve">such as the </w:t>
      </w:r>
      <w:r w:rsidR="00BA2E2E">
        <w:t xml:space="preserve">high </w:t>
      </w:r>
      <w:r w:rsidR="001A7F5E">
        <w:t>cost of healthy food and gym memberships</w:t>
      </w:r>
      <w:r w:rsidR="00476A56" w:rsidRPr="007E6B48">
        <w:t>.</w:t>
      </w:r>
    </w:p>
    <w:p w14:paraId="22C65FB8" w14:textId="425903AE" w:rsidR="00A72550" w:rsidRPr="007E6B48" w:rsidRDefault="00A72550" w:rsidP="00A72550">
      <w:r w:rsidRPr="007E6B48">
        <w:t xml:space="preserve">Some </w:t>
      </w:r>
      <w:r w:rsidR="00407431" w:rsidRPr="007E6B48">
        <w:t>people said they had tried</w:t>
      </w:r>
      <w:r w:rsidRPr="007E6B48">
        <w:t xml:space="preserve"> bariatric </w:t>
      </w:r>
      <w:r w:rsidR="00A75202" w:rsidRPr="007E6B48">
        <w:t>surgery</w:t>
      </w:r>
      <w:r w:rsidR="005B2543">
        <w:t xml:space="preserve"> or other </w:t>
      </w:r>
      <w:r w:rsidR="00F92ED2">
        <w:t>non-GLP-1 weight loss medicines,</w:t>
      </w:r>
      <w:r w:rsidR="00E8637D" w:rsidRPr="007E6B48">
        <w:t xml:space="preserve"> </w:t>
      </w:r>
      <w:r w:rsidR="00E4587A">
        <w:t xml:space="preserve">with different degrees of </w:t>
      </w:r>
      <w:r w:rsidR="003E4BAD">
        <w:t>success</w:t>
      </w:r>
      <w:r w:rsidR="00407431" w:rsidRPr="007E6B48">
        <w:t>.</w:t>
      </w:r>
    </w:p>
    <w:p w14:paraId="2F52C8F2" w14:textId="77777777" w:rsidR="00A72550" w:rsidRPr="007E6B48" w:rsidRDefault="00A72550" w:rsidP="008946BA">
      <w:pPr>
        <w:pStyle w:val="Heading2"/>
      </w:pPr>
      <w:r w:rsidRPr="007E6B48">
        <w:t>Wraparound care</w:t>
      </w:r>
    </w:p>
    <w:p w14:paraId="15F3C11C" w14:textId="67E1CB87" w:rsidR="00A72550" w:rsidRPr="007E6B48" w:rsidRDefault="00A72550" w:rsidP="00A72550">
      <w:r w:rsidRPr="007E6B48">
        <w:t xml:space="preserve">Some </w:t>
      </w:r>
      <w:r w:rsidR="00AC6CCE" w:rsidRPr="007E6B48">
        <w:t xml:space="preserve">people </w:t>
      </w:r>
      <w:r w:rsidRPr="007E6B48">
        <w:t xml:space="preserve">noted the importance of having a support team during their weight loss journey, </w:t>
      </w:r>
      <w:r w:rsidR="00894462" w:rsidRPr="007E6B48">
        <w:t xml:space="preserve">to provide </w:t>
      </w:r>
      <w:r w:rsidR="00B22C12" w:rsidRPr="007E6B48">
        <w:t xml:space="preserve">both support and education. </w:t>
      </w:r>
      <w:r w:rsidR="000849BC">
        <w:t>S</w:t>
      </w:r>
      <w:r w:rsidR="007327DA" w:rsidRPr="007E6B48">
        <w:t xml:space="preserve">ome people </w:t>
      </w:r>
      <w:r w:rsidR="005F3F5F">
        <w:t>noted that it was important that w</w:t>
      </w:r>
      <w:r w:rsidR="007327DA" w:rsidRPr="007E6B48">
        <w:t xml:space="preserve">eight loss medicines such as </w:t>
      </w:r>
      <w:r w:rsidR="00087436">
        <w:t>GLP-1</w:t>
      </w:r>
      <w:r w:rsidR="007327DA" w:rsidRPr="007E6B48">
        <w:t xml:space="preserve">s </w:t>
      </w:r>
      <w:r w:rsidR="006C6DFC">
        <w:t>a</w:t>
      </w:r>
      <w:r w:rsidR="005F3F5F">
        <w:t>re not considered</w:t>
      </w:r>
      <w:r w:rsidR="0042012B" w:rsidRPr="007E6B48">
        <w:t xml:space="preserve"> </w:t>
      </w:r>
      <w:r w:rsidR="007327DA" w:rsidRPr="007E6B48">
        <w:t xml:space="preserve">a ‘quick fix’ for obesity. </w:t>
      </w:r>
      <w:r w:rsidR="00B22C12" w:rsidRPr="007E6B48">
        <w:t>Th</w:t>
      </w:r>
      <w:r w:rsidR="00E53C4A" w:rsidRPr="007E6B48">
        <w:t>e support</w:t>
      </w:r>
      <w:r w:rsidR="00B22C12" w:rsidRPr="007E6B48">
        <w:t xml:space="preserve"> team may include</w:t>
      </w:r>
      <w:r w:rsidRPr="007E6B48">
        <w:t xml:space="preserve"> a </w:t>
      </w:r>
      <w:r w:rsidR="00525BB6">
        <w:t>general practitioner (</w:t>
      </w:r>
      <w:r w:rsidRPr="007E6B48">
        <w:t>GP</w:t>
      </w:r>
      <w:r w:rsidR="00525BB6">
        <w:t>)</w:t>
      </w:r>
      <w:r w:rsidRPr="007E6B48">
        <w:t xml:space="preserve">, nurse practitioner, dietitian and exercise physiologist. </w:t>
      </w:r>
      <w:r w:rsidR="006D5108">
        <w:t>M</w:t>
      </w:r>
      <w:r w:rsidRPr="007E6B48">
        <w:t xml:space="preserve">any </w:t>
      </w:r>
      <w:r w:rsidR="00BE5D53" w:rsidRPr="007E6B48">
        <w:t xml:space="preserve">people </w:t>
      </w:r>
      <w:r w:rsidRPr="007E6B48">
        <w:t xml:space="preserve">did not mention </w:t>
      </w:r>
      <w:r w:rsidR="00E4587A">
        <w:t xml:space="preserve">how they accessed </w:t>
      </w:r>
      <w:r w:rsidRPr="007E6B48">
        <w:t>a support team</w:t>
      </w:r>
      <w:r w:rsidR="006D5108">
        <w:t>,</w:t>
      </w:r>
      <w:r w:rsidR="00E5486A">
        <w:t xml:space="preserve"> </w:t>
      </w:r>
      <w:r w:rsidR="006D5108">
        <w:t>b</w:t>
      </w:r>
      <w:r w:rsidR="00E5486A">
        <w:t>ut m</w:t>
      </w:r>
      <w:r w:rsidR="00980753" w:rsidRPr="007E6B48">
        <w:t xml:space="preserve">any people said they had regular appointments </w:t>
      </w:r>
      <w:r w:rsidR="00846194" w:rsidRPr="007E6B48">
        <w:t>(every month to every 3</w:t>
      </w:r>
      <w:r w:rsidR="009E75AE" w:rsidRPr="007E6B48">
        <w:t> </w:t>
      </w:r>
      <w:r w:rsidR="00846194" w:rsidRPr="007E6B48">
        <w:t>months)</w:t>
      </w:r>
      <w:r w:rsidR="009E75AE" w:rsidRPr="007E6B48">
        <w:t xml:space="preserve"> </w:t>
      </w:r>
      <w:r w:rsidR="00980753" w:rsidRPr="007E6B48">
        <w:t xml:space="preserve">with a GP or nurse practitioner </w:t>
      </w:r>
      <w:r w:rsidR="00846194" w:rsidRPr="007E6B48">
        <w:t>at a weight loss clinic, either in person or via telehealth.</w:t>
      </w:r>
      <w:r w:rsidR="004D617C">
        <w:t xml:space="preserve"> Consumers considered telehealth </w:t>
      </w:r>
      <w:proofErr w:type="gramStart"/>
      <w:r w:rsidR="00100300">
        <w:t>as a way to</w:t>
      </w:r>
      <w:proofErr w:type="gramEnd"/>
      <w:r w:rsidR="00100300">
        <w:t xml:space="preserve"> improve access for patients </w:t>
      </w:r>
      <w:r w:rsidR="00087524">
        <w:t xml:space="preserve">living </w:t>
      </w:r>
      <w:r w:rsidR="00100300">
        <w:t xml:space="preserve">in </w:t>
      </w:r>
      <w:r w:rsidR="00087524">
        <w:t>regional, rural and remote areas.</w:t>
      </w:r>
    </w:p>
    <w:p w14:paraId="434416CE" w14:textId="3600800D" w:rsidR="00A72550" w:rsidRPr="007E6B48" w:rsidRDefault="00A72550" w:rsidP="008946BA">
      <w:pPr>
        <w:pStyle w:val="Heading2"/>
      </w:pPr>
      <w:r w:rsidRPr="007E6B48">
        <w:lastRenderedPageBreak/>
        <w:t>Clinical benefits</w:t>
      </w:r>
    </w:p>
    <w:p w14:paraId="7B456FC8" w14:textId="011877BF" w:rsidR="00BA3474" w:rsidRDefault="00A72550" w:rsidP="00A72550">
      <w:r w:rsidRPr="007E6B48">
        <w:t xml:space="preserve">Consumers highlighted that </w:t>
      </w:r>
      <w:r w:rsidR="00087436">
        <w:t>GLP-1</w:t>
      </w:r>
      <w:r w:rsidRPr="007E6B48">
        <w:t>s had been the most successful treatment they had tried in helping them lose weight. Consumers reported general clinical benefits such as</w:t>
      </w:r>
      <w:r w:rsidR="00BA3474">
        <w:t>:</w:t>
      </w:r>
    </w:p>
    <w:p w14:paraId="647A5D97" w14:textId="22010744" w:rsidR="00D6701C" w:rsidRDefault="00D6701C" w:rsidP="009C634D">
      <w:pPr>
        <w:pStyle w:val="ListBullet"/>
      </w:pPr>
      <w:r>
        <w:t>improved mental health</w:t>
      </w:r>
    </w:p>
    <w:p w14:paraId="3BDA28AD" w14:textId="415B3E85" w:rsidR="00BA3474" w:rsidRDefault="00A72550" w:rsidP="009C634D">
      <w:pPr>
        <w:pStyle w:val="ListBullet"/>
      </w:pPr>
      <w:r w:rsidRPr="007E6B48">
        <w:t>better cholesterol levels</w:t>
      </w:r>
    </w:p>
    <w:p w14:paraId="5658BB3A" w14:textId="77777777" w:rsidR="00B31DC8" w:rsidRDefault="00A72550" w:rsidP="009C634D">
      <w:pPr>
        <w:pStyle w:val="ListBullet"/>
      </w:pPr>
      <w:r w:rsidRPr="007E6B48">
        <w:t xml:space="preserve">lower blood pressure </w:t>
      </w:r>
    </w:p>
    <w:p w14:paraId="5B544022" w14:textId="4ECA9615" w:rsidR="00777796" w:rsidRDefault="00D6701C" w:rsidP="009C634D">
      <w:pPr>
        <w:pStyle w:val="ListBullet"/>
      </w:pPr>
      <w:r>
        <w:t>lower blood sugar levels</w:t>
      </w:r>
    </w:p>
    <w:p w14:paraId="7BB70026" w14:textId="4788635D" w:rsidR="00BA3474" w:rsidRDefault="00A72550" w:rsidP="009C634D">
      <w:pPr>
        <w:pStyle w:val="ListBullet"/>
      </w:pPr>
      <w:r w:rsidRPr="007E6B48">
        <w:t>reduced joint pain</w:t>
      </w:r>
    </w:p>
    <w:p w14:paraId="7E135EE9" w14:textId="77777777" w:rsidR="00BA3474" w:rsidRDefault="00A72550" w:rsidP="009C634D">
      <w:pPr>
        <w:pStyle w:val="ListBullet"/>
      </w:pPr>
      <w:r w:rsidRPr="007E6B48">
        <w:t>reduced inflammation</w:t>
      </w:r>
    </w:p>
    <w:p w14:paraId="20B75725" w14:textId="3571EAFD" w:rsidR="00100F5A" w:rsidRDefault="00BA3474" w:rsidP="009C634D">
      <w:pPr>
        <w:pStyle w:val="ListBullet"/>
      </w:pPr>
      <w:r>
        <w:t xml:space="preserve">improvements in </w:t>
      </w:r>
      <w:r w:rsidR="00491BB6">
        <w:t>liver function levels</w:t>
      </w:r>
    </w:p>
    <w:p w14:paraId="7080D177" w14:textId="14DF8FF8" w:rsidR="00716263" w:rsidRDefault="00100F5A" w:rsidP="009C634D">
      <w:pPr>
        <w:pStyle w:val="ListBullet"/>
      </w:pPr>
      <w:r>
        <w:t xml:space="preserve">reduced symptoms of </w:t>
      </w:r>
      <w:r w:rsidR="00B36C36">
        <w:t>obstructive sleep apnoea (</w:t>
      </w:r>
      <w:r w:rsidR="00491BB6">
        <w:t>OSA</w:t>
      </w:r>
      <w:r w:rsidR="00B36C36">
        <w:t>)</w:t>
      </w:r>
    </w:p>
    <w:p w14:paraId="262BA931" w14:textId="0655E9A0" w:rsidR="00A72550" w:rsidRPr="007E6B48" w:rsidRDefault="00716263" w:rsidP="009C634D">
      <w:pPr>
        <w:pStyle w:val="ListBullet"/>
      </w:pPr>
      <w:r>
        <w:t>reduced use of medic</w:t>
      </w:r>
      <w:r w:rsidR="0009228A">
        <w:t>ine</w:t>
      </w:r>
      <w:r>
        <w:t xml:space="preserve">s </w:t>
      </w:r>
      <w:r w:rsidR="0009228A">
        <w:t xml:space="preserve">for comorbidities, such as </w:t>
      </w:r>
      <w:r w:rsidR="00DF2062">
        <w:t>for pain and high blood pressure</w:t>
      </w:r>
      <w:r w:rsidR="00A72550" w:rsidRPr="007E6B48">
        <w:t>.</w:t>
      </w:r>
    </w:p>
    <w:p w14:paraId="2DD8BF69" w14:textId="781A1C7D" w:rsidR="004A4490" w:rsidRDefault="00A72550" w:rsidP="00A72550">
      <w:r w:rsidRPr="007E6B48">
        <w:t xml:space="preserve">Although many consumers had not yet experienced the long-term effects of </w:t>
      </w:r>
      <w:r w:rsidR="00087436">
        <w:t>GLP-1</w:t>
      </w:r>
      <w:r w:rsidRPr="007E6B48">
        <w:t xml:space="preserve">s, they expected that the </w:t>
      </w:r>
      <w:r w:rsidR="00865E87">
        <w:t>medicine</w:t>
      </w:r>
      <w:r w:rsidRPr="007E6B48">
        <w:t>s would lead to</w:t>
      </w:r>
      <w:r w:rsidR="004A4490">
        <w:t>:</w:t>
      </w:r>
    </w:p>
    <w:p w14:paraId="7650D835" w14:textId="77777777" w:rsidR="009C634D" w:rsidRDefault="00A72550" w:rsidP="009C634D">
      <w:pPr>
        <w:pStyle w:val="ListBullet"/>
      </w:pPr>
      <w:r w:rsidRPr="007E6B48">
        <w:t>a decreased risk of other conditions, especially</w:t>
      </w:r>
    </w:p>
    <w:p w14:paraId="7155C288" w14:textId="77777777" w:rsidR="009C634D" w:rsidRPr="00993FD3" w:rsidRDefault="00A72550" w:rsidP="00993FD3">
      <w:pPr>
        <w:pStyle w:val="ListBullet2"/>
      </w:pPr>
      <w:r w:rsidRPr="00993FD3">
        <w:t>stroke</w:t>
      </w:r>
    </w:p>
    <w:p w14:paraId="1261EBE8" w14:textId="77777777" w:rsidR="009C634D" w:rsidRPr="00993FD3" w:rsidRDefault="00A72550" w:rsidP="00993FD3">
      <w:pPr>
        <w:pStyle w:val="ListBullet2"/>
      </w:pPr>
      <w:r w:rsidRPr="00993FD3">
        <w:t>cardiovascular events</w:t>
      </w:r>
      <w:r w:rsidR="009C634D" w:rsidRPr="00993FD3">
        <w:t xml:space="preserve"> </w:t>
      </w:r>
    </w:p>
    <w:p w14:paraId="6BE88378" w14:textId="77777777" w:rsidR="009C634D" w:rsidRPr="00993FD3" w:rsidRDefault="009C634D" w:rsidP="00993FD3">
      <w:pPr>
        <w:pStyle w:val="ListBullet2"/>
      </w:pPr>
      <w:r w:rsidRPr="00993FD3">
        <w:t>d</w:t>
      </w:r>
      <w:r w:rsidR="00A72550" w:rsidRPr="00993FD3">
        <w:t>ementia</w:t>
      </w:r>
      <w:r w:rsidRPr="00993FD3">
        <w:t xml:space="preserve"> </w:t>
      </w:r>
    </w:p>
    <w:p w14:paraId="2CAF9C8C" w14:textId="77777777" w:rsidR="009C634D" w:rsidRPr="00993FD3" w:rsidRDefault="00A72550" w:rsidP="00993FD3">
      <w:pPr>
        <w:pStyle w:val="ListBullet2"/>
      </w:pPr>
      <w:r w:rsidRPr="00993FD3">
        <w:t>cancer</w:t>
      </w:r>
      <w:r w:rsidR="009C634D" w:rsidRPr="00993FD3">
        <w:t xml:space="preserve"> </w:t>
      </w:r>
    </w:p>
    <w:p w14:paraId="4913E21E" w14:textId="52088A54" w:rsidR="004A4490" w:rsidRPr="00993FD3" w:rsidRDefault="00A72550" w:rsidP="00993FD3">
      <w:pPr>
        <w:pStyle w:val="ListBullet2"/>
      </w:pPr>
      <w:r w:rsidRPr="00993FD3">
        <w:t>diabetes</w:t>
      </w:r>
      <w:r w:rsidR="009C634D" w:rsidRPr="00993FD3">
        <w:t xml:space="preserve"> </w:t>
      </w:r>
    </w:p>
    <w:p w14:paraId="03EFAC2A" w14:textId="77777777" w:rsidR="009C634D" w:rsidRDefault="00A72550" w:rsidP="009C634D">
      <w:pPr>
        <w:pStyle w:val="ListBullet"/>
      </w:pPr>
      <w:r w:rsidRPr="007E6B48">
        <w:t>fewer joint replacement surgeries</w:t>
      </w:r>
    </w:p>
    <w:p w14:paraId="740673CC" w14:textId="53552169" w:rsidR="00A72550" w:rsidRPr="007E6B48" w:rsidRDefault="00A72550" w:rsidP="009C634D">
      <w:pPr>
        <w:pStyle w:val="ListBullet"/>
      </w:pPr>
      <w:r w:rsidRPr="007E6B48">
        <w:t>less use of the healthcare system because they are healthier.</w:t>
      </w:r>
    </w:p>
    <w:p w14:paraId="1EFCA244" w14:textId="35895135" w:rsidR="009C634D" w:rsidRDefault="009C634D" w:rsidP="008946BA">
      <w:pPr>
        <w:pStyle w:val="Heading2"/>
      </w:pPr>
      <w:r>
        <w:t>Adverse events</w:t>
      </w:r>
    </w:p>
    <w:p w14:paraId="63038443" w14:textId="554814BE" w:rsidR="006178D8" w:rsidRDefault="00BC36E9" w:rsidP="00A72550">
      <w:r>
        <w:t>Some</w:t>
      </w:r>
      <w:r w:rsidR="00CD3690">
        <w:t xml:space="preserve"> consumers reported that they tolerated </w:t>
      </w:r>
      <w:r w:rsidR="00BA11DF">
        <w:t>tirzepatide (</w:t>
      </w:r>
      <w:proofErr w:type="spellStart"/>
      <w:r w:rsidR="00A72550" w:rsidRPr="007E6B48">
        <w:t>Mounjaro</w:t>
      </w:r>
      <w:proofErr w:type="spellEnd"/>
      <w:r w:rsidR="001009D6">
        <w:t>®</w:t>
      </w:r>
      <w:r w:rsidR="00BA11DF">
        <w:t>)</w:t>
      </w:r>
      <w:r w:rsidR="00A72550" w:rsidRPr="007E6B48">
        <w:t xml:space="preserve"> </w:t>
      </w:r>
      <w:r w:rsidR="00CD3690">
        <w:t xml:space="preserve">better than other </w:t>
      </w:r>
      <w:r w:rsidR="00087436">
        <w:t>GLP</w:t>
      </w:r>
      <w:r w:rsidR="00BA11DF">
        <w:noBreakHyphen/>
      </w:r>
      <w:r w:rsidR="00087436">
        <w:t>1</w:t>
      </w:r>
      <w:r w:rsidR="00CD3690">
        <w:t>s</w:t>
      </w:r>
      <w:r w:rsidR="00A72550" w:rsidRPr="007E6B48">
        <w:t xml:space="preserve">, </w:t>
      </w:r>
      <w:r w:rsidR="00CD3690">
        <w:t xml:space="preserve">but people </w:t>
      </w:r>
      <w:r w:rsidR="00A72550" w:rsidRPr="007E6B48">
        <w:t xml:space="preserve">had different experiences with different </w:t>
      </w:r>
      <w:r w:rsidR="00087436">
        <w:t>GLP-1</w:t>
      </w:r>
      <w:r w:rsidR="00A72550" w:rsidRPr="007E6B48">
        <w:t xml:space="preserve">s. </w:t>
      </w:r>
      <w:r>
        <w:t>Many people had only tried one</w:t>
      </w:r>
      <w:r w:rsidR="00CD02BC">
        <w:t> </w:t>
      </w:r>
      <w:r w:rsidR="00087436">
        <w:t>GLP-1</w:t>
      </w:r>
      <w:r>
        <w:t>.</w:t>
      </w:r>
    </w:p>
    <w:p w14:paraId="2C6D477A" w14:textId="5E2D84EF" w:rsidR="00E85CA4" w:rsidRDefault="00BC36E9" w:rsidP="00A72550">
      <w:r>
        <w:t xml:space="preserve">For all </w:t>
      </w:r>
      <w:r w:rsidR="00087436">
        <w:t>GLP-1</w:t>
      </w:r>
      <w:r>
        <w:t>s, c</w:t>
      </w:r>
      <w:r w:rsidR="00E85CA4">
        <w:t>ommon adverse events report</w:t>
      </w:r>
      <w:r w:rsidR="00E16DF5">
        <w:t>ed</w:t>
      </w:r>
      <w:r w:rsidR="00E85CA4">
        <w:t xml:space="preserve"> were:</w:t>
      </w:r>
    </w:p>
    <w:p w14:paraId="11085DAA" w14:textId="0A8B9647" w:rsidR="00EA41CE" w:rsidRDefault="00EA41CE" w:rsidP="00EA41CE">
      <w:pPr>
        <w:pStyle w:val="ListBullet"/>
      </w:pPr>
      <w:r>
        <w:t>constipation (can be significant if not managed)</w:t>
      </w:r>
    </w:p>
    <w:p w14:paraId="08FE0C6A" w14:textId="27DE34BC" w:rsidR="00EA41CE" w:rsidRDefault="00EA41CE" w:rsidP="00EA41CE">
      <w:pPr>
        <w:pStyle w:val="ListBullet"/>
      </w:pPr>
      <w:r>
        <w:t>diarrhoea</w:t>
      </w:r>
    </w:p>
    <w:p w14:paraId="152F0731" w14:textId="30A7ACB7" w:rsidR="00EA41CE" w:rsidRDefault="00EA41CE" w:rsidP="00EA41CE">
      <w:pPr>
        <w:pStyle w:val="ListBullet"/>
      </w:pPr>
      <w:r>
        <w:t>nausea</w:t>
      </w:r>
    </w:p>
    <w:p w14:paraId="48339D9F" w14:textId="4181DAD6" w:rsidR="00EA41CE" w:rsidRDefault="00EA41CE" w:rsidP="00EA41CE">
      <w:pPr>
        <w:pStyle w:val="ListBullet"/>
      </w:pPr>
      <w:r>
        <w:t>reflux</w:t>
      </w:r>
    </w:p>
    <w:p w14:paraId="7F32A6CA" w14:textId="186D8C9B" w:rsidR="00EA41CE" w:rsidRDefault="00EA41CE" w:rsidP="00EA41CE">
      <w:pPr>
        <w:pStyle w:val="ListBullet"/>
      </w:pPr>
      <w:r>
        <w:t>headache</w:t>
      </w:r>
    </w:p>
    <w:p w14:paraId="55357EE7" w14:textId="4FB38AF5" w:rsidR="00EA41CE" w:rsidRDefault="00EA41CE" w:rsidP="00EA41CE">
      <w:pPr>
        <w:pStyle w:val="ListBullet"/>
      </w:pPr>
      <w:r>
        <w:t>fatigue</w:t>
      </w:r>
    </w:p>
    <w:p w14:paraId="766A9AE6" w14:textId="6ED2355A" w:rsidR="00EA41CE" w:rsidRDefault="00EA41CE" w:rsidP="00EA41CE">
      <w:pPr>
        <w:pStyle w:val="ListBullet"/>
      </w:pPr>
      <w:r>
        <w:t>muscle pain.</w:t>
      </w:r>
    </w:p>
    <w:p w14:paraId="263046A9" w14:textId="7A47B86B" w:rsidR="00B61291" w:rsidRDefault="00EA41CE" w:rsidP="00EA41CE">
      <w:r>
        <w:lastRenderedPageBreak/>
        <w:t xml:space="preserve">Most people </w:t>
      </w:r>
      <w:r w:rsidR="00CD3690">
        <w:t xml:space="preserve">reported that these adverse events were </w:t>
      </w:r>
      <w:r w:rsidR="001B53CD">
        <w:t>tolerable</w:t>
      </w:r>
      <w:r w:rsidR="00854CB3" w:rsidRPr="00854CB3">
        <w:t xml:space="preserve"> </w:t>
      </w:r>
      <w:r w:rsidR="00854CB3">
        <w:t>and manageable</w:t>
      </w:r>
      <w:r w:rsidR="001B53CD">
        <w:t>.</w:t>
      </w:r>
      <w:r w:rsidR="00B61291">
        <w:t xml:space="preserve"> Many of the adverse events were associated with starting the medicine or increasing the dose, and </w:t>
      </w:r>
      <w:r w:rsidR="00A71C2D">
        <w:t xml:space="preserve">people generally </w:t>
      </w:r>
      <w:r w:rsidR="00B61291">
        <w:t>felt better after a few days.</w:t>
      </w:r>
    </w:p>
    <w:p w14:paraId="2C977084" w14:textId="5C49EE41" w:rsidR="0062479B" w:rsidRDefault="00EE39CE" w:rsidP="00EA41CE">
      <w:r>
        <w:t xml:space="preserve">Some people reported struggling to drink enough water (because they were not thirsty) and some reported that </w:t>
      </w:r>
      <w:r w:rsidR="0062479B">
        <w:t xml:space="preserve">it was hard to </w:t>
      </w:r>
      <w:r w:rsidR="00FE0368">
        <w:t>meet their dietary requirements</w:t>
      </w:r>
      <w:r w:rsidR="0062479B">
        <w:t xml:space="preserve"> due to the decreased appetite.</w:t>
      </w:r>
    </w:p>
    <w:p w14:paraId="36953F63" w14:textId="034FCD16" w:rsidR="00A72550" w:rsidRPr="007E6B48" w:rsidRDefault="00A72550" w:rsidP="00EA41CE">
      <w:r w:rsidRPr="007E6B48">
        <w:t xml:space="preserve">Many consumers stated that they would </w:t>
      </w:r>
      <w:r w:rsidR="001B53CD">
        <w:t>stop taking</w:t>
      </w:r>
      <w:r w:rsidRPr="007E6B48">
        <w:t xml:space="preserve"> </w:t>
      </w:r>
      <w:r w:rsidR="00087436">
        <w:t>GLP-1</w:t>
      </w:r>
      <w:r w:rsidRPr="007E6B48">
        <w:t>s if they experienced severe adverse events.</w:t>
      </w:r>
      <w:r w:rsidR="00EF4880">
        <w:t xml:space="preserve"> </w:t>
      </w:r>
      <w:r w:rsidR="00843800">
        <w:t>A small number of consumers noted s</w:t>
      </w:r>
      <w:r w:rsidR="00EF4880">
        <w:t>erious adverse events</w:t>
      </w:r>
      <w:r w:rsidR="003B358E">
        <w:t xml:space="preserve"> from using GLP-1s</w:t>
      </w:r>
      <w:r w:rsidR="00EF4880">
        <w:t>.</w:t>
      </w:r>
    </w:p>
    <w:p w14:paraId="16AD908F" w14:textId="77777777" w:rsidR="00A72550" w:rsidRPr="007E6B48" w:rsidRDefault="00A72550" w:rsidP="008946BA">
      <w:pPr>
        <w:pStyle w:val="Heading2"/>
      </w:pPr>
      <w:r w:rsidRPr="007E6B48">
        <w:t>Quality-of-life benefits</w:t>
      </w:r>
    </w:p>
    <w:p w14:paraId="3666D31D" w14:textId="3C0FEC3D" w:rsidR="00390D86" w:rsidRDefault="00D969AB" w:rsidP="00A72550">
      <w:r>
        <w:t>People raised the extreme negative stigma that overweight and obese people faced every</w:t>
      </w:r>
      <w:r w:rsidR="0076018C">
        <w:t xml:space="preserve"> </w:t>
      </w:r>
      <w:r>
        <w:t xml:space="preserve">day, including from some health professionals. </w:t>
      </w:r>
      <w:r w:rsidR="00390D86">
        <w:t>After losing weight, m</w:t>
      </w:r>
      <w:r w:rsidR="00BD38F4">
        <w:t xml:space="preserve">any people </w:t>
      </w:r>
      <w:r w:rsidR="000326BB">
        <w:t>discussed</w:t>
      </w:r>
      <w:r w:rsidR="00BD38F4">
        <w:t xml:space="preserve"> the increases in quality of life </w:t>
      </w:r>
      <w:r w:rsidR="000326BB">
        <w:t>they experienced</w:t>
      </w:r>
      <w:r w:rsidR="00BD38F4">
        <w:t xml:space="preserve">. </w:t>
      </w:r>
      <w:r w:rsidR="00390D86">
        <w:t>People specifically mentioned:</w:t>
      </w:r>
    </w:p>
    <w:p w14:paraId="37C4E603" w14:textId="76347707" w:rsidR="00100F5A" w:rsidRDefault="007B5B41" w:rsidP="00390D86">
      <w:pPr>
        <w:pStyle w:val="ListBullet"/>
      </w:pPr>
      <w:r>
        <w:t xml:space="preserve">being able to </w:t>
      </w:r>
      <w:r w:rsidR="00F242FF">
        <w:t>focus on other parts of their life because of the r</w:t>
      </w:r>
      <w:r w:rsidR="00BD38F4">
        <w:t>educed ‘food noise’</w:t>
      </w:r>
    </w:p>
    <w:p w14:paraId="2F3ACEB3" w14:textId="77777777" w:rsidR="00100F5A" w:rsidRDefault="00A72550" w:rsidP="00100F5A">
      <w:pPr>
        <w:pStyle w:val="ListBullet"/>
      </w:pPr>
      <w:r w:rsidRPr="007E6B48">
        <w:t xml:space="preserve">being happier </w:t>
      </w:r>
    </w:p>
    <w:p w14:paraId="08BC64B3" w14:textId="77777777" w:rsidR="00100F5A" w:rsidRDefault="00A72550" w:rsidP="00100F5A">
      <w:pPr>
        <w:pStyle w:val="ListBullet"/>
      </w:pPr>
      <w:r w:rsidRPr="007E6B48">
        <w:t xml:space="preserve">having a better social life </w:t>
      </w:r>
    </w:p>
    <w:p w14:paraId="383DE5F5" w14:textId="77777777" w:rsidR="00100F5A" w:rsidRDefault="00A72550" w:rsidP="00100F5A">
      <w:pPr>
        <w:pStyle w:val="ListBullet"/>
      </w:pPr>
      <w:r w:rsidRPr="007E6B48">
        <w:t>having more self-confidence</w:t>
      </w:r>
    </w:p>
    <w:p w14:paraId="3072DA67" w14:textId="77777777" w:rsidR="00100F5A" w:rsidRDefault="00A72550" w:rsidP="00100F5A">
      <w:pPr>
        <w:pStyle w:val="ListBullet"/>
      </w:pPr>
      <w:r w:rsidRPr="007E6B48">
        <w:t>sleeping better</w:t>
      </w:r>
    </w:p>
    <w:p w14:paraId="0A9E2B70" w14:textId="054AE7D4" w:rsidR="00100F5A" w:rsidRDefault="00A72550" w:rsidP="00B03FE3">
      <w:pPr>
        <w:pStyle w:val="ListBullet"/>
      </w:pPr>
      <w:r w:rsidRPr="007E6B48">
        <w:t xml:space="preserve">having more energy </w:t>
      </w:r>
      <w:r w:rsidR="007B5B41">
        <w:t xml:space="preserve">and </w:t>
      </w:r>
      <w:r w:rsidRPr="007E6B48">
        <w:t>better mobility</w:t>
      </w:r>
    </w:p>
    <w:p w14:paraId="74F11C15" w14:textId="77777777" w:rsidR="00100F5A" w:rsidRDefault="00A72550" w:rsidP="00100F5A">
      <w:pPr>
        <w:pStyle w:val="ListBullet"/>
      </w:pPr>
      <w:r w:rsidRPr="007E6B48">
        <w:t xml:space="preserve">being more in control of their food intake </w:t>
      </w:r>
    </w:p>
    <w:p w14:paraId="1B8F7E64" w14:textId="4040A0FC" w:rsidR="00A72550" w:rsidRPr="007E6B48" w:rsidRDefault="00A72550" w:rsidP="00100F5A">
      <w:pPr>
        <w:pStyle w:val="ListBullet"/>
      </w:pPr>
      <w:r w:rsidRPr="007E6B48">
        <w:t>being more productive at work.</w:t>
      </w:r>
    </w:p>
    <w:p w14:paraId="6AF07DE5" w14:textId="77777777" w:rsidR="00A72550" w:rsidRPr="007E6B48" w:rsidRDefault="00A72550" w:rsidP="008946BA">
      <w:pPr>
        <w:pStyle w:val="Heading2"/>
      </w:pPr>
      <w:r w:rsidRPr="007E6B48">
        <w:t>Barriers to access</w:t>
      </w:r>
    </w:p>
    <w:p w14:paraId="271AA38B" w14:textId="0F775370" w:rsidR="00A72550" w:rsidRPr="007E6B48" w:rsidRDefault="00A72550" w:rsidP="00A72550">
      <w:r w:rsidRPr="007E6B48">
        <w:t xml:space="preserve">Nearly all submissions stated cost as the major barrier to access, with many consumers making personal or family sacrifices to afford </w:t>
      </w:r>
      <w:r w:rsidR="00087436">
        <w:t>GLP-1</w:t>
      </w:r>
      <w:r w:rsidRPr="007E6B48">
        <w:t xml:space="preserve">s each month. Some were pausing treatment based on when they could afford it or using a lower dose to reduce the cost. </w:t>
      </w:r>
      <w:r w:rsidR="008C345C">
        <w:t>Others</w:t>
      </w:r>
      <w:r w:rsidR="00AB3610">
        <w:t xml:space="preserve"> purchase larger doses </w:t>
      </w:r>
      <w:r w:rsidR="006C5BDB">
        <w:t>than needed</w:t>
      </w:r>
      <w:r w:rsidR="004D11DE">
        <w:t>, store them in the fridge,</w:t>
      </w:r>
      <w:r w:rsidR="006C5BDB">
        <w:t xml:space="preserve"> </w:t>
      </w:r>
      <w:r w:rsidR="00AB3610">
        <w:t xml:space="preserve">and </w:t>
      </w:r>
      <w:r w:rsidR="00CF6D57">
        <w:t xml:space="preserve">use an insulin needle and syringe to draw out smaller amounts, to decrease the cost per dose. </w:t>
      </w:r>
      <w:r w:rsidRPr="007E6B48">
        <w:t xml:space="preserve">Many consumers were anxious about being able to afford </w:t>
      </w:r>
      <w:r w:rsidR="00087436">
        <w:t>GLP-1</w:t>
      </w:r>
      <w:r w:rsidRPr="007E6B48">
        <w:t>s in the long term.</w:t>
      </w:r>
    </w:p>
    <w:p w14:paraId="4400CDF5" w14:textId="09F77847" w:rsidR="00A72550" w:rsidRPr="007E6B48" w:rsidRDefault="00A21D28" w:rsidP="00A72550">
      <w:r>
        <w:t>Some p</w:t>
      </w:r>
      <w:r w:rsidR="00AE1B17">
        <w:t xml:space="preserve">eople reported that they were treated like they were ‘cheating’ by using </w:t>
      </w:r>
      <w:r w:rsidR="00087436">
        <w:t>GLP-1</w:t>
      </w:r>
      <w:r w:rsidR="00AE1B17">
        <w:t>s</w:t>
      </w:r>
      <w:r w:rsidR="00A72550" w:rsidRPr="007E6B48">
        <w:t xml:space="preserve">, and </w:t>
      </w:r>
      <w:r w:rsidR="00AE1B17">
        <w:t>this had</w:t>
      </w:r>
      <w:r w:rsidR="00A72550" w:rsidRPr="007E6B48">
        <w:t xml:space="preserve"> detrimental effect</w:t>
      </w:r>
      <w:r w:rsidR="00AE1B17">
        <w:t>s</w:t>
      </w:r>
      <w:r w:rsidR="00A72550" w:rsidRPr="007E6B48">
        <w:t xml:space="preserve"> on their mental health and social and professional life.</w:t>
      </w:r>
      <w:r>
        <w:t xml:space="preserve"> This </w:t>
      </w:r>
      <w:r w:rsidRPr="001E0B61">
        <w:t>was particular</w:t>
      </w:r>
      <w:r w:rsidR="00A47F27" w:rsidRPr="001E0B61">
        <w:t>ly</w:t>
      </w:r>
      <w:r w:rsidRPr="001E0B61">
        <w:t xml:space="preserve"> apparent when </w:t>
      </w:r>
      <w:r w:rsidR="00BA11DF">
        <w:t>access to semaglutide (Ozempic®) was temporarily</w:t>
      </w:r>
      <w:r w:rsidR="003808BE">
        <w:t xml:space="preserve"> </w:t>
      </w:r>
      <w:r w:rsidR="001E0B61" w:rsidRPr="001E0B61">
        <w:t xml:space="preserve">restricted </w:t>
      </w:r>
      <w:r w:rsidR="00BA11DF">
        <w:t xml:space="preserve">to patients with </w:t>
      </w:r>
      <w:r w:rsidR="005B1A38" w:rsidRPr="001E0B61">
        <w:t>diabetes</w:t>
      </w:r>
      <w:r w:rsidR="00871876">
        <w:t xml:space="preserve"> during periods of medicine shortage</w:t>
      </w:r>
      <w:r w:rsidR="005B1A38" w:rsidRPr="001E0B61">
        <w:t>.</w:t>
      </w:r>
    </w:p>
    <w:p w14:paraId="6DEA0E43" w14:textId="38628EDB" w:rsidR="00A72550" w:rsidRPr="007E6B48" w:rsidRDefault="00A72550" w:rsidP="00A72550">
      <w:r w:rsidRPr="007E6B48">
        <w:t xml:space="preserve">Some consumers flagged that availability of the </w:t>
      </w:r>
      <w:r w:rsidR="00865E87">
        <w:t>medicine</w:t>
      </w:r>
      <w:r w:rsidRPr="007E6B48">
        <w:t>s may become an issue if they are listed on the PBS</w:t>
      </w:r>
      <w:r w:rsidR="002419B7">
        <w:t xml:space="preserve"> because more people would be able access them. Some reported </w:t>
      </w:r>
      <w:r w:rsidR="00CC6D7A">
        <w:t xml:space="preserve">access and </w:t>
      </w:r>
      <w:r w:rsidR="002419B7">
        <w:t xml:space="preserve">supply issues in the past and feared this would </w:t>
      </w:r>
      <w:r w:rsidR="00CC6D7A">
        <w:t xml:space="preserve">happen again </w:t>
      </w:r>
      <w:r w:rsidR="00865E87">
        <w:t>if the medicines were listed on the PBS</w:t>
      </w:r>
      <w:r w:rsidR="002419B7">
        <w:t>.</w:t>
      </w:r>
    </w:p>
    <w:p w14:paraId="47320D83" w14:textId="77777777" w:rsidR="00A72550" w:rsidRPr="007E6B48" w:rsidRDefault="00A72550" w:rsidP="008946BA">
      <w:pPr>
        <w:pStyle w:val="Heading2"/>
      </w:pPr>
      <w:r w:rsidRPr="007E6B48">
        <w:lastRenderedPageBreak/>
        <w:t>PBS eligibility</w:t>
      </w:r>
    </w:p>
    <w:p w14:paraId="663D2717" w14:textId="4E099A95" w:rsidR="00A72550" w:rsidRPr="007E6B48" w:rsidRDefault="00A863E6" w:rsidP="00A72550">
      <w:r>
        <w:t>S</w:t>
      </w:r>
      <w:r w:rsidR="00A72550" w:rsidRPr="007E6B48">
        <w:t xml:space="preserve">ome consumers were anxious about being </w:t>
      </w:r>
      <w:r w:rsidR="00E0275A">
        <w:t>in</w:t>
      </w:r>
      <w:r w:rsidR="00A72550" w:rsidRPr="007E6B48">
        <w:t xml:space="preserve">eligible for </w:t>
      </w:r>
      <w:r w:rsidR="00266423">
        <w:t xml:space="preserve">potential </w:t>
      </w:r>
      <w:r w:rsidR="00A72550" w:rsidRPr="007E6B48">
        <w:t xml:space="preserve">PBS-subsidised </w:t>
      </w:r>
      <w:r w:rsidR="00087436">
        <w:t>GLP-1</w:t>
      </w:r>
      <w:r w:rsidR="00A72550" w:rsidRPr="007E6B48">
        <w:t xml:space="preserve">s since they were no longer living with obesity. </w:t>
      </w:r>
      <w:r w:rsidR="002E16BD">
        <w:t>M</w:t>
      </w:r>
      <w:r w:rsidR="00A72550" w:rsidRPr="007E6B48">
        <w:t xml:space="preserve">any felt they would </w:t>
      </w:r>
      <w:r>
        <w:t xml:space="preserve">not be able to sustain their weight loss without </w:t>
      </w:r>
      <w:r w:rsidR="006F1393">
        <w:t xml:space="preserve">continuing to use </w:t>
      </w:r>
      <w:r w:rsidR="002E16BD">
        <w:t>GLP-1s</w:t>
      </w:r>
      <w:r w:rsidR="00A72550" w:rsidRPr="007E6B48">
        <w:t>.</w:t>
      </w:r>
    </w:p>
    <w:p w14:paraId="531188A7" w14:textId="2BC48E63" w:rsidR="00A72550" w:rsidRPr="007E6B48" w:rsidRDefault="00A72550" w:rsidP="00A72550">
      <w:r w:rsidRPr="007E6B48">
        <w:t xml:space="preserve">Other consumers were concerned that the eligibility criteria would be too relaxed, making it harder for those who really need the </w:t>
      </w:r>
      <w:r w:rsidR="00865E87">
        <w:t>medicines</w:t>
      </w:r>
      <w:r w:rsidRPr="007E6B48">
        <w:t xml:space="preserve"> to access them.</w:t>
      </w:r>
    </w:p>
    <w:p w14:paraId="62B44CB4" w14:textId="77777777" w:rsidR="00A72550" w:rsidRPr="007E6B48" w:rsidRDefault="00A72550" w:rsidP="008946BA">
      <w:pPr>
        <w:pStyle w:val="Heading2"/>
      </w:pPr>
      <w:r w:rsidRPr="007E6B48">
        <w:t>Disadvantages</w:t>
      </w:r>
    </w:p>
    <w:p w14:paraId="39EF6DA8" w14:textId="77777777" w:rsidR="00A72550" w:rsidRPr="007E6B48" w:rsidRDefault="00A72550" w:rsidP="00A72550">
      <w:r w:rsidRPr="007E6B48">
        <w:t>Some consumers preferred a weekly injection over taking tablets daily, whereas others would prefer a tablet if it became available. Some consumers stated that the injection pen could be hard to use.</w:t>
      </w:r>
    </w:p>
    <w:p w14:paraId="7D6918BB" w14:textId="0CFF0C3D" w:rsidR="009B572D" w:rsidRPr="007E6B48" w:rsidRDefault="00A72550" w:rsidP="00A72550">
      <w:r w:rsidRPr="007E6B48">
        <w:t xml:space="preserve">A few consumers flagged that </w:t>
      </w:r>
      <w:r w:rsidR="00087436">
        <w:t>GLP-1</w:t>
      </w:r>
      <w:r w:rsidRPr="007E6B48">
        <w:t xml:space="preserve">s are not a ‘quick fix’ and </w:t>
      </w:r>
      <w:r w:rsidR="0054366B">
        <w:t xml:space="preserve">expressed concern </w:t>
      </w:r>
      <w:r w:rsidRPr="007E6B48">
        <w:t>that some people may depend</w:t>
      </w:r>
      <w:r w:rsidR="0054366B">
        <w:t xml:space="preserve"> too much</w:t>
      </w:r>
      <w:r w:rsidRPr="007E6B48">
        <w:t xml:space="preserve"> on the </w:t>
      </w:r>
      <w:r w:rsidR="0054366B">
        <w:t xml:space="preserve">medicines </w:t>
      </w:r>
      <w:r w:rsidRPr="007E6B48">
        <w:t>and not be committed to lifestyle changes and seeking support.</w:t>
      </w:r>
    </w:p>
    <w:p w14:paraId="347DF87F" w14:textId="4A7C458B" w:rsidR="009B572D" w:rsidRPr="007E6B48" w:rsidRDefault="009B572D" w:rsidP="008946BA">
      <w:pPr>
        <w:pStyle w:val="Heading1"/>
      </w:pPr>
      <w:bookmarkStart w:id="3" w:name="_Toc223082162"/>
      <w:r w:rsidRPr="007E6B48">
        <w:lastRenderedPageBreak/>
        <w:t>Health professional</w:t>
      </w:r>
      <w:r w:rsidR="004D3DC5">
        <w:t xml:space="preserve"> inputs</w:t>
      </w:r>
      <w:bookmarkEnd w:id="3"/>
    </w:p>
    <w:p w14:paraId="480B0912" w14:textId="2838CDCD" w:rsidR="00767604" w:rsidRPr="007E6B48" w:rsidRDefault="00767604" w:rsidP="00767604">
      <w:r w:rsidRPr="007E6B48">
        <w:t>Submissions were received from 25 health professionals.</w:t>
      </w:r>
      <w:r w:rsidR="0063515F" w:rsidRPr="007E6B48">
        <w:t xml:space="preserve"> </w:t>
      </w:r>
      <w:r w:rsidRPr="007E6B48">
        <w:t xml:space="preserve">All submissions were supportive of </w:t>
      </w:r>
      <w:r w:rsidR="0063515F" w:rsidRPr="007E6B48">
        <w:t xml:space="preserve">subsidising </w:t>
      </w:r>
      <w:r w:rsidR="00087436">
        <w:t>GLP-1</w:t>
      </w:r>
      <w:r w:rsidR="0063515F" w:rsidRPr="007E6B48">
        <w:t>s for obesity treatment</w:t>
      </w:r>
      <w:r w:rsidRPr="007E6B48">
        <w:t>.</w:t>
      </w:r>
    </w:p>
    <w:p w14:paraId="6A67C7B6" w14:textId="2C50F827" w:rsidR="00767604" w:rsidRPr="007E6B48" w:rsidRDefault="00767604" w:rsidP="008946BA">
      <w:pPr>
        <w:pStyle w:val="Heading2"/>
      </w:pPr>
      <w:r w:rsidRPr="007E6B48">
        <w:t xml:space="preserve">Reasons for using </w:t>
      </w:r>
      <w:r w:rsidR="00087436">
        <w:t>GLP-1</w:t>
      </w:r>
      <w:r w:rsidRPr="007E6B48">
        <w:t>s</w:t>
      </w:r>
    </w:p>
    <w:p w14:paraId="0B6E8ED0" w14:textId="1B462941" w:rsidR="000C4A2D" w:rsidRDefault="00767604" w:rsidP="00767604">
      <w:r w:rsidRPr="007E6B48">
        <w:t xml:space="preserve">Almost all health professionals reported </w:t>
      </w:r>
      <w:r w:rsidR="00EA15BB">
        <w:t xml:space="preserve">that their patients use </w:t>
      </w:r>
      <w:r w:rsidR="00087436">
        <w:t>GLP-1</w:t>
      </w:r>
      <w:r w:rsidRPr="007E6B48">
        <w:t>s to help manage obesity</w:t>
      </w:r>
      <w:r w:rsidR="000C4A2D">
        <w:t>,</w:t>
      </w:r>
      <w:r w:rsidRPr="007E6B48">
        <w:t xml:space="preserve"> including</w:t>
      </w:r>
      <w:r w:rsidR="000C4A2D">
        <w:t>:</w:t>
      </w:r>
    </w:p>
    <w:p w14:paraId="110BE120" w14:textId="77777777" w:rsidR="000C4A2D" w:rsidRDefault="00767604" w:rsidP="000C4A2D">
      <w:pPr>
        <w:pStyle w:val="ListBullet"/>
      </w:pPr>
      <w:r w:rsidRPr="007E6B48">
        <w:t>severe obesity associated with serious medical conditions and disability</w:t>
      </w:r>
    </w:p>
    <w:p w14:paraId="78FF4A5F" w14:textId="77777777" w:rsidR="000C4A2D" w:rsidRDefault="00767604" w:rsidP="000C4A2D">
      <w:pPr>
        <w:pStyle w:val="ListBullet"/>
      </w:pPr>
      <w:r w:rsidRPr="007E6B48">
        <w:t xml:space="preserve">as a bridge to joint replacement </w:t>
      </w:r>
      <w:r w:rsidR="000C4A2D">
        <w:t xml:space="preserve">or other </w:t>
      </w:r>
      <w:r w:rsidRPr="007E6B48">
        <w:t xml:space="preserve">surgery. </w:t>
      </w:r>
    </w:p>
    <w:p w14:paraId="2A657898" w14:textId="0CEF11F5" w:rsidR="00767604" w:rsidRPr="007E6B48" w:rsidRDefault="00041507" w:rsidP="000C4A2D">
      <w:r>
        <w:t>Some</w:t>
      </w:r>
      <w:r w:rsidRPr="007E6B48">
        <w:t xml:space="preserve"> </w:t>
      </w:r>
      <w:r w:rsidR="00767604" w:rsidRPr="007E6B48">
        <w:t xml:space="preserve">submissions discussed </w:t>
      </w:r>
      <w:r w:rsidR="00213428">
        <w:t>use in children and adolescents</w:t>
      </w:r>
      <w:r w:rsidR="00A368E2">
        <w:t>.</w:t>
      </w:r>
      <w:r w:rsidR="001C6D0F">
        <w:t xml:space="preserve"> </w:t>
      </w:r>
      <w:r w:rsidR="00A368E2">
        <w:t>O</w:t>
      </w:r>
      <w:r w:rsidR="001C6D0F">
        <w:t xml:space="preserve">thers </w:t>
      </w:r>
      <w:r w:rsidR="004F7F3D">
        <w:t>mentioned</w:t>
      </w:r>
      <w:r w:rsidR="00767604" w:rsidRPr="007E6B48">
        <w:t xml:space="preserve"> that </w:t>
      </w:r>
      <w:r w:rsidR="00087436">
        <w:t>GLP-</w:t>
      </w:r>
      <w:r w:rsidR="006C105F">
        <w:t>‍</w:t>
      </w:r>
      <w:r w:rsidR="00087436">
        <w:t>1</w:t>
      </w:r>
      <w:r w:rsidR="00767604" w:rsidRPr="007E6B48">
        <w:t xml:space="preserve">s </w:t>
      </w:r>
      <w:r w:rsidR="009B36ED">
        <w:t>could be</w:t>
      </w:r>
      <w:r w:rsidR="009B36ED" w:rsidRPr="007E6B48">
        <w:t xml:space="preserve"> </w:t>
      </w:r>
      <w:r w:rsidR="00767604" w:rsidRPr="007E6B48">
        <w:t>effective in controlling alcohol use disorder</w:t>
      </w:r>
      <w:r w:rsidR="00A368E2">
        <w:t xml:space="preserve"> in some patients</w:t>
      </w:r>
      <w:r w:rsidR="00767604" w:rsidRPr="007E6B48">
        <w:t>.</w:t>
      </w:r>
    </w:p>
    <w:p w14:paraId="5F525B20" w14:textId="4A908E43" w:rsidR="007C5545" w:rsidRDefault="00767604" w:rsidP="00767604">
      <w:r w:rsidRPr="007E6B48">
        <w:t xml:space="preserve">Health professionals noted that weight loss </w:t>
      </w:r>
      <w:r w:rsidR="001B0C8F">
        <w:t>helps to alleviate</w:t>
      </w:r>
      <w:r w:rsidRPr="007E6B48">
        <w:t xml:space="preserve"> symptoms of weight-related comorbidities such as</w:t>
      </w:r>
      <w:r w:rsidR="007C5545">
        <w:t>:</w:t>
      </w:r>
    </w:p>
    <w:p w14:paraId="32A8D143" w14:textId="77777777" w:rsidR="007C5545" w:rsidRDefault="00767604" w:rsidP="007C5545">
      <w:pPr>
        <w:pStyle w:val="ListBullet"/>
      </w:pPr>
      <w:r w:rsidRPr="007E6B48">
        <w:t>cardiovascular disease</w:t>
      </w:r>
    </w:p>
    <w:p w14:paraId="012BF6F3" w14:textId="00A0F3B0" w:rsidR="007C5545" w:rsidRDefault="00767604" w:rsidP="005C021E">
      <w:pPr>
        <w:pStyle w:val="ListBullet"/>
      </w:pPr>
      <w:r w:rsidRPr="007E6B48">
        <w:t>pre-diabetes</w:t>
      </w:r>
      <w:r w:rsidR="005C021E">
        <w:t xml:space="preserve">, </w:t>
      </w:r>
      <w:r w:rsidRPr="007E6B48">
        <w:t>insulin resistance and type</w:t>
      </w:r>
      <w:r w:rsidR="00A87054">
        <w:t> </w:t>
      </w:r>
      <w:r w:rsidRPr="007E6B48">
        <w:t>2 diabetes</w:t>
      </w:r>
    </w:p>
    <w:p w14:paraId="55C65CBB" w14:textId="21E8872F" w:rsidR="007C5545" w:rsidRDefault="00213428" w:rsidP="007C5545">
      <w:pPr>
        <w:pStyle w:val="ListBullet"/>
      </w:pPr>
      <w:r>
        <w:t>OSA</w:t>
      </w:r>
    </w:p>
    <w:p w14:paraId="185CEAA8" w14:textId="2CABDF53" w:rsidR="007C5545" w:rsidRDefault="00767604" w:rsidP="007C5545">
      <w:pPr>
        <w:pStyle w:val="ListBullet"/>
      </w:pPr>
      <w:r w:rsidRPr="007E6B48">
        <w:t>PCOS</w:t>
      </w:r>
    </w:p>
    <w:p w14:paraId="4A6AB70C" w14:textId="77777777" w:rsidR="007C5545" w:rsidRDefault="00767604" w:rsidP="007C5545">
      <w:pPr>
        <w:pStyle w:val="ListBullet"/>
      </w:pPr>
      <w:r w:rsidRPr="007E6B48">
        <w:t>liver disease</w:t>
      </w:r>
    </w:p>
    <w:p w14:paraId="11D03324" w14:textId="60AF916C" w:rsidR="00767604" w:rsidRPr="007E6B48" w:rsidRDefault="00767604" w:rsidP="007C5545">
      <w:pPr>
        <w:pStyle w:val="ListBullet"/>
      </w:pPr>
      <w:r w:rsidRPr="007E6B48">
        <w:t>depression.</w:t>
      </w:r>
    </w:p>
    <w:p w14:paraId="7B46B056" w14:textId="77777777" w:rsidR="00767604" w:rsidRPr="007E6B48" w:rsidRDefault="00767604" w:rsidP="008946BA">
      <w:pPr>
        <w:pStyle w:val="Heading2"/>
      </w:pPr>
      <w:r w:rsidRPr="007E6B48">
        <w:t>Dosing, duration of use and treatment regimen</w:t>
      </w:r>
    </w:p>
    <w:p w14:paraId="61E7BF49" w14:textId="7140FDCF" w:rsidR="00767604" w:rsidRPr="007E6B48" w:rsidRDefault="00767604" w:rsidP="00767604">
      <w:r w:rsidRPr="007E6B48">
        <w:t xml:space="preserve">Health professionals noted that some patients will require </w:t>
      </w:r>
      <w:r w:rsidR="00087436">
        <w:t>GLP-1</w:t>
      </w:r>
      <w:r w:rsidRPr="007E6B48">
        <w:t>s long term if they are insulin resistant.</w:t>
      </w:r>
    </w:p>
    <w:p w14:paraId="780B3688" w14:textId="77777777" w:rsidR="00767604" w:rsidRPr="007E6B48" w:rsidRDefault="00767604" w:rsidP="008946BA">
      <w:pPr>
        <w:pStyle w:val="Heading2"/>
      </w:pPr>
      <w:r w:rsidRPr="007E6B48">
        <w:t>Other interventions tried</w:t>
      </w:r>
    </w:p>
    <w:p w14:paraId="6137FA10" w14:textId="280F769A" w:rsidR="00767604" w:rsidRPr="007E6B48" w:rsidRDefault="00767604" w:rsidP="00767604">
      <w:r w:rsidRPr="007E6B48">
        <w:t xml:space="preserve">Many submissions noted that most patients use </w:t>
      </w:r>
      <w:r w:rsidR="003A385D">
        <w:t>lifestyle changes</w:t>
      </w:r>
      <w:r w:rsidRPr="007E6B48">
        <w:t xml:space="preserve">, especially dietary changes, as a prior treatment to </w:t>
      </w:r>
      <w:r w:rsidR="00087436">
        <w:t>GLP-1</w:t>
      </w:r>
      <w:r w:rsidRPr="007E6B48">
        <w:t xml:space="preserve">s, including with </w:t>
      </w:r>
      <w:r w:rsidR="002C4946">
        <w:t xml:space="preserve">guidance from </w:t>
      </w:r>
      <w:r w:rsidR="00380AC6">
        <w:t xml:space="preserve">allied health </w:t>
      </w:r>
      <w:r w:rsidR="002C4946">
        <w:t>professionals</w:t>
      </w:r>
      <w:r w:rsidRPr="007E6B48">
        <w:t xml:space="preserve"> </w:t>
      </w:r>
      <w:r w:rsidR="002C4946">
        <w:t xml:space="preserve">such as </w:t>
      </w:r>
      <w:r w:rsidRPr="007E6B48">
        <w:t xml:space="preserve">dietitians and exercise physiologists. Many noted that other </w:t>
      </w:r>
      <w:r w:rsidR="0000623B">
        <w:t>medicine</w:t>
      </w:r>
      <w:r w:rsidRPr="007E6B48">
        <w:t xml:space="preserve">s are commonly tried before using </w:t>
      </w:r>
      <w:r w:rsidR="00087436">
        <w:t>GLP-1</w:t>
      </w:r>
      <w:r w:rsidRPr="007E6B48">
        <w:t>s</w:t>
      </w:r>
      <w:r w:rsidR="0000623B">
        <w:t>, such as metformin</w:t>
      </w:r>
      <w:r w:rsidRPr="007E6B48">
        <w:t>.</w:t>
      </w:r>
    </w:p>
    <w:p w14:paraId="3B811EFD" w14:textId="77777777" w:rsidR="00767604" w:rsidRPr="007E6B48" w:rsidRDefault="00767604" w:rsidP="008946BA">
      <w:pPr>
        <w:pStyle w:val="Heading2"/>
      </w:pPr>
      <w:r w:rsidRPr="007E6B48">
        <w:t>Wraparound care</w:t>
      </w:r>
    </w:p>
    <w:p w14:paraId="638EAE51" w14:textId="7445C8A2" w:rsidR="00767604" w:rsidRDefault="00767604" w:rsidP="00767604">
      <w:r w:rsidRPr="007E6B48">
        <w:t>Submissions highlighted the importance of supportive wraparound care to ensure patients receive adequate counselling and support to offset risks. This includes a multidisciplinary team comprising a GP, nurse, physiotherapist, exercise physiologist</w:t>
      </w:r>
      <w:r w:rsidR="00A22576">
        <w:t>,</w:t>
      </w:r>
      <w:r w:rsidRPr="007E6B48">
        <w:t xml:space="preserve"> dietitian</w:t>
      </w:r>
      <w:r w:rsidR="00A22576">
        <w:t xml:space="preserve"> </w:t>
      </w:r>
      <w:r w:rsidR="00C90142">
        <w:t xml:space="preserve">and </w:t>
      </w:r>
      <w:r w:rsidR="00EE4ADF">
        <w:t>psychologist</w:t>
      </w:r>
      <w:r w:rsidRPr="007E6B48">
        <w:t>.</w:t>
      </w:r>
    </w:p>
    <w:p w14:paraId="4BA076F7" w14:textId="418A374C" w:rsidR="005D343C" w:rsidRPr="007E6B48" w:rsidRDefault="005D343C" w:rsidP="00767604">
      <w:r w:rsidRPr="007E6B48">
        <w:t>Many submissions noted the importance of accompanying nutritional therapy, physical activity</w:t>
      </w:r>
      <w:r w:rsidR="00BC1593">
        <w:t>,</w:t>
      </w:r>
      <w:r w:rsidRPr="007E6B48">
        <w:t xml:space="preserve"> behaviour modification </w:t>
      </w:r>
      <w:r w:rsidR="00BC1593">
        <w:t>and cognitive</w:t>
      </w:r>
      <w:r w:rsidR="006F33E4">
        <w:t xml:space="preserve"> behavioural</w:t>
      </w:r>
      <w:r w:rsidR="00BC1593">
        <w:t xml:space="preserve"> therapy </w:t>
      </w:r>
      <w:r w:rsidRPr="007E6B48">
        <w:t>alongside</w:t>
      </w:r>
      <w:r>
        <w:t xml:space="preserve"> medicine use</w:t>
      </w:r>
      <w:r w:rsidRPr="007E6B48">
        <w:t>.</w:t>
      </w:r>
    </w:p>
    <w:p w14:paraId="73C25488" w14:textId="22B7465B" w:rsidR="00767604" w:rsidRPr="007E6B48" w:rsidRDefault="00767604" w:rsidP="008946BA">
      <w:pPr>
        <w:pStyle w:val="Heading2"/>
      </w:pPr>
      <w:r w:rsidRPr="007E6B48">
        <w:lastRenderedPageBreak/>
        <w:t>Clinical benefits</w:t>
      </w:r>
    </w:p>
    <w:p w14:paraId="5FEB7140" w14:textId="3E415113" w:rsidR="002C5708" w:rsidRDefault="00767604" w:rsidP="00767604">
      <w:r w:rsidRPr="007E6B48">
        <w:t xml:space="preserve">Health professionals stated that </w:t>
      </w:r>
      <w:r w:rsidR="00087436">
        <w:t>GLP-1</w:t>
      </w:r>
      <w:r w:rsidRPr="007E6B48">
        <w:t xml:space="preserve">s are effective for </w:t>
      </w:r>
      <w:r w:rsidR="00A15137">
        <w:t xml:space="preserve">weight loss for </w:t>
      </w:r>
      <w:r w:rsidRPr="007E6B48">
        <w:t>most people and that weight loss brings many benefits to consumers, carers and the healthcare system. Clinical benefits include</w:t>
      </w:r>
      <w:r w:rsidR="002C5708">
        <w:t>:</w:t>
      </w:r>
    </w:p>
    <w:p w14:paraId="591D1C15" w14:textId="77777777" w:rsidR="002C5708" w:rsidRDefault="00767604" w:rsidP="002C5708">
      <w:pPr>
        <w:pStyle w:val="ListBullet"/>
      </w:pPr>
      <w:r w:rsidRPr="007E6B48">
        <w:t>reduced lipids</w:t>
      </w:r>
    </w:p>
    <w:p w14:paraId="4F4EC89F" w14:textId="77777777" w:rsidR="00CB59BA" w:rsidRDefault="00767604" w:rsidP="002C5708">
      <w:pPr>
        <w:pStyle w:val="ListBullet"/>
      </w:pPr>
      <w:r w:rsidRPr="007E6B48">
        <w:t>lower blood pressure</w:t>
      </w:r>
    </w:p>
    <w:p w14:paraId="5CDB403D" w14:textId="0F2CFDEF" w:rsidR="002C5708" w:rsidRDefault="00CB59BA" w:rsidP="002C5708">
      <w:pPr>
        <w:pStyle w:val="ListBullet"/>
      </w:pPr>
      <w:r>
        <w:t xml:space="preserve">lower </w:t>
      </w:r>
      <w:r w:rsidR="00767604" w:rsidRPr="007E6B48">
        <w:t>cardiovascular risk</w:t>
      </w:r>
    </w:p>
    <w:p w14:paraId="7E447AB5" w14:textId="056B9A86" w:rsidR="00C9565E" w:rsidRDefault="00C9565E" w:rsidP="00C9565E">
      <w:pPr>
        <w:pStyle w:val="ListBullet"/>
      </w:pPr>
      <w:r w:rsidRPr="007E6B48">
        <w:t>reduced joint strain</w:t>
      </w:r>
    </w:p>
    <w:p w14:paraId="1F2C354D" w14:textId="73AF37AC" w:rsidR="00CB59BA" w:rsidRDefault="00CB59BA" w:rsidP="00CB59BA">
      <w:pPr>
        <w:pStyle w:val="ListBullet"/>
      </w:pPr>
      <w:r w:rsidRPr="007E6B48">
        <w:t>increased mobility</w:t>
      </w:r>
    </w:p>
    <w:p w14:paraId="2B149D5D" w14:textId="77777777" w:rsidR="002C5708" w:rsidRDefault="00767604" w:rsidP="002C5708">
      <w:pPr>
        <w:pStyle w:val="ListBullet"/>
      </w:pPr>
      <w:r w:rsidRPr="007E6B48">
        <w:t>reduced pain from osteoarthritis</w:t>
      </w:r>
    </w:p>
    <w:p w14:paraId="019070F3" w14:textId="65CAC4FB" w:rsidR="002C5708" w:rsidRDefault="00767604" w:rsidP="002C5708">
      <w:pPr>
        <w:pStyle w:val="ListBullet"/>
      </w:pPr>
      <w:r w:rsidRPr="007E6B48">
        <w:t>reduced sleep apnoea</w:t>
      </w:r>
    </w:p>
    <w:p w14:paraId="07D4EEB3" w14:textId="77777777" w:rsidR="002C5708" w:rsidRDefault="00767604" w:rsidP="002C5708">
      <w:pPr>
        <w:pStyle w:val="ListBullet"/>
      </w:pPr>
      <w:r w:rsidRPr="007E6B48">
        <w:t>prevented or decreased severity of conditions such as</w:t>
      </w:r>
    </w:p>
    <w:p w14:paraId="443B89F3" w14:textId="77777777" w:rsidR="00D8351C" w:rsidRDefault="00767604" w:rsidP="00993FD3">
      <w:pPr>
        <w:pStyle w:val="ListBullet2"/>
      </w:pPr>
      <w:r w:rsidRPr="007E6B48">
        <w:t>diabetes</w:t>
      </w:r>
    </w:p>
    <w:p w14:paraId="39E85939" w14:textId="77777777" w:rsidR="00D8351C" w:rsidRDefault="00767604" w:rsidP="00993FD3">
      <w:pPr>
        <w:pStyle w:val="ListBullet2"/>
      </w:pPr>
      <w:r w:rsidRPr="007E6B48">
        <w:t>cancer</w:t>
      </w:r>
    </w:p>
    <w:p w14:paraId="3FB5E8B8" w14:textId="77777777" w:rsidR="00D8351C" w:rsidRDefault="00767604" w:rsidP="00993FD3">
      <w:pPr>
        <w:pStyle w:val="ListBullet2"/>
      </w:pPr>
      <w:r w:rsidRPr="007E6B48">
        <w:t>ischaemic heart disease</w:t>
      </w:r>
    </w:p>
    <w:p w14:paraId="2E37711D" w14:textId="77777777" w:rsidR="00D8351C" w:rsidRDefault="00767604" w:rsidP="00993FD3">
      <w:pPr>
        <w:pStyle w:val="ListBullet2"/>
      </w:pPr>
      <w:r w:rsidRPr="007E6B48">
        <w:t xml:space="preserve">dementia </w:t>
      </w:r>
    </w:p>
    <w:p w14:paraId="39BC08B6" w14:textId="6086CB70" w:rsidR="00D8351C" w:rsidRDefault="00767604" w:rsidP="00993FD3">
      <w:pPr>
        <w:pStyle w:val="ListBullet2"/>
      </w:pPr>
      <w:r w:rsidRPr="007E6B48">
        <w:t>kidney disease</w:t>
      </w:r>
    </w:p>
    <w:p w14:paraId="56E5FB75" w14:textId="77777777" w:rsidR="00D8351C" w:rsidRDefault="00767604" w:rsidP="002C5708">
      <w:pPr>
        <w:pStyle w:val="ListBullet"/>
      </w:pPr>
      <w:r w:rsidRPr="007E6B48">
        <w:t>allowing other necessary treatments and surgeries to occur</w:t>
      </w:r>
    </w:p>
    <w:p w14:paraId="05A6FFBE" w14:textId="0FF73200" w:rsidR="00D8351C" w:rsidRDefault="00767604" w:rsidP="002C5708">
      <w:pPr>
        <w:pStyle w:val="ListBullet"/>
      </w:pPr>
      <w:r w:rsidRPr="007E6B48">
        <w:t xml:space="preserve">improved effectiveness of comorbidity treatments, such as </w:t>
      </w:r>
      <w:r w:rsidR="00017091" w:rsidRPr="00017091">
        <w:t xml:space="preserve">continuous positive airway pressure </w:t>
      </w:r>
      <w:r w:rsidR="00017091">
        <w:t>(</w:t>
      </w:r>
      <w:r w:rsidRPr="007E6B48">
        <w:t>CPAP</w:t>
      </w:r>
      <w:r w:rsidR="00017091">
        <w:t>)</w:t>
      </w:r>
      <w:r w:rsidR="003C3E84">
        <w:t xml:space="preserve"> for OSA</w:t>
      </w:r>
    </w:p>
    <w:p w14:paraId="04E4DC97" w14:textId="77777777" w:rsidR="00D8351C" w:rsidRDefault="00767604" w:rsidP="002C5708">
      <w:pPr>
        <w:pStyle w:val="ListBullet"/>
      </w:pPr>
      <w:r w:rsidRPr="007E6B48">
        <w:t>reduced polypharmacy and medication burden</w:t>
      </w:r>
    </w:p>
    <w:p w14:paraId="0131CFF5" w14:textId="5AEF5024" w:rsidR="00767604" w:rsidRPr="007E6B48" w:rsidRDefault="00767604" w:rsidP="002C5708">
      <w:pPr>
        <w:pStyle w:val="ListBullet"/>
      </w:pPr>
      <w:r w:rsidRPr="007E6B48">
        <w:t>decreased alcohol intake and smoking.</w:t>
      </w:r>
    </w:p>
    <w:p w14:paraId="760D1C72" w14:textId="77777777" w:rsidR="00703F1D" w:rsidRDefault="00703F1D" w:rsidP="008946BA">
      <w:pPr>
        <w:pStyle w:val="Heading2"/>
      </w:pPr>
      <w:r>
        <w:t>A</w:t>
      </w:r>
      <w:r w:rsidRPr="007E6B48">
        <w:t xml:space="preserve">dverse events </w:t>
      </w:r>
    </w:p>
    <w:p w14:paraId="6F03A8DE" w14:textId="1354FF2E" w:rsidR="00767604" w:rsidRDefault="00993FD3" w:rsidP="00767604">
      <w:r>
        <w:t>Health professionals were aware of a</w:t>
      </w:r>
      <w:r w:rsidR="00767604" w:rsidRPr="007E6B48">
        <w:t xml:space="preserve">dverse events </w:t>
      </w:r>
      <w:r>
        <w:t xml:space="preserve">such as </w:t>
      </w:r>
      <w:r w:rsidR="00767604" w:rsidRPr="007E6B48">
        <w:t xml:space="preserve">occasional diarrhoea, some nausea and not drinking enough water (as patients </w:t>
      </w:r>
      <w:r w:rsidR="00BA11DF">
        <w:t>were</w:t>
      </w:r>
      <w:r w:rsidR="00767604" w:rsidRPr="007E6B48">
        <w:t xml:space="preserve"> not thirsty). </w:t>
      </w:r>
      <w:r w:rsidR="007A11DF">
        <w:t>They considered the gastrointestinal side effects</w:t>
      </w:r>
      <w:r w:rsidR="00C253AF">
        <w:t xml:space="preserve"> that occur </w:t>
      </w:r>
      <w:r w:rsidR="00D801B8">
        <w:t>when</w:t>
      </w:r>
      <w:r w:rsidR="00C253AF">
        <w:t xml:space="preserve"> starting treatment</w:t>
      </w:r>
      <w:r w:rsidR="007A11DF">
        <w:t xml:space="preserve"> to </w:t>
      </w:r>
      <w:r w:rsidR="005D64EE">
        <w:t>often be short</w:t>
      </w:r>
      <w:r w:rsidR="00794C71">
        <w:t xml:space="preserve"> term and</w:t>
      </w:r>
      <w:r w:rsidR="007A11DF">
        <w:t xml:space="preserve"> </w:t>
      </w:r>
      <w:r w:rsidR="005D1C66">
        <w:t>manageable</w:t>
      </w:r>
      <w:r w:rsidR="00711EF7">
        <w:t xml:space="preserve"> </w:t>
      </w:r>
      <w:r w:rsidR="002B40CF">
        <w:t>through dose adjustments</w:t>
      </w:r>
      <w:r w:rsidR="005D1C66">
        <w:t xml:space="preserve">. </w:t>
      </w:r>
      <w:r w:rsidR="00E620BA">
        <w:t>They were also aware of possible r</w:t>
      </w:r>
      <w:r w:rsidR="00767604" w:rsidRPr="007E6B48">
        <w:t>are but serious side effects includ</w:t>
      </w:r>
      <w:r w:rsidR="00D801B8">
        <w:t>ing</w:t>
      </w:r>
      <w:r w:rsidR="00767604" w:rsidRPr="007E6B48">
        <w:t xml:space="preserve"> gall bladder disease, pancreatitis and gastrointestinal obstruction.</w:t>
      </w:r>
    </w:p>
    <w:p w14:paraId="71E4B7CD" w14:textId="1F3DAF1A" w:rsidR="00E045C6" w:rsidRDefault="00E045C6" w:rsidP="00E045C6">
      <w:pPr>
        <w:pStyle w:val="Heading2"/>
      </w:pPr>
      <w:r>
        <w:t>Quality use of medicines</w:t>
      </w:r>
    </w:p>
    <w:p w14:paraId="2329E1BE" w14:textId="77777777" w:rsidR="0076656B" w:rsidRPr="0076656B" w:rsidRDefault="00E045C6" w:rsidP="00E045C6">
      <w:r w:rsidRPr="0076656B">
        <w:t>Some submissions noted that</w:t>
      </w:r>
      <w:r w:rsidR="006568BB" w:rsidRPr="0076656B">
        <w:t xml:space="preserve"> some patients were</w:t>
      </w:r>
      <w:r w:rsidR="0076656B" w:rsidRPr="0076656B">
        <w:t>:</w:t>
      </w:r>
    </w:p>
    <w:p w14:paraId="560C3CEA" w14:textId="77777777" w:rsidR="0076656B" w:rsidRPr="0076656B" w:rsidRDefault="006568BB" w:rsidP="0076656B">
      <w:pPr>
        <w:pStyle w:val="ListBullet"/>
      </w:pPr>
      <w:r w:rsidRPr="0076656B">
        <w:t>not taking dose</w:t>
      </w:r>
      <w:r w:rsidR="00B417C6" w:rsidRPr="0076656B">
        <w:t>s as</w:t>
      </w:r>
      <w:r w:rsidRPr="0076656B">
        <w:t xml:space="preserve"> prescribed</w:t>
      </w:r>
    </w:p>
    <w:p w14:paraId="4DD4DBAA" w14:textId="77777777" w:rsidR="0076656B" w:rsidRPr="0076656B" w:rsidRDefault="006568BB" w:rsidP="0076656B">
      <w:pPr>
        <w:pStyle w:val="ListBullet"/>
      </w:pPr>
      <w:r w:rsidRPr="0076656B">
        <w:t xml:space="preserve">buying </w:t>
      </w:r>
      <w:r w:rsidR="00762E8F" w:rsidRPr="0076656B">
        <w:t xml:space="preserve">large </w:t>
      </w:r>
      <w:r w:rsidR="00B417C6" w:rsidRPr="0076656B">
        <w:t>dosage pens</w:t>
      </w:r>
      <w:r w:rsidRPr="0076656B">
        <w:t xml:space="preserve"> and using </w:t>
      </w:r>
      <w:r w:rsidR="00B417C6" w:rsidRPr="0076656B">
        <w:t xml:space="preserve">a </w:t>
      </w:r>
      <w:r w:rsidRPr="0076656B">
        <w:t xml:space="preserve">syringe to make </w:t>
      </w:r>
      <w:r w:rsidR="00B417C6" w:rsidRPr="0076656B">
        <w:t xml:space="preserve">the pen </w:t>
      </w:r>
      <w:r w:rsidRPr="0076656B">
        <w:t>last longer</w:t>
      </w:r>
    </w:p>
    <w:p w14:paraId="4EC0BE4C" w14:textId="77777777" w:rsidR="0076656B" w:rsidRPr="0076656B" w:rsidRDefault="0076656B" w:rsidP="0076656B">
      <w:pPr>
        <w:pStyle w:val="ListBullet"/>
      </w:pPr>
      <w:r w:rsidRPr="0076656B">
        <w:t>pausing treatment based on when they could afford it</w:t>
      </w:r>
      <w:r w:rsidR="00B417C6" w:rsidRPr="0076656B">
        <w:t xml:space="preserve">. </w:t>
      </w:r>
    </w:p>
    <w:p w14:paraId="3920BE64" w14:textId="6F7182D2" w:rsidR="00E045C6" w:rsidRDefault="00B417C6" w:rsidP="0076656B">
      <w:r w:rsidRPr="0076656B">
        <w:t>These quality use of medicine</w:t>
      </w:r>
      <w:r w:rsidR="00DD79C7">
        <w:t>s</w:t>
      </w:r>
      <w:r w:rsidRPr="0076656B">
        <w:t xml:space="preserve"> issues were directly related to patients aiming to reduce </w:t>
      </w:r>
      <w:r w:rsidR="0076656B">
        <w:t xml:space="preserve">the </w:t>
      </w:r>
      <w:r w:rsidRPr="0076656B">
        <w:t xml:space="preserve">cost of the </w:t>
      </w:r>
      <w:r w:rsidR="00762E8F" w:rsidRPr="0076656B">
        <w:t xml:space="preserve">medicine, </w:t>
      </w:r>
      <w:r w:rsidR="00E17269">
        <w:t xml:space="preserve">which was identified as </w:t>
      </w:r>
      <w:r w:rsidR="00762E8F" w:rsidRPr="0076656B">
        <w:t xml:space="preserve">a significant </w:t>
      </w:r>
      <w:r w:rsidR="00762E8F" w:rsidRPr="00C146E0">
        <w:t>barrier to access</w:t>
      </w:r>
      <w:r w:rsidRPr="0076656B">
        <w:t>.</w:t>
      </w:r>
      <w:r w:rsidR="00E045C6">
        <w:t xml:space="preserve"> </w:t>
      </w:r>
    </w:p>
    <w:p w14:paraId="7A7235B2" w14:textId="77777777" w:rsidR="00767604" w:rsidRPr="007E6B48" w:rsidRDefault="00767604" w:rsidP="008946BA">
      <w:pPr>
        <w:pStyle w:val="Heading2"/>
      </w:pPr>
      <w:r w:rsidRPr="007E6B48">
        <w:lastRenderedPageBreak/>
        <w:t>Quality-of-life benefits</w:t>
      </w:r>
    </w:p>
    <w:p w14:paraId="4965EC34" w14:textId="54689A28" w:rsidR="00C91A20" w:rsidRDefault="00767604" w:rsidP="00767604">
      <w:r w:rsidRPr="007E6B48">
        <w:t xml:space="preserve">Submissions </w:t>
      </w:r>
      <w:r w:rsidR="00DD79C7">
        <w:t xml:space="preserve">from health professionals </w:t>
      </w:r>
      <w:r w:rsidRPr="007E6B48">
        <w:t>mentioned similar quality-of-life benefits as</w:t>
      </w:r>
      <w:r w:rsidR="00C91A20">
        <w:t xml:space="preserve"> the</w:t>
      </w:r>
      <w:r w:rsidRPr="007E6B48">
        <w:t xml:space="preserve"> consumer</w:t>
      </w:r>
      <w:r w:rsidR="00C91A20">
        <w:t xml:space="preserve"> submission</w:t>
      </w:r>
      <w:r w:rsidR="00DD79C7">
        <w:t>s</w:t>
      </w:r>
      <w:r w:rsidRPr="007E6B48">
        <w:t>, including</w:t>
      </w:r>
      <w:r w:rsidR="00C91A20">
        <w:t>:</w:t>
      </w:r>
    </w:p>
    <w:p w14:paraId="792301A7" w14:textId="77777777" w:rsidR="00C91A20" w:rsidRDefault="00767604" w:rsidP="00C91A20">
      <w:pPr>
        <w:pStyle w:val="ListBullet"/>
      </w:pPr>
      <w:r w:rsidRPr="007E6B48">
        <w:t>better mental health and wellbeing</w:t>
      </w:r>
    </w:p>
    <w:p w14:paraId="2F665953" w14:textId="77777777" w:rsidR="00C91A20" w:rsidRDefault="00767604" w:rsidP="00C91A20">
      <w:pPr>
        <w:pStyle w:val="ListBullet"/>
      </w:pPr>
      <w:r w:rsidRPr="007E6B48">
        <w:t>a return to the workforce or school</w:t>
      </w:r>
    </w:p>
    <w:p w14:paraId="10FB6601" w14:textId="77777777" w:rsidR="00C91A20" w:rsidRDefault="00767604" w:rsidP="00C91A20">
      <w:pPr>
        <w:pStyle w:val="ListBullet"/>
      </w:pPr>
      <w:r w:rsidRPr="007E6B48">
        <w:t>improved quality of life for carers</w:t>
      </w:r>
    </w:p>
    <w:p w14:paraId="0A82EC5F" w14:textId="0C360F73" w:rsidR="00767604" w:rsidRPr="007E6B48" w:rsidRDefault="00767604" w:rsidP="00C91A20">
      <w:pPr>
        <w:pStyle w:val="ListBullet"/>
      </w:pPr>
      <w:r w:rsidRPr="007E6B48">
        <w:t>long-term decreased burden on the healthcare system if people lose weight and are healthier.</w:t>
      </w:r>
    </w:p>
    <w:p w14:paraId="5BB2B1FB" w14:textId="77777777" w:rsidR="00767604" w:rsidRPr="007E6B48" w:rsidRDefault="00767604" w:rsidP="008946BA">
      <w:pPr>
        <w:pStyle w:val="Heading2"/>
      </w:pPr>
      <w:bookmarkStart w:id="4" w:name="_Barriers_to_access"/>
      <w:bookmarkEnd w:id="4"/>
      <w:r w:rsidRPr="007E6B48">
        <w:t>Barriers to access</w:t>
      </w:r>
    </w:p>
    <w:p w14:paraId="49B823A1" w14:textId="383BA903" w:rsidR="006B17C3" w:rsidRDefault="007B0D79" w:rsidP="00767604">
      <w:r>
        <w:t>C</w:t>
      </w:r>
      <w:r w:rsidRPr="007E6B48">
        <w:t xml:space="preserve">ommonly identified barriers to access </w:t>
      </w:r>
      <w:r>
        <w:t>were c</w:t>
      </w:r>
      <w:r w:rsidR="00767604" w:rsidRPr="007E6B48">
        <w:t xml:space="preserve">osts and </w:t>
      </w:r>
      <w:r w:rsidR="00C91A20">
        <w:t xml:space="preserve">stigma towards people living with </w:t>
      </w:r>
      <w:r w:rsidR="00767604" w:rsidRPr="007E6B48">
        <w:t xml:space="preserve">obesity. Some health professionals noted </w:t>
      </w:r>
      <w:r w:rsidR="006B17C3">
        <w:t xml:space="preserve">some groups who are </w:t>
      </w:r>
      <w:r w:rsidR="006B17C3" w:rsidRPr="007E6B48">
        <w:t>disproportionately affected by obesity</w:t>
      </w:r>
      <w:r w:rsidR="006B17C3">
        <w:t>, such as:</w:t>
      </w:r>
    </w:p>
    <w:p w14:paraId="15726697" w14:textId="5075E92E" w:rsidR="00217F83" w:rsidRDefault="00217F83" w:rsidP="006B17C3">
      <w:pPr>
        <w:pStyle w:val="ListBullet"/>
      </w:pPr>
      <w:r>
        <w:t>children and adolescents with obesity</w:t>
      </w:r>
      <w:r w:rsidR="00465316">
        <w:t xml:space="preserve"> (who are more likely to develop comorbidities early in life)</w:t>
      </w:r>
    </w:p>
    <w:p w14:paraId="102C2186" w14:textId="19F2DF6F" w:rsidR="006B17C3" w:rsidRDefault="00767604" w:rsidP="006B17C3">
      <w:pPr>
        <w:pStyle w:val="ListBullet"/>
      </w:pPr>
      <w:r w:rsidRPr="007E6B48">
        <w:t>people with disability</w:t>
      </w:r>
      <w:r w:rsidR="00261BD4">
        <w:t>, including people with syndromic obesity</w:t>
      </w:r>
    </w:p>
    <w:p w14:paraId="0F265830" w14:textId="5FBA0B00" w:rsidR="006E416B" w:rsidRDefault="006B17C3" w:rsidP="006B17C3">
      <w:pPr>
        <w:pStyle w:val="ListBullet"/>
      </w:pPr>
      <w:r>
        <w:t>p</w:t>
      </w:r>
      <w:r w:rsidR="006E416B">
        <w:t xml:space="preserve">eople </w:t>
      </w:r>
      <w:r w:rsidR="0081436C">
        <w:t xml:space="preserve">who </w:t>
      </w:r>
      <w:r w:rsidR="006E416B">
        <w:t xml:space="preserve">have </w:t>
      </w:r>
      <w:r w:rsidR="00767604" w:rsidRPr="007E6B48">
        <w:t>a history of trauma</w:t>
      </w:r>
    </w:p>
    <w:p w14:paraId="12009D7E" w14:textId="77777777" w:rsidR="006E416B" w:rsidRDefault="00767604" w:rsidP="006B17C3">
      <w:pPr>
        <w:pStyle w:val="ListBullet"/>
      </w:pPr>
      <w:r w:rsidRPr="007E6B48">
        <w:t xml:space="preserve">First Nations </w:t>
      </w:r>
      <w:r w:rsidR="006E416B">
        <w:t xml:space="preserve">people </w:t>
      </w:r>
    </w:p>
    <w:p w14:paraId="6E21C386" w14:textId="77777777" w:rsidR="006E416B" w:rsidRDefault="00767604" w:rsidP="006B17C3">
      <w:pPr>
        <w:pStyle w:val="ListBullet"/>
      </w:pPr>
      <w:r w:rsidRPr="007E6B48">
        <w:t xml:space="preserve">culturally and linguistically diverse </w:t>
      </w:r>
      <w:r w:rsidR="006E416B">
        <w:t>people</w:t>
      </w:r>
      <w:r w:rsidRPr="007E6B48">
        <w:t xml:space="preserve">. </w:t>
      </w:r>
    </w:p>
    <w:p w14:paraId="7162D03C" w14:textId="3BD9A8F7" w:rsidR="00767604" w:rsidRPr="007E6B48" w:rsidRDefault="00767604" w:rsidP="006E416B">
      <w:r w:rsidRPr="007E6B48">
        <w:t xml:space="preserve">Submissions also noted that </w:t>
      </w:r>
      <w:r w:rsidR="00087436">
        <w:t>GLP-1</w:t>
      </w:r>
      <w:r w:rsidRPr="007E6B48">
        <w:t xml:space="preserve">s are best used with multidisciplinary team care, which is not readily accessible in some communities. Some also mentioned that injectable </w:t>
      </w:r>
      <w:r w:rsidR="00865E87">
        <w:t>medicine</w:t>
      </w:r>
      <w:r w:rsidRPr="007E6B48">
        <w:t>s may be a barrier for some patients.</w:t>
      </w:r>
    </w:p>
    <w:p w14:paraId="76DB76C5" w14:textId="77777777" w:rsidR="00767604" w:rsidRPr="007E6B48" w:rsidRDefault="00767604" w:rsidP="008946BA">
      <w:pPr>
        <w:pStyle w:val="Heading2"/>
      </w:pPr>
      <w:r w:rsidRPr="007E6B48">
        <w:t>PBS eligibility</w:t>
      </w:r>
    </w:p>
    <w:p w14:paraId="25D5C6A3" w14:textId="77777777" w:rsidR="00036601" w:rsidRDefault="00767604" w:rsidP="00767604">
      <w:r w:rsidRPr="007E6B48">
        <w:t>Submissions did note that patient eligibility for PBS subsidy should be restricted to mitigate potential issues such as</w:t>
      </w:r>
      <w:r w:rsidR="00036601">
        <w:t>:</w:t>
      </w:r>
    </w:p>
    <w:p w14:paraId="27645DA2" w14:textId="77777777" w:rsidR="00036601" w:rsidRDefault="00767604" w:rsidP="00036601">
      <w:pPr>
        <w:pStyle w:val="ListBullet"/>
      </w:pPr>
      <w:r w:rsidRPr="007E6B48">
        <w:t>misuse and long-term dependence</w:t>
      </w:r>
    </w:p>
    <w:p w14:paraId="3DCA2373" w14:textId="77777777" w:rsidR="00036601" w:rsidRDefault="00767604" w:rsidP="00036601">
      <w:pPr>
        <w:pStyle w:val="ListBullet"/>
      </w:pPr>
      <w:r w:rsidRPr="007E6B48">
        <w:t>the risk of rare but serious side effects</w:t>
      </w:r>
    </w:p>
    <w:p w14:paraId="48386105" w14:textId="1469C64A" w:rsidR="00036601" w:rsidRDefault="00D63A0C" w:rsidP="00036601">
      <w:pPr>
        <w:pStyle w:val="ListBullet"/>
      </w:pPr>
      <w:r>
        <w:t>the</w:t>
      </w:r>
      <w:r w:rsidR="00767604" w:rsidRPr="007E6B48">
        <w:t xml:space="preserve"> lack of long-term evidence on efficacy and safety. </w:t>
      </w:r>
    </w:p>
    <w:p w14:paraId="5C684FD6" w14:textId="580825FE" w:rsidR="00767604" w:rsidRPr="007E6B48" w:rsidRDefault="00767604" w:rsidP="00036601">
      <w:r w:rsidRPr="007E6B48">
        <w:t xml:space="preserve">Some </w:t>
      </w:r>
      <w:r w:rsidR="00CE6FFB">
        <w:t xml:space="preserve">submissions </w:t>
      </w:r>
      <w:r w:rsidR="00CF2556">
        <w:t>suggested</w:t>
      </w:r>
      <w:r w:rsidR="00CF2556" w:rsidRPr="007E6B48">
        <w:t xml:space="preserve"> </w:t>
      </w:r>
      <w:r w:rsidRPr="007E6B48">
        <w:t xml:space="preserve">restrictions to </w:t>
      </w:r>
      <w:r w:rsidR="007C010A">
        <w:t xml:space="preserve">people with </w:t>
      </w:r>
      <w:r w:rsidR="00285989">
        <w:t>a body mass index (</w:t>
      </w:r>
      <w:r w:rsidRPr="007E6B48">
        <w:t>BMI</w:t>
      </w:r>
      <w:r w:rsidR="00285989">
        <w:t>)</w:t>
      </w:r>
      <w:r w:rsidRPr="007E6B48">
        <w:t xml:space="preserve"> of </w:t>
      </w:r>
      <w:r w:rsidR="00792DC3">
        <w:t xml:space="preserve">at least </w:t>
      </w:r>
      <w:r w:rsidRPr="007E6B48">
        <w:t>30</w:t>
      </w:r>
      <w:r w:rsidR="00792DC3">
        <w:t> </w:t>
      </w:r>
      <w:r w:rsidR="00884E39">
        <w:t>kg/m</w:t>
      </w:r>
      <w:r w:rsidR="00884E39" w:rsidRPr="009117AD">
        <w:rPr>
          <w:vertAlign w:val="superscript"/>
        </w:rPr>
        <w:t>2</w:t>
      </w:r>
      <w:r w:rsidRPr="007E6B48">
        <w:t xml:space="preserve">, </w:t>
      </w:r>
      <w:r w:rsidR="00AC7F5B">
        <w:t xml:space="preserve">and </w:t>
      </w:r>
      <w:r w:rsidRPr="007E6B48">
        <w:t xml:space="preserve">some </w:t>
      </w:r>
      <w:r w:rsidR="0070338F">
        <w:t xml:space="preserve">suggested </w:t>
      </w:r>
      <w:r w:rsidRPr="007E6B48">
        <w:t xml:space="preserve">timeframe restrictions. Some submissions </w:t>
      </w:r>
      <w:r w:rsidR="007C3698">
        <w:t>advocated for</w:t>
      </w:r>
      <w:r w:rsidRPr="007E6B48">
        <w:t xml:space="preserve"> access for certain paediatric and adolescent populations</w:t>
      </w:r>
      <w:r w:rsidR="003F3FFF">
        <w:t xml:space="preserve">, or </w:t>
      </w:r>
      <w:r w:rsidR="00BF1D8D">
        <w:t>as a</w:t>
      </w:r>
      <w:r w:rsidR="003F3FFF">
        <w:t xml:space="preserve"> treat</w:t>
      </w:r>
      <w:r w:rsidR="00BF1D8D">
        <w:t>ment for</w:t>
      </w:r>
      <w:r w:rsidR="003F3FFF">
        <w:t xml:space="preserve"> </w:t>
      </w:r>
      <w:r w:rsidR="008E2F13">
        <w:t>alcohol use disorder.</w:t>
      </w:r>
    </w:p>
    <w:p w14:paraId="28CBB0B7" w14:textId="77777777" w:rsidR="00767604" w:rsidRPr="007E6B48" w:rsidRDefault="00767604" w:rsidP="008946BA">
      <w:pPr>
        <w:pStyle w:val="Heading2"/>
      </w:pPr>
      <w:r w:rsidRPr="007E6B48">
        <w:t>Disadvantages</w:t>
      </w:r>
    </w:p>
    <w:p w14:paraId="5F07E32B" w14:textId="0847B32A" w:rsidR="009B572D" w:rsidRPr="007E6B48" w:rsidRDefault="00767604" w:rsidP="009B572D">
      <w:r w:rsidRPr="007E6B48">
        <w:t xml:space="preserve">Submissions noted several disadvantages of </w:t>
      </w:r>
      <w:r w:rsidR="00087436">
        <w:t>GLP-1</w:t>
      </w:r>
      <w:r w:rsidRPr="007E6B48">
        <w:t xml:space="preserve">s, including the lack of long-term data and, therefore, unknown long-term side effects. Some also mentioned the risk of overuse or long-term dependence, or a risk of misuse or </w:t>
      </w:r>
      <w:r w:rsidR="0070338F">
        <w:t>‘</w:t>
      </w:r>
      <w:r w:rsidRPr="007E6B48">
        <w:t>leakage</w:t>
      </w:r>
      <w:r w:rsidR="0070338F">
        <w:t>’</w:t>
      </w:r>
      <w:r w:rsidRPr="007E6B48">
        <w:t xml:space="preserve"> outside the intended population.</w:t>
      </w:r>
    </w:p>
    <w:p w14:paraId="1DF658EB" w14:textId="4AF9A8F8" w:rsidR="009B572D" w:rsidRPr="007E6B48" w:rsidRDefault="009B572D" w:rsidP="008946BA">
      <w:pPr>
        <w:pStyle w:val="Heading1"/>
      </w:pPr>
      <w:bookmarkStart w:id="5" w:name="_Toc223082163"/>
      <w:r w:rsidRPr="007E6B48">
        <w:lastRenderedPageBreak/>
        <w:t>Organisation</w:t>
      </w:r>
      <w:r w:rsidR="004D3DC5">
        <w:t xml:space="preserve"> inputs</w:t>
      </w:r>
      <w:bookmarkEnd w:id="5"/>
    </w:p>
    <w:p w14:paraId="4C22EAA7" w14:textId="5798CC33" w:rsidR="005829C2" w:rsidRPr="007E6B48" w:rsidRDefault="005829C2" w:rsidP="005829C2">
      <w:r w:rsidRPr="007E6B48">
        <w:t>Submissions were received from 23 organisations:</w:t>
      </w:r>
    </w:p>
    <w:p w14:paraId="7290ED12" w14:textId="63DCB9E7" w:rsidR="005829C2" w:rsidRPr="007E6B48" w:rsidRDefault="005829C2" w:rsidP="00A46836">
      <w:pPr>
        <w:pStyle w:val="ListBullet"/>
      </w:pPr>
      <w:r w:rsidRPr="007E6B48">
        <w:t>Aboriginal Medical Services Alliance Northern Territory (AMSANT)</w:t>
      </w:r>
    </w:p>
    <w:p w14:paraId="3CE3B4AA" w14:textId="1F3F7273" w:rsidR="005829C2" w:rsidRPr="007E6B48" w:rsidRDefault="005829C2" w:rsidP="00A46836">
      <w:pPr>
        <w:pStyle w:val="ListBullet"/>
      </w:pPr>
      <w:r w:rsidRPr="007E6B48">
        <w:t>Amgen Australia Pty Ltd</w:t>
      </w:r>
    </w:p>
    <w:p w14:paraId="0696B19B" w14:textId="5664CD86" w:rsidR="005829C2" w:rsidRPr="007E6B48" w:rsidRDefault="005829C2" w:rsidP="00A46836">
      <w:pPr>
        <w:pStyle w:val="ListBullet"/>
      </w:pPr>
      <w:r w:rsidRPr="007E6B48">
        <w:t>Australasian Sleep Association</w:t>
      </w:r>
    </w:p>
    <w:p w14:paraId="5E284499" w14:textId="0D61E58F" w:rsidR="005829C2" w:rsidRPr="007E6B48" w:rsidRDefault="005829C2" w:rsidP="00A46836">
      <w:pPr>
        <w:pStyle w:val="ListBullet"/>
      </w:pPr>
      <w:r w:rsidRPr="007E6B48">
        <w:t>Australia and New Zealand Society for Paediatric Endocrinology and Diabetes (ANZSPED) Incorporated</w:t>
      </w:r>
    </w:p>
    <w:p w14:paraId="49DC91C0" w14:textId="2D1451B7" w:rsidR="005829C2" w:rsidRPr="007E6B48" w:rsidRDefault="005829C2" w:rsidP="00A46836">
      <w:pPr>
        <w:pStyle w:val="ListBullet"/>
      </w:pPr>
      <w:r w:rsidRPr="007E6B48">
        <w:t>Australian and New Zealand Society for Vascular Surgery (ANZSVS)</w:t>
      </w:r>
    </w:p>
    <w:p w14:paraId="2DD0495E" w14:textId="459D30F2" w:rsidR="005829C2" w:rsidRPr="007E6B48" w:rsidRDefault="005829C2" w:rsidP="00A46836">
      <w:pPr>
        <w:pStyle w:val="ListBullet"/>
      </w:pPr>
      <w:r w:rsidRPr="007E6B48">
        <w:t>Australian College of Nurse Practitioners</w:t>
      </w:r>
    </w:p>
    <w:p w14:paraId="2A9B7417" w14:textId="4B4C753C" w:rsidR="005829C2" w:rsidRPr="007E6B48" w:rsidRDefault="005829C2" w:rsidP="00A46836">
      <w:pPr>
        <w:pStyle w:val="ListBullet"/>
      </w:pPr>
      <w:r w:rsidRPr="007E6B48">
        <w:t>Australian Diabetes Society</w:t>
      </w:r>
    </w:p>
    <w:p w14:paraId="28C16123" w14:textId="0AAC8ACE" w:rsidR="005829C2" w:rsidRPr="007E6B48" w:rsidRDefault="005829C2" w:rsidP="00A46836">
      <w:pPr>
        <w:pStyle w:val="ListBullet"/>
      </w:pPr>
      <w:r w:rsidRPr="007E6B48">
        <w:t>Cancer Council Australia</w:t>
      </w:r>
    </w:p>
    <w:p w14:paraId="1DB839D5" w14:textId="2E010F8F" w:rsidR="005829C2" w:rsidRPr="007E6B48" w:rsidRDefault="005829C2" w:rsidP="00A46836">
      <w:pPr>
        <w:pStyle w:val="ListBullet"/>
      </w:pPr>
      <w:r w:rsidRPr="007E6B48">
        <w:t>Commonwealth Scientific and Industrial Research Organisation (CSIRO)</w:t>
      </w:r>
    </w:p>
    <w:p w14:paraId="3F8F6A1C" w14:textId="23BD7851" w:rsidR="005829C2" w:rsidRPr="007E6B48" w:rsidRDefault="005829C2" w:rsidP="00A46836">
      <w:pPr>
        <w:pStyle w:val="ListBullet"/>
      </w:pPr>
      <w:r w:rsidRPr="007E6B48">
        <w:t>Council of Therapeutic Advisory Groups (CATAG)</w:t>
      </w:r>
    </w:p>
    <w:p w14:paraId="7BE683D1" w14:textId="2025B99F" w:rsidR="005829C2" w:rsidRPr="007E6B48" w:rsidRDefault="005829C2" w:rsidP="00A46836">
      <w:pPr>
        <w:pStyle w:val="ListBullet"/>
      </w:pPr>
      <w:r w:rsidRPr="007E6B48">
        <w:t>Dexcom AMSL</w:t>
      </w:r>
    </w:p>
    <w:p w14:paraId="555BEC59" w14:textId="0444630E" w:rsidR="005829C2" w:rsidRPr="007E6B48" w:rsidRDefault="005829C2" w:rsidP="00A46836">
      <w:pPr>
        <w:pStyle w:val="ListBullet"/>
      </w:pPr>
      <w:r w:rsidRPr="007E6B48">
        <w:t>Diabetes Alliance</w:t>
      </w:r>
    </w:p>
    <w:p w14:paraId="42870340" w14:textId="5800210C" w:rsidR="005829C2" w:rsidRPr="007E6B48" w:rsidRDefault="005829C2" w:rsidP="00A46836">
      <w:pPr>
        <w:pStyle w:val="ListBullet"/>
      </w:pPr>
      <w:r w:rsidRPr="007E6B48">
        <w:t>Dietitians Australia</w:t>
      </w:r>
    </w:p>
    <w:p w14:paraId="50947DD3" w14:textId="70053935" w:rsidR="005829C2" w:rsidRPr="007E6B48" w:rsidRDefault="005829C2" w:rsidP="00A46836">
      <w:pPr>
        <w:pStyle w:val="ListBullet"/>
      </w:pPr>
      <w:r w:rsidRPr="007E6B48">
        <w:t>Digital Wellness</w:t>
      </w:r>
    </w:p>
    <w:p w14:paraId="6BABDDBE" w14:textId="290110CA" w:rsidR="005829C2" w:rsidRPr="007E6B48" w:rsidRDefault="005829C2" w:rsidP="00A46836">
      <w:pPr>
        <w:pStyle w:val="ListBullet"/>
      </w:pPr>
      <w:r w:rsidRPr="007E6B48">
        <w:t>Eli Lilly</w:t>
      </w:r>
      <w:r w:rsidR="00216255">
        <w:t xml:space="preserve"> Pty Ltd</w:t>
      </w:r>
    </w:p>
    <w:p w14:paraId="3B66B6EA" w14:textId="0C51F981" w:rsidR="005829C2" w:rsidRPr="007E6B48" w:rsidRDefault="005829C2" w:rsidP="00A46836">
      <w:pPr>
        <w:pStyle w:val="ListBullet"/>
      </w:pPr>
      <w:r w:rsidRPr="007E6B48">
        <w:t>National Aboriginal Community Controlled Health Organisation (NACCHO)</w:t>
      </w:r>
    </w:p>
    <w:p w14:paraId="6E83F045" w14:textId="2E18B00C" w:rsidR="005829C2" w:rsidRPr="007E6B48" w:rsidRDefault="005829C2" w:rsidP="00A46836">
      <w:pPr>
        <w:pStyle w:val="ListBullet"/>
      </w:pPr>
      <w:r w:rsidRPr="007E6B48">
        <w:t>National Paediatric Medicines Forum</w:t>
      </w:r>
    </w:p>
    <w:p w14:paraId="56A568EC" w14:textId="20329ABD" w:rsidR="005829C2" w:rsidRPr="007E6B48" w:rsidRDefault="005829C2" w:rsidP="00A46836">
      <w:pPr>
        <w:pStyle w:val="ListBullet"/>
      </w:pPr>
      <w:r w:rsidRPr="007E6B48">
        <w:t>Novo Nordisk</w:t>
      </w:r>
      <w:r w:rsidR="00216255">
        <w:t xml:space="preserve"> Pty Ltd</w:t>
      </w:r>
    </w:p>
    <w:p w14:paraId="22B70844" w14:textId="313D1A10" w:rsidR="005829C2" w:rsidRPr="007E6B48" w:rsidRDefault="005829C2" w:rsidP="00A46836">
      <w:pPr>
        <w:pStyle w:val="ListBullet"/>
      </w:pPr>
      <w:r w:rsidRPr="007E6B48">
        <w:t>NT Health</w:t>
      </w:r>
    </w:p>
    <w:p w14:paraId="62C4ED12" w14:textId="5CB6D68A" w:rsidR="005829C2" w:rsidRPr="007E6B48" w:rsidRDefault="005829C2" w:rsidP="00A46836">
      <w:pPr>
        <w:pStyle w:val="ListBullet"/>
      </w:pPr>
      <w:r w:rsidRPr="007E6B48">
        <w:t>Obesity Collective</w:t>
      </w:r>
    </w:p>
    <w:p w14:paraId="37C7B99C" w14:textId="638B80E4" w:rsidR="005829C2" w:rsidRPr="007E6B48" w:rsidRDefault="005829C2" w:rsidP="00A46836">
      <w:pPr>
        <w:pStyle w:val="ListBullet"/>
      </w:pPr>
      <w:r w:rsidRPr="007E6B48">
        <w:t>Patients Australia Limited</w:t>
      </w:r>
    </w:p>
    <w:p w14:paraId="042868FF" w14:textId="20B42DED" w:rsidR="005829C2" w:rsidRPr="007E6B48" w:rsidRDefault="005829C2" w:rsidP="00A46836">
      <w:pPr>
        <w:pStyle w:val="ListBullet"/>
      </w:pPr>
      <w:r w:rsidRPr="007E6B48">
        <w:t>Prader-Willi Research Foundation Australia (PWRFA)</w:t>
      </w:r>
    </w:p>
    <w:p w14:paraId="1D50B184" w14:textId="6CDF8246" w:rsidR="005829C2" w:rsidRPr="007E6B48" w:rsidRDefault="005829C2" w:rsidP="00A46836">
      <w:pPr>
        <w:pStyle w:val="ListBullet"/>
      </w:pPr>
      <w:r w:rsidRPr="007E6B48">
        <w:t>Rural Doctors Association of Australia.</w:t>
      </w:r>
    </w:p>
    <w:p w14:paraId="3BB6D53E" w14:textId="154138D4" w:rsidR="005829C2" w:rsidRPr="007E6B48" w:rsidRDefault="005829C2" w:rsidP="005829C2">
      <w:r w:rsidRPr="007E6B48">
        <w:t xml:space="preserve">All organisations were supportive of </w:t>
      </w:r>
      <w:r w:rsidR="00905E4E" w:rsidRPr="007E6B48">
        <w:t>subsidising</w:t>
      </w:r>
      <w:r w:rsidRPr="007E6B48">
        <w:t xml:space="preserve"> </w:t>
      </w:r>
      <w:r w:rsidR="00087436">
        <w:t>GLP-1</w:t>
      </w:r>
      <w:r w:rsidRPr="007E6B48">
        <w:t>s</w:t>
      </w:r>
      <w:r w:rsidR="00905E4E" w:rsidRPr="007E6B48">
        <w:t xml:space="preserve"> for obesity treatment</w:t>
      </w:r>
      <w:r w:rsidRPr="007E6B48">
        <w:t>.</w:t>
      </w:r>
    </w:p>
    <w:p w14:paraId="701F7F84" w14:textId="77777777" w:rsidR="005829C2" w:rsidRPr="007E6B48" w:rsidRDefault="005829C2" w:rsidP="008946BA">
      <w:pPr>
        <w:pStyle w:val="Heading2"/>
      </w:pPr>
      <w:r w:rsidRPr="007E6B48">
        <w:t>Duration of use</w:t>
      </w:r>
    </w:p>
    <w:p w14:paraId="3D1D7557" w14:textId="77777777" w:rsidR="00194280" w:rsidRDefault="005829C2" w:rsidP="005829C2">
      <w:r w:rsidRPr="007E6B48">
        <w:t>Several submissions noted that obesity is a chronic condition</w:t>
      </w:r>
      <w:r w:rsidR="00DC60DC">
        <w:t xml:space="preserve"> and that some patients relapse. Therefore</w:t>
      </w:r>
      <w:r w:rsidRPr="007E6B48">
        <w:t xml:space="preserve">, </w:t>
      </w:r>
      <w:r w:rsidR="00DC60DC">
        <w:t xml:space="preserve">if </w:t>
      </w:r>
      <w:r w:rsidR="00194280">
        <w:t>restrictions on timeframes were introduced, some people may not get the same health benefits</w:t>
      </w:r>
      <w:r w:rsidRPr="007E6B48">
        <w:t>.</w:t>
      </w:r>
    </w:p>
    <w:p w14:paraId="036BDC8C" w14:textId="01354EB6" w:rsidR="005829C2" w:rsidRPr="007E6B48" w:rsidRDefault="006609AA" w:rsidP="005829C2">
      <w:r>
        <w:t>Submissions noted that t</w:t>
      </w:r>
      <w:r w:rsidR="005829C2" w:rsidRPr="007E6B48">
        <w:t>reatment may be stopped if patients experience severe or unwanted side effects, if a patient’s health status changes, or if weight can be maintained through behaviour modification.</w:t>
      </w:r>
    </w:p>
    <w:p w14:paraId="65D6FBD7" w14:textId="07DF3B39" w:rsidR="005829C2" w:rsidRPr="007E6B48" w:rsidRDefault="000D5732" w:rsidP="008946BA">
      <w:pPr>
        <w:pStyle w:val="Heading2"/>
      </w:pPr>
      <w:r>
        <w:lastRenderedPageBreak/>
        <w:t>Treatment regimen, s</w:t>
      </w:r>
      <w:r w:rsidR="005829C2" w:rsidRPr="007E6B48">
        <w:t>ervice delivery models and supportive wraparound care</w:t>
      </w:r>
    </w:p>
    <w:p w14:paraId="1BDD8D09" w14:textId="3677B998" w:rsidR="000D5732" w:rsidRPr="007E6B48" w:rsidRDefault="000D5732" w:rsidP="000D5732">
      <w:r w:rsidRPr="007E6B48">
        <w:t xml:space="preserve">Submissions emphasised that </w:t>
      </w:r>
      <w:r>
        <w:t>GLP-</w:t>
      </w:r>
      <w:r w:rsidR="00AA63AA">
        <w:t>1</w:t>
      </w:r>
      <w:r>
        <w:t xml:space="preserve">s </w:t>
      </w:r>
      <w:r w:rsidRPr="007E6B48">
        <w:t xml:space="preserve">should not be </w:t>
      </w:r>
      <w:r>
        <w:t xml:space="preserve">used as </w:t>
      </w:r>
      <w:r w:rsidRPr="007E6B48">
        <w:t>a standalone measure</w:t>
      </w:r>
      <w:r>
        <w:t>. The medicines</w:t>
      </w:r>
      <w:r w:rsidRPr="007E6B48">
        <w:t xml:space="preserve"> should be integrated with nutrition, physical activity and behavioural support.</w:t>
      </w:r>
    </w:p>
    <w:p w14:paraId="0388557B" w14:textId="49533FD1" w:rsidR="005829C2" w:rsidRPr="007E6B48" w:rsidRDefault="005829C2" w:rsidP="005829C2">
      <w:r w:rsidRPr="007E6B48">
        <w:t xml:space="preserve">Many submissions noted that </w:t>
      </w:r>
      <w:r w:rsidR="00087436">
        <w:t>GLP-1</w:t>
      </w:r>
      <w:r w:rsidRPr="007E6B48">
        <w:t xml:space="preserve">s are most effective when </w:t>
      </w:r>
      <w:r w:rsidR="00F33758">
        <w:t xml:space="preserve">the patient is supported to modify their </w:t>
      </w:r>
      <w:r w:rsidRPr="007E6B48">
        <w:t xml:space="preserve">lifestyle </w:t>
      </w:r>
      <w:r w:rsidR="00F33758">
        <w:t xml:space="preserve">and </w:t>
      </w:r>
      <w:r w:rsidRPr="007E6B48">
        <w:t>behaviour</w:t>
      </w:r>
      <w:r w:rsidR="00F33758">
        <w:t>s.</w:t>
      </w:r>
      <w:r w:rsidR="00256D35">
        <w:t xml:space="preserve"> </w:t>
      </w:r>
      <w:r w:rsidR="00671286" w:rsidRPr="007E6B48">
        <w:t xml:space="preserve">This requires the </w:t>
      </w:r>
      <w:r w:rsidR="00671286">
        <w:t>medicine</w:t>
      </w:r>
      <w:r w:rsidR="00671286" w:rsidRPr="007E6B48">
        <w:t>s to be embedded within multidisciplinary care models.</w:t>
      </w:r>
      <w:r w:rsidR="00F33758">
        <w:t xml:space="preserve"> </w:t>
      </w:r>
      <w:r w:rsidR="000D3AC1">
        <w:t>Stakeholders considered that p</w:t>
      </w:r>
      <w:r w:rsidR="00F33758">
        <w:t xml:space="preserve">atients should also receive </w:t>
      </w:r>
      <w:r w:rsidRPr="007E6B48">
        <w:t>regular monitoring</w:t>
      </w:r>
      <w:r w:rsidR="00F33758">
        <w:t xml:space="preserve"> from a health professional</w:t>
      </w:r>
      <w:r w:rsidRPr="007E6B48">
        <w:t>.</w:t>
      </w:r>
    </w:p>
    <w:p w14:paraId="2043F227" w14:textId="167B6471" w:rsidR="005829C2" w:rsidRPr="007E6B48" w:rsidRDefault="005829C2" w:rsidP="005829C2">
      <w:r w:rsidRPr="007E6B48">
        <w:t>Some submissions considered that, if subsidised through the PBS</w:t>
      </w:r>
      <w:r w:rsidR="00566A2A">
        <w:t xml:space="preserve">, primary care providers (such as GPs and </w:t>
      </w:r>
      <w:r w:rsidR="00566A2A" w:rsidRPr="007E6B48">
        <w:t>Aboriginal Community Controlled Health Organisations</w:t>
      </w:r>
      <w:r w:rsidR="00E5044B">
        <w:t xml:space="preserve"> [ACCHOs]</w:t>
      </w:r>
      <w:r w:rsidR="00566A2A">
        <w:t xml:space="preserve">) could </w:t>
      </w:r>
      <w:r w:rsidRPr="007E6B48">
        <w:t>prescrib</w:t>
      </w:r>
      <w:r w:rsidR="00566A2A">
        <w:t>e</w:t>
      </w:r>
      <w:r w:rsidR="00D21309">
        <w:t xml:space="preserve"> GLP-1s</w:t>
      </w:r>
      <w:r w:rsidRPr="007E6B48">
        <w:t xml:space="preserve"> and manage</w:t>
      </w:r>
      <w:r w:rsidR="00566A2A">
        <w:t xml:space="preserve"> patients</w:t>
      </w:r>
      <w:r w:rsidR="00360BB7">
        <w:t>,</w:t>
      </w:r>
      <w:r w:rsidR="00566A2A">
        <w:t xml:space="preserve"> rather than </w:t>
      </w:r>
      <w:r w:rsidRPr="007E6B48">
        <w:t>specialist</w:t>
      </w:r>
      <w:r w:rsidR="00566A2A">
        <w:t>s. This would allow patients to access care earlier</w:t>
      </w:r>
      <w:r w:rsidR="00192871">
        <w:t xml:space="preserve"> and make it easier to have </w:t>
      </w:r>
      <w:r w:rsidRPr="007E6B48">
        <w:t>continuity of care.</w:t>
      </w:r>
    </w:p>
    <w:p w14:paraId="69AD8AEC" w14:textId="3585E17E" w:rsidR="005829C2" w:rsidRPr="007E6B48" w:rsidRDefault="005829C2" w:rsidP="005829C2">
      <w:r w:rsidRPr="007E6B48">
        <w:t xml:space="preserve">Submissions noted the importance of access to affordable weight management and structured physical activity support, which is currently not equitable across Australia. These services are even more difficult to access in regional, remote and very remote parts of Australia. Telehealth or online </w:t>
      </w:r>
      <w:r w:rsidR="00D81200">
        <w:t xml:space="preserve">(that is, digital) </w:t>
      </w:r>
      <w:r w:rsidRPr="007E6B48">
        <w:t>services could improve equity for socially or geographically isolated communities. Submissions noted that existing digital solutions can also provide appropriate levels of support.</w:t>
      </w:r>
    </w:p>
    <w:p w14:paraId="41B767E3" w14:textId="77777777" w:rsidR="005829C2" w:rsidRPr="007E6B48" w:rsidRDefault="005829C2" w:rsidP="008946BA">
      <w:pPr>
        <w:pStyle w:val="Heading2"/>
      </w:pPr>
      <w:r w:rsidRPr="007E6B48">
        <w:t>Clinical benefits</w:t>
      </w:r>
    </w:p>
    <w:p w14:paraId="34193560" w14:textId="0A862775" w:rsidR="005829C2" w:rsidRPr="007E6B48" w:rsidRDefault="005829C2" w:rsidP="005829C2">
      <w:r w:rsidRPr="007E6B48">
        <w:t>Submissions noted several clinical benefits, such as</w:t>
      </w:r>
      <w:r w:rsidR="001A7008">
        <w:t xml:space="preserve"> reduced</w:t>
      </w:r>
      <w:r w:rsidRPr="007E6B48">
        <w:t>:</w:t>
      </w:r>
    </w:p>
    <w:p w14:paraId="46216969" w14:textId="57A477D6" w:rsidR="005829C2" w:rsidRPr="007E6B48" w:rsidRDefault="005829C2" w:rsidP="0007113B">
      <w:pPr>
        <w:pStyle w:val="ListBullet"/>
      </w:pPr>
      <w:r w:rsidRPr="007E6B48">
        <w:t>cardiovascular risks and</w:t>
      </w:r>
      <w:r w:rsidR="00F62C1F">
        <w:t xml:space="preserve"> resulting</w:t>
      </w:r>
      <w:r w:rsidRPr="007E6B48">
        <w:t xml:space="preserve"> long-term benefits </w:t>
      </w:r>
    </w:p>
    <w:p w14:paraId="0AD5AA34" w14:textId="5FA9D4B4" w:rsidR="005829C2" w:rsidRPr="007E6B48" w:rsidRDefault="005829C2" w:rsidP="0007113B">
      <w:pPr>
        <w:pStyle w:val="ListBullet"/>
      </w:pPr>
      <w:r w:rsidRPr="007E6B48">
        <w:t>metabolic dysfunction-associated fatty liver disease</w:t>
      </w:r>
    </w:p>
    <w:p w14:paraId="2F58E753" w14:textId="2E18C859" w:rsidR="00F62C1F" w:rsidRDefault="005829C2" w:rsidP="0007113B">
      <w:pPr>
        <w:pStyle w:val="ListBullet"/>
      </w:pPr>
      <w:r w:rsidRPr="007E6B48">
        <w:t>burden of associated conditions such as osteoarthritis</w:t>
      </w:r>
    </w:p>
    <w:p w14:paraId="1317C13A" w14:textId="07CAD421" w:rsidR="005829C2" w:rsidRPr="007E6B48" w:rsidRDefault="005829C2" w:rsidP="0007113B">
      <w:pPr>
        <w:pStyle w:val="ListBullet"/>
      </w:pPr>
      <w:r w:rsidRPr="007E6B48">
        <w:t>severity of OSA mediated through weight loss</w:t>
      </w:r>
    </w:p>
    <w:p w14:paraId="115C951B" w14:textId="0B38A8A5" w:rsidR="005829C2" w:rsidRDefault="005829C2" w:rsidP="0007113B">
      <w:pPr>
        <w:pStyle w:val="ListBullet"/>
      </w:pPr>
      <w:r w:rsidRPr="007E6B48">
        <w:t>hospital admissions for obesity-related complications.</w:t>
      </w:r>
    </w:p>
    <w:p w14:paraId="18F4A7A0" w14:textId="3E74BE5F" w:rsidR="001A7008" w:rsidRPr="007E6B48" w:rsidRDefault="001A7008" w:rsidP="001A7008">
      <w:r>
        <w:t>GLP-</w:t>
      </w:r>
      <w:r w:rsidR="00D52D67">
        <w:t>1</w:t>
      </w:r>
      <w:r>
        <w:t xml:space="preserve">s could </w:t>
      </w:r>
      <w:r w:rsidR="003037F7">
        <w:t xml:space="preserve">also </w:t>
      </w:r>
      <w:r w:rsidRPr="007E6B48">
        <w:t>provid</w:t>
      </w:r>
      <w:r>
        <w:t>e</w:t>
      </w:r>
      <w:r w:rsidRPr="007E6B48">
        <w:t xml:space="preserve"> an important pre-surgical or alternative treatment option for those being considered for surgery but who face high anaesthetic and surgical risks due to severe obesity</w:t>
      </w:r>
      <w:r w:rsidR="00946043">
        <w:t>.</w:t>
      </w:r>
    </w:p>
    <w:p w14:paraId="27D0E7C7" w14:textId="77777777" w:rsidR="005829C2" w:rsidRPr="007E6B48" w:rsidRDefault="005829C2" w:rsidP="008946BA">
      <w:pPr>
        <w:pStyle w:val="Heading2"/>
      </w:pPr>
      <w:r w:rsidRPr="007E6B48">
        <w:t>Adverse events</w:t>
      </w:r>
    </w:p>
    <w:p w14:paraId="14589543" w14:textId="4CE5870F" w:rsidR="005829C2" w:rsidRPr="007E6B48" w:rsidRDefault="005829C2" w:rsidP="005829C2">
      <w:r w:rsidRPr="007E6B48">
        <w:t>Submissions highlighted general gastrointestinal adverse events that are commonly reported</w:t>
      </w:r>
      <w:r w:rsidR="00946043">
        <w:t>.</w:t>
      </w:r>
      <w:r w:rsidRPr="007E6B48">
        <w:t xml:space="preserve"> </w:t>
      </w:r>
      <w:r w:rsidR="00946043">
        <w:t>L</w:t>
      </w:r>
      <w:r w:rsidRPr="007E6B48">
        <w:t>ong-term data are important to understand longer-term or rare adverse events.</w:t>
      </w:r>
    </w:p>
    <w:p w14:paraId="2562E842" w14:textId="77777777" w:rsidR="005829C2" w:rsidRPr="007E6B48" w:rsidRDefault="005829C2" w:rsidP="008946BA">
      <w:pPr>
        <w:pStyle w:val="Heading2"/>
      </w:pPr>
      <w:r w:rsidRPr="007E6B48">
        <w:t>Quality-of-life and financial benefits</w:t>
      </w:r>
    </w:p>
    <w:p w14:paraId="5E74F94D" w14:textId="56D1716A" w:rsidR="005829C2" w:rsidRPr="007E6B48" w:rsidRDefault="000774BF" w:rsidP="005829C2">
      <w:r>
        <w:t xml:space="preserve">Submissions noted </w:t>
      </w:r>
      <w:r w:rsidR="00FA14A3">
        <w:t xml:space="preserve">patients’ </w:t>
      </w:r>
      <w:r>
        <w:t xml:space="preserve">improved quality of life through </w:t>
      </w:r>
      <w:r w:rsidR="00030D52">
        <w:t>better</w:t>
      </w:r>
      <w:r>
        <w:t xml:space="preserve"> mobility and mental health. </w:t>
      </w:r>
      <w:r w:rsidR="0096378C">
        <w:t>If people were able to lose weight, there would be</w:t>
      </w:r>
      <w:r w:rsidR="005829C2" w:rsidRPr="007E6B48">
        <w:t xml:space="preserve"> reduced physical, emotional and financial impacts of obesity.</w:t>
      </w:r>
    </w:p>
    <w:p w14:paraId="488CEA32" w14:textId="77777777" w:rsidR="005829C2" w:rsidRPr="007E6B48" w:rsidRDefault="005829C2" w:rsidP="008946BA">
      <w:pPr>
        <w:pStyle w:val="Heading2"/>
      </w:pPr>
      <w:r w:rsidRPr="007E6B48">
        <w:lastRenderedPageBreak/>
        <w:t>Barriers to access</w:t>
      </w:r>
    </w:p>
    <w:p w14:paraId="323AB1B1" w14:textId="77777777" w:rsidR="00511AA1" w:rsidRDefault="005829C2" w:rsidP="005829C2">
      <w:r w:rsidRPr="007E6B48">
        <w:t>Submissions highlighted several barriers to access, including</w:t>
      </w:r>
      <w:r w:rsidR="00511AA1">
        <w:t>:</w:t>
      </w:r>
    </w:p>
    <w:p w14:paraId="51A8466F" w14:textId="664C0026" w:rsidR="00511AA1" w:rsidRDefault="005829C2" w:rsidP="00511AA1">
      <w:pPr>
        <w:pStyle w:val="ListBullet"/>
      </w:pPr>
      <w:r w:rsidRPr="007E6B48">
        <w:t xml:space="preserve">cost of </w:t>
      </w:r>
      <w:r w:rsidR="00087436">
        <w:t>GLP-1</w:t>
      </w:r>
      <w:r w:rsidRPr="007E6B48">
        <w:t>s</w:t>
      </w:r>
    </w:p>
    <w:p w14:paraId="2B8B6B6B" w14:textId="77777777" w:rsidR="00511AA1" w:rsidRDefault="005829C2" w:rsidP="00511AA1">
      <w:pPr>
        <w:pStyle w:val="ListBullet"/>
      </w:pPr>
      <w:r w:rsidRPr="007E6B48">
        <w:t>cost and access to support services</w:t>
      </w:r>
    </w:p>
    <w:p w14:paraId="2ED0F583" w14:textId="77777777" w:rsidR="00511AA1" w:rsidRDefault="005829C2" w:rsidP="00511AA1">
      <w:pPr>
        <w:pStyle w:val="ListBullet"/>
      </w:pPr>
      <w:r w:rsidRPr="007E6B48">
        <w:t xml:space="preserve">supply constraints. </w:t>
      </w:r>
    </w:p>
    <w:p w14:paraId="6101573B" w14:textId="54F78E7B" w:rsidR="005829C2" w:rsidRPr="007E6B48" w:rsidRDefault="005829C2" w:rsidP="00511AA1">
      <w:r w:rsidRPr="007E6B48">
        <w:t xml:space="preserve">These barriers </w:t>
      </w:r>
      <w:r w:rsidR="00774948">
        <w:t>are</w:t>
      </w:r>
      <w:r w:rsidRPr="007E6B48">
        <w:t xml:space="preserve"> exacerbated for those living in regional and remote communities.</w:t>
      </w:r>
    </w:p>
    <w:p w14:paraId="0B7C4ED3" w14:textId="69D17336" w:rsidR="005829C2" w:rsidRPr="007E6B48" w:rsidRDefault="00984E5E" w:rsidP="005829C2">
      <w:r>
        <w:t>Submissions noted that</w:t>
      </w:r>
      <w:r w:rsidR="00172FF3">
        <w:t>,</w:t>
      </w:r>
      <w:r>
        <w:t xml:space="preserve"> f</w:t>
      </w:r>
      <w:r w:rsidR="005829C2" w:rsidRPr="007E6B48">
        <w:t xml:space="preserve">or </w:t>
      </w:r>
      <w:r w:rsidR="0002624F">
        <w:t xml:space="preserve">Aboriginal and Torres Strait Islander </w:t>
      </w:r>
      <w:r w:rsidR="005829C2" w:rsidRPr="007E6B48">
        <w:t>people in remote communities, obesity is common and is compounded by poverty, food insecurity and the high cost of food in remote stores.</w:t>
      </w:r>
    </w:p>
    <w:p w14:paraId="3AE8A6B5" w14:textId="19D2F745" w:rsidR="005829C2" w:rsidRPr="007E6B48" w:rsidRDefault="005829C2" w:rsidP="005829C2">
      <w:r w:rsidRPr="007E6B48">
        <w:t>For the most severely affected young people, uptake in adolescents is limited due to the cost of the medicine and inequitable access through hospital services. Bariatric surgery is also generally unavailable in Australia for adolescents under 17</w:t>
      </w:r>
      <w:r w:rsidR="00377EE2">
        <w:t> </w:t>
      </w:r>
      <w:r w:rsidRPr="007E6B48">
        <w:t>years of age, further limiting treatment options.</w:t>
      </w:r>
    </w:p>
    <w:p w14:paraId="0A502E1F" w14:textId="71C31110" w:rsidR="005829C2" w:rsidRPr="007E6B48" w:rsidRDefault="008906FC" w:rsidP="005829C2">
      <w:r>
        <w:t>Stakeholders considered that p</w:t>
      </w:r>
      <w:r w:rsidR="005829C2" w:rsidRPr="007E6B48">
        <w:t xml:space="preserve">eople living with overweight or obesity face stigma from the public, but also from healthcare professionals. Many clinicians do not understand the complexities of weight loss and how to </w:t>
      </w:r>
      <w:r w:rsidR="008C2CD0">
        <w:t xml:space="preserve">clinically </w:t>
      </w:r>
      <w:r w:rsidR="005829C2" w:rsidRPr="007E6B48">
        <w:t>manage this condition.</w:t>
      </w:r>
    </w:p>
    <w:p w14:paraId="41060FDD" w14:textId="77777777" w:rsidR="005829C2" w:rsidRPr="007E6B48" w:rsidRDefault="005829C2" w:rsidP="008946BA">
      <w:pPr>
        <w:pStyle w:val="Heading2"/>
      </w:pPr>
      <w:r w:rsidRPr="007E6B48">
        <w:t xml:space="preserve">PBS </w:t>
      </w:r>
      <w:bookmarkStart w:id="6" w:name="_Hlk214890098"/>
      <w:r w:rsidRPr="007E6B48">
        <w:t>eligibility</w:t>
      </w:r>
      <w:bookmarkEnd w:id="6"/>
    </w:p>
    <w:p w14:paraId="209B5865" w14:textId="1D469E42" w:rsidR="005829C2" w:rsidRDefault="005829C2" w:rsidP="005829C2">
      <w:r w:rsidRPr="007E6B48">
        <w:t>Several submissions suggested potential criteria</w:t>
      </w:r>
      <w:r w:rsidR="003037F7">
        <w:t xml:space="preserve"> for </w:t>
      </w:r>
      <w:r w:rsidR="003037F7" w:rsidRPr="003037F7">
        <w:t>eligibility</w:t>
      </w:r>
      <w:r w:rsidRPr="007E6B48">
        <w:t xml:space="preserve">. Many proposed prioritising </w:t>
      </w:r>
      <w:proofErr w:type="gramStart"/>
      <w:r w:rsidR="003037F7" w:rsidRPr="007E6B48">
        <w:t>access</w:t>
      </w:r>
      <w:proofErr w:type="gramEnd"/>
      <w:r w:rsidRPr="007E6B48">
        <w:t xml:space="preserve"> for patients with obesity and multiple comorbidities (including cardiovascular disease)</w:t>
      </w:r>
      <w:r w:rsidR="003037F7">
        <w:t xml:space="preserve">. </w:t>
      </w:r>
      <w:r w:rsidR="008B0995">
        <w:t>Some suggested that e</w:t>
      </w:r>
      <w:r w:rsidR="003037F7" w:rsidRPr="003037F7">
        <w:t>ligibility</w:t>
      </w:r>
      <w:r w:rsidR="003037F7">
        <w:t xml:space="preserve"> could </w:t>
      </w:r>
      <w:r w:rsidRPr="007E6B48">
        <w:t xml:space="preserve">be expanded in a phased approach, </w:t>
      </w:r>
      <w:proofErr w:type="gramStart"/>
      <w:r w:rsidRPr="007E6B48">
        <w:t>similar to</w:t>
      </w:r>
      <w:proofErr w:type="gramEnd"/>
      <w:r w:rsidRPr="007E6B48">
        <w:t xml:space="preserve"> </w:t>
      </w:r>
      <w:r w:rsidR="00A8342D">
        <w:t>the approach taken</w:t>
      </w:r>
      <w:r w:rsidR="008C2CD0">
        <w:t xml:space="preserve"> in the United Kingdom</w:t>
      </w:r>
      <w:r w:rsidRPr="007E6B48">
        <w:t>.</w:t>
      </w:r>
    </w:p>
    <w:p w14:paraId="0F6EFE49" w14:textId="6AB20801" w:rsidR="00256D35" w:rsidRPr="001650C5" w:rsidRDefault="00256D35" w:rsidP="005829C2">
      <w:r>
        <w:t xml:space="preserve">One submission noted that </w:t>
      </w:r>
      <w:r w:rsidR="001650C5">
        <w:t xml:space="preserve">some </w:t>
      </w:r>
      <w:r>
        <w:t>state and territory</w:t>
      </w:r>
      <w:r w:rsidR="001650C5">
        <w:t xml:space="preserve"> medicine and therapeutic committees were providing access to semaglutide (</w:t>
      </w:r>
      <w:proofErr w:type="spellStart"/>
      <w:r w:rsidR="001650C5">
        <w:t>Wegovy</w:t>
      </w:r>
      <w:proofErr w:type="spellEnd"/>
      <w:r w:rsidR="001650C5">
        <w:t>) and tirzepatide (</w:t>
      </w:r>
      <w:proofErr w:type="spellStart"/>
      <w:r w:rsidR="001650C5">
        <w:t>Mounjaro</w:t>
      </w:r>
      <w:proofErr w:type="spellEnd"/>
      <w:r w:rsidR="001650C5">
        <w:t>) to some patients under</w:t>
      </w:r>
      <w:r>
        <w:t xml:space="preserve"> </w:t>
      </w:r>
      <w:r w:rsidR="001650C5">
        <w:t xml:space="preserve">strict eligibility criteria and specialist supervision, and that states and territories were working towards a consensus position on the use of these medicines in public hospitals. In one jurisdiction, the criteria for adults included BMI </w:t>
      </w:r>
      <w:r w:rsidR="001650C5">
        <w:rPr>
          <w:rFonts w:cs="Arial"/>
        </w:rPr>
        <w:t>≥</w:t>
      </w:r>
      <w:r w:rsidR="001650C5">
        <w:t xml:space="preserve"> 45 kg/m</w:t>
      </w:r>
      <w:r w:rsidR="001650C5" w:rsidRPr="001650C5">
        <w:rPr>
          <w:vertAlign w:val="superscript"/>
        </w:rPr>
        <w:t>2</w:t>
      </w:r>
      <w:r w:rsidR="001650C5">
        <w:rPr>
          <w:vertAlign w:val="superscript"/>
        </w:rPr>
        <w:t xml:space="preserve"> </w:t>
      </w:r>
      <w:r w:rsidR="001650C5">
        <w:t>and either a weight-related barrier to hospital discharge, or weight as a barrier to life-saving treatment, such as transplant or cardiac surgery. For adolescents, the criteria for access generally included very high BMI and</w:t>
      </w:r>
      <w:r w:rsidR="00131D0B">
        <w:t>:</w:t>
      </w:r>
      <w:r w:rsidR="001650C5">
        <w:t xml:space="preserve"> presence of a weight-related condition, such as hypertension</w:t>
      </w:r>
      <w:r w:rsidR="00131D0B">
        <w:t xml:space="preserve"> or pre-diabetes</w:t>
      </w:r>
      <w:r w:rsidR="001650C5">
        <w:t xml:space="preserve">; </w:t>
      </w:r>
      <w:r w:rsidR="00131D0B">
        <w:t xml:space="preserve">requiring weight loss </w:t>
      </w:r>
      <w:r w:rsidR="001650C5">
        <w:t>for surgery; syndromic obesity diagnosed with genetic testing</w:t>
      </w:r>
      <w:r w:rsidR="00131D0B">
        <w:t>; or mobility issues related to disability limiting exercise capacity</w:t>
      </w:r>
      <w:r w:rsidR="001650C5">
        <w:t>.</w:t>
      </w:r>
    </w:p>
    <w:p w14:paraId="029ADCA2" w14:textId="77777777" w:rsidR="005829C2" w:rsidRPr="007E6B48" w:rsidRDefault="005829C2" w:rsidP="008946BA">
      <w:pPr>
        <w:pStyle w:val="Heading2"/>
      </w:pPr>
      <w:r w:rsidRPr="007E6B48">
        <w:t>Other</w:t>
      </w:r>
    </w:p>
    <w:p w14:paraId="2FA39BCE" w14:textId="588E3E46" w:rsidR="007375F9" w:rsidRDefault="005829C2" w:rsidP="006F661F">
      <w:r w:rsidRPr="007E6B48">
        <w:t>Several submissions mentioned the</w:t>
      </w:r>
      <w:r w:rsidR="008C2CD0">
        <w:t xml:space="preserve"> </w:t>
      </w:r>
      <w:r w:rsidRPr="007E6B48">
        <w:t xml:space="preserve">benefits </w:t>
      </w:r>
      <w:r w:rsidR="008C2CD0">
        <w:t xml:space="preserve">to the Australian healthcare system </w:t>
      </w:r>
      <w:r w:rsidRPr="007E6B48">
        <w:t>that would be gained by reducing obesity in Australia. By preventing or delaying obesity-related complications such as type</w:t>
      </w:r>
      <w:r w:rsidR="0024643C">
        <w:t> </w:t>
      </w:r>
      <w:r w:rsidRPr="007E6B48">
        <w:t xml:space="preserve">2 diabetes, cardiovascular disease and </w:t>
      </w:r>
      <w:r w:rsidR="00033CF9" w:rsidRPr="00033CF9">
        <w:t>metabolic dysfunction-associated fatty liver disease</w:t>
      </w:r>
      <w:r w:rsidRPr="007E6B48">
        <w:t xml:space="preserve">, </w:t>
      </w:r>
      <w:r w:rsidR="00087436">
        <w:t>GLP-1</w:t>
      </w:r>
      <w:r w:rsidRPr="007E6B48">
        <w:t>s have the potential to reduce hospitalisations, surgical interventions and medication use.</w:t>
      </w:r>
      <w:r w:rsidR="007C07AE">
        <w:t xml:space="preserve"> This reduces </w:t>
      </w:r>
      <w:r w:rsidR="004C38F4">
        <w:t>burden</w:t>
      </w:r>
      <w:r w:rsidR="00CD757C">
        <w:t xml:space="preserve"> on, and expense</w:t>
      </w:r>
      <w:r w:rsidR="007C07AE">
        <w:t xml:space="preserve"> </w:t>
      </w:r>
      <w:r w:rsidR="00CD757C">
        <w:t>to,</w:t>
      </w:r>
      <w:r w:rsidR="007C07AE">
        <w:t xml:space="preserve"> the </w:t>
      </w:r>
      <w:r w:rsidR="00CD757C">
        <w:t xml:space="preserve">broader </w:t>
      </w:r>
      <w:r w:rsidR="007C07AE">
        <w:t>healthcare system</w:t>
      </w:r>
      <w:r w:rsidR="00CD757C">
        <w:t>.</w:t>
      </w:r>
    </w:p>
    <w:p w14:paraId="30108648" w14:textId="69D025A2" w:rsidR="00A22B43" w:rsidRDefault="00A22B43" w:rsidP="00A22B43">
      <w:pPr>
        <w:pStyle w:val="Heading1"/>
      </w:pPr>
      <w:bookmarkStart w:id="7" w:name="_Toc223082164"/>
      <w:r>
        <w:lastRenderedPageBreak/>
        <w:t>Acronyms and abbreviations</w:t>
      </w:r>
      <w:bookmarkEnd w:id="7"/>
    </w:p>
    <w:p w14:paraId="1849B574" w14:textId="47E1287A" w:rsidR="00A22B43" w:rsidRDefault="00A22B43" w:rsidP="009A31A9">
      <w:pPr>
        <w:tabs>
          <w:tab w:val="left" w:pos="1276"/>
        </w:tabs>
      </w:pPr>
      <w:r>
        <w:t>BMI</w:t>
      </w:r>
      <w:r w:rsidR="000B3133">
        <w:tab/>
      </w:r>
      <w:r>
        <w:t>body</w:t>
      </w:r>
      <w:r w:rsidR="005E7F7E">
        <w:t>-</w:t>
      </w:r>
      <w:r>
        <w:t>mass index</w:t>
      </w:r>
    </w:p>
    <w:p w14:paraId="01224C53" w14:textId="2EF74D0C" w:rsidR="000B3133" w:rsidRDefault="000B3133" w:rsidP="009A31A9">
      <w:pPr>
        <w:tabs>
          <w:tab w:val="left" w:pos="1276"/>
        </w:tabs>
      </w:pPr>
      <w:r w:rsidRPr="000B3133">
        <w:t>GLP-1</w:t>
      </w:r>
      <w:r>
        <w:tab/>
        <w:t>g</w:t>
      </w:r>
      <w:r w:rsidRPr="000B3133">
        <w:t xml:space="preserve">lucagon-like peptide-1 receptor agonist </w:t>
      </w:r>
    </w:p>
    <w:p w14:paraId="51BF1A3B" w14:textId="2FDA86C8" w:rsidR="00A22B43" w:rsidRDefault="00A22B43" w:rsidP="009A31A9">
      <w:pPr>
        <w:tabs>
          <w:tab w:val="left" w:pos="1276"/>
        </w:tabs>
      </w:pPr>
      <w:r>
        <w:t>GP</w:t>
      </w:r>
      <w:r w:rsidR="000B3133">
        <w:tab/>
      </w:r>
      <w:r>
        <w:t>general practitioner</w:t>
      </w:r>
    </w:p>
    <w:p w14:paraId="2B5E1E07" w14:textId="469A7BCC" w:rsidR="00A22B43" w:rsidRDefault="00A22B43" w:rsidP="009A31A9">
      <w:pPr>
        <w:tabs>
          <w:tab w:val="left" w:pos="1276"/>
        </w:tabs>
      </w:pPr>
      <w:r>
        <w:t>OSA</w:t>
      </w:r>
      <w:r w:rsidR="000B3133">
        <w:tab/>
      </w:r>
      <w:r>
        <w:t>obstructive sleep apnoea</w:t>
      </w:r>
    </w:p>
    <w:p w14:paraId="54B2CF27" w14:textId="280FC0B8" w:rsidR="00A22B43" w:rsidRDefault="00A22B43" w:rsidP="009A31A9">
      <w:pPr>
        <w:tabs>
          <w:tab w:val="left" w:pos="1276"/>
        </w:tabs>
      </w:pPr>
      <w:r>
        <w:t>PBAC</w:t>
      </w:r>
      <w:r w:rsidR="000B3133">
        <w:tab/>
      </w:r>
      <w:r>
        <w:t>Pharmaceutical Benefits Advisory Committee</w:t>
      </w:r>
    </w:p>
    <w:p w14:paraId="6AC1F87C" w14:textId="065F249C" w:rsidR="00A22B43" w:rsidRDefault="00A22B43" w:rsidP="009A31A9">
      <w:pPr>
        <w:tabs>
          <w:tab w:val="left" w:pos="1276"/>
        </w:tabs>
      </w:pPr>
      <w:r>
        <w:t>PBS</w:t>
      </w:r>
      <w:r w:rsidR="000B3133">
        <w:tab/>
      </w:r>
      <w:r>
        <w:t>Pharmaceutical Benefits Scheme</w:t>
      </w:r>
    </w:p>
    <w:p w14:paraId="430BFA9C" w14:textId="06FE0F43" w:rsidR="00A22B43" w:rsidRPr="00A22B43" w:rsidRDefault="00A22B43" w:rsidP="009A31A9">
      <w:pPr>
        <w:tabs>
          <w:tab w:val="left" w:pos="1276"/>
        </w:tabs>
      </w:pPr>
      <w:r>
        <w:t>PCOS</w:t>
      </w:r>
      <w:r w:rsidR="000B3133">
        <w:tab/>
      </w:r>
      <w:r>
        <w:t>polycystic ovar</w:t>
      </w:r>
      <w:r w:rsidR="005E7F7E">
        <w:t>y</w:t>
      </w:r>
      <w:r>
        <w:t xml:space="preserve"> syndrome</w:t>
      </w:r>
    </w:p>
    <w:sectPr w:rsidR="00A22B43" w:rsidRPr="00A22B43"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DAE5" w14:textId="77777777" w:rsidR="00B3114B" w:rsidRDefault="00B3114B" w:rsidP="006B56BB">
      <w:r>
        <w:separator/>
      </w:r>
    </w:p>
    <w:p w14:paraId="6A0C657F" w14:textId="77777777" w:rsidR="00B3114B" w:rsidRDefault="00B3114B"/>
  </w:endnote>
  <w:endnote w:type="continuationSeparator" w:id="0">
    <w:p w14:paraId="78453DCC" w14:textId="77777777" w:rsidR="00B3114B" w:rsidRDefault="00B3114B" w:rsidP="006B56BB">
      <w:r>
        <w:continuationSeparator/>
      </w:r>
    </w:p>
    <w:p w14:paraId="1360B3D2" w14:textId="77777777" w:rsidR="00B3114B" w:rsidRDefault="00B3114B"/>
  </w:endnote>
  <w:endnote w:type="continuationNotice" w:id="1">
    <w:p w14:paraId="3443317E" w14:textId="77777777" w:rsidR="00B3114B" w:rsidRDefault="00B31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EE57" w14:textId="23CA4947" w:rsidR="00C12A71" w:rsidRDefault="00C12A71">
    <w:pPr>
      <w:pStyle w:val="Footer"/>
    </w:pPr>
    <w:r>
      <w:rPr>
        <w:noProof/>
      </w:rPr>
      <mc:AlternateContent>
        <mc:Choice Requires="wps">
          <w:drawing>
            <wp:anchor distT="0" distB="0" distL="0" distR="0" simplePos="0" relativeHeight="251662336" behindDoc="0" locked="0" layoutInCell="1" allowOverlap="1" wp14:anchorId="2269E6B0" wp14:editId="196E726D">
              <wp:simplePos x="635" y="635"/>
              <wp:positionH relativeFrom="page">
                <wp:align>center</wp:align>
              </wp:positionH>
              <wp:positionV relativeFrom="page">
                <wp:align>bottom</wp:align>
              </wp:positionV>
              <wp:extent cx="622300" cy="480695"/>
              <wp:effectExtent l="0" t="0" r="6350" b="0"/>
              <wp:wrapNone/>
              <wp:docPr id="20652274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9A2FD22" w14:textId="0CD5D653"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9E6B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49A2FD22" w14:textId="0CD5D653"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57CFE3AA" w:rsidR="00B53987" w:rsidRDefault="00C12A71" w:rsidP="00B53987">
    <w:pPr>
      <w:pStyle w:val="Footer"/>
    </w:pPr>
    <w:r>
      <w:rPr>
        <w:noProof/>
      </w:rPr>
      <mc:AlternateContent>
        <mc:Choice Requires="wps">
          <w:drawing>
            <wp:anchor distT="0" distB="0" distL="0" distR="0" simplePos="0" relativeHeight="251663360" behindDoc="0" locked="0" layoutInCell="1" allowOverlap="1" wp14:anchorId="5D5DC4FA" wp14:editId="7356E4F9">
              <wp:simplePos x="901700" y="10096500"/>
              <wp:positionH relativeFrom="page">
                <wp:align>center</wp:align>
              </wp:positionH>
              <wp:positionV relativeFrom="page">
                <wp:align>bottom</wp:align>
              </wp:positionV>
              <wp:extent cx="622300" cy="480695"/>
              <wp:effectExtent l="0" t="0" r="6350" b="0"/>
              <wp:wrapNone/>
              <wp:docPr id="16573550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0093988" w14:textId="1CF0EBAD"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DC4F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20093988" w14:textId="1CF0EBAD"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v:textbox>
              <w10:wrap anchorx="page" anchory="page"/>
            </v:shape>
          </w:pict>
        </mc:Fallback>
      </mc:AlternateContent>
    </w:r>
    <w:r w:rsidR="007C7AFD">
      <w:t xml:space="preserve">Equitable access to </w:t>
    </w:r>
    <w:r w:rsidR="00087436">
      <w:t>GLP-1</w:t>
    </w:r>
    <w:r w:rsidR="007C7AFD">
      <w:t xml:space="preserve">s for the treatment of obesity: </w:t>
    </w:r>
    <w:r w:rsidR="00B31207">
      <w:t xml:space="preserve">public consultation </w:t>
    </w:r>
    <w:r w:rsidR="007C7AFD">
      <w:t xml:space="preserve">summary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37E3" w14:textId="373E47A8" w:rsidR="00C12A71" w:rsidRDefault="00C12A71">
    <w:pPr>
      <w:pStyle w:val="Footer"/>
    </w:pPr>
    <w:r>
      <w:rPr>
        <w:noProof/>
      </w:rPr>
      <mc:AlternateContent>
        <mc:Choice Requires="wps">
          <w:drawing>
            <wp:anchor distT="0" distB="0" distL="0" distR="0" simplePos="0" relativeHeight="251661312" behindDoc="0" locked="0" layoutInCell="1" allowOverlap="1" wp14:anchorId="6B4FC0DC" wp14:editId="518489FF">
              <wp:simplePos x="901700" y="10096500"/>
              <wp:positionH relativeFrom="page">
                <wp:align>center</wp:align>
              </wp:positionH>
              <wp:positionV relativeFrom="page">
                <wp:align>bottom</wp:align>
              </wp:positionV>
              <wp:extent cx="622300" cy="480695"/>
              <wp:effectExtent l="0" t="0" r="6350" b="0"/>
              <wp:wrapNone/>
              <wp:docPr id="6530676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CD74EDF" w14:textId="7AF9AFC1"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FC0DC"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4CD74EDF" w14:textId="7AF9AFC1"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F45C" w14:textId="77777777" w:rsidR="00B3114B" w:rsidRDefault="00B3114B" w:rsidP="006B56BB">
      <w:r>
        <w:separator/>
      </w:r>
    </w:p>
    <w:p w14:paraId="1B2B34C2" w14:textId="77777777" w:rsidR="00B3114B" w:rsidRDefault="00B3114B"/>
  </w:footnote>
  <w:footnote w:type="continuationSeparator" w:id="0">
    <w:p w14:paraId="3278CC7D" w14:textId="77777777" w:rsidR="00B3114B" w:rsidRDefault="00B3114B" w:rsidP="006B56BB">
      <w:r>
        <w:continuationSeparator/>
      </w:r>
    </w:p>
    <w:p w14:paraId="5F4995D3" w14:textId="77777777" w:rsidR="00B3114B" w:rsidRDefault="00B3114B"/>
  </w:footnote>
  <w:footnote w:type="continuationNotice" w:id="1">
    <w:p w14:paraId="64A19424" w14:textId="77777777" w:rsidR="00B3114B" w:rsidRDefault="00B31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A30A" w14:textId="56276388" w:rsidR="00C12A71" w:rsidRDefault="00C12A71">
    <w:pPr>
      <w:pStyle w:val="Header"/>
    </w:pPr>
    <w:r>
      <w:rPr>
        <w:noProof/>
      </w:rPr>
      <mc:AlternateContent>
        <mc:Choice Requires="wps">
          <w:drawing>
            <wp:anchor distT="0" distB="0" distL="0" distR="0" simplePos="0" relativeHeight="251659264" behindDoc="0" locked="0" layoutInCell="1" allowOverlap="1" wp14:anchorId="402229B4" wp14:editId="54FB7DA4">
              <wp:simplePos x="635" y="635"/>
              <wp:positionH relativeFrom="page">
                <wp:align>center</wp:align>
              </wp:positionH>
              <wp:positionV relativeFrom="page">
                <wp:align>top</wp:align>
              </wp:positionV>
              <wp:extent cx="622300" cy="480695"/>
              <wp:effectExtent l="0" t="0" r="6350" b="14605"/>
              <wp:wrapNone/>
              <wp:docPr id="7890236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40AB7CB" w14:textId="1A39A4F0"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229B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340AB7CB" w14:textId="1A39A4F0"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2DB2D7C5" w:rsidR="008E0C77" w:rsidRDefault="00C12A71"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410C613B" wp14:editId="754D656D">
              <wp:simplePos x="901700" y="450850"/>
              <wp:positionH relativeFrom="page">
                <wp:align>center</wp:align>
              </wp:positionH>
              <wp:positionV relativeFrom="page">
                <wp:align>top</wp:align>
              </wp:positionV>
              <wp:extent cx="622300" cy="480695"/>
              <wp:effectExtent l="0" t="0" r="6350" b="14605"/>
              <wp:wrapNone/>
              <wp:docPr id="4909661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A9B9B80" w14:textId="4EA9699F"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C613B"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4A9B9B80" w14:textId="4EA9699F"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187114C3" w:rsidR="00B53987" w:rsidRDefault="00C12A71">
    <w:pPr>
      <w:pStyle w:val="Header"/>
    </w:pPr>
    <w:r>
      <w:rPr>
        <w:noProof/>
        <w:lang w:eastAsia="en-AU"/>
      </w:rPr>
      <mc:AlternateContent>
        <mc:Choice Requires="wps">
          <w:drawing>
            <wp:anchor distT="0" distB="0" distL="0" distR="0" simplePos="0" relativeHeight="251658240" behindDoc="0" locked="0" layoutInCell="1" allowOverlap="1" wp14:anchorId="453633C3" wp14:editId="520BFD57">
              <wp:simplePos x="901700" y="450850"/>
              <wp:positionH relativeFrom="page">
                <wp:align>center</wp:align>
              </wp:positionH>
              <wp:positionV relativeFrom="page">
                <wp:align>top</wp:align>
              </wp:positionV>
              <wp:extent cx="622300" cy="480695"/>
              <wp:effectExtent l="0" t="0" r="6350" b="14605"/>
              <wp:wrapNone/>
              <wp:docPr id="15339524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C74DE83" w14:textId="6A890ACC"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633C3"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3C74DE83" w14:textId="6A890ACC" w:rsidR="00C12A71" w:rsidRPr="00C12A71" w:rsidRDefault="00C12A71" w:rsidP="00C12A71">
                    <w:pPr>
                      <w:spacing w:after="0"/>
                      <w:rPr>
                        <w:rFonts w:ascii="Aptos" w:eastAsia="Aptos" w:hAnsi="Aptos" w:cs="Aptos"/>
                        <w:noProof/>
                        <w:color w:val="FF0000"/>
                        <w:sz w:val="24"/>
                      </w:rPr>
                    </w:pPr>
                    <w:r w:rsidRPr="00C12A71">
                      <w:rPr>
                        <w:rFonts w:ascii="Aptos" w:eastAsia="Aptos" w:hAnsi="Aptos" w:cs="Aptos"/>
                        <w:noProof/>
                        <w:color w:val="FF0000"/>
                        <w:sz w:val="24"/>
                      </w:rPr>
                      <w:t>OFFICIAL</w:t>
                    </w:r>
                  </w:p>
                </w:txbxContent>
              </v:textbox>
              <w10:wrap anchorx="page" anchory="page"/>
            </v:shape>
          </w:pict>
        </mc:Fallback>
      </mc:AlternateContent>
    </w:r>
    <w:r w:rsidR="00313F8B">
      <w:rPr>
        <w:noProof/>
        <w:lang w:eastAsia="en-AU"/>
      </w:rPr>
      <w:drawing>
        <wp:inline distT="0" distB="0" distL="0" distR="0" wp14:anchorId="6F27E1F5" wp14:editId="026AA877">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6803"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D9C6D5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1E6BD0"/>
    <w:multiLevelType w:val="hybridMultilevel"/>
    <w:tmpl w:val="B9B624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3363506"/>
    <w:multiLevelType w:val="hybridMultilevel"/>
    <w:tmpl w:val="971EEF48"/>
    <w:lvl w:ilvl="0" w:tplc="B722292C">
      <w:start w:val="1"/>
      <w:numFmt w:val="bullet"/>
      <w:pStyle w:val="ListBullet"/>
      <w:lvlText w:val=""/>
      <w:lvlJc w:val="left"/>
      <w:pPr>
        <w:ind w:left="360" w:hanging="360"/>
      </w:pPr>
      <w:rPr>
        <w:rFonts w:ascii="Symbol" w:hAnsi="Symbol" w:hint="default"/>
        <w:color w:val="auto"/>
      </w:rPr>
    </w:lvl>
    <w:lvl w:ilvl="1" w:tplc="53D22D0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1366D"/>
    <w:multiLevelType w:val="hybridMultilevel"/>
    <w:tmpl w:val="77A2F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E47B37"/>
    <w:multiLevelType w:val="hybridMultilevel"/>
    <w:tmpl w:val="92460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418E4"/>
    <w:multiLevelType w:val="hybridMultilevel"/>
    <w:tmpl w:val="2D4E8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A22194"/>
    <w:multiLevelType w:val="hybridMultilevel"/>
    <w:tmpl w:val="BF08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F7E87"/>
    <w:multiLevelType w:val="hybridMultilevel"/>
    <w:tmpl w:val="DA8A7EAA"/>
    <w:lvl w:ilvl="0" w:tplc="EF2055B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70163F9"/>
    <w:multiLevelType w:val="hybridMultilevel"/>
    <w:tmpl w:val="2AF6A5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AD67163"/>
    <w:multiLevelType w:val="hybridMultilevel"/>
    <w:tmpl w:val="408A6F70"/>
    <w:lvl w:ilvl="0" w:tplc="EF2055B8">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A65788"/>
    <w:multiLevelType w:val="hybridMultilevel"/>
    <w:tmpl w:val="8DB00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A552C4"/>
    <w:multiLevelType w:val="hybridMultilevel"/>
    <w:tmpl w:val="FA8C6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877FF3"/>
    <w:multiLevelType w:val="hybridMultilevel"/>
    <w:tmpl w:val="E92CBCE2"/>
    <w:lvl w:ilvl="0" w:tplc="EF2055B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CA74D4"/>
    <w:multiLevelType w:val="hybridMultilevel"/>
    <w:tmpl w:val="92C4E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1C6A76"/>
    <w:multiLevelType w:val="hybridMultilevel"/>
    <w:tmpl w:val="14A6AC7E"/>
    <w:lvl w:ilvl="0" w:tplc="EF2055B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391716"/>
    <w:multiLevelType w:val="hybridMultilevel"/>
    <w:tmpl w:val="EFAC551A"/>
    <w:lvl w:ilvl="0" w:tplc="53D22D02">
      <w:start w:val="1"/>
      <w:numFmt w:val="bullet"/>
      <w:pStyle w:val="ListBullet2"/>
      <w:lvlText w:val=""/>
      <w:lvlJc w:val="left"/>
      <w:pPr>
        <w:ind w:left="1004" w:hanging="360"/>
      </w:pPr>
      <w:rPr>
        <w:rFonts w:ascii="Symbol" w:hAnsi="Symbol" w:hint="default"/>
      </w:rPr>
    </w:lvl>
    <w:lvl w:ilvl="1" w:tplc="6CEE6DC6">
      <w:start w:val="1"/>
      <w:numFmt w:val="bullet"/>
      <w:lvlText w:val="•"/>
      <w:lvlJc w:val="left"/>
      <w:pPr>
        <w:ind w:left="2084" w:hanging="720"/>
      </w:pPr>
      <w:rPr>
        <w:rFonts w:ascii="Arial" w:eastAsia="Times New Roman"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3"/>
  </w:num>
  <w:num w:numId="3" w16cid:durableId="99111382">
    <w:abstractNumId w:val="27"/>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1"/>
  </w:num>
  <w:num w:numId="8" w16cid:durableId="1674914654">
    <w:abstractNumId w:val="2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1"/>
  </w:num>
  <w:num w:numId="17" w16cid:durableId="1161384352">
    <w:abstractNumId w:val="11"/>
  </w:num>
  <w:num w:numId="18" w16cid:durableId="1115442587">
    <w:abstractNumId w:val="13"/>
  </w:num>
  <w:num w:numId="19" w16cid:durableId="913049504">
    <w:abstractNumId w:val="18"/>
  </w:num>
  <w:num w:numId="20" w16cid:durableId="1185171215">
    <w:abstractNumId w:val="11"/>
  </w:num>
  <w:num w:numId="21" w16cid:durableId="1306743019">
    <w:abstractNumId w:val="18"/>
  </w:num>
  <w:num w:numId="22" w16cid:durableId="1809544992">
    <w:abstractNumId w:val="31"/>
  </w:num>
  <w:num w:numId="23" w16cid:durableId="638191149">
    <w:abstractNumId w:val="23"/>
  </w:num>
  <w:num w:numId="24" w16cid:durableId="503975017">
    <w:abstractNumId w:val="27"/>
  </w:num>
  <w:num w:numId="25" w16cid:durableId="215359669">
    <w:abstractNumId w:val="8"/>
  </w:num>
  <w:num w:numId="26" w16cid:durableId="352608886">
    <w:abstractNumId w:val="22"/>
  </w:num>
  <w:num w:numId="27" w16cid:durableId="1713771544">
    <w:abstractNumId w:val="12"/>
  </w:num>
  <w:num w:numId="28" w16cid:durableId="1213930648">
    <w:abstractNumId w:val="16"/>
  </w:num>
  <w:num w:numId="29" w16cid:durableId="1333802083">
    <w:abstractNumId w:val="17"/>
  </w:num>
  <w:num w:numId="30" w16cid:durableId="1556356992">
    <w:abstractNumId w:val="20"/>
  </w:num>
  <w:num w:numId="31" w16cid:durableId="60103741">
    <w:abstractNumId w:val="30"/>
  </w:num>
  <w:num w:numId="32" w16cid:durableId="420876241">
    <w:abstractNumId w:val="28"/>
  </w:num>
  <w:num w:numId="33" w16cid:durableId="691298451">
    <w:abstractNumId w:val="14"/>
  </w:num>
  <w:num w:numId="34" w16cid:durableId="1842742106">
    <w:abstractNumId w:val="19"/>
  </w:num>
  <w:num w:numId="35" w16cid:durableId="1039551450">
    <w:abstractNumId w:val="15"/>
  </w:num>
  <w:num w:numId="36" w16cid:durableId="1236819857">
    <w:abstractNumId w:val="10"/>
  </w:num>
  <w:num w:numId="37" w16cid:durableId="1444380355">
    <w:abstractNumId w:val="25"/>
  </w:num>
  <w:num w:numId="38" w16cid:durableId="1933003647">
    <w:abstractNumId w:val="29"/>
  </w:num>
  <w:num w:numId="39" w16cid:durableId="1908763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21F"/>
    <w:rsid w:val="00005712"/>
    <w:rsid w:val="0000623B"/>
    <w:rsid w:val="00007FD8"/>
    <w:rsid w:val="000117F8"/>
    <w:rsid w:val="0001460F"/>
    <w:rsid w:val="00015D08"/>
    <w:rsid w:val="00015E7E"/>
    <w:rsid w:val="00017091"/>
    <w:rsid w:val="00022629"/>
    <w:rsid w:val="00022793"/>
    <w:rsid w:val="00026139"/>
    <w:rsid w:val="0002624F"/>
    <w:rsid w:val="00026428"/>
    <w:rsid w:val="00027601"/>
    <w:rsid w:val="0003008E"/>
    <w:rsid w:val="00030D52"/>
    <w:rsid w:val="000326BB"/>
    <w:rsid w:val="00033321"/>
    <w:rsid w:val="000338E5"/>
    <w:rsid w:val="00033CF9"/>
    <w:rsid w:val="00033ECC"/>
    <w:rsid w:val="0003422F"/>
    <w:rsid w:val="0003496B"/>
    <w:rsid w:val="00036601"/>
    <w:rsid w:val="00041507"/>
    <w:rsid w:val="00043DC0"/>
    <w:rsid w:val="00046FF0"/>
    <w:rsid w:val="00050176"/>
    <w:rsid w:val="00050342"/>
    <w:rsid w:val="00050E72"/>
    <w:rsid w:val="00054BAD"/>
    <w:rsid w:val="0005717C"/>
    <w:rsid w:val="00057799"/>
    <w:rsid w:val="00063146"/>
    <w:rsid w:val="00063271"/>
    <w:rsid w:val="00067456"/>
    <w:rsid w:val="0007113B"/>
    <w:rsid w:val="00071506"/>
    <w:rsid w:val="0007154F"/>
    <w:rsid w:val="00071CC7"/>
    <w:rsid w:val="00071D46"/>
    <w:rsid w:val="000728AB"/>
    <w:rsid w:val="000774BF"/>
    <w:rsid w:val="00081AB1"/>
    <w:rsid w:val="000849BC"/>
    <w:rsid w:val="00087436"/>
    <w:rsid w:val="00087524"/>
    <w:rsid w:val="00087879"/>
    <w:rsid w:val="000900E4"/>
    <w:rsid w:val="00090316"/>
    <w:rsid w:val="0009228A"/>
    <w:rsid w:val="00093981"/>
    <w:rsid w:val="00095FA5"/>
    <w:rsid w:val="00097211"/>
    <w:rsid w:val="000A2188"/>
    <w:rsid w:val="000A2241"/>
    <w:rsid w:val="000A6941"/>
    <w:rsid w:val="000B067A"/>
    <w:rsid w:val="000B1540"/>
    <w:rsid w:val="000B1E53"/>
    <w:rsid w:val="000B3133"/>
    <w:rsid w:val="000B33FD"/>
    <w:rsid w:val="000B4ABA"/>
    <w:rsid w:val="000B56B9"/>
    <w:rsid w:val="000C4A2D"/>
    <w:rsid w:val="000C4B16"/>
    <w:rsid w:val="000C50C3"/>
    <w:rsid w:val="000C5E14"/>
    <w:rsid w:val="000D08FF"/>
    <w:rsid w:val="000D0BD7"/>
    <w:rsid w:val="000D21F6"/>
    <w:rsid w:val="000D3AC1"/>
    <w:rsid w:val="000D4500"/>
    <w:rsid w:val="000D5732"/>
    <w:rsid w:val="000D5A38"/>
    <w:rsid w:val="000D64BE"/>
    <w:rsid w:val="000D69AE"/>
    <w:rsid w:val="000D7384"/>
    <w:rsid w:val="000D7AEA"/>
    <w:rsid w:val="000E2C66"/>
    <w:rsid w:val="000E50BE"/>
    <w:rsid w:val="000E5D91"/>
    <w:rsid w:val="000F123C"/>
    <w:rsid w:val="000F2FED"/>
    <w:rsid w:val="000F342E"/>
    <w:rsid w:val="000F50FF"/>
    <w:rsid w:val="000F5312"/>
    <w:rsid w:val="000F7FB6"/>
    <w:rsid w:val="00100300"/>
    <w:rsid w:val="00100614"/>
    <w:rsid w:val="001009D6"/>
    <w:rsid w:val="00100F5A"/>
    <w:rsid w:val="00104DDB"/>
    <w:rsid w:val="0010616D"/>
    <w:rsid w:val="00107371"/>
    <w:rsid w:val="00110478"/>
    <w:rsid w:val="00111D17"/>
    <w:rsid w:val="00112566"/>
    <w:rsid w:val="00113024"/>
    <w:rsid w:val="0011711B"/>
    <w:rsid w:val="00117F8A"/>
    <w:rsid w:val="00121B9B"/>
    <w:rsid w:val="00122ADC"/>
    <w:rsid w:val="00123F5D"/>
    <w:rsid w:val="00124A5F"/>
    <w:rsid w:val="00127C00"/>
    <w:rsid w:val="00130F59"/>
    <w:rsid w:val="00131D0B"/>
    <w:rsid w:val="00133EC0"/>
    <w:rsid w:val="00135307"/>
    <w:rsid w:val="00141CE5"/>
    <w:rsid w:val="001447CC"/>
    <w:rsid w:val="00144908"/>
    <w:rsid w:val="00154811"/>
    <w:rsid w:val="00156D96"/>
    <w:rsid w:val="001571C7"/>
    <w:rsid w:val="00161094"/>
    <w:rsid w:val="001650C5"/>
    <w:rsid w:val="00165B71"/>
    <w:rsid w:val="00172FF3"/>
    <w:rsid w:val="0017665C"/>
    <w:rsid w:val="00176D98"/>
    <w:rsid w:val="00177AD2"/>
    <w:rsid w:val="001815A8"/>
    <w:rsid w:val="001840FA"/>
    <w:rsid w:val="00184D81"/>
    <w:rsid w:val="00185D0F"/>
    <w:rsid w:val="00186FF8"/>
    <w:rsid w:val="00190079"/>
    <w:rsid w:val="00190304"/>
    <w:rsid w:val="001927FF"/>
    <w:rsid w:val="00192871"/>
    <w:rsid w:val="00194280"/>
    <w:rsid w:val="00194E92"/>
    <w:rsid w:val="0019622E"/>
    <w:rsid w:val="001966A7"/>
    <w:rsid w:val="001A4627"/>
    <w:rsid w:val="001A4979"/>
    <w:rsid w:val="001A7008"/>
    <w:rsid w:val="001A7F5E"/>
    <w:rsid w:val="001B0C8F"/>
    <w:rsid w:val="001B15D3"/>
    <w:rsid w:val="001B3443"/>
    <w:rsid w:val="001B42CD"/>
    <w:rsid w:val="001B53CD"/>
    <w:rsid w:val="001C0326"/>
    <w:rsid w:val="001C192F"/>
    <w:rsid w:val="001C318B"/>
    <w:rsid w:val="001C3C42"/>
    <w:rsid w:val="001C41BE"/>
    <w:rsid w:val="001C6D0F"/>
    <w:rsid w:val="001C706E"/>
    <w:rsid w:val="001D22F6"/>
    <w:rsid w:val="001D653F"/>
    <w:rsid w:val="001D7869"/>
    <w:rsid w:val="001E0B61"/>
    <w:rsid w:val="001E4521"/>
    <w:rsid w:val="001E4D4C"/>
    <w:rsid w:val="001E7C0F"/>
    <w:rsid w:val="001F1EFA"/>
    <w:rsid w:val="001F4857"/>
    <w:rsid w:val="002026CD"/>
    <w:rsid w:val="002033FC"/>
    <w:rsid w:val="002044BB"/>
    <w:rsid w:val="00204CA4"/>
    <w:rsid w:val="00205D91"/>
    <w:rsid w:val="002061FC"/>
    <w:rsid w:val="00207A31"/>
    <w:rsid w:val="00207D49"/>
    <w:rsid w:val="00210B09"/>
    <w:rsid w:val="00210C9E"/>
    <w:rsid w:val="00211840"/>
    <w:rsid w:val="00213428"/>
    <w:rsid w:val="00216255"/>
    <w:rsid w:val="00217BF9"/>
    <w:rsid w:val="00217F83"/>
    <w:rsid w:val="00220E5F"/>
    <w:rsid w:val="002212B5"/>
    <w:rsid w:val="00221E07"/>
    <w:rsid w:val="00224DF8"/>
    <w:rsid w:val="00226668"/>
    <w:rsid w:val="00233809"/>
    <w:rsid w:val="00240046"/>
    <w:rsid w:val="00241628"/>
    <w:rsid w:val="002419B7"/>
    <w:rsid w:val="00244C1A"/>
    <w:rsid w:val="0024643C"/>
    <w:rsid w:val="00246C45"/>
    <w:rsid w:val="0024797F"/>
    <w:rsid w:val="00250725"/>
    <w:rsid w:val="0025119E"/>
    <w:rsid w:val="00251269"/>
    <w:rsid w:val="00251C6E"/>
    <w:rsid w:val="002532CF"/>
    <w:rsid w:val="002535C0"/>
    <w:rsid w:val="002539EC"/>
    <w:rsid w:val="00254B5B"/>
    <w:rsid w:val="00255752"/>
    <w:rsid w:val="002565FB"/>
    <w:rsid w:val="00256D35"/>
    <w:rsid w:val="0025769F"/>
    <w:rsid w:val="002579FE"/>
    <w:rsid w:val="00261BD4"/>
    <w:rsid w:val="00262598"/>
    <w:rsid w:val="002630B3"/>
    <w:rsid w:val="0026311C"/>
    <w:rsid w:val="00265F7A"/>
    <w:rsid w:val="00266423"/>
    <w:rsid w:val="0026668C"/>
    <w:rsid w:val="00266AC1"/>
    <w:rsid w:val="0027178C"/>
    <w:rsid w:val="002719FA"/>
    <w:rsid w:val="00272668"/>
    <w:rsid w:val="00272ECC"/>
    <w:rsid w:val="0027330B"/>
    <w:rsid w:val="00273F1E"/>
    <w:rsid w:val="002803AD"/>
    <w:rsid w:val="0028098A"/>
    <w:rsid w:val="00282052"/>
    <w:rsid w:val="002831A3"/>
    <w:rsid w:val="0028519E"/>
    <w:rsid w:val="002856A5"/>
    <w:rsid w:val="00285989"/>
    <w:rsid w:val="002861BD"/>
    <w:rsid w:val="002872ED"/>
    <w:rsid w:val="002905C2"/>
    <w:rsid w:val="00292520"/>
    <w:rsid w:val="002941B3"/>
    <w:rsid w:val="00295AF2"/>
    <w:rsid w:val="00295BFA"/>
    <w:rsid w:val="00295C91"/>
    <w:rsid w:val="00297151"/>
    <w:rsid w:val="002A236B"/>
    <w:rsid w:val="002A6CD2"/>
    <w:rsid w:val="002B20E6"/>
    <w:rsid w:val="002B40CF"/>
    <w:rsid w:val="002B42A3"/>
    <w:rsid w:val="002B6DDD"/>
    <w:rsid w:val="002C0CDD"/>
    <w:rsid w:val="002C38C4"/>
    <w:rsid w:val="002C4946"/>
    <w:rsid w:val="002C5708"/>
    <w:rsid w:val="002D133F"/>
    <w:rsid w:val="002D38B0"/>
    <w:rsid w:val="002D46F4"/>
    <w:rsid w:val="002E16BD"/>
    <w:rsid w:val="002E1A1D"/>
    <w:rsid w:val="002E3D95"/>
    <w:rsid w:val="002E4081"/>
    <w:rsid w:val="002E5B78"/>
    <w:rsid w:val="002F23EC"/>
    <w:rsid w:val="002F3AE3"/>
    <w:rsid w:val="002F61E4"/>
    <w:rsid w:val="003037F7"/>
    <w:rsid w:val="0030464B"/>
    <w:rsid w:val="0030786C"/>
    <w:rsid w:val="00313F8B"/>
    <w:rsid w:val="00317800"/>
    <w:rsid w:val="0032121B"/>
    <w:rsid w:val="003233DE"/>
    <w:rsid w:val="0032466B"/>
    <w:rsid w:val="003330EB"/>
    <w:rsid w:val="00333EE0"/>
    <w:rsid w:val="003356A5"/>
    <w:rsid w:val="00335D8A"/>
    <w:rsid w:val="003415FD"/>
    <w:rsid w:val="0034249E"/>
    <w:rsid w:val="003429F0"/>
    <w:rsid w:val="00345A82"/>
    <w:rsid w:val="00347C1A"/>
    <w:rsid w:val="00347D32"/>
    <w:rsid w:val="0035097A"/>
    <w:rsid w:val="003540A4"/>
    <w:rsid w:val="003553C1"/>
    <w:rsid w:val="00357BCC"/>
    <w:rsid w:val="00360BB7"/>
    <w:rsid w:val="00360E4E"/>
    <w:rsid w:val="00370AAA"/>
    <w:rsid w:val="00371DB6"/>
    <w:rsid w:val="003758B2"/>
    <w:rsid w:val="00375F77"/>
    <w:rsid w:val="003761D9"/>
    <w:rsid w:val="00377EE2"/>
    <w:rsid w:val="003808BE"/>
    <w:rsid w:val="00380AC6"/>
    <w:rsid w:val="00381BBE"/>
    <w:rsid w:val="00382903"/>
    <w:rsid w:val="00382FAA"/>
    <w:rsid w:val="00383B36"/>
    <w:rsid w:val="003846FF"/>
    <w:rsid w:val="003857D4"/>
    <w:rsid w:val="00385AD4"/>
    <w:rsid w:val="00387924"/>
    <w:rsid w:val="003902B5"/>
    <w:rsid w:val="00390D86"/>
    <w:rsid w:val="00391FAF"/>
    <w:rsid w:val="0039384D"/>
    <w:rsid w:val="00394687"/>
    <w:rsid w:val="00395C23"/>
    <w:rsid w:val="00397EBC"/>
    <w:rsid w:val="003A12A2"/>
    <w:rsid w:val="003A2E4F"/>
    <w:rsid w:val="003A385D"/>
    <w:rsid w:val="003A4438"/>
    <w:rsid w:val="003A5013"/>
    <w:rsid w:val="003A5078"/>
    <w:rsid w:val="003A62DD"/>
    <w:rsid w:val="003A6572"/>
    <w:rsid w:val="003A775A"/>
    <w:rsid w:val="003B213A"/>
    <w:rsid w:val="003B358E"/>
    <w:rsid w:val="003B43AD"/>
    <w:rsid w:val="003C0FEC"/>
    <w:rsid w:val="003C2AC8"/>
    <w:rsid w:val="003C3E84"/>
    <w:rsid w:val="003C5ECA"/>
    <w:rsid w:val="003D033A"/>
    <w:rsid w:val="003D17F9"/>
    <w:rsid w:val="003D2D88"/>
    <w:rsid w:val="003D41EA"/>
    <w:rsid w:val="003D4850"/>
    <w:rsid w:val="003D535A"/>
    <w:rsid w:val="003D7D5E"/>
    <w:rsid w:val="003E4BAD"/>
    <w:rsid w:val="003E5265"/>
    <w:rsid w:val="003F0955"/>
    <w:rsid w:val="003F3D44"/>
    <w:rsid w:val="003F3FFF"/>
    <w:rsid w:val="003F5F4D"/>
    <w:rsid w:val="003F646F"/>
    <w:rsid w:val="00400F00"/>
    <w:rsid w:val="004013CA"/>
    <w:rsid w:val="00404F8B"/>
    <w:rsid w:val="00405256"/>
    <w:rsid w:val="00407431"/>
    <w:rsid w:val="00410031"/>
    <w:rsid w:val="00415C81"/>
    <w:rsid w:val="0042012B"/>
    <w:rsid w:val="00420311"/>
    <w:rsid w:val="00422823"/>
    <w:rsid w:val="00430050"/>
    <w:rsid w:val="00432378"/>
    <w:rsid w:val="00433611"/>
    <w:rsid w:val="00433A8A"/>
    <w:rsid w:val="00437342"/>
    <w:rsid w:val="004378C7"/>
    <w:rsid w:val="00440D65"/>
    <w:rsid w:val="00442F7A"/>
    <w:rsid w:val="00443340"/>
    <w:rsid w:val="004435E6"/>
    <w:rsid w:val="00447BF4"/>
    <w:rsid w:val="00447E31"/>
    <w:rsid w:val="00451B41"/>
    <w:rsid w:val="00453923"/>
    <w:rsid w:val="00454B9B"/>
    <w:rsid w:val="00454BE2"/>
    <w:rsid w:val="00457858"/>
    <w:rsid w:val="00460B0B"/>
    <w:rsid w:val="00461023"/>
    <w:rsid w:val="00461B4D"/>
    <w:rsid w:val="0046275B"/>
    <w:rsid w:val="00462FAC"/>
    <w:rsid w:val="004635C1"/>
    <w:rsid w:val="00464631"/>
    <w:rsid w:val="00464B79"/>
    <w:rsid w:val="00465316"/>
    <w:rsid w:val="00467BBF"/>
    <w:rsid w:val="00472370"/>
    <w:rsid w:val="00476A56"/>
    <w:rsid w:val="004776DF"/>
    <w:rsid w:val="00480CE2"/>
    <w:rsid w:val="00483469"/>
    <w:rsid w:val="0048593C"/>
    <w:rsid w:val="00485F6E"/>
    <w:rsid w:val="004867E2"/>
    <w:rsid w:val="00491BB6"/>
    <w:rsid w:val="004929A9"/>
    <w:rsid w:val="00496EC4"/>
    <w:rsid w:val="00497777"/>
    <w:rsid w:val="00497C92"/>
    <w:rsid w:val="004A25B9"/>
    <w:rsid w:val="004A4490"/>
    <w:rsid w:val="004A78D9"/>
    <w:rsid w:val="004B3944"/>
    <w:rsid w:val="004C0EC4"/>
    <w:rsid w:val="004C1A58"/>
    <w:rsid w:val="004C38F4"/>
    <w:rsid w:val="004C6BCF"/>
    <w:rsid w:val="004C7525"/>
    <w:rsid w:val="004D11DE"/>
    <w:rsid w:val="004D3DC5"/>
    <w:rsid w:val="004D5584"/>
    <w:rsid w:val="004D58BF"/>
    <w:rsid w:val="004D617C"/>
    <w:rsid w:val="004D6955"/>
    <w:rsid w:val="004E101E"/>
    <w:rsid w:val="004E185C"/>
    <w:rsid w:val="004E28D7"/>
    <w:rsid w:val="004E4335"/>
    <w:rsid w:val="004F13EE"/>
    <w:rsid w:val="004F2022"/>
    <w:rsid w:val="004F39AD"/>
    <w:rsid w:val="004F5B45"/>
    <w:rsid w:val="004F7C05"/>
    <w:rsid w:val="004F7F3D"/>
    <w:rsid w:val="00500B03"/>
    <w:rsid w:val="00501089"/>
    <w:rsid w:val="00501C94"/>
    <w:rsid w:val="00506432"/>
    <w:rsid w:val="00506E82"/>
    <w:rsid w:val="00507FFE"/>
    <w:rsid w:val="00510D06"/>
    <w:rsid w:val="00511AA1"/>
    <w:rsid w:val="005141B6"/>
    <w:rsid w:val="0052051D"/>
    <w:rsid w:val="0052567C"/>
    <w:rsid w:val="00525BB6"/>
    <w:rsid w:val="00526C78"/>
    <w:rsid w:val="00530236"/>
    <w:rsid w:val="005334AD"/>
    <w:rsid w:val="005356BE"/>
    <w:rsid w:val="00536B06"/>
    <w:rsid w:val="0054366B"/>
    <w:rsid w:val="00545EE6"/>
    <w:rsid w:val="00550879"/>
    <w:rsid w:val="00551BC7"/>
    <w:rsid w:val="00551F27"/>
    <w:rsid w:val="005550E7"/>
    <w:rsid w:val="005564FB"/>
    <w:rsid w:val="005572C7"/>
    <w:rsid w:val="005643BA"/>
    <w:rsid w:val="005650ED"/>
    <w:rsid w:val="00566A2A"/>
    <w:rsid w:val="00575754"/>
    <w:rsid w:val="00581FBA"/>
    <w:rsid w:val="005829C2"/>
    <w:rsid w:val="0058349E"/>
    <w:rsid w:val="00583FA0"/>
    <w:rsid w:val="00585D43"/>
    <w:rsid w:val="00591E20"/>
    <w:rsid w:val="00595408"/>
    <w:rsid w:val="00595E84"/>
    <w:rsid w:val="005963D4"/>
    <w:rsid w:val="00597DFF"/>
    <w:rsid w:val="005A0C59"/>
    <w:rsid w:val="005A21BC"/>
    <w:rsid w:val="005A48EB"/>
    <w:rsid w:val="005A544F"/>
    <w:rsid w:val="005A6CFB"/>
    <w:rsid w:val="005B1A38"/>
    <w:rsid w:val="005B1E5A"/>
    <w:rsid w:val="005B2543"/>
    <w:rsid w:val="005B2E56"/>
    <w:rsid w:val="005B3324"/>
    <w:rsid w:val="005B351C"/>
    <w:rsid w:val="005C021E"/>
    <w:rsid w:val="005C2151"/>
    <w:rsid w:val="005C3607"/>
    <w:rsid w:val="005C5AEB"/>
    <w:rsid w:val="005C6F34"/>
    <w:rsid w:val="005C750C"/>
    <w:rsid w:val="005C769B"/>
    <w:rsid w:val="005C790E"/>
    <w:rsid w:val="005D1C66"/>
    <w:rsid w:val="005D2DF6"/>
    <w:rsid w:val="005D343C"/>
    <w:rsid w:val="005D64EE"/>
    <w:rsid w:val="005E0A3F"/>
    <w:rsid w:val="005E6883"/>
    <w:rsid w:val="005E772F"/>
    <w:rsid w:val="005E7F7E"/>
    <w:rsid w:val="005F08DD"/>
    <w:rsid w:val="005F122C"/>
    <w:rsid w:val="005F3F5F"/>
    <w:rsid w:val="005F45BB"/>
    <w:rsid w:val="005F4ECA"/>
    <w:rsid w:val="006006FA"/>
    <w:rsid w:val="00602867"/>
    <w:rsid w:val="006041BE"/>
    <w:rsid w:val="006043C7"/>
    <w:rsid w:val="00604758"/>
    <w:rsid w:val="00607D63"/>
    <w:rsid w:val="0061246D"/>
    <w:rsid w:val="00613414"/>
    <w:rsid w:val="006178D8"/>
    <w:rsid w:val="0062479B"/>
    <w:rsid w:val="00624B52"/>
    <w:rsid w:val="00630794"/>
    <w:rsid w:val="00631DF4"/>
    <w:rsid w:val="00634175"/>
    <w:rsid w:val="00634D39"/>
    <w:rsid w:val="0063515F"/>
    <w:rsid w:val="00635A8E"/>
    <w:rsid w:val="00636405"/>
    <w:rsid w:val="00636F83"/>
    <w:rsid w:val="006408AC"/>
    <w:rsid w:val="0064777B"/>
    <w:rsid w:val="006511B6"/>
    <w:rsid w:val="00652AAE"/>
    <w:rsid w:val="006532CD"/>
    <w:rsid w:val="0065400D"/>
    <w:rsid w:val="006568BB"/>
    <w:rsid w:val="00657FF8"/>
    <w:rsid w:val="006609AA"/>
    <w:rsid w:val="00662F7C"/>
    <w:rsid w:val="00670D99"/>
    <w:rsid w:val="00670E2B"/>
    <w:rsid w:val="0067111D"/>
    <w:rsid w:val="00671286"/>
    <w:rsid w:val="006734BB"/>
    <w:rsid w:val="00674A12"/>
    <w:rsid w:val="00676605"/>
    <w:rsid w:val="0067697A"/>
    <w:rsid w:val="006821EB"/>
    <w:rsid w:val="00684E42"/>
    <w:rsid w:val="00685D10"/>
    <w:rsid w:val="00686CAF"/>
    <w:rsid w:val="006912B3"/>
    <w:rsid w:val="006A0408"/>
    <w:rsid w:val="006A1A16"/>
    <w:rsid w:val="006A5336"/>
    <w:rsid w:val="006B113B"/>
    <w:rsid w:val="006B17C3"/>
    <w:rsid w:val="006B1EAF"/>
    <w:rsid w:val="006B2286"/>
    <w:rsid w:val="006B56BB"/>
    <w:rsid w:val="006C01A5"/>
    <w:rsid w:val="006C09CF"/>
    <w:rsid w:val="006C105F"/>
    <w:rsid w:val="006C2BFB"/>
    <w:rsid w:val="006C4058"/>
    <w:rsid w:val="006C5699"/>
    <w:rsid w:val="006C5BDB"/>
    <w:rsid w:val="006C5BDF"/>
    <w:rsid w:val="006C6DFC"/>
    <w:rsid w:val="006C77A8"/>
    <w:rsid w:val="006D00EB"/>
    <w:rsid w:val="006D4098"/>
    <w:rsid w:val="006D5108"/>
    <w:rsid w:val="006D7681"/>
    <w:rsid w:val="006D7B2E"/>
    <w:rsid w:val="006E02EA"/>
    <w:rsid w:val="006E0968"/>
    <w:rsid w:val="006E2AF6"/>
    <w:rsid w:val="006E416B"/>
    <w:rsid w:val="006E41D0"/>
    <w:rsid w:val="006E57E4"/>
    <w:rsid w:val="006F080D"/>
    <w:rsid w:val="006F1393"/>
    <w:rsid w:val="006F33E4"/>
    <w:rsid w:val="006F4087"/>
    <w:rsid w:val="006F4C57"/>
    <w:rsid w:val="006F585C"/>
    <w:rsid w:val="006F661F"/>
    <w:rsid w:val="00701275"/>
    <w:rsid w:val="0070338F"/>
    <w:rsid w:val="00703D84"/>
    <w:rsid w:val="00703F1D"/>
    <w:rsid w:val="00705CBE"/>
    <w:rsid w:val="00706068"/>
    <w:rsid w:val="00707F56"/>
    <w:rsid w:val="00710483"/>
    <w:rsid w:val="0071093A"/>
    <w:rsid w:val="0071112A"/>
    <w:rsid w:val="00711A77"/>
    <w:rsid w:val="00711EF7"/>
    <w:rsid w:val="00713558"/>
    <w:rsid w:val="00716263"/>
    <w:rsid w:val="00720D08"/>
    <w:rsid w:val="007263B9"/>
    <w:rsid w:val="00731828"/>
    <w:rsid w:val="007327DA"/>
    <w:rsid w:val="007334F8"/>
    <w:rsid w:val="007339CD"/>
    <w:rsid w:val="007359D8"/>
    <w:rsid w:val="007362D4"/>
    <w:rsid w:val="00736461"/>
    <w:rsid w:val="007375F9"/>
    <w:rsid w:val="00740CEB"/>
    <w:rsid w:val="007473B6"/>
    <w:rsid w:val="00747ADC"/>
    <w:rsid w:val="00751C8D"/>
    <w:rsid w:val="00753A90"/>
    <w:rsid w:val="00754F0B"/>
    <w:rsid w:val="00757990"/>
    <w:rsid w:val="0076018C"/>
    <w:rsid w:val="00761100"/>
    <w:rsid w:val="00762E8F"/>
    <w:rsid w:val="0076656B"/>
    <w:rsid w:val="0076672A"/>
    <w:rsid w:val="00767604"/>
    <w:rsid w:val="00774948"/>
    <w:rsid w:val="00775E45"/>
    <w:rsid w:val="00776E74"/>
    <w:rsid w:val="00777796"/>
    <w:rsid w:val="007826EC"/>
    <w:rsid w:val="007847F6"/>
    <w:rsid w:val="00784F38"/>
    <w:rsid w:val="00785169"/>
    <w:rsid w:val="0078769E"/>
    <w:rsid w:val="00792DC3"/>
    <w:rsid w:val="00794C71"/>
    <w:rsid w:val="00794CD9"/>
    <w:rsid w:val="00794D68"/>
    <w:rsid w:val="007954AB"/>
    <w:rsid w:val="007A11DF"/>
    <w:rsid w:val="007A14C5"/>
    <w:rsid w:val="007A2777"/>
    <w:rsid w:val="007A4A10"/>
    <w:rsid w:val="007B0D79"/>
    <w:rsid w:val="007B1760"/>
    <w:rsid w:val="007B5967"/>
    <w:rsid w:val="007B5B41"/>
    <w:rsid w:val="007C010A"/>
    <w:rsid w:val="007C07AE"/>
    <w:rsid w:val="007C1FDC"/>
    <w:rsid w:val="007C3698"/>
    <w:rsid w:val="007C3784"/>
    <w:rsid w:val="007C5545"/>
    <w:rsid w:val="007C581E"/>
    <w:rsid w:val="007C5947"/>
    <w:rsid w:val="007C6D9C"/>
    <w:rsid w:val="007C7AFD"/>
    <w:rsid w:val="007C7DDB"/>
    <w:rsid w:val="007D2CC7"/>
    <w:rsid w:val="007D37C8"/>
    <w:rsid w:val="007D415F"/>
    <w:rsid w:val="007D673D"/>
    <w:rsid w:val="007D6DD6"/>
    <w:rsid w:val="007E0FB8"/>
    <w:rsid w:val="007E4D09"/>
    <w:rsid w:val="007E6B48"/>
    <w:rsid w:val="007E6FA3"/>
    <w:rsid w:val="007F010E"/>
    <w:rsid w:val="007F2220"/>
    <w:rsid w:val="007F4B3E"/>
    <w:rsid w:val="008127AF"/>
    <w:rsid w:val="00812B46"/>
    <w:rsid w:val="0081436C"/>
    <w:rsid w:val="00814C19"/>
    <w:rsid w:val="00815700"/>
    <w:rsid w:val="00815A09"/>
    <w:rsid w:val="00822088"/>
    <w:rsid w:val="00822D36"/>
    <w:rsid w:val="008264EB"/>
    <w:rsid w:val="00826B8F"/>
    <w:rsid w:val="00831E8A"/>
    <w:rsid w:val="00835B37"/>
    <w:rsid w:val="00835C76"/>
    <w:rsid w:val="008376E2"/>
    <w:rsid w:val="00840277"/>
    <w:rsid w:val="00840472"/>
    <w:rsid w:val="00843049"/>
    <w:rsid w:val="00843800"/>
    <w:rsid w:val="00844E83"/>
    <w:rsid w:val="00846194"/>
    <w:rsid w:val="008477A0"/>
    <w:rsid w:val="0085209B"/>
    <w:rsid w:val="00852572"/>
    <w:rsid w:val="00852695"/>
    <w:rsid w:val="008548DA"/>
    <w:rsid w:val="00854CB3"/>
    <w:rsid w:val="00856B66"/>
    <w:rsid w:val="008601AC"/>
    <w:rsid w:val="00861A5F"/>
    <w:rsid w:val="0086416A"/>
    <w:rsid w:val="008644AD"/>
    <w:rsid w:val="00865735"/>
    <w:rsid w:val="00865DDB"/>
    <w:rsid w:val="00865E87"/>
    <w:rsid w:val="00867538"/>
    <w:rsid w:val="00867618"/>
    <w:rsid w:val="00871876"/>
    <w:rsid w:val="00873D90"/>
    <w:rsid w:val="00873FC8"/>
    <w:rsid w:val="0087512D"/>
    <w:rsid w:val="0087651B"/>
    <w:rsid w:val="00877898"/>
    <w:rsid w:val="00881EB2"/>
    <w:rsid w:val="00882FD6"/>
    <w:rsid w:val="00883038"/>
    <w:rsid w:val="00884C63"/>
    <w:rsid w:val="00884E39"/>
    <w:rsid w:val="00885908"/>
    <w:rsid w:val="008864B7"/>
    <w:rsid w:val="00886515"/>
    <w:rsid w:val="008906FC"/>
    <w:rsid w:val="00891D9B"/>
    <w:rsid w:val="008939D4"/>
    <w:rsid w:val="00894462"/>
    <w:rsid w:val="008946BA"/>
    <w:rsid w:val="0089677E"/>
    <w:rsid w:val="008A2E37"/>
    <w:rsid w:val="008A2E7E"/>
    <w:rsid w:val="008A5A7B"/>
    <w:rsid w:val="008A7438"/>
    <w:rsid w:val="008B0995"/>
    <w:rsid w:val="008B0D1F"/>
    <w:rsid w:val="008B1334"/>
    <w:rsid w:val="008B25C7"/>
    <w:rsid w:val="008B4003"/>
    <w:rsid w:val="008B5725"/>
    <w:rsid w:val="008C0278"/>
    <w:rsid w:val="008C24E9"/>
    <w:rsid w:val="008C2CD0"/>
    <w:rsid w:val="008C345C"/>
    <w:rsid w:val="008C4241"/>
    <w:rsid w:val="008C6537"/>
    <w:rsid w:val="008D0533"/>
    <w:rsid w:val="008D2411"/>
    <w:rsid w:val="008D42CB"/>
    <w:rsid w:val="008D48C9"/>
    <w:rsid w:val="008D6381"/>
    <w:rsid w:val="008E0C77"/>
    <w:rsid w:val="008E2F13"/>
    <w:rsid w:val="008E625F"/>
    <w:rsid w:val="008E6E2D"/>
    <w:rsid w:val="008F00C6"/>
    <w:rsid w:val="008F264D"/>
    <w:rsid w:val="008F2AE8"/>
    <w:rsid w:val="00901037"/>
    <w:rsid w:val="009040E9"/>
    <w:rsid w:val="00904877"/>
    <w:rsid w:val="009052FE"/>
    <w:rsid w:val="00905E4E"/>
    <w:rsid w:val="009074E1"/>
    <w:rsid w:val="0091079B"/>
    <w:rsid w:val="009112F7"/>
    <w:rsid w:val="009117AD"/>
    <w:rsid w:val="009122AF"/>
    <w:rsid w:val="009125B4"/>
    <w:rsid w:val="00912D54"/>
    <w:rsid w:val="0091389F"/>
    <w:rsid w:val="00916143"/>
    <w:rsid w:val="009203C5"/>
    <w:rsid w:val="009208F7"/>
    <w:rsid w:val="00921649"/>
    <w:rsid w:val="009221E4"/>
    <w:rsid w:val="00922517"/>
    <w:rsid w:val="00922722"/>
    <w:rsid w:val="009261E6"/>
    <w:rsid w:val="009268E1"/>
    <w:rsid w:val="00926D36"/>
    <w:rsid w:val="009271EE"/>
    <w:rsid w:val="00927466"/>
    <w:rsid w:val="009344AE"/>
    <w:rsid w:val="009344DE"/>
    <w:rsid w:val="00937938"/>
    <w:rsid w:val="00937CB0"/>
    <w:rsid w:val="00941955"/>
    <w:rsid w:val="00945E7F"/>
    <w:rsid w:val="00946043"/>
    <w:rsid w:val="00950578"/>
    <w:rsid w:val="0095144E"/>
    <w:rsid w:val="009526B7"/>
    <w:rsid w:val="0095271D"/>
    <w:rsid w:val="0095377E"/>
    <w:rsid w:val="00954440"/>
    <w:rsid w:val="009557C1"/>
    <w:rsid w:val="009601EC"/>
    <w:rsid w:val="00960D6E"/>
    <w:rsid w:val="00963357"/>
    <w:rsid w:val="0096378C"/>
    <w:rsid w:val="009708F1"/>
    <w:rsid w:val="009732BA"/>
    <w:rsid w:val="00974B59"/>
    <w:rsid w:val="00976EF3"/>
    <w:rsid w:val="00980753"/>
    <w:rsid w:val="009811A9"/>
    <w:rsid w:val="00982DD9"/>
    <w:rsid w:val="0098340B"/>
    <w:rsid w:val="00984E5E"/>
    <w:rsid w:val="00986830"/>
    <w:rsid w:val="009869A2"/>
    <w:rsid w:val="009924C3"/>
    <w:rsid w:val="00993102"/>
    <w:rsid w:val="00993FD3"/>
    <w:rsid w:val="009A31A9"/>
    <w:rsid w:val="009A63BC"/>
    <w:rsid w:val="009B1570"/>
    <w:rsid w:val="009B2076"/>
    <w:rsid w:val="009B36ED"/>
    <w:rsid w:val="009B572D"/>
    <w:rsid w:val="009C17C5"/>
    <w:rsid w:val="009C50CB"/>
    <w:rsid w:val="009C634D"/>
    <w:rsid w:val="009C6F10"/>
    <w:rsid w:val="009D01BD"/>
    <w:rsid w:val="009D148F"/>
    <w:rsid w:val="009D1CDA"/>
    <w:rsid w:val="009D3D70"/>
    <w:rsid w:val="009D5D00"/>
    <w:rsid w:val="009D6E31"/>
    <w:rsid w:val="009E13A2"/>
    <w:rsid w:val="009E6F7E"/>
    <w:rsid w:val="009E75AE"/>
    <w:rsid w:val="009E7A57"/>
    <w:rsid w:val="009F0CCE"/>
    <w:rsid w:val="009F4803"/>
    <w:rsid w:val="009F4F6A"/>
    <w:rsid w:val="00A13EB5"/>
    <w:rsid w:val="00A145BF"/>
    <w:rsid w:val="00A15137"/>
    <w:rsid w:val="00A15C11"/>
    <w:rsid w:val="00A16E36"/>
    <w:rsid w:val="00A21D28"/>
    <w:rsid w:val="00A22576"/>
    <w:rsid w:val="00A225F7"/>
    <w:rsid w:val="00A22B43"/>
    <w:rsid w:val="00A23D66"/>
    <w:rsid w:val="00A24961"/>
    <w:rsid w:val="00A24B10"/>
    <w:rsid w:val="00A277EF"/>
    <w:rsid w:val="00A30E9B"/>
    <w:rsid w:val="00A3457F"/>
    <w:rsid w:val="00A368E2"/>
    <w:rsid w:val="00A410A8"/>
    <w:rsid w:val="00A413C3"/>
    <w:rsid w:val="00A448E7"/>
    <w:rsid w:val="00A4512D"/>
    <w:rsid w:val="00A46836"/>
    <w:rsid w:val="00A47F27"/>
    <w:rsid w:val="00A50244"/>
    <w:rsid w:val="00A50E44"/>
    <w:rsid w:val="00A511E6"/>
    <w:rsid w:val="00A51A15"/>
    <w:rsid w:val="00A57DE8"/>
    <w:rsid w:val="00A627D7"/>
    <w:rsid w:val="00A64924"/>
    <w:rsid w:val="00A656C7"/>
    <w:rsid w:val="00A705AF"/>
    <w:rsid w:val="00A70C7E"/>
    <w:rsid w:val="00A719F6"/>
    <w:rsid w:val="00A71C2D"/>
    <w:rsid w:val="00A72454"/>
    <w:rsid w:val="00A72550"/>
    <w:rsid w:val="00A74A39"/>
    <w:rsid w:val="00A75202"/>
    <w:rsid w:val="00A77696"/>
    <w:rsid w:val="00A77C68"/>
    <w:rsid w:val="00A80557"/>
    <w:rsid w:val="00A81D33"/>
    <w:rsid w:val="00A8341C"/>
    <w:rsid w:val="00A8342D"/>
    <w:rsid w:val="00A839AE"/>
    <w:rsid w:val="00A85879"/>
    <w:rsid w:val="00A863E6"/>
    <w:rsid w:val="00A87054"/>
    <w:rsid w:val="00A930AE"/>
    <w:rsid w:val="00AA1A95"/>
    <w:rsid w:val="00AA260F"/>
    <w:rsid w:val="00AA262B"/>
    <w:rsid w:val="00AA63AA"/>
    <w:rsid w:val="00AB1EE7"/>
    <w:rsid w:val="00AB3610"/>
    <w:rsid w:val="00AB4B37"/>
    <w:rsid w:val="00AB5762"/>
    <w:rsid w:val="00AB604B"/>
    <w:rsid w:val="00AB7EBC"/>
    <w:rsid w:val="00AC0947"/>
    <w:rsid w:val="00AC20D0"/>
    <w:rsid w:val="00AC2679"/>
    <w:rsid w:val="00AC28C2"/>
    <w:rsid w:val="00AC4BE4"/>
    <w:rsid w:val="00AC6CCE"/>
    <w:rsid w:val="00AC7F5B"/>
    <w:rsid w:val="00AD05E6"/>
    <w:rsid w:val="00AD0972"/>
    <w:rsid w:val="00AD0D3F"/>
    <w:rsid w:val="00AD22CE"/>
    <w:rsid w:val="00AD2E63"/>
    <w:rsid w:val="00AD3506"/>
    <w:rsid w:val="00AE1B17"/>
    <w:rsid w:val="00AE1D7D"/>
    <w:rsid w:val="00AE2A8B"/>
    <w:rsid w:val="00AE3F64"/>
    <w:rsid w:val="00AE7314"/>
    <w:rsid w:val="00AF6D28"/>
    <w:rsid w:val="00AF7386"/>
    <w:rsid w:val="00AF7934"/>
    <w:rsid w:val="00B00B81"/>
    <w:rsid w:val="00B04580"/>
    <w:rsid w:val="00B04B09"/>
    <w:rsid w:val="00B06E67"/>
    <w:rsid w:val="00B11F9F"/>
    <w:rsid w:val="00B12915"/>
    <w:rsid w:val="00B14526"/>
    <w:rsid w:val="00B146C5"/>
    <w:rsid w:val="00B16A51"/>
    <w:rsid w:val="00B2167F"/>
    <w:rsid w:val="00B22C12"/>
    <w:rsid w:val="00B232A1"/>
    <w:rsid w:val="00B27B72"/>
    <w:rsid w:val="00B3114B"/>
    <w:rsid w:val="00B31207"/>
    <w:rsid w:val="00B31DC8"/>
    <w:rsid w:val="00B32222"/>
    <w:rsid w:val="00B35507"/>
    <w:rsid w:val="00B3618D"/>
    <w:rsid w:val="00B36233"/>
    <w:rsid w:val="00B36C36"/>
    <w:rsid w:val="00B376EB"/>
    <w:rsid w:val="00B417C6"/>
    <w:rsid w:val="00B42252"/>
    <w:rsid w:val="00B42663"/>
    <w:rsid w:val="00B42851"/>
    <w:rsid w:val="00B44C14"/>
    <w:rsid w:val="00B44DD7"/>
    <w:rsid w:val="00B45AC7"/>
    <w:rsid w:val="00B46357"/>
    <w:rsid w:val="00B5372F"/>
    <w:rsid w:val="00B53987"/>
    <w:rsid w:val="00B56961"/>
    <w:rsid w:val="00B61129"/>
    <w:rsid w:val="00B61171"/>
    <w:rsid w:val="00B61291"/>
    <w:rsid w:val="00B612EC"/>
    <w:rsid w:val="00B62685"/>
    <w:rsid w:val="00B6430C"/>
    <w:rsid w:val="00B65431"/>
    <w:rsid w:val="00B67E7F"/>
    <w:rsid w:val="00B7537B"/>
    <w:rsid w:val="00B76ECA"/>
    <w:rsid w:val="00B839B2"/>
    <w:rsid w:val="00B87F4E"/>
    <w:rsid w:val="00B94252"/>
    <w:rsid w:val="00B9715A"/>
    <w:rsid w:val="00BA11DF"/>
    <w:rsid w:val="00BA14BE"/>
    <w:rsid w:val="00BA2732"/>
    <w:rsid w:val="00BA2794"/>
    <w:rsid w:val="00BA293D"/>
    <w:rsid w:val="00BA2E2E"/>
    <w:rsid w:val="00BA3474"/>
    <w:rsid w:val="00BA37D2"/>
    <w:rsid w:val="00BA49BC"/>
    <w:rsid w:val="00BA56B7"/>
    <w:rsid w:val="00BA5C7A"/>
    <w:rsid w:val="00BA7A1E"/>
    <w:rsid w:val="00BB2F6C"/>
    <w:rsid w:val="00BB338D"/>
    <w:rsid w:val="00BB3875"/>
    <w:rsid w:val="00BB4CDE"/>
    <w:rsid w:val="00BB5860"/>
    <w:rsid w:val="00BB6AAD"/>
    <w:rsid w:val="00BC1593"/>
    <w:rsid w:val="00BC36E9"/>
    <w:rsid w:val="00BC4A19"/>
    <w:rsid w:val="00BC4E6D"/>
    <w:rsid w:val="00BC5B77"/>
    <w:rsid w:val="00BD0617"/>
    <w:rsid w:val="00BD2E9B"/>
    <w:rsid w:val="00BD38F4"/>
    <w:rsid w:val="00BD6EB3"/>
    <w:rsid w:val="00BD74DD"/>
    <w:rsid w:val="00BD7D6B"/>
    <w:rsid w:val="00BD7FB2"/>
    <w:rsid w:val="00BE37E6"/>
    <w:rsid w:val="00BE5D53"/>
    <w:rsid w:val="00BE6421"/>
    <w:rsid w:val="00BF1D8D"/>
    <w:rsid w:val="00BF6534"/>
    <w:rsid w:val="00C00930"/>
    <w:rsid w:val="00C060AD"/>
    <w:rsid w:val="00C113BF"/>
    <w:rsid w:val="00C12A71"/>
    <w:rsid w:val="00C12E5F"/>
    <w:rsid w:val="00C146E0"/>
    <w:rsid w:val="00C2176E"/>
    <w:rsid w:val="00C22ED8"/>
    <w:rsid w:val="00C23430"/>
    <w:rsid w:val="00C253AF"/>
    <w:rsid w:val="00C25AD1"/>
    <w:rsid w:val="00C27D67"/>
    <w:rsid w:val="00C317CF"/>
    <w:rsid w:val="00C44B45"/>
    <w:rsid w:val="00C45DA9"/>
    <w:rsid w:val="00C4631F"/>
    <w:rsid w:val="00C47CDE"/>
    <w:rsid w:val="00C50E16"/>
    <w:rsid w:val="00C51795"/>
    <w:rsid w:val="00C517B7"/>
    <w:rsid w:val="00C55258"/>
    <w:rsid w:val="00C754FF"/>
    <w:rsid w:val="00C76E3A"/>
    <w:rsid w:val="00C81E7B"/>
    <w:rsid w:val="00C82EEB"/>
    <w:rsid w:val="00C8726C"/>
    <w:rsid w:val="00C90142"/>
    <w:rsid w:val="00C91A20"/>
    <w:rsid w:val="00C924A2"/>
    <w:rsid w:val="00C9565E"/>
    <w:rsid w:val="00C9579A"/>
    <w:rsid w:val="00C95E0B"/>
    <w:rsid w:val="00C971DC"/>
    <w:rsid w:val="00C97A36"/>
    <w:rsid w:val="00CA00A5"/>
    <w:rsid w:val="00CA0333"/>
    <w:rsid w:val="00CA11FF"/>
    <w:rsid w:val="00CA16B7"/>
    <w:rsid w:val="00CA4188"/>
    <w:rsid w:val="00CA62AE"/>
    <w:rsid w:val="00CB455F"/>
    <w:rsid w:val="00CB4691"/>
    <w:rsid w:val="00CB47CE"/>
    <w:rsid w:val="00CB59BA"/>
    <w:rsid w:val="00CB5B1A"/>
    <w:rsid w:val="00CC220B"/>
    <w:rsid w:val="00CC32EC"/>
    <w:rsid w:val="00CC5C43"/>
    <w:rsid w:val="00CC6367"/>
    <w:rsid w:val="00CC6D7A"/>
    <w:rsid w:val="00CC6F65"/>
    <w:rsid w:val="00CD01A2"/>
    <w:rsid w:val="00CD02AE"/>
    <w:rsid w:val="00CD02BC"/>
    <w:rsid w:val="00CD2A4F"/>
    <w:rsid w:val="00CD3690"/>
    <w:rsid w:val="00CD4161"/>
    <w:rsid w:val="00CD6B8C"/>
    <w:rsid w:val="00CD73B2"/>
    <w:rsid w:val="00CD757C"/>
    <w:rsid w:val="00CE03CA"/>
    <w:rsid w:val="00CE22F1"/>
    <w:rsid w:val="00CE4D5D"/>
    <w:rsid w:val="00CE50F2"/>
    <w:rsid w:val="00CE63D4"/>
    <w:rsid w:val="00CE6502"/>
    <w:rsid w:val="00CE66F7"/>
    <w:rsid w:val="00CE6FFB"/>
    <w:rsid w:val="00CF2556"/>
    <w:rsid w:val="00CF4C5C"/>
    <w:rsid w:val="00CF4E27"/>
    <w:rsid w:val="00CF5586"/>
    <w:rsid w:val="00CF6D57"/>
    <w:rsid w:val="00CF7D3C"/>
    <w:rsid w:val="00D0116A"/>
    <w:rsid w:val="00D0194D"/>
    <w:rsid w:val="00D01F09"/>
    <w:rsid w:val="00D0466C"/>
    <w:rsid w:val="00D0627C"/>
    <w:rsid w:val="00D06F01"/>
    <w:rsid w:val="00D11197"/>
    <w:rsid w:val="00D135C4"/>
    <w:rsid w:val="00D13FC3"/>
    <w:rsid w:val="00D147EB"/>
    <w:rsid w:val="00D21309"/>
    <w:rsid w:val="00D21B11"/>
    <w:rsid w:val="00D21F92"/>
    <w:rsid w:val="00D23838"/>
    <w:rsid w:val="00D2517B"/>
    <w:rsid w:val="00D34667"/>
    <w:rsid w:val="00D401E1"/>
    <w:rsid w:val="00D408B4"/>
    <w:rsid w:val="00D524C8"/>
    <w:rsid w:val="00D52A3F"/>
    <w:rsid w:val="00D52D67"/>
    <w:rsid w:val="00D536C1"/>
    <w:rsid w:val="00D603AF"/>
    <w:rsid w:val="00D6351C"/>
    <w:rsid w:val="00D63A0C"/>
    <w:rsid w:val="00D65099"/>
    <w:rsid w:val="00D6701C"/>
    <w:rsid w:val="00D70E24"/>
    <w:rsid w:val="00D72B61"/>
    <w:rsid w:val="00D7391E"/>
    <w:rsid w:val="00D801B8"/>
    <w:rsid w:val="00D81200"/>
    <w:rsid w:val="00D81BE8"/>
    <w:rsid w:val="00D83255"/>
    <w:rsid w:val="00D8351C"/>
    <w:rsid w:val="00D86208"/>
    <w:rsid w:val="00D93502"/>
    <w:rsid w:val="00D969AB"/>
    <w:rsid w:val="00DA3D1D"/>
    <w:rsid w:val="00DA5833"/>
    <w:rsid w:val="00DA5FF1"/>
    <w:rsid w:val="00DB072C"/>
    <w:rsid w:val="00DB1195"/>
    <w:rsid w:val="00DB6286"/>
    <w:rsid w:val="00DB645F"/>
    <w:rsid w:val="00DB6FDE"/>
    <w:rsid w:val="00DB76E9"/>
    <w:rsid w:val="00DC0A67"/>
    <w:rsid w:val="00DC1D5E"/>
    <w:rsid w:val="00DC2FC8"/>
    <w:rsid w:val="00DC5220"/>
    <w:rsid w:val="00DC60DC"/>
    <w:rsid w:val="00DC60ED"/>
    <w:rsid w:val="00DC721F"/>
    <w:rsid w:val="00DC78D3"/>
    <w:rsid w:val="00DD0945"/>
    <w:rsid w:val="00DD2061"/>
    <w:rsid w:val="00DD723E"/>
    <w:rsid w:val="00DD79C7"/>
    <w:rsid w:val="00DD7CB5"/>
    <w:rsid w:val="00DD7DAB"/>
    <w:rsid w:val="00DE3355"/>
    <w:rsid w:val="00DE7791"/>
    <w:rsid w:val="00DF0C60"/>
    <w:rsid w:val="00DF1079"/>
    <w:rsid w:val="00DF1A44"/>
    <w:rsid w:val="00DF2062"/>
    <w:rsid w:val="00DF4387"/>
    <w:rsid w:val="00DF486F"/>
    <w:rsid w:val="00DF5B5B"/>
    <w:rsid w:val="00DF7619"/>
    <w:rsid w:val="00E0275A"/>
    <w:rsid w:val="00E031EB"/>
    <w:rsid w:val="00E03A3E"/>
    <w:rsid w:val="00E042D8"/>
    <w:rsid w:val="00E045C6"/>
    <w:rsid w:val="00E04607"/>
    <w:rsid w:val="00E07EE7"/>
    <w:rsid w:val="00E1103B"/>
    <w:rsid w:val="00E1165F"/>
    <w:rsid w:val="00E13433"/>
    <w:rsid w:val="00E138D5"/>
    <w:rsid w:val="00E16DF5"/>
    <w:rsid w:val="00E17269"/>
    <w:rsid w:val="00E17546"/>
    <w:rsid w:val="00E17B44"/>
    <w:rsid w:val="00E2024C"/>
    <w:rsid w:val="00E2059A"/>
    <w:rsid w:val="00E20F27"/>
    <w:rsid w:val="00E21476"/>
    <w:rsid w:val="00E2236F"/>
    <w:rsid w:val="00E22443"/>
    <w:rsid w:val="00E25B1F"/>
    <w:rsid w:val="00E27FEA"/>
    <w:rsid w:val="00E302C6"/>
    <w:rsid w:val="00E4086F"/>
    <w:rsid w:val="00E42BCE"/>
    <w:rsid w:val="00E43B3C"/>
    <w:rsid w:val="00E4587A"/>
    <w:rsid w:val="00E45B0D"/>
    <w:rsid w:val="00E50188"/>
    <w:rsid w:val="00E5044B"/>
    <w:rsid w:val="00E50BB3"/>
    <w:rsid w:val="00E515CB"/>
    <w:rsid w:val="00E51CBF"/>
    <w:rsid w:val="00E52260"/>
    <w:rsid w:val="00E53C4A"/>
    <w:rsid w:val="00E5486A"/>
    <w:rsid w:val="00E54CFE"/>
    <w:rsid w:val="00E57B94"/>
    <w:rsid w:val="00E61917"/>
    <w:rsid w:val="00E620BA"/>
    <w:rsid w:val="00E639B6"/>
    <w:rsid w:val="00E6434B"/>
    <w:rsid w:val="00E6463D"/>
    <w:rsid w:val="00E67807"/>
    <w:rsid w:val="00E70159"/>
    <w:rsid w:val="00E72E9B"/>
    <w:rsid w:val="00E763F5"/>
    <w:rsid w:val="00E8299A"/>
    <w:rsid w:val="00E83F3D"/>
    <w:rsid w:val="00E850C3"/>
    <w:rsid w:val="00E85CA4"/>
    <w:rsid w:val="00E8637D"/>
    <w:rsid w:val="00E87DF2"/>
    <w:rsid w:val="00E9462E"/>
    <w:rsid w:val="00E95DEB"/>
    <w:rsid w:val="00EA0486"/>
    <w:rsid w:val="00EA0F2E"/>
    <w:rsid w:val="00EA15BB"/>
    <w:rsid w:val="00EA1B7C"/>
    <w:rsid w:val="00EA41CE"/>
    <w:rsid w:val="00EA470E"/>
    <w:rsid w:val="00EA47A7"/>
    <w:rsid w:val="00EA57EB"/>
    <w:rsid w:val="00EA7CB5"/>
    <w:rsid w:val="00EB3226"/>
    <w:rsid w:val="00EB37D2"/>
    <w:rsid w:val="00EB5819"/>
    <w:rsid w:val="00EC213A"/>
    <w:rsid w:val="00EC24D6"/>
    <w:rsid w:val="00EC7744"/>
    <w:rsid w:val="00ED0DAD"/>
    <w:rsid w:val="00ED0F46"/>
    <w:rsid w:val="00ED2373"/>
    <w:rsid w:val="00EE02A6"/>
    <w:rsid w:val="00EE39CE"/>
    <w:rsid w:val="00EE3E8A"/>
    <w:rsid w:val="00EE4945"/>
    <w:rsid w:val="00EE4ADF"/>
    <w:rsid w:val="00EE4E5B"/>
    <w:rsid w:val="00EE5A0A"/>
    <w:rsid w:val="00EF07C4"/>
    <w:rsid w:val="00EF179C"/>
    <w:rsid w:val="00EF4801"/>
    <w:rsid w:val="00EF4880"/>
    <w:rsid w:val="00EF58B8"/>
    <w:rsid w:val="00EF5B3C"/>
    <w:rsid w:val="00EF6ECA"/>
    <w:rsid w:val="00F01930"/>
    <w:rsid w:val="00F024E1"/>
    <w:rsid w:val="00F04B3C"/>
    <w:rsid w:val="00F05C34"/>
    <w:rsid w:val="00F06C10"/>
    <w:rsid w:val="00F1096F"/>
    <w:rsid w:val="00F12589"/>
    <w:rsid w:val="00F12595"/>
    <w:rsid w:val="00F134D9"/>
    <w:rsid w:val="00F13E4D"/>
    <w:rsid w:val="00F1403D"/>
    <w:rsid w:val="00F1463F"/>
    <w:rsid w:val="00F21302"/>
    <w:rsid w:val="00F22C12"/>
    <w:rsid w:val="00F2303D"/>
    <w:rsid w:val="00F24107"/>
    <w:rsid w:val="00F242FF"/>
    <w:rsid w:val="00F2430D"/>
    <w:rsid w:val="00F24FEE"/>
    <w:rsid w:val="00F250E3"/>
    <w:rsid w:val="00F251F1"/>
    <w:rsid w:val="00F26E62"/>
    <w:rsid w:val="00F279C6"/>
    <w:rsid w:val="00F321DE"/>
    <w:rsid w:val="00F3265D"/>
    <w:rsid w:val="00F33758"/>
    <w:rsid w:val="00F33777"/>
    <w:rsid w:val="00F40648"/>
    <w:rsid w:val="00F43D11"/>
    <w:rsid w:val="00F43EB0"/>
    <w:rsid w:val="00F47DA2"/>
    <w:rsid w:val="00F519FC"/>
    <w:rsid w:val="00F545EF"/>
    <w:rsid w:val="00F54F0D"/>
    <w:rsid w:val="00F54FEE"/>
    <w:rsid w:val="00F5709F"/>
    <w:rsid w:val="00F57814"/>
    <w:rsid w:val="00F6060C"/>
    <w:rsid w:val="00F6239D"/>
    <w:rsid w:val="00F626E0"/>
    <w:rsid w:val="00F62C1F"/>
    <w:rsid w:val="00F6603B"/>
    <w:rsid w:val="00F715D2"/>
    <w:rsid w:val="00F7274F"/>
    <w:rsid w:val="00F74E84"/>
    <w:rsid w:val="00F76FA8"/>
    <w:rsid w:val="00F81211"/>
    <w:rsid w:val="00F8770E"/>
    <w:rsid w:val="00F92ED2"/>
    <w:rsid w:val="00F93F08"/>
    <w:rsid w:val="00F94CED"/>
    <w:rsid w:val="00FA02BB"/>
    <w:rsid w:val="00FA14A3"/>
    <w:rsid w:val="00FA2CEE"/>
    <w:rsid w:val="00FA318C"/>
    <w:rsid w:val="00FA3F9B"/>
    <w:rsid w:val="00FB3A40"/>
    <w:rsid w:val="00FB545A"/>
    <w:rsid w:val="00FB6F92"/>
    <w:rsid w:val="00FB7260"/>
    <w:rsid w:val="00FC026E"/>
    <w:rsid w:val="00FC3BCF"/>
    <w:rsid w:val="00FC4256"/>
    <w:rsid w:val="00FC5124"/>
    <w:rsid w:val="00FD4731"/>
    <w:rsid w:val="00FD478F"/>
    <w:rsid w:val="00FD6768"/>
    <w:rsid w:val="00FE0368"/>
    <w:rsid w:val="00FF0139"/>
    <w:rsid w:val="00FF0AB0"/>
    <w:rsid w:val="00FF28AC"/>
    <w:rsid w:val="00FF6094"/>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7C3698"/>
    <w:pPr>
      <w:keepNext/>
      <w:pageBreakBefore/>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511E6"/>
    <w:pPr>
      <w:numPr>
        <w:numId w:val="22"/>
      </w:numPr>
      <w:ind w:left="714" w:hanging="357"/>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686CAF"/>
    <w:rPr>
      <w:color w:val="605E5C"/>
      <w:shd w:val="clear" w:color="auto" w:fill="E1DFDD"/>
    </w:rPr>
  </w:style>
  <w:style w:type="paragraph" w:customStyle="1" w:styleId="NormalBeforeBullet">
    <w:name w:val="NormalBeforeBullet"/>
    <w:basedOn w:val="Normal"/>
    <w:qFormat/>
    <w:rsid w:val="000774BF"/>
    <w:pPr>
      <w:keepNext/>
      <w:spacing w:before="0" w:line="240" w:lineRule="auto"/>
    </w:pPr>
    <w:rPr>
      <w:rFonts w:ascii="Segoe UI" w:hAnsi="Segoe UI"/>
      <w:color w:val="000000"/>
      <w:sz w:val="21"/>
      <w:szCs w:val="21"/>
    </w:rPr>
  </w:style>
  <w:style w:type="character" w:styleId="CommentReference">
    <w:name w:val="annotation reference"/>
    <w:basedOn w:val="DefaultParagraphFont"/>
    <w:semiHidden/>
    <w:unhideWhenUsed/>
    <w:rsid w:val="00551F27"/>
    <w:rPr>
      <w:sz w:val="16"/>
      <w:szCs w:val="16"/>
    </w:rPr>
  </w:style>
  <w:style w:type="paragraph" w:styleId="CommentText">
    <w:name w:val="annotation text"/>
    <w:basedOn w:val="Normal"/>
    <w:link w:val="CommentTextChar"/>
    <w:unhideWhenUsed/>
    <w:rsid w:val="00551F27"/>
    <w:pPr>
      <w:spacing w:line="240" w:lineRule="auto"/>
    </w:pPr>
    <w:rPr>
      <w:sz w:val="20"/>
      <w:szCs w:val="20"/>
    </w:rPr>
  </w:style>
  <w:style w:type="character" w:customStyle="1" w:styleId="CommentTextChar">
    <w:name w:val="Comment Text Char"/>
    <w:basedOn w:val="DefaultParagraphFont"/>
    <w:link w:val="CommentText"/>
    <w:rsid w:val="00551F2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51F27"/>
    <w:rPr>
      <w:b/>
      <w:bCs/>
    </w:rPr>
  </w:style>
  <w:style w:type="character" w:customStyle="1" w:styleId="CommentSubjectChar">
    <w:name w:val="Comment Subject Char"/>
    <w:basedOn w:val="CommentTextChar"/>
    <w:link w:val="CommentSubject"/>
    <w:semiHidden/>
    <w:rsid w:val="00551F27"/>
    <w:rPr>
      <w:rFonts w:ascii="Arial" w:hAnsi="Arial"/>
      <w:b/>
      <w:bCs/>
      <w:color w:val="000000" w:themeColor="text1"/>
      <w:lang w:eastAsia="en-US"/>
    </w:rPr>
  </w:style>
  <w:style w:type="character" w:styleId="FollowedHyperlink">
    <w:name w:val="FollowedHyperlink"/>
    <w:basedOn w:val="DefaultParagraphFont"/>
    <w:semiHidden/>
    <w:unhideWhenUsed/>
    <w:rsid w:val="00784F38"/>
    <w:rPr>
      <w:color w:val="800080" w:themeColor="followedHyperlink"/>
      <w:u w:val="single"/>
    </w:rPr>
  </w:style>
  <w:style w:type="paragraph" w:styleId="Revision">
    <w:name w:val="Revision"/>
    <w:hidden/>
    <w:uiPriority w:val="99"/>
    <w:semiHidden/>
    <w:rsid w:val="006F585C"/>
    <w:rPr>
      <w:rFonts w:ascii="Arial" w:hAnsi="Arial"/>
      <w:color w:val="000000" w:themeColor="text1"/>
      <w:sz w:val="22"/>
      <w:szCs w:val="24"/>
      <w:lang w:eastAsia="en-US"/>
    </w:rPr>
  </w:style>
  <w:style w:type="character" w:styleId="Mention">
    <w:name w:val="Mention"/>
    <w:basedOn w:val="DefaultParagraphFont"/>
    <w:uiPriority w:val="99"/>
    <w:unhideWhenUsed/>
    <w:rsid w:val="007E6FA3"/>
    <w:rPr>
      <w:color w:val="2B579A"/>
      <w:shd w:val="clear" w:color="auto" w:fill="E1DFDD"/>
    </w:rPr>
  </w:style>
  <w:style w:type="paragraph" w:styleId="TOCHeading">
    <w:name w:val="TOC Heading"/>
    <w:basedOn w:val="Heading1"/>
    <w:next w:val="Normal"/>
    <w:uiPriority w:val="39"/>
    <w:unhideWhenUsed/>
    <w:qFormat/>
    <w:rsid w:val="00097211"/>
    <w:pPr>
      <w:keepLines/>
      <w:pageBreakBefore w:val="0"/>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097211"/>
    <w:rPr>
      <w:rFonts w:asciiTheme="minorHAnsi" w:hAnsiTheme="minorHAnsi" w:cstheme="minorHAnsi"/>
      <w:b/>
      <w:bCs/>
      <w:caps/>
      <w:sz w:val="20"/>
      <w:szCs w:val="20"/>
    </w:rPr>
  </w:style>
  <w:style w:type="paragraph" w:styleId="TOC2">
    <w:name w:val="toc 2"/>
    <w:basedOn w:val="Normal"/>
    <w:next w:val="Normal"/>
    <w:autoRedefine/>
    <w:uiPriority w:val="39"/>
    <w:unhideWhenUsed/>
    <w:rsid w:val="00097211"/>
    <w:pPr>
      <w:spacing w:before="0" w:after="0"/>
      <w:ind w:left="220"/>
    </w:pPr>
    <w:rPr>
      <w:rFonts w:asciiTheme="minorHAnsi" w:hAnsiTheme="minorHAnsi" w:cstheme="minorHAnsi"/>
      <w:smallCaps/>
      <w:sz w:val="20"/>
      <w:szCs w:val="20"/>
    </w:rPr>
  </w:style>
  <w:style w:type="paragraph" w:styleId="TOC3">
    <w:name w:val="toc 3"/>
    <w:basedOn w:val="Normal"/>
    <w:next w:val="Normal"/>
    <w:autoRedefine/>
    <w:unhideWhenUsed/>
    <w:rsid w:val="00097211"/>
    <w:pPr>
      <w:spacing w:before="0" w:after="0"/>
      <w:ind w:left="440"/>
    </w:pPr>
    <w:rPr>
      <w:rFonts w:asciiTheme="minorHAnsi" w:hAnsiTheme="minorHAnsi" w:cstheme="minorHAnsi"/>
      <w:i/>
      <w:iCs/>
      <w:sz w:val="20"/>
      <w:szCs w:val="20"/>
    </w:rPr>
  </w:style>
  <w:style w:type="paragraph" w:styleId="TOC4">
    <w:name w:val="toc 4"/>
    <w:basedOn w:val="Normal"/>
    <w:next w:val="Normal"/>
    <w:autoRedefine/>
    <w:unhideWhenUsed/>
    <w:rsid w:val="00097211"/>
    <w:pPr>
      <w:spacing w:before="0" w:after="0"/>
      <w:ind w:left="660"/>
    </w:pPr>
    <w:rPr>
      <w:rFonts w:asciiTheme="minorHAnsi" w:hAnsiTheme="minorHAnsi" w:cstheme="minorHAnsi"/>
      <w:sz w:val="18"/>
      <w:szCs w:val="18"/>
    </w:rPr>
  </w:style>
  <w:style w:type="paragraph" w:styleId="TOC5">
    <w:name w:val="toc 5"/>
    <w:basedOn w:val="Normal"/>
    <w:next w:val="Normal"/>
    <w:autoRedefine/>
    <w:unhideWhenUsed/>
    <w:rsid w:val="00097211"/>
    <w:pPr>
      <w:spacing w:before="0" w:after="0"/>
      <w:ind w:left="880"/>
    </w:pPr>
    <w:rPr>
      <w:rFonts w:asciiTheme="minorHAnsi" w:hAnsiTheme="minorHAnsi" w:cstheme="minorHAnsi"/>
      <w:sz w:val="18"/>
      <w:szCs w:val="18"/>
    </w:rPr>
  </w:style>
  <w:style w:type="paragraph" w:styleId="TOC6">
    <w:name w:val="toc 6"/>
    <w:basedOn w:val="Normal"/>
    <w:next w:val="Normal"/>
    <w:autoRedefine/>
    <w:unhideWhenUsed/>
    <w:rsid w:val="00097211"/>
    <w:pPr>
      <w:spacing w:before="0" w:after="0"/>
      <w:ind w:left="1100"/>
    </w:pPr>
    <w:rPr>
      <w:rFonts w:asciiTheme="minorHAnsi" w:hAnsiTheme="minorHAnsi" w:cstheme="minorHAnsi"/>
      <w:sz w:val="18"/>
      <w:szCs w:val="18"/>
    </w:rPr>
  </w:style>
  <w:style w:type="paragraph" w:styleId="TOC7">
    <w:name w:val="toc 7"/>
    <w:basedOn w:val="Normal"/>
    <w:next w:val="Normal"/>
    <w:autoRedefine/>
    <w:unhideWhenUsed/>
    <w:rsid w:val="00097211"/>
    <w:pPr>
      <w:spacing w:before="0" w:after="0"/>
      <w:ind w:left="1320"/>
    </w:pPr>
    <w:rPr>
      <w:rFonts w:asciiTheme="minorHAnsi" w:hAnsiTheme="minorHAnsi" w:cstheme="minorHAnsi"/>
      <w:sz w:val="18"/>
      <w:szCs w:val="18"/>
    </w:rPr>
  </w:style>
  <w:style w:type="paragraph" w:styleId="TOC8">
    <w:name w:val="toc 8"/>
    <w:basedOn w:val="Normal"/>
    <w:next w:val="Normal"/>
    <w:autoRedefine/>
    <w:unhideWhenUsed/>
    <w:rsid w:val="00097211"/>
    <w:pPr>
      <w:spacing w:before="0" w:after="0"/>
      <w:ind w:left="1540"/>
    </w:pPr>
    <w:rPr>
      <w:rFonts w:asciiTheme="minorHAnsi" w:hAnsiTheme="minorHAnsi" w:cstheme="minorHAnsi"/>
      <w:sz w:val="18"/>
      <w:szCs w:val="18"/>
    </w:rPr>
  </w:style>
  <w:style w:type="paragraph" w:styleId="TOC9">
    <w:name w:val="toc 9"/>
    <w:basedOn w:val="Normal"/>
    <w:next w:val="Normal"/>
    <w:autoRedefine/>
    <w:unhideWhenUsed/>
    <w:rsid w:val="00097211"/>
    <w:pPr>
      <w:spacing w:before="0" w:after="0"/>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diabetes-medicin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hta-consultations.health.gov.au" TargetMode="External"/><Relationship Id="rId4" Type="http://schemas.openxmlformats.org/officeDocument/2006/relationships/settings" Target="settings.xml"/><Relationship Id="rId9" Type="http://schemas.openxmlformats.org/officeDocument/2006/relationships/hyperlink" Target="https://www.pbs.gov.au/info/industry/listing/elements/pbac-meeting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8140-7B67-43BE-9265-A48798C0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3615</Words>
  <Characters>21259</Characters>
  <Application>Microsoft Office Word</Application>
  <DocSecurity>0</DocSecurity>
  <Lines>472</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2026-02-19T02:49:00Z</dcterms:created>
  <dcterms:modified xsi:type="dcterms:W3CDTF">2026-02-27T00:01:00Z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5b6e41b2,2f078b86,1d438c5d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26ed05a2,7b18dea6,62c93b47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2026-02-19T02:57:17Z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1ad1f632-2038-481b-ad17-027bc24eef6f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