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DE1" w:rsidRPr="00FA1BCF" w:rsidRDefault="000B3DE1" w:rsidP="000B3DE1">
      <w:pPr>
        <w:rPr>
          <w:rFonts w:eastAsia="Times New Roman" w:cs="Times New Roman"/>
          <w:b/>
          <w:sz w:val="52"/>
          <w:szCs w:val="52"/>
          <w:lang w:eastAsia="en-AU"/>
        </w:rPr>
      </w:pPr>
      <w:bookmarkStart w:id="0" w:name="_GoBack"/>
      <w:bookmarkEnd w:id="0"/>
      <w:r w:rsidRPr="00FA1BCF">
        <w:rPr>
          <w:noProof/>
          <w:lang w:eastAsia="en-AU"/>
        </w:rPr>
        <w:drawing>
          <wp:anchor distT="0" distB="0" distL="114300" distR="114300" simplePos="0" relativeHeight="251659264" behindDoc="0" locked="0" layoutInCell="1" allowOverlap="1" wp14:anchorId="3B2FD3D2" wp14:editId="4933F45D">
            <wp:simplePos x="0" y="0"/>
            <wp:positionH relativeFrom="column">
              <wp:posOffset>1362075</wp:posOffset>
            </wp:positionH>
            <wp:positionV relativeFrom="paragraph">
              <wp:posOffset>180340</wp:posOffset>
            </wp:positionV>
            <wp:extent cx="2714625" cy="1533525"/>
            <wp:effectExtent l="0" t="0" r="9525" b="9525"/>
            <wp:wrapTopAndBottom/>
            <wp:docPr id="11" name="Picture 11" descr="DH_stacke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462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DE1" w:rsidRPr="00FA1BCF" w:rsidRDefault="000B3DE1" w:rsidP="000B3DE1">
      <w:pPr>
        <w:rPr>
          <w:rFonts w:eastAsia="Times New Roman" w:cs="Times New Roman"/>
          <w:b/>
          <w:sz w:val="52"/>
          <w:szCs w:val="52"/>
          <w:lang w:eastAsia="en-AU"/>
        </w:rPr>
      </w:pPr>
    </w:p>
    <w:p w:rsidR="00CC79FE" w:rsidRPr="00FA1BCF" w:rsidRDefault="00CC79FE" w:rsidP="00CC79FE">
      <w:pPr>
        <w:jc w:val="center"/>
        <w:rPr>
          <w:rFonts w:eastAsia="Times New Roman" w:cs="Times New Roman"/>
          <w:b/>
          <w:sz w:val="52"/>
          <w:szCs w:val="52"/>
          <w:lang w:eastAsia="en-AU"/>
        </w:rPr>
      </w:pPr>
      <w:r w:rsidRPr="00FA1BCF">
        <w:rPr>
          <w:rFonts w:eastAsia="Times New Roman" w:cs="Times New Roman"/>
          <w:b/>
          <w:sz w:val="52"/>
          <w:szCs w:val="52"/>
          <w:lang w:eastAsia="en-AU"/>
        </w:rPr>
        <w:t>Post</w:t>
      </w:r>
      <w:r w:rsidR="00B56F35" w:rsidRPr="00FA1BCF">
        <w:rPr>
          <w:rFonts w:eastAsia="Times New Roman" w:cs="Times New Roman"/>
          <w:b/>
          <w:sz w:val="52"/>
          <w:szCs w:val="52"/>
          <w:lang w:eastAsia="en-AU"/>
        </w:rPr>
        <w:t>-m</w:t>
      </w:r>
      <w:r w:rsidRPr="00FA1BCF">
        <w:rPr>
          <w:rFonts w:eastAsia="Times New Roman" w:cs="Times New Roman"/>
          <w:b/>
          <w:sz w:val="52"/>
          <w:szCs w:val="52"/>
          <w:lang w:eastAsia="en-AU"/>
        </w:rPr>
        <w:t xml:space="preserve">arket </w:t>
      </w:r>
      <w:r w:rsidR="00B56F35" w:rsidRPr="00FA1BCF">
        <w:rPr>
          <w:rFonts w:eastAsia="Times New Roman" w:cs="Times New Roman"/>
          <w:b/>
          <w:sz w:val="52"/>
          <w:szCs w:val="52"/>
          <w:lang w:eastAsia="en-AU"/>
        </w:rPr>
        <w:t>r</w:t>
      </w:r>
      <w:r w:rsidRPr="00FA1BCF">
        <w:rPr>
          <w:rFonts w:eastAsia="Times New Roman" w:cs="Times New Roman"/>
          <w:b/>
          <w:sz w:val="52"/>
          <w:szCs w:val="52"/>
          <w:lang w:eastAsia="en-AU"/>
        </w:rPr>
        <w:t xml:space="preserve">eview of the Life Saving Drugs Programme </w:t>
      </w:r>
    </w:p>
    <w:p w:rsidR="00CC79FE" w:rsidRPr="00FA1BCF" w:rsidRDefault="00CC79FE" w:rsidP="00CC79FE">
      <w:pPr>
        <w:jc w:val="center"/>
        <w:rPr>
          <w:rFonts w:eastAsia="Times New Roman" w:cs="Times New Roman"/>
          <w:b/>
          <w:sz w:val="52"/>
          <w:szCs w:val="52"/>
          <w:lang w:eastAsia="en-AU"/>
        </w:rPr>
      </w:pPr>
    </w:p>
    <w:p w:rsidR="00CC79FE" w:rsidRPr="00FA1BCF" w:rsidRDefault="00CC79FE" w:rsidP="00CC79FE">
      <w:pPr>
        <w:jc w:val="center"/>
        <w:rPr>
          <w:rFonts w:eastAsia="Times New Roman" w:cs="Times New Roman"/>
          <w:b/>
          <w:sz w:val="52"/>
          <w:szCs w:val="52"/>
          <w:lang w:eastAsia="en-AU"/>
        </w:rPr>
      </w:pPr>
      <w:r w:rsidRPr="00FA1BCF">
        <w:rPr>
          <w:rFonts w:eastAsia="Times New Roman" w:cs="Times New Roman"/>
          <w:b/>
          <w:sz w:val="52"/>
          <w:szCs w:val="52"/>
          <w:lang w:eastAsia="en-AU"/>
        </w:rPr>
        <w:t>June 2014</w:t>
      </w:r>
      <w:r w:rsidR="00B56F35" w:rsidRPr="00FA1BCF">
        <w:rPr>
          <w:rFonts w:eastAsia="Times New Roman" w:cs="Times New Roman"/>
          <w:b/>
          <w:sz w:val="52"/>
          <w:szCs w:val="52"/>
          <w:lang w:eastAsia="en-AU"/>
        </w:rPr>
        <w:t xml:space="preserve"> </w:t>
      </w:r>
      <w:r w:rsidR="003B146F" w:rsidRPr="00FA1BCF">
        <w:rPr>
          <w:rFonts w:eastAsia="Times New Roman" w:cs="Times New Roman"/>
          <w:b/>
          <w:sz w:val="52"/>
          <w:szCs w:val="52"/>
          <w:lang w:eastAsia="en-AU"/>
        </w:rPr>
        <w:t>–</w:t>
      </w:r>
      <w:r w:rsidR="00B56F35" w:rsidRPr="00FA1BCF">
        <w:rPr>
          <w:rFonts w:eastAsia="Times New Roman" w:cs="Times New Roman"/>
          <w:b/>
          <w:sz w:val="52"/>
          <w:szCs w:val="52"/>
          <w:lang w:eastAsia="en-AU"/>
        </w:rPr>
        <w:t xml:space="preserve"> </w:t>
      </w:r>
      <w:r w:rsidRPr="00FA1BCF">
        <w:rPr>
          <w:rFonts w:eastAsia="Times New Roman" w:cs="Times New Roman"/>
          <w:b/>
          <w:sz w:val="52"/>
          <w:szCs w:val="52"/>
          <w:lang w:eastAsia="en-AU"/>
        </w:rPr>
        <w:t>June 2015</w:t>
      </w:r>
    </w:p>
    <w:p w:rsidR="00CC79FE" w:rsidRPr="00FA1BCF" w:rsidRDefault="00CC79FE" w:rsidP="00CC79FE">
      <w:pPr>
        <w:jc w:val="center"/>
        <w:rPr>
          <w:rFonts w:eastAsia="Times New Roman" w:cs="Times New Roman"/>
          <w:b/>
          <w:sz w:val="52"/>
          <w:szCs w:val="52"/>
          <w:lang w:eastAsia="en-AU"/>
        </w:rPr>
      </w:pPr>
    </w:p>
    <w:p w:rsidR="000B3DE1" w:rsidRPr="00FA1BCF" w:rsidRDefault="000B3DE1" w:rsidP="00E436E7">
      <w:pPr>
        <w:ind w:left="720" w:firstLine="720"/>
        <w:jc w:val="center"/>
        <w:rPr>
          <w:rFonts w:eastAsia="Times New Roman" w:cs="Times New Roman"/>
          <w:b/>
          <w:sz w:val="52"/>
          <w:szCs w:val="52"/>
          <w:lang w:eastAsia="en-AU"/>
        </w:rPr>
      </w:pPr>
      <w:r w:rsidRPr="00FA1BCF">
        <w:rPr>
          <w:rFonts w:eastAsia="Times New Roman" w:cs="Times New Roman"/>
          <w:b/>
          <w:sz w:val="52"/>
          <w:szCs w:val="52"/>
          <w:lang w:eastAsia="en-AU"/>
        </w:rPr>
        <w:t xml:space="preserve">Report to </w:t>
      </w:r>
      <w:r w:rsidR="00777876" w:rsidRPr="00FA1BCF">
        <w:rPr>
          <w:rFonts w:eastAsia="Times New Roman" w:cs="Times New Roman"/>
          <w:b/>
          <w:sz w:val="52"/>
          <w:szCs w:val="52"/>
          <w:lang w:eastAsia="en-AU"/>
        </w:rPr>
        <w:t xml:space="preserve">the </w:t>
      </w:r>
      <w:r w:rsidR="00806285" w:rsidRPr="00FA1BCF">
        <w:rPr>
          <w:rFonts w:eastAsia="Times New Roman" w:cs="Times New Roman"/>
          <w:b/>
          <w:sz w:val="52"/>
          <w:szCs w:val="52"/>
          <w:lang w:eastAsia="en-AU"/>
        </w:rPr>
        <w:t xml:space="preserve">Australian </w:t>
      </w:r>
      <w:r w:rsidRPr="00FA1BCF">
        <w:rPr>
          <w:rFonts w:eastAsia="Times New Roman" w:cs="Times New Roman"/>
          <w:b/>
          <w:sz w:val="52"/>
          <w:szCs w:val="52"/>
          <w:lang w:eastAsia="en-AU"/>
        </w:rPr>
        <w:t>Government</w:t>
      </w:r>
    </w:p>
    <w:p w:rsidR="00EF265E" w:rsidRPr="00FA1BCF" w:rsidRDefault="00EF265E">
      <w:pPr>
        <w:spacing w:after="200" w:line="276" w:lineRule="auto"/>
        <w:rPr>
          <w:rFonts w:eastAsia="Times New Roman" w:cs="Times New Roman"/>
          <w:szCs w:val="24"/>
          <w:lang w:eastAsia="en-AU"/>
        </w:rPr>
      </w:pPr>
      <w:r w:rsidRPr="00FA1BCF">
        <w:rPr>
          <w:rFonts w:eastAsia="Times New Roman" w:cs="Times New Roman"/>
          <w:szCs w:val="24"/>
          <w:lang w:eastAsia="en-AU"/>
        </w:rPr>
        <w:br w:type="page"/>
      </w:r>
    </w:p>
    <w:p w:rsidR="00EF265E" w:rsidRPr="00FA1BCF" w:rsidRDefault="00EF265E" w:rsidP="00E436E7">
      <w:pPr>
        <w:spacing w:before="1200"/>
        <w:rPr>
          <w:rFonts w:eastAsia="Times New Roman" w:cs="Times New Roman"/>
          <w:szCs w:val="24"/>
          <w:lang w:eastAsia="en-AU"/>
        </w:rPr>
      </w:pPr>
    </w:p>
    <w:p w:rsidR="000B3DE1" w:rsidRPr="00FA1BCF" w:rsidRDefault="000B3DE1" w:rsidP="00E436E7">
      <w:pPr>
        <w:spacing w:before="1200"/>
        <w:rPr>
          <w:rFonts w:ascii="Cambria" w:eastAsia="Cambria" w:hAnsi="Cambria" w:cs="Times New Roman"/>
          <w:sz w:val="17"/>
          <w:szCs w:val="20"/>
          <w:lang w:eastAsia="en-AU"/>
        </w:rPr>
      </w:pPr>
      <w:r w:rsidRPr="00FA1BCF">
        <w:rPr>
          <w:rFonts w:ascii="Cambria" w:eastAsia="Cambria" w:hAnsi="Cambria" w:cs="Times New Roman"/>
          <w:sz w:val="17"/>
          <w:szCs w:val="20"/>
          <w:lang w:eastAsia="en-AU"/>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E436E7">
        <w:rPr>
          <w:rFonts w:ascii="Cambria" w:eastAsia="Cambria" w:hAnsi="Cambria" w:cs="Times New Roman"/>
          <w:i/>
          <w:sz w:val="17"/>
          <w:szCs w:val="20"/>
          <w:lang w:eastAsia="en-AU"/>
        </w:rPr>
        <w:t>Copyright Act 1968</w:t>
      </w:r>
      <w:r w:rsidRPr="00FA1BCF">
        <w:rPr>
          <w:rFonts w:ascii="Cambria" w:eastAsia="Cambria" w:hAnsi="Cambria" w:cs="Times New Roman"/>
          <w:sz w:val="17"/>
          <w:szCs w:val="20"/>
          <w:lang w:eastAsia="en-AU"/>
        </w:rPr>
        <w:t xml:space="preserve"> or allowed by this copyright notice, all other rights are reserved and you are not allowed to reproduce the whole or any part of this work in any way (electronic or otherwise) without first being given the specific written permission from the Commonwealth to do so. Requests and inquiries concerning reproduction and rights are to be sent to the Communication Branch, Department of Health, GPO Box 9848, Canberra ACT 2601, or via email to </w:t>
      </w:r>
      <w:hyperlink r:id="rId10" w:history="1">
        <w:r w:rsidRPr="00FA1BCF">
          <w:rPr>
            <w:rFonts w:ascii="Cambria" w:eastAsia="Cambria" w:hAnsi="Cambria" w:cs="Times New Roman"/>
            <w:sz w:val="17"/>
          </w:rPr>
          <w:t>copyright@health.gov.au</w:t>
        </w:r>
      </w:hyperlink>
      <w:r w:rsidRPr="00FA1BCF">
        <w:rPr>
          <w:rFonts w:ascii="Cambria" w:eastAsia="Cambria" w:hAnsi="Cambria" w:cs="Times New Roman"/>
          <w:sz w:val="17"/>
          <w:szCs w:val="20"/>
          <w:lang w:eastAsia="en-AU"/>
        </w:rPr>
        <w:t>.</w:t>
      </w:r>
    </w:p>
    <w:p w:rsidR="000B3DE1" w:rsidRPr="00FA1BCF" w:rsidRDefault="000B3DE1" w:rsidP="00E436E7">
      <w:pPr>
        <w:pStyle w:val="LegalSubheading"/>
        <w:spacing w:before="720"/>
      </w:pPr>
      <w:r w:rsidRPr="00FA1BCF">
        <w:t>Confidentiality</w:t>
      </w:r>
    </w:p>
    <w:p w:rsidR="000B3DE1" w:rsidRPr="00FA1BCF" w:rsidRDefault="000B3DE1" w:rsidP="000B3DE1">
      <w:pPr>
        <w:pStyle w:val="LegalCopy"/>
        <w:rPr>
          <w:lang w:eastAsia="en-AU"/>
        </w:rPr>
      </w:pPr>
      <w:r w:rsidRPr="00FA1BCF">
        <w:rPr>
          <w:lang w:eastAsia="en-AU"/>
        </w:rPr>
        <w:t xml:space="preserve">All submissions received will be placed on the </w:t>
      </w:r>
      <w:r w:rsidR="000A4370" w:rsidRPr="00FA1BCF">
        <w:rPr>
          <w:lang w:eastAsia="en-AU"/>
        </w:rPr>
        <w:t>Pharmaceutical Benefits Scheme</w:t>
      </w:r>
      <w:r w:rsidRPr="00FA1BCF">
        <w:rPr>
          <w:lang w:eastAsia="en-AU"/>
        </w:rPr>
        <w:t xml:space="preserve"> website, unless marked confidential. Any confidential material contained within your submission should be provided under a separate cover and clearly marked </w:t>
      </w:r>
      <w:r w:rsidR="00B56F35" w:rsidRPr="00FA1BCF">
        <w:rPr>
          <w:lang w:eastAsia="en-AU"/>
        </w:rPr>
        <w:t>‘</w:t>
      </w:r>
      <w:r w:rsidRPr="00FA1BCF">
        <w:rPr>
          <w:lang w:eastAsia="en-AU"/>
        </w:rPr>
        <w:t>IN CONFIDENCE</w:t>
      </w:r>
      <w:r w:rsidR="00B56F35" w:rsidRPr="00FA1BCF">
        <w:rPr>
          <w:lang w:eastAsia="en-AU"/>
        </w:rPr>
        <w:t>’</w:t>
      </w:r>
      <w:r w:rsidRPr="00FA1BCF">
        <w:rPr>
          <w:lang w:eastAsia="en-AU"/>
        </w:rPr>
        <w:t>. Reasons for a claim to confidentiality must be included in the space provided on the PBS submission cover</w:t>
      </w:r>
      <w:r w:rsidR="00B56F35" w:rsidRPr="00FA1BCF">
        <w:rPr>
          <w:lang w:eastAsia="en-AU"/>
        </w:rPr>
        <w:t xml:space="preserve"> </w:t>
      </w:r>
      <w:r w:rsidRPr="00FA1BCF">
        <w:rPr>
          <w:lang w:eastAsia="en-AU"/>
        </w:rPr>
        <w:t>sheet. For submission</w:t>
      </w:r>
      <w:r w:rsidR="00B56F35" w:rsidRPr="00FA1BCF">
        <w:rPr>
          <w:lang w:eastAsia="en-AU"/>
        </w:rPr>
        <w:t>s</w:t>
      </w:r>
      <w:r w:rsidRPr="00FA1BCF">
        <w:rPr>
          <w:lang w:eastAsia="en-AU"/>
        </w:rPr>
        <w:t xml:space="preserve"> made by individuals, all personal details, other than your name, will be removed from your submission before it is published on the </w:t>
      </w:r>
      <w:r w:rsidR="000A4370" w:rsidRPr="00FA1BCF">
        <w:rPr>
          <w:lang w:eastAsia="en-AU"/>
        </w:rPr>
        <w:t>Pharmaceutical Benefits Scheme</w:t>
      </w:r>
      <w:r w:rsidRPr="00FA1BCF">
        <w:rPr>
          <w:lang w:eastAsia="en-AU"/>
        </w:rPr>
        <w:t xml:space="preserve"> website. In addition, a list of parties making submissions will be published. If you do not wish to be identified with your submission you must specifically request this in the space provided on the submission cover</w:t>
      </w:r>
      <w:r w:rsidR="00B56F35" w:rsidRPr="00FA1BCF">
        <w:rPr>
          <w:lang w:eastAsia="en-AU"/>
        </w:rPr>
        <w:t xml:space="preserve"> </w:t>
      </w:r>
      <w:r w:rsidRPr="00FA1BCF">
        <w:rPr>
          <w:lang w:eastAsia="en-AU"/>
        </w:rPr>
        <w:t>sheet</w:t>
      </w:r>
      <w:r w:rsidR="00B56F35" w:rsidRPr="00FA1BCF">
        <w:rPr>
          <w:lang w:eastAsia="en-AU"/>
        </w:rPr>
        <w:t>.</w:t>
      </w:r>
    </w:p>
    <w:p w:rsidR="00806285" w:rsidRPr="00FA1BCF" w:rsidRDefault="00806285">
      <w:pPr>
        <w:spacing w:after="200" w:line="276" w:lineRule="auto"/>
        <w:rPr>
          <w:rFonts w:eastAsia="Times New Roman" w:cs="Times New Roman"/>
          <w:b/>
          <w:sz w:val="52"/>
          <w:szCs w:val="52"/>
          <w:lang w:eastAsia="en-AU"/>
        </w:rPr>
      </w:pPr>
      <w:r w:rsidRPr="00FA1BCF">
        <w:rPr>
          <w:rFonts w:eastAsia="Times New Roman" w:cs="Times New Roman"/>
          <w:b/>
          <w:sz w:val="52"/>
          <w:szCs w:val="52"/>
          <w:lang w:eastAsia="en-AU"/>
        </w:rPr>
        <w:br w:type="page"/>
      </w:r>
    </w:p>
    <w:p w:rsidR="000B3DE1" w:rsidRPr="00FA1BCF" w:rsidRDefault="000B3DE1" w:rsidP="00E436E7">
      <w:pPr>
        <w:pStyle w:val="Heading1"/>
        <w:rPr>
          <w:lang w:eastAsia="en-AU"/>
        </w:rPr>
      </w:pPr>
      <w:bookmarkStart w:id="1" w:name="_Toc302625559"/>
      <w:r w:rsidRPr="00FA1BCF">
        <w:rPr>
          <w:lang w:eastAsia="en-AU"/>
        </w:rPr>
        <w:lastRenderedPageBreak/>
        <w:t xml:space="preserve">Structure of the </w:t>
      </w:r>
      <w:r w:rsidR="00B56F35" w:rsidRPr="00FA1BCF">
        <w:rPr>
          <w:lang w:eastAsia="en-AU"/>
        </w:rPr>
        <w:t>r</w:t>
      </w:r>
      <w:r w:rsidRPr="00FA1BCF">
        <w:rPr>
          <w:lang w:eastAsia="en-AU"/>
        </w:rPr>
        <w:t>eport</w:t>
      </w:r>
      <w:bookmarkEnd w:id="1"/>
    </w:p>
    <w:p w:rsidR="000B3DE1" w:rsidRPr="00FA1BCF" w:rsidRDefault="000B3DE1" w:rsidP="000B3DE1">
      <w:pPr>
        <w:ind w:left="1440" w:firstLine="720"/>
        <w:rPr>
          <w:rFonts w:eastAsia="Times New Roman" w:cs="Times New Roman"/>
          <w:b/>
          <w:sz w:val="20"/>
          <w:szCs w:val="52"/>
          <w:lang w:eastAsia="en-AU"/>
        </w:rPr>
      </w:pPr>
    </w:p>
    <w:p w:rsidR="000B3DE1" w:rsidRPr="00E436E7" w:rsidRDefault="000B3DE1" w:rsidP="000B3DE1">
      <w:pPr>
        <w:pStyle w:val="Default"/>
        <w:pBdr>
          <w:top w:val="single" w:sz="24" w:space="1" w:color="215868" w:themeColor="accent5" w:themeShade="80"/>
          <w:left w:val="single" w:sz="24" w:space="4" w:color="215868" w:themeColor="accent5" w:themeShade="80"/>
          <w:bottom w:val="single" w:sz="24" w:space="16" w:color="215868" w:themeColor="accent5" w:themeShade="80"/>
          <w:right w:val="single" w:sz="24" w:space="4" w:color="215868" w:themeColor="accent5" w:themeShade="80"/>
        </w:pBdr>
        <w:shd w:val="clear" w:color="auto" w:fill="DAEEF3" w:themeFill="accent5" w:themeFillTint="33"/>
        <w:rPr>
          <w:rFonts w:asciiTheme="minorHAnsi" w:hAnsiTheme="minorHAnsi"/>
          <w:bCs/>
        </w:rPr>
      </w:pPr>
      <w:r w:rsidRPr="00E436E7">
        <w:rPr>
          <w:rFonts w:asciiTheme="minorHAnsi" w:hAnsiTheme="minorHAnsi"/>
          <w:bCs/>
        </w:rPr>
        <w:t>Th</w:t>
      </w:r>
      <w:r w:rsidR="00092BD1" w:rsidRPr="00E436E7">
        <w:rPr>
          <w:rFonts w:asciiTheme="minorHAnsi" w:hAnsiTheme="minorHAnsi"/>
          <w:bCs/>
        </w:rPr>
        <w:t xml:space="preserve">is report is presented in eight </w:t>
      </w:r>
      <w:r w:rsidRPr="00E436E7">
        <w:rPr>
          <w:rFonts w:asciiTheme="minorHAnsi" w:hAnsiTheme="minorHAnsi"/>
          <w:bCs/>
        </w:rPr>
        <w:t>parts, as briefly outlined</w:t>
      </w:r>
      <w:r w:rsidR="00090196" w:rsidRPr="00FA1BCF">
        <w:rPr>
          <w:rFonts w:asciiTheme="minorHAnsi" w:hAnsiTheme="minorHAnsi"/>
          <w:bCs/>
        </w:rPr>
        <w:t xml:space="preserve"> below</w:t>
      </w:r>
      <w:r w:rsidRPr="00E436E7">
        <w:rPr>
          <w:rFonts w:asciiTheme="minorHAnsi" w:hAnsiTheme="minorHAnsi"/>
          <w:bCs/>
        </w:rPr>
        <w:t xml:space="preserve">. The </w:t>
      </w:r>
      <w:r w:rsidR="00B56F35" w:rsidRPr="00E436E7">
        <w:rPr>
          <w:rFonts w:asciiTheme="minorHAnsi" w:hAnsiTheme="minorHAnsi"/>
          <w:bCs/>
        </w:rPr>
        <w:t>r</w:t>
      </w:r>
      <w:r w:rsidRPr="00E436E7">
        <w:rPr>
          <w:rFonts w:asciiTheme="minorHAnsi" w:hAnsiTheme="minorHAnsi"/>
          <w:bCs/>
        </w:rPr>
        <w:t xml:space="preserve">eport structure is designed to lay out how the review was conducted, </w:t>
      </w:r>
      <w:r w:rsidR="00090196" w:rsidRPr="00FA1BCF">
        <w:rPr>
          <w:rFonts w:asciiTheme="minorHAnsi" w:hAnsiTheme="minorHAnsi"/>
          <w:bCs/>
        </w:rPr>
        <w:t>who was</w:t>
      </w:r>
      <w:r w:rsidRPr="00E436E7">
        <w:rPr>
          <w:rFonts w:asciiTheme="minorHAnsi" w:hAnsiTheme="minorHAnsi"/>
          <w:bCs/>
        </w:rPr>
        <w:t xml:space="preserve"> consulted, the issues that were identified, stakeholders</w:t>
      </w:r>
      <w:r w:rsidR="00B56F35" w:rsidRPr="00E436E7">
        <w:rPr>
          <w:rFonts w:asciiTheme="minorHAnsi" w:hAnsiTheme="minorHAnsi"/>
          <w:bCs/>
        </w:rPr>
        <w:t>’</w:t>
      </w:r>
      <w:r w:rsidRPr="00E436E7">
        <w:rPr>
          <w:rFonts w:asciiTheme="minorHAnsi" w:hAnsiTheme="minorHAnsi"/>
          <w:bCs/>
        </w:rPr>
        <w:t xml:space="preserve"> input and the</w:t>
      </w:r>
      <w:r w:rsidR="00B56F35" w:rsidRPr="00E436E7">
        <w:rPr>
          <w:rFonts w:asciiTheme="minorHAnsi" w:hAnsiTheme="minorHAnsi"/>
          <w:bCs/>
        </w:rPr>
        <w:t xml:space="preserve"> deliberations of the</w:t>
      </w:r>
      <w:r w:rsidRPr="00E436E7">
        <w:rPr>
          <w:rFonts w:asciiTheme="minorHAnsi" w:hAnsiTheme="minorHAnsi"/>
          <w:bCs/>
        </w:rPr>
        <w:t xml:space="preserve"> independent expert reference group in making its recommendations to </w:t>
      </w:r>
      <w:r w:rsidR="00090196" w:rsidRPr="00FA1BCF">
        <w:rPr>
          <w:rFonts w:asciiTheme="minorHAnsi" w:hAnsiTheme="minorHAnsi"/>
          <w:bCs/>
        </w:rPr>
        <w:t>g</w:t>
      </w:r>
      <w:r w:rsidRPr="00E436E7">
        <w:rPr>
          <w:rFonts w:asciiTheme="minorHAnsi" w:hAnsiTheme="minorHAnsi"/>
          <w:bCs/>
        </w:rPr>
        <w:t>overnment.</w:t>
      </w:r>
    </w:p>
    <w:p w:rsidR="000B3DE1" w:rsidRPr="00E436E7" w:rsidRDefault="000B3DE1" w:rsidP="00E436E7">
      <w:pPr>
        <w:pStyle w:val="Default"/>
        <w:pBdr>
          <w:top w:val="single" w:sz="24" w:space="1" w:color="215868" w:themeColor="accent5" w:themeShade="80"/>
          <w:left w:val="single" w:sz="24" w:space="4" w:color="215868" w:themeColor="accent5" w:themeShade="80"/>
          <w:bottom w:val="single" w:sz="24" w:space="16" w:color="215868" w:themeColor="accent5" w:themeShade="80"/>
          <w:right w:val="single" w:sz="24" w:space="4" w:color="215868" w:themeColor="accent5" w:themeShade="80"/>
        </w:pBdr>
        <w:shd w:val="clear" w:color="auto" w:fill="DAEEF3" w:themeFill="accent5" w:themeFillTint="33"/>
        <w:spacing w:before="120" w:after="120"/>
        <w:rPr>
          <w:rFonts w:asciiTheme="minorHAnsi" w:hAnsiTheme="minorHAnsi"/>
        </w:rPr>
      </w:pPr>
      <w:r w:rsidRPr="00E436E7">
        <w:rPr>
          <w:rFonts w:asciiTheme="minorHAnsi" w:hAnsiTheme="minorHAnsi"/>
          <w:bCs/>
        </w:rPr>
        <w:t xml:space="preserve">Section 1 </w:t>
      </w:r>
      <w:r w:rsidR="00C5438A" w:rsidRPr="00E436E7">
        <w:rPr>
          <w:rFonts w:asciiTheme="minorHAnsi" w:hAnsiTheme="minorHAnsi"/>
          <w:bCs/>
        </w:rPr>
        <w:t>–</w:t>
      </w:r>
      <w:r w:rsidRPr="00E436E7">
        <w:rPr>
          <w:rFonts w:asciiTheme="minorHAnsi" w:hAnsiTheme="minorHAnsi"/>
        </w:rPr>
        <w:t xml:space="preserve"> </w:t>
      </w:r>
      <w:r w:rsidR="004B454B" w:rsidRPr="00E436E7">
        <w:rPr>
          <w:rFonts w:asciiTheme="minorHAnsi" w:hAnsiTheme="minorHAnsi"/>
        </w:rPr>
        <w:t xml:space="preserve">Life Saving Drugs Programme </w:t>
      </w:r>
      <w:r w:rsidRPr="00E436E7">
        <w:rPr>
          <w:rFonts w:asciiTheme="minorHAnsi" w:hAnsiTheme="minorHAnsi"/>
        </w:rPr>
        <w:t xml:space="preserve">Post Market Review </w:t>
      </w:r>
      <w:r w:rsidR="004B454B" w:rsidRPr="00E436E7">
        <w:rPr>
          <w:rFonts w:asciiTheme="minorHAnsi" w:hAnsiTheme="minorHAnsi"/>
        </w:rPr>
        <w:t>t</w:t>
      </w:r>
      <w:r w:rsidRPr="00E436E7">
        <w:rPr>
          <w:rFonts w:asciiTheme="minorHAnsi" w:hAnsiTheme="minorHAnsi"/>
        </w:rPr>
        <w:t xml:space="preserve">erms of </w:t>
      </w:r>
      <w:r w:rsidR="004B454B" w:rsidRPr="00E436E7">
        <w:rPr>
          <w:rFonts w:asciiTheme="minorHAnsi" w:hAnsiTheme="minorHAnsi"/>
        </w:rPr>
        <w:t>r</w:t>
      </w:r>
      <w:r w:rsidRPr="00E436E7">
        <w:rPr>
          <w:rFonts w:asciiTheme="minorHAnsi" w:hAnsiTheme="minorHAnsi"/>
        </w:rPr>
        <w:t xml:space="preserve">eference. </w:t>
      </w:r>
    </w:p>
    <w:p w:rsidR="000B3DE1" w:rsidRPr="00E436E7" w:rsidRDefault="000B3DE1" w:rsidP="00E436E7">
      <w:pPr>
        <w:pStyle w:val="Default"/>
        <w:pBdr>
          <w:top w:val="single" w:sz="24" w:space="1" w:color="215868" w:themeColor="accent5" w:themeShade="80"/>
          <w:left w:val="single" w:sz="24" w:space="4" w:color="215868" w:themeColor="accent5" w:themeShade="80"/>
          <w:bottom w:val="single" w:sz="24" w:space="16" w:color="215868" w:themeColor="accent5" w:themeShade="80"/>
          <w:right w:val="single" w:sz="24" w:space="4" w:color="215868" w:themeColor="accent5" w:themeShade="80"/>
        </w:pBdr>
        <w:shd w:val="clear" w:color="auto" w:fill="DAEEF3" w:themeFill="accent5" w:themeFillTint="33"/>
        <w:spacing w:before="120" w:after="120"/>
        <w:rPr>
          <w:rFonts w:asciiTheme="minorHAnsi" w:hAnsiTheme="minorHAnsi"/>
          <w:bCs/>
        </w:rPr>
      </w:pPr>
      <w:r w:rsidRPr="00E436E7">
        <w:rPr>
          <w:rFonts w:asciiTheme="minorHAnsi" w:hAnsiTheme="minorHAnsi"/>
          <w:bCs/>
        </w:rPr>
        <w:t>Section 2 – Chronology of the review process, stakeholder consultations,</w:t>
      </w:r>
      <w:r w:rsidR="00B56F35" w:rsidRPr="00E436E7">
        <w:rPr>
          <w:rFonts w:asciiTheme="minorHAnsi" w:hAnsiTheme="minorHAnsi"/>
          <w:bCs/>
        </w:rPr>
        <w:t xml:space="preserve"> </w:t>
      </w:r>
      <w:r w:rsidRPr="00E436E7">
        <w:rPr>
          <w:rFonts w:asciiTheme="minorHAnsi" w:hAnsiTheme="minorHAnsi"/>
          <w:bCs/>
        </w:rPr>
        <w:t>industry briefings and lists of all the submissions received.</w:t>
      </w:r>
      <w:r w:rsidRPr="00FA1BCF">
        <w:rPr>
          <w:rFonts w:asciiTheme="minorHAnsi" w:hAnsiTheme="minorHAnsi"/>
        </w:rPr>
        <w:t xml:space="preserve"> </w:t>
      </w:r>
    </w:p>
    <w:p w:rsidR="000B3DE1" w:rsidRPr="00FA1BCF" w:rsidRDefault="000B3DE1" w:rsidP="00E436E7">
      <w:pPr>
        <w:pStyle w:val="Default"/>
        <w:pBdr>
          <w:top w:val="single" w:sz="24" w:space="1" w:color="215868" w:themeColor="accent5" w:themeShade="80"/>
          <w:left w:val="single" w:sz="24" w:space="4" w:color="215868" w:themeColor="accent5" w:themeShade="80"/>
          <w:bottom w:val="single" w:sz="24" w:space="16" w:color="215868" w:themeColor="accent5" w:themeShade="80"/>
          <w:right w:val="single" w:sz="24" w:space="4" w:color="215868" w:themeColor="accent5" w:themeShade="80"/>
        </w:pBdr>
        <w:shd w:val="clear" w:color="auto" w:fill="DAEEF3" w:themeFill="accent5" w:themeFillTint="33"/>
        <w:spacing w:before="120" w:after="120"/>
        <w:rPr>
          <w:rFonts w:asciiTheme="minorHAnsi" w:hAnsiTheme="minorHAnsi"/>
        </w:rPr>
      </w:pPr>
      <w:proofErr w:type="gramStart"/>
      <w:r w:rsidRPr="00E436E7">
        <w:rPr>
          <w:rFonts w:asciiTheme="minorHAnsi" w:hAnsiTheme="minorHAnsi"/>
          <w:bCs/>
        </w:rPr>
        <w:t>Section 3 –</w:t>
      </w:r>
      <w:r w:rsidR="004B454B" w:rsidRPr="00E436E7">
        <w:rPr>
          <w:rFonts w:asciiTheme="minorHAnsi" w:hAnsiTheme="minorHAnsi"/>
          <w:bCs/>
        </w:rPr>
        <w:t xml:space="preserve"> </w:t>
      </w:r>
      <w:r w:rsidR="004B454B" w:rsidRPr="00E436E7">
        <w:rPr>
          <w:rFonts w:asciiTheme="minorHAnsi" w:hAnsiTheme="minorHAnsi"/>
        </w:rPr>
        <w:t>Life Saving Drugs Programme</w:t>
      </w:r>
      <w:r w:rsidRPr="00E436E7">
        <w:rPr>
          <w:rFonts w:asciiTheme="minorHAnsi" w:hAnsiTheme="minorHAnsi"/>
          <w:bCs/>
        </w:rPr>
        <w:t xml:space="preserve"> Reference Group recommendations</w:t>
      </w:r>
      <w:r w:rsidR="00C5438A" w:rsidRPr="00E436E7">
        <w:rPr>
          <w:rFonts w:asciiTheme="minorHAnsi" w:hAnsiTheme="minorHAnsi"/>
          <w:bCs/>
        </w:rPr>
        <w:t>.</w:t>
      </w:r>
      <w:proofErr w:type="gramEnd"/>
    </w:p>
    <w:p w:rsidR="000B3DE1" w:rsidRPr="00FA1BCF" w:rsidRDefault="000B3DE1" w:rsidP="00E436E7">
      <w:pPr>
        <w:pStyle w:val="Default"/>
        <w:pBdr>
          <w:top w:val="single" w:sz="24" w:space="1" w:color="215868" w:themeColor="accent5" w:themeShade="80"/>
          <w:left w:val="single" w:sz="24" w:space="4" w:color="215868" w:themeColor="accent5" w:themeShade="80"/>
          <w:bottom w:val="single" w:sz="24" w:space="16" w:color="215868" w:themeColor="accent5" w:themeShade="80"/>
          <w:right w:val="single" w:sz="24" w:space="4" w:color="215868" w:themeColor="accent5" w:themeShade="80"/>
        </w:pBdr>
        <w:shd w:val="clear" w:color="auto" w:fill="DAEEF3" w:themeFill="accent5" w:themeFillTint="33"/>
        <w:spacing w:before="120" w:after="120"/>
        <w:rPr>
          <w:rFonts w:asciiTheme="minorHAnsi" w:hAnsiTheme="minorHAnsi"/>
        </w:rPr>
      </w:pPr>
      <w:r w:rsidRPr="00E436E7">
        <w:rPr>
          <w:rFonts w:asciiTheme="minorHAnsi" w:hAnsiTheme="minorHAnsi"/>
          <w:bCs/>
        </w:rPr>
        <w:t>Section 4 –</w:t>
      </w:r>
      <w:r w:rsidR="002259E3" w:rsidRPr="00E436E7">
        <w:rPr>
          <w:rFonts w:asciiTheme="minorHAnsi" w:hAnsiTheme="minorHAnsi"/>
          <w:bCs/>
        </w:rPr>
        <w:t xml:space="preserve"> </w:t>
      </w:r>
      <w:r w:rsidRPr="00E436E7">
        <w:rPr>
          <w:rFonts w:asciiTheme="minorHAnsi" w:hAnsiTheme="minorHAnsi"/>
          <w:bCs/>
        </w:rPr>
        <w:t xml:space="preserve">Overview of the processes undertaken during the </w:t>
      </w:r>
      <w:r w:rsidR="004B454B" w:rsidRPr="00E436E7">
        <w:rPr>
          <w:rFonts w:asciiTheme="minorHAnsi" w:hAnsiTheme="minorHAnsi"/>
          <w:bCs/>
        </w:rPr>
        <w:t>r</w:t>
      </w:r>
      <w:r w:rsidRPr="00E436E7">
        <w:rPr>
          <w:rFonts w:asciiTheme="minorHAnsi" w:hAnsiTheme="minorHAnsi"/>
          <w:bCs/>
        </w:rPr>
        <w:t>eview</w:t>
      </w:r>
      <w:r w:rsidR="00C5438A" w:rsidRPr="00E436E7">
        <w:rPr>
          <w:rFonts w:asciiTheme="minorHAnsi" w:hAnsiTheme="minorHAnsi"/>
          <w:bCs/>
        </w:rPr>
        <w:t>.</w:t>
      </w:r>
    </w:p>
    <w:p w:rsidR="000B3DE1" w:rsidRPr="00E436E7" w:rsidRDefault="000B3DE1" w:rsidP="00E436E7">
      <w:pPr>
        <w:pStyle w:val="Default"/>
        <w:pBdr>
          <w:top w:val="single" w:sz="24" w:space="1" w:color="215868" w:themeColor="accent5" w:themeShade="80"/>
          <w:left w:val="single" w:sz="24" w:space="4" w:color="215868" w:themeColor="accent5" w:themeShade="80"/>
          <w:bottom w:val="single" w:sz="24" w:space="16" w:color="215868" w:themeColor="accent5" w:themeShade="80"/>
          <w:right w:val="single" w:sz="24" w:space="4" w:color="215868" w:themeColor="accent5" w:themeShade="80"/>
        </w:pBdr>
        <w:shd w:val="clear" w:color="auto" w:fill="DAEEF3" w:themeFill="accent5" w:themeFillTint="33"/>
        <w:spacing w:before="120" w:after="120"/>
        <w:rPr>
          <w:rFonts w:asciiTheme="minorHAnsi" w:hAnsiTheme="minorHAnsi"/>
          <w:bCs/>
        </w:rPr>
      </w:pPr>
      <w:r w:rsidRPr="00E436E7">
        <w:rPr>
          <w:rFonts w:asciiTheme="minorHAnsi" w:hAnsiTheme="minorHAnsi"/>
          <w:bCs/>
        </w:rPr>
        <w:t xml:space="preserve">Section 5 – </w:t>
      </w:r>
      <w:r w:rsidR="004B454B" w:rsidRPr="00E436E7">
        <w:rPr>
          <w:rFonts w:asciiTheme="minorHAnsi" w:hAnsiTheme="minorHAnsi"/>
          <w:bCs/>
        </w:rPr>
        <w:t xml:space="preserve">Description of </w:t>
      </w:r>
      <w:r w:rsidRPr="00E436E7">
        <w:rPr>
          <w:rFonts w:asciiTheme="minorHAnsi" w:hAnsiTheme="minorHAnsi"/>
          <w:bCs/>
        </w:rPr>
        <w:t xml:space="preserve">issues that emerged after the </w:t>
      </w:r>
      <w:r w:rsidR="000A4370" w:rsidRPr="00FA1BCF">
        <w:rPr>
          <w:rFonts w:asciiTheme="minorHAnsi" w:hAnsiTheme="minorHAnsi"/>
        </w:rPr>
        <w:t>p</w:t>
      </w:r>
      <w:r w:rsidR="004B454B" w:rsidRPr="00E436E7">
        <w:rPr>
          <w:rFonts w:asciiTheme="minorHAnsi" w:hAnsiTheme="minorHAnsi"/>
        </w:rPr>
        <w:t>rogramme</w:t>
      </w:r>
      <w:r w:rsidRPr="00E436E7">
        <w:rPr>
          <w:rFonts w:asciiTheme="minorHAnsi" w:hAnsiTheme="minorHAnsi"/>
          <w:bCs/>
        </w:rPr>
        <w:t xml:space="preserve"> review in </w:t>
      </w:r>
      <w:r w:rsidR="00910D6B">
        <w:rPr>
          <w:rFonts w:asciiTheme="minorHAnsi" w:hAnsiTheme="minorHAnsi"/>
          <w:bCs/>
        </w:rPr>
        <w:t>2008–</w:t>
      </w:r>
      <w:r w:rsidRPr="00E436E7">
        <w:rPr>
          <w:rFonts w:asciiTheme="minorHAnsi" w:hAnsiTheme="minorHAnsi"/>
          <w:bCs/>
        </w:rPr>
        <w:t>2009</w:t>
      </w:r>
      <w:r w:rsidR="00910D6B">
        <w:rPr>
          <w:rFonts w:asciiTheme="minorHAnsi" w:hAnsiTheme="minorHAnsi"/>
          <w:bCs/>
        </w:rPr>
        <w:t xml:space="preserve"> and the revision of the funding criteria in </w:t>
      </w:r>
      <w:r w:rsidRPr="00E436E7">
        <w:rPr>
          <w:rFonts w:asciiTheme="minorHAnsi" w:hAnsiTheme="minorHAnsi"/>
          <w:bCs/>
        </w:rPr>
        <w:t>2010</w:t>
      </w:r>
      <w:r w:rsidR="00C5438A" w:rsidRPr="00E436E7">
        <w:rPr>
          <w:rFonts w:asciiTheme="minorHAnsi" w:hAnsiTheme="minorHAnsi"/>
          <w:bCs/>
        </w:rPr>
        <w:t>.</w:t>
      </w:r>
    </w:p>
    <w:p w:rsidR="000B3DE1" w:rsidRPr="00E436E7" w:rsidRDefault="000B3DE1" w:rsidP="00E436E7">
      <w:pPr>
        <w:pStyle w:val="Default"/>
        <w:pBdr>
          <w:top w:val="single" w:sz="24" w:space="1" w:color="215868" w:themeColor="accent5" w:themeShade="80"/>
          <w:left w:val="single" w:sz="24" w:space="4" w:color="215868" w:themeColor="accent5" w:themeShade="80"/>
          <w:bottom w:val="single" w:sz="24" w:space="16" w:color="215868" w:themeColor="accent5" w:themeShade="80"/>
          <w:right w:val="single" w:sz="24" w:space="4" w:color="215868" w:themeColor="accent5" w:themeShade="80"/>
        </w:pBdr>
        <w:shd w:val="clear" w:color="auto" w:fill="DAEEF3" w:themeFill="accent5" w:themeFillTint="33"/>
        <w:spacing w:before="120" w:after="120"/>
        <w:rPr>
          <w:rFonts w:asciiTheme="minorHAnsi" w:hAnsiTheme="minorHAnsi"/>
          <w:bCs/>
        </w:rPr>
      </w:pPr>
      <w:r w:rsidRPr="00E436E7">
        <w:rPr>
          <w:rFonts w:asciiTheme="minorHAnsi" w:hAnsiTheme="minorHAnsi"/>
          <w:bCs/>
        </w:rPr>
        <w:t>Section 6 –</w:t>
      </w:r>
      <w:r w:rsidR="004B454B" w:rsidRPr="00E436E7">
        <w:rPr>
          <w:rFonts w:asciiTheme="minorHAnsi" w:hAnsiTheme="minorHAnsi"/>
          <w:bCs/>
        </w:rPr>
        <w:t xml:space="preserve"> </w:t>
      </w:r>
      <w:r w:rsidRPr="00E436E7">
        <w:rPr>
          <w:rFonts w:asciiTheme="minorHAnsi" w:hAnsiTheme="minorHAnsi"/>
          <w:bCs/>
        </w:rPr>
        <w:t xml:space="preserve">Reference </w:t>
      </w:r>
      <w:r w:rsidR="000A4370" w:rsidRPr="00FA1BCF">
        <w:rPr>
          <w:rFonts w:asciiTheme="minorHAnsi" w:hAnsiTheme="minorHAnsi"/>
          <w:bCs/>
        </w:rPr>
        <w:t>g</w:t>
      </w:r>
      <w:r w:rsidRPr="00E436E7">
        <w:rPr>
          <w:rFonts w:asciiTheme="minorHAnsi" w:hAnsiTheme="minorHAnsi"/>
          <w:bCs/>
        </w:rPr>
        <w:t xml:space="preserve">roup </w:t>
      </w:r>
      <w:r w:rsidR="004B454B" w:rsidRPr="00E436E7">
        <w:rPr>
          <w:rFonts w:asciiTheme="minorHAnsi" w:hAnsiTheme="minorHAnsi"/>
          <w:bCs/>
        </w:rPr>
        <w:t>i</w:t>
      </w:r>
      <w:r w:rsidRPr="00E436E7">
        <w:rPr>
          <w:rFonts w:asciiTheme="minorHAnsi" w:hAnsiTheme="minorHAnsi"/>
          <w:bCs/>
        </w:rPr>
        <w:t xml:space="preserve">ssues </w:t>
      </w:r>
      <w:r w:rsidR="004B454B" w:rsidRPr="00E436E7">
        <w:rPr>
          <w:rFonts w:asciiTheme="minorHAnsi" w:hAnsiTheme="minorHAnsi"/>
          <w:bCs/>
        </w:rPr>
        <w:t>p</w:t>
      </w:r>
      <w:r w:rsidRPr="00E436E7">
        <w:rPr>
          <w:rFonts w:asciiTheme="minorHAnsi" w:hAnsiTheme="minorHAnsi"/>
          <w:bCs/>
        </w:rPr>
        <w:t xml:space="preserve">aper and </w:t>
      </w:r>
      <w:r w:rsidR="004B454B" w:rsidRPr="00E436E7">
        <w:rPr>
          <w:rFonts w:asciiTheme="minorHAnsi" w:hAnsiTheme="minorHAnsi"/>
          <w:bCs/>
        </w:rPr>
        <w:t>s</w:t>
      </w:r>
      <w:r w:rsidRPr="00E436E7">
        <w:rPr>
          <w:rFonts w:asciiTheme="minorHAnsi" w:hAnsiTheme="minorHAnsi"/>
          <w:bCs/>
        </w:rPr>
        <w:t>takeholder</w:t>
      </w:r>
      <w:r w:rsidR="00C5438A" w:rsidRPr="00E436E7">
        <w:rPr>
          <w:rFonts w:asciiTheme="minorHAnsi" w:hAnsiTheme="minorHAnsi"/>
          <w:bCs/>
        </w:rPr>
        <w:t xml:space="preserve"> views</w:t>
      </w:r>
      <w:r w:rsidRPr="00E436E7">
        <w:rPr>
          <w:rFonts w:asciiTheme="minorHAnsi" w:hAnsiTheme="minorHAnsi"/>
          <w:bCs/>
        </w:rPr>
        <w:t>.</w:t>
      </w:r>
    </w:p>
    <w:p w:rsidR="000B3DE1" w:rsidRPr="00E436E7" w:rsidRDefault="000B3DE1" w:rsidP="00E436E7">
      <w:pPr>
        <w:pStyle w:val="Default"/>
        <w:pBdr>
          <w:top w:val="single" w:sz="24" w:space="1" w:color="215868" w:themeColor="accent5" w:themeShade="80"/>
          <w:left w:val="single" w:sz="24" w:space="4" w:color="215868" w:themeColor="accent5" w:themeShade="80"/>
          <w:bottom w:val="single" w:sz="24" w:space="16" w:color="215868" w:themeColor="accent5" w:themeShade="80"/>
          <w:right w:val="single" w:sz="24" w:space="4" w:color="215868" w:themeColor="accent5" w:themeShade="80"/>
        </w:pBdr>
        <w:shd w:val="clear" w:color="auto" w:fill="DAEEF3" w:themeFill="accent5" w:themeFillTint="33"/>
        <w:spacing w:before="120" w:after="120"/>
        <w:rPr>
          <w:rFonts w:asciiTheme="minorHAnsi" w:hAnsiTheme="minorHAnsi"/>
          <w:bCs/>
        </w:rPr>
      </w:pPr>
      <w:r w:rsidRPr="00E436E7">
        <w:rPr>
          <w:rFonts w:asciiTheme="minorHAnsi" w:hAnsiTheme="minorHAnsi"/>
          <w:bCs/>
        </w:rPr>
        <w:t xml:space="preserve">Section 7 – Reference </w:t>
      </w:r>
      <w:r w:rsidR="004B454B" w:rsidRPr="00E436E7">
        <w:rPr>
          <w:rFonts w:asciiTheme="minorHAnsi" w:hAnsiTheme="minorHAnsi"/>
          <w:bCs/>
        </w:rPr>
        <w:t>g</w:t>
      </w:r>
      <w:r w:rsidRPr="00E436E7">
        <w:rPr>
          <w:rFonts w:asciiTheme="minorHAnsi" w:hAnsiTheme="minorHAnsi"/>
          <w:bCs/>
        </w:rPr>
        <w:t>roup consideration of responses received and its conclusions.</w:t>
      </w:r>
    </w:p>
    <w:p w:rsidR="00C5438A" w:rsidRPr="00E436E7" w:rsidRDefault="00C5438A" w:rsidP="00E436E7">
      <w:pPr>
        <w:pStyle w:val="Default"/>
        <w:pBdr>
          <w:top w:val="single" w:sz="24" w:space="1" w:color="215868" w:themeColor="accent5" w:themeShade="80"/>
          <w:left w:val="single" w:sz="24" w:space="4" w:color="215868" w:themeColor="accent5" w:themeShade="80"/>
          <w:bottom w:val="single" w:sz="24" w:space="16" w:color="215868" w:themeColor="accent5" w:themeShade="80"/>
          <w:right w:val="single" w:sz="24" w:space="4" w:color="215868" w:themeColor="accent5" w:themeShade="80"/>
        </w:pBdr>
        <w:shd w:val="clear" w:color="auto" w:fill="DAEEF3" w:themeFill="accent5" w:themeFillTint="33"/>
        <w:spacing w:before="120" w:after="120"/>
        <w:rPr>
          <w:rFonts w:asciiTheme="minorHAnsi" w:hAnsiTheme="minorHAnsi"/>
          <w:bCs/>
        </w:rPr>
      </w:pPr>
      <w:r w:rsidRPr="00E436E7">
        <w:rPr>
          <w:rFonts w:asciiTheme="minorHAnsi" w:hAnsiTheme="minorHAnsi"/>
          <w:bCs/>
        </w:rPr>
        <w:t xml:space="preserve">Section 8 – Proposed </w:t>
      </w:r>
      <w:r w:rsidR="003B1A1E" w:rsidRPr="00E436E7">
        <w:rPr>
          <w:rFonts w:asciiTheme="minorHAnsi" w:hAnsiTheme="minorHAnsi"/>
          <w:bCs/>
        </w:rPr>
        <w:t>steps to transition</w:t>
      </w:r>
      <w:r w:rsidRPr="00E436E7">
        <w:rPr>
          <w:rFonts w:asciiTheme="minorHAnsi" w:hAnsiTheme="minorHAnsi"/>
          <w:bCs/>
        </w:rPr>
        <w:t xml:space="preserve"> the </w:t>
      </w:r>
      <w:r w:rsidR="004B454B" w:rsidRPr="00E436E7">
        <w:rPr>
          <w:rFonts w:asciiTheme="minorHAnsi" w:hAnsiTheme="minorHAnsi"/>
        </w:rPr>
        <w:t>Life Saving Drugs Programme</w:t>
      </w:r>
      <w:r w:rsidR="003B1A1E" w:rsidRPr="00E436E7">
        <w:rPr>
          <w:rFonts w:asciiTheme="minorHAnsi" w:hAnsiTheme="minorHAnsi"/>
          <w:bCs/>
        </w:rPr>
        <w:t xml:space="preserve"> </w:t>
      </w:r>
      <w:proofErr w:type="gramStart"/>
      <w:r w:rsidR="003B1A1E" w:rsidRPr="00E436E7">
        <w:rPr>
          <w:rFonts w:asciiTheme="minorHAnsi" w:hAnsiTheme="minorHAnsi"/>
          <w:bCs/>
        </w:rPr>
        <w:t>into a Medicines</w:t>
      </w:r>
      <w:proofErr w:type="gramEnd"/>
      <w:r w:rsidR="003B1A1E" w:rsidRPr="00E436E7">
        <w:rPr>
          <w:rFonts w:asciiTheme="minorHAnsi" w:hAnsiTheme="minorHAnsi"/>
          <w:bCs/>
        </w:rPr>
        <w:t xml:space="preserve"> for Rare Disease</w:t>
      </w:r>
      <w:r w:rsidR="000250B9" w:rsidRPr="00E436E7">
        <w:rPr>
          <w:rFonts w:asciiTheme="minorHAnsi" w:hAnsiTheme="minorHAnsi"/>
          <w:bCs/>
        </w:rPr>
        <w:t>s</w:t>
      </w:r>
      <w:r w:rsidR="003B1A1E" w:rsidRPr="00E436E7">
        <w:rPr>
          <w:rFonts w:asciiTheme="minorHAnsi" w:hAnsiTheme="minorHAnsi"/>
          <w:bCs/>
        </w:rPr>
        <w:t xml:space="preserve"> Programme</w:t>
      </w:r>
      <w:r w:rsidRPr="00E436E7">
        <w:rPr>
          <w:rFonts w:asciiTheme="minorHAnsi" w:hAnsiTheme="minorHAnsi"/>
          <w:bCs/>
        </w:rPr>
        <w:t>.</w:t>
      </w:r>
    </w:p>
    <w:p w:rsidR="000B3DE1" w:rsidRPr="00FA1BCF" w:rsidRDefault="000B3DE1" w:rsidP="00CC79FE">
      <w:pPr>
        <w:rPr>
          <w:rFonts w:eastAsia="Times New Roman" w:cs="Times New Roman"/>
          <w:b/>
          <w:szCs w:val="24"/>
          <w:lang w:eastAsia="en-AU"/>
        </w:rPr>
      </w:pPr>
    </w:p>
    <w:p w:rsidR="00806285" w:rsidRPr="00FA1BCF" w:rsidRDefault="00806285">
      <w:pPr>
        <w:spacing w:after="200" w:line="276" w:lineRule="auto"/>
        <w:rPr>
          <w:rFonts w:eastAsia="Times New Roman" w:cs="Times New Roman"/>
          <w:b/>
          <w:sz w:val="40"/>
          <w:szCs w:val="40"/>
          <w:lang w:eastAsia="en-AU"/>
        </w:rPr>
      </w:pPr>
      <w:r w:rsidRPr="00FA1BCF">
        <w:rPr>
          <w:rFonts w:eastAsia="Times New Roman" w:cs="Times New Roman"/>
          <w:b/>
          <w:sz w:val="40"/>
          <w:szCs w:val="40"/>
          <w:lang w:eastAsia="en-AU"/>
        </w:rPr>
        <w:br w:type="page"/>
      </w:r>
    </w:p>
    <w:p w:rsidR="00CC79FE" w:rsidRPr="00FA1BCF" w:rsidRDefault="00CC79FE" w:rsidP="00E436E7">
      <w:pPr>
        <w:pStyle w:val="Heading1"/>
        <w:rPr>
          <w:lang w:eastAsia="en-AU"/>
        </w:rPr>
      </w:pPr>
      <w:bookmarkStart w:id="2" w:name="_Toc302625560"/>
      <w:r w:rsidRPr="00FA1BCF">
        <w:rPr>
          <w:lang w:eastAsia="en-AU"/>
        </w:rPr>
        <w:lastRenderedPageBreak/>
        <w:t xml:space="preserve">Membership of the </w:t>
      </w:r>
      <w:r w:rsidR="008E53AB" w:rsidRPr="00FA1BCF">
        <w:rPr>
          <w:lang w:eastAsia="en-AU"/>
        </w:rPr>
        <w:t>Life Saving Drugs Programme</w:t>
      </w:r>
      <w:r w:rsidRPr="00FA1BCF">
        <w:rPr>
          <w:lang w:eastAsia="en-AU"/>
        </w:rPr>
        <w:t xml:space="preserve"> Reference Group</w:t>
      </w:r>
      <w:bookmarkEnd w:id="2"/>
    </w:p>
    <w:p w:rsidR="00EF265E" w:rsidRPr="00FA1BCF" w:rsidRDefault="00CC79FE" w:rsidP="00E436E7">
      <w:r w:rsidRPr="00FA1BCF">
        <w:t xml:space="preserve">Professor Andrew Wilson </w:t>
      </w:r>
      <w:r w:rsidR="003517E0" w:rsidRPr="00FA1BCF">
        <w:t xml:space="preserve">– </w:t>
      </w:r>
      <w:r w:rsidRPr="00FA1BCF">
        <w:t>Chair</w:t>
      </w:r>
    </w:p>
    <w:p w:rsidR="00EF265E" w:rsidRPr="00FA1BCF" w:rsidRDefault="00CC79FE" w:rsidP="00E436E7">
      <w:pPr>
        <w:rPr>
          <w:szCs w:val="24"/>
        </w:rPr>
      </w:pPr>
      <w:r w:rsidRPr="00FA1BCF">
        <w:rPr>
          <w:szCs w:val="24"/>
        </w:rPr>
        <w:t>Professor David Sillence – Clinical Expert</w:t>
      </w:r>
    </w:p>
    <w:p w:rsidR="00EF265E" w:rsidRPr="00FA1BCF" w:rsidRDefault="00CC79FE" w:rsidP="00E436E7">
      <w:pPr>
        <w:rPr>
          <w:szCs w:val="24"/>
        </w:rPr>
      </w:pPr>
      <w:r w:rsidRPr="00FA1BCF">
        <w:rPr>
          <w:szCs w:val="24"/>
        </w:rPr>
        <w:t>Professor David Isaacs – Clinical Expert</w:t>
      </w:r>
    </w:p>
    <w:p w:rsidR="00EF265E" w:rsidRPr="00FA1BCF" w:rsidRDefault="00CC79FE" w:rsidP="00E436E7">
      <w:pPr>
        <w:rPr>
          <w:szCs w:val="24"/>
        </w:rPr>
      </w:pPr>
      <w:r w:rsidRPr="00FA1BCF">
        <w:rPr>
          <w:szCs w:val="24"/>
        </w:rPr>
        <w:t>Professor Anne Tonkin – Clinical Expert</w:t>
      </w:r>
    </w:p>
    <w:p w:rsidR="00EF265E" w:rsidRPr="00FA1BCF" w:rsidRDefault="00CC79FE" w:rsidP="00E436E7">
      <w:pPr>
        <w:rPr>
          <w:szCs w:val="24"/>
        </w:rPr>
      </w:pPr>
      <w:r w:rsidRPr="00FA1BCF">
        <w:rPr>
          <w:szCs w:val="24"/>
        </w:rPr>
        <w:t>Professor Jane Hall – Health Economist</w:t>
      </w:r>
    </w:p>
    <w:p w:rsidR="00EF265E" w:rsidRPr="00FA1BCF" w:rsidRDefault="00CC79FE" w:rsidP="00E436E7">
      <w:pPr>
        <w:rPr>
          <w:szCs w:val="24"/>
        </w:rPr>
      </w:pPr>
      <w:r w:rsidRPr="00FA1BCF">
        <w:rPr>
          <w:szCs w:val="24"/>
        </w:rPr>
        <w:t>Professor Paul Komesaroff – Medical Ethicist</w:t>
      </w:r>
    </w:p>
    <w:p w:rsidR="00EF265E" w:rsidRPr="00FA1BCF" w:rsidRDefault="00CC79FE" w:rsidP="00E436E7">
      <w:pPr>
        <w:rPr>
          <w:szCs w:val="24"/>
        </w:rPr>
      </w:pPr>
      <w:r w:rsidRPr="00FA1BCF">
        <w:rPr>
          <w:szCs w:val="24"/>
        </w:rPr>
        <w:t>Mrs Lesley Murphy – Consumer Representative,</w:t>
      </w:r>
      <w:r w:rsidR="00D3280A" w:rsidRPr="00FA1BCF">
        <w:rPr>
          <w:szCs w:val="24"/>
        </w:rPr>
        <w:t xml:space="preserve"> </w:t>
      </w:r>
      <w:r w:rsidRPr="00FA1BCF">
        <w:rPr>
          <w:szCs w:val="24"/>
        </w:rPr>
        <w:t>Rare Voices Australia</w:t>
      </w:r>
    </w:p>
    <w:p w:rsidR="00CC79FE" w:rsidRPr="00FA1BCF" w:rsidRDefault="00CC79FE" w:rsidP="00E436E7">
      <w:pPr>
        <w:rPr>
          <w:szCs w:val="24"/>
        </w:rPr>
      </w:pPr>
      <w:r w:rsidRPr="00FA1BCF">
        <w:rPr>
          <w:szCs w:val="24"/>
        </w:rPr>
        <w:t>Ms Ainslie Cahill – Consumer Representative, Consumer</w:t>
      </w:r>
      <w:r w:rsidR="00077553" w:rsidRPr="00FA1BCF">
        <w:rPr>
          <w:szCs w:val="24"/>
        </w:rPr>
        <w:t>s</w:t>
      </w:r>
      <w:r w:rsidRPr="00FA1BCF">
        <w:rPr>
          <w:szCs w:val="24"/>
        </w:rPr>
        <w:t xml:space="preserve"> Health Forum</w:t>
      </w:r>
      <w:r w:rsidR="003517E0" w:rsidRPr="00FA1BCF">
        <w:rPr>
          <w:szCs w:val="24"/>
        </w:rPr>
        <w:t>;</w:t>
      </w:r>
      <w:r w:rsidR="00077553" w:rsidRPr="00FA1BCF">
        <w:rPr>
          <w:szCs w:val="24"/>
        </w:rPr>
        <w:t xml:space="preserve"> </w:t>
      </w:r>
      <w:r w:rsidRPr="00FA1BCF">
        <w:rPr>
          <w:szCs w:val="24"/>
        </w:rPr>
        <w:t>CEO</w:t>
      </w:r>
      <w:r w:rsidR="003517E0" w:rsidRPr="00FA1BCF">
        <w:rPr>
          <w:szCs w:val="24"/>
        </w:rPr>
        <w:t>,</w:t>
      </w:r>
      <w:r w:rsidRPr="00FA1BCF">
        <w:rPr>
          <w:szCs w:val="24"/>
        </w:rPr>
        <w:t xml:space="preserve"> Arthritis Australia</w:t>
      </w:r>
    </w:p>
    <w:p w:rsidR="00806285" w:rsidRPr="00FA1BCF" w:rsidRDefault="00806285">
      <w:pPr>
        <w:spacing w:after="200" w:line="276" w:lineRule="auto"/>
        <w:rPr>
          <w:rFonts w:eastAsia="Times New Roman" w:cs="Times New Roman"/>
          <w:b/>
          <w:sz w:val="40"/>
          <w:szCs w:val="40"/>
          <w:lang w:eastAsia="en-AU"/>
        </w:rPr>
      </w:pPr>
      <w:r w:rsidRPr="00FA1BCF">
        <w:rPr>
          <w:rFonts w:eastAsia="Times New Roman" w:cs="Times New Roman"/>
          <w:b/>
          <w:sz w:val="40"/>
          <w:szCs w:val="40"/>
          <w:lang w:eastAsia="en-AU"/>
        </w:rPr>
        <w:br w:type="page"/>
      </w:r>
    </w:p>
    <w:p w:rsidR="00EF265E" w:rsidRPr="00FA1BCF" w:rsidRDefault="00806285" w:rsidP="00E436E7">
      <w:pPr>
        <w:pStyle w:val="Heading1"/>
        <w:rPr>
          <w:lang w:eastAsia="en-AU"/>
        </w:rPr>
      </w:pPr>
      <w:bookmarkStart w:id="3" w:name="_Toc302625561"/>
      <w:r w:rsidRPr="00E436E7">
        <w:rPr>
          <w:lang w:eastAsia="en-AU"/>
        </w:rPr>
        <w:lastRenderedPageBreak/>
        <w:t>Contents</w:t>
      </w:r>
      <w:bookmarkEnd w:id="3"/>
    </w:p>
    <w:p w:rsidR="00910D6B" w:rsidRDefault="000A5595">
      <w:pPr>
        <w:pStyle w:val="TOC1"/>
        <w:tabs>
          <w:tab w:val="right" w:leader="dot" w:pos="9016"/>
        </w:tabs>
        <w:rPr>
          <w:rFonts w:eastAsiaTheme="minorEastAsia"/>
          <w:noProof/>
          <w:szCs w:val="24"/>
          <w:lang w:eastAsia="ja-JP"/>
        </w:rPr>
      </w:pPr>
      <w:r>
        <w:rPr>
          <w:rFonts w:eastAsia="Times New Roman" w:cs="Times New Roman"/>
          <w:b/>
          <w:sz w:val="40"/>
          <w:szCs w:val="40"/>
          <w:lang w:eastAsia="en-AU"/>
        </w:rPr>
        <w:fldChar w:fldCharType="begin"/>
      </w:r>
      <w:r>
        <w:rPr>
          <w:rFonts w:eastAsia="Times New Roman" w:cs="Times New Roman"/>
          <w:b/>
          <w:sz w:val="40"/>
          <w:szCs w:val="40"/>
          <w:lang w:eastAsia="en-AU"/>
        </w:rPr>
        <w:instrText xml:space="preserve"> TOC \o "1-3" </w:instrText>
      </w:r>
      <w:r>
        <w:rPr>
          <w:rFonts w:eastAsia="Times New Roman" w:cs="Times New Roman"/>
          <w:b/>
          <w:sz w:val="40"/>
          <w:szCs w:val="40"/>
          <w:lang w:eastAsia="en-AU"/>
        </w:rPr>
        <w:fldChar w:fldCharType="separate"/>
      </w:r>
      <w:r w:rsidR="00910D6B">
        <w:rPr>
          <w:noProof/>
          <w:lang w:eastAsia="en-AU"/>
        </w:rPr>
        <w:t>Structure of the report</w:t>
      </w:r>
      <w:r w:rsidR="00910D6B">
        <w:rPr>
          <w:noProof/>
        </w:rPr>
        <w:tab/>
      </w:r>
      <w:r w:rsidR="00910D6B">
        <w:rPr>
          <w:noProof/>
        </w:rPr>
        <w:fldChar w:fldCharType="begin"/>
      </w:r>
      <w:r w:rsidR="00910D6B">
        <w:rPr>
          <w:noProof/>
        </w:rPr>
        <w:instrText xml:space="preserve"> PAGEREF _Toc302625559 \h </w:instrText>
      </w:r>
      <w:r w:rsidR="00910D6B">
        <w:rPr>
          <w:noProof/>
        </w:rPr>
      </w:r>
      <w:r w:rsidR="00910D6B">
        <w:rPr>
          <w:noProof/>
        </w:rPr>
        <w:fldChar w:fldCharType="separate"/>
      </w:r>
      <w:r w:rsidR="00475EE3">
        <w:rPr>
          <w:noProof/>
        </w:rPr>
        <w:t>3</w:t>
      </w:r>
      <w:r w:rsidR="00910D6B">
        <w:rPr>
          <w:noProof/>
        </w:rPr>
        <w:fldChar w:fldCharType="end"/>
      </w:r>
    </w:p>
    <w:p w:rsidR="00910D6B" w:rsidRDefault="00910D6B">
      <w:pPr>
        <w:pStyle w:val="TOC1"/>
        <w:tabs>
          <w:tab w:val="right" w:leader="dot" w:pos="9016"/>
        </w:tabs>
        <w:rPr>
          <w:rFonts w:eastAsiaTheme="minorEastAsia"/>
          <w:noProof/>
          <w:szCs w:val="24"/>
          <w:lang w:eastAsia="ja-JP"/>
        </w:rPr>
      </w:pPr>
      <w:r>
        <w:rPr>
          <w:noProof/>
          <w:lang w:eastAsia="en-AU"/>
        </w:rPr>
        <w:t>Membership of the Life Saving Drugs Programme Reference Group</w:t>
      </w:r>
      <w:r>
        <w:rPr>
          <w:noProof/>
        </w:rPr>
        <w:tab/>
      </w:r>
      <w:r>
        <w:rPr>
          <w:noProof/>
        </w:rPr>
        <w:fldChar w:fldCharType="begin"/>
      </w:r>
      <w:r>
        <w:rPr>
          <w:noProof/>
        </w:rPr>
        <w:instrText xml:space="preserve"> PAGEREF _Toc302625560 \h </w:instrText>
      </w:r>
      <w:r>
        <w:rPr>
          <w:noProof/>
        </w:rPr>
      </w:r>
      <w:r>
        <w:rPr>
          <w:noProof/>
        </w:rPr>
        <w:fldChar w:fldCharType="separate"/>
      </w:r>
      <w:r w:rsidR="00475EE3">
        <w:rPr>
          <w:noProof/>
        </w:rPr>
        <w:t>4</w:t>
      </w:r>
      <w:r>
        <w:rPr>
          <w:noProof/>
        </w:rPr>
        <w:fldChar w:fldCharType="end"/>
      </w:r>
    </w:p>
    <w:p w:rsidR="00910D6B" w:rsidRDefault="00910D6B">
      <w:pPr>
        <w:pStyle w:val="TOC1"/>
        <w:tabs>
          <w:tab w:val="right" w:leader="dot" w:pos="9016"/>
        </w:tabs>
        <w:rPr>
          <w:rFonts w:eastAsiaTheme="minorEastAsia"/>
          <w:noProof/>
          <w:szCs w:val="24"/>
          <w:lang w:eastAsia="ja-JP"/>
        </w:rPr>
      </w:pPr>
      <w:r>
        <w:rPr>
          <w:noProof/>
          <w:lang w:eastAsia="en-AU"/>
        </w:rPr>
        <w:t>Contents</w:t>
      </w:r>
      <w:r>
        <w:rPr>
          <w:noProof/>
        </w:rPr>
        <w:tab/>
      </w:r>
      <w:r>
        <w:rPr>
          <w:noProof/>
        </w:rPr>
        <w:fldChar w:fldCharType="begin"/>
      </w:r>
      <w:r>
        <w:rPr>
          <w:noProof/>
        </w:rPr>
        <w:instrText xml:space="preserve"> PAGEREF _Toc302625561 \h </w:instrText>
      </w:r>
      <w:r>
        <w:rPr>
          <w:noProof/>
        </w:rPr>
      </w:r>
      <w:r>
        <w:rPr>
          <w:noProof/>
        </w:rPr>
        <w:fldChar w:fldCharType="separate"/>
      </w:r>
      <w:r w:rsidR="00475EE3">
        <w:rPr>
          <w:noProof/>
        </w:rPr>
        <w:t>5</w:t>
      </w:r>
      <w:r>
        <w:rPr>
          <w:noProof/>
        </w:rPr>
        <w:fldChar w:fldCharType="end"/>
      </w:r>
    </w:p>
    <w:p w:rsidR="00910D6B" w:rsidRDefault="00910D6B">
      <w:pPr>
        <w:pStyle w:val="TOC1"/>
        <w:tabs>
          <w:tab w:val="right" w:leader="dot" w:pos="9016"/>
        </w:tabs>
        <w:rPr>
          <w:rFonts w:eastAsiaTheme="minorEastAsia"/>
          <w:noProof/>
          <w:szCs w:val="24"/>
          <w:lang w:eastAsia="ja-JP"/>
        </w:rPr>
      </w:pPr>
      <w:r>
        <w:rPr>
          <w:noProof/>
          <w:lang w:eastAsia="en-AU"/>
        </w:rPr>
        <w:t xml:space="preserve">Section 1: </w:t>
      </w:r>
      <w:r>
        <w:rPr>
          <w:noProof/>
        </w:rPr>
        <w:t>Life Saving Drugs Programme Post</w:t>
      </w:r>
      <w:r>
        <w:rPr>
          <w:noProof/>
          <w:lang w:eastAsia="en-AU"/>
        </w:rPr>
        <w:t xml:space="preserve"> Market Review terms of reference</w:t>
      </w:r>
      <w:r>
        <w:rPr>
          <w:noProof/>
        </w:rPr>
        <w:tab/>
      </w:r>
      <w:r>
        <w:rPr>
          <w:noProof/>
        </w:rPr>
        <w:fldChar w:fldCharType="begin"/>
      </w:r>
      <w:r>
        <w:rPr>
          <w:noProof/>
        </w:rPr>
        <w:instrText xml:space="preserve"> PAGEREF _Toc302625562 \h </w:instrText>
      </w:r>
      <w:r>
        <w:rPr>
          <w:noProof/>
        </w:rPr>
      </w:r>
      <w:r>
        <w:rPr>
          <w:noProof/>
        </w:rPr>
        <w:fldChar w:fldCharType="separate"/>
      </w:r>
      <w:r w:rsidR="00475EE3">
        <w:rPr>
          <w:noProof/>
        </w:rPr>
        <w:t>8</w:t>
      </w:r>
      <w:r>
        <w:rPr>
          <w:noProof/>
        </w:rPr>
        <w:fldChar w:fldCharType="end"/>
      </w:r>
    </w:p>
    <w:p w:rsidR="00910D6B" w:rsidRDefault="00910D6B">
      <w:pPr>
        <w:pStyle w:val="TOC1"/>
        <w:tabs>
          <w:tab w:val="right" w:leader="dot" w:pos="9016"/>
        </w:tabs>
        <w:rPr>
          <w:rFonts w:eastAsiaTheme="minorEastAsia"/>
          <w:noProof/>
          <w:szCs w:val="24"/>
          <w:lang w:eastAsia="ja-JP"/>
        </w:rPr>
      </w:pPr>
      <w:r>
        <w:rPr>
          <w:noProof/>
          <w:lang w:eastAsia="en-AU"/>
        </w:rPr>
        <w:t>Section 2: Chronology of the Life Saving Drugs Post Market Review</w:t>
      </w:r>
      <w:r>
        <w:rPr>
          <w:noProof/>
        </w:rPr>
        <w:tab/>
      </w:r>
      <w:r>
        <w:rPr>
          <w:noProof/>
        </w:rPr>
        <w:fldChar w:fldCharType="begin"/>
      </w:r>
      <w:r>
        <w:rPr>
          <w:noProof/>
        </w:rPr>
        <w:instrText xml:space="preserve"> PAGEREF _Toc302625563 \h </w:instrText>
      </w:r>
      <w:r>
        <w:rPr>
          <w:noProof/>
        </w:rPr>
      </w:r>
      <w:r>
        <w:rPr>
          <w:noProof/>
        </w:rPr>
        <w:fldChar w:fldCharType="separate"/>
      </w:r>
      <w:r w:rsidR="00475EE3">
        <w:rPr>
          <w:noProof/>
        </w:rPr>
        <w:t>9</w:t>
      </w:r>
      <w:r>
        <w:rPr>
          <w:noProof/>
        </w:rPr>
        <w:fldChar w:fldCharType="end"/>
      </w:r>
    </w:p>
    <w:p w:rsidR="00910D6B" w:rsidRDefault="00910D6B">
      <w:pPr>
        <w:pStyle w:val="TOC1"/>
        <w:tabs>
          <w:tab w:val="right" w:leader="dot" w:pos="9016"/>
        </w:tabs>
        <w:rPr>
          <w:rFonts w:eastAsiaTheme="minorEastAsia"/>
          <w:noProof/>
          <w:szCs w:val="24"/>
          <w:lang w:eastAsia="ja-JP"/>
        </w:rPr>
      </w:pPr>
      <w:r>
        <w:rPr>
          <w:noProof/>
          <w:lang w:eastAsia="en-AU"/>
        </w:rPr>
        <w:t xml:space="preserve">Section 3: </w:t>
      </w:r>
      <w:r>
        <w:rPr>
          <w:noProof/>
        </w:rPr>
        <w:t xml:space="preserve">Life Saving Drugs Programme </w:t>
      </w:r>
      <w:r>
        <w:rPr>
          <w:noProof/>
          <w:lang w:eastAsia="en-AU"/>
        </w:rPr>
        <w:t>Reference Group recommendations</w:t>
      </w:r>
      <w:r>
        <w:rPr>
          <w:noProof/>
        </w:rPr>
        <w:tab/>
      </w:r>
      <w:r>
        <w:rPr>
          <w:noProof/>
        </w:rPr>
        <w:fldChar w:fldCharType="begin"/>
      </w:r>
      <w:r>
        <w:rPr>
          <w:noProof/>
        </w:rPr>
        <w:instrText xml:space="preserve"> PAGEREF _Toc302625564 \h </w:instrText>
      </w:r>
      <w:r>
        <w:rPr>
          <w:noProof/>
        </w:rPr>
      </w:r>
      <w:r>
        <w:rPr>
          <w:noProof/>
        </w:rPr>
        <w:fldChar w:fldCharType="separate"/>
      </w:r>
      <w:r w:rsidR="00475EE3">
        <w:rPr>
          <w:noProof/>
        </w:rPr>
        <w:t>14</w:t>
      </w:r>
      <w:r>
        <w:rPr>
          <w:noProof/>
        </w:rPr>
        <w:fldChar w:fldCharType="end"/>
      </w:r>
    </w:p>
    <w:p w:rsidR="00910D6B" w:rsidRDefault="00910D6B">
      <w:pPr>
        <w:pStyle w:val="TOC1"/>
        <w:tabs>
          <w:tab w:val="right" w:leader="dot" w:pos="9016"/>
        </w:tabs>
        <w:rPr>
          <w:rFonts w:eastAsiaTheme="minorEastAsia"/>
          <w:noProof/>
          <w:szCs w:val="24"/>
          <w:lang w:eastAsia="ja-JP"/>
        </w:rPr>
      </w:pPr>
      <w:r>
        <w:rPr>
          <w:noProof/>
          <w:lang w:eastAsia="en-AU"/>
        </w:rPr>
        <w:t>Section 4: Overview</w:t>
      </w:r>
      <w:r>
        <w:rPr>
          <w:noProof/>
        </w:rPr>
        <w:tab/>
      </w:r>
      <w:r>
        <w:rPr>
          <w:noProof/>
        </w:rPr>
        <w:fldChar w:fldCharType="begin"/>
      </w:r>
      <w:r>
        <w:rPr>
          <w:noProof/>
        </w:rPr>
        <w:instrText xml:space="preserve"> PAGEREF _Toc302625565 \h </w:instrText>
      </w:r>
      <w:r>
        <w:rPr>
          <w:noProof/>
        </w:rPr>
      </w:r>
      <w:r>
        <w:rPr>
          <w:noProof/>
        </w:rPr>
        <w:fldChar w:fldCharType="separate"/>
      </w:r>
      <w:r w:rsidR="00475EE3">
        <w:rPr>
          <w:noProof/>
        </w:rPr>
        <w:t>21</w:t>
      </w:r>
      <w:r>
        <w:rPr>
          <w:noProof/>
        </w:rPr>
        <w:fldChar w:fldCharType="end"/>
      </w:r>
    </w:p>
    <w:p w:rsidR="00910D6B" w:rsidRDefault="00910D6B">
      <w:pPr>
        <w:pStyle w:val="TOC2"/>
        <w:tabs>
          <w:tab w:val="right" w:leader="dot" w:pos="9016"/>
        </w:tabs>
        <w:rPr>
          <w:rFonts w:eastAsiaTheme="minorEastAsia"/>
          <w:noProof/>
          <w:szCs w:val="24"/>
          <w:lang w:eastAsia="ja-JP"/>
        </w:rPr>
      </w:pPr>
      <w:r>
        <w:rPr>
          <w:noProof/>
          <w:lang w:eastAsia="en-AU"/>
        </w:rPr>
        <w:t>4.1. Objective of the Life Saving Drugs Programme Post Market Review</w:t>
      </w:r>
      <w:r>
        <w:rPr>
          <w:noProof/>
        </w:rPr>
        <w:tab/>
      </w:r>
      <w:r>
        <w:rPr>
          <w:noProof/>
        </w:rPr>
        <w:fldChar w:fldCharType="begin"/>
      </w:r>
      <w:r>
        <w:rPr>
          <w:noProof/>
        </w:rPr>
        <w:instrText xml:space="preserve"> PAGEREF _Toc302625566 \h </w:instrText>
      </w:r>
      <w:r>
        <w:rPr>
          <w:noProof/>
        </w:rPr>
      </w:r>
      <w:r>
        <w:rPr>
          <w:noProof/>
        </w:rPr>
        <w:fldChar w:fldCharType="separate"/>
      </w:r>
      <w:r w:rsidR="00475EE3">
        <w:rPr>
          <w:noProof/>
        </w:rPr>
        <w:t>21</w:t>
      </w:r>
      <w:r>
        <w:rPr>
          <w:noProof/>
        </w:rPr>
        <w:fldChar w:fldCharType="end"/>
      </w:r>
    </w:p>
    <w:p w:rsidR="00910D6B" w:rsidRDefault="00910D6B">
      <w:pPr>
        <w:pStyle w:val="TOC2"/>
        <w:tabs>
          <w:tab w:val="right" w:leader="dot" w:pos="9016"/>
        </w:tabs>
        <w:rPr>
          <w:rFonts w:eastAsiaTheme="minorEastAsia"/>
          <w:noProof/>
          <w:szCs w:val="24"/>
          <w:lang w:eastAsia="ja-JP"/>
        </w:rPr>
      </w:pPr>
      <w:r>
        <w:rPr>
          <w:noProof/>
          <w:lang w:eastAsia="en-AU"/>
        </w:rPr>
        <w:t>4.2. The Life Saving Drugs Programme</w:t>
      </w:r>
      <w:r>
        <w:rPr>
          <w:noProof/>
        </w:rPr>
        <w:tab/>
      </w:r>
      <w:r>
        <w:rPr>
          <w:noProof/>
        </w:rPr>
        <w:fldChar w:fldCharType="begin"/>
      </w:r>
      <w:r>
        <w:rPr>
          <w:noProof/>
        </w:rPr>
        <w:instrText xml:space="preserve"> PAGEREF _Toc302625567 \h </w:instrText>
      </w:r>
      <w:r>
        <w:rPr>
          <w:noProof/>
        </w:rPr>
      </w:r>
      <w:r>
        <w:rPr>
          <w:noProof/>
        </w:rPr>
        <w:fldChar w:fldCharType="separate"/>
      </w:r>
      <w:r w:rsidR="00475EE3">
        <w:rPr>
          <w:noProof/>
        </w:rPr>
        <w:t>21</w:t>
      </w:r>
      <w:r>
        <w:rPr>
          <w:noProof/>
        </w:rPr>
        <w:fldChar w:fldCharType="end"/>
      </w:r>
    </w:p>
    <w:p w:rsidR="00910D6B" w:rsidRDefault="00910D6B">
      <w:pPr>
        <w:pStyle w:val="TOC2"/>
        <w:tabs>
          <w:tab w:val="right" w:leader="dot" w:pos="9016"/>
        </w:tabs>
        <w:rPr>
          <w:rFonts w:eastAsiaTheme="minorEastAsia"/>
          <w:noProof/>
          <w:szCs w:val="24"/>
          <w:lang w:eastAsia="ja-JP"/>
        </w:rPr>
      </w:pPr>
      <w:r>
        <w:rPr>
          <w:noProof/>
          <w:lang w:eastAsia="en-AU"/>
        </w:rPr>
        <w:t>4.3. Why are we reviewing the programme?</w:t>
      </w:r>
      <w:r>
        <w:rPr>
          <w:noProof/>
        </w:rPr>
        <w:tab/>
      </w:r>
      <w:r>
        <w:rPr>
          <w:noProof/>
        </w:rPr>
        <w:fldChar w:fldCharType="begin"/>
      </w:r>
      <w:r>
        <w:rPr>
          <w:noProof/>
        </w:rPr>
        <w:instrText xml:space="preserve"> PAGEREF _Toc302625568 \h </w:instrText>
      </w:r>
      <w:r>
        <w:rPr>
          <w:noProof/>
        </w:rPr>
      </w:r>
      <w:r>
        <w:rPr>
          <w:noProof/>
        </w:rPr>
        <w:fldChar w:fldCharType="separate"/>
      </w:r>
      <w:r w:rsidR="00475EE3">
        <w:rPr>
          <w:noProof/>
        </w:rPr>
        <w:t>21</w:t>
      </w:r>
      <w:r>
        <w:rPr>
          <w:noProof/>
        </w:rPr>
        <w:fldChar w:fldCharType="end"/>
      </w:r>
    </w:p>
    <w:p w:rsidR="00910D6B" w:rsidRDefault="00910D6B">
      <w:pPr>
        <w:pStyle w:val="TOC2"/>
        <w:tabs>
          <w:tab w:val="right" w:leader="dot" w:pos="9016"/>
        </w:tabs>
        <w:rPr>
          <w:rFonts w:eastAsiaTheme="minorEastAsia"/>
          <w:noProof/>
          <w:szCs w:val="24"/>
          <w:lang w:eastAsia="ja-JP"/>
        </w:rPr>
      </w:pPr>
      <w:r>
        <w:rPr>
          <w:noProof/>
          <w:lang w:eastAsia="en-AU"/>
        </w:rPr>
        <w:t>4.4. What did we look at?</w:t>
      </w:r>
      <w:r>
        <w:rPr>
          <w:noProof/>
        </w:rPr>
        <w:tab/>
      </w:r>
      <w:r>
        <w:rPr>
          <w:noProof/>
        </w:rPr>
        <w:fldChar w:fldCharType="begin"/>
      </w:r>
      <w:r>
        <w:rPr>
          <w:noProof/>
        </w:rPr>
        <w:instrText xml:space="preserve"> PAGEREF _Toc302625569 \h </w:instrText>
      </w:r>
      <w:r>
        <w:rPr>
          <w:noProof/>
        </w:rPr>
      </w:r>
      <w:r>
        <w:rPr>
          <w:noProof/>
        </w:rPr>
        <w:fldChar w:fldCharType="separate"/>
      </w:r>
      <w:r w:rsidR="00475EE3">
        <w:rPr>
          <w:noProof/>
        </w:rPr>
        <w:t>21</w:t>
      </w:r>
      <w:r>
        <w:rPr>
          <w:noProof/>
        </w:rPr>
        <w:fldChar w:fldCharType="end"/>
      </w:r>
    </w:p>
    <w:p w:rsidR="00910D6B" w:rsidRDefault="00910D6B">
      <w:pPr>
        <w:pStyle w:val="TOC2"/>
        <w:tabs>
          <w:tab w:val="right" w:leader="dot" w:pos="9016"/>
        </w:tabs>
        <w:rPr>
          <w:rFonts w:eastAsiaTheme="minorEastAsia"/>
          <w:noProof/>
          <w:szCs w:val="24"/>
          <w:lang w:eastAsia="ja-JP"/>
        </w:rPr>
      </w:pPr>
      <w:r>
        <w:rPr>
          <w:noProof/>
          <w:lang w:eastAsia="en-AU"/>
        </w:rPr>
        <w:t>4.5. What was the process?</w:t>
      </w:r>
      <w:r>
        <w:rPr>
          <w:noProof/>
        </w:rPr>
        <w:tab/>
      </w:r>
      <w:r>
        <w:rPr>
          <w:noProof/>
        </w:rPr>
        <w:fldChar w:fldCharType="begin"/>
      </w:r>
      <w:r>
        <w:rPr>
          <w:noProof/>
        </w:rPr>
        <w:instrText xml:space="preserve"> PAGEREF _Toc302625570 \h </w:instrText>
      </w:r>
      <w:r>
        <w:rPr>
          <w:noProof/>
        </w:rPr>
      </w:r>
      <w:r>
        <w:rPr>
          <w:noProof/>
        </w:rPr>
        <w:fldChar w:fldCharType="separate"/>
      </w:r>
      <w:r w:rsidR="00475EE3">
        <w:rPr>
          <w:noProof/>
        </w:rPr>
        <w:t>22</w:t>
      </w:r>
      <w:r>
        <w:rPr>
          <w:noProof/>
        </w:rPr>
        <w:fldChar w:fldCharType="end"/>
      </w:r>
    </w:p>
    <w:p w:rsidR="00910D6B" w:rsidRDefault="00910D6B">
      <w:pPr>
        <w:pStyle w:val="TOC2"/>
        <w:tabs>
          <w:tab w:val="right" w:leader="dot" w:pos="9016"/>
        </w:tabs>
        <w:rPr>
          <w:rFonts w:eastAsiaTheme="minorEastAsia"/>
          <w:noProof/>
          <w:szCs w:val="24"/>
          <w:lang w:eastAsia="ja-JP"/>
        </w:rPr>
      </w:pPr>
      <w:r>
        <w:rPr>
          <w:noProof/>
          <w:lang w:eastAsia="en-AU"/>
        </w:rPr>
        <w:t>4.6. Other consultations</w:t>
      </w:r>
      <w:r>
        <w:rPr>
          <w:noProof/>
        </w:rPr>
        <w:tab/>
      </w:r>
      <w:r>
        <w:rPr>
          <w:noProof/>
        </w:rPr>
        <w:fldChar w:fldCharType="begin"/>
      </w:r>
      <w:r>
        <w:rPr>
          <w:noProof/>
        </w:rPr>
        <w:instrText xml:space="preserve"> PAGEREF _Toc302625571 \h </w:instrText>
      </w:r>
      <w:r>
        <w:rPr>
          <w:noProof/>
        </w:rPr>
      </w:r>
      <w:r>
        <w:rPr>
          <w:noProof/>
        </w:rPr>
        <w:fldChar w:fldCharType="separate"/>
      </w:r>
      <w:r w:rsidR="00475EE3">
        <w:rPr>
          <w:noProof/>
        </w:rPr>
        <w:t>23</w:t>
      </w:r>
      <w:r>
        <w:rPr>
          <w:noProof/>
        </w:rPr>
        <w:fldChar w:fldCharType="end"/>
      </w:r>
    </w:p>
    <w:p w:rsidR="00910D6B" w:rsidRDefault="00910D6B">
      <w:pPr>
        <w:pStyle w:val="TOC2"/>
        <w:tabs>
          <w:tab w:val="right" w:leader="dot" w:pos="9016"/>
        </w:tabs>
        <w:rPr>
          <w:rFonts w:eastAsiaTheme="minorEastAsia"/>
          <w:noProof/>
          <w:szCs w:val="24"/>
          <w:lang w:eastAsia="ja-JP"/>
        </w:rPr>
      </w:pPr>
      <w:r>
        <w:rPr>
          <w:noProof/>
          <w:lang w:eastAsia="en-AU"/>
        </w:rPr>
        <w:t>4.7. Past review</w:t>
      </w:r>
      <w:r>
        <w:rPr>
          <w:noProof/>
        </w:rPr>
        <w:tab/>
      </w:r>
      <w:r>
        <w:rPr>
          <w:noProof/>
        </w:rPr>
        <w:fldChar w:fldCharType="begin"/>
      </w:r>
      <w:r>
        <w:rPr>
          <w:noProof/>
        </w:rPr>
        <w:instrText xml:space="preserve"> PAGEREF _Toc302625572 \h </w:instrText>
      </w:r>
      <w:r>
        <w:rPr>
          <w:noProof/>
        </w:rPr>
      </w:r>
      <w:r>
        <w:rPr>
          <w:noProof/>
        </w:rPr>
        <w:fldChar w:fldCharType="separate"/>
      </w:r>
      <w:r w:rsidR="00475EE3">
        <w:rPr>
          <w:noProof/>
        </w:rPr>
        <w:t>23</w:t>
      </w:r>
      <w:r>
        <w:rPr>
          <w:noProof/>
        </w:rPr>
        <w:fldChar w:fldCharType="end"/>
      </w:r>
    </w:p>
    <w:p w:rsidR="00910D6B" w:rsidRDefault="00910D6B">
      <w:pPr>
        <w:pStyle w:val="TOC1"/>
        <w:tabs>
          <w:tab w:val="right" w:leader="dot" w:pos="9016"/>
        </w:tabs>
        <w:rPr>
          <w:rFonts w:eastAsiaTheme="minorEastAsia"/>
          <w:noProof/>
          <w:szCs w:val="24"/>
          <w:lang w:eastAsia="ja-JP"/>
        </w:rPr>
      </w:pPr>
      <w:r>
        <w:rPr>
          <w:noProof/>
          <w:lang w:eastAsia="en-AU"/>
        </w:rPr>
        <w:t xml:space="preserve">Section 5: Issues arising since the 2008–2009 </w:t>
      </w:r>
      <w:r>
        <w:rPr>
          <w:noProof/>
        </w:rPr>
        <w:t xml:space="preserve">Life Saving Drugs Programme </w:t>
      </w:r>
      <w:r>
        <w:rPr>
          <w:noProof/>
          <w:lang w:eastAsia="en-AU"/>
        </w:rPr>
        <w:t>review</w:t>
      </w:r>
      <w:r>
        <w:rPr>
          <w:noProof/>
        </w:rPr>
        <w:tab/>
      </w:r>
      <w:r>
        <w:rPr>
          <w:noProof/>
        </w:rPr>
        <w:fldChar w:fldCharType="begin"/>
      </w:r>
      <w:r>
        <w:rPr>
          <w:noProof/>
        </w:rPr>
        <w:instrText xml:space="preserve"> PAGEREF _Toc302625573 \h </w:instrText>
      </w:r>
      <w:r>
        <w:rPr>
          <w:noProof/>
        </w:rPr>
      </w:r>
      <w:r>
        <w:rPr>
          <w:noProof/>
        </w:rPr>
        <w:fldChar w:fldCharType="separate"/>
      </w:r>
      <w:r w:rsidR="00475EE3">
        <w:rPr>
          <w:noProof/>
        </w:rPr>
        <w:t>24</w:t>
      </w:r>
      <w:r>
        <w:rPr>
          <w:noProof/>
        </w:rPr>
        <w:fldChar w:fldCharType="end"/>
      </w:r>
    </w:p>
    <w:p w:rsidR="00910D6B" w:rsidRDefault="00910D6B">
      <w:pPr>
        <w:pStyle w:val="TOC2"/>
        <w:tabs>
          <w:tab w:val="right" w:leader="dot" w:pos="9016"/>
        </w:tabs>
        <w:rPr>
          <w:rFonts w:eastAsiaTheme="minorEastAsia"/>
          <w:noProof/>
          <w:szCs w:val="24"/>
          <w:lang w:eastAsia="ja-JP"/>
        </w:rPr>
      </w:pPr>
      <w:r>
        <w:rPr>
          <w:noProof/>
          <w:lang w:eastAsia="en-AU"/>
        </w:rPr>
        <w:t>5.1. Definitional issues</w:t>
      </w:r>
      <w:r>
        <w:rPr>
          <w:noProof/>
        </w:rPr>
        <w:tab/>
      </w:r>
      <w:r>
        <w:rPr>
          <w:noProof/>
        </w:rPr>
        <w:fldChar w:fldCharType="begin"/>
      </w:r>
      <w:r>
        <w:rPr>
          <w:noProof/>
        </w:rPr>
        <w:instrText xml:space="preserve"> PAGEREF _Toc302625574 \h </w:instrText>
      </w:r>
      <w:r>
        <w:rPr>
          <w:noProof/>
        </w:rPr>
      </w:r>
      <w:r>
        <w:rPr>
          <w:noProof/>
        </w:rPr>
        <w:fldChar w:fldCharType="separate"/>
      </w:r>
      <w:r w:rsidR="00475EE3">
        <w:rPr>
          <w:noProof/>
        </w:rPr>
        <w:t>24</w:t>
      </w:r>
      <w:r>
        <w:rPr>
          <w:noProof/>
        </w:rPr>
        <w:fldChar w:fldCharType="end"/>
      </w:r>
    </w:p>
    <w:p w:rsidR="00910D6B" w:rsidRDefault="00910D6B">
      <w:pPr>
        <w:pStyle w:val="TOC3"/>
        <w:tabs>
          <w:tab w:val="right" w:leader="dot" w:pos="9016"/>
        </w:tabs>
        <w:rPr>
          <w:rFonts w:eastAsiaTheme="minorEastAsia"/>
          <w:noProof/>
          <w:szCs w:val="24"/>
          <w:lang w:eastAsia="ja-JP"/>
        </w:rPr>
      </w:pPr>
      <w:r>
        <w:rPr>
          <w:noProof/>
          <w:lang w:eastAsia="en-AU"/>
        </w:rPr>
        <w:t>5.1.1 Criterion four: substantial</w:t>
      </w:r>
      <w:r>
        <w:rPr>
          <w:noProof/>
        </w:rPr>
        <w:tab/>
      </w:r>
      <w:r>
        <w:rPr>
          <w:noProof/>
        </w:rPr>
        <w:fldChar w:fldCharType="begin"/>
      </w:r>
      <w:r>
        <w:rPr>
          <w:noProof/>
        </w:rPr>
        <w:instrText xml:space="preserve"> PAGEREF _Toc302625575 \h </w:instrText>
      </w:r>
      <w:r>
        <w:rPr>
          <w:noProof/>
        </w:rPr>
      </w:r>
      <w:r>
        <w:rPr>
          <w:noProof/>
        </w:rPr>
        <w:fldChar w:fldCharType="separate"/>
      </w:r>
      <w:r w:rsidR="00475EE3">
        <w:rPr>
          <w:noProof/>
        </w:rPr>
        <w:t>24</w:t>
      </w:r>
      <w:r>
        <w:rPr>
          <w:noProof/>
        </w:rPr>
        <w:fldChar w:fldCharType="end"/>
      </w:r>
    </w:p>
    <w:p w:rsidR="00910D6B" w:rsidRDefault="00910D6B">
      <w:pPr>
        <w:pStyle w:val="TOC3"/>
        <w:tabs>
          <w:tab w:val="right" w:leader="dot" w:pos="9016"/>
        </w:tabs>
        <w:rPr>
          <w:rFonts w:eastAsiaTheme="minorEastAsia"/>
          <w:noProof/>
          <w:szCs w:val="24"/>
          <w:lang w:eastAsia="ja-JP"/>
        </w:rPr>
      </w:pPr>
      <w:r>
        <w:rPr>
          <w:noProof/>
          <w:lang w:eastAsia="en-AU"/>
        </w:rPr>
        <w:t>5.1.2 Criterion five: clinically effective but rejected for PBS listing because it has failed to meet the required cost-effectiveness criteria</w:t>
      </w:r>
      <w:r>
        <w:rPr>
          <w:noProof/>
        </w:rPr>
        <w:tab/>
      </w:r>
      <w:r>
        <w:rPr>
          <w:noProof/>
        </w:rPr>
        <w:fldChar w:fldCharType="begin"/>
      </w:r>
      <w:r>
        <w:rPr>
          <w:noProof/>
        </w:rPr>
        <w:instrText xml:space="preserve"> PAGEREF _Toc302625576 \h </w:instrText>
      </w:r>
      <w:r>
        <w:rPr>
          <w:noProof/>
        </w:rPr>
      </w:r>
      <w:r>
        <w:rPr>
          <w:noProof/>
        </w:rPr>
        <w:fldChar w:fldCharType="separate"/>
      </w:r>
      <w:r w:rsidR="00475EE3">
        <w:rPr>
          <w:noProof/>
        </w:rPr>
        <w:t>24</w:t>
      </w:r>
      <w:r>
        <w:rPr>
          <w:noProof/>
        </w:rPr>
        <w:fldChar w:fldCharType="end"/>
      </w:r>
    </w:p>
    <w:p w:rsidR="00910D6B" w:rsidRDefault="00910D6B">
      <w:pPr>
        <w:pStyle w:val="TOC3"/>
        <w:tabs>
          <w:tab w:val="right" w:leader="dot" w:pos="9016"/>
        </w:tabs>
        <w:rPr>
          <w:rFonts w:eastAsiaTheme="minorEastAsia"/>
          <w:noProof/>
          <w:szCs w:val="24"/>
          <w:lang w:eastAsia="ja-JP"/>
        </w:rPr>
      </w:pPr>
      <w:r>
        <w:rPr>
          <w:noProof/>
          <w:lang w:eastAsia="en-AU"/>
        </w:rPr>
        <w:t>5.1.3 Conflation of rare disease drug subisidy and orphan drugs</w:t>
      </w:r>
      <w:r>
        <w:rPr>
          <w:noProof/>
        </w:rPr>
        <w:tab/>
      </w:r>
      <w:r>
        <w:rPr>
          <w:noProof/>
        </w:rPr>
        <w:fldChar w:fldCharType="begin"/>
      </w:r>
      <w:r>
        <w:rPr>
          <w:noProof/>
        </w:rPr>
        <w:instrText xml:space="preserve"> PAGEREF _Toc302625577 \h </w:instrText>
      </w:r>
      <w:r>
        <w:rPr>
          <w:noProof/>
        </w:rPr>
      </w:r>
      <w:r>
        <w:rPr>
          <w:noProof/>
        </w:rPr>
        <w:fldChar w:fldCharType="separate"/>
      </w:r>
      <w:r w:rsidR="00475EE3">
        <w:rPr>
          <w:noProof/>
        </w:rPr>
        <w:t>25</w:t>
      </w:r>
      <w:r>
        <w:rPr>
          <w:noProof/>
        </w:rPr>
        <w:fldChar w:fldCharType="end"/>
      </w:r>
    </w:p>
    <w:p w:rsidR="00910D6B" w:rsidRDefault="00910D6B">
      <w:pPr>
        <w:pStyle w:val="TOC3"/>
        <w:tabs>
          <w:tab w:val="right" w:leader="dot" w:pos="9016"/>
        </w:tabs>
        <w:rPr>
          <w:rFonts w:eastAsiaTheme="minorEastAsia"/>
          <w:noProof/>
          <w:szCs w:val="24"/>
          <w:lang w:eastAsia="ja-JP"/>
        </w:rPr>
      </w:pPr>
      <w:r>
        <w:rPr>
          <w:noProof/>
          <w:lang w:eastAsia="en-AU"/>
        </w:rPr>
        <w:t>5.1.4 Name of the programme</w:t>
      </w:r>
      <w:r>
        <w:rPr>
          <w:noProof/>
        </w:rPr>
        <w:tab/>
      </w:r>
      <w:r>
        <w:rPr>
          <w:noProof/>
        </w:rPr>
        <w:fldChar w:fldCharType="begin"/>
      </w:r>
      <w:r>
        <w:rPr>
          <w:noProof/>
        </w:rPr>
        <w:instrText xml:space="preserve"> PAGEREF _Toc302625578 \h </w:instrText>
      </w:r>
      <w:r>
        <w:rPr>
          <w:noProof/>
        </w:rPr>
      </w:r>
      <w:r>
        <w:rPr>
          <w:noProof/>
        </w:rPr>
        <w:fldChar w:fldCharType="separate"/>
      </w:r>
      <w:r w:rsidR="00475EE3">
        <w:rPr>
          <w:noProof/>
        </w:rPr>
        <w:t>26</w:t>
      </w:r>
      <w:r>
        <w:rPr>
          <w:noProof/>
        </w:rPr>
        <w:fldChar w:fldCharType="end"/>
      </w:r>
    </w:p>
    <w:p w:rsidR="00910D6B" w:rsidRDefault="00910D6B">
      <w:pPr>
        <w:pStyle w:val="TOC3"/>
        <w:tabs>
          <w:tab w:val="right" w:leader="dot" w:pos="9016"/>
        </w:tabs>
        <w:rPr>
          <w:rFonts w:eastAsiaTheme="minorEastAsia"/>
          <w:noProof/>
          <w:szCs w:val="24"/>
          <w:lang w:eastAsia="ja-JP"/>
        </w:rPr>
      </w:pPr>
      <w:r>
        <w:rPr>
          <w:noProof/>
          <w:lang w:eastAsia="en-AU"/>
        </w:rPr>
        <w:t>5.1.5 No agreed definition of rare disease</w:t>
      </w:r>
      <w:r>
        <w:rPr>
          <w:noProof/>
        </w:rPr>
        <w:tab/>
      </w:r>
      <w:r>
        <w:rPr>
          <w:noProof/>
        </w:rPr>
        <w:fldChar w:fldCharType="begin"/>
      </w:r>
      <w:r>
        <w:rPr>
          <w:noProof/>
        </w:rPr>
        <w:instrText xml:space="preserve"> PAGEREF _Toc302625579 \h </w:instrText>
      </w:r>
      <w:r>
        <w:rPr>
          <w:noProof/>
        </w:rPr>
      </w:r>
      <w:r>
        <w:rPr>
          <w:noProof/>
        </w:rPr>
        <w:fldChar w:fldCharType="separate"/>
      </w:r>
      <w:r w:rsidR="00475EE3">
        <w:rPr>
          <w:noProof/>
        </w:rPr>
        <w:t>26</w:t>
      </w:r>
      <w:r>
        <w:rPr>
          <w:noProof/>
        </w:rPr>
        <w:fldChar w:fldCharType="end"/>
      </w:r>
    </w:p>
    <w:p w:rsidR="00910D6B" w:rsidRDefault="00910D6B">
      <w:pPr>
        <w:pStyle w:val="TOC2"/>
        <w:tabs>
          <w:tab w:val="right" w:leader="dot" w:pos="9016"/>
        </w:tabs>
        <w:rPr>
          <w:rFonts w:eastAsiaTheme="minorEastAsia"/>
          <w:noProof/>
          <w:szCs w:val="24"/>
          <w:lang w:eastAsia="ja-JP"/>
        </w:rPr>
      </w:pPr>
      <w:r>
        <w:rPr>
          <w:noProof/>
          <w:lang w:eastAsia="en-AU"/>
        </w:rPr>
        <w:t>5.2. Dissolution of the disease advisory committees in 2014</w:t>
      </w:r>
      <w:r>
        <w:rPr>
          <w:noProof/>
        </w:rPr>
        <w:tab/>
      </w:r>
      <w:r>
        <w:rPr>
          <w:noProof/>
        </w:rPr>
        <w:fldChar w:fldCharType="begin"/>
      </w:r>
      <w:r>
        <w:rPr>
          <w:noProof/>
        </w:rPr>
        <w:instrText xml:space="preserve"> PAGEREF _Toc302625580 \h </w:instrText>
      </w:r>
      <w:r>
        <w:rPr>
          <w:noProof/>
        </w:rPr>
      </w:r>
      <w:r>
        <w:rPr>
          <w:noProof/>
        </w:rPr>
        <w:fldChar w:fldCharType="separate"/>
      </w:r>
      <w:r w:rsidR="00475EE3">
        <w:rPr>
          <w:noProof/>
        </w:rPr>
        <w:t>28</w:t>
      </w:r>
      <w:r>
        <w:rPr>
          <w:noProof/>
        </w:rPr>
        <w:fldChar w:fldCharType="end"/>
      </w:r>
    </w:p>
    <w:p w:rsidR="00910D6B" w:rsidRDefault="00910D6B">
      <w:pPr>
        <w:pStyle w:val="TOC1"/>
        <w:tabs>
          <w:tab w:val="right" w:leader="dot" w:pos="9016"/>
        </w:tabs>
        <w:rPr>
          <w:rFonts w:eastAsiaTheme="minorEastAsia"/>
          <w:noProof/>
          <w:szCs w:val="24"/>
          <w:lang w:eastAsia="ja-JP"/>
        </w:rPr>
      </w:pPr>
      <w:r>
        <w:rPr>
          <w:noProof/>
          <w:lang w:eastAsia="en-AU"/>
        </w:rPr>
        <w:t xml:space="preserve">Section 6: </w:t>
      </w:r>
      <w:r>
        <w:rPr>
          <w:noProof/>
        </w:rPr>
        <w:t xml:space="preserve">Life Saving Drugs Programme Reference Group </w:t>
      </w:r>
      <w:r>
        <w:rPr>
          <w:noProof/>
          <w:lang w:eastAsia="en-AU"/>
        </w:rPr>
        <w:t>paper April 2015</w:t>
      </w:r>
      <w:r>
        <w:rPr>
          <w:noProof/>
        </w:rPr>
        <w:tab/>
      </w:r>
      <w:r>
        <w:rPr>
          <w:noProof/>
        </w:rPr>
        <w:fldChar w:fldCharType="begin"/>
      </w:r>
      <w:r>
        <w:rPr>
          <w:noProof/>
        </w:rPr>
        <w:instrText xml:space="preserve"> PAGEREF _Toc302625581 \h </w:instrText>
      </w:r>
      <w:r>
        <w:rPr>
          <w:noProof/>
        </w:rPr>
      </w:r>
      <w:r>
        <w:rPr>
          <w:noProof/>
        </w:rPr>
        <w:fldChar w:fldCharType="separate"/>
      </w:r>
      <w:r w:rsidR="00475EE3">
        <w:rPr>
          <w:noProof/>
        </w:rPr>
        <w:t>29</w:t>
      </w:r>
      <w:r>
        <w:rPr>
          <w:noProof/>
        </w:rPr>
        <w:fldChar w:fldCharType="end"/>
      </w:r>
    </w:p>
    <w:p w:rsidR="00910D6B" w:rsidRDefault="00910D6B">
      <w:pPr>
        <w:pStyle w:val="TOC2"/>
        <w:tabs>
          <w:tab w:val="right" w:leader="dot" w:pos="9016"/>
        </w:tabs>
        <w:rPr>
          <w:rFonts w:eastAsiaTheme="minorEastAsia"/>
          <w:noProof/>
          <w:szCs w:val="24"/>
          <w:lang w:eastAsia="ja-JP"/>
        </w:rPr>
      </w:pPr>
      <w:r>
        <w:rPr>
          <w:noProof/>
          <w:lang w:eastAsia="en-AU"/>
        </w:rPr>
        <w:t>6.1. Life Saving Drugs Programme technical assessment report</w:t>
      </w:r>
      <w:r>
        <w:rPr>
          <w:noProof/>
        </w:rPr>
        <w:tab/>
      </w:r>
      <w:r>
        <w:rPr>
          <w:noProof/>
        </w:rPr>
        <w:fldChar w:fldCharType="begin"/>
      </w:r>
      <w:r>
        <w:rPr>
          <w:noProof/>
        </w:rPr>
        <w:instrText xml:space="preserve"> PAGEREF _Toc302625582 \h </w:instrText>
      </w:r>
      <w:r>
        <w:rPr>
          <w:noProof/>
        </w:rPr>
      </w:r>
      <w:r>
        <w:rPr>
          <w:noProof/>
        </w:rPr>
        <w:fldChar w:fldCharType="separate"/>
      </w:r>
      <w:r w:rsidR="00475EE3">
        <w:rPr>
          <w:noProof/>
        </w:rPr>
        <w:t>29</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6.1.2 Term of reference 1</w:t>
      </w:r>
      <w:r>
        <w:rPr>
          <w:noProof/>
        </w:rPr>
        <w:tab/>
      </w:r>
      <w:r>
        <w:rPr>
          <w:noProof/>
        </w:rPr>
        <w:fldChar w:fldCharType="begin"/>
      </w:r>
      <w:r>
        <w:rPr>
          <w:noProof/>
        </w:rPr>
        <w:instrText xml:space="preserve"> PAGEREF _Toc302625583 \h </w:instrText>
      </w:r>
      <w:r>
        <w:rPr>
          <w:noProof/>
        </w:rPr>
      </w:r>
      <w:r>
        <w:rPr>
          <w:noProof/>
        </w:rPr>
        <w:fldChar w:fldCharType="separate"/>
      </w:r>
      <w:r w:rsidR="00475EE3">
        <w:rPr>
          <w:noProof/>
        </w:rPr>
        <w:t>29</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6.1.3 Term of reference 2</w:t>
      </w:r>
      <w:r>
        <w:rPr>
          <w:noProof/>
        </w:rPr>
        <w:tab/>
      </w:r>
      <w:r>
        <w:rPr>
          <w:noProof/>
        </w:rPr>
        <w:fldChar w:fldCharType="begin"/>
      </w:r>
      <w:r>
        <w:rPr>
          <w:noProof/>
        </w:rPr>
        <w:instrText xml:space="preserve"> PAGEREF _Toc302625584 \h </w:instrText>
      </w:r>
      <w:r>
        <w:rPr>
          <w:noProof/>
        </w:rPr>
      </w:r>
      <w:r>
        <w:rPr>
          <w:noProof/>
        </w:rPr>
        <w:fldChar w:fldCharType="separate"/>
      </w:r>
      <w:r w:rsidR="00475EE3">
        <w:rPr>
          <w:noProof/>
        </w:rPr>
        <w:t>29</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6.1.4 Term of reference 3</w:t>
      </w:r>
      <w:r>
        <w:rPr>
          <w:noProof/>
        </w:rPr>
        <w:tab/>
      </w:r>
      <w:r>
        <w:rPr>
          <w:noProof/>
        </w:rPr>
        <w:fldChar w:fldCharType="begin"/>
      </w:r>
      <w:r>
        <w:rPr>
          <w:noProof/>
        </w:rPr>
        <w:instrText xml:space="preserve"> PAGEREF _Toc302625585 \h </w:instrText>
      </w:r>
      <w:r>
        <w:rPr>
          <w:noProof/>
        </w:rPr>
      </w:r>
      <w:r>
        <w:rPr>
          <w:noProof/>
        </w:rPr>
        <w:fldChar w:fldCharType="separate"/>
      </w:r>
      <w:r w:rsidR="00475EE3">
        <w:rPr>
          <w:noProof/>
        </w:rPr>
        <w:t>30</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6.1.5 Term of reference 5</w:t>
      </w:r>
      <w:r>
        <w:rPr>
          <w:noProof/>
        </w:rPr>
        <w:tab/>
      </w:r>
      <w:r>
        <w:rPr>
          <w:noProof/>
        </w:rPr>
        <w:fldChar w:fldCharType="begin"/>
      </w:r>
      <w:r>
        <w:rPr>
          <w:noProof/>
        </w:rPr>
        <w:instrText xml:space="preserve"> PAGEREF _Toc302625586 \h </w:instrText>
      </w:r>
      <w:r>
        <w:rPr>
          <w:noProof/>
        </w:rPr>
      </w:r>
      <w:r>
        <w:rPr>
          <w:noProof/>
        </w:rPr>
        <w:fldChar w:fldCharType="separate"/>
      </w:r>
      <w:r w:rsidR="00475EE3">
        <w:rPr>
          <w:noProof/>
        </w:rPr>
        <w:t>30</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6.1.6 Term of reference 7</w:t>
      </w:r>
      <w:r>
        <w:rPr>
          <w:noProof/>
        </w:rPr>
        <w:tab/>
      </w:r>
      <w:r>
        <w:rPr>
          <w:noProof/>
        </w:rPr>
        <w:fldChar w:fldCharType="begin"/>
      </w:r>
      <w:r>
        <w:rPr>
          <w:noProof/>
        </w:rPr>
        <w:instrText xml:space="preserve"> PAGEREF _Toc302625587 \h </w:instrText>
      </w:r>
      <w:r>
        <w:rPr>
          <w:noProof/>
        </w:rPr>
      </w:r>
      <w:r>
        <w:rPr>
          <w:noProof/>
        </w:rPr>
        <w:fldChar w:fldCharType="separate"/>
      </w:r>
      <w:r w:rsidR="00475EE3">
        <w:rPr>
          <w:noProof/>
        </w:rPr>
        <w:t>31</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6.1.7 Conclusion</w:t>
      </w:r>
      <w:r>
        <w:rPr>
          <w:noProof/>
        </w:rPr>
        <w:tab/>
      </w:r>
      <w:r>
        <w:rPr>
          <w:noProof/>
        </w:rPr>
        <w:fldChar w:fldCharType="begin"/>
      </w:r>
      <w:r>
        <w:rPr>
          <w:noProof/>
        </w:rPr>
        <w:instrText xml:space="preserve"> PAGEREF _Toc302625588 \h </w:instrText>
      </w:r>
      <w:r>
        <w:rPr>
          <w:noProof/>
        </w:rPr>
      </w:r>
      <w:r>
        <w:rPr>
          <w:noProof/>
        </w:rPr>
        <w:fldChar w:fldCharType="separate"/>
      </w:r>
      <w:r w:rsidR="00475EE3">
        <w:rPr>
          <w:noProof/>
        </w:rPr>
        <w:t>31</w:t>
      </w:r>
      <w:r>
        <w:rPr>
          <w:noProof/>
        </w:rPr>
        <w:fldChar w:fldCharType="end"/>
      </w:r>
    </w:p>
    <w:p w:rsidR="00910D6B" w:rsidRDefault="00910D6B">
      <w:pPr>
        <w:pStyle w:val="TOC2"/>
        <w:tabs>
          <w:tab w:val="right" w:leader="dot" w:pos="9016"/>
        </w:tabs>
        <w:rPr>
          <w:rFonts w:eastAsiaTheme="minorEastAsia"/>
          <w:noProof/>
          <w:szCs w:val="24"/>
          <w:lang w:eastAsia="ja-JP"/>
        </w:rPr>
      </w:pPr>
      <w:r>
        <w:rPr>
          <w:noProof/>
          <w:lang w:eastAsia="en-AU"/>
        </w:rPr>
        <w:t>6.2. Reference group consideration of evaluator’s report</w:t>
      </w:r>
      <w:r>
        <w:rPr>
          <w:noProof/>
        </w:rPr>
        <w:tab/>
      </w:r>
      <w:r>
        <w:rPr>
          <w:noProof/>
        </w:rPr>
        <w:fldChar w:fldCharType="begin"/>
      </w:r>
      <w:r>
        <w:rPr>
          <w:noProof/>
        </w:rPr>
        <w:instrText xml:space="preserve"> PAGEREF _Toc302625589 \h </w:instrText>
      </w:r>
      <w:r>
        <w:rPr>
          <w:noProof/>
        </w:rPr>
      </w:r>
      <w:r>
        <w:rPr>
          <w:noProof/>
        </w:rPr>
        <w:fldChar w:fldCharType="separate"/>
      </w:r>
      <w:r w:rsidR="00475EE3">
        <w:rPr>
          <w:noProof/>
        </w:rPr>
        <w:t>31</w:t>
      </w:r>
      <w:r>
        <w:rPr>
          <w:noProof/>
        </w:rPr>
        <w:fldChar w:fldCharType="end"/>
      </w:r>
    </w:p>
    <w:p w:rsidR="00910D6B" w:rsidRDefault="00910D6B">
      <w:pPr>
        <w:pStyle w:val="TOC2"/>
        <w:tabs>
          <w:tab w:val="right" w:leader="dot" w:pos="9016"/>
        </w:tabs>
        <w:rPr>
          <w:rFonts w:eastAsiaTheme="minorEastAsia"/>
          <w:noProof/>
          <w:szCs w:val="24"/>
          <w:lang w:eastAsia="ja-JP"/>
        </w:rPr>
      </w:pPr>
      <w:r>
        <w:rPr>
          <w:noProof/>
          <w:lang w:eastAsia="en-AU"/>
        </w:rPr>
        <w:lastRenderedPageBreak/>
        <w:t>6.3. Summary of public comments on issues paper</w:t>
      </w:r>
      <w:r>
        <w:rPr>
          <w:noProof/>
        </w:rPr>
        <w:tab/>
      </w:r>
      <w:r>
        <w:rPr>
          <w:noProof/>
        </w:rPr>
        <w:fldChar w:fldCharType="begin"/>
      </w:r>
      <w:r>
        <w:rPr>
          <w:noProof/>
        </w:rPr>
        <w:instrText xml:space="preserve"> PAGEREF _Toc302625590 \h </w:instrText>
      </w:r>
      <w:r>
        <w:rPr>
          <w:noProof/>
        </w:rPr>
      </w:r>
      <w:r>
        <w:rPr>
          <w:noProof/>
        </w:rPr>
        <w:fldChar w:fldCharType="separate"/>
      </w:r>
      <w:r w:rsidR="00475EE3">
        <w:rPr>
          <w:noProof/>
        </w:rPr>
        <w:t>32</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6.3.1 Issue 1</w:t>
      </w:r>
      <w:r>
        <w:rPr>
          <w:noProof/>
        </w:rPr>
        <w:tab/>
      </w:r>
      <w:r>
        <w:rPr>
          <w:noProof/>
        </w:rPr>
        <w:fldChar w:fldCharType="begin"/>
      </w:r>
      <w:r>
        <w:rPr>
          <w:noProof/>
        </w:rPr>
        <w:instrText xml:space="preserve"> PAGEREF _Toc302625591 \h </w:instrText>
      </w:r>
      <w:r>
        <w:rPr>
          <w:noProof/>
        </w:rPr>
      </w:r>
      <w:r>
        <w:rPr>
          <w:noProof/>
        </w:rPr>
        <w:fldChar w:fldCharType="separate"/>
      </w:r>
      <w:r w:rsidR="00475EE3">
        <w:rPr>
          <w:noProof/>
        </w:rPr>
        <w:t>32</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6.3.2 Issue 2</w:t>
      </w:r>
      <w:r>
        <w:rPr>
          <w:noProof/>
        </w:rPr>
        <w:tab/>
      </w:r>
      <w:r>
        <w:rPr>
          <w:noProof/>
        </w:rPr>
        <w:fldChar w:fldCharType="begin"/>
      </w:r>
      <w:r>
        <w:rPr>
          <w:noProof/>
        </w:rPr>
        <w:instrText xml:space="preserve"> PAGEREF _Toc302625592 \h </w:instrText>
      </w:r>
      <w:r>
        <w:rPr>
          <w:noProof/>
        </w:rPr>
      </w:r>
      <w:r>
        <w:rPr>
          <w:noProof/>
        </w:rPr>
        <w:fldChar w:fldCharType="separate"/>
      </w:r>
      <w:r w:rsidR="00475EE3">
        <w:rPr>
          <w:noProof/>
        </w:rPr>
        <w:t>33</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6.3.3 Issue 3</w:t>
      </w:r>
      <w:r>
        <w:rPr>
          <w:noProof/>
        </w:rPr>
        <w:tab/>
      </w:r>
      <w:r>
        <w:rPr>
          <w:noProof/>
        </w:rPr>
        <w:fldChar w:fldCharType="begin"/>
      </w:r>
      <w:r>
        <w:rPr>
          <w:noProof/>
        </w:rPr>
        <w:instrText xml:space="preserve"> PAGEREF _Toc302625593 \h </w:instrText>
      </w:r>
      <w:r>
        <w:rPr>
          <w:noProof/>
        </w:rPr>
      </w:r>
      <w:r>
        <w:rPr>
          <w:noProof/>
        </w:rPr>
        <w:fldChar w:fldCharType="separate"/>
      </w:r>
      <w:r w:rsidR="00475EE3">
        <w:rPr>
          <w:noProof/>
        </w:rPr>
        <w:t>34</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6.3.4 Issue 4</w:t>
      </w:r>
      <w:r>
        <w:rPr>
          <w:noProof/>
        </w:rPr>
        <w:tab/>
      </w:r>
      <w:r>
        <w:rPr>
          <w:noProof/>
        </w:rPr>
        <w:fldChar w:fldCharType="begin"/>
      </w:r>
      <w:r>
        <w:rPr>
          <w:noProof/>
        </w:rPr>
        <w:instrText xml:space="preserve"> PAGEREF _Toc302625594 \h </w:instrText>
      </w:r>
      <w:r>
        <w:rPr>
          <w:noProof/>
        </w:rPr>
      </w:r>
      <w:r>
        <w:rPr>
          <w:noProof/>
        </w:rPr>
        <w:fldChar w:fldCharType="separate"/>
      </w:r>
      <w:r w:rsidR="00475EE3">
        <w:rPr>
          <w:noProof/>
        </w:rPr>
        <w:t>34</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6.3.5 Issue 5</w:t>
      </w:r>
      <w:r>
        <w:rPr>
          <w:noProof/>
        </w:rPr>
        <w:tab/>
      </w:r>
      <w:r>
        <w:rPr>
          <w:noProof/>
        </w:rPr>
        <w:fldChar w:fldCharType="begin"/>
      </w:r>
      <w:r>
        <w:rPr>
          <w:noProof/>
        </w:rPr>
        <w:instrText xml:space="preserve"> PAGEREF _Toc302625595 \h </w:instrText>
      </w:r>
      <w:r>
        <w:rPr>
          <w:noProof/>
        </w:rPr>
      </w:r>
      <w:r>
        <w:rPr>
          <w:noProof/>
        </w:rPr>
        <w:fldChar w:fldCharType="separate"/>
      </w:r>
      <w:r w:rsidR="00475EE3">
        <w:rPr>
          <w:noProof/>
        </w:rPr>
        <w:t>35</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6.3.6 Issue 6</w:t>
      </w:r>
      <w:r>
        <w:rPr>
          <w:noProof/>
        </w:rPr>
        <w:tab/>
      </w:r>
      <w:r>
        <w:rPr>
          <w:noProof/>
        </w:rPr>
        <w:fldChar w:fldCharType="begin"/>
      </w:r>
      <w:r>
        <w:rPr>
          <w:noProof/>
        </w:rPr>
        <w:instrText xml:space="preserve"> PAGEREF _Toc302625596 \h </w:instrText>
      </w:r>
      <w:r>
        <w:rPr>
          <w:noProof/>
        </w:rPr>
      </w:r>
      <w:r>
        <w:rPr>
          <w:noProof/>
        </w:rPr>
        <w:fldChar w:fldCharType="separate"/>
      </w:r>
      <w:r w:rsidR="00475EE3">
        <w:rPr>
          <w:noProof/>
        </w:rPr>
        <w:t>36</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6.3.7 Issue 7</w:t>
      </w:r>
      <w:r>
        <w:rPr>
          <w:noProof/>
        </w:rPr>
        <w:tab/>
      </w:r>
      <w:r>
        <w:rPr>
          <w:noProof/>
        </w:rPr>
        <w:fldChar w:fldCharType="begin"/>
      </w:r>
      <w:r>
        <w:rPr>
          <w:noProof/>
        </w:rPr>
        <w:instrText xml:space="preserve"> PAGEREF _Toc302625597 \h </w:instrText>
      </w:r>
      <w:r>
        <w:rPr>
          <w:noProof/>
        </w:rPr>
      </w:r>
      <w:r>
        <w:rPr>
          <w:noProof/>
        </w:rPr>
        <w:fldChar w:fldCharType="separate"/>
      </w:r>
      <w:r w:rsidR="00475EE3">
        <w:rPr>
          <w:noProof/>
        </w:rPr>
        <w:t>37</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6.3.8 Issue 8</w:t>
      </w:r>
      <w:r>
        <w:rPr>
          <w:noProof/>
        </w:rPr>
        <w:tab/>
      </w:r>
      <w:r>
        <w:rPr>
          <w:noProof/>
        </w:rPr>
        <w:fldChar w:fldCharType="begin"/>
      </w:r>
      <w:r>
        <w:rPr>
          <w:noProof/>
        </w:rPr>
        <w:instrText xml:space="preserve"> PAGEREF _Toc302625598 \h </w:instrText>
      </w:r>
      <w:r>
        <w:rPr>
          <w:noProof/>
        </w:rPr>
      </w:r>
      <w:r>
        <w:rPr>
          <w:noProof/>
        </w:rPr>
        <w:fldChar w:fldCharType="separate"/>
      </w:r>
      <w:r w:rsidR="00475EE3">
        <w:rPr>
          <w:noProof/>
        </w:rPr>
        <w:t>38</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6.3.9 Issue 9</w:t>
      </w:r>
      <w:r>
        <w:rPr>
          <w:noProof/>
        </w:rPr>
        <w:tab/>
      </w:r>
      <w:r>
        <w:rPr>
          <w:noProof/>
        </w:rPr>
        <w:fldChar w:fldCharType="begin"/>
      </w:r>
      <w:r>
        <w:rPr>
          <w:noProof/>
        </w:rPr>
        <w:instrText xml:space="preserve"> PAGEREF _Toc302625599 \h </w:instrText>
      </w:r>
      <w:r>
        <w:rPr>
          <w:noProof/>
        </w:rPr>
      </w:r>
      <w:r>
        <w:rPr>
          <w:noProof/>
        </w:rPr>
        <w:fldChar w:fldCharType="separate"/>
      </w:r>
      <w:r w:rsidR="00475EE3">
        <w:rPr>
          <w:noProof/>
        </w:rPr>
        <w:t>38</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6.3.10 Issue 10</w:t>
      </w:r>
      <w:r>
        <w:rPr>
          <w:noProof/>
        </w:rPr>
        <w:tab/>
      </w:r>
      <w:r>
        <w:rPr>
          <w:noProof/>
        </w:rPr>
        <w:fldChar w:fldCharType="begin"/>
      </w:r>
      <w:r>
        <w:rPr>
          <w:noProof/>
        </w:rPr>
        <w:instrText xml:space="preserve"> PAGEREF _Toc302625600 \h </w:instrText>
      </w:r>
      <w:r>
        <w:rPr>
          <w:noProof/>
        </w:rPr>
      </w:r>
      <w:r>
        <w:rPr>
          <w:noProof/>
        </w:rPr>
        <w:fldChar w:fldCharType="separate"/>
      </w:r>
      <w:r w:rsidR="00475EE3">
        <w:rPr>
          <w:noProof/>
        </w:rPr>
        <w:t>39</w:t>
      </w:r>
      <w:r>
        <w:rPr>
          <w:noProof/>
        </w:rPr>
        <w:fldChar w:fldCharType="end"/>
      </w:r>
    </w:p>
    <w:p w:rsidR="00910D6B" w:rsidRDefault="00910D6B">
      <w:pPr>
        <w:pStyle w:val="TOC2"/>
        <w:tabs>
          <w:tab w:val="right" w:leader="dot" w:pos="9016"/>
        </w:tabs>
        <w:rPr>
          <w:rFonts w:eastAsiaTheme="minorEastAsia"/>
          <w:noProof/>
          <w:szCs w:val="24"/>
          <w:lang w:eastAsia="ja-JP"/>
        </w:rPr>
      </w:pPr>
      <w:r>
        <w:rPr>
          <w:noProof/>
          <w:lang w:eastAsia="en-AU"/>
        </w:rPr>
        <w:t>6.4. Medicine industry’s proposal</w:t>
      </w:r>
      <w:r>
        <w:rPr>
          <w:noProof/>
        </w:rPr>
        <w:tab/>
      </w:r>
      <w:r>
        <w:rPr>
          <w:noProof/>
        </w:rPr>
        <w:fldChar w:fldCharType="begin"/>
      </w:r>
      <w:r>
        <w:rPr>
          <w:noProof/>
        </w:rPr>
        <w:instrText xml:space="preserve"> PAGEREF _Toc302625601 \h </w:instrText>
      </w:r>
      <w:r>
        <w:rPr>
          <w:noProof/>
        </w:rPr>
      </w:r>
      <w:r>
        <w:rPr>
          <w:noProof/>
        </w:rPr>
        <w:fldChar w:fldCharType="separate"/>
      </w:r>
      <w:r w:rsidR="00475EE3">
        <w:rPr>
          <w:noProof/>
        </w:rPr>
        <w:t>41</w:t>
      </w:r>
      <w:r>
        <w:rPr>
          <w:noProof/>
        </w:rPr>
        <w:fldChar w:fldCharType="end"/>
      </w:r>
    </w:p>
    <w:p w:rsidR="00910D6B" w:rsidRDefault="00910D6B">
      <w:pPr>
        <w:pStyle w:val="TOC2"/>
        <w:tabs>
          <w:tab w:val="right" w:leader="dot" w:pos="9016"/>
        </w:tabs>
        <w:rPr>
          <w:rFonts w:eastAsiaTheme="minorEastAsia"/>
          <w:noProof/>
          <w:szCs w:val="24"/>
          <w:lang w:eastAsia="ja-JP"/>
        </w:rPr>
      </w:pPr>
      <w:r>
        <w:rPr>
          <w:noProof/>
          <w:lang w:eastAsia="en-AU"/>
        </w:rPr>
        <w:t>6.5. International perspectives on funding medicines for rare disease</w:t>
      </w:r>
      <w:r>
        <w:rPr>
          <w:noProof/>
        </w:rPr>
        <w:tab/>
      </w:r>
      <w:r>
        <w:rPr>
          <w:noProof/>
        </w:rPr>
        <w:fldChar w:fldCharType="begin"/>
      </w:r>
      <w:r>
        <w:rPr>
          <w:noProof/>
        </w:rPr>
        <w:instrText xml:space="preserve"> PAGEREF _Toc302625602 \h </w:instrText>
      </w:r>
      <w:r>
        <w:rPr>
          <w:noProof/>
        </w:rPr>
      </w:r>
      <w:r>
        <w:rPr>
          <w:noProof/>
        </w:rPr>
        <w:fldChar w:fldCharType="separate"/>
      </w:r>
      <w:r w:rsidR="00475EE3">
        <w:rPr>
          <w:noProof/>
        </w:rPr>
        <w:t>42</w:t>
      </w:r>
      <w:r>
        <w:rPr>
          <w:noProof/>
        </w:rPr>
        <w:fldChar w:fldCharType="end"/>
      </w:r>
    </w:p>
    <w:p w:rsidR="00910D6B" w:rsidRDefault="00910D6B">
      <w:pPr>
        <w:pStyle w:val="TOC3"/>
        <w:tabs>
          <w:tab w:val="right" w:leader="dot" w:pos="9016"/>
        </w:tabs>
        <w:rPr>
          <w:rFonts w:eastAsiaTheme="minorEastAsia"/>
          <w:noProof/>
          <w:szCs w:val="24"/>
          <w:lang w:eastAsia="ja-JP"/>
        </w:rPr>
      </w:pPr>
      <w:r>
        <w:rPr>
          <w:noProof/>
          <w:lang w:eastAsia="en-AU"/>
        </w:rPr>
        <w:t>6.5.1 UK National Institute for Health and Care Excellence interim process and methods for assessing highly specialised technology</w:t>
      </w:r>
      <w:r>
        <w:rPr>
          <w:noProof/>
        </w:rPr>
        <w:tab/>
      </w:r>
      <w:r>
        <w:rPr>
          <w:noProof/>
        </w:rPr>
        <w:fldChar w:fldCharType="begin"/>
      </w:r>
      <w:r>
        <w:rPr>
          <w:noProof/>
        </w:rPr>
        <w:instrText xml:space="preserve"> PAGEREF _Toc302625603 \h </w:instrText>
      </w:r>
      <w:r>
        <w:rPr>
          <w:noProof/>
        </w:rPr>
      </w:r>
      <w:r>
        <w:rPr>
          <w:noProof/>
        </w:rPr>
        <w:fldChar w:fldCharType="separate"/>
      </w:r>
      <w:r w:rsidR="00475EE3">
        <w:rPr>
          <w:noProof/>
        </w:rPr>
        <w:t>44</w:t>
      </w:r>
      <w:r>
        <w:rPr>
          <w:noProof/>
        </w:rPr>
        <w:fldChar w:fldCharType="end"/>
      </w:r>
    </w:p>
    <w:p w:rsidR="00910D6B" w:rsidRDefault="00910D6B">
      <w:pPr>
        <w:pStyle w:val="TOC2"/>
        <w:tabs>
          <w:tab w:val="right" w:leader="dot" w:pos="9016"/>
        </w:tabs>
        <w:rPr>
          <w:rFonts w:eastAsiaTheme="minorEastAsia"/>
          <w:noProof/>
          <w:szCs w:val="24"/>
          <w:lang w:eastAsia="ja-JP"/>
        </w:rPr>
      </w:pPr>
      <w:r>
        <w:rPr>
          <w:noProof/>
        </w:rPr>
        <w:t>6.6. Australian context</w:t>
      </w:r>
      <w:r>
        <w:rPr>
          <w:noProof/>
        </w:rPr>
        <w:tab/>
      </w:r>
      <w:r>
        <w:rPr>
          <w:noProof/>
        </w:rPr>
        <w:fldChar w:fldCharType="begin"/>
      </w:r>
      <w:r>
        <w:rPr>
          <w:noProof/>
        </w:rPr>
        <w:instrText xml:space="preserve"> PAGEREF _Toc302625604 \h </w:instrText>
      </w:r>
      <w:r>
        <w:rPr>
          <w:noProof/>
        </w:rPr>
      </w:r>
      <w:r>
        <w:rPr>
          <w:noProof/>
        </w:rPr>
        <w:fldChar w:fldCharType="separate"/>
      </w:r>
      <w:r w:rsidR="00475EE3">
        <w:rPr>
          <w:noProof/>
        </w:rPr>
        <w:t>46</w:t>
      </w:r>
      <w:r>
        <w:rPr>
          <w:noProof/>
        </w:rPr>
        <w:fldChar w:fldCharType="end"/>
      </w:r>
    </w:p>
    <w:p w:rsidR="00910D6B" w:rsidRDefault="00910D6B">
      <w:pPr>
        <w:pStyle w:val="TOC1"/>
        <w:tabs>
          <w:tab w:val="right" w:leader="dot" w:pos="9016"/>
        </w:tabs>
        <w:rPr>
          <w:rFonts w:eastAsiaTheme="minorEastAsia"/>
          <w:noProof/>
          <w:szCs w:val="24"/>
          <w:lang w:eastAsia="ja-JP"/>
        </w:rPr>
      </w:pPr>
      <w:r>
        <w:rPr>
          <w:noProof/>
          <w:lang w:eastAsia="en-AU"/>
        </w:rPr>
        <w:t>Section 7: Life Saving Drugs Programme Reference Group considerations</w:t>
      </w:r>
      <w:r>
        <w:rPr>
          <w:noProof/>
        </w:rPr>
        <w:tab/>
      </w:r>
      <w:r>
        <w:rPr>
          <w:noProof/>
        </w:rPr>
        <w:fldChar w:fldCharType="begin"/>
      </w:r>
      <w:r>
        <w:rPr>
          <w:noProof/>
        </w:rPr>
        <w:instrText xml:space="preserve"> PAGEREF _Toc302625605 \h </w:instrText>
      </w:r>
      <w:r>
        <w:rPr>
          <w:noProof/>
        </w:rPr>
      </w:r>
      <w:r>
        <w:rPr>
          <w:noProof/>
        </w:rPr>
        <w:fldChar w:fldCharType="separate"/>
      </w:r>
      <w:r w:rsidR="00475EE3">
        <w:rPr>
          <w:noProof/>
        </w:rPr>
        <w:t>48</w:t>
      </w:r>
      <w:r>
        <w:rPr>
          <w:noProof/>
        </w:rPr>
        <w:fldChar w:fldCharType="end"/>
      </w:r>
    </w:p>
    <w:p w:rsidR="00910D6B" w:rsidRDefault="00910D6B">
      <w:pPr>
        <w:pStyle w:val="TOC2"/>
        <w:tabs>
          <w:tab w:val="right" w:leader="dot" w:pos="9016"/>
        </w:tabs>
        <w:rPr>
          <w:rFonts w:eastAsiaTheme="minorEastAsia"/>
          <w:noProof/>
          <w:szCs w:val="24"/>
          <w:lang w:eastAsia="ja-JP"/>
        </w:rPr>
      </w:pPr>
      <w:r>
        <w:rPr>
          <w:noProof/>
        </w:rPr>
        <w:t>7.1. Definition of rare disease</w:t>
      </w:r>
      <w:r>
        <w:rPr>
          <w:noProof/>
        </w:rPr>
        <w:tab/>
      </w:r>
      <w:r>
        <w:rPr>
          <w:noProof/>
        </w:rPr>
        <w:fldChar w:fldCharType="begin"/>
      </w:r>
      <w:r>
        <w:rPr>
          <w:noProof/>
        </w:rPr>
        <w:instrText xml:space="preserve"> PAGEREF _Toc302625606 \h </w:instrText>
      </w:r>
      <w:r>
        <w:rPr>
          <w:noProof/>
        </w:rPr>
      </w:r>
      <w:r>
        <w:rPr>
          <w:noProof/>
        </w:rPr>
        <w:fldChar w:fldCharType="separate"/>
      </w:r>
      <w:r w:rsidR="00475EE3">
        <w:rPr>
          <w:noProof/>
        </w:rPr>
        <w:t>48</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7.1.1 Potential implications if the definition of rare disease is expanded</w:t>
      </w:r>
      <w:r>
        <w:rPr>
          <w:noProof/>
        </w:rPr>
        <w:tab/>
      </w:r>
      <w:r>
        <w:rPr>
          <w:noProof/>
        </w:rPr>
        <w:fldChar w:fldCharType="begin"/>
      </w:r>
      <w:r>
        <w:rPr>
          <w:noProof/>
        </w:rPr>
        <w:instrText xml:space="preserve"> PAGEREF _Toc302625607 \h </w:instrText>
      </w:r>
      <w:r>
        <w:rPr>
          <w:noProof/>
        </w:rPr>
      </w:r>
      <w:r>
        <w:rPr>
          <w:noProof/>
        </w:rPr>
        <w:fldChar w:fldCharType="separate"/>
      </w:r>
      <w:r w:rsidR="00475EE3">
        <w:rPr>
          <w:noProof/>
        </w:rPr>
        <w:t>48</w:t>
      </w:r>
      <w:r>
        <w:rPr>
          <w:noProof/>
        </w:rPr>
        <w:fldChar w:fldCharType="end"/>
      </w:r>
    </w:p>
    <w:p w:rsidR="00910D6B" w:rsidRDefault="00910D6B">
      <w:pPr>
        <w:pStyle w:val="TOC2"/>
        <w:tabs>
          <w:tab w:val="right" w:leader="dot" w:pos="9016"/>
        </w:tabs>
        <w:rPr>
          <w:rFonts w:eastAsiaTheme="minorEastAsia"/>
          <w:noProof/>
          <w:szCs w:val="24"/>
          <w:lang w:eastAsia="ja-JP"/>
        </w:rPr>
      </w:pPr>
      <w:r>
        <w:rPr>
          <w:noProof/>
        </w:rPr>
        <w:t>7.2. Access to subsidised drugs</w:t>
      </w:r>
      <w:r>
        <w:rPr>
          <w:noProof/>
        </w:rPr>
        <w:tab/>
      </w:r>
      <w:r>
        <w:rPr>
          <w:noProof/>
        </w:rPr>
        <w:fldChar w:fldCharType="begin"/>
      </w:r>
      <w:r>
        <w:rPr>
          <w:noProof/>
        </w:rPr>
        <w:instrText xml:space="preserve"> PAGEREF _Toc302625608 \h </w:instrText>
      </w:r>
      <w:r>
        <w:rPr>
          <w:noProof/>
        </w:rPr>
      </w:r>
      <w:r>
        <w:rPr>
          <w:noProof/>
        </w:rPr>
        <w:fldChar w:fldCharType="separate"/>
      </w:r>
      <w:r w:rsidR="00475EE3">
        <w:rPr>
          <w:noProof/>
        </w:rPr>
        <w:t>50</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7.2.1 Continued access to Life Saving Drugs Programme funded drugs</w:t>
      </w:r>
      <w:r>
        <w:rPr>
          <w:noProof/>
        </w:rPr>
        <w:tab/>
      </w:r>
      <w:r>
        <w:rPr>
          <w:noProof/>
        </w:rPr>
        <w:fldChar w:fldCharType="begin"/>
      </w:r>
      <w:r>
        <w:rPr>
          <w:noProof/>
        </w:rPr>
        <w:instrText xml:space="preserve"> PAGEREF _Toc302625609 \h </w:instrText>
      </w:r>
      <w:r>
        <w:rPr>
          <w:noProof/>
        </w:rPr>
      </w:r>
      <w:r>
        <w:rPr>
          <w:noProof/>
        </w:rPr>
        <w:fldChar w:fldCharType="separate"/>
      </w:r>
      <w:r w:rsidR="00475EE3">
        <w:rPr>
          <w:noProof/>
        </w:rPr>
        <w:t>50</w:t>
      </w:r>
      <w:r>
        <w:rPr>
          <w:noProof/>
        </w:rPr>
        <w:fldChar w:fldCharType="end"/>
      </w:r>
    </w:p>
    <w:p w:rsidR="00910D6B" w:rsidRDefault="00910D6B">
      <w:pPr>
        <w:pStyle w:val="TOC2"/>
        <w:tabs>
          <w:tab w:val="right" w:leader="dot" w:pos="9016"/>
        </w:tabs>
        <w:rPr>
          <w:rFonts w:eastAsiaTheme="minorEastAsia"/>
          <w:noProof/>
          <w:szCs w:val="24"/>
          <w:lang w:eastAsia="ja-JP"/>
        </w:rPr>
      </w:pPr>
      <w:r>
        <w:rPr>
          <w:noProof/>
        </w:rPr>
        <w:t>7.3. Section 100 as an option for a Medicines for Rare Diseases Programme</w:t>
      </w:r>
      <w:r>
        <w:rPr>
          <w:noProof/>
        </w:rPr>
        <w:tab/>
      </w:r>
      <w:r>
        <w:rPr>
          <w:noProof/>
        </w:rPr>
        <w:fldChar w:fldCharType="begin"/>
      </w:r>
      <w:r>
        <w:rPr>
          <w:noProof/>
        </w:rPr>
        <w:instrText xml:space="preserve"> PAGEREF _Toc302625610 \h </w:instrText>
      </w:r>
      <w:r>
        <w:rPr>
          <w:noProof/>
        </w:rPr>
      </w:r>
      <w:r>
        <w:rPr>
          <w:noProof/>
        </w:rPr>
        <w:fldChar w:fldCharType="separate"/>
      </w:r>
      <w:r w:rsidR="00475EE3">
        <w:rPr>
          <w:noProof/>
        </w:rPr>
        <w:t>51</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7.3.1 Section 100 special arrangements</w:t>
      </w:r>
      <w:r>
        <w:rPr>
          <w:noProof/>
        </w:rPr>
        <w:tab/>
      </w:r>
      <w:r>
        <w:rPr>
          <w:noProof/>
        </w:rPr>
        <w:fldChar w:fldCharType="begin"/>
      </w:r>
      <w:r>
        <w:rPr>
          <w:noProof/>
        </w:rPr>
        <w:instrText xml:space="preserve"> PAGEREF _Toc302625611 \h </w:instrText>
      </w:r>
      <w:r>
        <w:rPr>
          <w:noProof/>
        </w:rPr>
      </w:r>
      <w:r>
        <w:rPr>
          <w:noProof/>
        </w:rPr>
        <w:fldChar w:fldCharType="separate"/>
      </w:r>
      <w:r w:rsidR="00475EE3">
        <w:rPr>
          <w:noProof/>
        </w:rPr>
        <w:t>51</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7.3.2 Section 100 special programmes</w:t>
      </w:r>
      <w:r>
        <w:rPr>
          <w:noProof/>
        </w:rPr>
        <w:tab/>
      </w:r>
      <w:r>
        <w:rPr>
          <w:noProof/>
        </w:rPr>
        <w:fldChar w:fldCharType="begin"/>
      </w:r>
      <w:r>
        <w:rPr>
          <w:noProof/>
        </w:rPr>
        <w:instrText xml:space="preserve"> PAGEREF _Toc302625612 \h </w:instrText>
      </w:r>
      <w:r>
        <w:rPr>
          <w:noProof/>
        </w:rPr>
      </w:r>
      <w:r>
        <w:rPr>
          <w:noProof/>
        </w:rPr>
        <w:fldChar w:fldCharType="separate"/>
      </w:r>
      <w:r w:rsidR="00475EE3">
        <w:rPr>
          <w:noProof/>
        </w:rPr>
        <w:t>51</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7.3.2. 1 Highly Specialised Drugs Programme</w:t>
      </w:r>
      <w:r>
        <w:rPr>
          <w:noProof/>
        </w:rPr>
        <w:tab/>
      </w:r>
      <w:r>
        <w:rPr>
          <w:noProof/>
        </w:rPr>
        <w:fldChar w:fldCharType="begin"/>
      </w:r>
      <w:r>
        <w:rPr>
          <w:noProof/>
        </w:rPr>
        <w:instrText xml:space="preserve"> PAGEREF _Toc302625613 \h </w:instrText>
      </w:r>
      <w:r>
        <w:rPr>
          <w:noProof/>
        </w:rPr>
      </w:r>
      <w:r>
        <w:rPr>
          <w:noProof/>
        </w:rPr>
        <w:fldChar w:fldCharType="separate"/>
      </w:r>
      <w:r w:rsidR="00475EE3">
        <w:rPr>
          <w:noProof/>
        </w:rPr>
        <w:t>52</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7.3.3 Section 100 Medicines for Rare Diseases Programme</w:t>
      </w:r>
      <w:r>
        <w:rPr>
          <w:noProof/>
        </w:rPr>
        <w:tab/>
      </w:r>
      <w:r>
        <w:rPr>
          <w:noProof/>
        </w:rPr>
        <w:fldChar w:fldCharType="begin"/>
      </w:r>
      <w:r>
        <w:rPr>
          <w:noProof/>
        </w:rPr>
        <w:instrText xml:space="preserve"> PAGEREF _Toc302625614 \h </w:instrText>
      </w:r>
      <w:r>
        <w:rPr>
          <w:noProof/>
        </w:rPr>
      </w:r>
      <w:r>
        <w:rPr>
          <w:noProof/>
        </w:rPr>
        <w:fldChar w:fldCharType="separate"/>
      </w:r>
      <w:r w:rsidR="00475EE3">
        <w:rPr>
          <w:noProof/>
        </w:rPr>
        <w:t>52</w:t>
      </w:r>
      <w:r>
        <w:rPr>
          <w:noProof/>
        </w:rPr>
        <w:fldChar w:fldCharType="end"/>
      </w:r>
    </w:p>
    <w:p w:rsidR="00910D6B" w:rsidRDefault="00910D6B">
      <w:pPr>
        <w:pStyle w:val="TOC2"/>
        <w:tabs>
          <w:tab w:val="right" w:leader="dot" w:pos="9016"/>
        </w:tabs>
        <w:rPr>
          <w:rFonts w:eastAsiaTheme="minorEastAsia"/>
          <w:noProof/>
          <w:szCs w:val="24"/>
          <w:lang w:eastAsia="ja-JP"/>
        </w:rPr>
      </w:pPr>
      <w:r>
        <w:rPr>
          <w:noProof/>
        </w:rPr>
        <w:t>7.4 National Health Act and Pharmaceutical Benefits Advisory Committee role</w:t>
      </w:r>
      <w:r>
        <w:rPr>
          <w:noProof/>
        </w:rPr>
        <w:tab/>
      </w:r>
      <w:r>
        <w:rPr>
          <w:noProof/>
        </w:rPr>
        <w:fldChar w:fldCharType="begin"/>
      </w:r>
      <w:r>
        <w:rPr>
          <w:noProof/>
        </w:rPr>
        <w:instrText xml:space="preserve"> PAGEREF _Toc302625615 \h </w:instrText>
      </w:r>
      <w:r>
        <w:rPr>
          <w:noProof/>
        </w:rPr>
      </w:r>
      <w:r>
        <w:rPr>
          <w:noProof/>
        </w:rPr>
        <w:fldChar w:fldCharType="separate"/>
      </w:r>
      <w:r w:rsidR="00475EE3">
        <w:rPr>
          <w:noProof/>
        </w:rPr>
        <w:t>53</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7.4.1 Factors influencing Pharmaceutical Benefits Advisory Group decision making</w:t>
      </w:r>
      <w:r>
        <w:rPr>
          <w:noProof/>
        </w:rPr>
        <w:tab/>
      </w:r>
      <w:r>
        <w:rPr>
          <w:noProof/>
        </w:rPr>
        <w:fldChar w:fldCharType="begin"/>
      </w:r>
      <w:r>
        <w:rPr>
          <w:noProof/>
        </w:rPr>
        <w:instrText xml:space="preserve"> PAGEREF _Toc302625616 \h </w:instrText>
      </w:r>
      <w:r>
        <w:rPr>
          <w:noProof/>
        </w:rPr>
      </w:r>
      <w:r>
        <w:rPr>
          <w:noProof/>
        </w:rPr>
        <w:fldChar w:fldCharType="separate"/>
      </w:r>
      <w:r w:rsidR="00475EE3">
        <w:rPr>
          <w:noProof/>
        </w:rPr>
        <w:t>53</w:t>
      </w:r>
      <w:r>
        <w:rPr>
          <w:noProof/>
        </w:rPr>
        <w:fldChar w:fldCharType="end"/>
      </w:r>
    </w:p>
    <w:p w:rsidR="00910D6B" w:rsidRDefault="00910D6B">
      <w:pPr>
        <w:pStyle w:val="TOC2"/>
        <w:tabs>
          <w:tab w:val="right" w:leader="dot" w:pos="9016"/>
        </w:tabs>
        <w:rPr>
          <w:rFonts w:eastAsiaTheme="minorEastAsia"/>
          <w:noProof/>
          <w:szCs w:val="24"/>
          <w:lang w:eastAsia="ja-JP"/>
        </w:rPr>
      </w:pPr>
      <w:r>
        <w:rPr>
          <w:noProof/>
        </w:rPr>
        <w:t>7.5. Measuring disease burden</w:t>
      </w:r>
      <w:r>
        <w:rPr>
          <w:noProof/>
        </w:rPr>
        <w:tab/>
      </w:r>
      <w:r>
        <w:rPr>
          <w:noProof/>
        </w:rPr>
        <w:fldChar w:fldCharType="begin"/>
      </w:r>
      <w:r>
        <w:rPr>
          <w:noProof/>
        </w:rPr>
        <w:instrText xml:space="preserve"> PAGEREF _Toc302625617 \h </w:instrText>
      </w:r>
      <w:r>
        <w:rPr>
          <w:noProof/>
        </w:rPr>
      </w:r>
      <w:r>
        <w:rPr>
          <w:noProof/>
        </w:rPr>
        <w:fldChar w:fldCharType="separate"/>
      </w:r>
      <w:r w:rsidR="00475EE3">
        <w:rPr>
          <w:noProof/>
        </w:rPr>
        <w:t>54</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7.5.1 Quality-adjusted life years</w:t>
      </w:r>
      <w:r>
        <w:rPr>
          <w:noProof/>
        </w:rPr>
        <w:tab/>
      </w:r>
      <w:r>
        <w:rPr>
          <w:noProof/>
        </w:rPr>
        <w:fldChar w:fldCharType="begin"/>
      </w:r>
      <w:r>
        <w:rPr>
          <w:noProof/>
        </w:rPr>
        <w:instrText xml:space="preserve"> PAGEREF _Toc302625618 \h </w:instrText>
      </w:r>
      <w:r>
        <w:rPr>
          <w:noProof/>
        </w:rPr>
      </w:r>
      <w:r>
        <w:rPr>
          <w:noProof/>
        </w:rPr>
        <w:fldChar w:fldCharType="separate"/>
      </w:r>
      <w:r w:rsidR="00475EE3">
        <w:rPr>
          <w:noProof/>
        </w:rPr>
        <w:t>54</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t>7.5.2 Quality of life</w:t>
      </w:r>
      <w:r>
        <w:rPr>
          <w:noProof/>
        </w:rPr>
        <w:tab/>
      </w:r>
      <w:r>
        <w:rPr>
          <w:noProof/>
        </w:rPr>
        <w:fldChar w:fldCharType="begin"/>
      </w:r>
      <w:r>
        <w:rPr>
          <w:noProof/>
        </w:rPr>
        <w:instrText xml:space="preserve"> PAGEREF _Toc302625619 \h </w:instrText>
      </w:r>
      <w:r>
        <w:rPr>
          <w:noProof/>
        </w:rPr>
      </w:r>
      <w:r>
        <w:rPr>
          <w:noProof/>
        </w:rPr>
        <w:fldChar w:fldCharType="separate"/>
      </w:r>
      <w:r w:rsidR="00475EE3">
        <w:rPr>
          <w:noProof/>
        </w:rPr>
        <w:t>55</w:t>
      </w:r>
      <w:r>
        <w:rPr>
          <w:noProof/>
        </w:rPr>
        <w:fldChar w:fldCharType="end"/>
      </w:r>
    </w:p>
    <w:p w:rsidR="00910D6B" w:rsidRDefault="00910D6B">
      <w:pPr>
        <w:pStyle w:val="TOC2"/>
        <w:tabs>
          <w:tab w:val="right" w:leader="dot" w:pos="9016"/>
        </w:tabs>
        <w:rPr>
          <w:rFonts w:eastAsiaTheme="minorEastAsia"/>
          <w:noProof/>
          <w:szCs w:val="24"/>
          <w:lang w:eastAsia="ja-JP"/>
        </w:rPr>
      </w:pPr>
      <w:r>
        <w:rPr>
          <w:noProof/>
        </w:rPr>
        <w:t>7.6 Pharmaceutical Benefits Advisory Committee rule of rescue and Medicines for Rare Diseases Programme criteria</w:t>
      </w:r>
      <w:r>
        <w:rPr>
          <w:noProof/>
        </w:rPr>
        <w:tab/>
      </w:r>
      <w:r>
        <w:rPr>
          <w:noProof/>
        </w:rPr>
        <w:fldChar w:fldCharType="begin"/>
      </w:r>
      <w:r>
        <w:rPr>
          <w:noProof/>
        </w:rPr>
        <w:instrText xml:space="preserve"> PAGEREF _Toc302625620 \h </w:instrText>
      </w:r>
      <w:r>
        <w:rPr>
          <w:noProof/>
        </w:rPr>
      </w:r>
      <w:r>
        <w:rPr>
          <w:noProof/>
        </w:rPr>
        <w:fldChar w:fldCharType="separate"/>
      </w:r>
      <w:r w:rsidR="00475EE3">
        <w:rPr>
          <w:noProof/>
        </w:rPr>
        <w:t>55</w:t>
      </w:r>
      <w:r>
        <w:rPr>
          <w:noProof/>
        </w:rPr>
        <w:fldChar w:fldCharType="end"/>
      </w:r>
    </w:p>
    <w:p w:rsidR="00910D6B" w:rsidRDefault="00910D6B">
      <w:pPr>
        <w:pStyle w:val="TOC2"/>
        <w:tabs>
          <w:tab w:val="right" w:leader="dot" w:pos="9016"/>
        </w:tabs>
        <w:rPr>
          <w:rFonts w:eastAsiaTheme="minorEastAsia"/>
          <w:noProof/>
          <w:szCs w:val="24"/>
          <w:lang w:eastAsia="ja-JP"/>
        </w:rPr>
      </w:pPr>
      <w:r>
        <w:rPr>
          <w:noProof/>
        </w:rPr>
        <w:t>7.7 Data collection framework</w:t>
      </w:r>
      <w:r>
        <w:rPr>
          <w:noProof/>
        </w:rPr>
        <w:tab/>
      </w:r>
      <w:r>
        <w:rPr>
          <w:noProof/>
        </w:rPr>
        <w:fldChar w:fldCharType="begin"/>
      </w:r>
      <w:r>
        <w:rPr>
          <w:noProof/>
        </w:rPr>
        <w:instrText xml:space="preserve"> PAGEREF _Toc302625621 \h </w:instrText>
      </w:r>
      <w:r>
        <w:rPr>
          <w:noProof/>
        </w:rPr>
      </w:r>
      <w:r>
        <w:rPr>
          <w:noProof/>
        </w:rPr>
        <w:fldChar w:fldCharType="separate"/>
      </w:r>
      <w:r w:rsidR="00475EE3">
        <w:rPr>
          <w:noProof/>
        </w:rPr>
        <w:t>57</w:t>
      </w:r>
      <w:r>
        <w:rPr>
          <w:noProof/>
        </w:rPr>
        <w:fldChar w:fldCharType="end"/>
      </w:r>
    </w:p>
    <w:p w:rsidR="00910D6B" w:rsidRDefault="00910D6B">
      <w:pPr>
        <w:pStyle w:val="TOC3"/>
        <w:tabs>
          <w:tab w:val="right" w:leader="dot" w:pos="9016"/>
        </w:tabs>
        <w:rPr>
          <w:rFonts w:eastAsiaTheme="minorEastAsia"/>
          <w:noProof/>
          <w:szCs w:val="24"/>
          <w:lang w:eastAsia="ja-JP"/>
        </w:rPr>
      </w:pPr>
      <w:r>
        <w:rPr>
          <w:noProof/>
        </w:rPr>
        <w:lastRenderedPageBreak/>
        <w:t>7.7.1 Need for data collection</w:t>
      </w:r>
      <w:r>
        <w:rPr>
          <w:noProof/>
        </w:rPr>
        <w:tab/>
      </w:r>
      <w:r>
        <w:rPr>
          <w:noProof/>
        </w:rPr>
        <w:fldChar w:fldCharType="begin"/>
      </w:r>
      <w:r>
        <w:rPr>
          <w:noProof/>
        </w:rPr>
        <w:instrText xml:space="preserve"> PAGEREF _Toc302625622 \h </w:instrText>
      </w:r>
      <w:r>
        <w:rPr>
          <w:noProof/>
        </w:rPr>
      </w:r>
      <w:r>
        <w:rPr>
          <w:noProof/>
        </w:rPr>
        <w:fldChar w:fldCharType="separate"/>
      </w:r>
      <w:r w:rsidR="00475EE3">
        <w:rPr>
          <w:noProof/>
        </w:rPr>
        <w:t>57</w:t>
      </w:r>
      <w:r>
        <w:rPr>
          <w:noProof/>
        </w:rPr>
        <w:fldChar w:fldCharType="end"/>
      </w:r>
    </w:p>
    <w:p w:rsidR="00910D6B" w:rsidRDefault="00910D6B">
      <w:pPr>
        <w:pStyle w:val="TOC3"/>
        <w:tabs>
          <w:tab w:val="right" w:leader="dot" w:pos="9016"/>
        </w:tabs>
        <w:rPr>
          <w:rFonts w:eastAsiaTheme="minorEastAsia"/>
          <w:noProof/>
          <w:szCs w:val="24"/>
          <w:lang w:eastAsia="ja-JP"/>
        </w:rPr>
      </w:pPr>
      <w:r>
        <w:rPr>
          <w:noProof/>
          <w:lang w:eastAsia="en-AU"/>
        </w:rPr>
        <w:t>7.7.2 Drug surveillance registry or rare diseases registry</w:t>
      </w:r>
      <w:r>
        <w:rPr>
          <w:noProof/>
        </w:rPr>
        <w:tab/>
      </w:r>
      <w:r>
        <w:rPr>
          <w:noProof/>
        </w:rPr>
        <w:fldChar w:fldCharType="begin"/>
      </w:r>
      <w:r>
        <w:rPr>
          <w:noProof/>
        </w:rPr>
        <w:instrText xml:space="preserve"> PAGEREF _Toc302625623 \h </w:instrText>
      </w:r>
      <w:r>
        <w:rPr>
          <w:noProof/>
        </w:rPr>
      </w:r>
      <w:r>
        <w:rPr>
          <w:noProof/>
        </w:rPr>
        <w:fldChar w:fldCharType="separate"/>
      </w:r>
      <w:r w:rsidR="00475EE3">
        <w:rPr>
          <w:noProof/>
        </w:rPr>
        <w:t>58</w:t>
      </w:r>
      <w:r>
        <w:rPr>
          <w:noProof/>
        </w:rPr>
        <w:fldChar w:fldCharType="end"/>
      </w:r>
    </w:p>
    <w:p w:rsidR="00910D6B" w:rsidRDefault="00910D6B">
      <w:pPr>
        <w:pStyle w:val="TOC1"/>
        <w:tabs>
          <w:tab w:val="right" w:leader="dot" w:pos="9016"/>
        </w:tabs>
        <w:rPr>
          <w:rFonts w:eastAsiaTheme="minorEastAsia"/>
          <w:noProof/>
          <w:szCs w:val="24"/>
          <w:lang w:eastAsia="ja-JP"/>
        </w:rPr>
      </w:pPr>
      <w:r>
        <w:rPr>
          <w:noProof/>
          <w:lang w:eastAsia="en-AU"/>
        </w:rPr>
        <w:t>Section 8: Proposed administration of the Life Saving Drugs Programme</w:t>
      </w:r>
      <w:r>
        <w:rPr>
          <w:noProof/>
        </w:rPr>
        <w:tab/>
      </w:r>
      <w:r>
        <w:rPr>
          <w:noProof/>
        </w:rPr>
        <w:fldChar w:fldCharType="begin"/>
      </w:r>
      <w:r>
        <w:rPr>
          <w:noProof/>
        </w:rPr>
        <w:instrText xml:space="preserve"> PAGEREF _Toc302625624 \h </w:instrText>
      </w:r>
      <w:r>
        <w:rPr>
          <w:noProof/>
        </w:rPr>
      </w:r>
      <w:r>
        <w:rPr>
          <w:noProof/>
        </w:rPr>
        <w:fldChar w:fldCharType="separate"/>
      </w:r>
      <w:r w:rsidR="00475EE3">
        <w:rPr>
          <w:noProof/>
        </w:rPr>
        <w:t>62</w:t>
      </w:r>
      <w:r>
        <w:rPr>
          <w:noProof/>
        </w:rPr>
        <w:fldChar w:fldCharType="end"/>
      </w:r>
    </w:p>
    <w:p w:rsidR="00910D6B" w:rsidRDefault="00910D6B">
      <w:pPr>
        <w:pStyle w:val="TOC2"/>
        <w:tabs>
          <w:tab w:val="right" w:leader="dot" w:pos="9016"/>
        </w:tabs>
        <w:rPr>
          <w:rFonts w:eastAsiaTheme="minorEastAsia"/>
          <w:noProof/>
          <w:szCs w:val="24"/>
          <w:lang w:eastAsia="ja-JP"/>
        </w:rPr>
      </w:pPr>
      <w:r>
        <w:rPr>
          <w:noProof/>
        </w:rPr>
        <w:t>8.1</w:t>
      </w:r>
      <w:r>
        <w:rPr>
          <w:noProof/>
          <w:lang w:eastAsia="en-AU"/>
        </w:rPr>
        <w:t>. Steps to transforming the Life Saving Drugs Programme into a section 100 Medicines for Rare Diseases Programme</w:t>
      </w:r>
      <w:r>
        <w:rPr>
          <w:noProof/>
        </w:rPr>
        <w:tab/>
      </w:r>
      <w:r>
        <w:rPr>
          <w:noProof/>
        </w:rPr>
        <w:fldChar w:fldCharType="begin"/>
      </w:r>
      <w:r>
        <w:rPr>
          <w:noProof/>
        </w:rPr>
        <w:instrText xml:space="preserve"> PAGEREF _Toc302625625 \h </w:instrText>
      </w:r>
      <w:r>
        <w:rPr>
          <w:noProof/>
        </w:rPr>
      </w:r>
      <w:r>
        <w:rPr>
          <w:noProof/>
        </w:rPr>
        <w:fldChar w:fldCharType="separate"/>
      </w:r>
      <w:r w:rsidR="00475EE3">
        <w:rPr>
          <w:noProof/>
        </w:rPr>
        <w:t>63</w:t>
      </w:r>
      <w:r>
        <w:rPr>
          <w:noProof/>
        </w:rPr>
        <w:fldChar w:fldCharType="end"/>
      </w:r>
    </w:p>
    <w:p w:rsidR="00910D6B" w:rsidRDefault="00910D6B">
      <w:pPr>
        <w:pStyle w:val="TOC2"/>
        <w:tabs>
          <w:tab w:val="right" w:leader="dot" w:pos="9016"/>
        </w:tabs>
        <w:rPr>
          <w:rFonts w:eastAsiaTheme="minorEastAsia"/>
          <w:noProof/>
          <w:szCs w:val="24"/>
          <w:lang w:eastAsia="ja-JP"/>
        </w:rPr>
      </w:pPr>
      <w:r>
        <w:rPr>
          <w:noProof/>
          <w:lang w:eastAsia="en-AU"/>
        </w:rPr>
        <w:t>8.2. Integrating the section 100 Medicines for Rare Diseases Programme into the Pharmaceutical Benefits Advisory Committee process</w:t>
      </w:r>
      <w:r>
        <w:rPr>
          <w:noProof/>
        </w:rPr>
        <w:tab/>
      </w:r>
      <w:r>
        <w:rPr>
          <w:noProof/>
        </w:rPr>
        <w:fldChar w:fldCharType="begin"/>
      </w:r>
      <w:r>
        <w:rPr>
          <w:noProof/>
        </w:rPr>
        <w:instrText xml:space="preserve"> PAGEREF _Toc302625626 \h </w:instrText>
      </w:r>
      <w:r>
        <w:rPr>
          <w:noProof/>
        </w:rPr>
      </w:r>
      <w:r>
        <w:rPr>
          <w:noProof/>
        </w:rPr>
        <w:fldChar w:fldCharType="separate"/>
      </w:r>
      <w:r w:rsidR="00475EE3">
        <w:rPr>
          <w:noProof/>
        </w:rPr>
        <w:t>63</w:t>
      </w:r>
      <w:r>
        <w:rPr>
          <w:noProof/>
        </w:rPr>
        <w:fldChar w:fldCharType="end"/>
      </w:r>
    </w:p>
    <w:p w:rsidR="00910D6B" w:rsidRDefault="00910D6B">
      <w:pPr>
        <w:pStyle w:val="TOC1"/>
        <w:tabs>
          <w:tab w:val="right" w:leader="dot" w:pos="9016"/>
        </w:tabs>
        <w:rPr>
          <w:rFonts w:eastAsiaTheme="minorEastAsia"/>
          <w:noProof/>
          <w:szCs w:val="24"/>
          <w:lang w:eastAsia="ja-JP"/>
        </w:rPr>
      </w:pPr>
      <w:r>
        <w:rPr>
          <w:noProof/>
          <w:lang w:eastAsia="en-AU"/>
        </w:rPr>
        <w:t>Appendices</w:t>
      </w:r>
      <w:r>
        <w:rPr>
          <w:noProof/>
        </w:rPr>
        <w:tab/>
      </w:r>
      <w:r>
        <w:rPr>
          <w:noProof/>
        </w:rPr>
        <w:fldChar w:fldCharType="begin"/>
      </w:r>
      <w:r>
        <w:rPr>
          <w:noProof/>
        </w:rPr>
        <w:instrText xml:space="preserve"> PAGEREF _Toc302625627 \h </w:instrText>
      </w:r>
      <w:r>
        <w:rPr>
          <w:noProof/>
        </w:rPr>
      </w:r>
      <w:r>
        <w:rPr>
          <w:noProof/>
        </w:rPr>
        <w:fldChar w:fldCharType="separate"/>
      </w:r>
      <w:r w:rsidR="00475EE3">
        <w:rPr>
          <w:noProof/>
        </w:rPr>
        <w:t>64</w:t>
      </w:r>
      <w:r>
        <w:rPr>
          <w:noProof/>
        </w:rPr>
        <w:fldChar w:fldCharType="end"/>
      </w:r>
    </w:p>
    <w:p w:rsidR="00910D6B" w:rsidRDefault="00910D6B">
      <w:pPr>
        <w:pStyle w:val="TOC1"/>
        <w:tabs>
          <w:tab w:val="right" w:leader="dot" w:pos="9016"/>
        </w:tabs>
        <w:rPr>
          <w:rFonts w:eastAsiaTheme="minorEastAsia"/>
          <w:noProof/>
          <w:szCs w:val="24"/>
          <w:lang w:eastAsia="ja-JP"/>
        </w:rPr>
      </w:pPr>
      <w:r>
        <w:rPr>
          <w:noProof/>
          <w:lang w:eastAsia="en-AU"/>
        </w:rPr>
        <w:t>References</w:t>
      </w:r>
      <w:r>
        <w:rPr>
          <w:noProof/>
        </w:rPr>
        <w:tab/>
      </w:r>
      <w:r>
        <w:rPr>
          <w:noProof/>
        </w:rPr>
        <w:fldChar w:fldCharType="begin"/>
      </w:r>
      <w:r>
        <w:rPr>
          <w:noProof/>
        </w:rPr>
        <w:instrText xml:space="preserve"> PAGEREF _Toc302625628 \h </w:instrText>
      </w:r>
      <w:r>
        <w:rPr>
          <w:noProof/>
        </w:rPr>
      </w:r>
      <w:r>
        <w:rPr>
          <w:noProof/>
        </w:rPr>
        <w:fldChar w:fldCharType="separate"/>
      </w:r>
      <w:r w:rsidR="00475EE3">
        <w:rPr>
          <w:noProof/>
        </w:rPr>
        <w:t>65</w:t>
      </w:r>
      <w:r>
        <w:rPr>
          <w:noProof/>
        </w:rPr>
        <w:fldChar w:fldCharType="end"/>
      </w:r>
    </w:p>
    <w:p w:rsidR="00910D6B" w:rsidRDefault="00910D6B">
      <w:pPr>
        <w:pStyle w:val="TOC1"/>
        <w:tabs>
          <w:tab w:val="right" w:leader="dot" w:pos="9016"/>
        </w:tabs>
        <w:rPr>
          <w:rFonts w:eastAsiaTheme="minorEastAsia"/>
          <w:noProof/>
          <w:szCs w:val="24"/>
          <w:lang w:eastAsia="ja-JP"/>
        </w:rPr>
      </w:pPr>
      <w:r>
        <w:rPr>
          <w:noProof/>
          <w:lang w:eastAsia="en-AU"/>
        </w:rPr>
        <w:t>Abbreviations</w:t>
      </w:r>
      <w:r>
        <w:rPr>
          <w:noProof/>
        </w:rPr>
        <w:tab/>
      </w:r>
      <w:r>
        <w:rPr>
          <w:noProof/>
        </w:rPr>
        <w:fldChar w:fldCharType="begin"/>
      </w:r>
      <w:r>
        <w:rPr>
          <w:noProof/>
        </w:rPr>
        <w:instrText xml:space="preserve"> PAGEREF _Toc302625629 \h </w:instrText>
      </w:r>
      <w:r>
        <w:rPr>
          <w:noProof/>
        </w:rPr>
      </w:r>
      <w:r>
        <w:rPr>
          <w:noProof/>
        </w:rPr>
        <w:fldChar w:fldCharType="separate"/>
      </w:r>
      <w:r w:rsidR="00475EE3">
        <w:rPr>
          <w:noProof/>
        </w:rPr>
        <w:t>67</w:t>
      </w:r>
      <w:r>
        <w:rPr>
          <w:noProof/>
        </w:rPr>
        <w:fldChar w:fldCharType="end"/>
      </w:r>
    </w:p>
    <w:p w:rsidR="00806285" w:rsidRPr="00FA1BCF" w:rsidRDefault="000A5595">
      <w:pPr>
        <w:spacing w:after="200" w:line="276" w:lineRule="auto"/>
        <w:rPr>
          <w:rFonts w:eastAsia="Times New Roman" w:cs="Times New Roman"/>
          <w:b/>
          <w:sz w:val="40"/>
          <w:szCs w:val="40"/>
          <w:lang w:eastAsia="en-AU"/>
        </w:rPr>
      </w:pPr>
      <w:r>
        <w:rPr>
          <w:rFonts w:eastAsia="Times New Roman" w:cs="Times New Roman"/>
          <w:b/>
          <w:sz w:val="40"/>
          <w:szCs w:val="40"/>
          <w:lang w:eastAsia="en-AU"/>
        </w:rPr>
        <w:fldChar w:fldCharType="end"/>
      </w:r>
      <w:r w:rsidR="00806285" w:rsidRPr="00FA1BCF">
        <w:rPr>
          <w:rFonts w:eastAsia="Times New Roman" w:cs="Times New Roman"/>
          <w:b/>
          <w:sz w:val="40"/>
          <w:szCs w:val="40"/>
          <w:lang w:eastAsia="en-AU"/>
        </w:rPr>
        <w:br w:type="page"/>
      </w:r>
    </w:p>
    <w:p w:rsidR="00CC79FE" w:rsidRPr="00FA1BCF" w:rsidRDefault="00CC79FE" w:rsidP="00E436E7">
      <w:pPr>
        <w:pStyle w:val="Heading1"/>
        <w:rPr>
          <w:lang w:eastAsia="en-AU"/>
        </w:rPr>
      </w:pPr>
      <w:bookmarkStart w:id="4" w:name="_Toc302625562"/>
      <w:r w:rsidRPr="00FA1BCF">
        <w:rPr>
          <w:lang w:eastAsia="en-AU"/>
        </w:rPr>
        <w:lastRenderedPageBreak/>
        <w:t xml:space="preserve">Section 1: </w:t>
      </w:r>
      <w:r w:rsidR="00090196" w:rsidRPr="00FA1BCF">
        <w:t>Life Saving Drugs Programme Post</w:t>
      </w:r>
      <w:r w:rsidR="00090196" w:rsidRPr="00FA1BCF" w:rsidDel="003517E0">
        <w:rPr>
          <w:lang w:eastAsia="en-AU"/>
        </w:rPr>
        <w:t xml:space="preserve"> </w:t>
      </w:r>
      <w:r w:rsidR="00090196" w:rsidRPr="00FA1BCF">
        <w:rPr>
          <w:lang w:eastAsia="en-AU"/>
        </w:rPr>
        <w:t xml:space="preserve">Market </w:t>
      </w:r>
      <w:r w:rsidRPr="00FA1BCF">
        <w:rPr>
          <w:lang w:eastAsia="en-AU"/>
        </w:rPr>
        <w:t xml:space="preserve">Review </w:t>
      </w:r>
      <w:r w:rsidR="003517E0" w:rsidRPr="00FA1BCF">
        <w:rPr>
          <w:lang w:eastAsia="en-AU"/>
        </w:rPr>
        <w:t>t</w:t>
      </w:r>
      <w:r w:rsidRPr="00FA1BCF">
        <w:rPr>
          <w:lang w:eastAsia="en-AU"/>
        </w:rPr>
        <w:t xml:space="preserve">erms of </w:t>
      </w:r>
      <w:r w:rsidR="003517E0" w:rsidRPr="00FA1BCF">
        <w:rPr>
          <w:lang w:eastAsia="en-AU"/>
        </w:rPr>
        <w:t>r</w:t>
      </w:r>
      <w:r w:rsidRPr="00FA1BCF">
        <w:rPr>
          <w:lang w:eastAsia="en-AU"/>
        </w:rPr>
        <w:t>eference</w:t>
      </w:r>
      <w:bookmarkEnd w:id="4"/>
    </w:p>
    <w:p w:rsidR="00CC79FE" w:rsidRPr="00FA1BCF" w:rsidRDefault="00CC79FE" w:rsidP="00E436E7">
      <w:pPr>
        <w:ind w:left="720" w:hanging="720"/>
        <w:rPr>
          <w:rFonts w:eastAsia="Times New Roman" w:cs="Times New Roman"/>
          <w:szCs w:val="24"/>
          <w:lang w:eastAsia="en-AU"/>
        </w:rPr>
      </w:pPr>
      <w:r w:rsidRPr="00FA1BCF">
        <w:rPr>
          <w:rFonts w:eastAsia="Times New Roman" w:cs="Times New Roman"/>
          <w:szCs w:val="24"/>
          <w:lang w:eastAsia="en-AU"/>
        </w:rPr>
        <w:t xml:space="preserve">1. </w:t>
      </w:r>
      <w:r w:rsidRPr="00FA1BCF">
        <w:rPr>
          <w:rFonts w:eastAsia="Times New Roman" w:cs="Times New Roman"/>
          <w:szCs w:val="24"/>
          <w:lang w:eastAsia="en-AU"/>
        </w:rPr>
        <w:tab/>
        <w:t xml:space="preserve">Review the clinical effectiveness and safety of medicines currently subsidised through the LSDP. </w:t>
      </w:r>
    </w:p>
    <w:p w:rsidR="00CC79FE" w:rsidRPr="00FA1BCF" w:rsidRDefault="00CC79FE" w:rsidP="00E436E7">
      <w:pPr>
        <w:ind w:left="720" w:hanging="720"/>
        <w:rPr>
          <w:rFonts w:eastAsia="Times New Roman" w:cs="Times New Roman"/>
          <w:szCs w:val="24"/>
          <w:lang w:eastAsia="en-AU"/>
        </w:rPr>
      </w:pPr>
      <w:r w:rsidRPr="00FA1BCF">
        <w:rPr>
          <w:rFonts w:eastAsia="Times New Roman" w:cs="Times New Roman"/>
          <w:szCs w:val="24"/>
          <w:lang w:eastAsia="en-AU"/>
        </w:rPr>
        <w:t>2.</w:t>
      </w:r>
      <w:r w:rsidR="00B56F35" w:rsidRPr="00FA1BCF">
        <w:rPr>
          <w:rFonts w:eastAsia="Times New Roman" w:cs="Times New Roman"/>
          <w:szCs w:val="24"/>
          <w:lang w:eastAsia="en-AU"/>
        </w:rPr>
        <w:t xml:space="preserve"> </w:t>
      </w:r>
      <w:r w:rsidRPr="00FA1BCF">
        <w:rPr>
          <w:rFonts w:eastAsia="Times New Roman" w:cs="Times New Roman"/>
          <w:szCs w:val="24"/>
          <w:lang w:eastAsia="en-AU"/>
        </w:rPr>
        <w:tab/>
        <w:t xml:space="preserve">Review emerging clinical treatments and diseases, including those that identify </w:t>
      </w:r>
      <w:r w:rsidR="00F442B9" w:rsidRPr="00FA1BCF">
        <w:rPr>
          <w:rFonts w:eastAsia="Times New Roman" w:cs="Times New Roman"/>
          <w:szCs w:val="24"/>
          <w:lang w:eastAsia="en-AU"/>
        </w:rPr>
        <w:t>subgroup</w:t>
      </w:r>
      <w:r w:rsidRPr="00FA1BCF">
        <w:rPr>
          <w:rFonts w:eastAsia="Times New Roman" w:cs="Times New Roman"/>
          <w:szCs w:val="24"/>
          <w:lang w:eastAsia="en-AU"/>
        </w:rPr>
        <w:t xml:space="preserve">s by molecular target, which could potentially seek subsidisation through the LSDP in the future. </w:t>
      </w:r>
    </w:p>
    <w:p w:rsidR="00CC79FE" w:rsidRPr="00FA1BCF" w:rsidRDefault="00CC79FE" w:rsidP="00E436E7">
      <w:pPr>
        <w:ind w:left="720" w:hanging="720"/>
        <w:rPr>
          <w:rFonts w:eastAsia="Times New Roman" w:cs="Times New Roman"/>
          <w:szCs w:val="24"/>
          <w:lang w:eastAsia="en-AU"/>
        </w:rPr>
      </w:pPr>
      <w:r w:rsidRPr="00FA1BCF">
        <w:rPr>
          <w:rFonts w:eastAsia="Times New Roman" w:cs="Times New Roman"/>
          <w:szCs w:val="24"/>
          <w:lang w:eastAsia="en-AU"/>
        </w:rPr>
        <w:t xml:space="preserve">3. </w:t>
      </w:r>
      <w:r w:rsidRPr="00FA1BCF">
        <w:rPr>
          <w:rFonts w:eastAsia="Times New Roman" w:cs="Times New Roman"/>
          <w:szCs w:val="24"/>
          <w:lang w:eastAsia="en-AU"/>
        </w:rPr>
        <w:tab/>
        <w:t xml:space="preserve">Conduct an international comparison of subsidisation of </w:t>
      </w:r>
      <w:r w:rsidR="00A26B5E" w:rsidRPr="00FA1BCF">
        <w:rPr>
          <w:rFonts w:eastAsia="Times New Roman" w:cs="Times New Roman"/>
          <w:szCs w:val="24"/>
          <w:lang w:eastAsia="en-AU"/>
        </w:rPr>
        <w:t xml:space="preserve">medicines </w:t>
      </w:r>
      <w:r w:rsidRPr="00FA1BCF">
        <w:rPr>
          <w:rFonts w:eastAsia="Times New Roman" w:cs="Times New Roman"/>
          <w:szCs w:val="24"/>
          <w:lang w:eastAsia="en-AU"/>
        </w:rPr>
        <w:t xml:space="preserve">for rare diseases and the definitions for a rare/ultra-rare disease. </w:t>
      </w:r>
    </w:p>
    <w:p w:rsidR="00CC79FE" w:rsidRPr="00FA1BCF" w:rsidRDefault="00CC79FE" w:rsidP="00E436E7">
      <w:pPr>
        <w:ind w:left="720" w:hanging="720"/>
        <w:rPr>
          <w:rFonts w:eastAsia="Times New Roman" w:cs="Times New Roman"/>
          <w:szCs w:val="24"/>
          <w:lang w:eastAsia="en-AU"/>
        </w:rPr>
      </w:pPr>
      <w:r w:rsidRPr="00FA1BCF">
        <w:rPr>
          <w:rFonts w:eastAsia="Times New Roman" w:cs="Times New Roman"/>
          <w:szCs w:val="24"/>
          <w:lang w:eastAsia="en-AU"/>
        </w:rPr>
        <w:t xml:space="preserve">4. </w:t>
      </w:r>
      <w:r w:rsidRPr="00FA1BCF">
        <w:rPr>
          <w:rFonts w:eastAsia="Times New Roman" w:cs="Times New Roman"/>
          <w:szCs w:val="24"/>
          <w:lang w:eastAsia="en-AU"/>
        </w:rPr>
        <w:tab/>
        <w:t xml:space="preserve">Compare the subsidisation and equity principles of the Pharmaceutical Benefits Scheme and the LSDP. </w:t>
      </w:r>
    </w:p>
    <w:p w:rsidR="00CC79FE" w:rsidRPr="00FA1BCF" w:rsidRDefault="00CC79FE" w:rsidP="00E436E7">
      <w:pPr>
        <w:ind w:left="720" w:hanging="720"/>
        <w:rPr>
          <w:rFonts w:eastAsia="Times New Roman" w:cs="Times New Roman"/>
          <w:szCs w:val="24"/>
          <w:lang w:eastAsia="en-AU"/>
        </w:rPr>
      </w:pPr>
      <w:r w:rsidRPr="00FA1BCF">
        <w:rPr>
          <w:rFonts w:eastAsia="Times New Roman" w:cs="Times New Roman"/>
          <w:szCs w:val="24"/>
          <w:lang w:eastAsia="en-AU"/>
        </w:rPr>
        <w:t>5.</w:t>
      </w:r>
      <w:r w:rsidR="00B56F35" w:rsidRPr="00FA1BCF">
        <w:rPr>
          <w:rFonts w:eastAsia="Times New Roman" w:cs="Times New Roman"/>
          <w:szCs w:val="24"/>
          <w:lang w:eastAsia="en-AU"/>
        </w:rPr>
        <w:t xml:space="preserve"> </w:t>
      </w:r>
      <w:r w:rsidRPr="00FA1BCF">
        <w:rPr>
          <w:rFonts w:eastAsia="Times New Roman" w:cs="Times New Roman"/>
          <w:szCs w:val="24"/>
          <w:lang w:eastAsia="en-AU"/>
        </w:rPr>
        <w:tab/>
        <w:t>Assess the value for money of the medicines subsidised on the LSDP by evaluating the benefit of each drug’s treatment outcomes, including in terms of quality of life achieved through the programme, and their cost.</w:t>
      </w:r>
      <w:r w:rsidR="00B56F35" w:rsidRPr="00FA1BCF">
        <w:rPr>
          <w:rFonts w:eastAsia="Times New Roman" w:cs="Times New Roman"/>
          <w:szCs w:val="24"/>
          <w:lang w:eastAsia="en-AU"/>
        </w:rPr>
        <w:t xml:space="preserve"> </w:t>
      </w:r>
    </w:p>
    <w:p w:rsidR="00CC79FE" w:rsidRPr="00FA1BCF" w:rsidRDefault="00CC79FE" w:rsidP="00E436E7">
      <w:pPr>
        <w:ind w:left="720" w:hanging="720"/>
        <w:rPr>
          <w:rFonts w:eastAsia="Times New Roman" w:cs="Times New Roman"/>
          <w:szCs w:val="24"/>
          <w:lang w:eastAsia="en-AU"/>
        </w:rPr>
      </w:pPr>
      <w:r w:rsidRPr="00FA1BCF">
        <w:rPr>
          <w:rFonts w:eastAsia="Times New Roman" w:cs="Times New Roman"/>
          <w:szCs w:val="24"/>
          <w:lang w:eastAsia="en-AU"/>
        </w:rPr>
        <w:t xml:space="preserve">6. </w:t>
      </w:r>
      <w:r w:rsidRPr="00FA1BCF">
        <w:rPr>
          <w:rFonts w:eastAsia="Times New Roman" w:cs="Times New Roman"/>
          <w:szCs w:val="24"/>
          <w:lang w:eastAsia="en-AU"/>
        </w:rPr>
        <w:tab/>
        <w:t xml:space="preserve">Review the administration of the LSDP, including the Guidelines with which the programme is administered for each condition, and assess alternative administration systems. </w:t>
      </w:r>
    </w:p>
    <w:p w:rsidR="00CC79FE" w:rsidRPr="00FA1BCF" w:rsidRDefault="00CC79FE" w:rsidP="00E436E7">
      <w:pPr>
        <w:spacing w:after="0"/>
        <w:ind w:left="720" w:hanging="720"/>
        <w:rPr>
          <w:rFonts w:ascii="Calibri" w:eastAsia="Times New Roman" w:hAnsi="Calibri" w:cs="Times New Roman"/>
          <w:b/>
          <w:color w:val="000000"/>
          <w:sz w:val="28"/>
          <w:szCs w:val="28"/>
          <w:vertAlign w:val="superscript"/>
          <w:lang w:eastAsia="en-AU"/>
        </w:rPr>
      </w:pPr>
      <w:r w:rsidRPr="00FA1BCF">
        <w:rPr>
          <w:rFonts w:eastAsia="Times New Roman" w:cs="Times New Roman"/>
          <w:szCs w:val="24"/>
          <w:lang w:eastAsia="en-AU"/>
        </w:rPr>
        <w:t xml:space="preserve">7. </w:t>
      </w:r>
      <w:r w:rsidRPr="00FA1BCF">
        <w:rPr>
          <w:rFonts w:eastAsia="Times New Roman" w:cs="Times New Roman"/>
          <w:szCs w:val="24"/>
          <w:lang w:eastAsia="en-AU"/>
        </w:rPr>
        <w:tab/>
        <w:t>Establish a framework for data collection on rare diseases in Australia and assess how this could function internationally.</w:t>
      </w:r>
    </w:p>
    <w:p w:rsidR="002259E3" w:rsidRPr="00FA1BCF" w:rsidRDefault="002259E3" w:rsidP="00CC79FE">
      <w:pPr>
        <w:rPr>
          <w:rFonts w:eastAsia="Times New Roman" w:cs="Times New Roman"/>
          <w:b/>
          <w:sz w:val="40"/>
          <w:szCs w:val="40"/>
          <w:lang w:eastAsia="en-AU"/>
        </w:rPr>
      </w:pPr>
    </w:p>
    <w:p w:rsidR="00726688" w:rsidRPr="00FA1BCF" w:rsidRDefault="00726688">
      <w:pPr>
        <w:rPr>
          <w:rFonts w:eastAsia="Times New Roman" w:cs="Times New Roman"/>
          <w:b/>
          <w:sz w:val="40"/>
          <w:szCs w:val="40"/>
          <w:lang w:eastAsia="en-AU"/>
        </w:rPr>
      </w:pPr>
      <w:r w:rsidRPr="00FA1BCF">
        <w:rPr>
          <w:rFonts w:eastAsia="Times New Roman" w:cs="Times New Roman"/>
          <w:b/>
          <w:sz w:val="40"/>
          <w:szCs w:val="40"/>
          <w:lang w:eastAsia="en-AU"/>
        </w:rPr>
        <w:br w:type="page"/>
      </w:r>
    </w:p>
    <w:p w:rsidR="00860AD5" w:rsidRPr="00FA1BCF" w:rsidRDefault="00CC79FE" w:rsidP="00E436E7">
      <w:pPr>
        <w:pStyle w:val="Heading1"/>
        <w:rPr>
          <w:lang w:eastAsia="en-AU"/>
        </w:rPr>
      </w:pPr>
      <w:bookmarkStart w:id="5" w:name="_Toc302625563"/>
      <w:r w:rsidRPr="00FA1BCF">
        <w:rPr>
          <w:lang w:eastAsia="en-AU"/>
        </w:rPr>
        <w:lastRenderedPageBreak/>
        <w:t>Section 2: Chronology of the Life Saving Drugs Post Market Review</w:t>
      </w:r>
      <w:bookmarkEnd w:id="5"/>
    </w:p>
    <w:p w:rsidR="00CC79FE" w:rsidRPr="00E436E7" w:rsidRDefault="00CC79FE" w:rsidP="00E436E7">
      <w:pPr>
        <w:pStyle w:val="Caption"/>
      </w:pPr>
      <w:r w:rsidRPr="00E436E7">
        <w:t>Table 1: Chronology of announcements, stakeholder meetings and other events</w:t>
      </w:r>
    </w:p>
    <w:tbl>
      <w:tblPr>
        <w:tblW w:w="9259" w:type="dxa"/>
        <w:tblLayout w:type="fixed"/>
        <w:tblLook w:val="04A0" w:firstRow="1" w:lastRow="0" w:firstColumn="1" w:lastColumn="0" w:noHBand="0" w:noVBand="1"/>
      </w:tblPr>
      <w:tblGrid>
        <w:gridCol w:w="3085"/>
        <w:gridCol w:w="305"/>
        <w:gridCol w:w="2388"/>
        <w:gridCol w:w="1276"/>
        <w:gridCol w:w="1421"/>
        <w:gridCol w:w="548"/>
        <w:gridCol w:w="236"/>
      </w:tblGrid>
      <w:tr w:rsidR="009F568B" w:rsidRPr="00FA1BCF" w:rsidTr="00DC19F4">
        <w:trPr>
          <w:cantSplit/>
        </w:trPr>
        <w:tc>
          <w:tcPr>
            <w:tcW w:w="3085" w:type="dxa"/>
            <w:tcBorders>
              <w:top w:val="single" w:sz="4" w:space="0" w:color="C0504D"/>
              <w:left w:val="single" w:sz="4" w:space="0" w:color="C0504D"/>
              <w:bottom w:val="single" w:sz="4" w:space="0" w:color="auto"/>
              <w:right w:val="single" w:sz="4" w:space="0" w:color="C0504D"/>
            </w:tcBorders>
            <w:shd w:val="clear" w:color="C0504D" w:fill="C0504D"/>
            <w:noWrap/>
            <w:hideMark/>
          </w:tcPr>
          <w:p w:rsidR="00CC79FE" w:rsidRPr="00E436E7" w:rsidRDefault="00614E22" w:rsidP="00E436E7">
            <w:pPr>
              <w:pStyle w:val="TableHeading"/>
              <w:rPr>
                <w:color w:val="FFFFFF" w:themeColor="background1"/>
                <w:lang w:eastAsia="en-AU"/>
              </w:rPr>
            </w:pPr>
            <w:r w:rsidRPr="00FA1BCF">
              <w:rPr>
                <w:color w:val="FFFFFF" w:themeColor="background1"/>
                <w:lang w:eastAsia="en-AU"/>
              </w:rPr>
              <w:t>Events</w:t>
            </w:r>
            <w:r w:rsidR="00CC79FE" w:rsidRPr="00E436E7">
              <w:rPr>
                <w:color w:val="FFFFFF" w:themeColor="background1"/>
                <w:lang w:eastAsia="en-AU"/>
              </w:rPr>
              <w:t xml:space="preserve"> and </w:t>
            </w:r>
            <w:r w:rsidR="003517E0" w:rsidRPr="00E436E7">
              <w:rPr>
                <w:color w:val="FFFFFF" w:themeColor="background1"/>
                <w:lang w:eastAsia="en-AU"/>
              </w:rPr>
              <w:t>c</w:t>
            </w:r>
            <w:r w:rsidR="00CC79FE" w:rsidRPr="00E436E7">
              <w:rPr>
                <w:color w:val="FFFFFF" w:themeColor="background1"/>
                <w:lang w:eastAsia="en-AU"/>
              </w:rPr>
              <w:t xml:space="preserve">onsultations </w:t>
            </w:r>
          </w:p>
        </w:tc>
        <w:tc>
          <w:tcPr>
            <w:tcW w:w="305" w:type="dxa"/>
            <w:tcBorders>
              <w:top w:val="single" w:sz="4" w:space="0" w:color="C0504D"/>
              <w:left w:val="single" w:sz="4" w:space="0" w:color="C0504D"/>
              <w:bottom w:val="single" w:sz="4" w:space="0" w:color="auto"/>
              <w:right w:val="single" w:sz="4" w:space="0" w:color="C0504D"/>
            </w:tcBorders>
            <w:shd w:val="clear" w:color="auto" w:fill="C0504D" w:themeFill="accent2"/>
            <w:noWrap/>
          </w:tcPr>
          <w:p w:rsidR="00CC79FE" w:rsidRPr="00E436E7" w:rsidRDefault="00CC79FE" w:rsidP="00E436E7">
            <w:pPr>
              <w:pStyle w:val="TableHeading"/>
              <w:rPr>
                <w:rFonts w:eastAsia="Times New Roman" w:cs="Times New Roman"/>
                <w:b w:val="0"/>
                <w:color w:val="FFFFFF" w:themeColor="background1"/>
                <w:lang w:eastAsia="en-AU"/>
              </w:rPr>
            </w:pPr>
          </w:p>
        </w:tc>
        <w:tc>
          <w:tcPr>
            <w:tcW w:w="2388" w:type="dxa"/>
            <w:tcBorders>
              <w:top w:val="single" w:sz="4" w:space="0" w:color="C0504D"/>
              <w:left w:val="single" w:sz="4" w:space="0" w:color="C0504D"/>
              <w:bottom w:val="single" w:sz="4" w:space="0" w:color="auto"/>
              <w:right w:val="nil"/>
            </w:tcBorders>
            <w:shd w:val="clear" w:color="C0504D" w:fill="C0504D"/>
            <w:noWrap/>
            <w:hideMark/>
          </w:tcPr>
          <w:p w:rsidR="00CC79FE" w:rsidRPr="00E436E7" w:rsidRDefault="00CC79FE" w:rsidP="00E436E7">
            <w:pPr>
              <w:pStyle w:val="TableHeading"/>
              <w:rPr>
                <w:rFonts w:eastAsia="Times New Roman" w:cs="Times New Roman"/>
                <w:b w:val="0"/>
                <w:color w:val="FFFFFF" w:themeColor="background1"/>
                <w:lang w:eastAsia="en-AU"/>
              </w:rPr>
            </w:pPr>
            <w:r w:rsidRPr="00E436E7">
              <w:rPr>
                <w:rFonts w:eastAsia="Times New Roman" w:cs="Times New Roman"/>
                <w:color w:val="FFFFFF" w:themeColor="background1"/>
                <w:lang w:eastAsia="en-AU"/>
              </w:rPr>
              <w:t>Timelines and consultation periods</w:t>
            </w:r>
          </w:p>
        </w:tc>
        <w:tc>
          <w:tcPr>
            <w:tcW w:w="1276" w:type="dxa"/>
            <w:tcBorders>
              <w:top w:val="single" w:sz="4" w:space="0" w:color="C0504D"/>
              <w:left w:val="nil"/>
              <w:bottom w:val="single" w:sz="4" w:space="0" w:color="auto"/>
              <w:right w:val="nil"/>
            </w:tcBorders>
            <w:shd w:val="clear" w:color="C0504D" w:fill="C0504D"/>
          </w:tcPr>
          <w:p w:rsidR="00CC79FE" w:rsidRPr="00E436E7" w:rsidRDefault="00CC79FE" w:rsidP="00E436E7">
            <w:pPr>
              <w:pStyle w:val="TableHeading"/>
              <w:rPr>
                <w:rFonts w:eastAsia="Times New Roman" w:cs="Times New Roman"/>
                <w:b w:val="0"/>
                <w:color w:val="FFFFFF" w:themeColor="background1"/>
                <w:lang w:eastAsia="en-AU"/>
              </w:rPr>
            </w:pPr>
            <w:r w:rsidRPr="00E436E7">
              <w:rPr>
                <w:rFonts w:eastAsia="Times New Roman" w:cs="Times New Roman"/>
                <w:color w:val="FFFFFF" w:themeColor="background1"/>
                <w:lang w:eastAsia="en-AU"/>
              </w:rPr>
              <w:t>Length of consultations</w:t>
            </w:r>
          </w:p>
        </w:tc>
        <w:tc>
          <w:tcPr>
            <w:tcW w:w="1969" w:type="dxa"/>
            <w:gridSpan w:val="2"/>
            <w:tcBorders>
              <w:top w:val="single" w:sz="4" w:space="0" w:color="C0504D"/>
              <w:left w:val="nil"/>
              <w:bottom w:val="single" w:sz="4" w:space="0" w:color="auto"/>
              <w:right w:val="nil"/>
            </w:tcBorders>
            <w:shd w:val="clear" w:color="C0504D" w:fill="C0504D"/>
            <w:noWrap/>
            <w:hideMark/>
          </w:tcPr>
          <w:p w:rsidR="00CC79FE" w:rsidRPr="00E436E7" w:rsidRDefault="00CC79FE" w:rsidP="00E436E7">
            <w:pPr>
              <w:pStyle w:val="TableHeading"/>
              <w:rPr>
                <w:rFonts w:eastAsia="Times New Roman" w:cs="Times New Roman"/>
                <w:b w:val="0"/>
                <w:color w:val="FFFFFF" w:themeColor="background1"/>
                <w:lang w:eastAsia="en-AU"/>
              </w:rPr>
            </w:pPr>
            <w:r w:rsidRPr="00E436E7">
              <w:rPr>
                <w:rFonts w:eastAsia="Times New Roman" w:cs="Times New Roman"/>
                <w:color w:val="FFFFFF" w:themeColor="background1"/>
                <w:lang w:eastAsia="en-AU"/>
              </w:rPr>
              <w:t>Number</w:t>
            </w:r>
            <w:r w:rsidR="003517E0" w:rsidRPr="00E436E7">
              <w:rPr>
                <w:rFonts w:eastAsia="Times New Roman" w:cs="Times New Roman"/>
                <w:color w:val="FFFFFF" w:themeColor="background1"/>
                <w:lang w:eastAsia="en-AU"/>
              </w:rPr>
              <w:t>s</w:t>
            </w:r>
            <w:r w:rsidRPr="00E436E7">
              <w:rPr>
                <w:rFonts w:eastAsia="Times New Roman" w:cs="Times New Roman"/>
                <w:color w:val="FFFFFF" w:themeColor="background1"/>
                <w:lang w:eastAsia="en-AU"/>
              </w:rPr>
              <w:t xml:space="preserve"> of attendees </w:t>
            </w:r>
            <w:r w:rsidR="003517E0" w:rsidRPr="00E436E7">
              <w:rPr>
                <w:rFonts w:eastAsia="Times New Roman" w:cs="Times New Roman"/>
                <w:color w:val="FFFFFF" w:themeColor="background1"/>
                <w:lang w:eastAsia="en-AU"/>
              </w:rPr>
              <w:t xml:space="preserve">at </w:t>
            </w:r>
            <w:r w:rsidRPr="00E436E7">
              <w:rPr>
                <w:rFonts w:eastAsia="Times New Roman" w:cs="Times New Roman"/>
                <w:color w:val="FFFFFF" w:themeColor="background1"/>
                <w:lang w:eastAsia="en-AU"/>
              </w:rPr>
              <w:t xml:space="preserve">meetings </w:t>
            </w:r>
            <w:r w:rsidR="003517E0" w:rsidRPr="00E436E7">
              <w:rPr>
                <w:rFonts w:eastAsia="Times New Roman" w:cs="Times New Roman"/>
                <w:color w:val="FFFFFF" w:themeColor="background1"/>
                <w:lang w:eastAsia="en-AU"/>
              </w:rPr>
              <w:t xml:space="preserve">and </w:t>
            </w:r>
            <w:r w:rsidRPr="00E436E7">
              <w:rPr>
                <w:rFonts w:eastAsia="Times New Roman" w:cs="Times New Roman"/>
                <w:color w:val="FFFFFF" w:themeColor="background1"/>
                <w:lang w:eastAsia="en-AU"/>
              </w:rPr>
              <w:t xml:space="preserve">submissions received </w:t>
            </w:r>
          </w:p>
        </w:tc>
        <w:tc>
          <w:tcPr>
            <w:tcW w:w="236" w:type="dxa"/>
            <w:tcBorders>
              <w:top w:val="single" w:sz="4" w:space="0" w:color="C0504D"/>
              <w:left w:val="nil"/>
              <w:bottom w:val="nil"/>
              <w:right w:val="single" w:sz="4" w:space="0" w:color="C0504D"/>
            </w:tcBorders>
            <w:shd w:val="clear" w:color="C0504D" w:fill="C0504D"/>
            <w:noWrap/>
            <w:vAlign w:val="bottom"/>
            <w:hideMark/>
          </w:tcPr>
          <w:p w:rsidR="00CC79FE" w:rsidRPr="00FA1BCF" w:rsidRDefault="00CC79FE" w:rsidP="00614E22">
            <w:pPr>
              <w:rPr>
                <w:rFonts w:eastAsia="Times New Roman" w:cs="Times New Roman"/>
                <w:b/>
                <w:color w:val="000000"/>
                <w:sz w:val="36"/>
                <w:szCs w:val="36"/>
                <w:vertAlign w:val="superscript"/>
                <w:lang w:eastAsia="en-AU"/>
              </w:rPr>
            </w:pPr>
          </w:p>
        </w:tc>
      </w:tr>
      <w:tr w:rsidR="009F568B" w:rsidRPr="00FA1BCF" w:rsidTr="00DC19F4">
        <w:trPr>
          <w:cantSplit/>
        </w:trPr>
        <w:tc>
          <w:tcPr>
            <w:tcW w:w="3390" w:type="dxa"/>
            <w:gridSpan w:val="2"/>
            <w:tcBorders>
              <w:top w:val="single" w:sz="4" w:space="0" w:color="auto"/>
              <w:left w:val="single" w:sz="4" w:space="0" w:color="C0504D"/>
              <w:bottom w:val="nil"/>
              <w:right w:val="nil"/>
            </w:tcBorders>
            <w:shd w:val="clear" w:color="auto" w:fill="auto"/>
            <w:noWrap/>
            <w:hideMark/>
          </w:tcPr>
          <w:p w:rsidR="00BE41BC" w:rsidRPr="00E436E7" w:rsidRDefault="00BE41BC" w:rsidP="00E436E7">
            <w:pPr>
              <w:pStyle w:val="TableText"/>
              <w:rPr>
                <w:sz w:val="22"/>
                <w:lang w:eastAsia="en-AU"/>
              </w:rPr>
            </w:pPr>
            <w:r w:rsidRPr="00E436E7">
              <w:rPr>
                <w:sz w:val="22"/>
                <w:lang w:eastAsia="en-AU"/>
              </w:rPr>
              <w:t xml:space="preserve">Consultation on draft terms of reference </w:t>
            </w:r>
          </w:p>
        </w:tc>
        <w:tc>
          <w:tcPr>
            <w:tcW w:w="2388" w:type="dxa"/>
            <w:tcBorders>
              <w:top w:val="single" w:sz="4" w:space="0" w:color="auto"/>
              <w:left w:val="nil"/>
              <w:bottom w:val="nil"/>
              <w:right w:val="nil"/>
            </w:tcBorders>
            <w:shd w:val="clear" w:color="auto" w:fill="auto"/>
            <w:noWrap/>
            <w:hideMark/>
          </w:tcPr>
          <w:p w:rsidR="00BE41BC" w:rsidRPr="00E436E7" w:rsidRDefault="00BE41BC" w:rsidP="00E436E7">
            <w:pPr>
              <w:pStyle w:val="TableText"/>
              <w:rPr>
                <w:sz w:val="22"/>
                <w:lang w:eastAsia="en-AU"/>
              </w:rPr>
            </w:pPr>
            <w:r w:rsidRPr="00E436E7">
              <w:rPr>
                <w:sz w:val="22"/>
                <w:lang w:eastAsia="en-AU"/>
              </w:rPr>
              <w:t>August 2013</w:t>
            </w:r>
          </w:p>
        </w:tc>
        <w:tc>
          <w:tcPr>
            <w:tcW w:w="1276" w:type="dxa"/>
            <w:tcBorders>
              <w:top w:val="single" w:sz="4" w:space="0" w:color="auto"/>
              <w:left w:val="nil"/>
              <w:bottom w:val="nil"/>
              <w:right w:val="nil"/>
            </w:tcBorders>
          </w:tcPr>
          <w:p w:rsidR="00BE41BC" w:rsidRPr="00E436E7" w:rsidRDefault="00BE41BC" w:rsidP="00E436E7">
            <w:pPr>
              <w:pStyle w:val="TableText"/>
              <w:rPr>
                <w:sz w:val="22"/>
                <w:lang w:eastAsia="en-AU"/>
              </w:rPr>
            </w:pPr>
            <w:r w:rsidRPr="00E436E7">
              <w:rPr>
                <w:sz w:val="22"/>
                <w:lang w:eastAsia="en-AU"/>
              </w:rPr>
              <w:t>2 weeks</w:t>
            </w:r>
          </w:p>
        </w:tc>
        <w:tc>
          <w:tcPr>
            <w:tcW w:w="1421" w:type="dxa"/>
            <w:tcBorders>
              <w:top w:val="single" w:sz="4" w:space="0" w:color="auto"/>
              <w:left w:val="nil"/>
              <w:bottom w:val="nil"/>
              <w:right w:val="nil"/>
            </w:tcBorders>
            <w:shd w:val="clear" w:color="auto" w:fill="auto"/>
            <w:noWrap/>
            <w:hideMark/>
          </w:tcPr>
          <w:p w:rsidR="00BE41BC" w:rsidRPr="00E436E7" w:rsidRDefault="00A363A5" w:rsidP="00E436E7">
            <w:pPr>
              <w:pStyle w:val="TableText"/>
              <w:rPr>
                <w:sz w:val="22"/>
                <w:lang w:eastAsia="en-AU"/>
              </w:rPr>
            </w:pPr>
            <w:r>
              <w:rPr>
                <w:sz w:val="22"/>
                <w:lang w:eastAsia="en-AU"/>
              </w:rPr>
              <w:t>16</w:t>
            </w:r>
          </w:p>
        </w:tc>
        <w:tc>
          <w:tcPr>
            <w:tcW w:w="784" w:type="dxa"/>
            <w:gridSpan w:val="2"/>
            <w:tcBorders>
              <w:top w:val="single" w:sz="4" w:space="0" w:color="C0504D"/>
              <w:left w:val="nil"/>
              <w:bottom w:val="nil"/>
              <w:right w:val="single" w:sz="4" w:space="0" w:color="C0504D"/>
            </w:tcBorders>
            <w:shd w:val="clear" w:color="auto" w:fill="auto"/>
            <w:noWrap/>
            <w:vAlign w:val="bottom"/>
            <w:hideMark/>
          </w:tcPr>
          <w:p w:rsidR="00BE41BC" w:rsidRPr="00FA1BCF" w:rsidRDefault="00BE41BC" w:rsidP="00614E22">
            <w:pPr>
              <w:rPr>
                <w:rFonts w:ascii="Calibri" w:eastAsia="Times New Roman" w:hAnsi="Calibri" w:cs="Times New Roman"/>
                <w:color w:val="000000"/>
                <w:lang w:eastAsia="en-AU"/>
              </w:rPr>
            </w:pPr>
          </w:p>
        </w:tc>
      </w:tr>
      <w:tr w:rsidR="009F568B" w:rsidRPr="00FA1BCF" w:rsidTr="00DC19F4">
        <w:trPr>
          <w:cantSplit/>
        </w:trPr>
        <w:tc>
          <w:tcPr>
            <w:tcW w:w="3390" w:type="dxa"/>
            <w:gridSpan w:val="2"/>
            <w:tcBorders>
              <w:top w:val="single" w:sz="4" w:space="0" w:color="C0504D"/>
              <w:left w:val="single" w:sz="4" w:space="0" w:color="C0504D"/>
              <w:bottom w:val="nil"/>
              <w:right w:val="nil"/>
            </w:tcBorders>
            <w:shd w:val="clear" w:color="auto" w:fill="EEECE1" w:themeFill="background2"/>
            <w:noWrap/>
            <w:hideMark/>
          </w:tcPr>
          <w:p w:rsidR="00CC79FE" w:rsidRPr="00E436E7" w:rsidRDefault="00CC79FE" w:rsidP="00E436E7">
            <w:pPr>
              <w:pStyle w:val="TableText"/>
              <w:rPr>
                <w:sz w:val="22"/>
                <w:lang w:eastAsia="en-AU"/>
              </w:rPr>
            </w:pPr>
            <w:r w:rsidRPr="00E436E7">
              <w:rPr>
                <w:sz w:val="22"/>
                <w:lang w:eastAsia="en-AU"/>
              </w:rPr>
              <w:t xml:space="preserve">Public announcement of the </w:t>
            </w:r>
            <w:r w:rsidR="00BE41BC" w:rsidRPr="00E436E7">
              <w:rPr>
                <w:sz w:val="22"/>
                <w:lang w:eastAsia="en-AU"/>
              </w:rPr>
              <w:t>r</w:t>
            </w:r>
            <w:r w:rsidRPr="00E436E7">
              <w:rPr>
                <w:sz w:val="22"/>
                <w:lang w:eastAsia="en-AU"/>
              </w:rPr>
              <w:t>eview</w:t>
            </w:r>
          </w:p>
        </w:tc>
        <w:tc>
          <w:tcPr>
            <w:tcW w:w="2388" w:type="dxa"/>
            <w:tcBorders>
              <w:top w:val="single" w:sz="4" w:space="0" w:color="C0504D"/>
              <w:left w:val="nil"/>
              <w:bottom w:val="nil"/>
              <w:right w:val="nil"/>
            </w:tcBorders>
            <w:shd w:val="clear" w:color="auto" w:fill="EEECE1" w:themeFill="background2"/>
            <w:noWrap/>
            <w:hideMark/>
          </w:tcPr>
          <w:p w:rsidR="00CC79FE" w:rsidRPr="00E436E7" w:rsidRDefault="00CC79FE" w:rsidP="00E436E7">
            <w:pPr>
              <w:pStyle w:val="TableText"/>
              <w:rPr>
                <w:sz w:val="22"/>
                <w:lang w:eastAsia="en-AU"/>
              </w:rPr>
            </w:pPr>
            <w:r w:rsidRPr="00E436E7">
              <w:rPr>
                <w:sz w:val="22"/>
                <w:lang w:eastAsia="en-AU"/>
              </w:rPr>
              <w:t>9 April 2014</w:t>
            </w:r>
          </w:p>
        </w:tc>
        <w:tc>
          <w:tcPr>
            <w:tcW w:w="1276" w:type="dxa"/>
            <w:tcBorders>
              <w:top w:val="single" w:sz="4" w:space="0" w:color="C0504D"/>
              <w:left w:val="nil"/>
              <w:bottom w:val="nil"/>
              <w:right w:val="nil"/>
            </w:tcBorders>
            <w:shd w:val="clear" w:color="auto" w:fill="EEECE1" w:themeFill="background2"/>
          </w:tcPr>
          <w:p w:rsidR="00CC79FE" w:rsidRPr="00E436E7" w:rsidRDefault="00CC79FE" w:rsidP="00E436E7">
            <w:pPr>
              <w:pStyle w:val="TableText"/>
              <w:rPr>
                <w:sz w:val="22"/>
                <w:lang w:eastAsia="en-AU"/>
              </w:rPr>
            </w:pPr>
          </w:p>
        </w:tc>
        <w:tc>
          <w:tcPr>
            <w:tcW w:w="1421" w:type="dxa"/>
            <w:tcBorders>
              <w:top w:val="single" w:sz="4" w:space="0" w:color="C0504D"/>
              <w:left w:val="nil"/>
              <w:bottom w:val="nil"/>
              <w:right w:val="nil"/>
            </w:tcBorders>
            <w:shd w:val="clear" w:color="auto" w:fill="EEECE1" w:themeFill="background2"/>
            <w:noWrap/>
            <w:hideMark/>
          </w:tcPr>
          <w:p w:rsidR="00CC79FE" w:rsidRPr="00E436E7" w:rsidRDefault="00CC79FE" w:rsidP="00E436E7">
            <w:pPr>
              <w:pStyle w:val="TableText"/>
              <w:rPr>
                <w:sz w:val="22"/>
                <w:lang w:eastAsia="en-AU"/>
              </w:rPr>
            </w:pPr>
          </w:p>
        </w:tc>
        <w:tc>
          <w:tcPr>
            <w:tcW w:w="784" w:type="dxa"/>
            <w:gridSpan w:val="2"/>
            <w:tcBorders>
              <w:top w:val="single" w:sz="4" w:space="0" w:color="C0504D"/>
              <w:left w:val="nil"/>
              <w:bottom w:val="nil"/>
              <w:right w:val="single" w:sz="4" w:space="0" w:color="C0504D"/>
            </w:tcBorders>
            <w:shd w:val="clear" w:color="auto" w:fill="EEECE1" w:themeFill="background2"/>
            <w:noWrap/>
            <w:vAlign w:val="bottom"/>
            <w:hideMark/>
          </w:tcPr>
          <w:p w:rsidR="00CC79FE" w:rsidRPr="00FA1BCF" w:rsidRDefault="00CC79FE" w:rsidP="00614E22">
            <w:pPr>
              <w:rPr>
                <w:rFonts w:ascii="Calibri" w:eastAsia="Times New Roman" w:hAnsi="Calibri" w:cs="Times New Roman"/>
                <w:color w:val="000000"/>
                <w:lang w:eastAsia="en-AU"/>
              </w:rPr>
            </w:pPr>
          </w:p>
        </w:tc>
      </w:tr>
      <w:tr w:rsidR="009F568B" w:rsidRPr="00FA1BCF" w:rsidTr="00DC19F4">
        <w:trPr>
          <w:cantSplit/>
        </w:trPr>
        <w:tc>
          <w:tcPr>
            <w:tcW w:w="3390" w:type="dxa"/>
            <w:gridSpan w:val="2"/>
            <w:tcBorders>
              <w:top w:val="single" w:sz="4" w:space="0" w:color="C0504D"/>
              <w:left w:val="single" w:sz="4" w:space="0" w:color="C0504D"/>
              <w:bottom w:val="nil"/>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Establishment of the LSDP</w:t>
            </w:r>
            <w:r w:rsidR="00BE41BC" w:rsidRPr="00E436E7">
              <w:rPr>
                <w:sz w:val="22"/>
                <w:lang w:eastAsia="en-AU"/>
              </w:rPr>
              <w:t xml:space="preserve"> </w:t>
            </w:r>
            <w:r w:rsidRPr="00E436E7">
              <w:rPr>
                <w:sz w:val="22"/>
                <w:lang w:eastAsia="en-AU"/>
              </w:rPr>
              <w:t>Reference Group</w:t>
            </w:r>
          </w:p>
        </w:tc>
        <w:tc>
          <w:tcPr>
            <w:tcW w:w="2388" w:type="dxa"/>
            <w:tcBorders>
              <w:top w:val="single" w:sz="4" w:space="0" w:color="C0504D"/>
              <w:left w:val="nil"/>
              <w:bottom w:val="nil"/>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June 2014</w:t>
            </w:r>
          </w:p>
        </w:tc>
        <w:tc>
          <w:tcPr>
            <w:tcW w:w="1276" w:type="dxa"/>
            <w:tcBorders>
              <w:top w:val="single" w:sz="4" w:space="0" w:color="C0504D"/>
              <w:left w:val="nil"/>
              <w:bottom w:val="nil"/>
              <w:right w:val="nil"/>
            </w:tcBorders>
          </w:tcPr>
          <w:p w:rsidR="00CC79FE" w:rsidRPr="00E436E7" w:rsidRDefault="00CC79FE" w:rsidP="00E436E7">
            <w:pPr>
              <w:pStyle w:val="TableText"/>
              <w:rPr>
                <w:sz w:val="22"/>
                <w:lang w:eastAsia="en-AU"/>
              </w:rPr>
            </w:pPr>
          </w:p>
        </w:tc>
        <w:tc>
          <w:tcPr>
            <w:tcW w:w="1421" w:type="dxa"/>
            <w:tcBorders>
              <w:top w:val="single" w:sz="4" w:space="0" w:color="C0504D"/>
              <w:left w:val="nil"/>
              <w:bottom w:val="nil"/>
              <w:right w:val="nil"/>
            </w:tcBorders>
            <w:shd w:val="clear" w:color="auto" w:fill="auto"/>
            <w:noWrap/>
          </w:tcPr>
          <w:p w:rsidR="00CC79FE" w:rsidRPr="00E436E7" w:rsidRDefault="00CC79FE" w:rsidP="00E436E7">
            <w:pPr>
              <w:pStyle w:val="TableText"/>
              <w:rPr>
                <w:sz w:val="22"/>
                <w:lang w:eastAsia="en-AU"/>
              </w:rPr>
            </w:pPr>
          </w:p>
        </w:tc>
        <w:tc>
          <w:tcPr>
            <w:tcW w:w="784" w:type="dxa"/>
            <w:gridSpan w:val="2"/>
            <w:tcBorders>
              <w:top w:val="single" w:sz="4" w:space="0" w:color="C0504D"/>
              <w:left w:val="nil"/>
              <w:bottom w:val="nil"/>
              <w:right w:val="single" w:sz="4" w:space="0" w:color="C0504D"/>
            </w:tcBorders>
            <w:shd w:val="clear" w:color="auto" w:fill="auto"/>
            <w:noWrap/>
            <w:vAlign w:val="bottom"/>
          </w:tcPr>
          <w:p w:rsidR="00CC79FE" w:rsidRPr="00FA1BCF" w:rsidRDefault="00CC79FE" w:rsidP="00614E22">
            <w:pPr>
              <w:rPr>
                <w:rFonts w:ascii="Calibri" w:eastAsia="Times New Roman" w:hAnsi="Calibri" w:cs="Times New Roman"/>
                <w:color w:val="000000"/>
                <w:lang w:eastAsia="en-AU"/>
              </w:rPr>
            </w:pPr>
          </w:p>
        </w:tc>
      </w:tr>
      <w:tr w:rsidR="009F568B" w:rsidRPr="00FA1BCF" w:rsidTr="00DC19F4">
        <w:trPr>
          <w:cantSplit/>
        </w:trPr>
        <w:tc>
          <w:tcPr>
            <w:tcW w:w="3390" w:type="dxa"/>
            <w:gridSpan w:val="2"/>
            <w:tcBorders>
              <w:top w:val="single" w:sz="4" w:space="0" w:color="C0504D"/>
              <w:left w:val="single" w:sz="4" w:space="0" w:color="C0504D"/>
              <w:bottom w:val="nil"/>
              <w:right w:val="nil"/>
            </w:tcBorders>
            <w:shd w:val="clear" w:color="auto" w:fill="EAF1DD" w:themeFill="accent3" w:themeFillTint="33"/>
            <w:noWrap/>
          </w:tcPr>
          <w:p w:rsidR="00CC79FE" w:rsidRPr="00E436E7" w:rsidRDefault="00CC79FE" w:rsidP="00E436E7">
            <w:pPr>
              <w:pStyle w:val="TableText"/>
              <w:rPr>
                <w:sz w:val="22"/>
                <w:lang w:eastAsia="en-AU"/>
              </w:rPr>
            </w:pPr>
            <w:r w:rsidRPr="00E436E7">
              <w:rPr>
                <w:sz w:val="22"/>
                <w:lang w:eastAsia="en-AU"/>
              </w:rPr>
              <w:t xml:space="preserve">Reference </w:t>
            </w:r>
            <w:r w:rsidR="00BE41BC" w:rsidRPr="00E436E7">
              <w:rPr>
                <w:sz w:val="22"/>
                <w:lang w:eastAsia="en-AU"/>
              </w:rPr>
              <w:t>g</w:t>
            </w:r>
            <w:r w:rsidRPr="00E436E7">
              <w:rPr>
                <w:sz w:val="22"/>
                <w:lang w:eastAsia="en-AU"/>
              </w:rPr>
              <w:t>roup 1st meeting</w:t>
            </w:r>
          </w:p>
        </w:tc>
        <w:tc>
          <w:tcPr>
            <w:tcW w:w="2388" w:type="dxa"/>
            <w:tcBorders>
              <w:top w:val="single" w:sz="4" w:space="0" w:color="C0504D"/>
              <w:left w:val="nil"/>
              <w:bottom w:val="nil"/>
              <w:right w:val="nil"/>
            </w:tcBorders>
            <w:shd w:val="clear" w:color="auto" w:fill="EAF1DD" w:themeFill="accent3" w:themeFillTint="33"/>
            <w:noWrap/>
          </w:tcPr>
          <w:p w:rsidR="00CC79FE" w:rsidRPr="00E436E7" w:rsidRDefault="00CC79FE" w:rsidP="00E436E7">
            <w:pPr>
              <w:pStyle w:val="TableText"/>
              <w:rPr>
                <w:sz w:val="22"/>
                <w:lang w:eastAsia="en-AU"/>
              </w:rPr>
            </w:pPr>
            <w:r w:rsidRPr="00E436E7">
              <w:rPr>
                <w:sz w:val="22"/>
                <w:lang w:eastAsia="en-AU"/>
              </w:rPr>
              <w:t>8 August 2014</w:t>
            </w:r>
          </w:p>
        </w:tc>
        <w:tc>
          <w:tcPr>
            <w:tcW w:w="1276" w:type="dxa"/>
            <w:tcBorders>
              <w:top w:val="single" w:sz="4" w:space="0" w:color="C0504D"/>
              <w:left w:val="nil"/>
              <w:bottom w:val="nil"/>
              <w:right w:val="nil"/>
            </w:tcBorders>
            <w:shd w:val="clear" w:color="auto" w:fill="EAF1DD" w:themeFill="accent3" w:themeFillTint="33"/>
          </w:tcPr>
          <w:p w:rsidR="00CC79FE" w:rsidRPr="00E436E7" w:rsidRDefault="00CC79FE" w:rsidP="00E436E7">
            <w:pPr>
              <w:pStyle w:val="TableText"/>
              <w:rPr>
                <w:sz w:val="22"/>
                <w:lang w:eastAsia="en-AU"/>
              </w:rPr>
            </w:pPr>
          </w:p>
        </w:tc>
        <w:tc>
          <w:tcPr>
            <w:tcW w:w="1421" w:type="dxa"/>
            <w:tcBorders>
              <w:top w:val="single" w:sz="4" w:space="0" w:color="C0504D"/>
              <w:left w:val="nil"/>
              <w:bottom w:val="nil"/>
              <w:right w:val="nil"/>
            </w:tcBorders>
            <w:shd w:val="clear" w:color="auto" w:fill="EAF1DD" w:themeFill="accent3" w:themeFillTint="33"/>
            <w:noWrap/>
          </w:tcPr>
          <w:p w:rsidR="00CC79FE" w:rsidRPr="00E436E7" w:rsidRDefault="00CC79FE" w:rsidP="00E436E7">
            <w:pPr>
              <w:pStyle w:val="TableText"/>
              <w:rPr>
                <w:sz w:val="22"/>
                <w:lang w:eastAsia="en-AU"/>
              </w:rPr>
            </w:pPr>
          </w:p>
        </w:tc>
        <w:tc>
          <w:tcPr>
            <w:tcW w:w="784" w:type="dxa"/>
            <w:gridSpan w:val="2"/>
            <w:tcBorders>
              <w:top w:val="single" w:sz="4" w:space="0" w:color="C0504D"/>
              <w:left w:val="nil"/>
              <w:bottom w:val="nil"/>
              <w:right w:val="single" w:sz="4" w:space="0" w:color="C0504D"/>
            </w:tcBorders>
            <w:shd w:val="clear" w:color="auto" w:fill="EAF1DD" w:themeFill="accent3" w:themeFillTint="33"/>
            <w:noWrap/>
            <w:vAlign w:val="bottom"/>
          </w:tcPr>
          <w:p w:rsidR="00CC79FE" w:rsidRPr="00FA1BCF" w:rsidRDefault="00CC79FE" w:rsidP="00614E22">
            <w:pPr>
              <w:rPr>
                <w:rFonts w:ascii="Calibri" w:eastAsia="Times New Roman" w:hAnsi="Calibri" w:cs="Times New Roman"/>
                <w:color w:val="000000"/>
                <w:lang w:eastAsia="en-AU"/>
              </w:rPr>
            </w:pPr>
          </w:p>
        </w:tc>
      </w:tr>
      <w:tr w:rsidR="009F568B" w:rsidRPr="00FA1BCF" w:rsidTr="00DC19F4">
        <w:trPr>
          <w:cantSplit/>
        </w:trPr>
        <w:tc>
          <w:tcPr>
            <w:tcW w:w="3390" w:type="dxa"/>
            <w:gridSpan w:val="2"/>
            <w:tcBorders>
              <w:top w:val="single" w:sz="4" w:space="0" w:color="C0504D"/>
              <w:left w:val="single" w:sz="4" w:space="0" w:color="C0504D"/>
              <w:bottom w:val="nil"/>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 xml:space="preserve">Reference </w:t>
            </w:r>
            <w:r w:rsidR="00BE41BC" w:rsidRPr="00E436E7">
              <w:rPr>
                <w:sz w:val="22"/>
                <w:lang w:eastAsia="en-AU"/>
              </w:rPr>
              <w:t>g</w:t>
            </w:r>
            <w:r w:rsidRPr="00E436E7">
              <w:rPr>
                <w:sz w:val="22"/>
                <w:lang w:eastAsia="en-AU"/>
              </w:rPr>
              <w:t>roup teleconference</w:t>
            </w:r>
            <w:r w:rsidR="00A363A5">
              <w:rPr>
                <w:sz w:val="22"/>
                <w:lang w:eastAsia="en-AU"/>
              </w:rPr>
              <w:t xml:space="preserve"> (2</w:t>
            </w:r>
            <w:r w:rsidR="00A363A5" w:rsidRPr="00673E9A">
              <w:rPr>
                <w:sz w:val="22"/>
                <w:vertAlign w:val="superscript"/>
                <w:lang w:eastAsia="en-AU"/>
              </w:rPr>
              <w:t>nd</w:t>
            </w:r>
            <w:r w:rsidR="00A363A5">
              <w:rPr>
                <w:sz w:val="22"/>
                <w:lang w:eastAsia="en-AU"/>
              </w:rPr>
              <w:t xml:space="preserve"> meeting)</w:t>
            </w:r>
          </w:p>
        </w:tc>
        <w:tc>
          <w:tcPr>
            <w:tcW w:w="2388" w:type="dxa"/>
            <w:tcBorders>
              <w:top w:val="single" w:sz="4" w:space="0" w:color="C0504D"/>
              <w:left w:val="nil"/>
              <w:bottom w:val="nil"/>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14 August 2014</w:t>
            </w:r>
          </w:p>
          <w:p w:rsidR="00CC79FE" w:rsidRPr="00E436E7" w:rsidRDefault="00CC79FE" w:rsidP="00E436E7">
            <w:pPr>
              <w:pStyle w:val="TableText"/>
              <w:rPr>
                <w:sz w:val="22"/>
                <w:lang w:eastAsia="en-AU"/>
              </w:rPr>
            </w:pPr>
          </w:p>
        </w:tc>
        <w:tc>
          <w:tcPr>
            <w:tcW w:w="1276" w:type="dxa"/>
            <w:tcBorders>
              <w:top w:val="single" w:sz="4" w:space="0" w:color="C0504D"/>
              <w:left w:val="nil"/>
              <w:bottom w:val="nil"/>
              <w:right w:val="nil"/>
            </w:tcBorders>
          </w:tcPr>
          <w:p w:rsidR="00CC79FE" w:rsidRPr="00E436E7" w:rsidRDefault="00CC79FE" w:rsidP="00E436E7">
            <w:pPr>
              <w:pStyle w:val="TableText"/>
              <w:rPr>
                <w:sz w:val="22"/>
                <w:lang w:eastAsia="en-AU"/>
              </w:rPr>
            </w:pPr>
          </w:p>
        </w:tc>
        <w:tc>
          <w:tcPr>
            <w:tcW w:w="1421" w:type="dxa"/>
            <w:tcBorders>
              <w:top w:val="single" w:sz="4" w:space="0" w:color="C0504D"/>
              <w:left w:val="nil"/>
              <w:bottom w:val="nil"/>
              <w:right w:val="nil"/>
            </w:tcBorders>
            <w:shd w:val="clear" w:color="auto" w:fill="auto"/>
            <w:noWrap/>
          </w:tcPr>
          <w:p w:rsidR="00CC79FE" w:rsidRPr="00E436E7" w:rsidRDefault="00CC79FE" w:rsidP="00E436E7">
            <w:pPr>
              <w:pStyle w:val="TableText"/>
              <w:rPr>
                <w:sz w:val="22"/>
                <w:lang w:eastAsia="en-AU"/>
              </w:rPr>
            </w:pPr>
          </w:p>
        </w:tc>
        <w:tc>
          <w:tcPr>
            <w:tcW w:w="784" w:type="dxa"/>
            <w:gridSpan w:val="2"/>
            <w:tcBorders>
              <w:top w:val="single" w:sz="4" w:space="0" w:color="C0504D"/>
              <w:left w:val="nil"/>
              <w:bottom w:val="nil"/>
              <w:right w:val="single" w:sz="4" w:space="0" w:color="C0504D"/>
            </w:tcBorders>
            <w:shd w:val="clear" w:color="auto" w:fill="auto"/>
            <w:noWrap/>
            <w:vAlign w:val="bottom"/>
          </w:tcPr>
          <w:p w:rsidR="00CC79FE" w:rsidRPr="00FA1BCF" w:rsidRDefault="00CC79FE" w:rsidP="00614E22">
            <w:pPr>
              <w:rPr>
                <w:rFonts w:ascii="Calibri" w:eastAsia="Times New Roman" w:hAnsi="Calibri" w:cs="Times New Roman"/>
                <w:color w:val="000000"/>
                <w:lang w:eastAsia="en-AU"/>
              </w:rPr>
            </w:pPr>
          </w:p>
        </w:tc>
      </w:tr>
      <w:tr w:rsidR="009F568B" w:rsidRPr="00FA1BCF" w:rsidTr="00DC19F4">
        <w:trPr>
          <w:cantSplit/>
        </w:trPr>
        <w:tc>
          <w:tcPr>
            <w:tcW w:w="3390" w:type="dxa"/>
            <w:gridSpan w:val="2"/>
            <w:tcBorders>
              <w:top w:val="single" w:sz="4" w:space="0" w:color="C0504D"/>
              <w:left w:val="single" w:sz="4" w:space="0" w:color="C0504D"/>
              <w:bottom w:val="nil"/>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 xml:space="preserve">Consultation on </w:t>
            </w:r>
            <w:r w:rsidR="00BE41BC" w:rsidRPr="00E436E7">
              <w:rPr>
                <w:sz w:val="22"/>
                <w:lang w:eastAsia="en-AU"/>
              </w:rPr>
              <w:t>t</w:t>
            </w:r>
            <w:r w:rsidRPr="00E436E7">
              <w:rPr>
                <w:sz w:val="22"/>
                <w:lang w:eastAsia="en-AU"/>
              </w:rPr>
              <w:t xml:space="preserve">erms of </w:t>
            </w:r>
            <w:r w:rsidR="00BE41BC" w:rsidRPr="00E436E7">
              <w:rPr>
                <w:sz w:val="22"/>
                <w:lang w:eastAsia="en-AU"/>
              </w:rPr>
              <w:t>r</w:t>
            </w:r>
            <w:r w:rsidRPr="00E436E7">
              <w:rPr>
                <w:sz w:val="22"/>
                <w:lang w:eastAsia="en-AU"/>
              </w:rPr>
              <w:t>eference</w:t>
            </w:r>
          </w:p>
        </w:tc>
        <w:tc>
          <w:tcPr>
            <w:tcW w:w="2388" w:type="dxa"/>
            <w:tcBorders>
              <w:top w:val="single" w:sz="4" w:space="0" w:color="C0504D"/>
              <w:left w:val="nil"/>
              <w:bottom w:val="nil"/>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11 August 14</w:t>
            </w:r>
            <w:r w:rsidR="00BE41BC" w:rsidRPr="00E436E7">
              <w:rPr>
                <w:sz w:val="22"/>
                <w:lang w:eastAsia="en-AU"/>
              </w:rPr>
              <w:t xml:space="preserve"> </w:t>
            </w:r>
            <w:r w:rsidR="003B146F" w:rsidRPr="00E436E7">
              <w:rPr>
                <w:sz w:val="22"/>
                <w:lang w:eastAsia="en-AU"/>
              </w:rPr>
              <w:t>–</w:t>
            </w:r>
            <w:r w:rsidRPr="00E436E7">
              <w:rPr>
                <w:sz w:val="22"/>
                <w:lang w:eastAsia="en-AU"/>
              </w:rPr>
              <w:t>10</w:t>
            </w:r>
            <w:r w:rsidR="000A4370" w:rsidRPr="00E436E7">
              <w:rPr>
                <w:sz w:val="22"/>
                <w:lang w:eastAsia="en-AU"/>
              </w:rPr>
              <w:t> </w:t>
            </w:r>
            <w:r w:rsidRPr="00E436E7">
              <w:rPr>
                <w:sz w:val="22"/>
                <w:lang w:eastAsia="en-AU"/>
              </w:rPr>
              <w:t xml:space="preserve">November 2014 </w:t>
            </w:r>
          </w:p>
        </w:tc>
        <w:tc>
          <w:tcPr>
            <w:tcW w:w="1276" w:type="dxa"/>
            <w:tcBorders>
              <w:top w:val="single" w:sz="4" w:space="0" w:color="C0504D"/>
              <w:left w:val="nil"/>
              <w:bottom w:val="nil"/>
              <w:right w:val="nil"/>
            </w:tcBorders>
          </w:tcPr>
          <w:p w:rsidR="00CC79FE" w:rsidRPr="00E436E7" w:rsidRDefault="00CC79FE" w:rsidP="00E436E7">
            <w:pPr>
              <w:pStyle w:val="TableText"/>
              <w:rPr>
                <w:sz w:val="22"/>
                <w:lang w:eastAsia="en-AU"/>
              </w:rPr>
            </w:pPr>
            <w:r w:rsidRPr="00E436E7">
              <w:rPr>
                <w:sz w:val="22"/>
                <w:lang w:eastAsia="en-AU"/>
              </w:rPr>
              <w:t>3 months</w:t>
            </w:r>
          </w:p>
        </w:tc>
        <w:tc>
          <w:tcPr>
            <w:tcW w:w="1421" w:type="dxa"/>
            <w:tcBorders>
              <w:top w:val="single" w:sz="4" w:space="0" w:color="C0504D"/>
              <w:left w:val="nil"/>
              <w:bottom w:val="nil"/>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31 submissions received</w:t>
            </w:r>
          </w:p>
        </w:tc>
        <w:tc>
          <w:tcPr>
            <w:tcW w:w="784" w:type="dxa"/>
            <w:gridSpan w:val="2"/>
            <w:tcBorders>
              <w:top w:val="single" w:sz="4" w:space="0" w:color="C0504D"/>
              <w:left w:val="nil"/>
              <w:bottom w:val="nil"/>
              <w:right w:val="single" w:sz="4" w:space="0" w:color="C0504D"/>
            </w:tcBorders>
            <w:shd w:val="clear" w:color="auto" w:fill="auto"/>
            <w:noWrap/>
            <w:vAlign w:val="bottom"/>
            <w:hideMark/>
          </w:tcPr>
          <w:p w:rsidR="00CC79FE" w:rsidRPr="00FA1BCF" w:rsidRDefault="00CC79FE" w:rsidP="00614E22">
            <w:pPr>
              <w:rPr>
                <w:rFonts w:ascii="Calibri" w:eastAsia="Times New Roman" w:hAnsi="Calibri" w:cs="Times New Roman"/>
                <w:color w:val="000000"/>
                <w:lang w:eastAsia="en-AU"/>
              </w:rPr>
            </w:pPr>
          </w:p>
        </w:tc>
      </w:tr>
      <w:tr w:rsidR="009F568B" w:rsidRPr="00FA1BCF" w:rsidTr="00DC19F4">
        <w:trPr>
          <w:cantSplit/>
        </w:trPr>
        <w:tc>
          <w:tcPr>
            <w:tcW w:w="3390" w:type="dxa"/>
            <w:gridSpan w:val="2"/>
            <w:tcBorders>
              <w:top w:val="single" w:sz="4" w:space="0" w:color="C0504D"/>
              <w:left w:val="single" w:sz="4" w:space="0" w:color="C0504D"/>
              <w:bottom w:val="nil"/>
              <w:right w:val="nil"/>
            </w:tcBorders>
            <w:shd w:val="clear" w:color="auto" w:fill="auto"/>
            <w:noWrap/>
          </w:tcPr>
          <w:p w:rsidR="00BE41BC" w:rsidRPr="00E436E7" w:rsidRDefault="00BE41BC" w:rsidP="00E436E7">
            <w:pPr>
              <w:pStyle w:val="TableText"/>
              <w:rPr>
                <w:sz w:val="22"/>
                <w:lang w:eastAsia="en-AU"/>
              </w:rPr>
            </w:pPr>
            <w:r w:rsidRPr="00E436E7">
              <w:rPr>
                <w:sz w:val="22"/>
                <w:lang w:eastAsia="en-AU"/>
              </w:rPr>
              <w:t xml:space="preserve">Rare Voices Australia facilitated consultation on the </w:t>
            </w:r>
            <w:proofErr w:type="spellStart"/>
            <w:r w:rsidRPr="00E436E7">
              <w:rPr>
                <w:sz w:val="22"/>
                <w:lang w:eastAsia="en-AU"/>
              </w:rPr>
              <w:t>review</w:t>
            </w:r>
            <w:r w:rsidRPr="00E436E7">
              <w:rPr>
                <w:b/>
                <w:sz w:val="22"/>
                <w:vertAlign w:val="superscript"/>
                <w:lang w:eastAsia="en-AU"/>
              </w:rPr>
              <w:t>a</w:t>
            </w:r>
            <w:proofErr w:type="spellEnd"/>
          </w:p>
        </w:tc>
        <w:tc>
          <w:tcPr>
            <w:tcW w:w="2388" w:type="dxa"/>
            <w:tcBorders>
              <w:top w:val="single" w:sz="4" w:space="0" w:color="C0504D"/>
              <w:left w:val="nil"/>
              <w:bottom w:val="nil"/>
              <w:right w:val="nil"/>
            </w:tcBorders>
            <w:shd w:val="clear" w:color="auto" w:fill="auto"/>
            <w:noWrap/>
          </w:tcPr>
          <w:p w:rsidR="00BE41BC" w:rsidRPr="00E436E7" w:rsidRDefault="00BE41BC" w:rsidP="00E436E7">
            <w:pPr>
              <w:pStyle w:val="TableText"/>
              <w:rPr>
                <w:sz w:val="22"/>
                <w:lang w:eastAsia="en-AU"/>
              </w:rPr>
            </w:pPr>
            <w:r w:rsidRPr="00E436E7">
              <w:rPr>
                <w:sz w:val="22"/>
                <w:lang w:eastAsia="en-AU"/>
              </w:rPr>
              <w:t>5 September 2014</w:t>
            </w:r>
          </w:p>
        </w:tc>
        <w:tc>
          <w:tcPr>
            <w:tcW w:w="1276" w:type="dxa"/>
            <w:tcBorders>
              <w:top w:val="single" w:sz="4" w:space="0" w:color="C0504D"/>
              <w:left w:val="nil"/>
              <w:bottom w:val="nil"/>
              <w:right w:val="nil"/>
            </w:tcBorders>
          </w:tcPr>
          <w:p w:rsidR="00BE41BC" w:rsidRPr="00E436E7" w:rsidRDefault="00BE41BC" w:rsidP="00E436E7">
            <w:pPr>
              <w:pStyle w:val="TableText"/>
              <w:rPr>
                <w:sz w:val="22"/>
                <w:lang w:eastAsia="en-AU"/>
              </w:rPr>
            </w:pPr>
          </w:p>
        </w:tc>
        <w:tc>
          <w:tcPr>
            <w:tcW w:w="1421" w:type="dxa"/>
            <w:tcBorders>
              <w:top w:val="single" w:sz="4" w:space="0" w:color="C0504D"/>
              <w:left w:val="nil"/>
              <w:bottom w:val="nil"/>
              <w:right w:val="nil"/>
            </w:tcBorders>
            <w:shd w:val="clear" w:color="auto" w:fill="auto"/>
            <w:noWrap/>
          </w:tcPr>
          <w:p w:rsidR="00BE41BC" w:rsidRPr="00E436E7" w:rsidRDefault="00BE41BC" w:rsidP="00E436E7">
            <w:pPr>
              <w:pStyle w:val="TableText"/>
              <w:rPr>
                <w:sz w:val="22"/>
                <w:lang w:eastAsia="en-AU"/>
              </w:rPr>
            </w:pPr>
            <w:r w:rsidRPr="00E436E7">
              <w:rPr>
                <w:sz w:val="22"/>
                <w:lang w:eastAsia="en-AU"/>
              </w:rPr>
              <w:t>20 attendees</w:t>
            </w:r>
          </w:p>
        </w:tc>
        <w:tc>
          <w:tcPr>
            <w:tcW w:w="784" w:type="dxa"/>
            <w:gridSpan w:val="2"/>
            <w:tcBorders>
              <w:top w:val="single" w:sz="4" w:space="0" w:color="C0504D"/>
              <w:left w:val="nil"/>
              <w:bottom w:val="nil"/>
              <w:right w:val="single" w:sz="4" w:space="0" w:color="C0504D"/>
            </w:tcBorders>
            <w:shd w:val="clear" w:color="auto" w:fill="auto"/>
            <w:noWrap/>
            <w:vAlign w:val="bottom"/>
            <w:hideMark/>
          </w:tcPr>
          <w:p w:rsidR="00BE41BC" w:rsidRPr="00FA1BCF" w:rsidRDefault="00BE41BC" w:rsidP="00614E22">
            <w:pPr>
              <w:rPr>
                <w:rFonts w:ascii="Calibri" w:eastAsia="Times New Roman" w:hAnsi="Calibri" w:cs="Times New Roman"/>
                <w:color w:val="000000"/>
                <w:lang w:eastAsia="en-AU"/>
              </w:rPr>
            </w:pPr>
          </w:p>
        </w:tc>
      </w:tr>
      <w:tr w:rsidR="009F568B" w:rsidRPr="00FA1BCF" w:rsidTr="00DC19F4">
        <w:trPr>
          <w:cantSplit/>
        </w:trPr>
        <w:tc>
          <w:tcPr>
            <w:tcW w:w="3390" w:type="dxa"/>
            <w:gridSpan w:val="2"/>
            <w:tcBorders>
              <w:top w:val="single" w:sz="4" w:space="0" w:color="C0504D"/>
              <w:left w:val="single" w:sz="4" w:space="0" w:color="C0504D"/>
              <w:bottom w:val="nil"/>
              <w:right w:val="nil"/>
            </w:tcBorders>
            <w:shd w:val="clear" w:color="auto" w:fill="EAF1DD" w:themeFill="accent3" w:themeFillTint="33"/>
            <w:noWrap/>
          </w:tcPr>
          <w:p w:rsidR="00BE41BC" w:rsidRPr="00E436E7" w:rsidRDefault="00BE41BC" w:rsidP="00E436E7">
            <w:pPr>
              <w:pStyle w:val="TableText"/>
              <w:rPr>
                <w:sz w:val="22"/>
                <w:lang w:eastAsia="en-AU"/>
              </w:rPr>
            </w:pPr>
            <w:r w:rsidRPr="00E436E7">
              <w:rPr>
                <w:sz w:val="22"/>
                <w:lang w:eastAsia="en-AU"/>
              </w:rPr>
              <w:t xml:space="preserve">Reference group </w:t>
            </w:r>
            <w:r w:rsidR="00E02EEF">
              <w:rPr>
                <w:sz w:val="22"/>
                <w:lang w:eastAsia="en-AU"/>
              </w:rPr>
              <w:t>3</w:t>
            </w:r>
            <w:r w:rsidR="00A363A5">
              <w:rPr>
                <w:sz w:val="22"/>
                <w:lang w:eastAsia="en-AU"/>
              </w:rPr>
              <w:t>r</w:t>
            </w:r>
            <w:r w:rsidRPr="00E436E7">
              <w:rPr>
                <w:sz w:val="22"/>
                <w:lang w:eastAsia="en-AU"/>
              </w:rPr>
              <w:t>d meeting</w:t>
            </w:r>
          </w:p>
        </w:tc>
        <w:tc>
          <w:tcPr>
            <w:tcW w:w="2388" w:type="dxa"/>
            <w:tcBorders>
              <w:top w:val="single" w:sz="4" w:space="0" w:color="C0504D"/>
              <w:left w:val="nil"/>
              <w:bottom w:val="nil"/>
              <w:right w:val="nil"/>
            </w:tcBorders>
            <w:shd w:val="clear" w:color="auto" w:fill="EAF1DD" w:themeFill="accent3" w:themeFillTint="33"/>
            <w:noWrap/>
          </w:tcPr>
          <w:p w:rsidR="00BE41BC" w:rsidRPr="00E436E7" w:rsidRDefault="00BE41BC" w:rsidP="00E436E7">
            <w:pPr>
              <w:pStyle w:val="TableText"/>
              <w:rPr>
                <w:sz w:val="22"/>
                <w:lang w:eastAsia="en-AU"/>
              </w:rPr>
            </w:pPr>
            <w:r w:rsidRPr="00E436E7">
              <w:rPr>
                <w:sz w:val="22"/>
                <w:lang w:eastAsia="en-AU"/>
              </w:rPr>
              <w:t xml:space="preserve">16 December 2014 </w:t>
            </w:r>
          </w:p>
        </w:tc>
        <w:tc>
          <w:tcPr>
            <w:tcW w:w="1276" w:type="dxa"/>
            <w:tcBorders>
              <w:top w:val="single" w:sz="4" w:space="0" w:color="C0504D"/>
              <w:left w:val="nil"/>
              <w:bottom w:val="nil"/>
              <w:right w:val="nil"/>
            </w:tcBorders>
            <w:shd w:val="clear" w:color="auto" w:fill="EAF1DD" w:themeFill="accent3" w:themeFillTint="33"/>
          </w:tcPr>
          <w:p w:rsidR="00BE41BC" w:rsidRPr="00E436E7" w:rsidRDefault="00BE41BC" w:rsidP="00E436E7">
            <w:pPr>
              <w:pStyle w:val="TableText"/>
              <w:rPr>
                <w:sz w:val="22"/>
                <w:lang w:eastAsia="en-AU"/>
              </w:rPr>
            </w:pPr>
          </w:p>
        </w:tc>
        <w:tc>
          <w:tcPr>
            <w:tcW w:w="1421" w:type="dxa"/>
            <w:tcBorders>
              <w:top w:val="single" w:sz="4" w:space="0" w:color="C0504D"/>
              <w:left w:val="nil"/>
              <w:bottom w:val="nil"/>
              <w:right w:val="nil"/>
            </w:tcBorders>
            <w:shd w:val="clear" w:color="auto" w:fill="EAF1DD" w:themeFill="accent3" w:themeFillTint="33"/>
            <w:noWrap/>
          </w:tcPr>
          <w:p w:rsidR="00BE41BC" w:rsidRPr="00E436E7" w:rsidRDefault="00BE41BC" w:rsidP="00E436E7">
            <w:pPr>
              <w:pStyle w:val="TableText"/>
              <w:rPr>
                <w:sz w:val="22"/>
                <w:lang w:eastAsia="en-AU"/>
              </w:rPr>
            </w:pPr>
          </w:p>
        </w:tc>
        <w:tc>
          <w:tcPr>
            <w:tcW w:w="784" w:type="dxa"/>
            <w:gridSpan w:val="2"/>
            <w:tcBorders>
              <w:top w:val="single" w:sz="4" w:space="0" w:color="C0504D"/>
              <w:left w:val="nil"/>
              <w:bottom w:val="nil"/>
              <w:right w:val="single" w:sz="4" w:space="0" w:color="C0504D"/>
            </w:tcBorders>
            <w:shd w:val="clear" w:color="auto" w:fill="EAF1DD" w:themeFill="accent3" w:themeFillTint="33"/>
            <w:noWrap/>
            <w:vAlign w:val="bottom"/>
          </w:tcPr>
          <w:p w:rsidR="00BE41BC" w:rsidRPr="00FA1BCF" w:rsidRDefault="00BE41BC" w:rsidP="00614E22">
            <w:pPr>
              <w:rPr>
                <w:rFonts w:ascii="Calibri" w:eastAsia="Times New Roman" w:hAnsi="Calibri" w:cs="Times New Roman"/>
                <w:color w:val="000000"/>
                <w:lang w:eastAsia="en-AU"/>
              </w:rPr>
            </w:pPr>
          </w:p>
        </w:tc>
      </w:tr>
      <w:tr w:rsidR="009F568B" w:rsidRPr="00FA1BCF" w:rsidTr="00DC19F4">
        <w:trPr>
          <w:cantSplit/>
        </w:trPr>
        <w:tc>
          <w:tcPr>
            <w:tcW w:w="3390" w:type="dxa"/>
            <w:gridSpan w:val="2"/>
            <w:tcBorders>
              <w:top w:val="single" w:sz="4" w:space="0" w:color="C0504D"/>
              <w:left w:val="single" w:sz="4" w:space="0" w:color="C0504D"/>
              <w:bottom w:val="nil"/>
              <w:right w:val="nil"/>
            </w:tcBorders>
            <w:shd w:val="clear" w:color="auto" w:fill="EAF1DD" w:themeFill="accent3" w:themeFillTint="33"/>
            <w:noWrap/>
          </w:tcPr>
          <w:p w:rsidR="00BE41BC" w:rsidRPr="00E436E7" w:rsidRDefault="00BE41BC" w:rsidP="00E436E7">
            <w:pPr>
              <w:pStyle w:val="TableText"/>
              <w:rPr>
                <w:sz w:val="22"/>
                <w:lang w:eastAsia="en-AU"/>
              </w:rPr>
            </w:pPr>
            <w:r w:rsidRPr="00E436E7">
              <w:rPr>
                <w:sz w:val="22"/>
                <w:lang w:eastAsia="en-AU"/>
              </w:rPr>
              <w:t>Reference group 4th meeting</w:t>
            </w:r>
          </w:p>
        </w:tc>
        <w:tc>
          <w:tcPr>
            <w:tcW w:w="2388" w:type="dxa"/>
            <w:tcBorders>
              <w:top w:val="single" w:sz="4" w:space="0" w:color="C0504D"/>
              <w:left w:val="nil"/>
              <w:bottom w:val="nil"/>
              <w:right w:val="nil"/>
            </w:tcBorders>
            <w:shd w:val="clear" w:color="auto" w:fill="EAF1DD" w:themeFill="accent3" w:themeFillTint="33"/>
            <w:noWrap/>
          </w:tcPr>
          <w:p w:rsidR="00BE41BC" w:rsidRPr="00E436E7" w:rsidRDefault="00BE41BC" w:rsidP="00E436E7">
            <w:pPr>
              <w:pStyle w:val="TableText"/>
              <w:rPr>
                <w:sz w:val="22"/>
                <w:lang w:eastAsia="en-AU"/>
              </w:rPr>
            </w:pPr>
            <w:r w:rsidRPr="00E436E7">
              <w:rPr>
                <w:sz w:val="22"/>
                <w:lang w:eastAsia="en-AU"/>
              </w:rPr>
              <w:t>2 February 2015</w:t>
            </w:r>
          </w:p>
        </w:tc>
        <w:tc>
          <w:tcPr>
            <w:tcW w:w="1276" w:type="dxa"/>
            <w:tcBorders>
              <w:top w:val="single" w:sz="4" w:space="0" w:color="C0504D"/>
              <w:left w:val="nil"/>
              <w:bottom w:val="nil"/>
              <w:right w:val="nil"/>
            </w:tcBorders>
            <w:shd w:val="clear" w:color="auto" w:fill="EAF1DD" w:themeFill="accent3" w:themeFillTint="33"/>
          </w:tcPr>
          <w:p w:rsidR="00BE41BC" w:rsidRPr="00E436E7" w:rsidRDefault="00BE41BC" w:rsidP="00E436E7">
            <w:pPr>
              <w:pStyle w:val="TableText"/>
              <w:rPr>
                <w:sz w:val="22"/>
                <w:lang w:eastAsia="en-AU"/>
              </w:rPr>
            </w:pPr>
          </w:p>
        </w:tc>
        <w:tc>
          <w:tcPr>
            <w:tcW w:w="1421" w:type="dxa"/>
            <w:tcBorders>
              <w:top w:val="single" w:sz="4" w:space="0" w:color="C0504D"/>
              <w:left w:val="nil"/>
              <w:bottom w:val="nil"/>
              <w:right w:val="nil"/>
            </w:tcBorders>
            <w:shd w:val="clear" w:color="auto" w:fill="EAF1DD" w:themeFill="accent3" w:themeFillTint="33"/>
            <w:noWrap/>
          </w:tcPr>
          <w:p w:rsidR="00BE41BC" w:rsidRPr="00E436E7" w:rsidRDefault="00BE41BC" w:rsidP="00E436E7">
            <w:pPr>
              <w:pStyle w:val="TableText"/>
              <w:rPr>
                <w:sz w:val="22"/>
                <w:lang w:eastAsia="en-AU"/>
              </w:rPr>
            </w:pPr>
          </w:p>
        </w:tc>
        <w:tc>
          <w:tcPr>
            <w:tcW w:w="784" w:type="dxa"/>
            <w:gridSpan w:val="2"/>
            <w:tcBorders>
              <w:top w:val="single" w:sz="4" w:space="0" w:color="C0504D"/>
              <w:left w:val="nil"/>
              <w:bottom w:val="nil"/>
              <w:right w:val="single" w:sz="4" w:space="0" w:color="C0504D"/>
            </w:tcBorders>
            <w:shd w:val="clear" w:color="auto" w:fill="EAF1DD" w:themeFill="accent3" w:themeFillTint="33"/>
            <w:noWrap/>
            <w:vAlign w:val="bottom"/>
          </w:tcPr>
          <w:p w:rsidR="00BE41BC" w:rsidRPr="00FA1BCF" w:rsidRDefault="00BE41BC" w:rsidP="00614E22">
            <w:pPr>
              <w:rPr>
                <w:rFonts w:ascii="Calibri" w:eastAsia="Times New Roman" w:hAnsi="Calibri" w:cs="Times New Roman"/>
                <w:color w:val="000000"/>
                <w:lang w:eastAsia="en-AU"/>
              </w:rPr>
            </w:pPr>
          </w:p>
        </w:tc>
      </w:tr>
      <w:tr w:rsidR="009F568B" w:rsidRPr="00FA1BCF" w:rsidTr="00DC19F4">
        <w:trPr>
          <w:cantSplit/>
        </w:trPr>
        <w:tc>
          <w:tcPr>
            <w:tcW w:w="3390" w:type="dxa"/>
            <w:gridSpan w:val="2"/>
            <w:tcBorders>
              <w:top w:val="single" w:sz="4" w:space="0" w:color="C0504D"/>
              <w:left w:val="single" w:sz="4" w:space="0" w:color="C0504D"/>
              <w:bottom w:val="nil"/>
              <w:right w:val="nil"/>
            </w:tcBorders>
            <w:shd w:val="clear" w:color="auto" w:fill="EEECE1" w:themeFill="background2"/>
            <w:noWrap/>
          </w:tcPr>
          <w:p w:rsidR="00BE41BC" w:rsidRPr="00E436E7" w:rsidRDefault="00BE41BC" w:rsidP="00E436E7">
            <w:pPr>
              <w:pStyle w:val="TableText"/>
              <w:rPr>
                <w:sz w:val="22"/>
                <w:lang w:eastAsia="en-AU"/>
              </w:rPr>
            </w:pPr>
            <w:r w:rsidRPr="00E436E7">
              <w:rPr>
                <w:sz w:val="22"/>
                <w:lang w:eastAsia="en-AU"/>
              </w:rPr>
              <w:t>Submissions to terms of reference published</w:t>
            </w:r>
          </w:p>
        </w:tc>
        <w:tc>
          <w:tcPr>
            <w:tcW w:w="2388" w:type="dxa"/>
            <w:tcBorders>
              <w:top w:val="single" w:sz="4" w:space="0" w:color="C0504D"/>
              <w:left w:val="nil"/>
              <w:bottom w:val="nil"/>
              <w:right w:val="nil"/>
            </w:tcBorders>
            <w:shd w:val="clear" w:color="auto" w:fill="EEECE1" w:themeFill="background2"/>
            <w:noWrap/>
          </w:tcPr>
          <w:p w:rsidR="00BE41BC" w:rsidRPr="00E436E7" w:rsidRDefault="00BE41BC" w:rsidP="00E436E7">
            <w:pPr>
              <w:pStyle w:val="TableText"/>
              <w:rPr>
                <w:sz w:val="22"/>
                <w:lang w:eastAsia="en-AU"/>
              </w:rPr>
            </w:pPr>
            <w:r w:rsidRPr="00E436E7">
              <w:rPr>
                <w:sz w:val="22"/>
                <w:lang w:eastAsia="en-AU"/>
              </w:rPr>
              <w:t>4 March 2015</w:t>
            </w:r>
          </w:p>
        </w:tc>
        <w:tc>
          <w:tcPr>
            <w:tcW w:w="1276" w:type="dxa"/>
            <w:tcBorders>
              <w:top w:val="single" w:sz="4" w:space="0" w:color="C0504D"/>
              <w:left w:val="nil"/>
              <w:bottom w:val="nil"/>
              <w:right w:val="nil"/>
            </w:tcBorders>
            <w:shd w:val="clear" w:color="auto" w:fill="EEECE1" w:themeFill="background2"/>
          </w:tcPr>
          <w:p w:rsidR="00BE41BC" w:rsidRPr="00E436E7" w:rsidRDefault="00BE41BC" w:rsidP="00E436E7">
            <w:pPr>
              <w:pStyle w:val="TableText"/>
              <w:rPr>
                <w:sz w:val="22"/>
                <w:lang w:eastAsia="en-AU"/>
              </w:rPr>
            </w:pPr>
          </w:p>
        </w:tc>
        <w:tc>
          <w:tcPr>
            <w:tcW w:w="1421" w:type="dxa"/>
            <w:tcBorders>
              <w:top w:val="single" w:sz="4" w:space="0" w:color="C0504D"/>
              <w:left w:val="nil"/>
              <w:bottom w:val="nil"/>
              <w:right w:val="nil"/>
            </w:tcBorders>
            <w:shd w:val="clear" w:color="auto" w:fill="EEECE1" w:themeFill="background2"/>
            <w:noWrap/>
          </w:tcPr>
          <w:p w:rsidR="00BE41BC" w:rsidRPr="00E436E7" w:rsidRDefault="00BE41BC" w:rsidP="00E436E7">
            <w:pPr>
              <w:pStyle w:val="TableText"/>
              <w:rPr>
                <w:sz w:val="22"/>
                <w:lang w:eastAsia="en-AU"/>
              </w:rPr>
            </w:pPr>
          </w:p>
        </w:tc>
        <w:tc>
          <w:tcPr>
            <w:tcW w:w="784" w:type="dxa"/>
            <w:gridSpan w:val="2"/>
            <w:tcBorders>
              <w:top w:val="single" w:sz="4" w:space="0" w:color="C0504D"/>
              <w:left w:val="nil"/>
              <w:bottom w:val="nil"/>
              <w:right w:val="single" w:sz="4" w:space="0" w:color="C0504D"/>
            </w:tcBorders>
            <w:shd w:val="clear" w:color="auto" w:fill="EEECE1" w:themeFill="background2"/>
            <w:noWrap/>
            <w:vAlign w:val="bottom"/>
          </w:tcPr>
          <w:p w:rsidR="00BE41BC" w:rsidRPr="00E436E7" w:rsidRDefault="00BE41BC" w:rsidP="00614E22">
            <w:pPr>
              <w:rPr>
                <w:rFonts w:ascii="Calibri" w:eastAsia="Times New Roman" w:hAnsi="Calibri" w:cs="Times New Roman"/>
                <w:color w:val="000000"/>
                <w:sz w:val="22"/>
                <w:lang w:eastAsia="en-AU"/>
              </w:rPr>
            </w:pPr>
          </w:p>
        </w:tc>
      </w:tr>
      <w:tr w:rsidR="009F568B" w:rsidRPr="00FA1BCF" w:rsidTr="00DC19F4">
        <w:trPr>
          <w:cantSplit/>
        </w:trPr>
        <w:tc>
          <w:tcPr>
            <w:tcW w:w="3390" w:type="dxa"/>
            <w:gridSpan w:val="2"/>
            <w:tcBorders>
              <w:top w:val="single" w:sz="4" w:space="0" w:color="C0504D"/>
              <w:left w:val="single" w:sz="4" w:space="0" w:color="C0504D"/>
              <w:bottom w:val="nil"/>
              <w:right w:val="nil"/>
            </w:tcBorders>
            <w:shd w:val="clear" w:color="auto" w:fill="auto"/>
            <w:noWrap/>
          </w:tcPr>
          <w:p w:rsidR="00BE41BC" w:rsidRPr="00E436E7" w:rsidRDefault="00BE41BC" w:rsidP="00E436E7">
            <w:pPr>
              <w:pStyle w:val="TableText"/>
              <w:rPr>
                <w:sz w:val="22"/>
                <w:lang w:eastAsia="en-AU"/>
              </w:rPr>
            </w:pPr>
            <w:r w:rsidRPr="00E436E7">
              <w:rPr>
                <w:sz w:val="22"/>
                <w:lang w:eastAsia="en-AU"/>
              </w:rPr>
              <w:t>Consumers Health Forum facilitated workshops on terms of reference 4 and 7</w:t>
            </w:r>
            <w:r w:rsidRPr="00E436E7">
              <w:rPr>
                <w:b/>
                <w:sz w:val="22"/>
                <w:vertAlign w:val="superscript"/>
                <w:lang w:eastAsia="en-AU"/>
              </w:rPr>
              <w:t>b</w:t>
            </w:r>
          </w:p>
        </w:tc>
        <w:tc>
          <w:tcPr>
            <w:tcW w:w="2388" w:type="dxa"/>
            <w:tcBorders>
              <w:top w:val="single" w:sz="4" w:space="0" w:color="C0504D"/>
              <w:left w:val="nil"/>
              <w:bottom w:val="nil"/>
              <w:right w:val="nil"/>
            </w:tcBorders>
            <w:shd w:val="clear" w:color="auto" w:fill="auto"/>
            <w:noWrap/>
          </w:tcPr>
          <w:p w:rsidR="00BE41BC" w:rsidRPr="00E436E7" w:rsidRDefault="00BE41BC" w:rsidP="00E436E7">
            <w:pPr>
              <w:pStyle w:val="TableText"/>
              <w:rPr>
                <w:sz w:val="22"/>
                <w:lang w:eastAsia="en-AU"/>
              </w:rPr>
            </w:pPr>
            <w:r w:rsidRPr="00E436E7">
              <w:rPr>
                <w:sz w:val="22"/>
                <w:lang w:eastAsia="en-AU"/>
              </w:rPr>
              <w:t>19 March 2015 (Melbourne)</w:t>
            </w:r>
          </w:p>
          <w:p w:rsidR="00BE41BC" w:rsidRPr="00E436E7" w:rsidRDefault="00BE41BC" w:rsidP="00E436E7">
            <w:pPr>
              <w:pStyle w:val="TableText"/>
              <w:rPr>
                <w:sz w:val="22"/>
                <w:lang w:eastAsia="en-AU"/>
              </w:rPr>
            </w:pPr>
            <w:r w:rsidRPr="00E436E7">
              <w:rPr>
                <w:sz w:val="22"/>
                <w:lang w:eastAsia="en-AU"/>
              </w:rPr>
              <w:t>24 March 2015 (Sydney)</w:t>
            </w:r>
          </w:p>
        </w:tc>
        <w:tc>
          <w:tcPr>
            <w:tcW w:w="1276" w:type="dxa"/>
            <w:tcBorders>
              <w:top w:val="single" w:sz="4" w:space="0" w:color="C0504D"/>
              <w:left w:val="nil"/>
              <w:bottom w:val="nil"/>
              <w:right w:val="nil"/>
            </w:tcBorders>
          </w:tcPr>
          <w:p w:rsidR="00BE41BC" w:rsidRPr="00E436E7" w:rsidRDefault="00BE41BC" w:rsidP="00E436E7">
            <w:pPr>
              <w:pStyle w:val="TableText"/>
              <w:rPr>
                <w:sz w:val="22"/>
                <w:lang w:eastAsia="en-AU"/>
              </w:rPr>
            </w:pPr>
          </w:p>
        </w:tc>
        <w:tc>
          <w:tcPr>
            <w:tcW w:w="1421" w:type="dxa"/>
            <w:tcBorders>
              <w:top w:val="single" w:sz="4" w:space="0" w:color="C0504D"/>
              <w:left w:val="nil"/>
              <w:bottom w:val="nil"/>
              <w:right w:val="nil"/>
            </w:tcBorders>
            <w:shd w:val="clear" w:color="auto" w:fill="auto"/>
            <w:noWrap/>
          </w:tcPr>
          <w:p w:rsidR="00BE41BC" w:rsidRPr="00E436E7" w:rsidRDefault="00BE41BC" w:rsidP="00E436E7">
            <w:pPr>
              <w:pStyle w:val="TableText"/>
              <w:rPr>
                <w:sz w:val="22"/>
                <w:lang w:eastAsia="en-AU"/>
              </w:rPr>
            </w:pPr>
            <w:r w:rsidRPr="00E436E7">
              <w:rPr>
                <w:sz w:val="22"/>
                <w:lang w:eastAsia="en-AU"/>
              </w:rPr>
              <w:t>50 attendees (excluding facilitators)</w:t>
            </w:r>
          </w:p>
        </w:tc>
        <w:tc>
          <w:tcPr>
            <w:tcW w:w="784" w:type="dxa"/>
            <w:gridSpan w:val="2"/>
            <w:tcBorders>
              <w:top w:val="single" w:sz="4" w:space="0" w:color="C0504D"/>
              <w:left w:val="nil"/>
              <w:bottom w:val="nil"/>
              <w:right w:val="single" w:sz="4" w:space="0" w:color="C0504D"/>
            </w:tcBorders>
            <w:shd w:val="clear" w:color="auto" w:fill="auto"/>
            <w:noWrap/>
            <w:vAlign w:val="bottom"/>
            <w:hideMark/>
          </w:tcPr>
          <w:p w:rsidR="00BE41BC" w:rsidRPr="00E436E7" w:rsidRDefault="00BE41BC" w:rsidP="00614E22">
            <w:pPr>
              <w:rPr>
                <w:rFonts w:ascii="Calibri" w:eastAsia="Times New Roman" w:hAnsi="Calibri" w:cs="Times New Roman"/>
                <w:color w:val="000000"/>
                <w:sz w:val="22"/>
                <w:lang w:eastAsia="en-AU"/>
              </w:rPr>
            </w:pPr>
          </w:p>
        </w:tc>
      </w:tr>
      <w:tr w:rsidR="009F568B" w:rsidRPr="00FA1BCF" w:rsidTr="00DC19F4">
        <w:trPr>
          <w:cantSplit/>
        </w:trPr>
        <w:tc>
          <w:tcPr>
            <w:tcW w:w="3390" w:type="dxa"/>
            <w:gridSpan w:val="2"/>
            <w:tcBorders>
              <w:top w:val="single" w:sz="4" w:space="0" w:color="C0504D"/>
              <w:left w:val="single" w:sz="4" w:space="0" w:color="C0504D"/>
              <w:bottom w:val="single" w:sz="4" w:space="0" w:color="C0504D"/>
              <w:right w:val="nil"/>
            </w:tcBorders>
            <w:shd w:val="clear" w:color="auto" w:fill="auto"/>
            <w:noWrap/>
          </w:tcPr>
          <w:p w:rsidR="00BE41BC" w:rsidRPr="00E436E7" w:rsidRDefault="00BE41BC" w:rsidP="00E436E7">
            <w:pPr>
              <w:pStyle w:val="TableText"/>
              <w:rPr>
                <w:sz w:val="22"/>
                <w:lang w:eastAsia="en-AU"/>
              </w:rPr>
            </w:pPr>
            <w:r w:rsidRPr="00E436E7">
              <w:rPr>
                <w:sz w:val="22"/>
                <w:lang w:eastAsia="en-AU"/>
              </w:rPr>
              <w:t>Consumers Health Forum online survey</w:t>
            </w:r>
          </w:p>
        </w:tc>
        <w:tc>
          <w:tcPr>
            <w:tcW w:w="2388" w:type="dxa"/>
            <w:tcBorders>
              <w:top w:val="single" w:sz="4" w:space="0" w:color="C0504D"/>
              <w:left w:val="nil"/>
              <w:bottom w:val="single" w:sz="4" w:space="0" w:color="C0504D"/>
              <w:right w:val="nil"/>
            </w:tcBorders>
            <w:shd w:val="clear" w:color="auto" w:fill="auto"/>
            <w:noWrap/>
          </w:tcPr>
          <w:p w:rsidR="00BE41BC" w:rsidRPr="00E436E7" w:rsidRDefault="00BE41BC" w:rsidP="00E436E7">
            <w:pPr>
              <w:pStyle w:val="TableText"/>
              <w:rPr>
                <w:sz w:val="22"/>
                <w:lang w:eastAsia="en-AU"/>
              </w:rPr>
            </w:pPr>
            <w:r w:rsidRPr="00E436E7">
              <w:rPr>
                <w:sz w:val="22"/>
                <w:lang w:eastAsia="en-AU"/>
              </w:rPr>
              <w:t>19 March 2015</w:t>
            </w:r>
            <w:r w:rsidR="000A4370" w:rsidRPr="00E436E7">
              <w:rPr>
                <w:sz w:val="22"/>
                <w:lang w:eastAsia="en-AU"/>
              </w:rPr>
              <w:t xml:space="preserve"> </w:t>
            </w:r>
            <w:r w:rsidRPr="00E436E7">
              <w:rPr>
                <w:sz w:val="22"/>
                <w:lang w:eastAsia="en-AU"/>
              </w:rPr>
              <w:t>– 10 April 2015</w:t>
            </w:r>
          </w:p>
        </w:tc>
        <w:tc>
          <w:tcPr>
            <w:tcW w:w="1276" w:type="dxa"/>
            <w:tcBorders>
              <w:top w:val="single" w:sz="4" w:space="0" w:color="C0504D"/>
              <w:left w:val="nil"/>
              <w:bottom w:val="single" w:sz="4" w:space="0" w:color="C0504D"/>
              <w:right w:val="nil"/>
            </w:tcBorders>
          </w:tcPr>
          <w:p w:rsidR="00BE41BC" w:rsidRPr="00E436E7" w:rsidRDefault="00BE41BC" w:rsidP="00E436E7">
            <w:pPr>
              <w:pStyle w:val="TableText"/>
              <w:rPr>
                <w:sz w:val="22"/>
                <w:lang w:eastAsia="en-AU"/>
              </w:rPr>
            </w:pPr>
          </w:p>
        </w:tc>
        <w:tc>
          <w:tcPr>
            <w:tcW w:w="1421" w:type="dxa"/>
            <w:tcBorders>
              <w:top w:val="single" w:sz="4" w:space="0" w:color="C0504D"/>
              <w:left w:val="nil"/>
              <w:bottom w:val="single" w:sz="4" w:space="0" w:color="C0504D"/>
              <w:right w:val="nil"/>
            </w:tcBorders>
            <w:shd w:val="clear" w:color="auto" w:fill="auto"/>
            <w:noWrap/>
          </w:tcPr>
          <w:p w:rsidR="00BE41BC" w:rsidRPr="00E436E7" w:rsidRDefault="00BE41BC" w:rsidP="00E436E7">
            <w:pPr>
              <w:pStyle w:val="TableText"/>
              <w:rPr>
                <w:sz w:val="22"/>
                <w:lang w:eastAsia="en-AU"/>
              </w:rPr>
            </w:pPr>
            <w:r w:rsidRPr="00E436E7">
              <w:rPr>
                <w:sz w:val="22"/>
                <w:lang w:eastAsia="en-AU"/>
              </w:rPr>
              <w:t>174 respondents</w:t>
            </w:r>
          </w:p>
        </w:tc>
        <w:tc>
          <w:tcPr>
            <w:tcW w:w="784" w:type="dxa"/>
            <w:gridSpan w:val="2"/>
            <w:tcBorders>
              <w:top w:val="single" w:sz="4" w:space="0" w:color="C0504D"/>
              <w:left w:val="nil"/>
              <w:bottom w:val="single" w:sz="4" w:space="0" w:color="C0504D"/>
              <w:right w:val="single" w:sz="4" w:space="0" w:color="C0504D"/>
            </w:tcBorders>
            <w:shd w:val="clear" w:color="auto" w:fill="auto"/>
            <w:noWrap/>
            <w:vAlign w:val="bottom"/>
            <w:hideMark/>
          </w:tcPr>
          <w:p w:rsidR="00BE41BC" w:rsidRPr="00E436E7" w:rsidRDefault="00BE41BC" w:rsidP="00614E22">
            <w:pPr>
              <w:rPr>
                <w:rFonts w:ascii="Calibri" w:eastAsia="Times New Roman" w:hAnsi="Calibri" w:cs="Times New Roman"/>
                <w:color w:val="000000"/>
                <w:sz w:val="22"/>
                <w:lang w:eastAsia="en-AU"/>
              </w:rPr>
            </w:pPr>
          </w:p>
        </w:tc>
      </w:tr>
      <w:tr w:rsidR="009F568B" w:rsidRPr="00FA1BCF" w:rsidTr="00DC19F4">
        <w:trPr>
          <w:cantSplit/>
        </w:trPr>
        <w:tc>
          <w:tcPr>
            <w:tcW w:w="3085" w:type="dxa"/>
            <w:tcBorders>
              <w:top w:val="single" w:sz="4" w:space="0" w:color="C0504D"/>
              <w:left w:val="single" w:sz="4" w:space="0" w:color="C0504D"/>
              <w:bottom w:val="nil"/>
              <w:right w:val="nil"/>
            </w:tcBorders>
            <w:shd w:val="clear" w:color="auto" w:fill="EEECE1" w:themeFill="background2"/>
            <w:noWrap/>
            <w:hideMark/>
          </w:tcPr>
          <w:p w:rsidR="00CC79FE" w:rsidRPr="00E436E7" w:rsidRDefault="00CC79FE" w:rsidP="00E436E7">
            <w:pPr>
              <w:pStyle w:val="TableText"/>
              <w:rPr>
                <w:sz w:val="22"/>
                <w:lang w:eastAsia="en-AU"/>
              </w:rPr>
            </w:pPr>
            <w:r w:rsidRPr="00E436E7">
              <w:rPr>
                <w:sz w:val="22"/>
                <w:lang w:eastAsia="en-AU"/>
              </w:rPr>
              <w:t xml:space="preserve">Issues </w:t>
            </w:r>
            <w:r w:rsidR="0006003A" w:rsidRPr="00E436E7">
              <w:rPr>
                <w:sz w:val="22"/>
                <w:lang w:eastAsia="en-AU"/>
              </w:rPr>
              <w:t>p</w:t>
            </w:r>
            <w:r w:rsidRPr="00E436E7">
              <w:rPr>
                <w:sz w:val="22"/>
                <w:lang w:eastAsia="en-AU"/>
              </w:rPr>
              <w:t>aper published</w:t>
            </w:r>
          </w:p>
        </w:tc>
        <w:tc>
          <w:tcPr>
            <w:tcW w:w="305" w:type="dxa"/>
            <w:tcBorders>
              <w:top w:val="single" w:sz="4" w:space="0" w:color="C0504D"/>
              <w:left w:val="nil"/>
              <w:bottom w:val="nil"/>
              <w:right w:val="nil"/>
            </w:tcBorders>
            <w:shd w:val="clear" w:color="auto" w:fill="EEECE1" w:themeFill="background2"/>
            <w:noWrap/>
            <w:hideMark/>
          </w:tcPr>
          <w:p w:rsidR="00CC79FE" w:rsidRPr="00E436E7" w:rsidRDefault="00CC79FE" w:rsidP="00E436E7">
            <w:pPr>
              <w:pStyle w:val="TableText"/>
              <w:rPr>
                <w:sz w:val="22"/>
                <w:lang w:eastAsia="en-AU"/>
              </w:rPr>
            </w:pPr>
          </w:p>
        </w:tc>
        <w:tc>
          <w:tcPr>
            <w:tcW w:w="2388" w:type="dxa"/>
            <w:tcBorders>
              <w:top w:val="single" w:sz="4" w:space="0" w:color="C0504D"/>
              <w:left w:val="nil"/>
              <w:bottom w:val="nil"/>
              <w:right w:val="nil"/>
            </w:tcBorders>
            <w:shd w:val="clear" w:color="auto" w:fill="EEECE1" w:themeFill="background2"/>
            <w:noWrap/>
            <w:hideMark/>
          </w:tcPr>
          <w:p w:rsidR="00CC79FE" w:rsidRPr="00E436E7" w:rsidRDefault="00CC79FE" w:rsidP="00E436E7">
            <w:pPr>
              <w:pStyle w:val="TableText"/>
              <w:rPr>
                <w:sz w:val="22"/>
                <w:lang w:eastAsia="en-AU"/>
              </w:rPr>
            </w:pPr>
            <w:r w:rsidRPr="00E436E7">
              <w:rPr>
                <w:sz w:val="22"/>
                <w:lang w:eastAsia="en-AU"/>
              </w:rPr>
              <w:t>10 April 2015</w:t>
            </w:r>
            <w:r w:rsidR="000A4370" w:rsidRPr="00E436E7">
              <w:rPr>
                <w:sz w:val="22"/>
                <w:lang w:eastAsia="en-AU"/>
              </w:rPr>
              <w:t xml:space="preserve"> </w:t>
            </w:r>
            <w:r w:rsidR="003B146F" w:rsidRPr="00E436E7">
              <w:rPr>
                <w:sz w:val="22"/>
                <w:lang w:eastAsia="en-AU"/>
              </w:rPr>
              <w:t>–</w:t>
            </w:r>
          </w:p>
          <w:p w:rsidR="00CC79FE" w:rsidRPr="00E436E7" w:rsidRDefault="00CC79FE" w:rsidP="00E436E7">
            <w:pPr>
              <w:pStyle w:val="TableText"/>
              <w:rPr>
                <w:sz w:val="22"/>
                <w:lang w:eastAsia="en-AU"/>
              </w:rPr>
            </w:pPr>
            <w:r w:rsidRPr="00E436E7">
              <w:rPr>
                <w:sz w:val="22"/>
                <w:lang w:eastAsia="en-AU"/>
              </w:rPr>
              <w:t>30 April 2015</w:t>
            </w:r>
          </w:p>
        </w:tc>
        <w:tc>
          <w:tcPr>
            <w:tcW w:w="1276" w:type="dxa"/>
            <w:tcBorders>
              <w:top w:val="single" w:sz="4" w:space="0" w:color="C0504D"/>
              <w:left w:val="nil"/>
              <w:bottom w:val="nil"/>
              <w:right w:val="nil"/>
            </w:tcBorders>
            <w:shd w:val="clear" w:color="auto" w:fill="EEECE1" w:themeFill="background2"/>
          </w:tcPr>
          <w:p w:rsidR="00CC79FE" w:rsidRPr="00E436E7" w:rsidRDefault="00CC79FE" w:rsidP="00E436E7">
            <w:pPr>
              <w:pStyle w:val="TableText"/>
              <w:rPr>
                <w:sz w:val="22"/>
                <w:lang w:eastAsia="en-AU"/>
              </w:rPr>
            </w:pPr>
            <w:r w:rsidRPr="00E436E7">
              <w:rPr>
                <w:sz w:val="22"/>
                <w:lang w:eastAsia="en-AU"/>
              </w:rPr>
              <w:t>Approx. 3</w:t>
            </w:r>
            <w:r w:rsidR="009F568B">
              <w:rPr>
                <w:sz w:val="22"/>
                <w:lang w:eastAsia="en-AU"/>
              </w:rPr>
              <w:t> </w:t>
            </w:r>
            <w:r w:rsidRPr="00E436E7">
              <w:rPr>
                <w:sz w:val="22"/>
                <w:lang w:eastAsia="en-AU"/>
              </w:rPr>
              <w:t>weeks</w:t>
            </w:r>
          </w:p>
        </w:tc>
        <w:tc>
          <w:tcPr>
            <w:tcW w:w="1421" w:type="dxa"/>
            <w:tcBorders>
              <w:top w:val="single" w:sz="4" w:space="0" w:color="C0504D"/>
              <w:left w:val="nil"/>
              <w:bottom w:val="nil"/>
              <w:right w:val="nil"/>
            </w:tcBorders>
            <w:shd w:val="clear" w:color="auto" w:fill="EEECE1" w:themeFill="background2"/>
            <w:noWrap/>
            <w:hideMark/>
          </w:tcPr>
          <w:p w:rsidR="00CC79FE" w:rsidRPr="00E436E7" w:rsidRDefault="00CC79FE" w:rsidP="00E436E7">
            <w:pPr>
              <w:pStyle w:val="TableText"/>
              <w:rPr>
                <w:sz w:val="22"/>
                <w:lang w:eastAsia="en-AU"/>
              </w:rPr>
            </w:pPr>
            <w:r w:rsidRPr="00E436E7">
              <w:rPr>
                <w:sz w:val="22"/>
                <w:lang w:eastAsia="en-AU"/>
              </w:rPr>
              <w:t>28</w:t>
            </w:r>
            <w:r w:rsidR="00B56F35" w:rsidRPr="00E436E7">
              <w:rPr>
                <w:sz w:val="22"/>
                <w:lang w:eastAsia="en-AU"/>
              </w:rPr>
              <w:t xml:space="preserve"> </w:t>
            </w:r>
            <w:r w:rsidRPr="00E436E7">
              <w:rPr>
                <w:sz w:val="22"/>
                <w:lang w:eastAsia="en-AU"/>
              </w:rPr>
              <w:t>submissions received</w:t>
            </w:r>
          </w:p>
        </w:tc>
        <w:tc>
          <w:tcPr>
            <w:tcW w:w="784" w:type="dxa"/>
            <w:gridSpan w:val="2"/>
            <w:tcBorders>
              <w:top w:val="single" w:sz="4" w:space="0" w:color="C0504D"/>
              <w:left w:val="nil"/>
              <w:bottom w:val="nil"/>
              <w:right w:val="single" w:sz="4" w:space="0" w:color="C0504D"/>
            </w:tcBorders>
            <w:shd w:val="clear" w:color="auto" w:fill="EEECE1" w:themeFill="background2"/>
            <w:noWrap/>
            <w:vAlign w:val="bottom"/>
            <w:hideMark/>
          </w:tcPr>
          <w:p w:rsidR="00CC79FE" w:rsidRPr="00E436E7" w:rsidRDefault="00CC79FE" w:rsidP="00614E22">
            <w:pPr>
              <w:rPr>
                <w:rFonts w:ascii="Calibri" w:eastAsia="Times New Roman" w:hAnsi="Calibri" w:cs="Times New Roman"/>
                <w:color w:val="000000"/>
                <w:sz w:val="22"/>
                <w:lang w:eastAsia="en-AU"/>
              </w:rPr>
            </w:pPr>
          </w:p>
        </w:tc>
      </w:tr>
      <w:tr w:rsidR="009F568B" w:rsidRPr="00FA1BCF" w:rsidTr="00DC19F4">
        <w:trPr>
          <w:cantSplit/>
        </w:trPr>
        <w:tc>
          <w:tcPr>
            <w:tcW w:w="3085" w:type="dxa"/>
            <w:tcBorders>
              <w:top w:val="single" w:sz="4" w:space="0" w:color="C0504D"/>
              <w:left w:val="single" w:sz="4" w:space="0" w:color="C0504D"/>
              <w:bottom w:val="nil"/>
              <w:right w:val="nil"/>
            </w:tcBorders>
            <w:shd w:val="clear" w:color="auto" w:fill="EEECE1" w:themeFill="background2"/>
            <w:noWrap/>
          </w:tcPr>
          <w:p w:rsidR="00CC79FE" w:rsidRPr="00E436E7" w:rsidRDefault="00CC79FE" w:rsidP="00E436E7">
            <w:pPr>
              <w:pStyle w:val="TableText"/>
              <w:rPr>
                <w:sz w:val="22"/>
                <w:lang w:eastAsia="en-AU"/>
              </w:rPr>
            </w:pPr>
            <w:r w:rsidRPr="00E436E7">
              <w:rPr>
                <w:sz w:val="22"/>
                <w:lang w:eastAsia="en-AU"/>
              </w:rPr>
              <w:t>LSDP</w:t>
            </w:r>
            <w:r w:rsidR="000A4370" w:rsidRPr="00E436E7">
              <w:rPr>
                <w:sz w:val="22"/>
                <w:lang w:eastAsia="en-AU"/>
              </w:rPr>
              <w:t xml:space="preserve"> </w:t>
            </w:r>
            <w:r w:rsidRPr="00E436E7">
              <w:rPr>
                <w:sz w:val="22"/>
                <w:lang w:eastAsia="en-AU"/>
              </w:rPr>
              <w:t xml:space="preserve"> </w:t>
            </w:r>
            <w:r w:rsidR="000A4370" w:rsidRPr="00E436E7">
              <w:rPr>
                <w:sz w:val="22"/>
                <w:lang w:eastAsia="en-AU"/>
              </w:rPr>
              <w:t>t</w:t>
            </w:r>
            <w:r w:rsidRPr="00E436E7">
              <w:rPr>
                <w:sz w:val="22"/>
                <w:lang w:eastAsia="en-AU"/>
              </w:rPr>
              <w:t xml:space="preserve">echnical </w:t>
            </w:r>
            <w:r w:rsidR="000A4370" w:rsidRPr="00E436E7">
              <w:rPr>
                <w:sz w:val="22"/>
                <w:lang w:eastAsia="en-AU"/>
              </w:rPr>
              <w:t>a</w:t>
            </w:r>
            <w:r w:rsidRPr="00E436E7">
              <w:rPr>
                <w:sz w:val="22"/>
                <w:lang w:eastAsia="en-AU"/>
              </w:rPr>
              <w:t xml:space="preserve">ssessment </w:t>
            </w:r>
            <w:r w:rsidR="000A4370" w:rsidRPr="00E436E7">
              <w:rPr>
                <w:sz w:val="22"/>
                <w:lang w:eastAsia="en-AU"/>
              </w:rPr>
              <w:t>r</w:t>
            </w:r>
            <w:r w:rsidRPr="00E436E7">
              <w:rPr>
                <w:sz w:val="22"/>
                <w:lang w:eastAsia="en-AU"/>
              </w:rPr>
              <w:t>eport published</w:t>
            </w:r>
          </w:p>
        </w:tc>
        <w:tc>
          <w:tcPr>
            <w:tcW w:w="305" w:type="dxa"/>
            <w:tcBorders>
              <w:top w:val="single" w:sz="4" w:space="0" w:color="C0504D"/>
              <w:left w:val="nil"/>
              <w:bottom w:val="nil"/>
              <w:right w:val="nil"/>
            </w:tcBorders>
            <w:shd w:val="clear" w:color="auto" w:fill="EEECE1" w:themeFill="background2"/>
            <w:noWrap/>
          </w:tcPr>
          <w:p w:rsidR="00CC79FE" w:rsidRPr="00E436E7" w:rsidRDefault="00CC79FE" w:rsidP="00E436E7">
            <w:pPr>
              <w:pStyle w:val="TableText"/>
              <w:rPr>
                <w:sz w:val="22"/>
                <w:lang w:eastAsia="en-AU"/>
              </w:rPr>
            </w:pPr>
          </w:p>
        </w:tc>
        <w:tc>
          <w:tcPr>
            <w:tcW w:w="2388" w:type="dxa"/>
            <w:tcBorders>
              <w:top w:val="single" w:sz="4" w:space="0" w:color="C0504D"/>
              <w:left w:val="nil"/>
              <w:bottom w:val="nil"/>
              <w:right w:val="nil"/>
            </w:tcBorders>
            <w:shd w:val="clear" w:color="auto" w:fill="EEECE1" w:themeFill="background2"/>
            <w:noWrap/>
          </w:tcPr>
          <w:p w:rsidR="00CC79FE" w:rsidRPr="00E436E7" w:rsidRDefault="00CC79FE" w:rsidP="00E436E7">
            <w:pPr>
              <w:pStyle w:val="TableText"/>
              <w:rPr>
                <w:sz w:val="22"/>
                <w:lang w:eastAsia="en-AU"/>
              </w:rPr>
            </w:pPr>
            <w:r w:rsidRPr="00E436E7">
              <w:rPr>
                <w:sz w:val="22"/>
                <w:lang w:eastAsia="en-AU"/>
              </w:rPr>
              <w:t>10 April 2015</w:t>
            </w:r>
          </w:p>
        </w:tc>
        <w:tc>
          <w:tcPr>
            <w:tcW w:w="1276" w:type="dxa"/>
            <w:tcBorders>
              <w:top w:val="single" w:sz="4" w:space="0" w:color="C0504D"/>
              <w:left w:val="nil"/>
              <w:bottom w:val="nil"/>
              <w:right w:val="nil"/>
            </w:tcBorders>
            <w:shd w:val="clear" w:color="auto" w:fill="EEECE1" w:themeFill="background2"/>
          </w:tcPr>
          <w:p w:rsidR="00CC79FE" w:rsidRPr="00E436E7" w:rsidRDefault="00CC79FE" w:rsidP="00E436E7">
            <w:pPr>
              <w:pStyle w:val="TableText"/>
              <w:rPr>
                <w:sz w:val="22"/>
                <w:lang w:eastAsia="en-AU"/>
              </w:rPr>
            </w:pPr>
          </w:p>
        </w:tc>
        <w:tc>
          <w:tcPr>
            <w:tcW w:w="1421" w:type="dxa"/>
            <w:tcBorders>
              <w:top w:val="single" w:sz="4" w:space="0" w:color="C0504D"/>
              <w:left w:val="nil"/>
              <w:bottom w:val="nil"/>
              <w:right w:val="nil"/>
            </w:tcBorders>
            <w:shd w:val="clear" w:color="auto" w:fill="EEECE1" w:themeFill="background2"/>
            <w:noWrap/>
          </w:tcPr>
          <w:p w:rsidR="00CC79FE" w:rsidRPr="00E436E7" w:rsidRDefault="00CC79FE" w:rsidP="00E436E7">
            <w:pPr>
              <w:pStyle w:val="TableText"/>
              <w:rPr>
                <w:sz w:val="22"/>
                <w:lang w:eastAsia="en-AU"/>
              </w:rPr>
            </w:pPr>
          </w:p>
        </w:tc>
        <w:tc>
          <w:tcPr>
            <w:tcW w:w="784" w:type="dxa"/>
            <w:gridSpan w:val="2"/>
            <w:tcBorders>
              <w:top w:val="single" w:sz="4" w:space="0" w:color="C0504D"/>
              <w:left w:val="nil"/>
              <w:bottom w:val="nil"/>
              <w:right w:val="single" w:sz="4" w:space="0" w:color="C0504D"/>
            </w:tcBorders>
            <w:shd w:val="clear" w:color="auto" w:fill="EEECE1" w:themeFill="background2"/>
            <w:noWrap/>
            <w:vAlign w:val="bottom"/>
          </w:tcPr>
          <w:p w:rsidR="00CC79FE" w:rsidRPr="00E436E7" w:rsidRDefault="00CC79FE" w:rsidP="00614E22">
            <w:pPr>
              <w:rPr>
                <w:rFonts w:ascii="Calibri" w:eastAsia="Times New Roman" w:hAnsi="Calibri" w:cs="Times New Roman"/>
                <w:color w:val="000000"/>
                <w:sz w:val="22"/>
                <w:lang w:eastAsia="en-AU"/>
              </w:rPr>
            </w:pPr>
          </w:p>
        </w:tc>
      </w:tr>
      <w:tr w:rsidR="009F568B" w:rsidRPr="00FA1BCF" w:rsidTr="00DC19F4">
        <w:trPr>
          <w:cantSplit/>
        </w:trPr>
        <w:tc>
          <w:tcPr>
            <w:tcW w:w="3085" w:type="dxa"/>
            <w:tcBorders>
              <w:top w:val="single" w:sz="4" w:space="0" w:color="C0504D"/>
              <w:left w:val="single" w:sz="4" w:space="0" w:color="C0504D"/>
              <w:bottom w:val="single" w:sz="4" w:space="0" w:color="C0504D"/>
              <w:right w:val="nil"/>
            </w:tcBorders>
            <w:shd w:val="clear" w:color="auto" w:fill="auto"/>
            <w:noWrap/>
            <w:hideMark/>
          </w:tcPr>
          <w:p w:rsidR="00CC79FE" w:rsidRPr="00E436E7" w:rsidRDefault="00CC79FE" w:rsidP="00E436E7">
            <w:pPr>
              <w:pStyle w:val="TableText"/>
              <w:rPr>
                <w:sz w:val="22"/>
                <w:vertAlign w:val="superscript"/>
                <w:lang w:eastAsia="en-AU"/>
              </w:rPr>
            </w:pPr>
            <w:r w:rsidRPr="00E436E7">
              <w:rPr>
                <w:sz w:val="22"/>
                <w:lang w:eastAsia="en-AU"/>
              </w:rPr>
              <w:t xml:space="preserve">Issues paper </w:t>
            </w:r>
            <w:r w:rsidR="003B146F" w:rsidRPr="00E436E7">
              <w:rPr>
                <w:sz w:val="22"/>
                <w:lang w:eastAsia="en-AU"/>
              </w:rPr>
              <w:t>–</w:t>
            </w:r>
            <w:r w:rsidR="0006003A" w:rsidRPr="00E436E7">
              <w:rPr>
                <w:sz w:val="22"/>
                <w:lang w:eastAsia="en-AU"/>
              </w:rPr>
              <w:t xml:space="preserve"> </w:t>
            </w:r>
            <w:r w:rsidRPr="00E436E7">
              <w:rPr>
                <w:sz w:val="22"/>
                <w:lang w:eastAsia="en-AU"/>
              </w:rPr>
              <w:t xml:space="preserve">1st </w:t>
            </w:r>
            <w:proofErr w:type="spellStart"/>
            <w:r w:rsidRPr="00E436E7">
              <w:rPr>
                <w:sz w:val="22"/>
                <w:lang w:eastAsia="en-AU"/>
              </w:rPr>
              <w:t>extension</w:t>
            </w:r>
            <w:r w:rsidRPr="00E436E7">
              <w:rPr>
                <w:b/>
                <w:sz w:val="22"/>
                <w:vertAlign w:val="superscript"/>
                <w:lang w:eastAsia="en-AU"/>
              </w:rPr>
              <w:t>c</w:t>
            </w:r>
            <w:proofErr w:type="spellEnd"/>
          </w:p>
        </w:tc>
        <w:tc>
          <w:tcPr>
            <w:tcW w:w="305" w:type="dxa"/>
            <w:tcBorders>
              <w:top w:val="single" w:sz="4" w:space="0" w:color="C0504D"/>
              <w:left w:val="nil"/>
              <w:bottom w:val="single" w:sz="4" w:space="0" w:color="C0504D"/>
              <w:right w:val="nil"/>
            </w:tcBorders>
            <w:shd w:val="clear" w:color="auto" w:fill="auto"/>
            <w:noWrap/>
            <w:hideMark/>
          </w:tcPr>
          <w:p w:rsidR="00CC79FE" w:rsidRPr="00E436E7" w:rsidRDefault="00CC79FE" w:rsidP="00E436E7">
            <w:pPr>
              <w:pStyle w:val="TableText"/>
              <w:rPr>
                <w:sz w:val="22"/>
                <w:lang w:eastAsia="en-AU"/>
              </w:rPr>
            </w:pPr>
          </w:p>
        </w:tc>
        <w:tc>
          <w:tcPr>
            <w:tcW w:w="2388" w:type="dxa"/>
            <w:tcBorders>
              <w:top w:val="single" w:sz="4" w:space="0" w:color="C0504D"/>
              <w:left w:val="nil"/>
              <w:bottom w:val="single" w:sz="4" w:space="0" w:color="C0504D"/>
              <w:right w:val="nil"/>
            </w:tcBorders>
            <w:shd w:val="clear" w:color="auto" w:fill="auto"/>
            <w:noWrap/>
            <w:hideMark/>
          </w:tcPr>
          <w:p w:rsidR="00CC79FE" w:rsidRPr="00E436E7" w:rsidRDefault="0006003A" w:rsidP="00E436E7">
            <w:pPr>
              <w:pStyle w:val="TableText"/>
              <w:rPr>
                <w:sz w:val="22"/>
                <w:lang w:eastAsia="en-AU"/>
              </w:rPr>
            </w:pPr>
            <w:r w:rsidRPr="00E436E7">
              <w:rPr>
                <w:sz w:val="22"/>
                <w:lang w:eastAsia="en-AU"/>
              </w:rPr>
              <w:t>U</w:t>
            </w:r>
            <w:r w:rsidR="00CC79FE" w:rsidRPr="00E436E7">
              <w:rPr>
                <w:sz w:val="22"/>
                <w:lang w:eastAsia="en-AU"/>
              </w:rPr>
              <w:t>p to 4 May</w:t>
            </w:r>
            <w:r w:rsidR="000A4370" w:rsidRPr="00E436E7">
              <w:rPr>
                <w:sz w:val="22"/>
                <w:lang w:eastAsia="en-AU"/>
              </w:rPr>
              <w:t xml:space="preserve"> 2015</w:t>
            </w:r>
          </w:p>
        </w:tc>
        <w:tc>
          <w:tcPr>
            <w:tcW w:w="1276" w:type="dxa"/>
            <w:tcBorders>
              <w:top w:val="single" w:sz="4" w:space="0" w:color="C0504D"/>
              <w:left w:val="nil"/>
              <w:bottom w:val="single" w:sz="4" w:space="0" w:color="C0504D"/>
              <w:right w:val="nil"/>
            </w:tcBorders>
          </w:tcPr>
          <w:p w:rsidR="00CC79FE" w:rsidRPr="00E436E7" w:rsidRDefault="00CC79FE" w:rsidP="00E436E7">
            <w:pPr>
              <w:pStyle w:val="TableText"/>
              <w:rPr>
                <w:sz w:val="22"/>
                <w:lang w:eastAsia="en-AU"/>
              </w:rPr>
            </w:pPr>
          </w:p>
        </w:tc>
        <w:tc>
          <w:tcPr>
            <w:tcW w:w="1421" w:type="dxa"/>
            <w:tcBorders>
              <w:top w:val="single" w:sz="4" w:space="0" w:color="C0504D"/>
              <w:left w:val="nil"/>
              <w:bottom w:val="single" w:sz="4" w:space="0" w:color="C0504D"/>
              <w:right w:val="nil"/>
            </w:tcBorders>
            <w:shd w:val="clear" w:color="auto" w:fill="auto"/>
            <w:noWrap/>
            <w:hideMark/>
          </w:tcPr>
          <w:p w:rsidR="00CC79FE" w:rsidRPr="00E436E7" w:rsidRDefault="00CC79FE" w:rsidP="00E436E7">
            <w:pPr>
              <w:pStyle w:val="TableText"/>
              <w:rPr>
                <w:sz w:val="22"/>
                <w:lang w:eastAsia="en-AU"/>
              </w:rPr>
            </w:pPr>
          </w:p>
        </w:tc>
        <w:tc>
          <w:tcPr>
            <w:tcW w:w="784" w:type="dxa"/>
            <w:gridSpan w:val="2"/>
            <w:tcBorders>
              <w:top w:val="single" w:sz="4" w:space="0" w:color="C0504D"/>
              <w:left w:val="nil"/>
              <w:bottom w:val="single" w:sz="4" w:space="0" w:color="C0504D"/>
              <w:right w:val="single" w:sz="4" w:space="0" w:color="C0504D"/>
            </w:tcBorders>
            <w:shd w:val="clear" w:color="auto" w:fill="auto"/>
            <w:noWrap/>
            <w:vAlign w:val="bottom"/>
            <w:hideMark/>
          </w:tcPr>
          <w:p w:rsidR="00CC79FE" w:rsidRPr="00E436E7" w:rsidRDefault="00CC79FE" w:rsidP="00614E22">
            <w:pPr>
              <w:rPr>
                <w:rFonts w:ascii="Calibri" w:eastAsia="Times New Roman" w:hAnsi="Calibri" w:cs="Times New Roman"/>
                <w:color w:val="000000"/>
                <w:sz w:val="22"/>
                <w:lang w:eastAsia="en-AU"/>
              </w:rPr>
            </w:pPr>
          </w:p>
        </w:tc>
      </w:tr>
      <w:tr w:rsidR="009F568B" w:rsidRPr="00FA1BCF" w:rsidTr="00DC19F4">
        <w:trPr>
          <w:cantSplit/>
        </w:trPr>
        <w:tc>
          <w:tcPr>
            <w:tcW w:w="3085" w:type="dxa"/>
            <w:tcBorders>
              <w:top w:val="single" w:sz="4" w:space="0" w:color="C0504D"/>
              <w:left w:val="single" w:sz="4" w:space="0" w:color="C0504D"/>
              <w:bottom w:val="single" w:sz="4" w:space="0" w:color="C0504D"/>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lastRenderedPageBreak/>
              <w:t xml:space="preserve">Invitation to Rare Voices Australia to meet the </w:t>
            </w:r>
            <w:r w:rsidR="0006003A" w:rsidRPr="00E436E7">
              <w:rPr>
                <w:sz w:val="22"/>
                <w:lang w:eastAsia="en-AU"/>
              </w:rPr>
              <w:t>r</w:t>
            </w:r>
            <w:r w:rsidRPr="00E436E7">
              <w:rPr>
                <w:sz w:val="22"/>
                <w:lang w:eastAsia="en-AU"/>
              </w:rPr>
              <w:t>eference</w:t>
            </w:r>
            <w:r w:rsidR="00B56F35" w:rsidRPr="00E436E7">
              <w:rPr>
                <w:sz w:val="22"/>
                <w:lang w:eastAsia="en-AU"/>
              </w:rPr>
              <w:t xml:space="preserve"> </w:t>
            </w:r>
            <w:r w:rsidR="0006003A" w:rsidRPr="00E436E7">
              <w:rPr>
                <w:sz w:val="22"/>
                <w:lang w:eastAsia="en-AU"/>
              </w:rPr>
              <w:t>g</w:t>
            </w:r>
            <w:r w:rsidRPr="00E436E7">
              <w:rPr>
                <w:sz w:val="22"/>
                <w:lang w:eastAsia="en-AU"/>
              </w:rPr>
              <w:t>roup</w:t>
            </w:r>
          </w:p>
        </w:tc>
        <w:tc>
          <w:tcPr>
            <w:tcW w:w="305"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sz w:val="22"/>
                <w:lang w:eastAsia="en-AU"/>
              </w:rPr>
            </w:pPr>
          </w:p>
        </w:tc>
        <w:tc>
          <w:tcPr>
            <w:tcW w:w="2388"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30 April 2015</w:t>
            </w:r>
          </w:p>
        </w:tc>
        <w:tc>
          <w:tcPr>
            <w:tcW w:w="1276" w:type="dxa"/>
            <w:tcBorders>
              <w:top w:val="single" w:sz="4" w:space="0" w:color="C0504D"/>
              <w:left w:val="nil"/>
              <w:bottom w:val="single" w:sz="4" w:space="0" w:color="C0504D"/>
              <w:right w:val="nil"/>
            </w:tcBorders>
          </w:tcPr>
          <w:p w:rsidR="00CC79FE" w:rsidRPr="00E436E7" w:rsidRDefault="00CC79FE" w:rsidP="00E436E7">
            <w:pPr>
              <w:pStyle w:val="TableText"/>
              <w:rPr>
                <w:sz w:val="22"/>
                <w:lang w:eastAsia="en-AU"/>
              </w:rPr>
            </w:pPr>
          </w:p>
        </w:tc>
        <w:tc>
          <w:tcPr>
            <w:tcW w:w="1421"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Invitation declined</w:t>
            </w:r>
          </w:p>
        </w:tc>
        <w:tc>
          <w:tcPr>
            <w:tcW w:w="784" w:type="dxa"/>
            <w:gridSpan w:val="2"/>
            <w:tcBorders>
              <w:top w:val="single" w:sz="4" w:space="0" w:color="C0504D"/>
              <w:left w:val="nil"/>
              <w:bottom w:val="single" w:sz="4" w:space="0" w:color="C0504D"/>
              <w:right w:val="single" w:sz="4" w:space="0" w:color="C0504D"/>
            </w:tcBorders>
            <w:shd w:val="clear" w:color="auto" w:fill="auto"/>
            <w:noWrap/>
            <w:vAlign w:val="bottom"/>
          </w:tcPr>
          <w:p w:rsidR="00CC79FE" w:rsidRPr="00E436E7" w:rsidRDefault="00CC79FE" w:rsidP="00614E22">
            <w:pPr>
              <w:rPr>
                <w:rFonts w:ascii="Calibri" w:eastAsia="Times New Roman" w:hAnsi="Calibri" w:cs="Times New Roman"/>
                <w:color w:val="000000"/>
                <w:sz w:val="22"/>
                <w:lang w:eastAsia="en-AU"/>
              </w:rPr>
            </w:pPr>
          </w:p>
        </w:tc>
      </w:tr>
      <w:tr w:rsidR="009F568B" w:rsidRPr="00FA1BCF" w:rsidTr="00DC19F4">
        <w:trPr>
          <w:cantSplit/>
        </w:trPr>
        <w:tc>
          <w:tcPr>
            <w:tcW w:w="3085" w:type="dxa"/>
            <w:tcBorders>
              <w:top w:val="single" w:sz="4" w:space="0" w:color="C0504D"/>
              <w:left w:val="single" w:sz="4" w:space="0" w:color="C0504D"/>
              <w:bottom w:val="single" w:sz="4" w:space="0" w:color="C0504D"/>
              <w:right w:val="nil"/>
            </w:tcBorders>
            <w:shd w:val="clear" w:color="auto" w:fill="EAF1DD" w:themeFill="accent3" w:themeFillTint="33"/>
            <w:noWrap/>
          </w:tcPr>
          <w:p w:rsidR="00CC79FE" w:rsidRPr="00E436E7" w:rsidRDefault="00CC79FE" w:rsidP="00E436E7">
            <w:pPr>
              <w:pStyle w:val="TableText"/>
              <w:rPr>
                <w:sz w:val="22"/>
                <w:lang w:eastAsia="en-AU"/>
              </w:rPr>
            </w:pPr>
            <w:r w:rsidRPr="00E436E7">
              <w:rPr>
                <w:sz w:val="22"/>
                <w:lang w:eastAsia="en-AU"/>
              </w:rPr>
              <w:t xml:space="preserve">Reference </w:t>
            </w:r>
            <w:r w:rsidR="0006003A" w:rsidRPr="00E436E7">
              <w:rPr>
                <w:sz w:val="22"/>
                <w:lang w:eastAsia="en-AU"/>
              </w:rPr>
              <w:t>g</w:t>
            </w:r>
            <w:r w:rsidRPr="00E436E7">
              <w:rPr>
                <w:sz w:val="22"/>
                <w:lang w:eastAsia="en-AU"/>
              </w:rPr>
              <w:t xml:space="preserve">roup </w:t>
            </w:r>
            <w:r w:rsidR="00E02EEF">
              <w:rPr>
                <w:sz w:val="22"/>
                <w:lang w:eastAsia="en-AU"/>
              </w:rPr>
              <w:t>5</w:t>
            </w:r>
            <w:r w:rsidRPr="00E436E7">
              <w:rPr>
                <w:sz w:val="22"/>
                <w:lang w:eastAsia="en-AU"/>
              </w:rPr>
              <w:t>th meeting</w:t>
            </w:r>
          </w:p>
        </w:tc>
        <w:tc>
          <w:tcPr>
            <w:tcW w:w="305" w:type="dxa"/>
            <w:tcBorders>
              <w:top w:val="single" w:sz="4" w:space="0" w:color="C0504D"/>
              <w:left w:val="nil"/>
              <w:bottom w:val="single" w:sz="4" w:space="0" w:color="C0504D"/>
              <w:right w:val="nil"/>
            </w:tcBorders>
            <w:shd w:val="clear" w:color="auto" w:fill="EAF1DD" w:themeFill="accent3" w:themeFillTint="33"/>
            <w:noWrap/>
          </w:tcPr>
          <w:p w:rsidR="00CC79FE" w:rsidRPr="00E436E7" w:rsidRDefault="00CC79FE" w:rsidP="00E436E7">
            <w:pPr>
              <w:pStyle w:val="TableText"/>
              <w:rPr>
                <w:sz w:val="22"/>
                <w:lang w:eastAsia="en-AU"/>
              </w:rPr>
            </w:pPr>
          </w:p>
        </w:tc>
        <w:tc>
          <w:tcPr>
            <w:tcW w:w="2388" w:type="dxa"/>
            <w:tcBorders>
              <w:top w:val="single" w:sz="4" w:space="0" w:color="C0504D"/>
              <w:left w:val="nil"/>
              <w:bottom w:val="single" w:sz="4" w:space="0" w:color="C0504D"/>
              <w:right w:val="nil"/>
            </w:tcBorders>
            <w:shd w:val="clear" w:color="auto" w:fill="EAF1DD" w:themeFill="accent3" w:themeFillTint="33"/>
            <w:noWrap/>
          </w:tcPr>
          <w:p w:rsidR="00CC79FE" w:rsidRPr="00E436E7" w:rsidRDefault="00CC79FE" w:rsidP="00E436E7">
            <w:pPr>
              <w:pStyle w:val="TableText"/>
              <w:rPr>
                <w:sz w:val="22"/>
                <w:lang w:eastAsia="en-AU"/>
              </w:rPr>
            </w:pPr>
            <w:r w:rsidRPr="00E436E7">
              <w:rPr>
                <w:sz w:val="22"/>
                <w:lang w:eastAsia="en-AU"/>
              </w:rPr>
              <w:t>6 May 2015</w:t>
            </w:r>
          </w:p>
        </w:tc>
        <w:tc>
          <w:tcPr>
            <w:tcW w:w="1276" w:type="dxa"/>
            <w:tcBorders>
              <w:top w:val="single" w:sz="4" w:space="0" w:color="C0504D"/>
              <w:left w:val="nil"/>
              <w:bottom w:val="single" w:sz="4" w:space="0" w:color="C0504D"/>
              <w:right w:val="nil"/>
            </w:tcBorders>
            <w:shd w:val="clear" w:color="auto" w:fill="EAF1DD" w:themeFill="accent3" w:themeFillTint="33"/>
          </w:tcPr>
          <w:p w:rsidR="00CC79FE" w:rsidRPr="00E436E7" w:rsidRDefault="00CC79FE" w:rsidP="00E436E7">
            <w:pPr>
              <w:pStyle w:val="TableText"/>
              <w:rPr>
                <w:sz w:val="22"/>
                <w:lang w:eastAsia="en-AU"/>
              </w:rPr>
            </w:pPr>
          </w:p>
        </w:tc>
        <w:tc>
          <w:tcPr>
            <w:tcW w:w="1421" w:type="dxa"/>
            <w:tcBorders>
              <w:top w:val="single" w:sz="4" w:space="0" w:color="C0504D"/>
              <w:left w:val="nil"/>
              <w:bottom w:val="single" w:sz="4" w:space="0" w:color="C0504D"/>
              <w:right w:val="nil"/>
            </w:tcBorders>
            <w:shd w:val="clear" w:color="auto" w:fill="EAF1DD" w:themeFill="accent3" w:themeFillTint="33"/>
            <w:noWrap/>
          </w:tcPr>
          <w:p w:rsidR="00CC79FE" w:rsidRPr="00E436E7" w:rsidRDefault="00CC79FE" w:rsidP="00E436E7">
            <w:pPr>
              <w:pStyle w:val="TableText"/>
              <w:rPr>
                <w:sz w:val="22"/>
                <w:lang w:eastAsia="en-AU"/>
              </w:rPr>
            </w:pPr>
          </w:p>
        </w:tc>
        <w:tc>
          <w:tcPr>
            <w:tcW w:w="784" w:type="dxa"/>
            <w:gridSpan w:val="2"/>
            <w:tcBorders>
              <w:top w:val="single" w:sz="4" w:space="0" w:color="C0504D"/>
              <w:left w:val="nil"/>
              <w:bottom w:val="single" w:sz="4" w:space="0" w:color="C0504D"/>
              <w:right w:val="single" w:sz="4" w:space="0" w:color="C0504D"/>
            </w:tcBorders>
            <w:shd w:val="clear" w:color="auto" w:fill="EAF1DD" w:themeFill="accent3" w:themeFillTint="33"/>
            <w:noWrap/>
            <w:vAlign w:val="bottom"/>
          </w:tcPr>
          <w:p w:rsidR="00CC79FE" w:rsidRPr="00E436E7" w:rsidRDefault="00CC79FE" w:rsidP="00614E22">
            <w:pPr>
              <w:rPr>
                <w:rFonts w:ascii="Calibri" w:eastAsia="Times New Roman" w:hAnsi="Calibri" w:cs="Times New Roman"/>
                <w:color w:val="000000"/>
                <w:sz w:val="22"/>
                <w:lang w:eastAsia="en-AU"/>
              </w:rPr>
            </w:pPr>
          </w:p>
        </w:tc>
      </w:tr>
      <w:tr w:rsidR="009F568B" w:rsidRPr="00FA1BCF" w:rsidTr="00DC19F4">
        <w:trPr>
          <w:cantSplit/>
        </w:trPr>
        <w:tc>
          <w:tcPr>
            <w:tcW w:w="3085" w:type="dxa"/>
            <w:tcBorders>
              <w:top w:val="single" w:sz="4" w:space="0" w:color="C0504D"/>
              <w:left w:val="single" w:sz="4" w:space="0" w:color="C0504D"/>
              <w:bottom w:val="single" w:sz="4" w:space="0" w:color="C0504D"/>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 xml:space="preserve">Reference </w:t>
            </w:r>
            <w:r w:rsidR="0006003A" w:rsidRPr="00E436E7">
              <w:rPr>
                <w:sz w:val="22"/>
                <w:lang w:eastAsia="en-AU"/>
              </w:rPr>
              <w:t>g</w:t>
            </w:r>
            <w:r w:rsidRPr="00E436E7">
              <w:rPr>
                <w:sz w:val="22"/>
                <w:lang w:eastAsia="en-AU"/>
              </w:rPr>
              <w:t xml:space="preserve">roup industry briefing </w:t>
            </w:r>
          </w:p>
        </w:tc>
        <w:tc>
          <w:tcPr>
            <w:tcW w:w="305"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sz w:val="22"/>
                <w:lang w:eastAsia="en-AU"/>
              </w:rPr>
            </w:pPr>
          </w:p>
        </w:tc>
        <w:tc>
          <w:tcPr>
            <w:tcW w:w="2388"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6 May 2015</w:t>
            </w:r>
          </w:p>
        </w:tc>
        <w:tc>
          <w:tcPr>
            <w:tcW w:w="1276" w:type="dxa"/>
            <w:tcBorders>
              <w:top w:val="single" w:sz="4" w:space="0" w:color="C0504D"/>
              <w:left w:val="nil"/>
              <w:bottom w:val="single" w:sz="4" w:space="0" w:color="C0504D"/>
              <w:right w:val="nil"/>
            </w:tcBorders>
          </w:tcPr>
          <w:p w:rsidR="00CC79FE" w:rsidRPr="00E436E7" w:rsidRDefault="00CC79FE" w:rsidP="00E436E7">
            <w:pPr>
              <w:pStyle w:val="TableText"/>
              <w:rPr>
                <w:sz w:val="22"/>
                <w:lang w:eastAsia="en-AU"/>
              </w:rPr>
            </w:pPr>
          </w:p>
        </w:tc>
        <w:tc>
          <w:tcPr>
            <w:tcW w:w="1421"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14 industry attendees</w:t>
            </w:r>
          </w:p>
        </w:tc>
        <w:tc>
          <w:tcPr>
            <w:tcW w:w="784" w:type="dxa"/>
            <w:gridSpan w:val="2"/>
            <w:tcBorders>
              <w:top w:val="single" w:sz="4" w:space="0" w:color="C0504D"/>
              <w:left w:val="nil"/>
              <w:bottom w:val="single" w:sz="4" w:space="0" w:color="C0504D"/>
              <w:right w:val="single" w:sz="4" w:space="0" w:color="C0504D"/>
            </w:tcBorders>
            <w:shd w:val="clear" w:color="auto" w:fill="auto"/>
            <w:noWrap/>
            <w:vAlign w:val="bottom"/>
          </w:tcPr>
          <w:p w:rsidR="00CC79FE" w:rsidRPr="00E436E7" w:rsidRDefault="00CC79FE" w:rsidP="00614E22">
            <w:pPr>
              <w:rPr>
                <w:rFonts w:ascii="Calibri" w:eastAsia="Times New Roman" w:hAnsi="Calibri" w:cs="Times New Roman"/>
                <w:color w:val="000000"/>
                <w:sz w:val="22"/>
                <w:lang w:eastAsia="en-AU"/>
              </w:rPr>
            </w:pPr>
          </w:p>
        </w:tc>
      </w:tr>
      <w:tr w:rsidR="009F568B" w:rsidRPr="00FA1BCF" w:rsidTr="00DC19F4">
        <w:trPr>
          <w:cantSplit/>
        </w:trPr>
        <w:tc>
          <w:tcPr>
            <w:tcW w:w="3085" w:type="dxa"/>
            <w:tcBorders>
              <w:top w:val="single" w:sz="4" w:space="0" w:color="C0504D"/>
              <w:left w:val="single" w:sz="4" w:space="0" w:color="C0504D"/>
              <w:bottom w:val="single" w:sz="4" w:space="0" w:color="C0504D"/>
              <w:right w:val="nil"/>
            </w:tcBorders>
            <w:shd w:val="clear" w:color="auto" w:fill="auto"/>
            <w:noWrap/>
          </w:tcPr>
          <w:p w:rsidR="00CC79FE" w:rsidRPr="00E436E7" w:rsidRDefault="00CC79FE" w:rsidP="00E436E7">
            <w:pPr>
              <w:pStyle w:val="TableText"/>
              <w:rPr>
                <w:sz w:val="22"/>
                <w:vertAlign w:val="superscript"/>
                <w:lang w:eastAsia="en-AU"/>
              </w:rPr>
            </w:pPr>
            <w:r w:rsidRPr="00E436E7">
              <w:rPr>
                <w:sz w:val="22"/>
                <w:lang w:eastAsia="en-AU"/>
              </w:rPr>
              <w:t>Issues paper</w:t>
            </w:r>
            <w:r w:rsidR="0006003A" w:rsidRPr="00E436E7">
              <w:rPr>
                <w:sz w:val="22"/>
                <w:lang w:eastAsia="en-AU"/>
              </w:rPr>
              <w:t xml:space="preserve"> </w:t>
            </w:r>
            <w:r w:rsidR="003B146F" w:rsidRPr="00E436E7">
              <w:rPr>
                <w:sz w:val="22"/>
                <w:lang w:eastAsia="en-AU"/>
              </w:rPr>
              <w:t>–</w:t>
            </w:r>
            <w:r w:rsidR="0006003A" w:rsidRPr="00E436E7">
              <w:rPr>
                <w:sz w:val="22"/>
                <w:lang w:eastAsia="en-AU"/>
              </w:rPr>
              <w:t xml:space="preserve"> </w:t>
            </w:r>
            <w:r w:rsidRPr="00E436E7">
              <w:rPr>
                <w:sz w:val="22"/>
                <w:lang w:eastAsia="en-AU"/>
              </w:rPr>
              <w:t xml:space="preserve">2nd </w:t>
            </w:r>
            <w:proofErr w:type="spellStart"/>
            <w:r w:rsidRPr="00E436E7">
              <w:rPr>
                <w:sz w:val="22"/>
                <w:lang w:eastAsia="en-AU"/>
              </w:rPr>
              <w:t>extension</w:t>
            </w:r>
            <w:r w:rsidRPr="00E436E7">
              <w:rPr>
                <w:b/>
                <w:sz w:val="22"/>
                <w:vertAlign w:val="superscript"/>
                <w:lang w:eastAsia="en-AU"/>
              </w:rPr>
              <w:t>d</w:t>
            </w:r>
            <w:proofErr w:type="spellEnd"/>
          </w:p>
        </w:tc>
        <w:tc>
          <w:tcPr>
            <w:tcW w:w="305"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sz w:val="22"/>
                <w:lang w:eastAsia="en-AU"/>
              </w:rPr>
            </w:pPr>
          </w:p>
        </w:tc>
        <w:tc>
          <w:tcPr>
            <w:tcW w:w="2388" w:type="dxa"/>
            <w:tcBorders>
              <w:top w:val="single" w:sz="4" w:space="0" w:color="C0504D"/>
              <w:left w:val="nil"/>
              <w:bottom w:val="single" w:sz="4" w:space="0" w:color="C0504D"/>
              <w:right w:val="nil"/>
            </w:tcBorders>
            <w:shd w:val="clear" w:color="auto" w:fill="auto"/>
            <w:noWrap/>
          </w:tcPr>
          <w:p w:rsidR="00CC79FE" w:rsidRPr="00E436E7" w:rsidRDefault="000A4370" w:rsidP="00E436E7">
            <w:pPr>
              <w:pStyle w:val="TableText"/>
              <w:rPr>
                <w:sz w:val="22"/>
                <w:lang w:eastAsia="en-AU"/>
              </w:rPr>
            </w:pPr>
            <w:r w:rsidRPr="00FA1BCF">
              <w:rPr>
                <w:sz w:val="22"/>
                <w:lang w:eastAsia="en-AU"/>
              </w:rPr>
              <w:t>U</w:t>
            </w:r>
            <w:r w:rsidR="00CC79FE" w:rsidRPr="00E436E7">
              <w:rPr>
                <w:sz w:val="22"/>
                <w:lang w:eastAsia="en-AU"/>
              </w:rPr>
              <w:t>p to 18 May</w:t>
            </w:r>
          </w:p>
        </w:tc>
        <w:tc>
          <w:tcPr>
            <w:tcW w:w="1276" w:type="dxa"/>
            <w:tcBorders>
              <w:top w:val="single" w:sz="4" w:space="0" w:color="C0504D"/>
              <w:left w:val="nil"/>
              <w:bottom w:val="single" w:sz="4" w:space="0" w:color="C0504D"/>
              <w:right w:val="nil"/>
            </w:tcBorders>
          </w:tcPr>
          <w:p w:rsidR="00CC79FE" w:rsidRPr="00E436E7" w:rsidRDefault="00CC79FE" w:rsidP="00E436E7">
            <w:pPr>
              <w:pStyle w:val="TableText"/>
              <w:rPr>
                <w:sz w:val="22"/>
                <w:lang w:eastAsia="en-AU"/>
              </w:rPr>
            </w:pPr>
            <w:r w:rsidRPr="00E436E7">
              <w:rPr>
                <w:sz w:val="22"/>
                <w:lang w:eastAsia="en-AU"/>
              </w:rPr>
              <w:t>5 weeks</w:t>
            </w:r>
          </w:p>
        </w:tc>
        <w:tc>
          <w:tcPr>
            <w:tcW w:w="1421"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30</w:t>
            </w:r>
            <w:r w:rsidR="00B56F35" w:rsidRPr="00E436E7">
              <w:rPr>
                <w:sz w:val="22"/>
                <w:lang w:eastAsia="en-AU"/>
              </w:rPr>
              <w:t xml:space="preserve"> </w:t>
            </w:r>
            <w:r w:rsidRPr="00E436E7">
              <w:rPr>
                <w:sz w:val="22"/>
                <w:lang w:eastAsia="en-AU"/>
              </w:rPr>
              <w:t>submissions received</w:t>
            </w:r>
          </w:p>
        </w:tc>
        <w:tc>
          <w:tcPr>
            <w:tcW w:w="784" w:type="dxa"/>
            <w:gridSpan w:val="2"/>
            <w:tcBorders>
              <w:top w:val="single" w:sz="4" w:space="0" w:color="C0504D"/>
              <w:left w:val="nil"/>
              <w:bottom w:val="single" w:sz="4" w:space="0" w:color="C0504D"/>
              <w:right w:val="single" w:sz="4" w:space="0" w:color="C0504D"/>
            </w:tcBorders>
            <w:shd w:val="clear" w:color="auto" w:fill="auto"/>
            <w:noWrap/>
            <w:vAlign w:val="bottom"/>
          </w:tcPr>
          <w:p w:rsidR="00CC79FE" w:rsidRPr="00E436E7" w:rsidRDefault="00CC79FE" w:rsidP="00614E22">
            <w:pPr>
              <w:rPr>
                <w:rFonts w:ascii="Calibri" w:eastAsia="Times New Roman" w:hAnsi="Calibri" w:cs="Times New Roman"/>
                <w:color w:val="000000"/>
                <w:sz w:val="22"/>
                <w:lang w:eastAsia="en-AU"/>
              </w:rPr>
            </w:pPr>
          </w:p>
        </w:tc>
      </w:tr>
      <w:tr w:rsidR="009F568B" w:rsidRPr="00FA1BCF" w:rsidTr="00DC19F4">
        <w:trPr>
          <w:cantSplit/>
        </w:trPr>
        <w:tc>
          <w:tcPr>
            <w:tcW w:w="3085" w:type="dxa"/>
            <w:tcBorders>
              <w:top w:val="single" w:sz="4" w:space="0" w:color="C0504D"/>
              <w:left w:val="single" w:sz="4" w:space="0" w:color="C0504D"/>
              <w:bottom w:val="single" w:sz="4" w:space="0" w:color="C0504D"/>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 xml:space="preserve">Rare Voices meeting with </w:t>
            </w:r>
            <w:r w:rsidR="0006003A" w:rsidRPr="00E436E7">
              <w:rPr>
                <w:sz w:val="22"/>
                <w:lang w:eastAsia="en-AU"/>
              </w:rPr>
              <w:t>reference group</w:t>
            </w:r>
            <w:r w:rsidRPr="00E436E7">
              <w:rPr>
                <w:sz w:val="22"/>
                <w:lang w:eastAsia="en-AU"/>
              </w:rPr>
              <w:t xml:space="preserve"> </w:t>
            </w:r>
            <w:r w:rsidR="0006003A" w:rsidRPr="00E436E7">
              <w:rPr>
                <w:sz w:val="22"/>
                <w:lang w:eastAsia="en-AU"/>
              </w:rPr>
              <w:t>c</w:t>
            </w:r>
            <w:r w:rsidRPr="00E436E7">
              <w:rPr>
                <w:sz w:val="22"/>
                <w:lang w:eastAsia="en-AU"/>
              </w:rPr>
              <w:t xml:space="preserve">hair </w:t>
            </w:r>
          </w:p>
        </w:tc>
        <w:tc>
          <w:tcPr>
            <w:tcW w:w="305"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sz w:val="22"/>
                <w:lang w:eastAsia="en-AU"/>
              </w:rPr>
            </w:pPr>
          </w:p>
        </w:tc>
        <w:tc>
          <w:tcPr>
            <w:tcW w:w="2388"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8 May 2015</w:t>
            </w:r>
          </w:p>
        </w:tc>
        <w:tc>
          <w:tcPr>
            <w:tcW w:w="1276" w:type="dxa"/>
            <w:tcBorders>
              <w:top w:val="single" w:sz="4" w:space="0" w:color="C0504D"/>
              <w:left w:val="nil"/>
              <w:bottom w:val="single" w:sz="4" w:space="0" w:color="C0504D"/>
              <w:right w:val="nil"/>
            </w:tcBorders>
          </w:tcPr>
          <w:p w:rsidR="00CC79FE" w:rsidRPr="00E436E7" w:rsidRDefault="00CC79FE" w:rsidP="00E436E7">
            <w:pPr>
              <w:pStyle w:val="TableText"/>
              <w:rPr>
                <w:sz w:val="22"/>
                <w:lang w:eastAsia="en-AU"/>
              </w:rPr>
            </w:pPr>
          </w:p>
        </w:tc>
        <w:tc>
          <w:tcPr>
            <w:tcW w:w="1421"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sz w:val="22"/>
                <w:lang w:eastAsia="en-AU"/>
              </w:rPr>
            </w:pPr>
          </w:p>
        </w:tc>
        <w:tc>
          <w:tcPr>
            <w:tcW w:w="784" w:type="dxa"/>
            <w:gridSpan w:val="2"/>
            <w:tcBorders>
              <w:top w:val="single" w:sz="4" w:space="0" w:color="C0504D"/>
              <w:left w:val="nil"/>
              <w:bottom w:val="single" w:sz="4" w:space="0" w:color="C0504D"/>
              <w:right w:val="single" w:sz="4" w:space="0" w:color="C0504D"/>
            </w:tcBorders>
            <w:shd w:val="clear" w:color="auto" w:fill="auto"/>
            <w:noWrap/>
            <w:vAlign w:val="bottom"/>
          </w:tcPr>
          <w:p w:rsidR="00CC79FE" w:rsidRPr="00E436E7" w:rsidRDefault="00CC79FE" w:rsidP="00614E22">
            <w:pPr>
              <w:rPr>
                <w:rFonts w:ascii="Calibri" w:eastAsia="Times New Roman" w:hAnsi="Calibri" w:cs="Times New Roman"/>
                <w:color w:val="000000"/>
                <w:sz w:val="22"/>
                <w:lang w:eastAsia="en-AU"/>
              </w:rPr>
            </w:pPr>
          </w:p>
        </w:tc>
      </w:tr>
      <w:tr w:rsidR="009F568B" w:rsidRPr="00FA1BCF" w:rsidTr="00DC19F4">
        <w:trPr>
          <w:cantSplit/>
        </w:trPr>
        <w:tc>
          <w:tcPr>
            <w:tcW w:w="3085" w:type="dxa"/>
            <w:tcBorders>
              <w:top w:val="single" w:sz="4" w:space="0" w:color="C0504D"/>
              <w:left w:val="single" w:sz="4" w:space="0" w:color="C0504D"/>
              <w:bottom w:val="single" w:sz="4" w:space="0" w:color="C0504D"/>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 xml:space="preserve">Rare Voices and patient organisation leaders meeting with </w:t>
            </w:r>
            <w:r w:rsidR="0006003A" w:rsidRPr="00E436E7">
              <w:rPr>
                <w:sz w:val="22"/>
                <w:lang w:eastAsia="en-AU"/>
              </w:rPr>
              <w:t xml:space="preserve">reference group chair </w:t>
            </w:r>
            <w:r w:rsidRPr="00E436E7">
              <w:rPr>
                <w:sz w:val="22"/>
                <w:lang w:eastAsia="en-AU"/>
              </w:rPr>
              <w:t>and consumer representatives</w:t>
            </w:r>
          </w:p>
        </w:tc>
        <w:tc>
          <w:tcPr>
            <w:tcW w:w="305"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sz w:val="22"/>
                <w:lang w:eastAsia="en-AU"/>
              </w:rPr>
            </w:pPr>
          </w:p>
        </w:tc>
        <w:tc>
          <w:tcPr>
            <w:tcW w:w="2388"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20 May 2015</w:t>
            </w:r>
          </w:p>
        </w:tc>
        <w:tc>
          <w:tcPr>
            <w:tcW w:w="1276" w:type="dxa"/>
            <w:tcBorders>
              <w:top w:val="single" w:sz="4" w:space="0" w:color="C0504D"/>
              <w:left w:val="nil"/>
              <w:bottom w:val="single" w:sz="4" w:space="0" w:color="C0504D"/>
              <w:right w:val="nil"/>
            </w:tcBorders>
          </w:tcPr>
          <w:p w:rsidR="00CC79FE" w:rsidRPr="00E436E7" w:rsidRDefault="00CC79FE" w:rsidP="00E436E7">
            <w:pPr>
              <w:pStyle w:val="TableText"/>
              <w:rPr>
                <w:sz w:val="22"/>
                <w:lang w:eastAsia="en-AU"/>
              </w:rPr>
            </w:pPr>
          </w:p>
        </w:tc>
        <w:tc>
          <w:tcPr>
            <w:tcW w:w="1969" w:type="dxa"/>
            <w:gridSpan w:val="2"/>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8 patient representatives attended</w:t>
            </w:r>
          </w:p>
        </w:tc>
        <w:tc>
          <w:tcPr>
            <w:tcW w:w="236" w:type="dxa"/>
            <w:tcBorders>
              <w:top w:val="single" w:sz="4" w:space="0" w:color="C0504D"/>
              <w:left w:val="nil"/>
              <w:bottom w:val="single" w:sz="4" w:space="0" w:color="C0504D"/>
              <w:right w:val="single" w:sz="4" w:space="0" w:color="C0504D"/>
            </w:tcBorders>
            <w:shd w:val="clear" w:color="auto" w:fill="auto"/>
            <w:noWrap/>
            <w:vAlign w:val="bottom"/>
          </w:tcPr>
          <w:p w:rsidR="00CC79FE" w:rsidRPr="00E436E7" w:rsidRDefault="00CC79FE" w:rsidP="00614E22">
            <w:pPr>
              <w:rPr>
                <w:rFonts w:ascii="Calibri" w:eastAsia="Times New Roman" w:hAnsi="Calibri" w:cs="Times New Roman"/>
                <w:color w:val="000000"/>
                <w:sz w:val="22"/>
                <w:lang w:eastAsia="en-AU"/>
              </w:rPr>
            </w:pPr>
          </w:p>
        </w:tc>
      </w:tr>
      <w:tr w:rsidR="009F568B" w:rsidRPr="00FA1BCF" w:rsidTr="00DC19F4">
        <w:trPr>
          <w:cantSplit/>
        </w:trPr>
        <w:tc>
          <w:tcPr>
            <w:tcW w:w="3085" w:type="dxa"/>
            <w:tcBorders>
              <w:top w:val="single" w:sz="4" w:space="0" w:color="C0504D"/>
              <w:left w:val="single" w:sz="4" w:space="0" w:color="C0504D"/>
              <w:bottom w:val="single" w:sz="4" w:space="0" w:color="C0504D"/>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 xml:space="preserve">Reference </w:t>
            </w:r>
            <w:r w:rsidR="0006003A" w:rsidRPr="00E436E7">
              <w:rPr>
                <w:sz w:val="22"/>
                <w:lang w:eastAsia="en-AU"/>
              </w:rPr>
              <w:t>g</w:t>
            </w:r>
            <w:r w:rsidRPr="00E436E7">
              <w:rPr>
                <w:sz w:val="22"/>
                <w:lang w:eastAsia="en-AU"/>
              </w:rPr>
              <w:t>roup letter to consumers</w:t>
            </w:r>
          </w:p>
        </w:tc>
        <w:tc>
          <w:tcPr>
            <w:tcW w:w="305"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sz w:val="22"/>
                <w:lang w:eastAsia="en-AU"/>
              </w:rPr>
            </w:pPr>
          </w:p>
        </w:tc>
        <w:tc>
          <w:tcPr>
            <w:tcW w:w="2388"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sz w:val="22"/>
                <w:lang w:eastAsia="en-AU"/>
              </w:rPr>
            </w:pPr>
            <w:r w:rsidRPr="00E436E7">
              <w:rPr>
                <w:sz w:val="22"/>
                <w:lang w:eastAsia="en-AU"/>
              </w:rPr>
              <w:t>26 May, 2</w:t>
            </w:r>
            <w:r w:rsidR="0006003A" w:rsidRPr="00E436E7">
              <w:rPr>
                <w:sz w:val="22"/>
                <w:lang w:eastAsia="en-AU"/>
              </w:rPr>
              <w:t> </w:t>
            </w:r>
            <w:r w:rsidRPr="00E436E7">
              <w:rPr>
                <w:sz w:val="22"/>
                <w:lang w:eastAsia="en-AU"/>
              </w:rPr>
              <w:t>&amp;</w:t>
            </w:r>
            <w:r w:rsidR="0006003A" w:rsidRPr="00E436E7">
              <w:rPr>
                <w:sz w:val="22"/>
                <w:lang w:eastAsia="en-AU"/>
              </w:rPr>
              <w:t> </w:t>
            </w:r>
            <w:r w:rsidRPr="00E436E7">
              <w:rPr>
                <w:sz w:val="22"/>
                <w:lang w:eastAsia="en-AU"/>
              </w:rPr>
              <w:t>3</w:t>
            </w:r>
            <w:r w:rsidR="0006003A" w:rsidRPr="00E436E7">
              <w:rPr>
                <w:sz w:val="22"/>
                <w:lang w:eastAsia="en-AU"/>
              </w:rPr>
              <w:t> </w:t>
            </w:r>
            <w:r w:rsidRPr="00E436E7">
              <w:rPr>
                <w:sz w:val="22"/>
                <w:lang w:eastAsia="en-AU"/>
              </w:rPr>
              <w:t>June 2015</w:t>
            </w:r>
          </w:p>
        </w:tc>
        <w:tc>
          <w:tcPr>
            <w:tcW w:w="1276" w:type="dxa"/>
            <w:tcBorders>
              <w:top w:val="single" w:sz="4" w:space="0" w:color="C0504D"/>
              <w:left w:val="nil"/>
              <w:bottom w:val="single" w:sz="4" w:space="0" w:color="C0504D"/>
              <w:right w:val="nil"/>
            </w:tcBorders>
          </w:tcPr>
          <w:p w:rsidR="00CC79FE" w:rsidRPr="00E436E7" w:rsidRDefault="00CC79FE" w:rsidP="00E436E7">
            <w:pPr>
              <w:pStyle w:val="TableText"/>
              <w:rPr>
                <w:sz w:val="22"/>
                <w:lang w:eastAsia="en-AU"/>
              </w:rPr>
            </w:pPr>
          </w:p>
        </w:tc>
        <w:tc>
          <w:tcPr>
            <w:tcW w:w="1421"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sz w:val="22"/>
                <w:lang w:eastAsia="en-AU"/>
              </w:rPr>
            </w:pPr>
          </w:p>
        </w:tc>
        <w:tc>
          <w:tcPr>
            <w:tcW w:w="784" w:type="dxa"/>
            <w:gridSpan w:val="2"/>
            <w:tcBorders>
              <w:top w:val="single" w:sz="4" w:space="0" w:color="C0504D"/>
              <w:left w:val="nil"/>
              <w:bottom w:val="single" w:sz="4" w:space="0" w:color="C0504D"/>
              <w:right w:val="single" w:sz="4" w:space="0" w:color="C0504D"/>
            </w:tcBorders>
            <w:shd w:val="clear" w:color="auto" w:fill="auto"/>
            <w:noWrap/>
            <w:vAlign w:val="bottom"/>
          </w:tcPr>
          <w:p w:rsidR="00CC79FE" w:rsidRPr="00E436E7" w:rsidRDefault="00CC79FE" w:rsidP="00E436E7">
            <w:pPr>
              <w:pStyle w:val="TableText"/>
              <w:rPr>
                <w:rFonts w:ascii="Calibri" w:eastAsia="Times New Roman" w:hAnsi="Calibri" w:cs="Times New Roman"/>
                <w:color w:val="000000"/>
                <w:sz w:val="22"/>
                <w:lang w:eastAsia="en-AU"/>
              </w:rPr>
            </w:pPr>
          </w:p>
        </w:tc>
      </w:tr>
      <w:tr w:rsidR="009F568B" w:rsidRPr="00FA1BCF" w:rsidTr="00DC19F4">
        <w:trPr>
          <w:cantSplit/>
        </w:trPr>
        <w:tc>
          <w:tcPr>
            <w:tcW w:w="3085" w:type="dxa"/>
            <w:tcBorders>
              <w:top w:val="single" w:sz="4" w:space="0" w:color="C0504D"/>
              <w:left w:val="single" w:sz="4" w:space="0" w:color="C0504D"/>
              <w:bottom w:val="single" w:sz="4" w:space="0" w:color="C0504D"/>
              <w:right w:val="nil"/>
            </w:tcBorders>
            <w:shd w:val="clear" w:color="auto" w:fill="auto"/>
            <w:noWrap/>
          </w:tcPr>
          <w:p w:rsidR="00CC79FE" w:rsidRPr="00E436E7" w:rsidRDefault="00CC79FE" w:rsidP="00E436E7">
            <w:pPr>
              <w:pStyle w:val="TableText"/>
              <w:rPr>
                <w:rFonts w:ascii="Calibri" w:eastAsia="Times New Roman" w:hAnsi="Calibri" w:cs="Times New Roman"/>
                <w:color w:val="000000"/>
                <w:sz w:val="22"/>
                <w:lang w:eastAsia="en-AU"/>
              </w:rPr>
            </w:pPr>
            <w:r w:rsidRPr="00E436E7">
              <w:rPr>
                <w:rFonts w:ascii="Calibri" w:eastAsia="Times New Roman" w:hAnsi="Calibri" w:cs="Times New Roman"/>
                <w:color w:val="000000"/>
                <w:sz w:val="22"/>
                <w:lang w:eastAsia="en-AU"/>
              </w:rPr>
              <w:t xml:space="preserve">Revised </w:t>
            </w:r>
            <w:r w:rsidR="0006003A" w:rsidRPr="00FA1BCF">
              <w:rPr>
                <w:rFonts w:ascii="Calibri" w:eastAsia="Times New Roman" w:hAnsi="Calibri" w:cs="Times New Roman"/>
                <w:color w:val="000000"/>
                <w:sz w:val="22"/>
                <w:lang w:eastAsia="en-AU"/>
              </w:rPr>
              <w:t>i</w:t>
            </w:r>
            <w:r w:rsidRPr="00E436E7">
              <w:rPr>
                <w:rFonts w:ascii="Calibri" w:eastAsia="Times New Roman" w:hAnsi="Calibri" w:cs="Times New Roman"/>
                <w:color w:val="000000"/>
                <w:sz w:val="22"/>
                <w:lang w:eastAsia="en-AU"/>
              </w:rPr>
              <w:t>ndustry proposal received</w:t>
            </w:r>
          </w:p>
        </w:tc>
        <w:tc>
          <w:tcPr>
            <w:tcW w:w="305"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rFonts w:ascii="Calibri" w:eastAsia="Times New Roman" w:hAnsi="Calibri" w:cs="Times New Roman"/>
                <w:color w:val="000000"/>
                <w:sz w:val="22"/>
                <w:lang w:eastAsia="en-AU"/>
              </w:rPr>
            </w:pPr>
          </w:p>
        </w:tc>
        <w:tc>
          <w:tcPr>
            <w:tcW w:w="2388"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rFonts w:ascii="Calibri" w:eastAsia="Times New Roman" w:hAnsi="Calibri" w:cs="Times New Roman"/>
                <w:color w:val="000000"/>
                <w:sz w:val="22"/>
                <w:lang w:eastAsia="en-AU"/>
              </w:rPr>
            </w:pPr>
            <w:r w:rsidRPr="00E436E7">
              <w:rPr>
                <w:rFonts w:ascii="Calibri" w:eastAsia="Times New Roman" w:hAnsi="Calibri" w:cs="Times New Roman"/>
                <w:color w:val="000000"/>
                <w:sz w:val="22"/>
                <w:lang w:eastAsia="en-AU"/>
              </w:rPr>
              <w:t>10 June 2015</w:t>
            </w:r>
          </w:p>
        </w:tc>
        <w:tc>
          <w:tcPr>
            <w:tcW w:w="1276" w:type="dxa"/>
            <w:tcBorders>
              <w:top w:val="single" w:sz="4" w:space="0" w:color="C0504D"/>
              <w:left w:val="nil"/>
              <w:bottom w:val="single" w:sz="4" w:space="0" w:color="C0504D"/>
              <w:right w:val="nil"/>
            </w:tcBorders>
          </w:tcPr>
          <w:p w:rsidR="00CC79FE" w:rsidRPr="00E436E7" w:rsidRDefault="00CC79FE" w:rsidP="00E436E7">
            <w:pPr>
              <w:pStyle w:val="TableText"/>
              <w:rPr>
                <w:rFonts w:ascii="Calibri" w:eastAsia="Times New Roman" w:hAnsi="Calibri" w:cs="Times New Roman"/>
                <w:color w:val="000000"/>
                <w:sz w:val="22"/>
                <w:lang w:eastAsia="en-AU"/>
              </w:rPr>
            </w:pPr>
          </w:p>
        </w:tc>
        <w:tc>
          <w:tcPr>
            <w:tcW w:w="1421" w:type="dxa"/>
            <w:tcBorders>
              <w:top w:val="single" w:sz="4" w:space="0" w:color="C0504D"/>
              <w:left w:val="nil"/>
              <w:bottom w:val="single" w:sz="4" w:space="0" w:color="C0504D"/>
              <w:right w:val="nil"/>
            </w:tcBorders>
            <w:shd w:val="clear" w:color="auto" w:fill="auto"/>
            <w:noWrap/>
          </w:tcPr>
          <w:p w:rsidR="00CC79FE" w:rsidRPr="00E436E7" w:rsidRDefault="00CC79FE" w:rsidP="00E436E7">
            <w:pPr>
              <w:pStyle w:val="TableText"/>
              <w:rPr>
                <w:rFonts w:ascii="Calibri" w:eastAsia="Times New Roman" w:hAnsi="Calibri" w:cs="Times New Roman"/>
                <w:color w:val="000000"/>
                <w:sz w:val="22"/>
                <w:lang w:eastAsia="en-AU"/>
              </w:rPr>
            </w:pPr>
          </w:p>
        </w:tc>
        <w:tc>
          <w:tcPr>
            <w:tcW w:w="784" w:type="dxa"/>
            <w:gridSpan w:val="2"/>
            <w:tcBorders>
              <w:top w:val="single" w:sz="4" w:space="0" w:color="C0504D"/>
              <w:left w:val="nil"/>
              <w:bottom w:val="single" w:sz="4" w:space="0" w:color="C0504D"/>
              <w:right w:val="single" w:sz="4" w:space="0" w:color="C0504D"/>
            </w:tcBorders>
            <w:shd w:val="clear" w:color="auto" w:fill="auto"/>
            <w:noWrap/>
            <w:vAlign w:val="bottom"/>
          </w:tcPr>
          <w:p w:rsidR="00CC79FE" w:rsidRPr="00E436E7" w:rsidRDefault="00CC79FE" w:rsidP="00E436E7">
            <w:pPr>
              <w:pStyle w:val="TableText"/>
              <w:rPr>
                <w:rFonts w:ascii="Calibri" w:eastAsia="Times New Roman" w:hAnsi="Calibri" w:cs="Times New Roman"/>
                <w:color w:val="000000"/>
                <w:sz w:val="22"/>
                <w:lang w:eastAsia="en-AU"/>
              </w:rPr>
            </w:pPr>
          </w:p>
        </w:tc>
      </w:tr>
      <w:tr w:rsidR="009F568B" w:rsidRPr="00FA1BCF" w:rsidTr="00DC19F4">
        <w:trPr>
          <w:cantSplit/>
        </w:trPr>
        <w:tc>
          <w:tcPr>
            <w:tcW w:w="3085" w:type="dxa"/>
            <w:tcBorders>
              <w:top w:val="single" w:sz="4" w:space="0" w:color="C0504D"/>
              <w:left w:val="single" w:sz="4" w:space="0" w:color="C0504D"/>
              <w:bottom w:val="single" w:sz="4" w:space="0" w:color="C0504D"/>
              <w:right w:val="nil"/>
            </w:tcBorders>
            <w:shd w:val="clear" w:color="auto" w:fill="EAF1DD" w:themeFill="accent3" w:themeFillTint="33"/>
            <w:noWrap/>
          </w:tcPr>
          <w:p w:rsidR="00F0245C" w:rsidRPr="00E436E7" w:rsidRDefault="00F0245C" w:rsidP="00E436E7">
            <w:pPr>
              <w:pStyle w:val="TableText"/>
              <w:rPr>
                <w:rFonts w:ascii="Calibri" w:eastAsia="Times New Roman" w:hAnsi="Calibri" w:cs="Times New Roman"/>
                <w:color w:val="000000"/>
                <w:sz w:val="22"/>
                <w:lang w:eastAsia="en-AU"/>
              </w:rPr>
            </w:pPr>
            <w:r w:rsidRPr="00E436E7">
              <w:rPr>
                <w:rFonts w:ascii="Calibri" w:eastAsia="Times New Roman" w:hAnsi="Calibri" w:cs="Times New Roman"/>
                <w:color w:val="000000"/>
                <w:sz w:val="22"/>
                <w:lang w:eastAsia="en-AU"/>
              </w:rPr>
              <w:t xml:space="preserve">Reference </w:t>
            </w:r>
            <w:r w:rsidR="0006003A" w:rsidRPr="00FA1BCF">
              <w:rPr>
                <w:rFonts w:ascii="Calibri" w:eastAsia="Times New Roman" w:hAnsi="Calibri" w:cs="Times New Roman"/>
                <w:color w:val="000000"/>
                <w:sz w:val="22"/>
                <w:lang w:eastAsia="en-AU"/>
              </w:rPr>
              <w:t>g</w:t>
            </w:r>
            <w:r w:rsidRPr="00E436E7">
              <w:rPr>
                <w:rFonts w:ascii="Calibri" w:eastAsia="Times New Roman" w:hAnsi="Calibri" w:cs="Times New Roman"/>
                <w:color w:val="000000"/>
                <w:sz w:val="22"/>
                <w:lang w:eastAsia="en-AU"/>
              </w:rPr>
              <w:t xml:space="preserve">roup </w:t>
            </w:r>
            <w:r w:rsidR="00E02EEF">
              <w:rPr>
                <w:rFonts w:eastAsia="Times New Roman"/>
                <w:sz w:val="22"/>
                <w:lang w:eastAsia="en-AU"/>
              </w:rPr>
              <w:t>6</w:t>
            </w:r>
            <w:r w:rsidRPr="00E436E7">
              <w:rPr>
                <w:rFonts w:eastAsia="Times New Roman"/>
                <w:sz w:val="22"/>
                <w:lang w:eastAsia="en-AU"/>
              </w:rPr>
              <w:t>th</w:t>
            </w:r>
            <w:r w:rsidRPr="00E436E7">
              <w:rPr>
                <w:rFonts w:ascii="Calibri" w:eastAsia="Times New Roman" w:hAnsi="Calibri" w:cs="Times New Roman"/>
                <w:color w:val="000000"/>
                <w:sz w:val="22"/>
                <w:lang w:eastAsia="en-AU"/>
              </w:rPr>
              <w:t xml:space="preserve"> meeting</w:t>
            </w:r>
          </w:p>
        </w:tc>
        <w:tc>
          <w:tcPr>
            <w:tcW w:w="305" w:type="dxa"/>
            <w:tcBorders>
              <w:top w:val="single" w:sz="4" w:space="0" w:color="C0504D"/>
              <w:left w:val="nil"/>
              <w:bottom w:val="single" w:sz="4" w:space="0" w:color="C0504D"/>
              <w:right w:val="nil"/>
            </w:tcBorders>
            <w:shd w:val="clear" w:color="auto" w:fill="EAF1DD" w:themeFill="accent3" w:themeFillTint="33"/>
            <w:noWrap/>
          </w:tcPr>
          <w:p w:rsidR="00F0245C" w:rsidRPr="00E436E7" w:rsidRDefault="00F0245C" w:rsidP="00E436E7">
            <w:pPr>
              <w:pStyle w:val="TableText"/>
              <w:rPr>
                <w:rFonts w:ascii="Calibri" w:eastAsia="Times New Roman" w:hAnsi="Calibri" w:cs="Times New Roman"/>
                <w:color w:val="000000"/>
                <w:sz w:val="22"/>
                <w:lang w:eastAsia="en-AU"/>
              </w:rPr>
            </w:pPr>
          </w:p>
        </w:tc>
        <w:tc>
          <w:tcPr>
            <w:tcW w:w="2388" w:type="dxa"/>
            <w:tcBorders>
              <w:top w:val="single" w:sz="4" w:space="0" w:color="C0504D"/>
              <w:left w:val="nil"/>
              <w:bottom w:val="single" w:sz="4" w:space="0" w:color="C0504D"/>
              <w:right w:val="nil"/>
            </w:tcBorders>
            <w:shd w:val="clear" w:color="auto" w:fill="EAF1DD" w:themeFill="accent3" w:themeFillTint="33"/>
            <w:noWrap/>
          </w:tcPr>
          <w:p w:rsidR="00F0245C" w:rsidRPr="00E436E7" w:rsidRDefault="00F0245C" w:rsidP="00E436E7">
            <w:pPr>
              <w:pStyle w:val="TableText"/>
              <w:rPr>
                <w:rFonts w:ascii="Calibri" w:eastAsia="Times New Roman" w:hAnsi="Calibri" w:cs="Times New Roman"/>
                <w:color w:val="000000"/>
                <w:sz w:val="22"/>
                <w:lang w:eastAsia="en-AU"/>
              </w:rPr>
            </w:pPr>
            <w:r w:rsidRPr="00E436E7">
              <w:rPr>
                <w:rFonts w:ascii="Calibri" w:eastAsia="Times New Roman" w:hAnsi="Calibri" w:cs="Times New Roman"/>
                <w:color w:val="000000"/>
                <w:sz w:val="22"/>
                <w:lang w:eastAsia="en-AU"/>
              </w:rPr>
              <w:t>20 July 2015</w:t>
            </w:r>
          </w:p>
        </w:tc>
        <w:tc>
          <w:tcPr>
            <w:tcW w:w="1276" w:type="dxa"/>
            <w:tcBorders>
              <w:top w:val="single" w:sz="4" w:space="0" w:color="C0504D"/>
              <w:left w:val="nil"/>
              <w:bottom w:val="single" w:sz="4" w:space="0" w:color="C0504D"/>
              <w:right w:val="nil"/>
            </w:tcBorders>
            <w:shd w:val="clear" w:color="auto" w:fill="EAF1DD" w:themeFill="accent3" w:themeFillTint="33"/>
          </w:tcPr>
          <w:p w:rsidR="00F0245C" w:rsidRPr="00E436E7" w:rsidRDefault="00F0245C" w:rsidP="00E436E7">
            <w:pPr>
              <w:pStyle w:val="TableText"/>
              <w:rPr>
                <w:rFonts w:ascii="Calibri" w:eastAsia="Times New Roman" w:hAnsi="Calibri" w:cs="Times New Roman"/>
                <w:color w:val="000000"/>
                <w:sz w:val="22"/>
                <w:lang w:eastAsia="en-AU"/>
              </w:rPr>
            </w:pPr>
          </w:p>
        </w:tc>
        <w:tc>
          <w:tcPr>
            <w:tcW w:w="1421" w:type="dxa"/>
            <w:tcBorders>
              <w:top w:val="single" w:sz="4" w:space="0" w:color="C0504D"/>
              <w:left w:val="nil"/>
              <w:bottom w:val="single" w:sz="4" w:space="0" w:color="C0504D"/>
              <w:right w:val="nil"/>
            </w:tcBorders>
            <w:shd w:val="clear" w:color="auto" w:fill="EAF1DD" w:themeFill="accent3" w:themeFillTint="33"/>
            <w:noWrap/>
          </w:tcPr>
          <w:p w:rsidR="00F0245C" w:rsidRPr="00E436E7" w:rsidRDefault="00F0245C" w:rsidP="00E436E7">
            <w:pPr>
              <w:pStyle w:val="TableText"/>
              <w:rPr>
                <w:rFonts w:ascii="Calibri" w:eastAsia="Times New Roman" w:hAnsi="Calibri" w:cs="Times New Roman"/>
                <w:color w:val="000000"/>
                <w:sz w:val="22"/>
                <w:lang w:eastAsia="en-AU"/>
              </w:rPr>
            </w:pPr>
          </w:p>
        </w:tc>
        <w:tc>
          <w:tcPr>
            <w:tcW w:w="784" w:type="dxa"/>
            <w:gridSpan w:val="2"/>
            <w:tcBorders>
              <w:top w:val="single" w:sz="4" w:space="0" w:color="C0504D"/>
              <w:left w:val="nil"/>
              <w:bottom w:val="single" w:sz="4" w:space="0" w:color="C0504D"/>
              <w:right w:val="single" w:sz="4" w:space="0" w:color="C0504D"/>
            </w:tcBorders>
            <w:shd w:val="clear" w:color="auto" w:fill="EAF1DD" w:themeFill="accent3" w:themeFillTint="33"/>
            <w:noWrap/>
            <w:vAlign w:val="bottom"/>
          </w:tcPr>
          <w:p w:rsidR="00F0245C" w:rsidRPr="00E436E7" w:rsidRDefault="00F0245C" w:rsidP="00E436E7">
            <w:pPr>
              <w:pStyle w:val="TableText"/>
              <w:rPr>
                <w:rFonts w:ascii="Calibri" w:eastAsia="Times New Roman" w:hAnsi="Calibri" w:cs="Times New Roman"/>
                <w:color w:val="000000"/>
                <w:sz w:val="22"/>
                <w:lang w:eastAsia="en-AU"/>
              </w:rPr>
            </w:pPr>
          </w:p>
        </w:tc>
      </w:tr>
      <w:tr w:rsidR="009F568B" w:rsidRPr="00FA1BCF" w:rsidTr="00DC19F4">
        <w:trPr>
          <w:cantSplit/>
        </w:trPr>
        <w:tc>
          <w:tcPr>
            <w:tcW w:w="3085" w:type="dxa"/>
            <w:tcBorders>
              <w:top w:val="single" w:sz="4" w:space="0" w:color="C0504D"/>
              <w:left w:val="single" w:sz="4" w:space="0" w:color="C0504D"/>
              <w:bottom w:val="single" w:sz="4" w:space="0" w:color="C0504D"/>
              <w:right w:val="nil"/>
            </w:tcBorders>
            <w:shd w:val="clear" w:color="auto" w:fill="FFFFFF" w:themeFill="background1"/>
            <w:noWrap/>
          </w:tcPr>
          <w:p w:rsidR="00F0245C" w:rsidRPr="00E436E7" w:rsidRDefault="00F0245C" w:rsidP="00E436E7">
            <w:pPr>
              <w:pStyle w:val="TableText"/>
              <w:rPr>
                <w:rFonts w:ascii="Calibri" w:eastAsia="Times New Roman" w:hAnsi="Calibri" w:cs="Times New Roman"/>
                <w:color w:val="000000"/>
                <w:sz w:val="22"/>
                <w:lang w:eastAsia="en-AU"/>
              </w:rPr>
            </w:pPr>
            <w:r w:rsidRPr="00E436E7">
              <w:rPr>
                <w:rFonts w:ascii="Calibri" w:eastAsia="Times New Roman" w:hAnsi="Calibri" w:cs="Times New Roman"/>
                <w:color w:val="000000"/>
                <w:sz w:val="22"/>
                <w:lang w:eastAsia="en-AU"/>
              </w:rPr>
              <w:t xml:space="preserve">Final </w:t>
            </w:r>
            <w:r w:rsidR="0006003A" w:rsidRPr="00FA1BCF">
              <w:rPr>
                <w:rFonts w:ascii="Calibri" w:eastAsia="Times New Roman" w:hAnsi="Calibri" w:cs="Times New Roman"/>
                <w:color w:val="000000"/>
                <w:sz w:val="22"/>
                <w:lang w:eastAsia="en-AU"/>
              </w:rPr>
              <w:t>r</w:t>
            </w:r>
            <w:r w:rsidRPr="00E436E7">
              <w:rPr>
                <w:rFonts w:ascii="Calibri" w:eastAsia="Times New Roman" w:hAnsi="Calibri" w:cs="Times New Roman"/>
                <w:color w:val="000000"/>
                <w:sz w:val="22"/>
                <w:lang w:eastAsia="en-AU"/>
              </w:rPr>
              <w:t>eport</w:t>
            </w:r>
          </w:p>
        </w:tc>
        <w:tc>
          <w:tcPr>
            <w:tcW w:w="305" w:type="dxa"/>
            <w:tcBorders>
              <w:top w:val="single" w:sz="4" w:space="0" w:color="C0504D"/>
              <w:left w:val="nil"/>
              <w:bottom w:val="single" w:sz="4" w:space="0" w:color="C0504D"/>
              <w:right w:val="nil"/>
            </w:tcBorders>
            <w:shd w:val="clear" w:color="auto" w:fill="FFFFFF" w:themeFill="background1"/>
            <w:noWrap/>
          </w:tcPr>
          <w:p w:rsidR="00F0245C" w:rsidRPr="00E436E7" w:rsidRDefault="00F0245C" w:rsidP="00E436E7">
            <w:pPr>
              <w:pStyle w:val="TableText"/>
              <w:rPr>
                <w:rFonts w:ascii="Calibri" w:eastAsia="Times New Roman" w:hAnsi="Calibri" w:cs="Times New Roman"/>
                <w:color w:val="000000"/>
                <w:sz w:val="22"/>
                <w:lang w:eastAsia="en-AU"/>
              </w:rPr>
            </w:pPr>
          </w:p>
        </w:tc>
        <w:tc>
          <w:tcPr>
            <w:tcW w:w="2388" w:type="dxa"/>
            <w:tcBorders>
              <w:top w:val="single" w:sz="4" w:space="0" w:color="C0504D"/>
              <w:left w:val="nil"/>
              <w:bottom w:val="single" w:sz="4" w:space="0" w:color="C0504D"/>
              <w:right w:val="nil"/>
            </w:tcBorders>
            <w:shd w:val="clear" w:color="auto" w:fill="FFFFFF" w:themeFill="background1"/>
            <w:noWrap/>
          </w:tcPr>
          <w:p w:rsidR="00F0245C" w:rsidRPr="00E436E7" w:rsidRDefault="00F0245C" w:rsidP="00E436E7">
            <w:pPr>
              <w:pStyle w:val="TableText"/>
              <w:rPr>
                <w:rFonts w:ascii="Calibri" w:eastAsia="Times New Roman" w:hAnsi="Calibri" w:cs="Times New Roman"/>
                <w:color w:val="000000"/>
                <w:sz w:val="22"/>
                <w:lang w:eastAsia="en-AU"/>
              </w:rPr>
            </w:pPr>
            <w:r w:rsidRPr="00E436E7">
              <w:rPr>
                <w:rFonts w:ascii="Calibri" w:eastAsia="Times New Roman" w:hAnsi="Calibri" w:cs="Times New Roman"/>
                <w:color w:val="000000"/>
                <w:sz w:val="22"/>
                <w:lang w:eastAsia="en-AU"/>
              </w:rPr>
              <w:t>August 2015</w:t>
            </w:r>
          </w:p>
        </w:tc>
        <w:tc>
          <w:tcPr>
            <w:tcW w:w="1276" w:type="dxa"/>
            <w:tcBorders>
              <w:top w:val="single" w:sz="4" w:space="0" w:color="C0504D"/>
              <w:left w:val="nil"/>
              <w:bottom w:val="single" w:sz="4" w:space="0" w:color="C0504D"/>
              <w:right w:val="nil"/>
            </w:tcBorders>
            <w:shd w:val="clear" w:color="auto" w:fill="FFFFFF" w:themeFill="background1"/>
          </w:tcPr>
          <w:p w:rsidR="00F0245C" w:rsidRPr="00E436E7" w:rsidRDefault="00F0245C" w:rsidP="00E436E7">
            <w:pPr>
              <w:pStyle w:val="TableText"/>
              <w:rPr>
                <w:rFonts w:ascii="Calibri" w:eastAsia="Times New Roman" w:hAnsi="Calibri" w:cs="Times New Roman"/>
                <w:color w:val="000000"/>
                <w:sz w:val="22"/>
                <w:lang w:eastAsia="en-AU"/>
              </w:rPr>
            </w:pPr>
          </w:p>
        </w:tc>
        <w:tc>
          <w:tcPr>
            <w:tcW w:w="1421" w:type="dxa"/>
            <w:tcBorders>
              <w:top w:val="single" w:sz="4" w:space="0" w:color="C0504D"/>
              <w:left w:val="nil"/>
              <w:bottom w:val="single" w:sz="4" w:space="0" w:color="C0504D"/>
              <w:right w:val="nil"/>
            </w:tcBorders>
            <w:shd w:val="clear" w:color="auto" w:fill="FFFFFF" w:themeFill="background1"/>
            <w:noWrap/>
          </w:tcPr>
          <w:p w:rsidR="00F0245C" w:rsidRPr="00E436E7" w:rsidRDefault="00F0245C" w:rsidP="00E436E7">
            <w:pPr>
              <w:pStyle w:val="TableText"/>
              <w:rPr>
                <w:rFonts w:ascii="Calibri" w:eastAsia="Times New Roman" w:hAnsi="Calibri" w:cs="Times New Roman"/>
                <w:color w:val="000000"/>
                <w:sz w:val="22"/>
                <w:lang w:eastAsia="en-AU"/>
              </w:rPr>
            </w:pPr>
          </w:p>
        </w:tc>
        <w:tc>
          <w:tcPr>
            <w:tcW w:w="784" w:type="dxa"/>
            <w:gridSpan w:val="2"/>
            <w:tcBorders>
              <w:top w:val="single" w:sz="4" w:space="0" w:color="C0504D"/>
              <w:left w:val="nil"/>
              <w:bottom w:val="single" w:sz="4" w:space="0" w:color="C0504D"/>
              <w:right w:val="single" w:sz="4" w:space="0" w:color="C0504D"/>
            </w:tcBorders>
            <w:shd w:val="clear" w:color="auto" w:fill="FFFFFF" w:themeFill="background1"/>
            <w:noWrap/>
            <w:vAlign w:val="bottom"/>
          </w:tcPr>
          <w:p w:rsidR="00F0245C" w:rsidRPr="00E436E7" w:rsidRDefault="00F0245C" w:rsidP="00E436E7">
            <w:pPr>
              <w:pStyle w:val="TableText"/>
              <w:rPr>
                <w:rFonts w:ascii="Calibri" w:eastAsia="Times New Roman" w:hAnsi="Calibri" w:cs="Times New Roman"/>
                <w:color w:val="000000"/>
                <w:sz w:val="22"/>
                <w:lang w:eastAsia="en-AU"/>
              </w:rPr>
            </w:pPr>
          </w:p>
        </w:tc>
      </w:tr>
    </w:tbl>
    <w:p w:rsidR="00CC79FE" w:rsidRPr="00FA1BCF" w:rsidRDefault="00CC79FE" w:rsidP="00E436E7">
      <w:pPr>
        <w:pStyle w:val="TableNote"/>
      </w:pPr>
      <w:proofErr w:type="spellStart"/>
      <w:proofErr w:type="gramStart"/>
      <w:r w:rsidRPr="00E436E7">
        <w:rPr>
          <w:b/>
        </w:rPr>
        <w:t>a</w:t>
      </w:r>
      <w:proofErr w:type="spellEnd"/>
      <w:proofErr w:type="gramEnd"/>
      <w:r w:rsidR="009F568B">
        <w:tab/>
      </w:r>
      <w:r w:rsidR="008837F7" w:rsidRPr="00E436E7">
        <w:t>A</w:t>
      </w:r>
      <w:r w:rsidRPr="00E436E7">
        <w:t>ttended by the Department of Health</w:t>
      </w:r>
      <w:r w:rsidR="008837F7" w:rsidRPr="00E436E7">
        <w:t>.</w:t>
      </w:r>
      <w:r w:rsidRPr="00E436E7">
        <w:t xml:space="preserve"> </w:t>
      </w:r>
    </w:p>
    <w:p w:rsidR="00CC79FE" w:rsidRPr="00E436E7" w:rsidRDefault="00CC79FE" w:rsidP="00E436E7">
      <w:pPr>
        <w:pStyle w:val="TableNote"/>
      </w:pPr>
      <w:proofErr w:type="gramStart"/>
      <w:r w:rsidRPr="00E436E7">
        <w:rPr>
          <w:b/>
        </w:rPr>
        <w:t>b</w:t>
      </w:r>
      <w:proofErr w:type="gramEnd"/>
      <w:r w:rsidR="009F568B">
        <w:tab/>
      </w:r>
      <w:r w:rsidRPr="00E436E7">
        <w:t>Consumer</w:t>
      </w:r>
      <w:r w:rsidR="00077553" w:rsidRPr="00E436E7">
        <w:t>s</w:t>
      </w:r>
      <w:r w:rsidRPr="00E436E7">
        <w:t xml:space="preserve"> Health Forum workshops were held in Melbourne and Sydney. The workshops were attended by one </w:t>
      </w:r>
      <w:r w:rsidR="008837F7" w:rsidRPr="00E436E7">
        <w:t>r</w:t>
      </w:r>
      <w:r w:rsidRPr="00E436E7">
        <w:t xml:space="preserve">eference </w:t>
      </w:r>
      <w:r w:rsidR="008837F7" w:rsidRPr="00E436E7">
        <w:t>g</w:t>
      </w:r>
      <w:r w:rsidRPr="00E436E7">
        <w:t>roup member and departmental staff.</w:t>
      </w:r>
    </w:p>
    <w:p w:rsidR="00CC79FE" w:rsidRPr="00E436E7" w:rsidRDefault="00CC79FE" w:rsidP="00E436E7">
      <w:pPr>
        <w:pStyle w:val="TableNote"/>
      </w:pPr>
      <w:proofErr w:type="gramStart"/>
      <w:r w:rsidRPr="00E436E7">
        <w:rPr>
          <w:b/>
        </w:rPr>
        <w:t>c</w:t>
      </w:r>
      <w:proofErr w:type="gramEnd"/>
      <w:r w:rsidR="009F568B">
        <w:tab/>
      </w:r>
      <w:r w:rsidRPr="00E436E7">
        <w:t>Consumer</w:t>
      </w:r>
      <w:r w:rsidR="00077553" w:rsidRPr="00E436E7">
        <w:t>s</w:t>
      </w:r>
      <w:r w:rsidRPr="00E436E7">
        <w:t xml:space="preserve"> Health Forum, Rare Voices, Australian Medical Association</w:t>
      </w:r>
      <w:r w:rsidR="008837F7" w:rsidRPr="00E436E7">
        <w:t>,</w:t>
      </w:r>
      <w:r w:rsidRPr="00E436E7">
        <w:t xml:space="preserve"> Medicines Australia</w:t>
      </w:r>
      <w:r w:rsidR="00B56F35" w:rsidRPr="00E436E7">
        <w:t xml:space="preserve"> </w:t>
      </w:r>
      <w:r w:rsidRPr="00E436E7">
        <w:t>and Pfizer requested and were granted an extension</w:t>
      </w:r>
      <w:r w:rsidR="008837F7" w:rsidRPr="00E436E7">
        <w:t>.</w:t>
      </w:r>
    </w:p>
    <w:p w:rsidR="00CC79FE" w:rsidRPr="00E436E7" w:rsidRDefault="00CC79FE" w:rsidP="00E436E7">
      <w:pPr>
        <w:pStyle w:val="TableNote"/>
      </w:pPr>
      <w:proofErr w:type="gramStart"/>
      <w:r w:rsidRPr="00E436E7">
        <w:rPr>
          <w:b/>
        </w:rPr>
        <w:t>d</w:t>
      </w:r>
      <w:proofErr w:type="gramEnd"/>
      <w:r w:rsidR="009F568B">
        <w:tab/>
      </w:r>
      <w:r w:rsidR="008837F7" w:rsidRPr="00E436E7">
        <w:t>C</w:t>
      </w:r>
      <w:r w:rsidRPr="00E436E7">
        <w:t>onsultation period extended to all</w:t>
      </w:r>
      <w:r w:rsidR="008837F7" w:rsidRPr="00E436E7">
        <w:t>.</w:t>
      </w:r>
      <w:r w:rsidRPr="00E436E7">
        <w:t xml:space="preserve"> </w:t>
      </w:r>
    </w:p>
    <w:p w:rsidR="00084B72" w:rsidRPr="00FA1BCF" w:rsidRDefault="00084B72">
      <w:pPr>
        <w:spacing w:after="200" w:line="276" w:lineRule="auto"/>
        <w:rPr>
          <w:rFonts w:ascii="Calibri" w:eastAsia="Times New Roman" w:hAnsi="Calibri" w:cs="Times New Roman"/>
          <w:b/>
          <w:bCs/>
          <w:color w:val="1F497D"/>
          <w:sz w:val="28"/>
          <w:szCs w:val="28"/>
          <w:vertAlign w:val="superscript"/>
          <w:lang w:eastAsia="en-AU"/>
        </w:rPr>
      </w:pPr>
      <w:r w:rsidRPr="00FA1BCF">
        <w:rPr>
          <w:vertAlign w:val="superscript"/>
          <w:lang w:eastAsia="en-AU"/>
        </w:rPr>
        <w:br w:type="page"/>
      </w:r>
    </w:p>
    <w:p w:rsidR="00A363A5" w:rsidRPr="00FA1BCF" w:rsidRDefault="00A363A5" w:rsidP="00A363A5">
      <w:pPr>
        <w:pStyle w:val="Caption"/>
        <w:rPr>
          <w:lang w:eastAsia="en-AU"/>
        </w:rPr>
      </w:pPr>
      <w:r w:rsidRPr="00E436E7">
        <w:rPr>
          <w:lang w:eastAsia="en-AU"/>
        </w:rPr>
        <w:lastRenderedPageBreak/>
        <w:t xml:space="preserve">Table </w:t>
      </w:r>
      <w:r>
        <w:rPr>
          <w:lang w:eastAsia="en-AU"/>
        </w:rPr>
        <w:t>2</w:t>
      </w:r>
      <w:r w:rsidRPr="00E436E7">
        <w:rPr>
          <w:lang w:eastAsia="en-AU"/>
        </w:rPr>
        <w:t xml:space="preserve">: </w:t>
      </w:r>
      <w:r w:rsidRPr="00FA1BCF">
        <w:rPr>
          <w:lang w:eastAsia="en-AU"/>
        </w:rPr>
        <w:t>List of s</w:t>
      </w:r>
      <w:r w:rsidRPr="00E436E7">
        <w:rPr>
          <w:lang w:eastAsia="en-AU"/>
        </w:rPr>
        <w:t xml:space="preserve">ubmissions in response to the </w:t>
      </w:r>
      <w:r w:rsidRPr="00FA1BCF">
        <w:rPr>
          <w:lang w:eastAsia="en-AU"/>
        </w:rPr>
        <w:t xml:space="preserve">review </w:t>
      </w:r>
      <w:r w:rsidRPr="00E436E7">
        <w:rPr>
          <w:lang w:eastAsia="en-AU"/>
        </w:rPr>
        <w:t>terms of reference</w:t>
      </w:r>
    </w:p>
    <w:tbl>
      <w:tblPr>
        <w:tblpPr w:leftFromText="181" w:rightFromText="181" w:vertAnchor="text" w:horzAnchor="margin" w:tblpY="1"/>
        <w:tblW w:w="0" w:type="auto"/>
        <w:tblLook w:val="04A0" w:firstRow="1" w:lastRow="0" w:firstColumn="1" w:lastColumn="0" w:noHBand="0" w:noVBand="1"/>
      </w:tblPr>
      <w:tblGrid>
        <w:gridCol w:w="6318"/>
        <w:gridCol w:w="1338"/>
        <w:gridCol w:w="1364"/>
      </w:tblGrid>
      <w:tr w:rsidR="00A363A5" w:rsidRPr="00FA1BCF" w:rsidTr="00C96A38">
        <w:trPr>
          <w:trHeight w:val="300"/>
        </w:trPr>
        <w:tc>
          <w:tcPr>
            <w:tcW w:w="0" w:type="auto"/>
            <w:tcBorders>
              <w:top w:val="single" w:sz="4" w:space="0" w:color="C0504D"/>
              <w:left w:val="single" w:sz="4" w:space="0" w:color="C0504D"/>
              <w:bottom w:val="single" w:sz="4" w:space="0" w:color="C0504D"/>
              <w:right w:val="nil"/>
            </w:tcBorders>
            <w:shd w:val="clear" w:color="auto" w:fill="C0504D" w:themeFill="accent2"/>
            <w:noWrap/>
            <w:hideMark/>
          </w:tcPr>
          <w:p w:rsidR="00A363A5" w:rsidRPr="00DC19F4" w:rsidRDefault="00A363A5" w:rsidP="00C96A38">
            <w:pPr>
              <w:pStyle w:val="TableHeading"/>
              <w:rPr>
                <w:b w:val="0"/>
                <w:color w:val="FFFFFF" w:themeColor="background1"/>
                <w:lang w:eastAsia="en-AU"/>
              </w:rPr>
            </w:pPr>
            <w:r w:rsidRPr="00DC19F4">
              <w:rPr>
                <w:color w:val="FFFFFF" w:themeColor="background1"/>
                <w:lang w:eastAsia="en-AU"/>
              </w:rPr>
              <w:t>Submitter</w:t>
            </w:r>
          </w:p>
        </w:tc>
        <w:tc>
          <w:tcPr>
            <w:tcW w:w="0" w:type="auto"/>
            <w:tcBorders>
              <w:top w:val="single" w:sz="4" w:space="0" w:color="C0504D"/>
              <w:left w:val="nil"/>
              <w:bottom w:val="single" w:sz="4" w:space="0" w:color="C0504D"/>
              <w:right w:val="nil"/>
            </w:tcBorders>
            <w:shd w:val="clear" w:color="auto" w:fill="C0504D" w:themeFill="accent2"/>
            <w:noWrap/>
            <w:hideMark/>
          </w:tcPr>
          <w:p w:rsidR="00A363A5" w:rsidRPr="00DC19F4" w:rsidRDefault="00A363A5" w:rsidP="00C96A38">
            <w:pPr>
              <w:pStyle w:val="TableHeading"/>
              <w:rPr>
                <w:b w:val="0"/>
                <w:color w:val="FFFFFF" w:themeColor="background1"/>
                <w:lang w:eastAsia="en-AU"/>
              </w:rPr>
            </w:pPr>
          </w:p>
        </w:tc>
        <w:tc>
          <w:tcPr>
            <w:tcW w:w="0" w:type="auto"/>
            <w:tcBorders>
              <w:top w:val="single" w:sz="4" w:space="0" w:color="C0504D"/>
              <w:left w:val="nil"/>
              <w:bottom w:val="single" w:sz="4" w:space="0" w:color="C0504D"/>
              <w:right w:val="single" w:sz="4" w:space="0" w:color="C0504D"/>
            </w:tcBorders>
            <w:shd w:val="clear" w:color="auto" w:fill="C0504D" w:themeFill="accent2"/>
            <w:noWrap/>
            <w:hideMark/>
          </w:tcPr>
          <w:p w:rsidR="00A363A5" w:rsidRPr="00DC19F4" w:rsidRDefault="00A363A5" w:rsidP="00C96A38">
            <w:pPr>
              <w:pStyle w:val="TableHeading"/>
              <w:rPr>
                <w:b w:val="0"/>
                <w:color w:val="FFFFFF" w:themeColor="background1"/>
                <w:lang w:eastAsia="en-AU"/>
              </w:rPr>
            </w:pPr>
            <w:r w:rsidRPr="00DC19F4">
              <w:rPr>
                <w:color w:val="FFFFFF" w:themeColor="background1"/>
                <w:lang w:eastAsia="en-AU"/>
              </w:rPr>
              <w:t>Date received</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auto"/>
            <w:noWrap/>
            <w:hideMark/>
          </w:tcPr>
          <w:p w:rsidR="00A363A5" w:rsidRPr="00E436E7" w:rsidRDefault="00A363A5" w:rsidP="00C96A38">
            <w:pPr>
              <w:pStyle w:val="TableText"/>
              <w:numPr>
                <w:ilvl w:val="0"/>
                <w:numId w:val="49"/>
              </w:numPr>
              <w:rPr>
                <w:lang w:eastAsia="en-AU"/>
              </w:rPr>
            </w:pPr>
            <w:r w:rsidRPr="00E436E7">
              <w:rPr>
                <w:lang w:eastAsia="en-AU"/>
              </w:rPr>
              <w:t xml:space="preserve">Health </w:t>
            </w:r>
            <w:r w:rsidRPr="00FA1BCF">
              <w:rPr>
                <w:lang w:eastAsia="en-AU"/>
              </w:rPr>
              <w:t>p</w:t>
            </w:r>
            <w:r w:rsidRPr="00E436E7">
              <w:rPr>
                <w:lang w:eastAsia="en-AU"/>
              </w:rPr>
              <w:t>rofessional</w:t>
            </w:r>
          </w:p>
        </w:tc>
        <w:tc>
          <w:tcPr>
            <w:tcW w:w="0" w:type="auto"/>
            <w:tcBorders>
              <w:top w:val="single" w:sz="4" w:space="0" w:color="C0504D"/>
              <w:left w:val="nil"/>
              <w:bottom w:val="single" w:sz="4" w:space="0" w:color="C0504D"/>
              <w:right w:val="single" w:sz="4" w:space="0" w:color="C0504D"/>
            </w:tcBorders>
            <w:shd w:val="clear" w:color="auto" w:fill="auto"/>
            <w:noWrap/>
          </w:tcPr>
          <w:p w:rsidR="00A363A5" w:rsidRPr="00E436E7" w:rsidRDefault="00A363A5" w:rsidP="00C96A38">
            <w:pPr>
              <w:pStyle w:val="TableText"/>
              <w:rPr>
                <w:lang w:eastAsia="en-AU"/>
              </w:rPr>
            </w:pPr>
            <w:r w:rsidRPr="00E436E7">
              <w:rPr>
                <w:lang w:eastAsia="en-AU"/>
              </w:rPr>
              <w:t>23 Sep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EAF1DD" w:themeFill="accent3" w:themeFillTint="33"/>
            <w:noWrap/>
          </w:tcPr>
          <w:p w:rsidR="00A363A5" w:rsidRPr="00E436E7" w:rsidRDefault="00A363A5" w:rsidP="00C96A38">
            <w:pPr>
              <w:pStyle w:val="TableText"/>
              <w:numPr>
                <w:ilvl w:val="0"/>
                <w:numId w:val="49"/>
              </w:numPr>
              <w:rPr>
                <w:lang w:eastAsia="en-AU"/>
              </w:rPr>
            </w:pPr>
            <w:r w:rsidRPr="00E436E7">
              <w:rPr>
                <w:lang w:eastAsia="en-AU"/>
              </w:rPr>
              <w:t xml:space="preserve">Dr James </w:t>
            </w:r>
            <w:proofErr w:type="spellStart"/>
            <w:r w:rsidRPr="00E436E7">
              <w:rPr>
                <w:lang w:eastAsia="en-AU"/>
              </w:rPr>
              <w:t>Gray</w:t>
            </w:r>
            <w:proofErr w:type="spellEnd"/>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tcPr>
          <w:p w:rsidR="00A363A5" w:rsidRPr="00E436E7" w:rsidRDefault="00A363A5" w:rsidP="00C96A38">
            <w:pPr>
              <w:pStyle w:val="TableText"/>
              <w:rPr>
                <w:lang w:eastAsia="en-AU"/>
              </w:rPr>
            </w:pPr>
            <w:r w:rsidRPr="00E436E7">
              <w:rPr>
                <w:lang w:eastAsia="en-AU"/>
              </w:rPr>
              <w:t>5 Oct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auto"/>
            <w:noWrap/>
          </w:tcPr>
          <w:p w:rsidR="00A363A5" w:rsidRPr="00E436E7" w:rsidRDefault="00A363A5" w:rsidP="00C96A38">
            <w:pPr>
              <w:pStyle w:val="TableText"/>
              <w:numPr>
                <w:ilvl w:val="0"/>
                <w:numId w:val="49"/>
              </w:numPr>
              <w:rPr>
                <w:lang w:eastAsia="en-AU"/>
              </w:rPr>
            </w:pPr>
            <w:r w:rsidRPr="00E436E7">
              <w:rPr>
                <w:lang w:eastAsia="en-AU"/>
              </w:rPr>
              <w:t>Consumer</w:t>
            </w:r>
          </w:p>
        </w:tc>
        <w:tc>
          <w:tcPr>
            <w:tcW w:w="0" w:type="auto"/>
            <w:tcBorders>
              <w:top w:val="single" w:sz="4" w:space="0" w:color="C0504D"/>
              <w:left w:val="nil"/>
              <w:bottom w:val="single" w:sz="4" w:space="0" w:color="C0504D"/>
              <w:right w:val="single" w:sz="4" w:space="0" w:color="C0504D"/>
            </w:tcBorders>
            <w:shd w:val="clear" w:color="auto" w:fill="auto"/>
            <w:noWrap/>
          </w:tcPr>
          <w:p w:rsidR="00A363A5" w:rsidRPr="00E436E7" w:rsidRDefault="00A363A5" w:rsidP="00C96A38">
            <w:pPr>
              <w:pStyle w:val="TableText"/>
              <w:rPr>
                <w:lang w:eastAsia="en-AU"/>
              </w:rPr>
            </w:pPr>
            <w:r w:rsidRPr="00E436E7">
              <w:rPr>
                <w:lang w:eastAsia="en-AU"/>
              </w:rPr>
              <w:t>24 Oct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EAF1DD" w:themeFill="accent3" w:themeFillTint="33"/>
            <w:noWrap/>
          </w:tcPr>
          <w:p w:rsidR="00A363A5" w:rsidRPr="00E436E7" w:rsidRDefault="00A363A5" w:rsidP="00C96A38">
            <w:pPr>
              <w:pStyle w:val="TableText"/>
              <w:numPr>
                <w:ilvl w:val="0"/>
                <w:numId w:val="49"/>
              </w:numPr>
              <w:rPr>
                <w:lang w:eastAsia="en-AU"/>
              </w:rPr>
            </w:pPr>
            <w:r w:rsidRPr="00E436E7">
              <w:rPr>
                <w:lang w:eastAsia="en-AU"/>
              </w:rPr>
              <w:t xml:space="preserve">Professor Jeffrey </w:t>
            </w:r>
            <w:proofErr w:type="spellStart"/>
            <w:r w:rsidRPr="00E436E7">
              <w:rPr>
                <w:lang w:eastAsia="en-AU"/>
              </w:rPr>
              <w:t>Szer</w:t>
            </w:r>
            <w:proofErr w:type="spellEnd"/>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tcPr>
          <w:p w:rsidR="00A363A5" w:rsidRPr="00E436E7" w:rsidRDefault="00A363A5" w:rsidP="00C96A38">
            <w:pPr>
              <w:pStyle w:val="TableText"/>
              <w:rPr>
                <w:lang w:eastAsia="en-AU"/>
              </w:rPr>
            </w:pPr>
            <w:r w:rsidRPr="00E436E7">
              <w:rPr>
                <w:lang w:eastAsia="en-AU"/>
              </w:rPr>
              <w:t>26 Oct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auto"/>
            <w:noWrap/>
          </w:tcPr>
          <w:p w:rsidR="00A363A5" w:rsidRPr="00E436E7" w:rsidRDefault="00A363A5" w:rsidP="00C96A38">
            <w:pPr>
              <w:pStyle w:val="TableText"/>
              <w:numPr>
                <w:ilvl w:val="0"/>
                <w:numId w:val="49"/>
              </w:numPr>
              <w:rPr>
                <w:lang w:eastAsia="en-AU"/>
              </w:rPr>
            </w:pPr>
            <w:r w:rsidRPr="00E436E7">
              <w:rPr>
                <w:lang w:eastAsia="en-AU"/>
              </w:rPr>
              <w:t>Clinical Professor Jack Goldblatt</w:t>
            </w:r>
          </w:p>
        </w:tc>
        <w:tc>
          <w:tcPr>
            <w:tcW w:w="0" w:type="auto"/>
            <w:tcBorders>
              <w:top w:val="single" w:sz="4" w:space="0" w:color="C0504D"/>
              <w:left w:val="nil"/>
              <w:bottom w:val="single" w:sz="4" w:space="0" w:color="C0504D"/>
              <w:right w:val="single" w:sz="4" w:space="0" w:color="C0504D"/>
            </w:tcBorders>
            <w:shd w:val="clear" w:color="auto" w:fill="auto"/>
            <w:noWrap/>
          </w:tcPr>
          <w:p w:rsidR="00A363A5" w:rsidRPr="00E436E7" w:rsidRDefault="00A363A5" w:rsidP="00C96A38">
            <w:pPr>
              <w:pStyle w:val="TableText"/>
              <w:rPr>
                <w:lang w:eastAsia="en-AU"/>
              </w:rPr>
            </w:pPr>
            <w:r w:rsidRPr="00E436E7">
              <w:rPr>
                <w:lang w:eastAsia="en-AU"/>
              </w:rPr>
              <w:t>28 Oct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EAF1DD" w:themeFill="accent3" w:themeFillTint="33"/>
            <w:noWrap/>
          </w:tcPr>
          <w:p w:rsidR="00A363A5" w:rsidRPr="00E436E7" w:rsidRDefault="00A363A5" w:rsidP="00C96A38">
            <w:pPr>
              <w:pStyle w:val="TableText"/>
              <w:numPr>
                <w:ilvl w:val="0"/>
                <w:numId w:val="49"/>
              </w:numPr>
              <w:rPr>
                <w:lang w:eastAsia="en-AU"/>
              </w:rPr>
            </w:pPr>
            <w:proofErr w:type="spellStart"/>
            <w:r w:rsidRPr="00E436E7">
              <w:rPr>
                <w:lang w:eastAsia="en-AU"/>
              </w:rPr>
              <w:t>Duchenne</w:t>
            </w:r>
            <w:proofErr w:type="spellEnd"/>
            <w:r w:rsidRPr="00E436E7">
              <w:rPr>
                <w:lang w:eastAsia="en-AU"/>
              </w:rPr>
              <w:t xml:space="preserve"> Foundation</w:t>
            </w: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tcPr>
          <w:p w:rsidR="00A363A5" w:rsidRPr="00E436E7" w:rsidRDefault="00A363A5" w:rsidP="00C96A38">
            <w:pPr>
              <w:pStyle w:val="TableText"/>
              <w:rPr>
                <w:lang w:eastAsia="en-AU"/>
              </w:rPr>
            </w:pPr>
            <w:r w:rsidRPr="00E436E7">
              <w:rPr>
                <w:lang w:eastAsia="en-AU"/>
              </w:rPr>
              <w:t>4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auto"/>
            <w:noWrap/>
          </w:tcPr>
          <w:p w:rsidR="00A363A5" w:rsidRPr="00E436E7" w:rsidRDefault="00A363A5" w:rsidP="00C96A38">
            <w:pPr>
              <w:pStyle w:val="TableText"/>
              <w:numPr>
                <w:ilvl w:val="0"/>
                <w:numId w:val="49"/>
              </w:numPr>
              <w:rPr>
                <w:lang w:eastAsia="en-AU"/>
              </w:rPr>
            </w:pPr>
            <w:r w:rsidRPr="00E436E7">
              <w:rPr>
                <w:lang w:eastAsia="en-AU"/>
              </w:rPr>
              <w:t xml:space="preserve">Australian </w:t>
            </w:r>
            <w:proofErr w:type="spellStart"/>
            <w:r w:rsidRPr="00E436E7">
              <w:rPr>
                <w:lang w:eastAsia="en-AU"/>
              </w:rPr>
              <w:t>Pompe’s</w:t>
            </w:r>
            <w:proofErr w:type="spellEnd"/>
            <w:r w:rsidRPr="00E436E7">
              <w:rPr>
                <w:lang w:eastAsia="en-AU"/>
              </w:rPr>
              <w:t xml:space="preserve"> Association</w:t>
            </w:r>
          </w:p>
        </w:tc>
        <w:tc>
          <w:tcPr>
            <w:tcW w:w="0" w:type="auto"/>
            <w:tcBorders>
              <w:top w:val="single" w:sz="4" w:space="0" w:color="C0504D"/>
              <w:left w:val="nil"/>
              <w:bottom w:val="single" w:sz="4" w:space="0" w:color="C0504D"/>
              <w:right w:val="single" w:sz="4" w:space="0" w:color="C0504D"/>
            </w:tcBorders>
            <w:shd w:val="clear" w:color="auto" w:fill="auto"/>
            <w:noWrap/>
          </w:tcPr>
          <w:p w:rsidR="00A363A5" w:rsidRPr="00E436E7" w:rsidRDefault="00A363A5" w:rsidP="00C96A38">
            <w:pPr>
              <w:pStyle w:val="TableText"/>
              <w:rPr>
                <w:lang w:eastAsia="en-AU"/>
              </w:rPr>
            </w:pPr>
            <w:r w:rsidRPr="00E436E7">
              <w:rPr>
                <w:lang w:eastAsia="en-AU"/>
              </w:rPr>
              <w:t>5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EAF1DD" w:themeFill="accent3" w:themeFillTint="33"/>
            <w:noWrap/>
          </w:tcPr>
          <w:p w:rsidR="00A363A5" w:rsidRPr="00E436E7" w:rsidRDefault="00A363A5" w:rsidP="00C96A38">
            <w:pPr>
              <w:pStyle w:val="TableText"/>
              <w:numPr>
                <w:ilvl w:val="0"/>
                <w:numId w:val="49"/>
              </w:numPr>
              <w:rPr>
                <w:lang w:eastAsia="en-AU"/>
              </w:rPr>
            </w:pPr>
            <w:r w:rsidRPr="00E436E7">
              <w:rPr>
                <w:lang w:eastAsia="en-AU"/>
              </w:rPr>
              <w:t>Fabry Support Group Australia</w:t>
            </w: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tcPr>
          <w:p w:rsidR="00A363A5" w:rsidRPr="00E436E7" w:rsidRDefault="00A363A5" w:rsidP="00C96A38">
            <w:pPr>
              <w:pStyle w:val="TableText"/>
              <w:rPr>
                <w:lang w:eastAsia="en-AU"/>
              </w:rPr>
            </w:pPr>
            <w:r w:rsidRPr="00E436E7">
              <w:rPr>
                <w:lang w:eastAsia="en-AU"/>
              </w:rPr>
              <w:t>7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auto"/>
            <w:noWrap/>
          </w:tcPr>
          <w:p w:rsidR="00A363A5" w:rsidRPr="00E436E7" w:rsidRDefault="00A363A5" w:rsidP="00C96A38">
            <w:pPr>
              <w:pStyle w:val="TableText"/>
              <w:numPr>
                <w:ilvl w:val="0"/>
                <w:numId w:val="49"/>
              </w:numPr>
              <w:rPr>
                <w:lang w:eastAsia="en-AU"/>
              </w:rPr>
            </w:pPr>
            <w:proofErr w:type="spellStart"/>
            <w:r w:rsidRPr="00E436E7">
              <w:rPr>
                <w:lang w:eastAsia="en-AU"/>
              </w:rPr>
              <w:t>BioMarin</w:t>
            </w:r>
            <w:proofErr w:type="spellEnd"/>
            <w:r w:rsidRPr="00E436E7">
              <w:rPr>
                <w:lang w:eastAsia="en-AU"/>
              </w:rPr>
              <w:t xml:space="preserve"> Pharmaceutical Australia</w:t>
            </w:r>
          </w:p>
        </w:tc>
        <w:tc>
          <w:tcPr>
            <w:tcW w:w="0" w:type="auto"/>
            <w:tcBorders>
              <w:top w:val="single" w:sz="4" w:space="0" w:color="C0504D"/>
              <w:left w:val="nil"/>
              <w:bottom w:val="single" w:sz="4" w:space="0" w:color="C0504D"/>
              <w:right w:val="single" w:sz="4" w:space="0" w:color="C0504D"/>
            </w:tcBorders>
            <w:shd w:val="clear" w:color="auto" w:fill="auto"/>
            <w:noWrap/>
          </w:tcPr>
          <w:p w:rsidR="00A363A5" w:rsidRPr="00E436E7" w:rsidRDefault="00A363A5" w:rsidP="00C96A38">
            <w:pPr>
              <w:pStyle w:val="TableText"/>
              <w:rPr>
                <w:lang w:eastAsia="en-AU"/>
              </w:rPr>
            </w:pPr>
            <w:r w:rsidRPr="00E436E7">
              <w:rPr>
                <w:lang w:eastAsia="en-AU"/>
              </w:rPr>
              <w:t>7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EAF1DD" w:themeFill="accent3" w:themeFillTint="33"/>
            <w:noWrap/>
          </w:tcPr>
          <w:p w:rsidR="00A363A5" w:rsidRPr="00E436E7" w:rsidRDefault="00A363A5" w:rsidP="00C96A38">
            <w:pPr>
              <w:pStyle w:val="TableText"/>
              <w:numPr>
                <w:ilvl w:val="0"/>
                <w:numId w:val="49"/>
              </w:numPr>
              <w:rPr>
                <w:lang w:eastAsia="en-AU"/>
              </w:rPr>
            </w:pPr>
            <w:r w:rsidRPr="00E436E7">
              <w:rPr>
                <w:lang w:eastAsia="en-AU"/>
              </w:rPr>
              <w:t xml:space="preserve">Dr David </w:t>
            </w:r>
            <w:proofErr w:type="spellStart"/>
            <w:r w:rsidRPr="00E436E7">
              <w:rPr>
                <w:lang w:eastAsia="en-AU"/>
              </w:rPr>
              <w:t>Ketteridge</w:t>
            </w:r>
            <w:proofErr w:type="spellEnd"/>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tcPr>
          <w:p w:rsidR="00A363A5" w:rsidRPr="00E436E7" w:rsidRDefault="00A363A5" w:rsidP="00C96A38">
            <w:pPr>
              <w:pStyle w:val="TableText"/>
              <w:rPr>
                <w:lang w:eastAsia="en-AU"/>
              </w:rPr>
            </w:pPr>
            <w:r w:rsidRPr="00E436E7">
              <w:rPr>
                <w:lang w:eastAsia="en-AU"/>
              </w:rPr>
              <w:t>7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auto"/>
            <w:noWrap/>
          </w:tcPr>
          <w:p w:rsidR="00A363A5" w:rsidRPr="00E436E7" w:rsidRDefault="00A363A5" w:rsidP="00C96A38">
            <w:pPr>
              <w:pStyle w:val="TableText"/>
              <w:numPr>
                <w:ilvl w:val="0"/>
                <w:numId w:val="49"/>
              </w:numPr>
              <w:rPr>
                <w:lang w:eastAsia="en-AU"/>
              </w:rPr>
            </w:pPr>
            <w:r w:rsidRPr="00E436E7">
              <w:rPr>
                <w:lang w:eastAsia="en-AU"/>
              </w:rPr>
              <w:t>Gaucher Association of Australia</w:t>
            </w:r>
          </w:p>
        </w:tc>
        <w:tc>
          <w:tcPr>
            <w:tcW w:w="0" w:type="auto"/>
            <w:tcBorders>
              <w:top w:val="single" w:sz="4" w:space="0" w:color="C0504D"/>
              <w:left w:val="nil"/>
              <w:bottom w:val="single" w:sz="4" w:space="0" w:color="C0504D"/>
              <w:right w:val="single" w:sz="4" w:space="0" w:color="C0504D"/>
            </w:tcBorders>
            <w:shd w:val="clear" w:color="auto" w:fill="auto"/>
            <w:noWrap/>
          </w:tcPr>
          <w:p w:rsidR="00A363A5" w:rsidRPr="00E436E7" w:rsidRDefault="00A363A5" w:rsidP="00C96A38">
            <w:pPr>
              <w:pStyle w:val="TableText"/>
              <w:rPr>
                <w:lang w:eastAsia="en-AU"/>
              </w:rPr>
            </w:pPr>
            <w:r w:rsidRPr="00E436E7">
              <w:rPr>
                <w:lang w:eastAsia="en-AU"/>
              </w:rPr>
              <w:t>7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EAF1DD" w:themeFill="accent3" w:themeFillTint="33"/>
            <w:noWrap/>
          </w:tcPr>
          <w:p w:rsidR="00A363A5" w:rsidRPr="00E436E7" w:rsidRDefault="00A363A5" w:rsidP="00C96A38">
            <w:pPr>
              <w:pStyle w:val="TableText"/>
              <w:numPr>
                <w:ilvl w:val="0"/>
                <w:numId w:val="49"/>
              </w:numPr>
              <w:rPr>
                <w:lang w:eastAsia="en-AU"/>
              </w:rPr>
            </w:pPr>
            <w:r w:rsidRPr="00E436E7">
              <w:rPr>
                <w:lang w:eastAsia="en-AU"/>
              </w:rPr>
              <w:t>Pfizer Australia</w:t>
            </w: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tcPr>
          <w:p w:rsidR="00A363A5" w:rsidRPr="00E436E7" w:rsidRDefault="00A363A5" w:rsidP="00C96A38">
            <w:pPr>
              <w:pStyle w:val="TableText"/>
              <w:rPr>
                <w:lang w:eastAsia="en-AU"/>
              </w:rPr>
            </w:pPr>
            <w:r w:rsidRPr="00E436E7">
              <w:rPr>
                <w:lang w:eastAsia="en-AU"/>
              </w:rPr>
              <w:t>9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auto"/>
            <w:noWrap/>
          </w:tcPr>
          <w:p w:rsidR="00A363A5" w:rsidRPr="00E436E7" w:rsidRDefault="00A363A5" w:rsidP="00C96A38">
            <w:pPr>
              <w:pStyle w:val="TableText"/>
              <w:numPr>
                <w:ilvl w:val="0"/>
                <w:numId w:val="49"/>
              </w:numPr>
              <w:rPr>
                <w:lang w:eastAsia="en-AU"/>
              </w:rPr>
            </w:pPr>
            <w:r w:rsidRPr="00E436E7">
              <w:rPr>
                <w:lang w:eastAsia="en-AU"/>
              </w:rPr>
              <w:t>Carer</w:t>
            </w:r>
          </w:p>
        </w:tc>
        <w:tc>
          <w:tcPr>
            <w:tcW w:w="0" w:type="auto"/>
            <w:tcBorders>
              <w:top w:val="single" w:sz="4" w:space="0" w:color="C0504D"/>
              <w:left w:val="nil"/>
              <w:bottom w:val="single" w:sz="4" w:space="0" w:color="C0504D"/>
              <w:right w:val="single" w:sz="4" w:space="0" w:color="C0504D"/>
            </w:tcBorders>
            <w:shd w:val="clear" w:color="auto" w:fill="auto"/>
            <w:noWrap/>
          </w:tcPr>
          <w:p w:rsidR="00A363A5" w:rsidRPr="00E436E7" w:rsidRDefault="00A363A5" w:rsidP="00C96A38">
            <w:pPr>
              <w:pStyle w:val="TableText"/>
              <w:rPr>
                <w:lang w:eastAsia="en-AU"/>
              </w:rPr>
            </w:pPr>
            <w:r w:rsidRPr="00E436E7">
              <w:rPr>
                <w:lang w:eastAsia="en-AU"/>
              </w:rPr>
              <w:t>9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EAF1DD" w:themeFill="accent3" w:themeFillTint="33"/>
            <w:noWrap/>
          </w:tcPr>
          <w:p w:rsidR="00A363A5" w:rsidRPr="00E436E7" w:rsidRDefault="00A363A5" w:rsidP="00C96A38">
            <w:pPr>
              <w:pStyle w:val="TableText"/>
              <w:numPr>
                <w:ilvl w:val="0"/>
                <w:numId w:val="49"/>
              </w:numPr>
              <w:rPr>
                <w:lang w:eastAsia="en-AU"/>
              </w:rPr>
            </w:pPr>
            <w:r w:rsidRPr="00E436E7">
              <w:rPr>
                <w:lang w:eastAsia="en-AU"/>
              </w:rPr>
              <w:t>Carer</w:t>
            </w: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tcPr>
          <w:p w:rsidR="00A363A5" w:rsidRPr="00E436E7" w:rsidRDefault="00A363A5" w:rsidP="00C96A38">
            <w:pPr>
              <w:pStyle w:val="TableText"/>
              <w:rPr>
                <w:lang w:eastAsia="en-AU"/>
              </w:rPr>
            </w:pPr>
            <w:r w:rsidRPr="00E436E7">
              <w:rPr>
                <w:lang w:eastAsia="en-AU"/>
              </w:rPr>
              <w:t>9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auto"/>
            <w:noWrap/>
          </w:tcPr>
          <w:p w:rsidR="00A363A5" w:rsidRPr="00E436E7" w:rsidRDefault="00A363A5" w:rsidP="00C96A38">
            <w:pPr>
              <w:pStyle w:val="TableText"/>
              <w:numPr>
                <w:ilvl w:val="0"/>
                <w:numId w:val="49"/>
              </w:numPr>
              <w:rPr>
                <w:lang w:eastAsia="en-AU"/>
              </w:rPr>
            </w:pPr>
            <w:r w:rsidRPr="00E436E7">
              <w:rPr>
                <w:lang w:eastAsia="en-AU"/>
              </w:rPr>
              <w:t>AstraZeneca</w:t>
            </w:r>
          </w:p>
        </w:tc>
        <w:tc>
          <w:tcPr>
            <w:tcW w:w="0" w:type="auto"/>
            <w:tcBorders>
              <w:top w:val="single" w:sz="4" w:space="0" w:color="C0504D"/>
              <w:left w:val="nil"/>
              <w:bottom w:val="single" w:sz="4" w:space="0" w:color="C0504D"/>
              <w:right w:val="single" w:sz="4" w:space="0" w:color="C0504D"/>
            </w:tcBorders>
            <w:shd w:val="clear" w:color="auto" w:fill="auto"/>
            <w:noWrap/>
          </w:tcPr>
          <w:p w:rsidR="00A363A5" w:rsidRPr="00E436E7" w:rsidRDefault="00A363A5" w:rsidP="00C96A38">
            <w:pPr>
              <w:pStyle w:val="TableText"/>
              <w:rPr>
                <w:lang w:eastAsia="en-AU"/>
              </w:rPr>
            </w:pPr>
            <w:r w:rsidRPr="00E436E7">
              <w:rPr>
                <w:lang w:eastAsia="en-AU"/>
              </w:rPr>
              <w:t>9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EAF1DD" w:themeFill="accent3" w:themeFillTint="33"/>
            <w:noWrap/>
          </w:tcPr>
          <w:p w:rsidR="00A363A5" w:rsidRPr="00E436E7" w:rsidRDefault="00A363A5" w:rsidP="00C96A38">
            <w:pPr>
              <w:pStyle w:val="TableText"/>
              <w:numPr>
                <w:ilvl w:val="0"/>
                <w:numId w:val="49"/>
              </w:numPr>
              <w:rPr>
                <w:lang w:eastAsia="en-AU"/>
              </w:rPr>
            </w:pPr>
            <w:proofErr w:type="spellStart"/>
            <w:r w:rsidRPr="00E436E7">
              <w:rPr>
                <w:lang w:eastAsia="en-AU"/>
              </w:rPr>
              <w:t>uniQure</w:t>
            </w:r>
            <w:proofErr w:type="spellEnd"/>
            <w:r w:rsidRPr="00E436E7">
              <w:rPr>
                <w:lang w:eastAsia="en-AU"/>
              </w:rPr>
              <w:t xml:space="preserve"> </w:t>
            </w:r>
            <w:proofErr w:type="spellStart"/>
            <w:r w:rsidRPr="00E436E7">
              <w:rPr>
                <w:lang w:eastAsia="en-AU"/>
              </w:rPr>
              <w:t>Biopharma</w:t>
            </w:r>
            <w:proofErr w:type="spellEnd"/>
            <w:r w:rsidRPr="00E436E7">
              <w:rPr>
                <w:lang w:eastAsia="en-AU"/>
              </w:rPr>
              <w:t xml:space="preserve"> BV</w:t>
            </w: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tcPr>
          <w:p w:rsidR="00A363A5" w:rsidRPr="00E436E7" w:rsidRDefault="00A363A5" w:rsidP="00C96A38">
            <w:pPr>
              <w:pStyle w:val="TableText"/>
              <w:rPr>
                <w:lang w:eastAsia="en-AU"/>
              </w:rPr>
            </w:pPr>
            <w:r w:rsidRPr="00E436E7">
              <w:rPr>
                <w:lang w:eastAsia="en-AU"/>
              </w:rPr>
              <w:t>10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auto"/>
            <w:noWrap/>
          </w:tcPr>
          <w:p w:rsidR="00A363A5" w:rsidRPr="00E436E7" w:rsidRDefault="00A363A5" w:rsidP="00C96A38">
            <w:pPr>
              <w:pStyle w:val="TableText"/>
              <w:numPr>
                <w:ilvl w:val="0"/>
                <w:numId w:val="49"/>
              </w:numPr>
              <w:rPr>
                <w:lang w:eastAsia="en-AU"/>
              </w:rPr>
            </w:pPr>
            <w:r w:rsidRPr="00E436E7">
              <w:rPr>
                <w:lang w:eastAsia="en-AU"/>
              </w:rPr>
              <w:t>Shire Australia</w:t>
            </w:r>
          </w:p>
        </w:tc>
        <w:tc>
          <w:tcPr>
            <w:tcW w:w="0" w:type="auto"/>
            <w:tcBorders>
              <w:top w:val="single" w:sz="4" w:space="0" w:color="C0504D"/>
              <w:left w:val="nil"/>
              <w:bottom w:val="single" w:sz="4" w:space="0" w:color="C0504D"/>
              <w:right w:val="single" w:sz="4" w:space="0" w:color="C0504D"/>
            </w:tcBorders>
            <w:shd w:val="clear" w:color="auto" w:fill="auto"/>
            <w:noWrap/>
          </w:tcPr>
          <w:p w:rsidR="00A363A5" w:rsidRPr="00E436E7" w:rsidRDefault="00A363A5" w:rsidP="00C96A38">
            <w:pPr>
              <w:pStyle w:val="TableText"/>
              <w:rPr>
                <w:lang w:eastAsia="en-AU"/>
              </w:rPr>
            </w:pPr>
            <w:r w:rsidRPr="00E436E7">
              <w:rPr>
                <w:lang w:eastAsia="en-AU"/>
              </w:rPr>
              <w:t>10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EAF1DD" w:themeFill="accent3" w:themeFillTint="33"/>
            <w:noWrap/>
          </w:tcPr>
          <w:p w:rsidR="00A363A5" w:rsidRPr="00E436E7" w:rsidRDefault="00A363A5" w:rsidP="00C96A38">
            <w:pPr>
              <w:pStyle w:val="TableText"/>
              <w:numPr>
                <w:ilvl w:val="0"/>
                <w:numId w:val="49"/>
              </w:numPr>
              <w:rPr>
                <w:lang w:eastAsia="en-AU"/>
              </w:rPr>
            </w:pPr>
            <w:r w:rsidRPr="00E436E7">
              <w:rPr>
                <w:lang w:eastAsia="en-AU"/>
              </w:rPr>
              <w:t>Non-</w:t>
            </w:r>
            <w:r w:rsidRPr="00FA1BCF">
              <w:rPr>
                <w:lang w:eastAsia="en-AU"/>
              </w:rPr>
              <w:t>g</w:t>
            </w:r>
            <w:r w:rsidRPr="00E436E7">
              <w:rPr>
                <w:lang w:eastAsia="en-AU"/>
              </w:rPr>
              <w:t xml:space="preserve">overnment </w:t>
            </w:r>
            <w:r w:rsidRPr="00FA1BCF">
              <w:rPr>
                <w:lang w:eastAsia="en-AU"/>
              </w:rPr>
              <w:t>o</w:t>
            </w:r>
            <w:r w:rsidRPr="00E436E7">
              <w:rPr>
                <w:lang w:eastAsia="en-AU"/>
              </w:rPr>
              <w:t>rganisation</w:t>
            </w: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tcPr>
          <w:p w:rsidR="00A363A5" w:rsidRPr="00E436E7" w:rsidRDefault="00A363A5" w:rsidP="00C96A38">
            <w:pPr>
              <w:pStyle w:val="TableText"/>
              <w:rPr>
                <w:lang w:eastAsia="en-AU"/>
              </w:rPr>
            </w:pPr>
            <w:r w:rsidRPr="00E436E7">
              <w:rPr>
                <w:lang w:eastAsia="en-AU"/>
              </w:rPr>
              <w:t>10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auto"/>
            <w:noWrap/>
          </w:tcPr>
          <w:p w:rsidR="00A363A5" w:rsidRPr="00E436E7" w:rsidRDefault="00A363A5" w:rsidP="00C96A38">
            <w:pPr>
              <w:pStyle w:val="TableText"/>
              <w:numPr>
                <w:ilvl w:val="0"/>
                <w:numId w:val="49"/>
              </w:numPr>
              <w:rPr>
                <w:lang w:eastAsia="en-AU"/>
              </w:rPr>
            </w:pPr>
            <w:r w:rsidRPr="00E436E7">
              <w:rPr>
                <w:lang w:eastAsia="en-AU"/>
              </w:rPr>
              <w:t>Vertex Pharmaceuticals</w:t>
            </w:r>
          </w:p>
        </w:tc>
        <w:tc>
          <w:tcPr>
            <w:tcW w:w="0" w:type="auto"/>
            <w:tcBorders>
              <w:top w:val="single" w:sz="4" w:space="0" w:color="C0504D"/>
              <w:left w:val="nil"/>
              <w:bottom w:val="single" w:sz="4" w:space="0" w:color="C0504D"/>
              <w:right w:val="single" w:sz="4" w:space="0" w:color="C0504D"/>
            </w:tcBorders>
            <w:shd w:val="clear" w:color="auto" w:fill="auto"/>
            <w:noWrap/>
          </w:tcPr>
          <w:p w:rsidR="00A363A5" w:rsidRPr="00E436E7" w:rsidRDefault="00A363A5" w:rsidP="00C96A38">
            <w:pPr>
              <w:pStyle w:val="TableText"/>
              <w:rPr>
                <w:lang w:eastAsia="en-AU"/>
              </w:rPr>
            </w:pPr>
            <w:r w:rsidRPr="00E436E7">
              <w:rPr>
                <w:lang w:eastAsia="en-AU"/>
              </w:rPr>
              <w:t>10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EAF1DD" w:themeFill="accent3" w:themeFillTint="33"/>
            <w:noWrap/>
          </w:tcPr>
          <w:p w:rsidR="00A363A5" w:rsidRPr="00E436E7" w:rsidRDefault="00A363A5" w:rsidP="00C96A38">
            <w:pPr>
              <w:pStyle w:val="TableText"/>
              <w:numPr>
                <w:ilvl w:val="0"/>
                <w:numId w:val="49"/>
              </w:numPr>
              <w:rPr>
                <w:lang w:eastAsia="en-AU"/>
              </w:rPr>
            </w:pPr>
            <w:r w:rsidRPr="00E436E7">
              <w:rPr>
                <w:lang w:eastAsia="en-AU"/>
              </w:rPr>
              <w:t>Rare Voices Australia</w:t>
            </w: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tcPr>
          <w:p w:rsidR="00A363A5" w:rsidRPr="00E436E7" w:rsidRDefault="00A363A5" w:rsidP="00C96A38">
            <w:pPr>
              <w:pStyle w:val="TableText"/>
              <w:rPr>
                <w:lang w:eastAsia="en-AU"/>
              </w:rPr>
            </w:pPr>
            <w:r w:rsidRPr="00E436E7">
              <w:rPr>
                <w:lang w:eastAsia="en-AU"/>
              </w:rPr>
              <w:t>10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auto"/>
            <w:noWrap/>
          </w:tcPr>
          <w:p w:rsidR="00A363A5" w:rsidRPr="00E436E7" w:rsidRDefault="00A363A5" w:rsidP="00C96A38">
            <w:pPr>
              <w:pStyle w:val="TableText"/>
              <w:numPr>
                <w:ilvl w:val="0"/>
                <w:numId w:val="49"/>
              </w:numPr>
              <w:rPr>
                <w:lang w:eastAsia="en-AU"/>
              </w:rPr>
            </w:pPr>
            <w:r w:rsidRPr="00E436E7">
              <w:rPr>
                <w:lang w:eastAsia="en-AU"/>
              </w:rPr>
              <w:t>Office of Population Health Genomics and Genetic Services (WA Department of Health)</w:t>
            </w:r>
          </w:p>
        </w:tc>
        <w:tc>
          <w:tcPr>
            <w:tcW w:w="0" w:type="auto"/>
            <w:tcBorders>
              <w:top w:val="single" w:sz="4" w:space="0" w:color="C0504D"/>
              <w:left w:val="nil"/>
              <w:bottom w:val="single" w:sz="4" w:space="0" w:color="C0504D"/>
              <w:right w:val="single" w:sz="4" w:space="0" w:color="C0504D"/>
            </w:tcBorders>
            <w:shd w:val="clear" w:color="auto" w:fill="auto"/>
            <w:noWrap/>
          </w:tcPr>
          <w:p w:rsidR="00A363A5" w:rsidRPr="00E436E7" w:rsidRDefault="00A363A5" w:rsidP="00C96A38">
            <w:pPr>
              <w:pStyle w:val="TableText"/>
              <w:rPr>
                <w:lang w:eastAsia="en-AU"/>
              </w:rPr>
            </w:pPr>
            <w:r w:rsidRPr="00E436E7">
              <w:rPr>
                <w:lang w:eastAsia="en-AU"/>
              </w:rPr>
              <w:t>10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EAF1DD" w:themeFill="accent3" w:themeFillTint="33"/>
            <w:noWrap/>
          </w:tcPr>
          <w:p w:rsidR="00A363A5" w:rsidRPr="00E436E7" w:rsidRDefault="00A363A5" w:rsidP="00C96A38">
            <w:pPr>
              <w:pStyle w:val="TableText"/>
              <w:numPr>
                <w:ilvl w:val="0"/>
                <w:numId w:val="49"/>
              </w:numPr>
              <w:rPr>
                <w:lang w:eastAsia="en-AU"/>
              </w:rPr>
            </w:pPr>
            <w:r w:rsidRPr="00E436E7">
              <w:rPr>
                <w:lang w:eastAsia="en-AU"/>
              </w:rPr>
              <w:t>Consumer</w:t>
            </w: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tcPr>
          <w:p w:rsidR="00A363A5" w:rsidRPr="00E436E7" w:rsidRDefault="00A363A5" w:rsidP="00C96A38">
            <w:pPr>
              <w:pStyle w:val="TableText"/>
              <w:rPr>
                <w:lang w:eastAsia="en-AU"/>
              </w:rPr>
            </w:pPr>
            <w:r w:rsidRPr="00E436E7">
              <w:rPr>
                <w:lang w:eastAsia="en-AU"/>
              </w:rPr>
              <w:t>10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auto"/>
            <w:noWrap/>
          </w:tcPr>
          <w:p w:rsidR="00A363A5" w:rsidRPr="00E436E7" w:rsidRDefault="00A363A5" w:rsidP="00C96A38">
            <w:pPr>
              <w:pStyle w:val="TableText"/>
              <w:numPr>
                <w:ilvl w:val="0"/>
                <w:numId w:val="49"/>
              </w:numPr>
              <w:rPr>
                <w:lang w:eastAsia="en-AU"/>
              </w:rPr>
            </w:pPr>
            <w:r w:rsidRPr="00E436E7">
              <w:rPr>
                <w:lang w:eastAsia="en-AU"/>
              </w:rPr>
              <w:t xml:space="preserve">The </w:t>
            </w:r>
            <w:proofErr w:type="spellStart"/>
            <w:r w:rsidRPr="00E436E7">
              <w:rPr>
                <w:lang w:eastAsia="en-AU"/>
              </w:rPr>
              <w:t>McKell</w:t>
            </w:r>
            <w:proofErr w:type="spellEnd"/>
            <w:r w:rsidRPr="00E436E7">
              <w:rPr>
                <w:lang w:eastAsia="en-AU"/>
              </w:rPr>
              <w:t xml:space="preserve"> Institute</w:t>
            </w:r>
          </w:p>
        </w:tc>
        <w:tc>
          <w:tcPr>
            <w:tcW w:w="0" w:type="auto"/>
            <w:tcBorders>
              <w:top w:val="single" w:sz="4" w:space="0" w:color="C0504D"/>
              <w:left w:val="nil"/>
              <w:bottom w:val="single" w:sz="4" w:space="0" w:color="C0504D"/>
              <w:right w:val="single" w:sz="4" w:space="0" w:color="C0504D"/>
            </w:tcBorders>
            <w:shd w:val="clear" w:color="auto" w:fill="auto"/>
            <w:noWrap/>
          </w:tcPr>
          <w:p w:rsidR="00A363A5" w:rsidRPr="00E436E7" w:rsidRDefault="00A363A5" w:rsidP="00C96A38">
            <w:pPr>
              <w:pStyle w:val="TableText"/>
              <w:rPr>
                <w:lang w:eastAsia="en-AU"/>
              </w:rPr>
            </w:pPr>
            <w:r w:rsidRPr="00E436E7">
              <w:rPr>
                <w:lang w:eastAsia="en-AU"/>
              </w:rPr>
              <w:t>10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EAF1DD" w:themeFill="accent3" w:themeFillTint="33"/>
            <w:noWrap/>
          </w:tcPr>
          <w:p w:rsidR="00A363A5" w:rsidRPr="00E436E7" w:rsidRDefault="00A363A5" w:rsidP="00C96A38">
            <w:pPr>
              <w:pStyle w:val="TableText"/>
              <w:numPr>
                <w:ilvl w:val="0"/>
                <w:numId w:val="49"/>
              </w:numPr>
              <w:rPr>
                <w:lang w:eastAsia="en-AU"/>
              </w:rPr>
            </w:pPr>
            <w:r w:rsidRPr="00E436E7">
              <w:rPr>
                <w:lang w:eastAsia="en-AU"/>
              </w:rPr>
              <w:t>Medicines Australia</w:t>
            </w: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tcPr>
          <w:p w:rsidR="00A363A5" w:rsidRPr="00E436E7" w:rsidRDefault="00A363A5" w:rsidP="00C96A38">
            <w:pPr>
              <w:pStyle w:val="TableText"/>
              <w:rPr>
                <w:lang w:eastAsia="en-AU"/>
              </w:rPr>
            </w:pPr>
            <w:r w:rsidRPr="00E436E7">
              <w:rPr>
                <w:lang w:eastAsia="en-AU"/>
              </w:rPr>
              <w:t>10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auto"/>
            <w:noWrap/>
          </w:tcPr>
          <w:p w:rsidR="00A363A5" w:rsidRPr="00E436E7" w:rsidRDefault="00A363A5" w:rsidP="00C96A38">
            <w:pPr>
              <w:pStyle w:val="TableText"/>
              <w:numPr>
                <w:ilvl w:val="0"/>
                <w:numId w:val="49"/>
              </w:numPr>
              <w:rPr>
                <w:lang w:eastAsia="en-AU"/>
              </w:rPr>
            </w:pPr>
            <w:r w:rsidRPr="00E436E7">
              <w:rPr>
                <w:lang w:eastAsia="en-AU"/>
              </w:rPr>
              <w:t>The Cancer Drugs Alliance</w:t>
            </w:r>
          </w:p>
        </w:tc>
        <w:tc>
          <w:tcPr>
            <w:tcW w:w="0" w:type="auto"/>
            <w:tcBorders>
              <w:top w:val="single" w:sz="4" w:space="0" w:color="C0504D"/>
              <w:left w:val="nil"/>
              <w:bottom w:val="single" w:sz="4" w:space="0" w:color="C0504D"/>
              <w:right w:val="single" w:sz="4" w:space="0" w:color="C0504D"/>
            </w:tcBorders>
            <w:shd w:val="clear" w:color="auto" w:fill="auto"/>
            <w:noWrap/>
          </w:tcPr>
          <w:p w:rsidR="00A363A5" w:rsidRPr="00E436E7" w:rsidRDefault="00A363A5" w:rsidP="00C96A38">
            <w:pPr>
              <w:pStyle w:val="TableText"/>
              <w:rPr>
                <w:lang w:eastAsia="en-AU"/>
              </w:rPr>
            </w:pPr>
            <w:r w:rsidRPr="00E436E7">
              <w:rPr>
                <w:lang w:eastAsia="en-AU"/>
              </w:rPr>
              <w:t>10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EAF1DD" w:themeFill="accent3" w:themeFillTint="33"/>
            <w:noWrap/>
          </w:tcPr>
          <w:p w:rsidR="00A363A5" w:rsidRPr="00E436E7" w:rsidRDefault="00A363A5" w:rsidP="00C96A38">
            <w:pPr>
              <w:pStyle w:val="TableText"/>
              <w:numPr>
                <w:ilvl w:val="0"/>
                <w:numId w:val="49"/>
              </w:numPr>
              <w:rPr>
                <w:lang w:eastAsia="en-AU"/>
              </w:rPr>
            </w:pPr>
            <w:proofErr w:type="spellStart"/>
            <w:r w:rsidRPr="00E436E7">
              <w:rPr>
                <w:lang w:eastAsia="en-AU"/>
              </w:rPr>
              <w:t>Mucopolysaccharide</w:t>
            </w:r>
            <w:proofErr w:type="spellEnd"/>
            <w:r w:rsidRPr="00E436E7">
              <w:rPr>
                <w:lang w:eastAsia="en-AU"/>
              </w:rPr>
              <w:t xml:space="preserve"> &amp; Related Diseases Society Australia Ltd</w:t>
            </w: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tcPr>
          <w:p w:rsidR="00A363A5" w:rsidRPr="00E436E7" w:rsidRDefault="00A363A5" w:rsidP="00C96A38">
            <w:pPr>
              <w:pStyle w:val="TableText"/>
              <w:rPr>
                <w:lang w:eastAsia="en-AU"/>
              </w:rPr>
            </w:pPr>
            <w:r w:rsidRPr="00E436E7">
              <w:rPr>
                <w:lang w:eastAsia="en-AU"/>
              </w:rPr>
              <w:t>10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auto"/>
            <w:noWrap/>
          </w:tcPr>
          <w:p w:rsidR="00A363A5" w:rsidRPr="00E436E7" w:rsidRDefault="00A363A5" w:rsidP="00C96A38">
            <w:pPr>
              <w:pStyle w:val="TableText"/>
              <w:numPr>
                <w:ilvl w:val="0"/>
                <w:numId w:val="49"/>
              </w:numPr>
              <w:rPr>
                <w:lang w:eastAsia="en-AU"/>
              </w:rPr>
            </w:pPr>
            <w:r w:rsidRPr="00E436E7">
              <w:rPr>
                <w:lang w:eastAsia="en-AU"/>
              </w:rPr>
              <w:t>Genzyme, A Sanofi Company</w:t>
            </w:r>
          </w:p>
        </w:tc>
        <w:tc>
          <w:tcPr>
            <w:tcW w:w="0" w:type="auto"/>
            <w:tcBorders>
              <w:top w:val="single" w:sz="4" w:space="0" w:color="C0504D"/>
              <w:left w:val="nil"/>
              <w:bottom w:val="single" w:sz="4" w:space="0" w:color="C0504D"/>
              <w:right w:val="single" w:sz="4" w:space="0" w:color="C0504D"/>
            </w:tcBorders>
            <w:shd w:val="clear" w:color="auto" w:fill="auto"/>
            <w:noWrap/>
          </w:tcPr>
          <w:p w:rsidR="00A363A5" w:rsidRPr="00E436E7" w:rsidRDefault="00A363A5" w:rsidP="00C96A38">
            <w:pPr>
              <w:pStyle w:val="TableText"/>
              <w:rPr>
                <w:lang w:eastAsia="en-AU"/>
              </w:rPr>
            </w:pPr>
            <w:r w:rsidRPr="00E436E7">
              <w:rPr>
                <w:lang w:eastAsia="en-AU"/>
              </w:rPr>
              <w:t>10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EAF1DD" w:themeFill="accent3" w:themeFillTint="33"/>
            <w:noWrap/>
          </w:tcPr>
          <w:p w:rsidR="00A363A5" w:rsidRPr="00E436E7" w:rsidRDefault="00A363A5" w:rsidP="00C96A38">
            <w:pPr>
              <w:pStyle w:val="TableText"/>
              <w:numPr>
                <w:ilvl w:val="0"/>
                <w:numId w:val="49"/>
              </w:numPr>
              <w:rPr>
                <w:lang w:eastAsia="en-AU"/>
              </w:rPr>
            </w:pPr>
            <w:r w:rsidRPr="00E436E7">
              <w:rPr>
                <w:lang w:eastAsia="en-AU"/>
              </w:rPr>
              <w:t>Australasian Society of Inborn Errors of Metabolism</w:t>
            </w: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tcPr>
          <w:p w:rsidR="00A363A5" w:rsidRPr="00E436E7" w:rsidRDefault="00A363A5" w:rsidP="00C96A38">
            <w:pPr>
              <w:pStyle w:val="TableText"/>
              <w:rPr>
                <w:lang w:eastAsia="en-AU"/>
              </w:rPr>
            </w:pPr>
            <w:r w:rsidRPr="00E436E7">
              <w:rPr>
                <w:lang w:eastAsia="en-AU"/>
              </w:rPr>
              <w:t>10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auto"/>
            <w:noWrap/>
          </w:tcPr>
          <w:p w:rsidR="00A363A5" w:rsidRPr="00E436E7" w:rsidRDefault="00A363A5" w:rsidP="00C96A38">
            <w:pPr>
              <w:pStyle w:val="TableText"/>
              <w:numPr>
                <w:ilvl w:val="0"/>
                <w:numId w:val="49"/>
              </w:numPr>
              <w:rPr>
                <w:lang w:eastAsia="en-AU"/>
              </w:rPr>
            </w:pPr>
            <w:r w:rsidRPr="00E436E7">
              <w:rPr>
                <w:lang w:eastAsia="en-AU"/>
              </w:rPr>
              <w:t>GlaxoSmithKline</w:t>
            </w:r>
          </w:p>
        </w:tc>
        <w:tc>
          <w:tcPr>
            <w:tcW w:w="0" w:type="auto"/>
            <w:tcBorders>
              <w:top w:val="single" w:sz="4" w:space="0" w:color="C0504D"/>
              <w:left w:val="nil"/>
              <w:bottom w:val="single" w:sz="4" w:space="0" w:color="C0504D"/>
              <w:right w:val="single" w:sz="4" w:space="0" w:color="C0504D"/>
            </w:tcBorders>
            <w:shd w:val="clear" w:color="auto" w:fill="auto"/>
            <w:noWrap/>
          </w:tcPr>
          <w:p w:rsidR="00A363A5" w:rsidRPr="00E436E7" w:rsidRDefault="00A363A5" w:rsidP="00C96A38">
            <w:pPr>
              <w:pStyle w:val="TableText"/>
              <w:rPr>
                <w:lang w:eastAsia="en-AU"/>
              </w:rPr>
            </w:pPr>
            <w:r w:rsidRPr="00E436E7">
              <w:rPr>
                <w:lang w:eastAsia="en-AU"/>
              </w:rPr>
              <w:t>10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EAF1DD" w:themeFill="accent3" w:themeFillTint="33"/>
            <w:noWrap/>
          </w:tcPr>
          <w:p w:rsidR="00A363A5" w:rsidRPr="00E436E7" w:rsidRDefault="00A363A5" w:rsidP="00C96A38">
            <w:pPr>
              <w:pStyle w:val="TableText"/>
              <w:numPr>
                <w:ilvl w:val="0"/>
                <w:numId w:val="49"/>
              </w:numPr>
              <w:rPr>
                <w:lang w:eastAsia="en-AU"/>
              </w:rPr>
            </w:pPr>
            <w:r w:rsidRPr="00E436E7">
              <w:rPr>
                <w:lang w:eastAsia="en-AU"/>
              </w:rPr>
              <w:t>Alexion Pharmaceuticals Australasia</w:t>
            </w: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tcPr>
          <w:p w:rsidR="00A363A5" w:rsidRPr="00E436E7" w:rsidRDefault="00A363A5" w:rsidP="00C96A38">
            <w:pPr>
              <w:pStyle w:val="TableText"/>
              <w:rPr>
                <w:lang w:eastAsia="en-AU"/>
              </w:rPr>
            </w:pPr>
            <w:r w:rsidRPr="00E436E7">
              <w:rPr>
                <w:lang w:eastAsia="en-AU"/>
              </w:rPr>
              <w:t>11 Nov 2014</w:t>
            </w:r>
          </w:p>
        </w:tc>
      </w:tr>
      <w:tr w:rsidR="00A363A5" w:rsidRPr="00FA1BCF" w:rsidTr="00C96A38">
        <w:trPr>
          <w:trHeight w:val="300"/>
        </w:trPr>
        <w:tc>
          <w:tcPr>
            <w:tcW w:w="0" w:type="auto"/>
            <w:gridSpan w:val="2"/>
            <w:tcBorders>
              <w:top w:val="single" w:sz="4" w:space="0" w:color="C0504D"/>
              <w:left w:val="single" w:sz="4" w:space="0" w:color="C0504D"/>
              <w:bottom w:val="single" w:sz="4" w:space="0" w:color="C0504D"/>
              <w:right w:val="nil"/>
            </w:tcBorders>
            <w:shd w:val="clear" w:color="auto" w:fill="auto"/>
            <w:noWrap/>
          </w:tcPr>
          <w:p w:rsidR="00A363A5" w:rsidRPr="00E436E7" w:rsidRDefault="00A363A5" w:rsidP="00C96A38">
            <w:pPr>
              <w:pStyle w:val="TableText"/>
              <w:numPr>
                <w:ilvl w:val="0"/>
                <w:numId w:val="49"/>
              </w:numPr>
              <w:rPr>
                <w:lang w:eastAsia="en-AU"/>
              </w:rPr>
            </w:pPr>
            <w:r w:rsidRPr="00E436E7">
              <w:rPr>
                <w:lang w:eastAsia="en-AU"/>
              </w:rPr>
              <w:t>The Society of Hospital Pharmacists Australia</w:t>
            </w:r>
          </w:p>
        </w:tc>
        <w:tc>
          <w:tcPr>
            <w:tcW w:w="0" w:type="auto"/>
            <w:tcBorders>
              <w:top w:val="single" w:sz="4" w:space="0" w:color="C0504D"/>
              <w:left w:val="nil"/>
              <w:bottom w:val="single" w:sz="4" w:space="0" w:color="C0504D"/>
              <w:right w:val="single" w:sz="4" w:space="0" w:color="C0504D"/>
            </w:tcBorders>
            <w:shd w:val="clear" w:color="auto" w:fill="auto"/>
            <w:noWrap/>
          </w:tcPr>
          <w:p w:rsidR="00A363A5" w:rsidRPr="00E436E7" w:rsidRDefault="00A363A5" w:rsidP="00C96A38">
            <w:pPr>
              <w:pStyle w:val="TableText"/>
              <w:rPr>
                <w:lang w:eastAsia="en-AU"/>
              </w:rPr>
            </w:pPr>
            <w:r w:rsidRPr="00E436E7">
              <w:rPr>
                <w:lang w:eastAsia="en-AU"/>
              </w:rPr>
              <w:t>14 Nov 2014</w:t>
            </w:r>
          </w:p>
        </w:tc>
      </w:tr>
    </w:tbl>
    <w:p w:rsidR="00A363A5" w:rsidRPr="00FA1BCF" w:rsidRDefault="00A363A5" w:rsidP="00A363A5">
      <w:pPr>
        <w:jc w:val="both"/>
        <w:rPr>
          <w:rFonts w:eastAsia="Times New Roman" w:cs="Times New Roman"/>
          <w:b/>
          <w:i/>
          <w:sz w:val="28"/>
          <w:szCs w:val="28"/>
          <w:lang w:eastAsia="en-AU"/>
        </w:rPr>
      </w:pPr>
    </w:p>
    <w:p w:rsidR="00CC79FE" w:rsidRPr="00FA1BCF" w:rsidRDefault="00CC79FE" w:rsidP="00E436E7">
      <w:pPr>
        <w:pStyle w:val="Caption"/>
        <w:rPr>
          <w:lang w:eastAsia="en-AU"/>
        </w:rPr>
      </w:pPr>
      <w:r w:rsidRPr="00E436E7">
        <w:rPr>
          <w:lang w:eastAsia="en-AU"/>
        </w:rPr>
        <w:lastRenderedPageBreak/>
        <w:t xml:space="preserve">Table </w:t>
      </w:r>
      <w:r w:rsidR="00A363A5">
        <w:rPr>
          <w:lang w:eastAsia="en-AU"/>
        </w:rPr>
        <w:t>3</w:t>
      </w:r>
      <w:r w:rsidRPr="00E436E7">
        <w:rPr>
          <w:lang w:eastAsia="en-AU"/>
        </w:rPr>
        <w:t xml:space="preserve">: </w:t>
      </w:r>
      <w:r w:rsidR="009C72D6" w:rsidRPr="00FA1BCF">
        <w:rPr>
          <w:lang w:eastAsia="en-AU"/>
        </w:rPr>
        <w:t>List of s</w:t>
      </w:r>
      <w:r w:rsidRPr="00E436E7">
        <w:rPr>
          <w:lang w:eastAsia="en-AU"/>
        </w:rPr>
        <w:t xml:space="preserve">ubmissions </w:t>
      </w:r>
      <w:r w:rsidR="003517E0" w:rsidRPr="00E436E7">
        <w:rPr>
          <w:lang w:eastAsia="en-AU"/>
        </w:rPr>
        <w:t xml:space="preserve">in response </w:t>
      </w:r>
      <w:r w:rsidRPr="00E436E7">
        <w:rPr>
          <w:lang w:eastAsia="en-AU"/>
        </w:rPr>
        <w:t xml:space="preserve">to the </w:t>
      </w:r>
      <w:r w:rsidR="00D572DA" w:rsidRPr="00FA1BCF">
        <w:rPr>
          <w:lang w:eastAsia="en-AU"/>
        </w:rPr>
        <w:t>r</w:t>
      </w:r>
      <w:r w:rsidRPr="00E436E7">
        <w:rPr>
          <w:lang w:eastAsia="en-AU"/>
        </w:rPr>
        <w:t xml:space="preserve">eference </w:t>
      </w:r>
      <w:r w:rsidR="00D572DA" w:rsidRPr="00FA1BCF">
        <w:rPr>
          <w:lang w:eastAsia="en-AU"/>
        </w:rPr>
        <w:t>g</w:t>
      </w:r>
      <w:r w:rsidRPr="00E436E7">
        <w:rPr>
          <w:lang w:eastAsia="en-AU"/>
        </w:rPr>
        <w:t xml:space="preserve">roup </w:t>
      </w:r>
      <w:r w:rsidR="003517E0" w:rsidRPr="00E436E7">
        <w:rPr>
          <w:lang w:eastAsia="en-AU"/>
        </w:rPr>
        <w:t>i</w:t>
      </w:r>
      <w:r w:rsidRPr="00E436E7">
        <w:rPr>
          <w:lang w:eastAsia="en-AU"/>
        </w:rPr>
        <w:t xml:space="preserve">ssues </w:t>
      </w:r>
      <w:r w:rsidR="003517E0" w:rsidRPr="00E436E7">
        <w:rPr>
          <w:lang w:eastAsia="en-AU"/>
        </w:rPr>
        <w:t>p</w:t>
      </w:r>
      <w:r w:rsidRPr="00E436E7">
        <w:rPr>
          <w:lang w:eastAsia="en-AU"/>
        </w:rPr>
        <w:t xml:space="preserve">aper </w:t>
      </w:r>
    </w:p>
    <w:tbl>
      <w:tblPr>
        <w:tblW w:w="0" w:type="auto"/>
        <w:tblLook w:val="04A0" w:firstRow="1" w:lastRow="0" w:firstColumn="1" w:lastColumn="0" w:noHBand="0" w:noVBand="1"/>
      </w:tblPr>
      <w:tblGrid>
        <w:gridCol w:w="7016"/>
        <w:gridCol w:w="222"/>
        <w:gridCol w:w="1364"/>
      </w:tblGrid>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C0504D" w:themeFill="accent2"/>
            <w:noWrap/>
            <w:vAlign w:val="center"/>
            <w:hideMark/>
          </w:tcPr>
          <w:p w:rsidR="00CC79FE" w:rsidRPr="00DC19F4" w:rsidRDefault="003517E0" w:rsidP="00E436E7">
            <w:pPr>
              <w:pStyle w:val="TableHeading"/>
              <w:rPr>
                <w:b w:val="0"/>
                <w:color w:val="FFFFFF" w:themeColor="background1"/>
                <w:lang w:eastAsia="en-AU"/>
              </w:rPr>
            </w:pPr>
            <w:r w:rsidRPr="00DC19F4">
              <w:rPr>
                <w:color w:val="FFFFFF" w:themeColor="background1"/>
                <w:lang w:eastAsia="en-AU"/>
              </w:rPr>
              <w:t>S</w:t>
            </w:r>
            <w:r w:rsidR="00CC79FE" w:rsidRPr="00DC19F4">
              <w:rPr>
                <w:color w:val="FFFFFF" w:themeColor="background1"/>
                <w:lang w:eastAsia="en-AU"/>
              </w:rPr>
              <w:t>ubmi</w:t>
            </w:r>
            <w:r w:rsidRPr="00DC19F4">
              <w:rPr>
                <w:color w:val="FFFFFF" w:themeColor="background1"/>
                <w:lang w:eastAsia="en-AU"/>
              </w:rPr>
              <w:t>tter</w:t>
            </w:r>
          </w:p>
        </w:tc>
        <w:tc>
          <w:tcPr>
            <w:tcW w:w="0" w:type="auto"/>
            <w:tcBorders>
              <w:top w:val="single" w:sz="4" w:space="0" w:color="C0504D"/>
              <w:left w:val="nil"/>
              <w:bottom w:val="single" w:sz="4" w:space="0" w:color="C0504D"/>
              <w:right w:val="nil"/>
            </w:tcBorders>
            <w:shd w:val="clear" w:color="auto" w:fill="C0504D" w:themeFill="accent2"/>
            <w:noWrap/>
            <w:vAlign w:val="center"/>
            <w:hideMark/>
          </w:tcPr>
          <w:p w:rsidR="00CC79FE" w:rsidRPr="00DC19F4" w:rsidRDefault="00CC79FE" w:rsidP="00E436E7">
            <w:pPr>
              <w:pStyle w:val="TableHeading"/>
              <w:rPr>
                <w:b w:val="0"/>
                <w:color w:val="FFFFFF" w:themeColor="background1"/>
                <w:lang w:eastAsia="en-AU"/>
              </w:rPr>
            </w:pPr>
          </w:p>
        </w:tc>
        <w:tc>
          <w:tcPr>
            <w:tcW w:w="0" w:type="auto"/>
            <w:tcBorders>
              <w:top w:val="single" w:sz="4" w:space="0" w:color="C0504D"/>
              <w:left w:val="nil"/>
              <w:bottom w:val="single" w:sz="4" w:space="0" w:color="C0504D"/>
              <w:right w:val="single" w:sz="4" w:space="0" w:color="C0504D"/>
            </w:tcBorders>
            <w:shd w:val="clear" w:color="auto" w:fill="C0504D" w:themeFill="accent2"/>
            <w:noWrap/>
            <w:vAlign w:val="center"/>
            <w:hideMark/>
          </w:tcPr>
          <w:p w:rsidR="00CC79FE" w:rsidRPr="00DC19F4" w:rsidRDefault="00CC79FE" w:rsidP="00E436E7">
            <w:pPr>
              <w:pStyle w:val="TableHeading"/>
              <w:rPr>
                <w:b w:val="0"/>
                <w:color w:val="FFFFFF" w:themeColor="background1"/>
                <w:lang w:eastAsia="en-AU"/>
              </w:rPr>
            </w:pPr>
            <w:r w:rsidRPr="00DC19F4">
              <w:rPr>
                <w:color w:val="FFFFFF" w:themeColor="background1"/>
                <w:lang w:eastAsia="en-AU"/>
              </w:rPr>
              <w:t xml:space="preserve">Date </w:t>
            </w:r>
            <w:r w:rsidR="003517E0" w:rsidRPr="00DC19F4">
              <w:rPr>
                <w:color w:val="FFFFFF" w:themeColor="background1"/>
                <w:lang w:eastAsia="en-AU"/>
              </w:rPr>
              <w:t>r</w:t>
            </w:r>
            <w:r w:rsidRPr="00DC19F4">
              <w:rPr>
                <w:color w:val="FFFFFF" w:themeColor="background1"/>
                <w:lang w:eastAsia="en-AU"/>
              </w:rPr>
              <w:t>eceived</w:t>
            </w:r>
          </w:p>
        </w:tc>
      </w:tr>
      <w:tr w:rsidR="00CC79FE" w:rsidRPr="00FA1BCF" w:rsidTr="00E436E7">
        <w:tc>
          <w:tcPr>
            <w:tcW w:w="0" w:type="auto"/>
            <w:gridSpan w:val="2"/>
            <w:tcBorders>
              <w:top w:val="single" w:sz="4" w:space="0" w:color="C0504D"/>
              <w:left w:val="single" w:sz="4" w:space="0" w:color="C0504D"/>
              <w:bottom w:val="single" w:sz="4" w:space="0" w:color="C0504D"/>
              <w:right w:val="nil"/>
            </w:tcBorders>
            <w:shd w:val="clear" w:color="auto" w:fill="auto"/>
            <w:noWrap/>
            <w:vAlign w:val="center"/>
            <w:hideMark/>
          </w:tcPr>
          <w:p w:rsidR="00CC79FE" w:rsidRPr="00E436E7" w:rsidRDefault="00CC79FE" w:rsidP="00E436E7">
            <w:pPr>
              <w:pStyle w:val="TableText"/>
              <w:numPr>
                <w:ilvl w:val="0"/>
                <w:numId w:val="48"/>
              </w:numPr>
            </w:pPr>
            <w:r w:rsidRPr="00E436E7">
              <w:t xml:space="preserve">Health </w:t>
            </w:r>
            <w:r w:rsidR="00131DFD" w:rsidRPr="00E436E7">
              <w:t>p</w:t>
            </w:r>
            <w:r w:rsidRPr="00E436E7">
              <w:t>rofessional</w:t>
            </w:r>
          </w:p>
        </w:tc>
        <w:tc>
          <w:tcPr>
            <w:tcW w:w="0" w:type="auto"/>
            <w:tcBorders>
              <w:top w:val="single" w:sz="4" w:space="0" w:color="C0504D"/>
              <w:left w:val="nil"/>
              <w:bottom w:val="single" w:sz="4" w:space="0" w:color="C0504D"/>
              <w:right w:val="single" w:sz="4" w:space="0" w:color="C0504D"/>
            </w:tcBorders>
            <w:shd w:val="clear" w:color="auto" w:fill="auto"/>
            <w:noWrap/>
            <w:vAlign w:val="center"/>
            <w:hideMark/>
          </w:tcPr>
          <w:p w:rsidR="00CC79FE" w:rsidRPr="00E436E7" w:rsidRDefault="00CC79FE" w:rsidP="00E436E7">
            <w:pPr>
              <w:pStyle w:val="TableText"/>
            </w:pPr>
            <w:r w:rsidRPr="00E436E7">
              <w:t>13 Apr 2015</w:t>
            </w:r>
          </w:p>
        </w:tc>
      </w:tr>
      <w:tr w:rsidR="00CC79FE" w:rsidRPr="00FA1BCF" w:rsidTr="00DC19F4">
        <w:tc>
          <w:tcPr>
            <w:tcW w:w="0" w:type="auto"/>
            <w:gridSpan w:val="2"/>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Professor Jack Goldblatt</w:t>
            </w: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16 Apr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Karen &amp; Steven Goodman</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23 Apr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 xml:space="preserve">Carer </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27 Apr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Professor Jeffrey</w:t>
            </w:r>
            <w:r w:rsidR="00B56F35" w:rsidRPr="00E436E7">
              <w:t xml:space="preserve"> </w:t>
            </w:r>
            <w:proofErr w:type="spellStart"/>
            <w:r w:rsidRPr="00E436E7">
              <w:t>Szer</w:t>
            </w:r>
            <w:proofErr w:type="spellEnd"/>
            <w:r w:rsidRPr="00E436E7">
              <w:t xml:space="preserve"> (endorsed by 8 ex-</w:t>
            </w:r>
            <w:r w:rsidR="001317F7" w:rsidRPr="00FA1BCF">
              <w:t>d</w:t>
            </w:r>
            <w:r w:rsidRPr="00E436E7">
              <w:t xml:space="preserve">isease </w:t>
            </w:r>
            <w:r w:rsidR="001317F7" w:rsidRPr="00FA1BCF">
              <w:t>a</w:t>
            </w:r>
            <w:r w:rsidRPr="00E436E7">
              <w:t xml:space="preserve">dvisory </w:t>
            </w:r>
            <w:r w:rsidR="001317F7" w:rsidRPr="00FA1BCF">
              <w:t>c</w:t>
            </w:r>
            <w:r w:rsidRPr="00E436E7">
              <w:t>ommittee members)</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 xml:space="preserve">27 Apr 2015 </w:t>
            </w:r>
            <w:r w:rsidR="009F568B">
              <w:br/>
            </w:r>
            <w:r w:rsidRPr="00E436E7">
              <w:t>(8 May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James Sterling</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28 Apr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hideMark/>
          </w:tcPr>
          <w:p w:rsidR="00CC79FE" w:rsidRPr="00E436E7" w:rsidRDefault="00CC79FE" w:rsidP="00E436E7">
            <w:pPr>
              <w:pStyle w:val="TableText"/>
              <w:numPr>
                <w:ilvl w:val="0"/>
                <w:numId w:val="48"/>
              </w:numPr>
            </w:pPr>
            <w:r w:rsidRPr="00E436E7">
              <w:t>The Society of Hospital Pharmacists</w:t>
            </w:r>
            <w:r w:rsidR="00B56F35" w:rsidRPr="00E436E7">
              <w:t xml:space="preserve"> </w:t>
            </w:r>
            <w:r w:rsidRPr="00E436E7">
              <w:t>Australia</w:t>
            </w:r>
          </w:p>
        </w:tc>
        <w:tc>
          <w:tcPr>
            <w:tcW w:w="0" w:type="auto"/>
            <w:tcBorders>
              <w:top w:val="single" w:sz="4" w:space="0" w:color="C0504D"/>
              <w:left w:val="nil"/>
              <w:bottom w:val="single" w:sz="4" w:space="0" w:color="C0504D"/>
              <w:right w:val="nil"/>
            </w:tcBorders>
            <w:shd w:val="clear" w:color="auto" w:fill="auto"/>
            <w:noWrap/>
            <w:vAlign w:val="center"/>
            <w:hideMark/>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hideMark/>
          </w:tcPr>
          <w:p w:rsidR="00CC79FE" w:rsidRPr="00E436E7" w:rsidRDefault="00CC79FE" w:rsidP="00E436E7">
            <w:pPr>
              <w:pStyle w:val="TableText"/>
            </w:pPr>
            <w:r w:rsidRPr="00E436E7">
              <w:t>28 Apr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hideMark/>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hideMark/>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hideMark/>
          </w:tcPr>
          <w:p w:rsidR="00CC79FE" w:rsidRPr="00E436E7" w:rsidRDefault="00CC79FE" w:rsidP="00E436E7">
            <w:pPr>
              <w:pStyle w:val="TableText"/>
            </w:pPr>
            <w:r w:rsidRPr="00E436E7">
              <w:t>28 Apr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Medical Oncology Group of Australia</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29 Apr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 xml:space="preserve">The </w:t>
            </w:r>
            <w:proofErr w:type="spellStart"/>
            <w:r w:rsidRPr="00E436E7">
              <w:t>McKell</w:t>
            </w:r>
            <w:proofErr w:type="spellEnd"/>
            <w:r w:rsidRPr="00E436E7">
              <w:t xml:space="preserve"> Institute</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29 Apr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 xml:space="preserve">Australian </w:t>
            </w:r>
            <w:proofErr w:type="spellStart"/>
            <w:r w:rsidRPr="00E436E7">
              <w:t>Pompe</w:t>
            </w:r>
            <w:r w:rsidR="00A92341">
              <w:t>’s</w:t>
            </w:r>
            <w:proofErr w:type="spellEnd"/>
            <w:r w:rsidRPr="00E436E7">
              <w:t xml:space="preserve"> Association</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29 Apr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PNH Support Association of Australia</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29 Apr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29 Apr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Carer</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29 Apr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29 Apr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Sydney Children’s Hospital Network Genetic Metabolic Disorders Service</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30 Apr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Non-</w:t>
            </w:r>
            <w:r w:rsidR="00131DFD" w:rsidRPr="00E436E7">
              <w:t>g</w:t>
            </w:r>
            <w:r w:rsidRPr="00E436E7">
              <w:t>ov</w:t>
            </w:r>
            <w:r w:rsidR="00131DFD" w:rsidRPr="00E436E7">
              <w:t>ernment</w:t>
            </w:r>
            <w:r w:rsidRPr="00E436E7">
              <w:t xml:space="preserve"> </w:t>
            </w:r>
            <w:r w:rsidR="00131DFD" w:rsidRPr="00E436E7">
              <w:t>o</w:t>
            </w:r>
            <w:r w:rsidRPr="00E436E7">
              <w:t>rganisation</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30 Apr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131DFD" w:rsidP="00E436E7">
            <w:pPr>
              <w:pStyle w:val="TableText"/>
              <w:numPr>
                <w:ilvl w:val="0"/>
                <w:numId w:val="48"/>
              </w:numPr>
            </w:pPr>
            <w:r w:rsidRPr="00E436E7">
              <w:t>C</w:t>
            </w:r>
            <w:r w:rsidR="00CC79FE" w:rsidRPr="00E436E7">
              <w:t>onsumer</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30 Apr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Queensland Health</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30 Apr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proofErr w:type="spellStart"/>
            <w:r w:rsidRPr="00E436E7">
              <w:t>Optum</w:t>
            </w:r>
            <w:proofErr w:type="spellEnd"/>
            <w:r w:rsidRPr="00E436E7">
              <w:t xml:space="preserve"> </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30 Apr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Carer</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30 Apr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Rare Voices Australia</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30 Apr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30 Apr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30 Apr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Fabry Support Group of Australia</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30 Apr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Genzyme, A Sanofi Company</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30 Apr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 xml:space="preserve">Royal Australian and New Zealand College of Ophthalmologists </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30 Apr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30 Apr 2015</w:t>
            </w:r>
          </w:p>
        </w:tc>
      </w:tr>
      <w:tr w:rsidR="00946EC1"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946EC1" w:rsidRPr="00E436E7" w:rsidRDefault="00946EC1" w:rsidP="00E436E7">
            <w:pPr>
              <w:pStyle w:val="TableText"/>
              <w:numPr>
                <w:ilvl w:val="0"/>
                <w:numId w:val="48"/>
              </w:numPr>
            </w:pPr>
            <w:r>
              <w:t>Consumer</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946EC1" w:rsidRPr="00E436E7" w:rsidRDefault="00946EC1"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946EC1" w:rsidRPr="00E436E7" w:rsidRDefault="00946EC1" w:rsidP="00E436E7">
            <w:pPr>
              <w:pStyle w:val="TableText"/>
            </w:pPr>
            <w:r>
              <w:t>1 May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Vertex Pharmaceuticals</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4 May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5 May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Australian Medical Association</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8 May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8 May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Dr Janice Fletcher</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8 May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lastRenderedPageBreak/>
              <w:t>Consumer</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9 May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12 May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Shire Australia</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14</w:t>
            </w:r>
            <w:r w:rsidR="00B56F35" w:rsidRPr="00E436E7">
              <w:t xml:space="preserve"> </w:t>
            </w:r>
            <w:r w:rsidRPr="00E436E7">
              <w:t>May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proofErr w:type="spellStart"/>
            <w:r w:rsidRPr="00E436E7">
              <w:t>Biomarin</w:t>
            </w:r>
            <w:proofErr w:type="spellEnd"/>
            <w:r w:rsidRPr="00E436E7">
              <w:t xml:space="preserve"> Pharmaceutical Australia</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15</w:t>
            </w:r>
            <w:r w:rsidR="00B56F35" w:rsidRPr="00E436E7">
              <w:t xml:space="preserve"> </w:t>
            </w:r>
            <w:r w:rsidRPr="00E436E7">
              <w:t>May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15 May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 xml:space="preserve">AstraZeneca </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15 May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16 May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16</w:t>
            </w:r>
            <w:r w:rsidR="00B56F35" w:rsidRPr="00E436E7">
              <w:t xml:space="preserve"> </w:t>
            </w:r>
            <w:r w:rsidRPr="00E436E7">
              <w:t>May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17 May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17 May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18 May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Pfizer Australia</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18 May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18</w:t>
            </w:r>
            <w:r w:rsidR="00B56F35" w:rsidRPr="00E436E7">
              <w:t xml:space="preserve"> </w:t>
            </w:r>
            <w:r w:rsidRPr="00E436E7">
              <w:t>May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Alexion</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18</w:t>
            </w:r>
            <w:r w:rsidR="00B56F35" w:rsidRPr="00E436E7">
              <w:t xml:space="preserve"> </w:t>
            </w:r>
            <w:r w:rsidRPr="00E436E7">
              <w:t>May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proofErr w:type="spellStart"/>
            <w:r w:rsidRPr="00E436E7">
              <w:t>Sanfillippo</w:t>
            </w:r>
            <w:proofErr w:type="spellEnd"/>
            <w:r w:rsidRPr="00E436E7">
              <w:t xml:space="preserve"> Children’s Foundation</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18</w:t>
            </w:r>
            <w:r w:rsidR="00B56F35" w:rsidRPr="00E436E7">
              <w:t xml:space="preserve"> </w:t>
            </w:r>
            <w:r w:rsidRPr="00E436E7">
              <w:t>May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Consumers Health Forum of Australia</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18</w:t>
            </w:r>
            <w:r w:rsidR="00B56F35" w:rsidRPr="00E436E7">
              <w:t xml:space="preserve"> </w:t>
            </w:r>
            <w:r w:rsidRPr="00E436E7">
              <w:t>May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proofErr w:type="spellStart"/>
            <w:r w:rsidRPr="00E436E7">
              <w:t>Mucopolysaccharide</w:t>
            </w:r>
            <w:proofErr w:type="spellEnd"/>
            <w:r w:rsidRPr="00E436E7">
              <w:t xml:space="preserve"> &amp; Related Diseases Society Australia Ltd</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18</w:t>
            </w:r>
            <w:r w:rsidR="00B56F35" w:rsidRPr="00E436E7">
              <w:t xml:space="preserve"> </w:t>
            </w:r>
            <w:r w:rsidRPr="00E436E7">
              <w:t>May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18</w:t>
            </w:r>
            <w:r w:rsidR="00B56F35" w:rsidRPr="00E436E7">
              <w:t xml:space="preserve"> </w:t>
            </w:r>
            <w:r w:rsidRPr="00E436E7">
              <w:t>May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 xml:space="preserve">Dr David </w:t>
            </w:r>
            <w:proofErr w:type="spellStart"/>
            <w:r w:rsidRPr="00E436E7">
              <w:t>Ketteridge</w:t>
            </w:r>
            <w:proofErr w:type="spellEnd"/>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18</w:t>
            </w:r>
            <w:r w:rsidR="00B56F35" w:rsidRPr="00E436E7">
              <w:t xml:space="preserve"> </w:t>
            </w:r>
            <w:r w:rsidRPr="00E436E7">
              <w:t>May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18</w:t>
            </w:r>
            <w:r w:rsidR="00B56F35" w:rsidRPr="00E436E7">
              <w:t xml:space="preserve"> </w:t>
            </w:r>
            <w:r w:rsidRPr="00E436E7">
              <w:t>May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Australasian Society of Inborn Errors of Metabolism</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18 May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18 May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Medicine Australia</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18 May 2015</w:t>
            </w:r>
          </w:p>
        </w:tc>
      </w:tr>
      <w:tr w:rsidR="00CC79FE" w:rsidRPr="00FA1BCF" w:rsidTr="00E436E7">
        <w:tc>
          <w:tcPr>
            <w:tcW w:w="0" w:type="auto"/>
            <w:tcBorders>
              <w:top w:val="single" w:sz="4" w:space="0" w:color="C0504D"/>
              <w:left w:val="single" w:sz="4" w:space="0" w:color="C0504D"/>
              <w:bottom w:val="single" w:sz="4" w:space="0" w:color="C0504D"/>
              <w:right w:val="nil"/>
            </w:tcBorders>
            <w:shd w:val="clear" w:color="auto" w:fill="auto"/>
            <w:noWrap/>
            <w:vAlign w:val="center"/>
          </w:tcPr>
          <w:p w:rsidR="00CC79FE" w:rsidRPr="00E436E7" w:rsidRDefault="00CC79FE" w:rsidP="00E436E7">
            <w:pPr>
              <w:pStyle w:val="TableText"/>
              <w:numPr>
                <w:ilvl w:val="0"/>
                <w:numId w:val="48"/>
              </w:numPr>
            </w:pPr>
            <w:r w:rsidRPr="00E436E7">
              <w:t>Consumer</w:t>
            </w:r>
          </w:p>
        </w:tc>
        <w:tc>
          <w:tcPr>
            <w:tcW w:w="0" w:type="auto"/>
            <w:tcBorders>
              <w:top w:val="single" w:sz="4" w:space="0" w:color="C0504D"/>
              <w:left w:val="nil"/>
              <w:bottom w:val="single" w:sz="4" w:space="0" w:color="C0504D"/>
              <w:right w:val="nil"/>
            </w:tcBorders>
            <w:shd w:val="clear" w:color="auto" w:fill="auto"/>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auto"/>
            <w:noWrap/>
            <w:vAlign w:val="center"/>
          </w:tcPr>
          <w:p w:rsidR="00CC79FE" w:rsidRPr="00E436E7" w:rsidRDefault="00CC79FE" w:rsidP="00E436E7">
            <w:pPr>
              <w:pStyle w:val="TableText"/>
            </w:pPr>
            <w:r w:rsidRPr="00E436E7">
              <w:t>18 May 2015</w:t>
            </w:r>
          </w:p>
        </w:tc>
      </w:tr>
      <w:tr w:rsidR="00CC79FE" w:rsidRPr="00FA1BCF" w:rsidTr="00DC19F4">
        <w:tc>
          <w:tcPr>
            <w:tcW w:w="0" w:type="auto"/>
            <w:tcBorders>
              <w:top w:val="single" w:sz="4" w:space="0" w:color="C0504D"/>
              <w:left w:val="single" w:sz="4" w:space="0" w:color="C0504D"/>
              <w:bottom w:val="single" w:sz="4" w:space="0" w:color="C0504D"/>
              <w:right w:val="nil"/>
            </w:tcBorders>
            <w:shd w:val="clear" w:color="auto" w:fill="EAF1DD" w:themeFill="accent3" w:themeFillTint="33"/>
            <w:noWrap/>
            <w:vAlign w:val="center"/>
          </w:tcPr>
          <w:p w:rsidR="00CC79FE" w:rsidRPr="00E436E7" w:rsidRDefault="00CC79FE" w:rsidP="00E436E7">
            <w:pPr>
              <w:pStyle w:val="TableText"/>
              <w:numPr>
                <w:ilvl w:val="0"/>
                <w:numId w:val="48"/>
              </w:numPr>
            </w:pPr>
            <w:r w:rsidRPr="00E436E7">
              <w:t>Cancer Drug Alliance</w:t>
            </w:r>
          </w:p>
        </w:tc>
        <w:tc>
          <w:tcPr>
            <w:tcW w:w="0" w:type="auto"/>
            <w:tcBorders>
              <w:top w:val="single" w:sz="4" w:space="0" w:color="C0504D"/>
              <w:left w:val="nil"/>
              <w:bottom w:val="single" w:sz="4" w:space="0" w:color="C0504D"/>
              <w:right w:val="nil"/>
            </w:tcBorders>
            <w:shd w:val="clear" w:color="auto" w:fill="EAF1DD" w:themeFill="accent3" w:themeFillTint="33"/>
            <w:noWrap/>
            <w:vAlign w:val="center"/>
          </w:tcPr>
          <w:p w:rsidR="00CC79FE" w:rsidRPr="00E436E7" w:rsidRDefault="00CC79FE" w:rsidP="00E436E7">
            <w:pPr>
              <w:pStyle w:val="TableText"/>
            </w:pPr>
          </w:p>
        </w:tc>
        <w:tc>
          <w:tcPr>
            <w:tcW w:w="0" w:type="auto"/>
            <w:tcBorders>
              <w:top w:val="single" w:sz="4" w:space="0" w:color="C0504D"/>
              <w:left w:val="nil"/>
              <w:bottom w:val="single" w:sz="4" w:space="0" w:color="C0504D"/>
              <w:right w:val="single" w:sz="4" w:space="0" w:color="C0504D"/>
            </w:tcBorders>
            <w:shd w:val="clear" w:color="auto" w:fill="EAF1DD" w:themeFill="accent3" w:themeFillTint="33"/>
            <w:noWrap/>
            <w:vAlign w:val="center"/>
          </w:tcPr>
          <w:p w:rsidR="00CC79FE" w:rsidRPr="00E436E7" w:rsidRDefault="00CC79FE" w:rsidP="00E436E7">
            <w:pPr>
              <w:pStyle w:val="TableText"/>
            </w:pPr>
            <w:r w:rsidRPr="00E436E7">
              <w:t>19 May 2015</w:t>
            </w:r>
          </w:p>
        </w:tc>
      </w:tr>
    </w:tbl>
    <w:p w:rsidR="000B3DE1" w:rsidRPr="00E436E7" w:rsidRDefault="000B3DE1" w:rsidP="000B3DE1">
      <w:pPr>
        <w:rPr>
          <w:rFonts w:eastAsia="Times New Roman" w:cs="Times New Roman"/>
          <w:b/>
          <w:color w:val="000000"/>
          <w:sz w:val="36"/>
          <w:szCs w:val="36"/>
          <w:lang w:eastAsia="en-AU"/>
        </w:rPr>
      </w:pPr>
    </w:p>
    <w:p w:rsidR="00084B72" w:rsidRPr="00E436E7" w:rsidRDefault="00084B72">
      <w:pPr>
        <w:spacing w:after="200" w:line="276" w:lineRule="auto"/>
        <w:rPr>
          <w:rFonts w:eastAsia="Times New Roman" w:cs="Times New Roman"/>
          <w:b/>
          <w:color w:val="000000"/>
          <w:sz w:val="40"/>
          <w:szCs w:val="36"/>
          <w:lang w:eastAsia="en-AU"/>
        </w:rPr>
      </w:pPr>
      <w:r w:rsidRPr="00E436E7">
        <w:rPr>
          <w:rFonts w:eastAsia="Times New Roman" w:cs="Times New Roman"/>
          <w:b/>
          <w:color w:val="000000"/>
          <w:sz w:val="40"/>
          <w:szCs w:val="36"/>
          <w:lang w:eastAsia="en-AU"/>
        </w:rPr>
        <w:br w:type="page"/>
      </w:r>
    </w:p>
    <w:p w:rsidR="00CC79FE" w:rsidRPr="00FA1BCF" w:rsidRDefault="00CC79FE" w:rsidP="00E436E7">
      <w:pPr>
        <w:pStyle w:val="Heading1"/>
        <w:rPr>
          <w:lang w:eastAsia="en-AU"/>
        </w:rPr>
      </w:pPr>
      <w:bookmarkStart w:id="6" w:name="_Toc302625564"/>
      <w:r w:rsidRPr="00FA1BCF">
        <w:rPr>
          <w:lang w:eastAsia="en-AU"/>
        </w:rPr>
        <w:lastRenderedPageBreak/>
        <w:t>Section 3:</w:t>
      </w:r>
      <w:r w:rsidRPr="00FA1BCF">
        <w:rPr>
          <w:sz w:val="36"/>
          <w:szCs w:val="36"/>
          <w:lang w:eastAsia="en-AU"/>
        </w:rPr>
        <w:t xml:space="preserve"> </w:t>
      </w:r>
      <w:r w:rsidR="008616F2" w:rsidRPr="00FA1BCF">
        <w:t xml:space="preserve">Life Saving Drugs Programme </w:t>
      </w:r>
      <w:r w:rsidRPr="00FA1BCF">
        <w:rPr>
          <w:lang w:eastAsia="en-AU"/>
        </w:rPr>
        <w:t xml:space="preserve">Reference </w:t>
      </w:r>
      <w:r w:rsidR="008616F2" w:rsidRPr="00FA1BCF">
        <w:rPr>
          <w:lang w:eastAsia="en-AU"/>
        </w:rPr>
        <w:t>G</w:t>
      </w:r>
      <w:r w:rsidRPr="00FA1BCF">
        <w:rPr>
          <w:lang w:eastAsia="en-AU"/>
        </w:rPr>
        <w:t xml:space="preserve">roup </w:t>
      </w:r>
      <w:r w:rsidR="00084B72" w:rsidRPr="00FA1BCF">
        <w:rPr>
          <w:lang w:eastAsia="en-AU"/>
        </w:rPr>
        <w:t>r</w:t>
      </w:r>
      <w:r w:rsidRPr="00FA1BCF">
        <w:rPr>
          <w:lang w:eastAsia="en-AU"/>
        </w:rPr>
        <w:t>ecommendations</w:t>
      </w:r>
      <w:bookmarkEnd w:id="6"/>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 xml:space="preserve">In providing advice to the Minister, 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recommends that</w:t>
      </w:r>
      <w:r w:rsidR="008837F7" w:rsidRPr="00FA1BCF">
        <w:rPr>
          <w:rFonts w:eastAsia="Times New Roman" w:cs="Times New Roman"/>
          <w:szCs w:val="24"/>
          <w:lang w:eastAsia="en-AU"/>
        </w:rPr>
        <w:t>:</w:t>
      </w:r>
      <w:r w:rsidRPr="00FA1BCF">
        <w:rPr>
          <w:rFonts w:eastAsia="Times New Roman" w:cs="Times New Roman"/>
          <w:szCs w:val="24"/>
          <w:lang w:eastAsia="en-AU"/>
        </w:rPr>
        <w:t xml:space="preserve"> </w:t>
      </w:r>
    </w:p>
    <w:p w:rsidR="00CC79FE" w:rsidRPr="00FA1BCF" w:rsidRDefault="00CC79FE" w:rsidP="00CC79FE">
      <w:pPr>
        <w:rPr>
          <w:rFonts w:eastAsia="Times New Roman" w:cs="Times New Roman"/>
          <w:i/>
          <w:szCs w:val="24"/>
          <w:lang w:eastAsia="en-AU"/>
        </w:rPr>
      </w:pPr>
      <w:r w:rsidRPr="00FA1BCF">
        <w:rPr>
          <w:rFonts w:eastAsia="Times New Roman" w:cs="Times New Roman"/>
          <w:b/>
          <w:i/>
          <w:szCs w:val="24"/>
          <w:lang w:eastAsia="en-AU"/>
        </w:rPr>
        <w:t>1.</w:t>
      </w:r>
      <w:r w:rsidRPr="00FA1BCF">
        <w:rPr>
          <w:rFonts w:eastAsia="Times New Roman" w:cs="Times New Roman"/>
          <w:i/>
          <w:szCs w:val="24"/>
          <w:lang w:eastAsia="en-AU"/>
        </w:rPr>
        <w:t xml:space="preserve"> </w:t>
      </w:r>
      <w:r w:rsidRPr="00FA1BCF">
        <w:rPr>
          <w:rFonts w:eastAsia="Times New Roman" w:cs="Times New Roman"/>
          <w:b/>
          <w:i/>
          <w:szCs w:val="24"/>
          <w:lang w:eastAsia="en-AU"/>
        </w:rPr>
        <w:t>The Commonwealth Government should continue to enable access to and provide funding for medicines to treat Australians with rare diseases, where those medicines have been evaluated for safety, efficacy and clinical effectiveness.</w:t>
      </w:r>
    </w:p>
    <w:p w:rsidR="00CC79FE" w:rsidRPr="00FA1BCF" w:rsidRDefault="00CC79FE" w:rsidP="00E436E7">
      <w:pPr>
        <w:ind w:left="360"/>
        <w:jc w:val="both"/>
        <w:rPr>
          <w:rFonts w:eastAsia="Times New Roman" w:cs="Times New Roman"/>
          <w:i/>
          <w:szCs w:val="24"/>
          <w:lang w:eastAsia="en-AU"/>
        </w:rPr>
      </w:pPr>
      <w:r w:rsidRPr="00FA1BCF">
        <w:rPr>
          <w:rFonts w:eastAsia="Times New Roman" w:cs="Times New Roman"/>
          <w:szCs w:val="24"/>
          <w:lang w:eastAsia="en-AU"/>
        </w:rPr>
        <w:t xml:space="preserve">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received many submissions maintaining that the mechanism of access to </w:t>
      </w:r>
      <w:r w:rsidR="00A26B5E" w:rsidRPr="00FA1BCF">
        <w:rPr>
          <w:rFonts w:eastAsia="Times New Roman" w:cs="Times New Roman"/>
          <w:szCs w:val="24"/>
          <w:lang w:eastAsia="en-AU"/>
        </w:rPr>
        <w:t xml:space="preserve">medicines </w:t>
      </w:r>
      <w:r w:rsidRPr="00FA1BCF">
        <w:rPr>
          <w:rFonts w:eastAsia="Times New Roman" w:cs="Times New Roman"/>
          <w:szCs w:val="24"/>
          <w:lang w:eastAsia="en-AU"/>
        </w:rPr>
        <w:t xml:space="preserve">is not as relevant to patients as is the assurance that patients </w:t>
      </w:r>
      <w:r w:rsidR="00CB4E7E" w:rsidRPr="00FA1BCF">
        <w:rPr>
          <w:rFonts w:eastAsia="Times New Roman" w:cs="Times New Roman"/>
          <w:szCs w:val="24"/>
          <w:lang w:eastAsia="en-AU"/>
        </w:rPr>
        <w:t xml:space="preserve">who are </w:t>
      </w:r>
      <w:r w:rsidR="00EA00B2" w:rsidRPr="00FA1BCF">
        <w:rPr>
          <w:rFonts w:eastAsia="Times New Roman" w:cs="Times New Roman"/>
          <w:szCs w:val="24"/>
          <w:lang w:eastAsia="en-AU"/>
        </w:rPr>
        <w:t xml:space="preserve">currently receiving </w:t>
      </w:r>
      <w:r w:rsidR="00CB4E7E" w:rsidRPr="00FA1BCF">
        <w:rPr>
          <w:rFonts w:eastAsia="Times New Roman" w:cs="Times New Roman"/>
          <w:szCs w:val="24"/>
          <w:lang w:eastAsia="en-AU"/>
        </w:rPr>
        <w:t xml:space="preserve">treatment </w:t>
      </w:r>
      <w:r w:rsidR="00EA00B2" w:rsidRPr="00FA1BCF">
        <w:rPr>
          <w:rFonts w:eastAsia="Times New Roman" w:cs="Times New Roman"/>
          <w:szCs w:val="24"/>
          <w:lang w:eastAsia="en-AU"/>
        </w:rPr>
        <w:t>or may require</w:t>
      </w:r>
      <w:r w:rsidR="00CB4E7E" w:rsidRPr="00FA1BCF">
        <w:rPr>
          <w:rFonts w:eastAsia="Times New Roman" w:cs="Times New Roman"/>
          <w:szCs w:val="24"/>
          <w:lang w:eastAsia="en-AU"/>
        </w:rPr>
        <w:t xml:space="preserve"> future</w:t>
      </w:r>
      <w:r w:rsidR="00EA00B2" w:rsidRPr="00FA1BCF">
        <w:rPr>
          <w:rFonts w:eastAsia="Times New Roman" w:cs="Times New Roman"/>
          <w:szCs w:val="24"/>
          <w:lang w:eastAsia="en-AU"/>
        </w:rPr>
        <w:t xml:space="preserve"> </w:t>
      </w:r>
      <w:r w:rsidRPr="00FA1BCF">
        <w:rPr>
          <w:rFonts w:eastAsia="Times New Roman" w:cs="Times New Roman"/>
          <w:szCs w:val="24"/>
          <w:lang w:eastAsia="en-AU"/>
        </w:rPr>
        <w:t xml:space="preserve">treatment </w:t>
      </w:r>
      <w:r w:rsidR="00EA00B2" w:rsidRPr="00FA1BCF">
        <w:rPr>
          <w:rFonts w:eastAsia="Times New Roman" w:cs="Times New Roman"/>
          <w:szCs w:val="24"/>
          <w:lang w:eastAsia="en-AU"/>
        </w:rPr>
        <w:t xml:space="preserve">will </w:t>
      </w:r>
      <w:r w:rsidRPr="00FA1BCF">
        <w:rPr>
          <w:rFonts w:eastAsia="Times New Roman" w:cs="Times New Roman"/>
          <w:szCs w:val="24"/>
          <w:lang w:eastAsia="en-AU"/>
        </w:rPr>
        <w:t>continue to receive treatment through a Government</w:t>
      </w:r>
      <w:r w:rsidR="00CB4E7E" w:rsidRPr="00FA1BCF">
        <w:rPr>
          <w:rFonts w:eastAsia="Times New Roman" w:cs="Times New Roman"/>
          <w:szCs w:val="24"/>
          <w:lang w:eastAsia="en-AU"/>
        </w:rPr>
        <w:t>-</w:t>
      </w:r>
      <w:r w:rsidRPr="00FA1BCF">
        <w:rPr>
          <w:rFonts w:eastAsia="Times New Roman" w:cs="Times New Roman"/>
          <w:szCs w:val="24"/>
          <w:lang w:eastAsia="en-AU"/>
        </w:rPr>
        <w:t xml:space="preserve">subsidised programme. </w:t>
      </w:r>
    </w:p>
    <w:p w:rsidR="00CC79FE" w:rsidRPr="00FA1BCF" w:rsidRDefault="00CC79FE" w:rsidP="00CC79FE">
      <w:pPr>
        <w:rPr>
          <w:rFonts w:eastAsia="Times New Roman" w:cs="Times New Roman"/>
          <w:b/>
          <w:i/>
          <w:szCs w:val="24"/>
          <w:lang w:eastAsia="en-AU"/>
        </w:rPr>
      </w:pPr>
      <w:r w:rsidRPr="00FA1BCF">
        <w:rPr>
          <w:rFonts w:eastAsia="Times New Roman" w:cs="Times New Roman"/>
          <w:b/>
          <w:i/>
          <w:szCs w:val="24"/>
          <w:lang w:eastAsia="en-AU"/>
        </w:rPr>
        <w:t xml:space="preserve">2. </w:t>
      </w:r>
      <w:r w:rsidR="00A26B5E" w:rsidRPr="00FA1BCF">
        <w:rPr>
          <w:rFonts w:eastAsia="Times New Roman" w:cs="Times New Roman"/>
          <w:b/>
          <w:i/>
          <w:szCs w:val="24"/>
          <w:lang w:eastAsia="en-AU"/>
        </w:rPr>
        <w:t xml:space="preserve">Medicines </w:t>
      </w:r>
      <w:r w:rsidRPr="00FA1BCF">
        <w:rPr>
          <w:rFonts w:eastAsia="Times New Roman" w:cs="Times New Roman"/>
          <w:b/>
          <w:i/>
          <w:szCs w:val="24"/>
          <w:lang w:eastAsia="en-AU"/>
        </w:rPr>
        <w:t xml:space="preserve">currently included on the </w:t>
      </w:r>
      <w:r w:rsidR="00814DFD" w:rsidRPr="00FA1BCF">
        <w:rPr>
          <w:rFonts w:eastAsia="Times New Roman" w:cs="Times New Roman"/>
          <w:b/>
          <w:i/>
          <w:szCs w:val="24"/>
          <w:lang w:eastAsia="en-AU"/>
        </w:rPr>
        <w:t>Life Saving Drugs Programme (</w:t>
      </w:r>
      <w:r w:rsidRPr="00FA1BCF">
        <w:rPr>
          <w:rFonts w:eastAsia="Times New Roman" w:cs="Times New Roman"/>
          <w:b/>
          <w:i/>
          <w:szCs w:val="24"/>
          <w:lang w:eastAsia="en-AU"/>
        </w:rPr>
        <w:t>LSDP</w:t>
      </w:r>
      <w:r w:rsidR="00814DFD" w:rsidRPr="00FA1BCF">
        <w:rPr>
          <w:rFonts w:eastAsia="Times New Roman" w:cs="Times New Roman"/>
          <w:b/>
          <w:i/>
          <w:szCs w:val="24"/>
          <w:lang w:eastAsia="en-AU"/>
        </w:rPr>
        <w:t>)</w:t>
      </w:r>
      <w:r w:rsidRPr="00FA1BCF">
        <w:rPr>
          <w:rFonts w:eastAsia="Times New Roman" w:cs="Times New Roman"/>
          <w:b/>
          <w:i/>
          <w:szCs w:val="24"/>
          <w:lang w:eastAsia="en-AU"/>
        </w:rPr>
        <w:t xml:space="preserve"> should be grandfathered </w:t>
      </w:r>
      <w:proofErr w:type="gramStart"/>
      <w:r w:rsidRPr="00FA1BCF">
        <w:rPr>
          <w:rFonts w:eastAsia="Times New Roman" w:cs="Times New Roman"/>
          <w:b/>
          <w:i/>
          <w:szCs w:val="24"/>
          <w:lang w:eastAsia="en-AU"/>
        </w:rPr>
        <w:t xml:space="preserve">to </w:t>
      </w:r>
      <w:r w:rsidR="00E622B4" w:rsidRPr="00FA1BCF">
        <w:rPr>
          <w:rFonts w:eastAsia="Times New Roman" w:cs="Times New Roman"/>
          <w:b/>
          <w:i/>
          <w:szCs w:val="24"/>
          <w:lang w:eastAsia="en-AU"/>
        </w:rPr>
        <w:t xml:space="preserve">a </w:t>
      </w:r>
      <w:r w:rsidRPr="00FA1BCF">
        <w:rPr>
          <w:rFonts w:eastAsia="Times New Roman" w:cs="Times New Roman"/>
          <w:b/>
          <w:i/>
          <w:szCs w:val="24"/>
          <w:lang w:eastAsia="en-AU"/>
        </w:rPr>
        <w:t xml:space="preserve">new </w:t>
      </w:r>
      <w:r w:rsidR="008B29C7" w:rsidRPr="00FA1BCF">
        <w:rPr>
          <w:rFonts w:eastAsia="Times New Roman" w:cs="Times New Roman"/>
          <w:b/>
          <w:i/>
          <w:szCs w:val="24"/>
          <w:lang w:eastAsia="en-AU"/>
        </w:rPr>
        <w:t>Medicines</w:t>
      </w:r>
      <w:proofErr w:type="gramEnd"/>
      <w:r w:rsidR="008B29C7" w:rsidRPr="00FA1BCF">
        <w:rPr>
          <w:rFonts w:eastAsia="Times New Roman" w:cs="Times New Roman"/>
          <w:b/>
          <w:i/>
          <w:szCs w:val="24"/>
          <w:lang w:eastAsia="en-AU"/>
        </w:rPr>
        <w:t xml:space="preserve"> for Rare Diseases </w:t>
      </w:r>
      <w:r w:rsidRPr="00FA1BCF">
        <w:rPr>
          <w:rFonts w:eastAsia="Times New Roman" w:cs="Times New Roman"/>
          <w:b/>
          <w:i/>
          <w:szCs w:val="24"/>
          <w:lang w:eastAsia="en-AU"/>
        </w:rPr>
        <w:t xml:space="preserve">Programme </w:t>
      </w:r>
      <w:r w:rsidR="00A26B5E" w:rsidRPr="00FA1BCF">
        <w:rPr>
          <w:rFonts w:eastAsia="Times New Roman" w:cs="Times New Roman"/>
          <w:b/>
          <w:i/>
          <w:szCs w:val="24"/>
          <w:lang w:eastAsia="en-AU"/>
        </w:rPr>
        <w:t xml:space="preserve">(MRDP) </w:t>
      </w:r>
      <w:r w:rsidRPr="00FA1BCF">
        <w:rPr>
          <w:rFonts w:eastAsia="Times New Roman" w:cs="Times New Roman"/>
          <w:b/>
          <w:i/>
          <w:szCs w:val="24"/>
          <w:lang w:eastAsia="en-AU"/>
        </w:rPr>
        <w:t xml:space="preserve">to ensure existing </w:t>
      </w:r>
      <w:r w:rsidR="00274DF0" w:rsidRPr="00FA1BCF">
        <w:rPr>
          <w:rFonts w:eastAsia="Times New Roman" w:cs="Times New Roman"/>
          <w:b/>
          <w:i/>
          <w:szCs w:val="24"/>
          <w:lang w:eastAsia="en-AU"/>
        </w:rPr>
        <w:t xml:space="preserve">and new </w:t>
      </w:r>
      <w:r w:rsidRPr="00FA1BCF">
        <w:rPr>
          <w:rFonts w:eastAsia="Times New Roman" w:cs="Times New Roman"/>
          <w:b/>
          <w:i/>
          <w:szCs w:val="24"/>
          <w:lang w:eastAsia="en-AU"/>
        </w:rPr>
        <w:t xml:space="preserve">patients who </w:t>
      </w:r>
      <w:r w:rsidR="00302C6E" w:rsidRPr="00FA1BCF">
        <w:rPr>
          <w:rFonts w:eastAsia="Times New Roman" w:cs="Times New Roman"/>
          <w:b/>
          <w:i/>
          <w:szCs w:val="24"/>
          <w:lang w:eastAsia="en-AU"/>
        </w:rPr>
        <w:t xml:space="preserve">meet eligibility criteria and </w:t>
      </w:r>
      <w:r w:rsidR="00380F26" w:rsidRPr="00FA1BCF">
        <w:rPr>
          <w:rFonts w:eastAsia="Times New Roman" w:cs="Times New Roman"/>
          <w:b/>
          <w:i/>
          <w:szCs w:val="24"/>
          <w:lang w:eastAsia="en-AU"/>
        </w:rPr>
        <w:t xml:space="preserve">who </w:t>
      </w:r>
      <w:r w:rsidRPr="00FA1BCF">
        <w:rPr>
          <w:rFonts w:eastAsia="Times New Roman" w:cs="Times New Roman"/>
          <w:b/>
          <w:i/>
          <w:szCs w:val="24"/>
          <w:lang w:eastAsia="en-AU"/>
        </w:rPr>
        <w:t>continue to benefit from receiving treatment for diseases currently funded under the LSDP will continue to be supported.</w:t>
      </w:r>
    </w:p>
    <w:p w:rsidR="00CC79FE" w:rsidRPr="00FA1BCF" w:rsidRDefault="00CC79FE" w:rsidP="00E436E7">
      <w:pPr>
        <w:ind w:left="420"/>
        <w:rPr>
          <w:rFonts w:eastAsia="Times New Roman" w:cs="Times New Roman"/>
          <w:szCs w:val="24"/>
          <w:lang w:eastAsia="en-AU"/>
        </w:rPr>
      </w:pPr>
      <w:r w:rsidRPr="00FA1BCF">
        <w:rPr>
          <w:rFonts w:eastAsia="Times New Roman" w:cs="Times New Roman"/>
          <w:szCs w:val="24"/>
          <w:lang w:eastAsia="en-AU"/>
        </w:rPr>
        <w:t xml:space="preserve">It is the view of 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that subsidy of the </w:t>
      </w:r>
      <w:r w:rsidR="00A26B5E" w:rsidRPr="00FA1BCF">
        <w:rPr>
          <w:rFonts w:eastAsia="Times New Roman" w:cs="Times New Roman"/>
          <w:szCs w:val="24"/>
          <w:lang w:eastAsia="en-AU"/>
        </w:rPr>
        <w:t xml:space="preserve">medicines </w:t>
      </w:r>
      <w:r w:rsidRPr="00FA1BCF">
        <w:rPr>
          <w:rFonts w:eastAsia="Times New Roman" w:cs="Times New Roman"/>
          <w:szCs w:val="24"/>
          <w:lang w:eastAsia="en-AU"/>
        </w:rPr>
        <w:t xml:space="preserve">listed below for the 268 eligible existing patients on the LSDP should be ongoing for as long as the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is safe</w:t>
      </w:r>
      <w:r w:rsidR="00F325AE">
        <w:rPr>
          <w:rFonts w:eastAsia="Times New Roman" w:cs="Times New Roman"/>
          <w:szCs w:val="24"/>
          <w:lang w:eastAsia="en-AU"/>
        </w:rPr>
        <w:t xml:space="preserve"> and</w:t>
      </w:r>
      <w:r w:rsidRPr="00FA1BCF">
        <w:rPr>
          <w:rFonts w:eastAsia="Times New Roman" w:cs="Times New Roman"/>
          <w:szCs w:val="24"/>
          <w:lang w:eastAsia="en-AU"/>
        </w:rPr>
        <w:t xml:space="preserve"> needed and remains effective.</w:t>
      </w:r>
    </w:p>
    <w:p w:rsidR="00CC79FE" w:rsidRPr="00FA1BCF" w:rsidRDefault="00CC79FE" w:rsidP="00CC79FE">
      <w:pPr>
        <w:pStyle w:val="ListParagraph"/>
        <w:numPr>
          <w:ilvl w:val="0"/>
          <w:numId w:val="2"/>
        </w:numPr>
        <w:ind w:left="777" w:hanging="357"/>
        <w:rPr>
          <w:rFonts w:eastAsia="Times New Roman" w:cs="Times New Roman"/>
          <w:szCs w:val="24"/>
          <w:lang w:eastAsia="en-AU"/>
        </w:rPr>
      </w:pPr>
      <w:proofErr w:type="spellStart"/>
      <w:r w:rsidRPr="00FA1BCF">
        <w:rPr>
          <w:rFonts w:eastAsia="Times New Roman" w:cs="Times New Roman"/>
          <w:szCs w:val="24"/>
          <w:lang w:eastAsia="en-AU"/>
        </w:rPr>
        <w:t>I</w:t>
      </w:r>
      <w:hyperlink r:id="rId11" w:anchor="Imiglucerase" w:history="1">
        <w:r w:rsidRPr="00FA1BCF">
          <w:rPr>
            <w:rFonts w:eastAsia="Times New Roman" w:cs="Times New Roman"/>
            <w:szCs w:val="24"/>
            <w:lang w:eastAsia="en-AU"/>
          </w:rPr>
          <w:t>miglucerase</w:t>
        </w:r>
        <w:proofErr w:type="spellEnd"/>
        <w:r w:rsidRPr="00FA1BCF">
          <w:rPr>
            <w:rFonts w:eastAsia="Times New Roman" w:cs="Times New Roman"/>
            <w:szCs w:val="24"/>
            <w:lang w:eastAsia="en-AU"/>
          </w:rPr>
          <w:t xml:space="preserve"> (</w:t>
        </w:r>
        <w:proofErr w:type="spellStart"/>
        <w:r w:rsidRPr="00FA1BCF">
          <w:rPr>
            <w:rFonts w:eastAsia="Times New Roman" w:cs="Times New Roman"/>
            <w:szCs w:val="24"/>
            <w:lang w:eastAsia="en-AU"/>
          </w:rPr>
          <w:t>Cerezyme</w:t>
        </w:r>
        <w:proofErr w:type="spellEnd"/>
        <w:r w:rsidRPr="00FA1BCF">
          <w:rPr>
            <w:rFonts w:eastAsia="Times New Roman" w:cs="Times New Roman"/>
            <w:szCs w:val="24"/>
            <w:lang w:eastAsia="en-AU"/>
          </w:rPr>
          <w:t xml:space="preserve">®), </w:t>
        </w:r>
        <w:proofErr w:type="spellStart"/>
        <w:r w:rsidRPr="00FA1BCF">
          <w:rPr>
            <w:rFonts w:eastAsia="Times New Roman" w:cs="Times New Roman"/>
            <w:szCs w:val="24"/>
            <w:lang w:eastAsia="en-AU"/>
          </w:rPr>
          <w:t>Velaglucerase</w:t>
        </w:r>
        <w:proofErr w:type="spellEnd"/>
        <w:r w:rsidRPr="00FA1BCF">
          <w:rPr>
            <w:rFonts w:eastAsia="Times New Roman" w:cs="Times New Roman"/>
            <w:szCs w:val="24"/>
            <w:lang w:eastAsia="en-AU"/>
          </w:rPr>
          <w:t xml:space="preserve"> (VPRIV®) and </w:t>
        </w:r>
        <w:proofErr w:type="spellStart"/>
        <w:r w:rsidRPr="00FA1BCF">
          <w:rPr>
            <w:rFonts w:eastAsia="Times New Roman" w:cs="Times New Roman"/>
            <w:szCs w:val="24"/>
            <w:lang w:eastAsia="en-AU"/>
          </w:rPr>
          <w:t>Miglustat</w:t>
        </w:r>
        <w:proofErr w:type="spellEnd"/>
        <w:r w:rsidRPr="00FA1BCF">
          <w:rPr>
            <w:rFonts w:eastAsia="Times New Roman" w:cs="Times New Roman"/>
            <w:szCs w:val="24"/>
            <w:lang w:eastAsia="en-AU"/>
          </w:rPr>
          <w:t xml:space="preserve"> (</w:t>
        </w:r>
        <w:proofErr w:type="spellStart"/>
        <w:r w:rsidRPr="00FA1BCF">
          <w:rPr>
            <w:rFonts w:eastAsia="Times New Roman" w:cs="Times New Roman"/>
            <w:szCs w:val="24"/>
            <w:lang w:eastAsia="en-AU"/>
          </w:rPr>
          <w:t>Zavesca</w:t>
        </w:r>
        <w:proofErr w:type="spellEnd"/>
        <w:r w:rsidRPr="00FA1BCF">
          <w:rPr>
            <w:rFonts w:eastAsia="Times New Roman" w:cs="Times New Roman"/>
            <w:szCs w:val="24"/>
            <w:lang w:eastAsia="en-AU"/>
          </w:rPr>
          <w:t xml:space="preserve">®) for the treatment of Gaucher </w:t>
        </w:r>
        <w:r w:rsidR="00CB4E7E" w:rsidRPr="00FA1BCF">
          <w:rPr>
            <w:rFonts w:eastAsia="Times New Roman" w:cs="Times New Roman"/>
            <w:szCs w:val="24"/>
            <w:lang w:eastAsia="en-AU"/>
          </w:rPr>
          <w:t>d</w:t>
        </w:r>
        <w:r w:rsidRPr="00FA1BCF">
          <w:rPr>
            <w:rFonts w:eastAsia="Times New Roman" w:cs="Times New Roman"/>
            <w:szCs w:val="24"/>
            <w:lang w:eastAsia="en-AU"/>
          </w:rPr>
          <w:t>isease (</w:t>
        </w:r>
        <w:r w:rsidR="00CB4E7E" w:rsidRPr="00FA1BCF">
          <w:rPr>
            <w:rFonts w:eastAsia="Times New Roman" w:cs="Times New Roman"/>
            <w:szCs w:val="24"/>
            <w:lang w:eastAsia="en-AU"/>
          </w:rPr>
          <w:t>t</w:t>
        </w:r>
        <w:r w:rsidRPr="00FA1BCF">
          <w:rPr>
            <w:rFonts w:eastAsia="Times New Roman" w:cs="Times New Roman"/>
            <w:szCs w:val="24"/>
            <w:lang w:eastAsia="en-AU"/>
          </w:rPr>
          <w:t>ype 1)</w:t>
        </w:r>
      </w:hyperlink>
      <w:r w:rsidRPr="00FA1BCF">
        <w:rPr>
          <w:rFonts w:eastAsia="Times New Roman" w:cs="Times New Roman"/>
          <w:szCs w:val="24"/>
          <w:lang w:eastAsia="en-AU"/>
        </w:rPr>
        <w:t xml:space="preserve"> </w:t>
      </w:r>
    </w:p>
    <w:p w:rsidR="00CC79FE" w:rsidRPr="00FA1BCF" w:rsidRDefault="00B853DD" w:rsidP="00CC79FE">
      <w:pPr>
        <w:pStyle w:val="ListParagraph"/>
        <w:numPr>
          <w:ilvl w:val="0"/>
          <w:numId w:val="2"/>
        </w:numPr>
        <w:ind w:left="777" w:hanging="357"/>
        <w:rPr>
          <w:rFonts w:eastAsia="Times New Roman" w:cs="Times New Roman"/>
          <w:szCs w:val="24"/>
          <w:lang w:eastAsia="en-AU"/>
        </w:rPr>
      </w:pPr>
      <w:hyperlink r:id="rId12" w:anchor="Agalsidase" w:history="1">
        <w:proofErr w:type="spellStart"/>
        <w:r w:rsidR="00CC79FE" w:rsidRPr="00FA1BCF">
          <w:rPr>
            <w:rFonts w:eastAsia="Times New Roman" w:cs="Times New Roman"/>
            <w:szCs w:val="24"/>
            <w:lang w:eastAsia="en-AU"/>
          </w:rPr>
          <w:t>Agalsidase</w:t>
        </w:r>
        <w:proofErr w:type="spellEnd"/>
        <w:r w:rsidR="00CC79FE" w:rsidRPr="00FA1BCF">
          <w:rPr>
            <w:rFonts w:eastAsia="Times New Roman" w:cs="Times New Roman"/>
            <w:szCs w:val="24"/>
            <w:lang w:eastAsia="en-AU"/>
          </w:rPr>
          <w:t xml:space="preserve"> </w:t>
        </w:r>
        <w:proofErr w:type="spellStart"/>
        <w:r w:rsidR="00CC79FE" w:rsidRPr="00FA1BCF">
          <w:rPr>
            <w:rFonts w:eastAsia="Times New Roman" w:cs="Times New Roman"/>
            <w:szCs w:val="24"/>
            <w:lang w:eastAsia="en-AU"/>
          </w:rPr>
          <w:t>alfa</w:t>
        </w:r>
        <w:proofErr w:type="spellEnd"/>
        <w:r w:rsidR="00CC79FE" w:rsidRPr="00FA1BCF">
          <w:rPr>
            <w:rFonts w:eastAsia="Times New Roman" w:cs="Times New Roman"/>
            <w:szCs w:val="24"/>
            <w:lang w:eastAsia="en-AU"/>
          </w:rPr>
          <w:t xml:space="preserve"> (</w:t>
        </w:r>
        <w:proofErr w:type="spellStart"/>
        <w:r w:rsidR="00CC79FE" w:rsidRPr="00FA1BCF">
          <w:rPr>
            <w:rFonts w:eastAsia="Times New Roman" w:cs="Times New Roman"/>
            <w:szCs w:val="24"/>
            <w:lang w:eastAsia="en-AU"/>
          </w:rPr>
          <w:t>Replagal</w:t>
        </w:r>
        <w:proofErr w:type="spellEnd"/>
        <w:r w:rsidR="00CC79FE" w:rsidRPr="00FA1BCF">
          <w:rPr>
            <w:rFonts w:eastAsia="Times New Roman" w:cs="Times New Roman"/>
            <w:szCs w:val="24"/>
            <w:lang w:eastAsia="en-AU"/>
          </w:rPr>
          <w:t xml:space="preserve">®) and </w:t>
        </w:r>
        <w:proofErr w:type="spellStart"/>
        <w:r w:rsidR="00CC79FE" w:rsidRPr="00FA1BCF">
          <w:rPr>
            <w:rFonts w:eastAsia="Times New Roman" w:cs="Times New Roman"/>
            <w:szCs w:val="24"/>
            <w:lang w:eastAsia="en-AU"/>
          </w:rPr>
          <w:t>Agalsidase</w:t>
        </w:r>
        <w:proofErr w:type="spellEnd"/>
        <w:r w:rsidR="00CC79FE" w:rsidRPr="00FA1BCF">
          <w:rPr>
            <w:rFonts w:eastAsia="Times New Roman" w:cs="Times New Roman"/>
            <w:szCs w:val="24"/>
            <w:lang w:eastAsia="en-AU"/>
          </w:rPr>
          <w:t xml:space="preserve"> beta (</w:t>
        </w:r>
        <w:proofErr w:type="spellStart"/>
        <w:r w:rsidR="00CC79FE" w:rsidRPr="00FA1BCF">
          <w:rPr>
            <w:rFonts w:eastAsia="Times New Roman" w:cs="Times New Roman"/>
            <w:szCs w:val="24"/>
            <w:lang w:eastAsia="en-AU"/>
          </w:rPr>
          <w:t>Fabrazyme</w:t>
        </w:r>
        <w:proofErr w:type="spellEnd"/>
        <w:r w:rsidR="00CC79FE" w:rsidRPr="00FA1BCF">
          <w:rPr>
            <w:rFonts w:eastAsia="Times New Roman" w:cs="Times New Roman"/>
            <w:szCs w:val="24"/>
            <w:lang w:eastAsia="en-AU"/>
          </w:rPr>
          <w:t>®) for the treatment of Fabry disease</w:t>
        </w:r>
      </w:hyperlink>
      <w:r w:rsidR="00CC79FE" w:rsidRPr="00FA1BCF">
        <w:rPr>
          <w:rFonts w:eastAsia="Times New Roman" w:cs="Times New Roman"/>
          <w:szCs w:val="24"/>
          <w:lang w:eastAsia="en-AU"/>
        </w:rPr>
        <w:t xml:space="preserve"> </w:t>
      </w:r>
    </w:p>
    <w:p w:rsidR="00CC79FE" w:rsidRPr="00FA1BCF" w:rsidRDefault="00B853DD" w:rsidP="00CC79FE">
      <w:pPr>
        <w:pStyle w:val="ListParagraph"/>
        <w:numPr>
          <w:ilvl w:val="0"/>
          <w:numId w:val="2"/>
        </w:numPr>
        <w:ind w:left="777" w:hanging="357"/>
        <w:rPr>
          <w:rFonts w:eastAsia="Times New Roman" w:cs="Times New Roman"/>
          <w:szCs w:val="24"/>
          <w:lang w:eastAsia="en-AU"/>
        </w:rPr>
      </w:pPr>
      <w:hyperlink r:id="rId13" w:anchor="Laronidase" w:history="1">
        <w:proofErr w:type="spellStart"/>
        <w:r w:rsidR="00CC79FE" w:rsidRPr="00FA1BCF">
          <w:rPr>
            <w:rFonts w:eastAsia="Times New Roman" w:cs="Times New Roman"/>
            <w:szCs w:val="24"/>
            <w:lang w:eastAsia="en-AU"/>
          </w:rPr>
          <w:t>Laronidase</w:t>
        </w:r>
        <w:proofErr w:type="spellEnd"/>
        <w:r w:rsidR="00CC79FE" w:rsidRPr="00FA1BCF">
          <w:rPr>
            <w:rFonts w:eastAsia="Times New Roman" w:cs="Times New Roman"/>
            <w:szCs w:val="24"/>
            <w:lang w:eastAsia="en-AU"/>
          </w:rPr>
          <w:t xml:space="preserve"> (</w:t>
        </w:r>
        <w:proofErr w:type="spellStart"/>
        <w:r w:rsidR="00CC79FE" w:rsidRPr="00FA1BCF">
          <w:rPr>
            <w:rFonts w:eastAsia="Times New Roman" w:cs="Times New Roman"/>
            <w:szCs w:val="24"/>
            <w:lang w:eastAsia="en-AU"/>
          </w:rPr>
          <w:t>Aldurazyme</w:t>
        </w:r>
        <w:proofErr w:type="spellEnd"/>
        <w:r w:rsidR="00CC79FE" w:rsidRPr="00FA1BCF">
          <w:rPr>
            <w:rFonts w:eastAsia="Times New Roman" w:cs="Times New Roman"/>
            <w:szCs w:val="24"/>
            <w:lang w:eastAsia="en-AU"/>
          </w:rPr>
          <w:t xml:space="preserve">®) for the treatment of </w:t>
        </w:r>
        <w:proofErr w:type="spellStart"/>
        <w:r w:rsidR="00814DFD" w:rsidRPr="00FA1BCF">
          <w:rPr>
            <w:rFonts w:eastAsia="Times New Roman" w:cs="Times New Roman"/>
            <w:szCs w:val="24"/>
            <w:lang w:eastAsia="en-AU"/>
          </w:rPr>
          <w:t>m</w:t>
        </w:r>
        <w:r w:rsidR="00CC79FE" w:rsidRPr="00FA1BCF">
          <w:rPr>
            <w:rFonts w:eastAsia="Times New Roman" w:cs="Times New Roman"/>
            <w:szCs w:val="24"/>
            <w:lang w:eastAsia="en-AU"/>
          </w:rPr>
          <w:t>ucopolysaccharidosis</w:t>
        </w:r>
        <w:proofErr w:type="spellEnd"/>
        <w:r w:rsidR="00CC79FE" w:rsidRPr="00FA1BCF">
          <w:rPr>
            <w:rFonts w:eastAsia="Times New Roman" w:cs="Times New Roman"/>
            <w:szCs w:val="24"/>
            <w:lang w:eastAsia="en-AU"/>
          </w:rPr>
          <w:t xml:space="preserve"> </w:t>
        </w:r>
        <w:r w:rsidR="00814DFD" w:rsidRPr="00FA1BCF">
          <w:rPr>
            <w:rFonts w:eastAsia="Times New Roman" w:cs="Times New Roman"/>
            <w:szCs w:val="24"/>
            <w:lang w:eastAsia="en-AU"/>
          </w:rPr>
          <w:t>t</w:t>
        </w:r>
        <w:r w:rsidR="00CC79FE" w:rsidRPr="00FA1BCF">
          <w:rPr>
            <w:rFonts w:eastAsia="Times New Roman" w:cs="Times New Roman"/>
            <w:szCs w:val="24"/>
            <w:lang w:eastAsia="en-AU"/>
          </w:rPr>
          <w:t>ype I (MPS</w:t>
        </w:r>
        <w:r w:rsidR="00814DFD" w:rsidRPr="00FA1BCF">
          <w:rPr>
            <w:rFonts w:eastAsia="Times New Roman" w:cs="Times New Roman"/>
            <w:szCs w:val="24"/>
            <w:lang w:eastAsia="en-AU"/>
          </w:rPr>
          <w:t> </w:t>
        </w:r>
        <w:r w:rsidR="00CC79FE" w:rsidRPr="00FA1BCF">
          <w:rPr>
            <w:rFonts w:eastAsia="Times New Roman" w:cs="Times New Roman"/>
            <w:szCs w:val="24"/>
            <w:lang w:eastAsia="en-AU"/>
          </w:rPr>
          <w:t>I)</w:t>
        </w:r>
      </w:hyperlink>
      <w:r w:rsidR="00CC79FE" w:rsidRPr="00FA1BCF">
        <w:rPr>
          <w:rFonts w:eastAsia="Times New Roman" w:cs="Times New Roman"/>
          <w:szCs w:val="24"/>
          <w:lang w:eastAsia="en-AU"/>
        </w:rPr>
        <w:t xml:space="preserve"> </w:t>
      </w:r>
    </w:p>
    <w:p w:rsidR="00CC79FE" w:rsidRPr="00FA1BCF" w:rsidRDefault="00B853DD" w:rsidP="00CC79FE">
      <w:pPr>
        <w:pStyle w:val="ListParagraph"/>
        <w:numPr>
          <w:ilvl w:val="0"/>
          <w:numId w:val="2"/>
        </w:numPr>
        <w:ind w:left="777" w:hanging="357"/>
        <w:rPr>
          <w:rFonts w:eastAsia="Times New Roman" w:cs="Times New Roman"/>
          <w:szCs w:val="24"/>
          <w:lang w:eastAsia="en-AU"/>
        </w:rPr>
      </w:pPr>
      <w:hyperlink r:id="rId14" w:anchor="Idursulfase" w:history="1">
        <w:proofErr w:type="spellStart"/>
        <w:r w:rsidR="00CC79FE" w:rsidRPr="00FA1BCF">
          <w:rPr>
            <w:rFonts w:eastAsia="Times New Roman" w:cs="Times New Roman"/>
            <w:szCs w:val="24"/>
            <w:lang w:eastAsia="en-AU"/>
          </w:rPr>
          <w:t>Idursulfase</w:t>
        </w:r>
        <w:proofErr w:type="spellEnd"/>
        <w:r w:rsidR="00CC79FE" w:rsidRPr="00FA1BCF">
          <w:rPr>
            <w:rFonts w:eastAsia="Times New Roman" w:cs="Times New Roman"/>
            <w:szCs w:val="24"/>
            <w:lang w:eastAsia="en-AU"/>
          </w:rPr>
          <w:t xml:space="preserve"> (</w:t>
        </w:r>
        <w:proofErr w:type="spellStart"/>
        <w:r w:rsidR="00CC79FE" w:rsidRPr="00FA1BCF">
          <w:rPr>
            <w:rFonts w:eastAsia="Times New Roman" w:cs="Times New Roman"/>
            <w:szCs w:val="24"/>
            <w:lang w:eastAsia="en-AU"/>
          </w:rPr>
          <w:t>Elaprase</w:t>
        </w:r>
        <w:proofErr w:type="spellEnd"/>
        <w:r w:rsidR="00CC79FE" w:rsidRPr="00FA1BCF">
          <w:rPr>
            <w:rFonts w:eastAsia="Times New Roman" w:cs="Times New Roman"/>
            <w:szCs w:val="24"/>
            <w:lang w:eastAsia="en-AU"/>
          </w:rPr>
          <w:t xml:space="preserve">®) for the treatment of </w:t>
        </w:r>
        <w:proofErr w:type="spellStart"/>
        <w:r w:rsidR="00814DFD" w:rsidRPr="00FA1BCF">
          <w:rPr>
            <w:rFonts w:eastAsia="Times New Roman" w:cs="Times New Roman"/>
            <w:szCs w:val="24"/>
            <w:lang w:eastAsia="en-AU"/>
          </w:rPr>
          <w:t>m</w:t>
        </w:r>
        <w:r w:rsidR="00CC79FE" w:rsidRPr="00FA1BCF">
          <w:rPr>
            <w:rFonts w:eastAsia="Times New Roman" w:cs="Times New Roman"/>
            <w:szCs w:val="24"/>
            <w:lang w:eastAsia="en-AU"/>
          </w:rPr>
          <w:t>ucopolysaccharidosis</w:t>
        </w:r>
        <w:proofErr w:type="spellEnd"/>
        <w:r w:rsidR="00CC79FE" w:rsidRPr="00FA1BCF">
          <w:rPr>
            <w:rFonts w:eastAsia="Times New Roman" w:cs="Times New Roman"/>
            <w:szCs w:val="24"/>
            <w:lang w:eastAsia="en-AU"/>
          </w:rPr>
          <w:t xml:space="preserve"> </w:t>
        </w:r>
        <w:r w:rsidR="00814DFD" w:rsidRPr="00FA1BCF">
          <w:rPr>
            <w:rFonts w:eastAsia="Times New Roman" w:cs="Times New Roman"/>
            <w:szCs w:val="24"/>
            <w:lang w:eastAsia="en-AU"/>
          </w:rPr>
          <w:t>t</w:t>
        </w:r>
        <w:r w:rsidR="00CC79FE" w:rsidRPr="00FA1BCF">
          <w:rPr>
            <w:rFonts w:eastAsia="Times New Roman" w:cs="Times New Roman"/>
            <w:szCs w:val="24"/>
            <w:lang w:eastAsia="en-AU"/>
          </w:rPr>
          <w:t>ype II (MPS</w:t>
        </w:r>
        <w:r w:rsidR="00814DFD" w:rsidRPr="00FA1BCF">
          <w:rPr>
            <w:rFonts w:eastAsia="Times New Roman" w:cs="Times New Roman"/>
            <w:szCs w:val="24"/>
            <w:lang w:eastAsia="en-AU"/>
          </w:rPr>
          <w:t> </w:t>
        </w:r>
        <w:r w:rsidR="00CC79FE" w:rsidRPr="00FA1BCF">
          <w:rPr>
            <w:rFonts w:eastAsia="Times New Roman" w:cs="Times New Roman"/>
            <w:szCs w:val="24"/>
            <w:lang w:eastAsia="en-AU"/>
          </w:rPr>
          <w:t>II)</w:t>
        </w:r>
      </w:hyperlink>
      <w:r w:rsidR="00CC79FE" w:rsidRPr="00FA1BCF">
        <w:rPr>
          <w:rFonts w:eastAsia="Times New Roman" w:cs="Times New Roman"/>
          <w:szCs w:val="24"/>
          <w:lang w:eastAsia="en-AU"/>
        </w:rPr>
        <w:t xml:space="preserve"> </w:t>
      </w:r>
    </w:p>
    <w:p w:rsidR="00CC79FE" w:rsidRPr="00FA1BCF" w:rsidRDefault="00B853DD" w:rsidP="00CC79FE">
      <w:pPr>
        <w:pStyle w:val="ListParagraph"/>
        <w:numPr>
          <w:ilvl w:val="0"/>
          <w:numId w:val="2"/>
        </w:numPr>
        <w:ind w:left="777" w:hanging="357"/>
        <w:rPr>
          <w:rFonts w:eastAsia="Times New Roman" w:cs="Times New Roman"/>
          <w:szCs w:val="24"/>
          <w:lang w:eastAsia="en-AU"/>
        </w:rPr>
      </w:pPr>
      <w:hyperlink r:id="rId15" w:anchor="Galsulfase" w:history="1">
        <w:proofErr w:type="spellStart"/>
        <w:r w:rsidR="00CC79FE" w:rsidRPr="00FA1BCF">
          <w:rPr>
            <w:rFonts w:eastAsia="Times New Roman" w:cs="Times New Roman"/>
            <w:szCs w:val="24"/>
            <w:lang w:eastAsia="en-AU"/>
          </w:rPr>
          <w:t>Galsulfase</w:t>
        </w:r>
        <w:proofErr w:type="spellEnd"/>
        <w:r w:rsidR="00CC79FE" w:rsidRPr="00FA1BCF">
          <w:rPr>
            <w:rFonts w:eastAsia="Times New Roman" w:cs="Times New Roman"/>
            <w:szCs w:val="24"/>
            <w:lang w:eastAsia="en-AU"/>
          </w:rPr>
          <w:t xml:space="preserve"> (</w:t>
        </w:r>
        <w:proofErr w:type="spellStart"/>
        <w:r w:rsidR="00CC79FE" w:rsidRPr="00FA1BCF">
          <w:rPr>
            <w:rFonts w:eastAsia="Times New Roman" w:cs="Times New Roman"/>
            <w:szCs w:val="24"/>
            <w:lang w:eastAsia="en-AU"/>
          </w:rPr>
          <w:t>Naglazyme</w:t>
        </w:r>
        <w:proofErr w:type="spellEnd"/>
        <w:r w:rsidR="00CC79FE" w:rsidRPr="00FA1BCF">
          <w:rPr>
            <w:rFonts w:eastAsia="Times New Roman" w:cs="Times New Roman"/>
            <w:szCs w:val="24"/>
            <w:lang w:eastAsia="en-AU"/>
          </w:rPr>
          <w:t xml:space="preserve">®) for the treatment of </w:t>
        </w:r>
        <w:proofErr w:type="spellStart"/>
        <w:r w:rsidR="00814DFD" w:rsidRPr="00FA1BCF">
          <w:rPr>
            <w:rFonts w:eastAsia="Times New Roman" w:cs="Times New Roman"/>
            <w:szCs w:val="24"/>
            <w:lang w:eastAsia="en-AU"/>
          </w:rPr>
          <w:t>m</w:t>
        </w:r>
        <w:r w:rsidR="00CC79FE" w:rsidRPr="00FA1BCF">
          <w:rPr>
            <w:rFonts w:eastAsia="Times New Roman" w:cs="Times New Roman"/>
            <w:szCs w:val="24"/>
            <w:lang w:eastAsia="en-AU"/>
          </w:rPr>
          <w:t>ucopolysaccharidosis</w:t>
        </w:r>
        <w:proofErr w:type="spellEnd"/>
        <w:r w:rsidR="00CC79FE" w:rsidRPr="00FA1BCF">
          <w:rPr>
            <w:rFonts w:eastAsia="Times New Roman" w:cs="Times New Roman"/>
            <w:szCs w:val="24"/>
            <w:lang w:eastAsia="en-AU"/>
          </w:rPr>
          <w:t xml:space="preserve"> </w:t>
        </w:r>
        <w:r w:rsidR="00814DFD" w:rsidRPr="00FA1BCF">
          <w:rPr>
            <w:rFonts w:eastAsia="Times New Roman" w:cs="Times New Roman"/>
            <w:szCs w:val="24"/>
            <w:lang w:eastAsia="en-AU"/>
          </w:rPr>
          <w:t>t</w:t>
        </w:r>
        <w:r w:rsidR="00CC79FE" w:rsidRPr="00FA1BCF">
          <w:rPr>
            <w:rFonts w:eastAsia="Times New Roman" w:cs="Times New Roman"/>
            <w:szCs w:val="24"/>
            <w:lang w:eastAsia="en-AU"/>
          </w:rPr>
          <w:t>ype</w:t>
        </w:r>
        <w:r w:rsidR="00814DFD" w:rsidRPr="00FA1BCF">
          <w:rPr>
            <w:rFonts w:eastAsia="Times New Roman" w:cs="Times New Roman"/>
            <w:szCs w:val="24"/>
            <w:lang w:eastAsia="en-AU"/>
          </w:rPr>
          <w:t> </w:t>
        </w:r>
        <w:r w:rsidR="00CC79FE" w:rsidRPr="00FA1BCF">
          <w:rPr>
            <w:rFonts w:eastAsia="Times New Roman" w:cs="Times New Roman"/>
            <w:szCs w:val="24"/>
            <w:lang w:eastAsia="en-AU"/>
          </w:rPr>
          <w:t>VI (MPS</w:t>
        </w:r>
        <w:r w:rsidR="00814DFD" w:rsidRPr="00FA1BCF">
          <w:rPr>
            <w:rFonts w:eastAsia="Times New Roman" w:cs="Times New Roman"/>
            <w:szCs w:val="24"/>
            <w:lang w:eastAsia="en-AU"/>
          </w:rPr>
          <w:t> </w:t>
        </w:r>
        <w:r w:rsidR="00CC79FE" w:rsidRPr="00FA1BCF">
          <w:rPr>
            <w:rFonts w:eastAsia="Times New Roman" w:cs="Times New Roman"/>
            <w:szCs w:val="24"/>
            <w:lang w:eastAsia="en-AU"/>
          </w:rPr>
          <w:t xml:space="preserve">VI) </w:t>
        </w:r>
      </w:hyperlink>
    </w:p>
    <w:p w:rsidR="00CC79FE" w:rsidRPr="00FA1BCF" w:rsidRDefault="00B853DD" w:rsidP="00CC79FE">
      <w:pPr>
        <w:pStyle w:val="ListParagraph"/>
        <w:numPr>
          <w:ilvl w:val="0"/>
          <w:numId w:val="2"/>
        </w:numPr>
        <w:ind w:left="777" w:hanging="357"/>
        <w:rPr>
          <w:rFonts w:eastAsia="Times New Roman" w:cs="Times New Roman"/>
          <w:szCs w:val="24"/>
          <w:lang w:eastAsia="en-AU"/>
        </w:rPr>
      </w:pPr>
      <w:hyperlink r:id="rId16" w:anchor="Alglucosidase" w:history="1">
        <w:proofErr w:type="spellStart"/>
        <w:r w:rsidR="00CC79FE" w:rsidRPr="00FA1BCF">
          <w:rPr>
            <w:rFonts w:eastAsia="Times New Roman" w:cs="Times New Roman"/>
            <w:szCs w:val="24"/>
            <w:lang w:eastAsia="en-AU"/>
          </w:rPr>
          <w:t>Alglucosidase</w:t>
        </w:r>
        <w:proofErr w:type="spellEnd"/>
        <w:r w:rsidR="00CC79FE" w:rsidRPr="00FA1BCF">
          <w:rPr>
            <w:rFonts w:eastAsia="Times New Roman" w:cs="Times New Roman"/>
            <w:szCs w:val="24"/>
            <w:lang w:eastAsia="en-AU"/>
          </w:rPr>
          <w:t xml:space="preserve"> </w:t>
        </w:r>
        <w:proofErr w:type="spellStart"/>
        <w:r w:rsidR="00CC79FE" w:rsidRPr="00FA1BCF">
          <w:rPr>
            <w:rFonts w:eastAsia="Times New Roman" w:cs="Times New Roman"/>
            <w:szCs w:val="24"/>
            <w:lang w:eastAsia="en-AU"/>
          </w:rPr>
          <w:t>alfa</w:t>
        </w:r>
        <w:proofErr w:type="spellEnd"/>
        <w:r w:rsidR="00CC79FE" w:rsidRPr="00FA1BCF">
          <w:rPr>
            <w:rFonts w:eastAsia="Times New Roman" w:cs="Times New Roman"/>
            <w:szCs w:val="24"/>
            <w:lang w:eastAsia="en-AU"/>
          </w:rPr>
          <w:t xml:space="preserve"> (</w:t>
        </w:r>
        <w:proofErr w:type="spellStart"/>
        <w:r w:rsidR="00CC79FE" w:rsidRPr="00FA1BCF">
          <w:rPr>
            <w:rFonts w:eastAsia="Times New Roman" w:cs="Times New Roman"/>
            <w:szCs w:val="24"/>
            <w:lang w:eastAsia="en-AU"/>
          </w:rPr>
          <w:t>Myozyme</w:t>
        </w:r>
        <w:proofErr w:type="spellEnd"/>
        <w:r w:rsidR="00CC79FE" w:rsidRPr="00FA1BCF">
          <w:rPr>
            <w:rFonts w:eastAsia="Times New Roman" w:cs="Times New Roman"/>
            <w:szCs w:val="24"/>
            <w:lang w:eastAsia="en-AU"/>
          </w:rPr>
          <w:t xml:space="preserve">®) for the treatment of </w:t>
        </w:r>
        <w:r w:rsidR="00814DFD" w:rsidRPr="00FA1BCF">
          <w:rPr>
            <w:rFonts w:eastAsia="Times New Roman" w:cs="Times New Roman"/>
            <w:szCs w:val="24"/>
            <w:lang w:eastAsia="en-AU"/>
          </w:rPr>
          <w:t>i</w:t>
        </w:r>
        <w:r w:rsidR="00CC79FE" w:rsidRPr="00FA1BCF">
          <w:rPr>
            <w:rFonts w:eastAsia="Times New Roman" w:cs="Times New Roman"/>
            <w:szCs w:val="24"/>
            <w:lang w:eastAsia="en-AU"/>
          </w:rPr>
          <w:t xml:space="preserve">nfantile-onset and </w:t>
        </w:r>
        <w:r w:rsidR="00814DFD" w:rsidRPr="00FA1BCF">
          <w:rPr>
            <w:rFonts w:eastAsia="Times New Roman" w:cs="Times New Roman"/>
            <w:szCs w:val="24"/>
            <w:lang w:eastAsia="en-AU"/>
          </w:rPr>
          <w:t>j</w:t>
        </w:r>
        <w:r w:rsidR="00CC79FE" w:rsidRPr="00FA1BCF">
          <w:rPr>
            <w:rFonts w:eastAsia="Times New Roman" w:cs="Times New Roman"/>
            <w:szCs w:val="24"/>
            <w:lang w:eastAsia="en-AU"/>
          </w:rPr>
          <w:t xml:space="preserve">uvenile </w:t>
        </w:r>
        <w:r w:rsidR="00814DFD" w:rsidRPr="00FA1BCF">
          <w:rPr>
            <w:rFonts w:eastAsia="Times New Roman" w:cs="Times New Roman"/>
            <w:szCs w:val="24"/>
            <w:lang w:eastAsia="en-AU"/>
          </w:rPr>
          <w:t>l</w:t>
        </w:r>
        <w:r w:rsidR="00CC79FE" w:rsidRPr="00FA1BCF">
          <w:rPr>
            <w:rFonts w:eastAsia="Times New Roman" w:cs="Times New Roman"/>
            <w:szCs w:val="24"/>
            <w:lang w:eastAsia="en-AU"/>
          </w:rPr>
          <w:t>ate-onset Pompe disease</w:t>
        </w:r>
      </w:hyperlink>
      <w:r w:rsidR="00CC79FE" w:rsidRPr="00FA1BCF">
        <w:rPr>
          <w:rFonts w:eastAsia="Times New Roman" w:cs="Times New Roman"/>
          <w:szCs w:val="24"/>
          <w:lang w:eastAsia="en-AU"/>
        </w:rPr>
        <w:t xml:space="preserve"> </w:t>
      </w:r>
    </w:p>
    <w:p w:rsidR="00CC79FE" w:rsidRPr="00FA1BCF" w:rsidRDefault="00B853DD" w:rsidP="00CC79FE">
      <w:pPr>
        <w:pStyle w:val="ListParagraph"/>
        <w:numPr>
          <w:ilvl w:val="0"/>
          <w:numId w:val="2"/>
        </w:numPr>
        <w:ind w:left="777" w:hanging="357"/>
        <w:rPr>
          <w:rFonts w:eastAsia="Times New Roman" w:cs="Times New Roman"/>
          <w:szCs w:val="24"/>
          <w:lang w:eastAsia="en-AU"/>
        </w:rPr>
      </w:pPr>
      <w:hyperlink r:id="rId17" w:anchor="Eculizumab" w:history="1">
        <w:r w:rsidR="00CC79FE" w:rsidRPr="00FA1BCF">
          <w:rPr>
            <w:rFonts w:eastAsia="Times New Roman" w:cs="Times New Roman"/>
            <w:szCs w:val="24"/>
            <w:lang w:eastAsia="en-AU"/>
          </w:rPr>
          <w:t xml:space="preserve">Eculizumab (Soliris®) for the treatment of </w:t>
        </w:r>
        <w:r w:rsidR="00814DFD" w:rsidRPr="00FA1BCF">
          <w:rPr>
            <w:rFonts w:eastAsia="Times New Roman" w:cs="Times New Roman"/>
            <w:szCs w:val="24"/>
            <w:lang w:eastAsia="en-AU"/>
          </w:rPr>
          <w:t>p</w:t>
        </w:r>
        <w:r w:rsidR="00CC79FE" w:rsidRPr="00FA1BCF">
          <w:rPr>
            <w:rFonts w:eastAsia="Times New Roman" w:cs="Times New Roman"/>
            <w:szCs w:val="24"/>
            <w:lang w:eastAsia="en-AU"/>
          </w:rPr>
          <w:t xml:space="preserve">aroxysmal </w:t>
        </w:r>
        <w:r w:rsidR="00814DFD" w:rsidRPr="00FA1BCF">
          <w:rPr>
            <w:rFonts w:eastAsia="Times New Roman" w:cs="Times New Roman"/>
            <w:szCs w:val="24"/>
            <w:lang w:eastAsia="en-AU"/>
          </w:rPr>
          <w:t>n</w:t>
        </w:r>
        <w:r w:rsidR="00CC79FE" w:rsidRPr="00FA1BCF">
          <w:rPr>
            <w:rFonts w:eastAsia="Times New Roman" w:cs="Times New Roman"/>
            <w:szCs w:val="24"/>
            <w:lang w:eastAsia="en-AU"/>
          </w:rPr>
          <w:t xml:space="preserve">octurnal </w:t>
        </w:r>
        <w:proofErr w:type="spellStart"/>
        <w:r w:rsidR="00814DFD" w:rsidRPr="00FA1BCF">
          <w:rPr>
            <w:rFonts w:eastAsia="Times New Roman" w:cs="Times New Roman"/>
            <w:szCs w:val="24"/>
            <w:lang w:eastAsia="en-AU"/>
          </w:rPr>
          <w:t>h</w:t>
        </w:r>
        <w:r w:rsidR="00CC79FE" w:rsidRPr="00FA1BCF">
          <w:rPr>
            <w:rFonts w:eastAsia="Times New Roman" w:cs="Times New Roman"/>
            <w:szCs w:val="24"/>
            <w:lang w:eastAsia="en-AU"/>
          </w:rPr>
          <w:t>aemoglobinuria</w:t>
        </w:r>
        <w:proofErr w:type="spellEnd"/>
        <w:r w:rsidR="00CC79FE" w:rsidRPr="00FA1BCF">
          <w:rPr>
            <w:rFonts w:eastAsia="Times New Roman" w:cs="Times New Roman"/>
            <w:szCs w:val="24"/>
            <w:lang w:eastAsia="en-AU"/>
          </w:rPr>
          <w:t xml:space="preserve"> (PNH)</w:t>
        </w:r>
      </w:hyperlink>
      <w:r w:rsidR="00CC79FE" w:rsidRPr="00FA1BCF">
        <w:rPr>
          <w:rFonts w:eastAsia="Times New Roman" w:cs="Times New Roman"/>
          <w:szCs w:val="24"/>
          <w:lang w:eastAsia="en-AU"/>
        </w:rPr>
        <w:t xml:space="preserve"> </w:t>
      </w:r>
    </w:p>
    <w:p w:rsidR="003E0B96" w:rsidRPr="00FA1BCF" w:rsidRDefault="00CC79FE">
      <w:pPr>
        <w:ind w:left="360"/>
        <w:jc w:val="both"/>
        <w:rPr>
          <w:rFonts w:eastAsia="Times New Roman" w:cs="Times New Roman"/>
          <w:szCs w:val="24"/>
          <w:lang w:eastAsia="en-AU"/>
        </w:rPr>
      </w:pPr>
      <w:r w:rsidRPr="00FA1BCF">
        <w:rPr>
          <w:rFonts w:eastAsia="Times New Roman" w:cs="Times New Roman"/>
          <w:szCs w:val="24"/>
          <w:lang w:eastAsia="en-AU"/>
        </w:rPr>
        <w:t xml:space="preserve">In assessing the rationale for continuing the funding of these medicines, 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noted the evidence </w:t>
      </w:r>
      <w:r w:rsidR="00307626" w:rsidRPr="00FA1BCF">
        <w:rPr>
          <w:rFonts w:eastAsia="Times New Roman" w:cs="Times New Roman"/>
          <w:szCs w:val="24"/>
          <w:lang w:eastAsia="en-AU"/>
        </w:rPr>
        <w:t xml:space="preserve">supporting the contention </w:t>
      </w:r>
      <w:r w:rsidRPr="00FA1BCF">
        <w:rPr>
          <w:rFonts w:eastAsia="Times New Roman" w:cs="Times New Roman"/>
          <w:szCs w:val="24"/>
          <w:lang w:eastAsia="en-AU"/>
        </w:rPr>
        <w:t xml:space="preserve">that these medicines </w:t>
      </w:r>
      <w:r w:rsidR="00307626" w:rsidRPr="00FA1BCF">
        <w:rPr>
          <w:rFonts w:eastAsia="Times New Roman" w:cs="Times New Roman"/>
          <w:szCs w:val="24"/>
          <w:lang w:eastAsia="en-AU"/>
        </w:rPr>
        <w:t>improve</w:t>
      </w:r>
      <w:r w:rsidR="00814DFD" w:rsidRPr="00FA1BCF">
        <w:rPr>
          <w:rFonts w:eastAsia="Times New Roman" w:cs="Times New Roman"/>
          <w:szCs w:val="24"/>
          <w:lang w:eastAsia="en-AU"/>
        </w:rPr>
        <w:t xml:space="preserve"> both</w:t>
      </w:r>
      <w:r w:rsidR="00307626" w:rsidRPr="00FA1BCF">
        <w:rPr>
          <w:rFonts w:eastAsia="Times New Roman" w:cs="Times New Roman"/>
          <w:szCs w:val="24"/>
          <w:lang w:eastAsia="en-AU"/>
        </w:rPr>
        <w:t xml:space="preserve"> </w:t>
      </w:r>
      <w:r w:rsidRPr="00FA1BCF">
        <w:rPr>
          <w:rFonts w:eastAsia="Times New Roman" w:cs="Times New Roman"/>
          <w:szCs w:val="24"/>
          <w:lang w:eastAsia="en-AU"/>
        </w:rPr>
        <w:t>quantity and quality of life. It was noted that the rarity of these diseases means that the quality of evidence on the</w:t>
      </w:r>
      <w:r w:rsidR="00814DFD" w:rsidRPr="00FA1BCF">
        <w:rPr>
          <w:rFonts w:eastAsia="Times New Roman" w:cs="Times New Roman"/>
          <w:szCs w:val="24"/>
          <w:lang w:eastAsia="en-AU"/>
        </w:rPr>
        <w:t>ir</w:t>
      </w:r>
      <w:r w:rsidRPr="00FA1BCF">
        <w:rPr>
          <w:rFonts w:eastAsia="Times New Roman" w:cs="Times New Roman"/>
          <w:szCs w:val="24"/>
          <w:lang w:eastAsia="en-AU"/>
        </w:rPr>
        <w:t xml:space="preserve"> </w:t>
      </w:r>
      <w:r w:rsidR="005E29DD" w:rsidRPr="00FA1BCF">
        <w:rPr>
          <w:rFonts w:eastAsia="Times New Roman" w:cs="Times New Roman"/>
          <w:szCs w:val="24"/>
          <w:lang w:eastAsia="en-AU"/>
        </w:rPr>
        <w:t xml:space="preserve">continuing </w:t>
      </w:r>
      <w:r w:rsidRPr="00FA1BCF">
        <w:rPr>
          <w:rFonts w:eastAsia="Times New Roman" w:cs="Times New Roman"/>
          <w:szCs w:val="24"/>
          <w:lang w:eastAsia="en-AU"/>
        </w:rPr>
        <w:t xml:space="preserve">effectiveness </w:t>
      </w:r>
      <w:r w:rsidR="00307626" w:rsidRPr="00FA1BCF">
        <w:rPr>
          <w:rFonts w:eastAsia="Times New Roman" w:cs="Times New Roman"/>
          <w:szCs w:val="24"/>
          <w:lang w:eastAsia="en-AU"/>
        </w:rPr>
        <w:t>remains</w:t>
      </w:r>
      <w:r w:rsidRPr="00FA1BCF">
        <w:rPr>
          <w:rFonts w:eastAsia="Times New Roman" w:cs="Times New Roman"/>
          <w:szCs w:val="24"/>
          <w:lang w:eastAsia="en-AU"/>
        </w:rPr>
        <w:t xml:space="preserve"> less th</w:t>
      </w:r>
      <w:r w:rsidR="00E622B4" w:rsidRPr="00FA1BCF">
        <w:rPr>
          <w:rFonts w:eastAsia="Times New Roman" w:cs="Times New Roman"/>
          <w:szCs w:val="24"/>
          <w:lang w:eastAsia="en-AU"/>
        </w:rPr>
        <w:t>a</w:t>
      </w:r>
      <w:r w:rsidRPr="00FA1BCF">
        <w:rPr>
          <w:rFonts w:eastAsia="Times New Roman" w:cs="Times New Roman"/>
          <w:szCs w:val="24"/>
          <w:lang w:eastAsia="en-AU"/>
        </w:rPr>
        <w:t xml:space="preserve">n would usually be considered necessary for </w:t>
      </w:r>
      <w:r w:rsidR="00E622B4" w:rsidRPr="00FA1BCF">
        <w:rPr>
          <w:rFonts w:eastAsia="Times New Roman" w:cs="Times New Roman"/>
          <w:szCs w:val="24"/>
          <w:lang w:eastAsia="en-AU"/>
        </w:rPr>
        <w:t>a Pharmaceutical Benefits Scheme (</w:t>
      </w:r>
      <w:r w:rsidRPr="00FA1BCF">
        <w:rPr>
          <w:rFonts w:eastAsia="Times New Roman" w:cs="Times New Roman"/>
          <w:szCs w:val="24"/>
          <w:lang w:eastAsia="en-AU"/>
        </w:rPr>
        <w:t>PBS</w:t>
      </w:r>
      <w:r w:rsidR="00E622B4" w:rsidRPr="00FA1BCF">
        <w:rPr>
          <w:rFonts w:eastAsia="Times New Roman" w:cs="Times New Roman"/>
          <w:szCs w:val="24"/>
          <w:lang w:eastAsia="en-AU"/>
        </w:rPr>
        <w:t>)</w:t>
      </w:r>
      <w:r w:rsidRPr="00FA1BCF">
        <w:rPr>
          <w:rFonts w:eastAsia="Times New Roman" w:cs="Times New Roman"/>
          <w:szCs w:val="24"/>
          <w:lang w:eastAsia="en-AU"/>
        </w:rPr>
        <w:t xml:space="preserve"> subsidy. This will be an ongoing problem for medicines for rare diseases and will need to be considered in developing the criteria for future entry into </w:t>
      </w:r>
      <w:r w:rsidR="005E29DD" w:rsidRPr="00FA1BCF">
        <w:rPr>
          <w:rFonts w:eastAsia="Times New Roman" w:cs="Times New Roman"/>
          <w:szCs w:val="24"/>
          <w:lang w:eastAsia="en-AU"/>
        </w:rPr>
        <w:t xml:space="preserve">and continuation in </w:t>
      </w:r>
      <w:r w:rsidRPr="00FA1BCF">
        <w:rPr>
          <w:rFonts w:eastAsia="Times New Roman" w:cs="Times New Roman"/>
          <w:szCs w:val="24"/>
          <w:lang w:eastAsia="en-AU"/>
        </w:rPr>
        <w:t>any funding program</w:t>
      </w:r>
      <w:r w:rsidR="00E622B4" w:rsidRPr="00FA1BCF">
        <w:rPr>
          <w:rFonts w:eastAsia="Times New Roman" w:cs="Times New Roman"/>
          <w:szCs w:val="24"/>
          <w:lang w:eastAsia="en-AU"/>
        </w:rPr>
        <w:t>me</w:t>
      </w:r>
      <w:r w:rsidRPr="00FA1BCF">
        <w:rPr>
          <w:rFonts w:eastAsia="Times New Roman" w:cs="Times New Roman"/>
          <w:szCs w:val="24"/>
          <w:lang w:eastAsia="en-AU"/>
        </w:rPr>
        <w:t>.</w:t>
      </w:r>
    </w:p>
    <w:p w:rsidR="00CC79FE" w:rsidRPr="00E436E7" w:rsidRDefault="003E0B96" w:rsidP="00CB4E7E">
      <w:pPr>
        <w:ind w:left="360"/>
        <w:jc w:val="both"/>
        <w:rPr>
          <w:rFonts w:eastAsia="Times New Roman" w:cs="Times New Roman"/>
          <w:szCs w:val="24"/>
          <w:lang w:eastAsia="en-AU"/>
        </w:rPr>
      </w:pPr>
      <w:r w:rsidRPr="00FA1BCF">
        <w:rPr>
          <w:rFonts w:eastAsia="Times New Roman" w:cs="Times New Roman"/>
          <w:szCs w:val="24"/>
          <w:lang w:eastAsia="en-AU"/>
        </w:rPr>
        <w:t>The medicines listed above should be listed on the PBS under the proposed Medicines for Rare Diseases Programme for subsidy purposes (‘grandfathering’ of the listing of the drug).</w:t>
      </w:r>
      <w:r w:rsidR="00B56F35" w:rsidRPr="00FA1BCF">
        <w:rPr>
          <w:rFonts w:eastAsia="Times New Roman" w:cs="Times New Roman"/>
          <w:szCs w:val="24"/>
          <w:lang w:eastAsia="en-AU"/>
        </w:rPr>
        <w:t xml:space="preserve"> </w:t>
      </w:r>
      <w:r w:rsidRPr="00FA1BCF">
        <w:rPr>
          <w:rFonts w:eastAsia="Times New Roman" w:cs="Times New Roman"/>
          <w:szCs w:val="24"/>
          <w:lang w:eastAsia="en-AU"/>
        </w:rPr>
        <w:t xml:space="preserve">Patients currently receiving these medicines should continue to receive them providing they meet the existing eligibility and continuation rules for access </w:t>
      </w:r>
      <w:r w:rsidRPr="00FA1BCF">
        <w:rPr>
          <w:rFonts w:eastAsia="Times New Roman" w:cs="Times New Roman"/>
          <w:szCs w:val="24"/>
          <w:lang w:eastAsia="en-AU"/>
        </w:rPr>
        <w:lastRenderedPageBreak/>
        <w:t xml:space="preserve">(‘grandfathering’ existing patient access). New patients should be able to access the medicines providing they meet eligibility criteria current at the time of their need. </w:t>
      </w:r>
    </w:p>
    <w:p w:rsidR="00CC79FE" w:rsidRPr="00FA1BCF" w:rsidRDefault="00CC79FE" w:rsidP="00CC79FE">
      <w:pPr>
        <w:rPr>
          <w:rFonts w:eastAsia="Times New Roman" w:cs="Times New Roman"/>
          <w:b/>
          <w:i/>
          <w:szCs w:val="24"/>
          <w:lang w:eastAsia="en-AU"/>
        </w:rPr>
      </w:pPr>
      <w:r w:rsidRPr="00FA1BCF">
        <w:rPr>
          <w:rFonts w:eastAsia="Times New Roman" w:cs="Times New Roman"/>
          <w:b/>
          <w:i/>
          <w:szCs w:val="24"/>
          <w:lang w:eastAsia="en-AU"/>
        </w:rPr>
        <w:t xml:space="preserve">3. The LSDP should be transitioned from a standalone programme and be formally established as a </w:t>
      </w:r>
      <w:r w:rsidR="004837BE" w:rsidRPr="00FA1BCF">
        <w:rPr>
          <w:rFonts w:eastAsia="Times New Roman" w:cs="Times New Roman"/>
          <w:b/>
          <w:i/>
          <w:szCs w:val="24"/>
          <w:lang w:eastAsia="en-AU"/>
        </w:rPr>
        <w:t xml:space="preserve">special </w:t>
      </w:r>
      <w:r w:rsidR="00814DFD" w:rsidRPr="00FA1BCF">
        <w:rPr>
          <w:rFonts w:eastAsia="Times New Roman" w:cs="Times New Roman"/>
          <w:b/>
          <w:i/>
          <w:szCs w:val="24"/>
          <w:lang w:eastAsia="en-AU"/>
        </w:rPr>
        <w:t>p</w:t>
      </w:r>
      <w:r w:rsidR="008B29C7" w:rsidRPr="00FA1BCF">
        <w:rPr>
          <w:rFonts w:eastAsia="Times New Roman" w:cs="Times New Roman"/>
          <w:b/>
          <w:i/>
          <w:szCs w:val="24"/>
          <w:lang w:eastAsia="en-AU"/>
        </w:rPr>
        <w:t xml:space="preserve">rogramme </w:t>
      </w:r>
      <w:r w:rsidR="00401516" w:rsidRPr="00FA1BCF">
        <w:rPr>
          <w:rFonts w:eastAsia="Times New Roman" w:cs="Times New Roman"/>
          <w:b/>
          <w:i/>
          <w:szCs w:val="24"/>
          <w:lang w:eastAsia="en-AU"/>
        </w:rPr>
        <w:t xml:space="preserve">under </w:t>
      </w:r>
      <w:r w:rsidR="00B349D4" w:rsidRPr="00FA1BCF">
        <w:rPr>
          <w:rFonts w:eastAsia="Times New Roman" w:cs="Times New Roman"/>
          <w:b/>
          <w:i/>
          <w:szCs w:val="24"/>
          <w:lang w:eastAsia="en-AU"/>
        </w:rPr>
        <w:t>section 100</w:t>
      </w:r>
      <w:r w:rsidRPr="00FA1BCF">
        <w:rPr>
          <w:rFonts w:eastAsia="Times New Roman" w:cs="Times New Roman"/>
          <w:b/>
          <w:i/>
          <w:szCs w:val="24"/>
          <w:lang w:eastAsia="en-AU"/>
        </w:rPr>
        <w:t xml:space="preserve"> </w:t>
      </w:r>
      <w:r w:rsidR="00152FA8" w:rsidRPr="00FA1BCF">
        <w:rPr>
          <w:rFonts w:eastAsia="Times New Roman" w:cs="Times New Roman"/>
          <w:b/>
          <w:i/>
          <w:szCs w:val="24"/>
          <w:lang w:eastAsia="en-AU"/>
        </w:rPr>
        <w:t xml:space="preserve">of </w:t>
      </w:r>
      <w:r w:rsidRPr="00FA1BCF">
        <w:rPr>
          <w:rFonts w:eastAsia="Times New Roman" w:cs="Times New Roman"/>
          <w:b/>
          <w:i/>
          <w:szCs w:val="24"/>
          <w:lang w:eastAsia="en-AU"/>
        </w:rPr>
        <w:t xml:space="preserve">the </w:t>
      </w:r>
      <w:r w:rsidRPr="00E436E7">
        <w:rPr>
          <w:rFonts w:eastAsia="Times New Roman" w:cs="Times New Roman"/>
          <w:b/>
          <w:szCs w:val="24"/>
          <w:lang w:eastAsia="en-AU"/>
        </w:rPr>
        <w:t>National Health Act 1953</w:t>
      </w:r>
      <w:r w:rsidRPr="00FA1BCF">
        <w:rPr>
          <w:rFonts w:eastAsia="Times New Roman" w:cs="Times New Roman"/>
          <w:b/>
          <w:i/>
          <w:szCs w:val="24"/>
          <w:lang w:eastAsia="en-AU"/>
        </w:rPr>
        <w:t xml:space="preserve">, mirroring other </w:t>
      </w:r>
      <w:r w:rsidR="00B349D4" w:rsidRPr="00FA1BCF">
        <w:rPr>
          <w:rFonts w:eastAsia="Times New Roman" w:cs="Times New Roman"/>
          <w:b/>
          <w:i/>
          <w:szCs w:val="24"/>
          <w:lang w:eastAsia="en-AU"/>
        </w:rPr>
        <w:t>section 100</w:t>
      </w:r>
      <w:r w:rsidRPr="00FA1BCF">
        <w:rPr>
          <w:rFonts w:eastAsia="Times New Roman" w:cs="Times New Roman"/>
          <w:b/>
          <w:i/>
          <w:szCs w:val="24"/>
          <w:lang w:eastAsia="en-AU"/>
        </w:rPr>
        <w:t xml:space="preserve"> programmes such as the Highly Specialised Drugs Programme, to benefit from existing structures, processes and systems currently within the Pharmaceutical Benefits Scheme.</w:t>
      </w:r>
    </w:p>
    <w:p w:rsidR="00AD1131" w:rsidRPr="00196787" w:rsidRDefault="00CC79FE" w:rsidP="00AD1131">
      <w:pPr>
        <w:spacing w:after="0"/>
        <w:ind w:left="357"/>
        <w:jc w:val="both"/>
        <w:rPr>
          <w:rFonts w:eastAsia="Times New Roman" w:cs="Times New Roman"/>
          <w:szCs w:val="24"/>
          <w:lang w:eastAsia="en-AU"/>
        </w:rPr>
      </w:pPr>
      <w:r w:rsidRPr="00FA1BCF">
        <w:rPr>
          <w:rFonts w:eastAsia="Times New Roman" w:cs="Times New Roman"/>
          <w:szCs w:val="24"/>
          <w:lang w:eastAsia="en-AU"/>
        </w:rPr>
        <w:t xml:space="preserve">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believes </w:t>
      </w:r>
      <w:r w:rsidR="00EA00B2" w:rsidRPr="00FA1BCF">
        <w:rPr>
          <w:rFonts w:eastAsia="Times New Roman" w:cs="Times New Roman"/>
          <w:szCs w:val="24"/>
          <w:lang w:eastAsia="en-AU"/>
        </w:rPr>
        <w:t>that</w:t>
      </w:r>
      <w:r w:rsidR="00625893" w:rsidRPr="00FA1BCF">
        <w:rPr>
          <w:rFonts w:eastAsia="Times New Roman" w:cs="Times New Roman"/>
          <w:szCs w:val="24"/>
          <w:lang w:eastAsia="en-AU"/>
        </w:rPr>
        <w:t>,</w:t>
      </w:r>
      <w:r w:rsidR="00EA00B2" w:rsidRPr="00FA1BCF">
        <w:rPr>
          <w:rFonts w:eastAsia="Times New Roman" w:cs="Times New Roman"/>
          <w:szCs w:val="24"/>
          <w:lang w:eastAsia="en-AU"/>
        </w:rPr>
        <w:t xml:space="preserve"> while </w:t>
      </w:r>
      <w:r w:rsidR="00A26B5E" w:rsidRPr="00FA1BCF">
        <w:rPr>
          <w:rFonts w:eastAsia="Times New Roman" w:cs="Times New Roman"/>
          <w:szCs w:val="24"/>
          <w:lang w:eastAsia="en-AU"/>
        </w:rPr>
        <w:t xml:space="preserve">a </w:t>
      </w:r>
      <w:r w:rsidR="00EA00B2" w:rsidRPr="00FA1BCF">
        <w:rPr>
          <w:rFonts w:eastAsia="Times New Roman" w:cs="Times New Roman"/>
          <w:szCs w:val="24"/>
          <w:lang w:eastAsia="en-AU"/>
        </w:rPr>
        <w:t xml:space="preserve">designated </w:t>
      </w:r>
      <w:r w:rsidR="00A26B5E" w:rsidRPr="00FA1BCF">
        <w:rPr>
          <w:rFonts w:eastAsia="Times New Roman" w:cs="Times New Roman"/>
          <w:szCs w:val="24"/>
          <w:lang w:eastAsia="en-AU"/>
        </w:rPr>
        <w:t xml:space="preserve">Medicines for </w:t>
      </w:r>
      <w:r w:rsidR="00EA00B2" w:rsidRPr="00FA1BCF">
        <w:rPr>
          <w:rFonts w:eastAsia="Times New Roman" w:cs="Times New Roman"/>
          <w:szCs w:val="24"/>
          <w:lang w:eastAsia="en-AU"/>
        </w:rPr>
        <w:t>Rare Disease</w:t>
      </w:r>
      <w:r w:rsidR="000250B9" w:rsidRPr="00FA1BCF">
        <w:rPr>
          <w:rFonts w:eastAsia="Times New Roman" w:cs="Times New Roman"/>
          <w:szCs w:val="24"/>
          <w:lang w:eastAsia="en-AU"/>
        </w:rPr>
        <w:t>s</w:t>
      </w:r>
      <w:r w:rsidR="00EA00B2" w:rsidRPr="00FA1BCF">
        <w:rPr>
          <w:rFonts w:eastAsia="Times New Roman" w:cs="Times New Roman"/>
          <w:szCs w:val="24"/>
          <w:lang w:eastAsia="en-AU"/>
        </w:rPr>
        <w:t xml:space="preserve"> </w:t>
      </w:r>
      <w:r w:rsidR="008B29C7" w:rsidRPr="00FA1BCF">
        <w:rPr>
          <w:rFonts w:eastAsia="Times New Roman" w:cs="Times New Roman"/>
          <w:szCs w:val="24"/>
          <w:lang w:eastAsia="en-AU"/>
        </w:rPr>
        <w:t xml:space="preserve">Programme </w:t>
      </w:r>
      <w:r w:rsidR="00EA00B2" w:rsidRPr="00FA1BCF">
        <w:rPr>
          <w:rFonts w:eastAsia="Times New Roman" w:cs="Times New Roman"/>
          <w:szCs w:val="24"/>
          <w:lang w:eastAsia="en-AU"/>
        </w:rPr>
        <w:t>is needed</w:t>
      </w:r>
      <w:r w:rsidR="00625893" w:rsidRPr="00FA1BCF">
        <w:rPr>
          <w:rFonts w:eastAsia="Times New Roman" w:cs="Times New Roman"/>
          <w:szCs w:val="24"/>
          <w:lang w:eastAsia="en-AU"/>
        </w:rPr>
        <w:t>,</w:t>
      </w:r>
      <w:r w:rsidR="00EA00B2" w:rsidRPr="00FA1BCF">
        <w:rPr>
          <w:rFonts w:eastAsia="Times New Roman" w:cs="Times New Roman"/>
          <w:szCs w:val="24"/>
          <w:lang w:eastAsia="en-AU"/>
        </w:rPr>
        <w:t xml:space="preserve"> it does not need to sit</w:t>
      </w:r>
      <w:r w:rsidRPr="00FA1BCF">
        <w:rPr>
          <w:rFonts w:eastAsia="Times New Roman" w:cs="Times New Roman"/>
          <w:szCs w:val="24"/>
          <w:lang w:eastAsia="en-AU"/>
        </w:rPr>
        <w:t xml:space="preserve"> outside the PBS. The PBS has demonstrated agility in accommodating special needs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programmes through special provisions in the </w:t>
      </w:r>
      <w:r w:rsidRPr="00E436E7">
        <w:rPr>
          <w:rFonts w:eastAsia="Times New Roman" w:cs="Times New Roman"/>
          <w:szCs w:val="24"/>
          <w:lang w:eastAsia="en-AU"/>
        </w:rPr>
        <w:t>National Health Act</w:t>
      </w:r>
      <w:r w:rsidRPr="00FA1BCF">
        <w:rPr>
          <w:rFonts w:eastAsia="Times New Roman" w:cs="Times New Roman"/>
          <w:szCs w:val="24"/>
          <w:lang w:eastAsia="en-AU"/>
        </w:rPr>
        <w:t xml:space="preserve">. 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recommends that leveraging existing structures, processes and administrative systems within the PBS to provide </w:t>
      </w:r>
      <w:r w:rsidR="006F63D6" w:rsidRPr="00FA1BCF">
        <w:rPr>
          <w:rFonts w:eastAsia="Times New Roman" w:cs="Times New Roman"/>
          <w:szCs w:val="24"/>
          <w:lang w:eastAsia="en-AU"/>
        </w:rPr>
        <w:t xml:space="preserve">medicines to patients with </w:t>
      </w:r>
      <w:r w:rsidRPr="00FA1BCF">
        <w:rPr>
          <w:rFonts w:eastAsia="Times New Roman" w:cs="Times New Roman"/>
          <w:szCs w:val="24"/>
          <w:lang w:eastAsia="en-AU"/>
        </w:rPr>
        <w:t xml:space="preserve">rare or ultra-rare diseases is an appropriate way forward. </w:t>
      </w:r>
      <w:r w:rsidR="00F4697E" w:rsidRPr="00FA1BCF">
        <w:rPr>
          <w:rFonts w:eastAsia="Times New Roman" w:cs="Times New Roman"/>
          <w:szCs w:val="24"/>
          <w:lang w:eastAsia="en-AU"/>
        </w:rPr>
        <w:t xml:space="preserve">The </w:t>
      </w:r>
      <w:r w:rsidR="00F11CA5" w:rsidRPr="00FA1BCF">
        <w:rPr>
          <w:rFonts w:eastAsia="Times New Roman" w:cs="Times New Roman"/>
          <w:szCs w:val="24"/>
          <w:lang w:eastAsia="en-AU"/>
        </w:rPr>
        <w:t>reference group</w:t>
      </w:r>
      <w:r w:rsidR="00F4697E" w:rsidRPr="00FA1BCF">
        <w:rPr>
          <w:rFonts w:eastAsia="Times New Roman" w:cs="Times New Roman"/>
          <w:szCs w:val="24"/>
          <w:lang w:eastAsia="en-AU"/>
        </w:rPr>
        <w:t xml:space="preserve"> notes the </w:t>
      </w:r>
      <w:r w:rsidR="00307626" w:rsidRPr="00FA1BCF">
        <w:rPr>
          <w:rFonts w:eastAsia="Times New Roman" w:cs="Times New Roman"/>
          <w:szCs w:val="24"/>
          <w:lang w:eastAsia="en-AU"/>
        </w:rPr>
        <w:t xml:space="preserve">preference of </w:t>
      </w:r>
      <w:r w:rsidR="00F4697E" w:rsidRPr="00FA1BCF">
        <w:rPr>
          <w:rFonts w:eastAsia="Times New Roman" w:cs="Times New Roman"/>
          <w:szCs w:val="24"/>
          <w:lang w:eastAsia="en-AU"/>
        </w:rPr>
        <w:t xml:space="preserve">industry </w:t>
      </w:r>
      <w:r w:rsidR="00EA00B2" w:rsidRPr="00FA1BCF">
        <w:rPr>
          <w:rFonts w:eastAsia="Times New Roman" w:cs="Times New Roman"/>
          <w:szCs w:val="24"/>
          <w:lang w:eastAsia="en-AU"/>
        </w:rPr>
        <w:t xml:space="preserve">and some patient groups </w:t>
      </w:r>
      <w:r w:rsidR="00F4697E" w:rsidRPr="00FA1BCF">
        <w:rPr>
          <w:rFonts w:eastAsia="Times New Roman" w:cs="Times New Roman"/>
          <w:szCs w:val="24"/>
          <w:lang w:eastAsia="en-AU"/>
        </w:rPr>
        <w:t xml:space="preserve">for a </w:t>
      </w:r>
      <w:r w:rsidR="00E82180" w:rsidRPr="00FA1BCF">
        <w:rPr>
          <w:rFonts w:eastAsia="Times New Roman" w:cs="Times New Roman"/>
          <w:szCs w:val="24"/>
          <w:lang w:eastAsia="en-AU"/>
        </w:rPr>
        <w:t xml:space="preserve">new </w:t>
      </w:r>
      <w:r w:rsidR="00F4697E" w:rsidRPr="00FA1BCF">
        <w:rPr>
          <w:rFonts w:eastAsia="Times New Roman" w:cs="Times New Roman"/>
          <w:szCs w:val="24"/>
          <w:lang w:eastAsia="en-AU"/>
        </w:rPr>
        <w:t xml:space="preserve">special </w:t>
      </w:r>
      <w:r w:rsidR="00814DFD" w:rsidRPr="00FA1BCF">
        <w:rPr>
          <w:rFonts w:eastAsia="Times New Roman" w:cs="Times New Roman"/>
          <w:szCs w:val="24"/>
          <w:lang w:eastAsia="en-AU"/>
        </w:rPr>
        <w:t>s</w:t>
      </w:r>
      <w:r w:rsidR="00F4697E" w:rsidRPr="00FA1BCF">
        <w:rPr>
          <w:rFonts w:eastAsia="Times New Roman" w:cs="Times New Roman"/>
          <w:szCs w:val="24"/>
          <w:lang w:eastAsia="en-AU"/>
        </w:rPr>
        <w:t>ection 20</w:t>
      </w:r>
      <w:r w:rsidR="00E82180" w:rsidRPr="00FA1BCF">
        <w:rPr>
          <w:rFonts w:eastAsia="Times New Roman" w:cs="Times New Roman"/>
          <w:szCs w:val="24"/>
          <w:lang w:eastAsia="en-AU"/>
        </w:rPr>
        <w:t>0</w:t>
      </w:r>
      <w:r w:rsidR="00F4697E" w:rsidRPr="00FA1BCF">
        <w:rPr>
          <w:rFonts w:eastAsia="Times New Roman" w:cs="Times New Roman"/>
          <w:szCs w:val="24"/>
          <w:lang w:eastAsia="en-AU"/>
        </w:rPr>
        <w:t xml:space="preserve"> </w:t>
      </w:r>
      <w:r w:rsidR="00814DFD" w:rsidRPr="00FA1BCF">
        <w:rPr>
          <w:rFonts w:eastAsia="Times New Roman" w:cs="Times New Roman"/>
          <w:szCs w:val="24"/>
          <w:lang w:eastAsia="en-AU"/>
        </w:rPr>
        <w:t>p</w:t>
      </w:r>
      <w:r w:rsidR="008B29C7" w:rsidRPr="00FA1BCF">
        <w:rPr>
          <w:rFonts w:eastAsia="Times New Roman" w:cs="Times New Roman"/>
          <w:szCs w:val="24"/>
          <w:lang w:eastAsia="en-AU"/>
        </w:rPr>
        <w:t xml:space="preserve">rogramme </w:t>
      </w:r>
      <w:r w:rsidR="00625893" w:rsidRPr="00FA1BCF">
        <w:rPr>
          <w:rFonts w:eastAsia="Times New Roman" w:cs="Times New Roman"/>
          <w:szCs w:val="24"/>
          <w:lang w:eastAsia="en-AU"/>
        </w:rPr>
        <w:t>under the same Act</w:t>
      </w:r>
      <w:r w:rsidR="00E82180" w:rsidRPr="00FA1BCF">
        <w:rPr>
          <w:rFonts w:eastAsia="Times New Roman" w:cs="Times New Roman"/>
          <w:szCs w:val="24"/>
          <w:lang w:eastAsia="en-AU"/>
        </w:rPr>
        <w:t xml:space="preserve">. </w:t>
      </w:r>
      <w:r w:rsidR="00196787">
        <w:rPr>
          <w:rFonts w:eastAsia="Times New Roman" w:cs="Times New Roman"/>
          <w:szCs w:val="24"/>
          <w:lang w:eastAsia="en-AU"/>
        </w:rPr>
        <w:t>T</w:t>
      </w:r>
      <w:r w:rsidR="00AD1131" w:rsidRPr="00DC19F4">
        <w:rPr>
          <w:rFonts w:eastAsia="Times New Roman" w:cs="Times New Roman"/>
          <w:szCs w:val="24"/>
          <w:lang w:eastAsia="en-AU"/>
        </w:rPr>
        <w:t>he Department of Health</w:t>
      </w:r>
      <w:r w:rsidR="00196787">
        <w:rPr>
          <w:rFonts w:eastAsia="Times New Roman" w:cs="Times New Roman"/>
          <w:szCs w:val="24"/>
          <w:lang w:eastAsia="en-AU"/>
        </w:rPr>
        <w:t xml:space="preserve"> has advised</w:t>
      </w:r>
      <w:r w:rsidR="00AD1131" w:rsidRPr="00DC19F4">
        <w:rPr>
          <w:rFonts w:eastAsia="Times New Roman" w:cs="Times New Roman"/>
          <w:szCs w:val="24"/>
          <w:lang w:eastAsia="en-AU"/>
        </w:rPr>
        <w:t xml:space="preserve"> that, subject to the establishment of an appropriate head of power, establishing a </w:t>
      </w:r>
      <w:r w:rsidR="00196787">
        <w:rPr>
          <w:rFonts w:eastAsia="Times New Roman" w:cs="Times New Roman"/>
          <w:szCs w:val="24"/>
          <w:lang w:eastAsia="en-AU"/>
        </w:rPr>
        <w:t>s</w:t>
      </w:r>
      <w:r w:rsidR="00AD1131" w:rsidRPr="00DC19F4">
        <w:rPr>
          <w:rFonts w:eastAsia="Times New Roman" w:cs="Times New Roman"/>
          <w:szCs w:val="24"/>
          <w:lang w:eastAsia="en-AU"/>
        </w:rPr>
        <w:t xml:space="preserve">pecial </w:t>
      </w:r>
      <w:r w:rsidR="00196787">
        <w:rPr>
          <w:rFonts w:eastAsia="Times New Roman" w:cs="Times New Roman"/>
          <w:szCs w:val="24"/>
          <w:lang w:eastAsia="en-AU"/>
        </w:rPr>
        <w:t>a</w:t>
      </w:r>
      <w:r w:rsidR="00AD1131" w:rsidRPr="00DC19F4">
        <w:rPr>
          <w:rFonts w:eastAsia="Times New Roman" w:cs="Times New Roman"/>
          <w:szCs w:val="24"/>
          <w:lang w:eastAsia="en-AU"/>
        </w:rPr>
        <w:t>rrangement under the provisions of section 100 of the National Health Act may incorporate all our other recommended changes, and is a simpler approach legislatively.</w:t>
      </w:r>
    </w:p>
    <w:p w:rsidR="00CC79FE" w:rsidRPr="00FA1BCF" w:rsidRDefault="00F52F5C" w:rsidP="00E436E7">
      <w:pPr>
        <w:ind w:left="357"/>
        <w:jc w:val="both"/>
        <w:rPr>
          <w:rFonts w:eastAsia="Times New Roman" w:cs="Times New Roman"/>
          <w:szCs w:val="24"/>
          <w:lang w:eastAsia="en-AU"/>
        </w:rPr>
      </w:pPr>
      <w:r w:rsidRPr="00FA1BCF">
        <w:rPr>
          <w:rFonts w:eastAsia="Times New Roman" w:cs="Times New Roman"/>
          <w:szCs w:val="24"/>
          <w:lang w:eastAsia="en-AU"/>
        </w:rPr>
        <w:t xml:space="preserve">The </w:t>
      </w:r>
      <w:r w:rsidR="00F11CA5" w:rsidRPr="00FA1BCF">
        <w:rPr>
          <w:rFonts w:eastAsia="Times New Roman" w:cs="Times New Roman"/>
          <w:szCs w:val="24"/>
          <w:lang w:eastAsia="en-AU"/>
        </w:rPr>
        <w:t>reference group</w:t>
      </w:r>
      <w:r w:rsidR="00EA00B2" w:rsidRPr="00FA1BCF">
        <w:rPr>
          <w:rFonts w:eastAsia="Times New Roman" w:cs="Times New Roman"/>
          <w:szCs w:val="24"/>
          <w:lang w:eastAsia="en-AU"/>
        </w:rPr>
        <w:t xml:space="preserve"> believe</w:t>
      </w:r>
      <w:r w:rsidR="00814DFD" w:rsidRPr="00FA1BCF">
        <w:rPr>
          <w:rFonts w:eastAsia="Times New Roman" w:cs="Times New Roman"/>
          <w:szCs w:val="24"/>
          <w:lang w:eastAsia="en-AU"/>
        </w:rPr>
        <w:t>s that</w:t>
      </w:r>
      <w:r w:rsidR="00EA00B2" w:rsidRPr="00FA1BCF">
        <w:rPr>
          <w:rFonts w:eastAsia="Times New Roman" w:cs="Times New Roman"/>
          <w:szCs w:val="24"/>
          <w:lang w:eastAsia="en-AU"/>
        </w:rPr>
        <w:t xml:space="preserve"> either approach would </w:t>
      </w:r>
      <w:r w:rsidR="00813427" w:rsidRPr="00FA1BCF">
        <w:rPr>
          <w:rFonts w:eastAsia="Times New Roman" w:cs="Times New Roman"/>
          <w:szCs w:val="24"/>
          <w:lang w:eastAsia="en-AU"/>
        </w:rPr>
        <w:t xml:space="preserve">meet </w:t>
      </w:r>
      <w:r w:rsidR="00EA00B2" w:rsidRPr="00FA1BCF">
        <w:rPr>
          <w:rFonts w:eastAsia="Times New Roman" w:cs="Times New Roman"/>
          <w:szCs w:val="24"/>
          <w:lang w:eastAsia="en-AU"/>
        </w:rPr>
        <w:t>the requirements and therefore recommend</w:t>
      </w:r>
      <w:r w:rsidR="00814DFD" w:rsidRPr="00FA1BCF">
        <w:rPr>
          <w:rFonts w:eastAsia="Times New Roman" w:cs="Times New Roman"/>
          <w:szCs w:val="24"/>
          <w:lang w:eastAsia="en-AU"/>
        </w:rPr>
        <w:t>s</w:t>
      </w:r>
      <w:r w:rsidR="00EA00B2" w:rsidRPr="00FA1BCF">
        <w:rPr>
          <w:rFonts w:eastAsia="Times New Roman" w:cs="Times New Roman"/>
          <w:szCs w:val="24"/>
          <w:lang w:eastAsia="en-AU"/>
        </w:rPr>
        <w:t xml:space="preserve"> a </w:t>
      </w:r>
      <w:r w:rsidR="00B349D4" w:rsidRPr="00FA1BCF">
        <w:rPr>
          <w:rFonts w:eastAsia="Times New Roman" w:cs="Times New Roman"/>
          <w:szCs w:val="24"/>
          <w:lang w:eastAsia="en-AU"/>
        </w:rPr>
        <w:t>section 100</w:t>
      </w:r>
      <w:r w:rsidR="00EA00B2" w:rsidRPr="00FA1BCF">
        <w:rPr>
          <w:rFonts w:eastAsia="Times New Roman" w:cs="Times New Roman"/>
          <w:szCs w:val="24"/>
          <w:lang w:eastAsia="en-AU"/>
        </w:rPr>
        <w:t xml:space="preserve"> </w:t>
      </w:r>
      <w:r w:rsidR="006F63D6" w:rsidRPr="00FA1BCF">
        <w:rPr>
          <w:rFonts w:eastAsia="Times New Roman" w:cs="Times New Roman"/>
          <w:szCs w:val="24"/>
          <w:lang w:eastAsia="en-AU"/>
        </w:rPr>
        <w:t xml:space="preserve">Medicines for </w:t>
      </w:r>
      <w:r w:rsidR="00EA00B2" w:rsidRPr="00FA1BCF">
        <w:rPr>
          <w:rFonts w:eastAsia="Times New Roman" w:cs="Times New Roman"/>
          <w:szCs w:val="24"/>
          <w:lang w:eastAsia="en-AU"/>
        </w:rPr>
        <w:t>Rare Disease</w:t>
      </w:r>
      <w:r w:rsidR="006F63D6" w:rsidRPr="00FA1BCF">
        <w:rPr>
          <w:rFonts w:eastAsia="Times New Roman" w:cs="Times New Roman"/>
          <w:szCs w:val="24"/>
          <w:lang w:eastAsia="en-AU"/>
        </w:rPr>
        <w:t>s</w:t>
      </w:r>
      <w:r w:rsidR="00152FA8" w:rsidRPr="00FA1BCF">
        <w:rPr>
          <w:rFonts w:eastAsia="Times New Roman" w:cs="Times New Roman"/>
          <w:szCs w:val="24"/>
          <w:lang w:eastAsia="en-AU"/>
        </w:rPr>
        <w:t xml:space="preserve"> </w:t>
      </w:r>
      <w:r w:rsidR="00EA00B2" w:rsidRPr="00FA1BCF">
        <w:rPr>
          <w:rFonts w:eastAsia="Times New Roman" w:cs="Times New Roman"/>
          <w:szCs w:val="24"/>
          <w:lang w:eastAsia="en-AU"/>
        </w:rPr>
        <w:t xml:space="preserve">Programme mirroring the </w:t>
      </w:r>
      <w:r w:rsidR="00B349D4" w:rsidRPr="00FA1BCF">
        <w:rPr>
          <w:rFonts w:eastAsia="Times New Roman" w:cs="Times New Roman"/>
          <w:szCs w:val="24"/>
          <w:lang w:eastAsia="en-AU"/>
        </w:rPr>
        <w:t>section 100</w:t>
      </w:r>
      <w:r w:rsidR="00EA00B2" w:rsidRPr="00FA1BCF">
        <w:rPr>
          <w:rFonts w:eastAsia="Times New Roman" w:cs="Times New Roman"/>
          <w:szCs w:val="24"/>
          <w:lang w:eastAsia="en-AU"/>
        </w:rPr>
        <w:t xml:space="preserve"> Highly Specialised Drugs </w:t>
      </w:r>
      <w:r w:rsidR="00814DFD" w:rsidRPr="00FA1BCF">
        <w:rPr>
          <w:rFonts w:eastAsia="Times New Roman" w:cs="Times New Roman"/>
          <w:szCs w:val="24"/>
          <w:lang w:eastAsia="en-AU"/>
        </w:rPr>
        <w:t>P</w:t>
      </w:r>
      <w:r w:rsidR="00EA00B2" w:rsidRPr="00FA1BCF">
        <w:rPr>
          <w:rFonts w:eastAsia="Times New Roman" w:cs="Times New Roman"/>
          <w:szCs w:val="24"/>
          <w:lang w:eastAsia="en-AU"/>
        </w:rPr>
        <w:t xml:space="preserve">rogramme. </w:t>
      </w:r>
    </w:p>
    <w:p w:rsidR="00CC79FE" w:rsidRPr="00FA1BCF" w:rsidRDefault="00CC79FE" w:rsidP="00CC79FE">
      <w:pPr>
        <w:jc w:val="both"/>
        <w:rPr>
          <w:rFonts w:eastAsia="Times New Roman" w:cs="Times New Roman"/>
          <w:b/>
          <w:i/>
          <w:szCs w:val="24"/>
          <w:lang w:eastAsia="en-AU"/>
        </w:rPr>
      </w:pPr>
      <w:r w:rsidRPr="00FA1BCF">
        <w:rPr>
          <w:rFonts w:eastAsia="Times New Roman" w:cs="Times New Roman"/>
          <w:b/>
          <w:i/>
          <w:szCs w:val="24"/>
          <w:lang w:eastAsia="en-AU"/>
        </w:rPr>
        <w:t>4. The new programme should be known as the</w:t>
      </w:r>
      <w:r w:rsidR="00A26B5E" w:rsidRPr="00FA1BCF">
        <w:rPr>
          <w:rFonts w:eastAsia="Times New Roman" w:cs="Times New Roman"/>
          <w:b/>
          <w:i/>
          <w:szCs w:val="24"/>
          <w:lang w:eastAsia="en-AU"/>
        </w:rPr>
        <w:t xml:space="preserve"> </w:t>
      </w:r>
      <w:r w:rsidR="006F63D6" w:rsidRPr="00FA1BCF">
        <w:rPr>
          <w:rFonts w:eastAsia="Times New Roman" w:cs="Times New Roman"/>
          <w:b/>
          <w:i/>
          <w:szCs w:val="24"/>
          <w:lang w:eastAsia="en-AU"/>
        </w:rPr>
        <w:t>Medicines for</w:t>
      </w:r>
      <w:r w:rsidRPr="00FA1BCF">
        <w:rPr>
          <w:rFonts w:eastAsia="Times New Roman" w:cs="Times New Roman"/>
          <w:b/>
          <w:i/>
          <w:szCs w:val="24"/>
          <w:lang w:eastAsia="en-AU"/>
        </w:rPr>
        <w:t xml:space="preserve"> Rare Disease</w:t>
      </w:r>
      <w:r w:rsidR="000250B9" w:rsidRPr="00FA1BCF">
        <w:rPr>
          <w:rFonts w:eastAsia="Times New Roman" w:cs="Times New Roman"/>
          <w:b/>
          <w:i/>
          <w:szCs w:val="24"/>
          <w:lang w:eastAsia="en-AU"/>
        </w:rPr>
        <w:t>s</w:t>
      </w:r>
      <w:r w:rsidRPr="00FA1BCF">
        <w:rPr>
          <w:rFonts w:eastAsia="Times New Roman" w:cs="Times New Roman"/>
          <w:b/>
          <w:i/>
          <w:szCs w:val="24"/>
          <w:lang w:eastAsia="en-AU"/>
        </w:rPr>
        <w:t xml:space="preserve"> Programme. Eligibility criteria for </w:t>
      </w:r>
      <w:r w:rsidR="00EA00B2" w:rsidRPr="00FA1BCF">
        <w:rPr>
          <w:rFonts w:eastAsia="Times New Roman" w:cs="Times New Roman"/>
          <w:b/>
          <w:i/>
          <w:szCs w:val="24"/>
          <w:lang w:eastAsia="en-AU"/>
        </w:rPr>
        <w:t>consideration</w:t>
      </w:r>
      <w:r w:rsidR="00E02948" w:rsidRPr="00FA1BCF">
        <w:rPr>
          <w:rFonts w:eastAsia="Times New Roman" w:cs="Times New Roman"/>
          <w:b/>
          <w:i/>
          <w:szCs w:val="24"/>
          <w:lang w:eastAsia="en-AU"/>
        </w:rPr>
        <w:t xml:space="preserve"> of listing under </w:t>
      </w:r>
      <w:r w:rsidRPr="00FA1BCF">
        <w:rPr>
          <w:rFonts w:eastAsia="Times New Roman" w:cs="Times New Roman"/>
          <w:b/>
          <w:i/>
          <w:szCs w:val="24"/>
          <w:lang w:eastAsia="en-AU"/>
        </w:rPr>
        <w:t xml:space="preserve">the new programme </w:t>
      </w:r>
      <w:r w:rsidR="00F0427B" w:rsidRPr="00FA1BCF">
        <w:rPr>
          <w:rFonts w:eastAsia="Times New Roman" w:cs="Times New Roman"/>
          <w:b/>
          <w:i/>
          <w:szCs w:val="24"/>
          <w:lang w:eastAsia="en-AU"/>
        </w:rPr>
        <w:t xml:space="preserve">are proposed </w:t>
      </w:r>
      <w:r w:rsidRPr="00FA1BCF">
        <w:rPr>
          <w:rFonts w:eastAsia="Times New Roman" w:cs="Times New Roman"/>
          <w:b/>
          <w:i/>
          <w:szCs w:val="24"/>
          <w:lang w:eastAsia="en-AU"/>
        </w:rPr>
        <w:t xml:space="preserve">based on the </w:t>
      </w:r>
      <w:r w:rsidR="00EA00B2" w:rsidRPr="00FA1BCF">
        <w:rPr>
          <w:rFonts w:eastAsia="Times New Roman" w:cs="Times New Roman"/>
          <w:b/>
          <w:i/>
          <w:szCs w:val="24"/>
          <w:lang w:eastAsia="en-AU"/>
        </w:rPr>
        <w:t>current LSDP criteria</w:t>
      </w:r>
      <w:r w:rsidR="00F0427B" w:rsidRPr="00FA1BCF">
        <w:rPr>
          <w:rFonts w:eastAsia="Times New Roman" w:cs="Times New Roman"/>
          <w:b/>
          <w:i/>
          <w:szCs w:val="24"/>
          <w:lang w:eastAsia="en-AU"/>
        </w:rPr>
        <w:t>.</w:t>
      </w:r>
      <w:r w:rsidR="00B56F35" w:rsidRPr="00FA1BCF">
        <w:rPr>
          <w:rFonts w:eastAsia="Times New Roman" w:cs="Times New Roman"/>
          <w:b/>
          <w:i/>
          <w:szCs w:val="24"/>
          <w:lang w:eastAsia="en-AU"/>
        </w:rPr>
        <w:t xml:space="preserve"> </w:t>
      </w:r>
      <w:r w:rsidRPr="00FA1BCF">
        <w:rPr>
          <w:rFonts w:eastAsia="Times New Roman" w:cs="Times New Roman"/>
          <w:b/>
          <w:i/>
          <w:szCs w:val="24"/>
          <w:lang w:eastAsia="en-AU"/>
        </w:rPr>
        <w:t>Th</w:t>
      </w:r>
      <w:r w:rsidR="00F0427B" w:rsidRPr="00FA1BCF">
        <w:rPr>
          <w:rFonts w:eastAsia="Times New Roman" w:cs="Times New Roman"/>
          <w:b/>
          <w:i/>
          <w:szCs w:val="24"/>
          <w:lang w:eastAsia="en-AU"/>
        </w:rPr>
        <w:t>ese</w:t>
      </w:r>
      <w:r w:rsidRPr="00FA1BCF">
        <w:rPr>
          <w:rFonts w:eastAsia="Times New Roman" w:cs="Times New Roman"/>
          <w:b/>
          <w:i/>
          <w:szCs w:val="24"/>
          <w:lang w:eastAsia="en-AU"/>
        </w:rPr>
        <w:t xml:space="preserve"> new criteria should be reviewed in two years or after the first four submissions have been assessed using the new criteria</w:t>
      </w:r>
      <w:r w:rsidR="00E622B4" w:rsidRPr="00FA1BCF">
        <w:rPr>
          <w:rFonts w:eastAsia="Times New Roman" w:cs="Times New Roman"/>
          <w:b/>
          <w:i/>
          <w:szCs w:val="24"/>
          <w:lang w:eastAsia="en-AU"/>
        </w:rPr>
        <w:t xml:space="preserve"> (whichever comes first)</w:t>
      </w:r>
      <w:r w:rsidRPr="00FA1BCF">
        <w:rPr>
          <w:rFonts w:eastAsia="Times New Roman" w:cs="Times New Roman"/>
          <w:b/>
          <w:i/>
          <w:szCs w:val="24"/>
          <w:lang w:eastAsia="en-AU"/>
        </w:rPr>
        <w:t>.</w:t>
      </w:r>
    </w:p>
    <w:p w:rsidR="00335B4B" w:rsidRPr="00FA1BCF" w:rsidRDefault="00CC79FE">
      <w:pPr>
        <w:ind w:left="357"/>
        <w:jc w:val="both"/>
        <w:rPr>
          <w:rFonts w:eastAsia="Times New Roman" w:cs="Times New Roman"/>
          <w:szCs w:val="24"/>
          <w:lang w:eastAsia="en-AU"/>
        </w:rPr>
      </w:pPr>
      <w:r w:rsidRPr="00FA1BCF">
        <w:rPr>
          <w:rFonts w:eastAsia="Times New Roman" w:cs="Times New Roman"/>
          <w:szCs w:val="24"/>
          <w:lang w:eastAsia="en-AU"/>
        </w:rPr>
        <w:t xml:space="preserve">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w:t>
      </w:r>
      <w:r w:rsidR="00E622B4" w:rsidRPr="00FA1BCF">
        <w:rPr>
          <w:rFonts w:eastAsia="Times New Roman" w:cs="Times New Roman"/>
          <w:szCs w:val="24"/>
          <w:lang w:eastAsia="en-AU"/>
        </w:rPr>
        <w:t xml:space="preserve">received </w:t>
      </w:r>
      <w:r w:rsidRPr="00FA1BCF">
        <w:rPr>
          <w:rFonts w:eastAsia="Times New Roman" w:cs="Times New Roman"/>
          <w:szCs w:val="24"/>
          <w:lang w:eastAsia="en-AU"/>
        </w:rPr>
        <w:t xml:space="preserve">representations from industry and patient groups about the conditions and criteria governing the LSDP and the existing PBS </w:t>
      </w:r>
      <w:r w:rsidR="00814DFD" w:rsidRPr="00FA1BCF">
        <w:rPr>
          <w:rFonts w:eastAsia="Times New Roman" w:cs="Times New Roman"/>
          <w:szCs w:val="24"/>
          <w:lang w:eastAsia="en-AU"/>
        </w:rPr>
        <w:t>‘r</w:t>
      </w:r>
      <w:r w:rsidRPr="00FA1BCF">
        <w:rPr>
          <w:rFonts w:eastAsia="Times New Roman" w:cs="Times New Roman"/>
          <w:szCs w:val="24"/>
          <w:lang w:eastAsia="en-AU"/>
        </w:rPr>
        <w:t xml:space="preserve">ule of </w:t>
      </w:r>
      <w:r w:rsidR="00814DFD" w:rsidRPr="00FA1BCF">
        <w:rPr>
          <w:rFonts w:eastAsia="Times New Roman" w:cs="Times New Roman"/>
          <w:szCs w:val="24"/>
          <w:lang w:eastAsia="en-AU"/>
        </w:rPr>
        <w:t>r</w:t>
      </w:r>
      <w:r w:rsidRPr="00FA1BCF">
        <w:rPr>
          <w:rFonts w:eastAsia="Times New Roman" w:cs="Times New Roman"/>
          <w:szCs w:val="24"/>
          <w:lang w:eastAsia="en-AU"/>
        </w:rPr>
        <w:t>escue</w:t>
      </w:r>
      <w:r w:rsidR="00814DFD" w:rsidRPr="00FA1BCF">
        <w:rPr>
          <w:rFonts w:eastAsia="Times New Roman" w:cs="Times New Roman"/>
          <w:szCs w:val="24"/>
          <w:lang w:eastAsia="en-AU"/>
        </w:rPr>
        <w:t>’</w:t>
      </w:r>
      <w:r w:rsidRPr="00FA1BCF">
        <w:rPr>
          <w:rFonts w:eastAsia="Times New Roman" w:cs="Times New Roman"/>
          <w:szCs w:val="24"/>
          <w:lang w:eastAsia="en-AU"/>
        </w:rPr>
        <w:t xml:space="preserve"> conditions that guide the Pharmaceutical Benefits Advisory Committee (PBAC) in its decision</w:t>
      </w:r>
      <w:r w:rsidR="00861CF5" w:rsidRPr="00FA1BCF">
        <w:rPr>
          <w:rFonts w:eastAsia="Times New Roman" w:cs="Times New Roman"/>
          <w:szCs w:val="24"/>
          <w:lang w:eastAsia="en-AU"/>
        </w:rPr>
        <w:t xml:space="preserve"> </w:t>
      </w:r>
      <w:r w:rsidRPr="00FA1BCF">
        <w:rPr>
          <w:rFonts w:eastAsia="Times New Roman" w:cs="Times New Roman"/>
          <w:szCs w:val="24"/>
          <w:lang w:eastAsia="en-AU"/>
        </w:rPr>
        <w:t xml:space="preserve">making. 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concluded that the conditions and criteria shared some overlap</w:t>
      </w:r>
      <w:r w:rsidR="00EA00B2" w:rsidRPr="00FA1BCF">
        <w:rPr>
          <w:rFonts w:eastAsia="Times New Roman" w:cs="Times New Roman"/>
          <w:szCs w:val="24"/>
          <w:lang w:eastAsia="en-AU"/>
        </w:rPr>
        <w:t xml:space="preserve">. The announced review of the PBAC submission guidelines presents an opportunity to </w:t>
      </w:r>
      <w:r w:rsidRPr="00FA1BCF">
        <w:rPr>
          <w:rFonts w:eastAsia="Times New Roman" w:cs="Times New Roman"/>
          <w:szCs w:val="24"/>
          <w:lang w:eastAsia="en-AU"/>
        </w:rPr>
        <w:t>amalgamate</w:t>
      </w:r>
      <w:r w:rsidR="00861CF5" w:rsidRPr="00FA1BCF">
        <w:rPr>
          <w:rFonts w:eastAsia="Times New Roman" w:cs="Times New Roman"/>
          <w:szCs w:val="24"/>
          <w:lang w:eastAsia="en-AU"/>
        </w:rPr>
        <w:t xml:space="preserve"> these conditions and criteria</w:t>
      </w:r>
      <w:r w:rsidRPr="00FA1BCF">
        <w:rPr>
          <w:rFonts w:eastAsia="Times New Roman" w:cs="Times New Roman"/>
          <w:szCs w:val="24"/>
          <w:lang w:eastAsia="en-AU"/>
        </w:rPr>
        <w:t xml:space="preserve"> and integrate</w:t>
      </w:r>
      <w:r w:rsidR="00861CF5" w:rsidRPr="00FA1BCF">
        <w:rPr>
          <w:rFonts w:eastAsia="Times New Roman" w:cs="Times New Roman"/>
          <w:szCs w:val="24"/>
          <w:lang w:eastAsia="en-AU"/>
        </w:rPr>
        <w:t xml:space="preserve"> them</w:t>
      </w:r>
      <w:r w:rsidRPr="00FA1BCF">
        <w:rPr>
          <w:rFonts w:eastAsia="Times New Roman" w:cs="Times New Roman"/>
          <w:szCs w:val="24"/>
          <w:lang w:eastAsia="en-AU"/>
        </w:rPr>
        <w:t xml:space="preserve"> into the existing PBS-PBAC framework. </w:t>
      </w:r>
    </w:p>
    <w:p w:rsidR="00EA4BDC" w:rsidRPr="00FA1BCF" w:rsidRDefault="00DE5953">
      <w:pPr>
        <w:ind w:left="357"/>
        <w:jc w:val="both"/>
        <w:rPr>
          <w:rFonts w:eastAsia="Times New Roman" w:cs="Times New Roman"/>
          <w:szCs w:val="24"/>
          <w:lang w:eastAsia="en-AU"/>
        </w:rPr>
      </w:pPr>
      <w:r w:rsidRPr="00FA1BCF">
        <w:rPr>
          <w:rFonts w:eastAsia="Times New Roman" w:cs="Times New Roman"/>
          <w:szCs w:val="24"/>
          <w:lang w:eastAsia="en-AU"/>
        </w:rPr>
        <w:t>Drawing on this and the comments from stakeholders and industry t</w:t>
      </w:r>
      <w:r w:rsidR="00A23598" w:rsidRPr="00FA1BCF">
        <w:rPr>
          <w:rFonts w:eastAsia="Times New Roman" w:cs="Times New Roman"/>
          <w:szCs w:val="24"/>
          <w:lang w:eastAsia="en-AU"/>
        </w:rPr>
        <w:t xml:space="preserve">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proposes</w:t>
      </w:r>
      <w:r w:rsidR="00C52647" w:rsidRPr="00FA1BCF">
        <w:rPr>
          <w:rFonts w:eastAsia="Times New Roman" w:cs="Times New Roman"/>
          <w:szCs w:val="24"/>
          <w:lang w:eastAsia="en-AU"/>
        </w:rPr>
        <w:t xml:space="preserve"> the </w:t>
      </w:r>
      <w:r w:rsidRPr="00FA1BCF">
        <w:rPr>
          <w:rFonts w:eastAsia="Times New Roman" w:cs="Times New Roman"/>
          <w:szCs w:val="24"/>
          <w:lang w:eastAsia="en-AU"/>
        </w:rPr>
        <w:t>following</w:t>
      </w:r>
      <w:r w:rsidR="003753AF" w:rsidRPr="00FA1BCF">
        <w:rPr>
          <w:rFonts w:eastAsia="Times New Roman" w:cs="Times New Roman"/>
          <w:szCs w:val="24"/>
          <w:lang w:eastAsia="en-AU"/>
        </w:rPr>
        <w:t xml:space="preserve"> revised</w:t>
      </w:r>
      <w:r w:rsidRPr="00FA1BCF">
        <w:rPr>
          <w:rFonts w:eastAsia="Times New Roman" w:cs="Times New Roman"/>
          <w:szCs w:val="24"/>
          <w:lang w:eastAsia="en-AU"/>
        </w:rPr>
        <w:t xml:space="preserve"> </w:t>
      </w:r>
      <w:r w:rsidR="00C52647" w:rsidRPr="00FA1BCF">
        <w:rPr>
          <w:rFonts w:eastAsia="Times New Roman" w:cs="Times New Roman"/>
          <w:szCs w:val="24"/>
          <w:lang w:eastAsia="en-AU"/>
        </w:rPr>
        <w:t xml:space="preserve">criteria </w:t>
      </w:r>
      <w:r w:rsidR="00DF6470" w:rsidRPr="00FA1BCF">
        <w:rPr>
          <w:rFonts w:eastAsia="Times New Roman" w:cs="Times New Roman"/>
          <w:szCs w:val="24"/>
          <w:lang w:eastAsia="en-AU"/>
        </w:rPr>
        <w:t xml:space="preserve">for a </w:t>
      </w:r>
      <w:r w:rsidR="009A438D" w:rsidRPr="00FA1BCF">
        <w:rPr>
          <w:rFonts w:eastAsia="Times New Roman" w:cs="Times New Roman"/>
          <w:szCs w:val="24"/>
          <w:lang w:eastAsia="en-AU"/>
        </w:rPr>
        <w:t xml:space="preserve">medicine </w:t>
      </w:r>
      <w:r w:rsidR="00DF6470" w:rsidRPr="00FA1BCF">
        <w:rPr>
          <w:rFonts w:eastAsia="Times New Roman" w:cs="Times New Roman"/>
          <w:szCs w:val="24"/>
          <w:lang w:eastAsia="en-AU"/>
        </w:rPr>
        <w:t xml:space="preserve">to be considered </w:t>
      </w:r>
      <w:r w:rsidR="000F1D82" w:rsidRPr="00FA1BCF">
        <w:rPr>
          <w:rFonts w:eastAsia="Times New Roman" w:cs="Times New Roman"/>
          <w:szCs w:val="24"/>
          <w:lang w:eastAsia="en-AU"/>
        </w:rPr>
        <w:t xml:space="preserve">for listing </w:t>
      </w:r>
      <w:r w:rsidR="00DF6470" w:rsidRPr="00FA1BCF">
        <w:rPr>
          <w:rFonts w:eastAsia="Times New Roman" w:cs="Times New Roman"/>
          <w:szCs w:val="24"/>
          <w:lang w:eastAsia="en-AU"/>
        </w:rPr>
        <w:t xml:space="preserve">under the </w:t>
      </w:r>
      <w:r w:rsidR="000F1D82" w:rsidRPr="00FA1BCF">
        <w:rPr>
          <w:rFonts w:eastAsia="Times New Roman" w:cs="Times New Roman"/>
          <w:szCs w:val="24"/>
          <w:lang w:eastAsia="en-AU"/>
        </w:rPr>
        <w:t xml:space="preserve">proposed </w:t>
      </w:r>
      <w:r w:rsidR="00DF6470" w:rsidRPr="00FA1BCF">
        <w:rPr>
          <w:rFonts w:eastAsia="Times New Roman" w:cs="Times New Roman"/>
          <w:szCs w:val="24"/>
          <w:lang w:eastAsia="en-AU"/>
        </w:rPr>
        <w:t xml:space="preserve">new </w:t>
      </w:r>
      <w:r w:rsidR="006F63D6" w:rsidRPr="00FA1BCF">
        <w:rPr>
          <w:rFonts w:eastAsia="Times New Roman" w:cs="Times New Roman"/>
          <w:szCs w:val="24"/>
          <w:lang w:eastAsia="en-AU"/>
        </w:rPr>
        <w:t xml:space="preserve">Medicines for </w:t>
      </w:r>
      <w:r w:rsidR="00DF6470" w:rsidRPr="00FA1BCF">
        <w:rPr>
          <w:rFonts w:eastAsia="Times New Roman" w:cs="Times New Roman"/>
          <w:szCs w:val="24"/>
          <w:lang w:eastAsia="en-AU"/>
        </w:rPr>
        <w:t>Rare Dis</w:t>
      </w:r>
      <w:r w:rsidR="000F1D82" w:rsidRPr="00FA1BCF">
        <w:rPr>
          <w:rFonts w:eastAsia="Times New Roman" w:cs="Times New Roman"/>
          <w:szCs w:val="24"/>
          <w:lang w:eastAsia="en-AU"/>
        </w:rPr>
        <w:t>ease</w:t>
      </w:r>
      <w:r w:rsidR="00F52F5C" w:rsidRPr="00FA1BCF">
        <w:rPr>
          <w:rFonts w:eastAsia="Times New Roman" w:cs="Times New Roman"/>
          <w:szCs w:val="24"/>
          <w:lang w:eastAsia="en-AU"/>
        </w:rPr>
        <w:t>s</w:t>
      </w:r>
      <w:r w:rsidR="000F1D82" w:rsidRPr="00FA1BCF">
        <w:rPr>
          <w:rFonts w:eastAsia="Times New Roman" w:cs="Times New Roman"/>
          <w:szCs w:val="24"/>
          <w:lang w:eastAsia="en-AU"/>
        </w:rPr>
        <w:t xml:space="preserve"> </w:t>
      </w:r>
      <w:r w:rsidR="00F52F5C" w:rsidRPr="00FA1BCF">
        <w:rPr>
          <w:rFonts w:eastAsia="Times New Roman" w:cs="Times New Roman"/>
          <w:szCs w:val="24"/>
          <w:lang w:eastAsia="en-AU"/>
        </w:rPr>
        <w:t>P</w:t>
      </w:r>
      <w:r w:rsidR="000F1D82" w:rsidRPr="00FA1BCF">
        <w:rPr>
          <w:rFonts w:eastAsia="Times New Roman" w:cs="Times New Roman"/>
          <w:szCs w:val="24"/>
          <w:lang w:eastAsia="en-AU"/>
        </w:rPr>
        <w:t>rogram</w:t>
      </w:r>
      <w:r w:rsidR="00FF4F3B" w:rsidRPr="00FA1BCF">
        <w:rPr>
          <w:rFonts w:eastAsia="Times New Roman" w:cs="Times New Roman"/>
          <w:szCs w:val="24"/>
          <w:lang w:eastAsia="en-AU"/>
        </w:rPr>
        <w:t>me</w:t>
      </w:r>
      <w:r w:rsidR="000F1D82" w:rsidRPr="00FA1BCF">
        <w:rPr>
          <w:rFonts w:eastAsia="Times New Roman" w:cs="Times New Roman"/>
          <w:szCs w:val="24"/>
          <w:lang w:eastAsia="en-AU"/>
        </w:rPr>
        <w:t>.</w:t>
      </w:r>
      <w:r w:rsidR="003E0B96" w:rsidRPr="00FA1BCF">
        <w:rPr>
          <w:rFonts w:eastAsia="Times New Roman" w:cs="Times New Roman"/>
          <w:szCs w:val="24"/>
          <w:lang w:eastAsia="en-AU"/>
        </w:rPr>
        <w:t xml:space="preserve"> Medicines would need to meet all of the criteria</w:t>
      </w:r>
      <w:r w:rsidR="00303051" w:rsidRPr="00FA1BCF">
        <w:rPr>
          <w:rFonts w:eastAsia="Times New Roman" w:cs="Times New Roman"/>
          <w:szCs w:val="24"/>
          <w:lang w:eastAsia="en-AU"/>
        </w:rPr>
        <w:t>.</w:t>
      </w:r>
    </w:p>
    <w:p w:rsidR="002B342F" w:rsidRPr="00FA1BCF" w:rsidRDefault="002B342F" w:rsidP="002B342F">
      <w:pPr>
        <w:pStyle w:val="ListParagraph"/>
        <w:numPr>
          <w:ilvl w:val="0"/>
          <w:numId w:val="3"/>
        </w:numPr>
        <w:rPr>
          <w:rFonts w:eastAsia="Times New Roman" w:cs="Times New Roman"/>
          <w:szCs w:val="24"/>
          <w:lang w:eastAsia="en-AU"/>
        </w:rPr>
      </w:pPr>
      <w:r w:rsidRPr="00FA1BCF">
        <w:rPr>
          <w:rFonts w:eastAsia="Times New Roman" w:cs="Times New Roman"/>
          <w:szCs w:val="24"/>
          <w:lang w:eastAsia="en-AU"/>
        </w:rPr>
        <w:t xml:space="preserve">There is a rare but clinically definable </w:t>
      </w:r>
      <w:r w:rsidR="001F2A2D" w:rsidRPr="00FA1BCF">
        <w:rPr>
          <w:rFonts w:eastAsia="Times New Roman" w:cs="Times New Roman"/>
          <w:szCs w:val="24"/>
          <w:lang w:eastAsia="en-AU"/>
        </w:rPr>
        <w:t xml:space="preserve">chronic progressive </w:t>
      </w:r>
      <w:r w:rsidRPr="00FA1BCF">
        <w:rPr>
          <w:rFonts w:eastAsia="Times New Roman" w:cs="Times New Roman"/>
          <w:szCs w:val="24"/>
          <w:lang w:eastAsia="en-AU"/>
        </w:rPr>
        <w:t>disease for wh</w:t>
      </w:r>
      <w:r w:rsidR="00F841FB" w:rsidRPr="00FA1BCF">
        <w:rPr>
          <w:rFonts w:eastAsia="Times New Roman" w:cs="Times New Roman"/>
          <w:szCs w:val="24"/>
          <w:lang w:eastAsia="en-AU"/>
        </w:rPr>
        <w:t xml:space="preserve">ich the </w:t>
      </w:r>
      <w:r w:rsidR="009A438D" w:rsidRPr="00FA1BCF">
        <w:rPr>
          <w:rFonts w:eastAsia="Times New Roman" w:cs="Times New Roman"/>
          <w:szCs w:val="24"/>
          <w:lang w:eastAsia="en-AU"/>
        </w:rPr>
        <w:t xml:space="preserve">medicine </w:t>
      </w:r>
      <w:r w:rsidR="00F841FB" w:rsidRPr="00FA1BCF">
        <w:rPr>
          <w:rFonts w:eastAsia="Times New Roman" w:cs="Times New Roman"/>
          <w:szCs w:val="24"/>
          <w:lang w:eastAsia="en-AU"/>
        </w:rPr>
        <w:t xml:space="preserve">is </w:t>
      </w:r>
      <w:r w:rsidR="00B31576">
        <w:rPr>
          <w:rFonts w:eastAsia="Times New Roman" w:cs="Times New Roman"/>
          <w:szCs w:val="24"/>
          <w:lang w:eastAsia="en-AU"/>
        </w:rPr>
        <w:t>registere</w:t>
      </w:r>
      <w:r w:rsidRPr="00FA1BCF">
        <w:rPr>
          <w:rFonts w:eastAsia="Times New Roman" w:cs="Times New Roman"/>
          <w:szCs w:val="24"/>
          <w:lang w:eastAsia="en-AU"/>
        </w:rPr>
        <w:t>d for that indication by the Therapeutic Goods Administration</w:t>
      </w:r>
      <w:r w:rsidR="00510EE1">
        <w:rPr>
          <w:rFonts w:eastAsia="Times New Roman" w:cs="Times New Roman"/>
          <w:szCs w:val="24"/>
          <w:lang w:eastAsia="en-AU"/>
        </w:rPr>
        <w:t xml:space="preserve"> (TGA)</w:t>
      </w:r>
      <w:r w:rsidR="00861CF5" w:rsidRPr="00FA1BCF">
        <w:rPr>
          <w:rFonts w:eastAsia="Times New Roman" w:cs="Times New Roman"/>
          <w:szCs w:val="24"/>
          <w:lang w:eastAsia="en-AU"/>
        </w:rPr>
        <w:t>.</w:t>
      </w:r>
    </w:p>
    <w:p w:rsidR="002B342F" w:rsidRPr="00FA1BCF" w:rsidRDefault="002B342F" w:rsidP="002B342F">
      <w:pPr>
        <w:pStyle w:val="ListParagraph"/>
        <w:numPr>
          <w:ilvl w:val="0"/>
          <w:numId w:val="3"/>
        </w:numPr>
        <w:rPr>
          <w:rFonts w:eastAsia="Times New Roman" w:cs="Times New Roman"/>
          <w:szCs w:val="24"/>
          <w:lang w:eastAsia="en-AU"/>
        </w:rPr>
      </w:pPr>
      <w:r w:rsidRPr="00FA1BCF">
        <w:rPr>
          <w:rFonts w:eastAsia="Times New Roman" w:cs="Times New Roman"/>
          <w:szCs w:val="24"/>
          <w:lang w:eastAsia="en-AU"/>
        </w:rPr>
        <w:t>The disease is identifiable with reasonable diagnostic precision</w:t>
      </w:r>
      <w:r w:rsidR="00861CF5" w:rsidRPr="00FA1BCF">
        <w:rPr>
          <w:rFonts w:eastAsia="Times New Roman" w:cs="Times New Roman"/>
          <w:szCs w:val="24"/>
          <w:lang w:eastAsia="en-AU"/>
        </w:rPr>
        <w:t>.</w:t>
      </w:r>
    </w:p>
    <w:p w:rsidR="002B342F" w:rsidRPr="00FA1BCF" w:rsidRDefault="002B342F" w:rsidP="002B342F">
      <w:pPr>
        <w:pStyle w:val="ListParagraph"/>
        <w:numPr>
          <w:ilvl w:val="0"/>
          <w:numId w:val="3"/>
        </w:numPr>
        <w:rPr>
          <w:rFonts w:eastAsia="Times New Roman" w:cs="Times New Roman"/>
          <w:szCs w:val="24"/>
          <w:lang w:eastAsia="en-AU"/>
        </w:rPr>
      </w:pPr>
      <w:r w:rsidRPr="00FA1BCF">
        <w:rPr>
          <w:rFonts w:eastAsia="Times New Roman" w:cs="Times New Roman"/>
          <w:szCs w:val="24"/>
          <w:lang w:eastAsia="en-AU"/>
        </w:rPr>
        <w:t xml:space="preserve">Epidemiological and other studies provide </w:t>
      </w:r>
      <w:r w:rsidR="00E76A9D" w:rsidRPr="00FA1BCF">
        <w:rPr>
          <w:rFonts w:eastAsia="Times New Roman" w:cs="Times New Roman"/>
          <w:szCs w:val="24"/>
          <w:lang w:eastAsia="en-AU"/>
        </w:rPr>
        <w:t xml:space="preserve">sound scientific </w:t>
      </w:r>
      <w:r w:rsidRPr="00FA1BCF">
        <w:rPr>
          <w:rFonts w:eastAsia="Times New Roman" w:cs="Times New Roman"/>
          <w:szCs w:val="24"/>
          <w:lang w:eastAsia="en-AU"/>
        </w:rPr>
        <w:t>evidence that the disease causes a significant reduction in age-specific life expectancy for t</w:t>
      </w:r>
      <w:r w:rsidR="00515970" w:rsidRPr="00FA1BCF">
        <w:rPr>
          <w:rFonts w:eastAsia="Times New Roman" w:cs="Times New Roman"/>
          <w:szCs w:val="24"/>
          <w:lang w:eastAsia="en-AU"/>
        </w:rPr>
        <w:t xml:space="preserve">hose suffering from </w:t>
      </w:r>
      <w:r w:rsidR="00515970" w:rsidRPr="00FA1BCF">
        <w:rPr>
          <w:rFonts w:eastAsia="Times New Roman" w:cs="Times New Roman"/>
          <w:szCs w:val="24"/>
          <w:lang w:eastAsia="en-AU"/>
        </w:rPr>
        <w:lastRenderedPageBreak/>
        <w:t>the disease</w:t>
      </w:r>
      <w:r w:rsidR="00861CF5" w:rsidRPr="00FA1BCF">
        <w:rPr>
          <w:rFonts w:eastAsia="Times New Roman" w:cs="Times New Roman"/>
          <w:szCs w:val="24"/>
          <w:lang w:eastAsia="en-AU"/>
        </w:rPr>
        <w:t>,</w:t>
      </w:r>
      <w:r w:rsidR="00AA01C4" w:rsidRPr="00FA1BCF">
        <w:rPr>
          <w:rFonts w:eastAsia="Times New Roman" w:cs="Times New Roman"/>
          <w:szCs w:val="24"/>
          <w:lang w:eastAsia="en-AU"/>
        </w:rPr>
        <w:t xml:space="preserve"> </w:t>
      </w:r>
      <w:r w:rsidR="00AA01C4" w:rsidRPr="00E436E7">
        <w:rPr>
          <w:szCs w:val="24"/>
        </w:rPr>
        <w:t xml:space="preserve">or </w:t>
      </w:r>
      <w:r w:rsidR="00625893" w:rsidRPr="00E436E7">
        <w:rPr>
          <w:szCs w:val="24"/>
        </w:rPr>
        <w:t xml:space="preserve">significant </w:t>
      </w:r>
      <w:r w:rsidR="00AA01C4" w:rsidRPr="00E436E7">
        <w:rPr>
          <w:szCs w:val="24"/>
        </w:rPr>
        <w:t>ongoing disability</w:t>
      </w:r>
      <w:r w:rsidR="00AA01C4" w:rsidRPr="00FA1BCF">
        <w:rPr>
          <w:i/>
          <w:szCs w:val="24"/>
        </w:rPr>
        <w:t xml:space="preserve"> </w:t>
      </w:r>
      <w:r w:rsidR="00AA01C4" w:rsidRPr="00FA1BCF">
        <w:rPr>
          <w:szCs w:val="24"/>
        </w:rPr>
        <w:t>such that the patient would not live independently once the disease was fully manifest</w:t>
      </w:r>
      <w:r w:rsidR="00861CF5" w:rsidRPr="00FA1BCF">
        <w:rPr>
          <w:rFonts w:eastAsia="Times New Roman" w:cs="Times New Roman"/>
          <w:szCs w:val="24"/>
          <w:lang w:eastAsia="en-AU"/>
        </w:rPr>
        <w:t>.</w:t>
      </w:r>
    </w:p>
    <w:p w:rsidR="002B342F" w:rsidRPr="00FA1BCF" w:rsidRDefault="002B342F">
      <w:pPr>
        <w:pStyle w:val="ListParagraph"/>
        <w:numPr>
          <w:ilvl w:val="0"/>
          <w:numId w:val="3"/>
        </w:numPr>
        <w:rPr>
          <w:rFonts w:eastAsia="Times New Roman" w:cs="Times New Roman"/>
          <w:szCs w:val="24"/>
          <w:lang w:eastAsia="en-AU"/>
        </w:rPr>
      </w:pPr>
      <w:r w:rsidRPr="00FA1BCF">
        <w:rPr>
          <w:rFonts w:eastAsia="Times New Roman" w:cs="Times New Roman"/>
          <w:szCs w:val="24"/>
          <w:lang w:eastAsia="en-AU"/>
        </w:rPr>
        <w:t>The</w:t>
      </w:r>
      <w:r w:rsidR="00E76A9D" w:rsidRPr="00FA1BCF">
        <w:rPr>
          <w:rFonts w:eastAsia="Times New Roman" w:cs="Times New Roman"/>
          <w:szCs w:val="24"/>
          <w:lang w:eastAsia="en-AU"/>
        </w:rPr>
        <w:t xml:space="preserve"> PBAC considers that based on sound scientific evidence it is more likely th</w:t>
      </w:r>
      <w:r w:rsidR="006F63D6" w:rsidRPr="00FA1BCF">
        <w:rPr>
          <w:rFonts w:eastAsia="Times New Roman" w:cs="Times New Roman"/>
          <w:szCs w:val="24"/>
          <w:lang w:eastAsia="en-AU"/>
        </w:rPr>
        <w:t>a</w:t>
      </w:r>
      <w:r w:rsidR="00E76A9D" w:rsidRPr="00FA1BCF">
        <w:rPr>
          <w:rFonts w:eastAsia="Times New Roman" w:cs="Times New Roman"/>
          <w:szCs w:val="24"/>
          <w:lang w:eastAsia="en-AU"/>
        </w:rPr>
        <w:t xml:space="preserve">n not </w:t>
      </w:r>
      <w:r w:rsidRPr="00FA1BCF">
        <w:rPr>
          <w:rFonts w:eastAsia="Times New Roman" w:cs="Times New Roman"/>
          <w:szCs w:val="24"/>
          <w:lang w:eastAsia="en-AU"/>
        </w:rPr>
        <w:t>that a patient’s lifespan</w:t>
      </w:r>
      <w:r w:rsidR="00B005F8" w:rsidRPr="00FA1BCF">
        <w:rPr>
          <w:rFonts w:eastAsia="Times New Roman" w:cs="Times New Roman"/>
          <w:szCs w:val="24"/>
          <w:lang w:eastAsia="en-AU"/>
        </w:rPr>
        <w:t xml:space="preserve"> </w:t>
      </w:r>
      <w:r w:rsidRPr="00FA1BCF">
        <w:rPr>
          <w:rFonts w:eastAsia="Times New Roman" w:cs="Times New Roman"/>
          <w:szCs w:val="24"/>
          <w:lang w:eastAsia="en-AU"/>
        </w:rPr>
        <w:t xml:space="preserve">will be substantially extended </w:t>
      </w:r>
      <w:r w:rsidR="00B005F8" w:rsidRPr="00FA1BCF">
        <w:rPr>
          <w:rFonts w:eastAsia="Times New Roman" w:cs="Times New Roman"/>
          <w:szCs w:val="24"/>
          <w:lang w:eastAsia="en-AU"/>
        </w:rPr>
        <w:t xml:space="preserve">or </w:t>
      </w:r>
      <w:r w:rsidR="006F63D6" w:rsidRPr="00FA1BCF">
        <w:rPr>
          <w:rFonts w:eastAsia="Times New Roman" w:cs="Times New Roman"/>
          <w:szCs w:val="24"/>
          <w:lang w:eastAsia="en-AU"/>
        </w:rPr>
        <w:t xml:space="preserve">the </w:t>
      </w:r>
      <w:r w:rsidR="00B005F8" w:rsidRPr="00FA1BCF">
        <w:rPr>
          <w:rFonts w:eastAsia="Times New Roman" w:cs="Times New Roman"/>
          <w:szCs w:val="24"/>
          <w:lang w:eastAsia="en-AU"/>
        </w:rPr>
        <w:t>level and duration of disability</w:t>
      </w:r>
      <w:r w:rsidR="00B63748" w:rsidRPr="00FA1BCF">
        <w:rPr>
          <w:rFonts w:eastAsia="Times New Roman" w:cs="Times New Roman"/>
          <w:szCs w:val="24"/>
          <w:lang w:eastAsia="en-AU"/>
        </w:rPr>
        <w:t xml:space="preserve"> </w:t>
      </w:r>
      <w:r w:rsidR="00F52F5C" w:rsidRPr="00FA1BCF">
        <w:rPr>
          <w:rFonts w:eastAsia="Times New Roman" w:cs="Times New Roman"/>
          <w:szCs w:val="24"/>
          <w:lang w:eastAsia="en-AU"/>
        </w:rPr>
        <w:t xml:space="preserve">substantially </w:t>
      </w:r>
      <w:r w:rsidR="00B63748" w:rsidRPr="00FA1BCF">
        <w:rPr>
          <w:rFonts w:eastAsia="Times New Roman" w:cs="Times New Roman"/>
          <w:szCs w:val="24"/>
          <w:lang w:eastAsia="en-AU"/>
        </w:rPr>
        <w:t>reduced</w:t>
      </w:r>
      <w:r w:rsidR="00B005F8" w:rsidRPr="00FA1BCF">
        <w:rPr>
          <w:rFonts w:eastAsia="Times New Roman" w:cs="Times New Roman"/>
          <w:szCs w:val="24"/>
          <w:lang w:eastAsia="en-AU"/>
        </w:rPr>
        <w:t xml:space="preserve"> </w:t>
      </w:r>
      <w:r w:rsidRPr="00FA1BCF">
        <w:rPr>
          <w:rFonts w:eastAsia="Times New Roman" w:cs="Times New Roman"/>
          <w:szCs w:val="24"/>
          <w:lang w:eastAsia="en-AU"/>
        </w:rPr>
        <w:t>as a direct con</w:t>
      </w:r>
      <w:r w:rsidR="00B005F8" w:rsidRPr="00FA1BCF">
        <w:rPr>
          <w:rFonts w:eastAsia="Times New Roman" w:cs="Times New Roman"/>
          <w:szCs w:val="24"/>
          <w:lang w:eastAsia="en-AU"/>
        </w:rPr>
        <w:t>sequence of the use of the d</w:t>
      </w:r>
      <w:r w:rsidR="00E76A9D" w:rsidRPr="00FA1BCF">
        <w:rPr>
          <w:rFonts w:eastAsia="Times New Roman" w:cs="Times New Roman"/>
          <w:szCs w:val="24"/>
          <w:lang w:eastAsia="en-AU"/>
        </w:rPr>
        <w:t>rug</w:t>
      </w:r>
      <w:r w:rsidR="00861CF5" w:rsidRPr="00FA1BCF">
        <w:rPr>
          <w:rFonts w:eastAsia="Times New Roman" w:cs="Times New Roman"/>
          <w:szCs w:val="24"/>
          <w:lang w:eastAsia="en-AU"/>
        </w:rPr>
        <w:t>.</w:t>
      </w:r>
    </w:p>
    <w:p w:rsidR="002B342F" w:rsidRPr="00FA1BCF" w:rsidRDefault="007E3A1B" w:rsidP="00BE6B72">
      <w:pPr>
        <w:pStyle w:val="ListParagraph"/>
        <w:numPr>
          <w:ilvl w:val="0"/>
          <w:numId w:val="3"/>
        </w:numPr>
        <w:jc w:val="both"/>
        <w:outlineLvl w:val="1"/>
        <w:rPr>
          <w:szCs w:val="24"/>
        </w:rPr>
      </w:pPr>
      <w:r w:rsidRPr="00FA1BCF">
        <w:rPr>
          <w:szCs w:val="24"/>
        </w:rPr>
        <w:t xml:space="preserve">That it would not be practical to confirm this </w:t>
      </w:r>
      <w:r w:rsidR="00E76A9D" w:rsidRPr="00FA1BCF">
        <w:rPr>
          <w:szCs w:val="24"/>
        </w:rPr>
        <w:t xml:space="preserve">through further studies </w:t>
      </w:r>
      <w:r w:rsidRPr="00FA1BCF">
        <w:rPr>
          <w:szCs w:val="24"/>
        </w:rPr>
        <w:t xml:space="preserve">within </w:t>
      </w:r>
      <w:r w:rsidR="00861CF5" w:rsidRPr="00FA1BCF">
        <w:rPr>
          <w:szCs w:val="24"/>
        </w:rPr>
        <w:t>five</w:t>
      </w:r>
      <w:r w:rsidRPr="00FA1BCF">
        <w:rPr>
          <w:szCs w:val="24"/>
        </w:rPr>
        <w:t xml:space="preserve"> years because of the rarity </w:t>
      </w:r>
      <w:r w:rsidR="00E76A9D" w:rsidRPr="00FA1BCF">
        <w:rPr>
          <w:szCs w:val="24"/>
        </w:rPr>
        <w:t xml:space="preserve">and rate of progression </w:t>
      </w:r>
      <w:r w:rsidRPr="00FA1BCF">
        <w:rPr>
          <w:szCs w:val="24"/>
        </w:rPr>
        <w:t>of the diseas</w:t>
      </w:r>
      <w:r w:rsidR="007E3D93" w:rsidRPr="00FA1BCF">
        <w:rPr>
          <w:szCs w:val="24"/>
        </w:rPr>
        <w:t>e</w:t>
      </w:r>
      <w:r w:rsidR="00861CF5" w:rsidRPr="00FA1BCF">
        <w:rPr>
          <w:rFonts w:eastAsia="Times New Roman" w:cs="Times New Roman"/>
          <w:szCs w:val="24"/>
          <w:lang w:eastAsia="en-AU"/>
        </w:rPr>
        <w:t>.</w:t>
      </w:r>
    </w:p>
    <w:p w:rsidR="002B342F" w:rsidRPr="00FA1BCF" w:rsidRDefault="002B342F" w:rsidP="002B342F">
      <w:pPr>
        <w:pStyle w:val="ListParagraph"/>
        <w:numPr>
          <w:ilvl w:val="0"/>
          <w:numId w:val="3"/>
        </w:numPr>
        <w:rPr>
          <w:rFonts w:eastAsia="Times New Roman" w:cs="Times New Roman"/>
          <w:szCs w:val="24"/>
          <w:lang w:eastAsia="en-AU"/>
        </w:rPr>
      </w:pPr>
      <w:r w:rsidRPr="00FA1BCF">
        <w:rPr>
          <w:rFonts w:eastAsia="Times New Roman" w:cs="Times New Roman"/>
          <w:szCs w:val="24"/>
          <w:lang w:eastAsia="en-AU"/>
        </w:rPr>
        <w:t xml:space="preserve">There is no alternative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listed on the PBS or available for public hospital in-patients which can be used as </w:t>
      </w:r>
      <w:r w:rsidR="00A26B5E" w:rsidRPr="00FA1BCF">
        <w:rPr>
          <w:rFonts w:eastAsia="Times New Roman" w:cs="Times New Roman"/>
          <w:szCs w:val="24"/>
          <w:lang w:eastAsia="en-AU"/>
        </w:rPr>
        <w:t>effective</w:t>
      </w:r>
      <w:r w:rsidRPr="00FA1BCF">
        <w:rPr>
          <w:rFonts w:eastAsia="Times New Roman" w:cs="Times New Roman"/>
          <w:szCs w:val="24"/>
          <w:lang w:eastAsia="en-AU"/>
        </w:rPr>
        <w:t xml:space="preserve"> treatment for the disease. However, the availability of an alternative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under the </w:t>
      </w:r>
      <w:r w:rsidR="006F63D6" w:rsidRPr="00FA1BCF">
        <w:rPr>
          <w:rFonts w:eastAsia="Times New Roman" w:cs="Times New Roman"/>
          <w:szCs w:val="24"/>
          <w:lang w:eastAsia="en-AU"/>
        </w:rPr>
        <w:t xml:space="preserve">MRDP </w:t>
      </w:r>
      <w:r w:rsidRPr="00FA1BCF">
        <w:rPr>
          <w:rFonts w:eastAsia="Times New Roman" w:cs="Times New Roman"/>
          <w:szCs w:val="24"/>
          <w:lang w:eastAsia="en-AU"/>
        </w:rPr>
        <w:t xml:space="preserve">does not disqualify the proposed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from consideration for the</w:t>
      </w:r>
      <w:r w:rsidR="00A26B5E" w:rsidRPr="00FA1BCF">
        <w:rPr>
          <w:rFonts w:eastAsia="Times New Roman" w:cs="Times New Roman"/>
          <w:szCs w:val="24"/>
          <w:lang w:eastAsia="en-AU"/>
        </w:rPr>
        <w:t xml:space="preserve"> </w:t>
      </w:r>
      <w:r w:rsidR="006F63D6" w:rsidRPr="00FA1BCF">
        <w:rPr>
          <w:rFonts w:eastAsia="Times New Roman" w:cs="Times New Roman"/>
          <w:szCs w:val="24"/>
          <w:lang w:eastAsia="en-AU"/>
        </w:rPr>
        <w:t>MRDP</w:t>
      </w:r>
      <w:r w:rsidR="00861CF5" w:rsidRPr="00FA1BCF">
        <w:rPr>
          <w:rFonts w:eastAsia="Times New Roman" w:cs="Times New Roman"/>
          <w:szCs w:val="24"/>
          <w:lang w:eastAsia="en-AU"/>
        </w:rPr>
        <w:t>.</w:t>
      </w:r>
    </w:p>
    <w:p w:rsidR="002B342F" w:rsidRPr="00FA1BCF" w:rsidRDefault="002B342F" w:rsidP="002B342F">
      <w:pPr>
        <w:pStyle w:val="ListParagraph"/>
        <w:numPr>
          <w:ilvl w:val="0"/>
          <w:numId w:val="3"/>
        </w:numPr>
        <w:rPr>
          <w:rFonts w:eastAsia="Times New Roman" w:cs="Times New Roman"/>
          <w:szCs w:val="24"/>
          <w:lang w:eastAsia="en-AU"/>
        </w:rPr>
      </w:pPr>
      <w:r w:rsidRPr="00FA1BCF">
        <w:rPr>
          <w:rFonts w:eastAsia="Times New Roman" w:cs="Times New Roman"/>
          <w:szCs w:val="24"/>
          <w:lang w:eastAsia="en-AU"/>
        </w:rPr>
        <w:t>There is no alternative non-</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therapeutic modality (e.g. </w:t>
      </w:r>
      <w:r w:rsidR="00F52F5C" w:rsidRPr="00FA1BCF">
        <w:rPr>
          <w:rFonts w:eastAsia="Times New Roman" w:cs="Times New Roman"/>
          <w:szCs w:val="24"/>
          <w:lang w:eastAsia="en-AU"/>
        </w:rPr>
        <w:t>s</w:t>
      </w:r>
      <w:r w:rsidRPr="00FA1BCF">
        <w:rPr>
          <w:rFonts w:eastAsia="Times New Roman" w:cs="Times New Roman"/>
          <w:szCs w:val="24"/>
          <w:lang w:eastAsia="en-AU"/>
        </w:rPr>
        <w:t>urgery, radiotherapy) which is recognised by medical authorities as a suitable and cost</w:t>
      </w:r>
      <w:r w:rsidR="00861CF5" w:rsidRPr="00FA1BCF">
        <w:rPr>
          <w:rFonts w:eastAsia="Times New Roman" w:cs="Times New Roman"/>
          <w:szCs w:val="24"/>
          <w:lang w:eastAsia="en-AU"/>
        </w:rPr>
        <w:t>-</w:t>
      </w:r>
      <w:r w:rsidRPr="00FA1BCF">
        <w:rPr>
          <w:rFonts w:eastAsia="Times New Roman" w:cs="Times New Roman"/>
          <w:szCs w:val="24"/>
          <w:lang w:eastAsia="en-AU"/>
        </w:rPr>
        <w:t>effective treatment for this condition</w:t>
      </w:r>
      <w:r w:rsidR="00861CF5" w:rsidRPr="00FA1BCF">
        <w:rPr>
          <w:rFonts w:eastAsia="Times New Roman" w:cs="Times New Roman"/>
          <w:szCs w:val="24"/>
          <w:lang w:eastAsia="en-AU"/>
        </w:rPr>
        <w:t>.</w:t>
      </w:r>
    </w:p>
    <w:p w:rsidR="002B342F" w:rsidRPr="00FA1BCF" w:rsidRDefault="002B342F" w:rsidP="002B342F">
      <w:pPr>
        <w:pStyle w:val="ListParagraph"/>
        <w:numPr>
          <w:ilvl w:val="0"/>
          <w:numId w:val="3"/>
        </w:numPr>
        <w:rPr>
          <w:rFonts w:eastAsia="Times New Roman" w:cs="Times New Roman"/>
          <w:szCs w:val="24"/>
          <w:lang w:eastAsia="en-AU"/>
        </w:rPr>
      </w:pPr>
      <w:r w:rsidRPr="00FA1BCF">
        <w:rPr>
          <w:rFonts w:eastAsia="Times New Roman" w:cs="Times New Roman"/>
          <w:szCs w:val="24"/>
          <w:lang w:eastAsia="en-AU"/>
        </w:rPr>
        <w:t xml:space="preserve">The cost of the </w:t>
      </w:r>
      <w:r w:rsidR="009A438D" w:rsidRPr="00FA1BCF">
        <w:rPr>
          <w:rFonts w:eastAsia="Times New Roman" w:cs="Times New Roman"/>
          <w:szCs w:val="24"/>
          <w:lang w:eastAsia="en-AU"/>
        </w:rPr>
        <w:t>medicine</w:t>
      </w:r>
      <w:r w:rsidR="00861CF5" w:rsidRPr="00FA1BCF">
        <w:rPr>
          <w:rFonts w:eastAsia="Times New Roman" w:cs="Times New Roman"/>
          <w:szCs w:val="24"/>
          <w:lang w:eastAsia="en-AU"/>
        </w:rPr>
        <w:t>,</w:t>
      </w:r>
      <w:r w:rsidR="009A438D" w:rsidRPr="00FA1BCF">
        <w:rPr>
          <w:rFonts w:eastAsia="Times New Roman" w:cs="Times New Roman"/>
          <w:szCs w:val="24"/>
          <w:lang w:eastAsia="en-AU"/>
        </w:rPr>
        <w:t xml:space="preserve"> </w:t>
      </w:r>
      <w:r w:rsidRPr="00FA1BCF">
        <w:rPr>
          <w:rFonts w:eastAsia="Times New Roman" w:cs="Times New Roman"/>
          <w:szCs w:val="24"/>
          <w:lang w:eastAsia="en-AU"/>
        </w:rPr>
        <w:t xml:space="preserve">defined as the cost per dose multiplied by the expected number </w:t>
      </w:r>
      <w:r w:rsidR="00624208" w:rsidRPr="00FA1BCF">
        <w:rPr>
          <w:rFonts w:eastAsia="Times New Roman" w:cs="Times New Roman"/>
          <w:szCs w:val="24"/>
          <w:lang w:eastAsia="en-AU"/>
        </w:rPr>
        <w:t>o</w:t>
      </w:r>
      <w:r w:rsidRPr="00FA1BCF">
        <w:rPr>
          <w:rFonts w:eastAsia="Times New Roman" w:cs="Times New Roman"/>
          <w:szCs w:val="24"/>
          <w:lang w:eastAsia="en-AU"/>
        </w:rPr>
        <w:t>f doses in one year for the patient, would constitute an unreasonable financial burden on the patient or his/her guardian</w:t>
      </w:r>
      <w:r w:rsidR="00861CF5" w:rsidRPr="00FA1BCF">
        <w:rPr>
          <w:rFonts w:eastAsia="Times New Roman" w:cs="Times New Roman"/>
          <w:szCs w:val="24"/>
          <w:lang w:eastAsia="en-AU"/>
        </w:rPr>
        <w:t>.</w:t>
      </w:r>
    </w:p>
    <w:p w:rsidR="00CC79FE" w:rsidRPr="00E436E7" w:rsidRDefault="00FB010E" w:rsidP="00E436E7">
      <w:pPr>
        <w:pStyle w:val="ListParagraph"/>
        <w:numPr>
          <w:ilvl w:val="0"/>
          <w:numId w:val="3"/>
        </w:numPr>
        <w:jc w:val="both"/>
        <w:outlineLvl w:val="1"/>
        <w:rPr>
          <w:rFonts w:eastAsia="Times New Roman" w:cs="Times New Roman"/>
          <w:szCs w:val="24"/>
          <w:lang w:eastAsia="en-AU"/>
        </w:rPr>
      </w:pPr>
      <w:r w:rsidRPr="00FA1BCF">
        <w:rPr>
          <w:szCs w:val="24"/>
        </w:rPr>
        <w:t xml:space="preserve">The sponsoring company demonstrates </w:t>
      </w:r>
      <w:r w:rsidR="00861CF5" w:rsidRPr="00FA1BCF">
        <w:rPr>
          <w:szCs w:val="24"/>
        </w:rPr>
        <w:t xml:space="preserve">that </w:t>
      </w:r>
      <w:r w:rsidRPr="00FA1BCF">
        <w:rPr>
          <w:szCs w:val="24"/>
        </w:rPr>
        <w:t xml:space="preserve">it is undertaking an ongoing </w:t>
      </w:r>
      <w:r w:rsidR="00861CF5" w:rsidRPr="00FA1BCF">
        <w:rPr>
          <w:szCs w:val="24"/>
        </w:rPr>
        <w:t>p</w:t>
      </w:r>
      <w:r w:rsidR="008B29C7" w:rsidRPr="00FA1BCF">
        <w:rPr>
          <w:szCs w:val="24"/>
        </w:rPr>
        <w:t xml:space="preserve">rogramme </w:t>
      </w:r>
      <w:r w:rsidRPr="00FA1BCF">
        <w:rPr>
          <w:szCs w:val="24"/>
        </w:rPr>
        <w:t xml:space="preserve">to clarify the clinical benefits or agrees to actively participate in and </w:t>
      </w:r>
      <w:r w:rsidR="00303051" w:rsidRPr="00FA1BCF">
        <w:rPr>
          <w:szCs w:val="24"/>
        </w:rPr>
        <w:t xml:space="preserve">financially </w:t>
      </w:r>
      <w:r w:rsidRPr="00FA1BCF">
        <w:rPr>
          <w:szCs w:val="24"/>
        </w:rPr>
        <w:t>support such a program.</w:t>
      </w:r>
    </w:p>
    <w:p w:rsidR="00635BC6" w:rsidRPr="00FA1BCF" w:rsidRDefault="00635BC6">
      <w:pPr>
        <w:ind w:left="360"/>
        <w:jc w:val="both"/>
        <w:rPr>
          <w:rFonts w:eastAsia="Times New Roman" w:cs="Times New Roman"/>
          <w:szCs w:val="24"/>
          <w:lang w:eastAsia="en-AU"/>
        </w:rPr>
      </w:pPr>
      <w:r w:rsidRPr="00FA1BCF">
        <w:rPr>
          <w:rFonts w:eastAsia="Times New Roman" w:cs="Times New Roman"/>
          <w:szCs w:val="24"/>
          <w:lang w:eastAsia="en-AU"/>
        </w:rPr>
        <w:t xml:space="preserve">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noted the concerns of patient groups and industry about defining </w:t>
      </w:r>
      <w:r w:rsidR="00861CF5" w:rsidRPr="00FA1BCF">
        <w:rPr>
          <w:rFonts w:eastAsia="Times New Roman" w:cs="Times New Roman"/>
          <w:szCs w:val="24"/>
          <w:lang w:eastAsia="en-AU"/>
        </w:rPr>
        <w:t>‘</w:t>
      </w:r>
      <w:r w:rsidRPr="00FA1BCF">
        <w:rPr>
          <w:rFonts w:eastAsia="Times New Roman" w:cs="Times New Roman"/>
          <w:szCs w:val="24"/>
          <w:lang w:eastAsia="en-AU"/>
        </w:rPr>
        <w:t>rare</w:t>
      </w:r>
      <w:r w:rsidR="00861CF5" w:rsidRPr="00FA1BCF">
        <w:rPr>
          <w:rFonts w:eastAsia="Times New Roman" w:cs="Times New Roman"/>
          <w:szCs w:val="24"/>
          <w:lang w:eastAsia="en-AU"/>
        </w:rPr>
        <w:t>’.</w:t>
      </w:r>
      <w:r w:rsidRPr="00FA1BCF">
        <w:rPr>
          <w:rFonts w:eastAsia="Times New Roman" w:cs="Times New Roman"/>
          <w:szCs w:val="24"/>
          <w:lang w:eastAsia="en-AU"/>
        </w:rPr>
        <w:t xml:space="preserve"> </w:t>
      </w:r>
      <w:r w:rsidR="00861CF5" w:rsidRPr="00FA1BCF">
        <w:rPr>
          <w:rFonts w:eastAsia="Times New Roman" w:cs="Times New Roman"/>
          <w:szCs w:val="24"/>
          <w:lang w:eastAsia="en-AU"/>
        </w:rPr>
        <w:t>T</w:t>
      </w:r>
      <w:r w:rsidRPr="00FA1BCF">
        <w:rPr>
          <w:rFonts w:eastAsia="Times New Roman" w:cs="Times New Roman"/>
          <w:szCs w:val="24"/>
          <w:lang w:eastAsia="en-AU"/>
        </w:rPr>
        <w:t xml:space="preserve">his is addressed in Recommendation 7. </w:t>
      </w:r>
      <w:r w:rsidR="00A363A5">
        <w:rPr>
          <w:rFonts w:eastAsia="Times New Roman" w:cs="Times New Roman"/>
          <w:szCs w:val="24"/>
          <w:lang w:eastAsia="en-AU"/>
        </w:rPr>
        <w:t>The Reference Group</w:t>
      </w:r>
      <w:r w:rsidRPr="00FA1BCF">
        <w:rPr>
          <w:rFonts w:eastAsia="Times New Roman" w:cs="Times New Roman"/>
          <w:szCs w:val="24"/>
          <w:lang w:eastAsia="en-AU"/>
        </w:rPr>
        <w:t xml:space="preserve"> also noted the concerns about the interpretation of what </w:t>
      </w:r>
      <w:r w:rsidR="00861CF5" w:rsidRPr="00FA1BCF">
        <w:rPr>
          <w:rFonts w:eastAsia="Times New Roman" w:cs="Times New Roman"/>
          <w:szCs w:val="24"/>
          <w:lang w:eastAsia="en-AU"/>
        </w:rPr>
        <w:t xml:space="preserve">the </w:t>
      </w:r>
      <w:r w:rsidRPr="00FA1BCF">
        <w:rPr>
          <w:rFonts w:eastAsia="Times New Roman" w:cs="Times New Roman"/>
          <w:szCs w:val="24"/>
          <w:lang w:eastAsia="en-AU"/>
        </w:rPr>
        <w:t xml:space="preserve">PBAC would consider </w:t>
      </w:r>
      <w:r w:rsidR="00F52F5C" w:rsidRPr="00FA1BCF">
        <w:rPr>
          <w:rFonts w:eastAsia="Times New Roman" w:cs="Times New Roman"/>
          <w:szCs w:val="24"/>
          <w:lang w:eastAsia="en-AU"/>
        </w:rPr>
        <w:t xml:space="preserve">a </w:t>
      </w:r>
      <w:r w:rsidRPr="00FA1BCF">
        <w:rPr>
          <w:rFonts w:eastAsia="Times New Roman" w:cs="Times New Roman"/>
          <w:szCs w:val="24"/>
          <w:lang w:eastAsia="en-AU"/>
        </w:rPr>
        <w:t>significant or substantial reduction in life expectancy. However, there is a clear preceden</w:t>
      </w:r>
      <w:r w:rsidR="00F52F5C" w:rsidRPr="00FA1BCF">
        <w:rPr>
          <w:rFonts w:eastAsia="Times New Roman" w:cs="Times New Roman"/>
          <w:szCs w:val="24"/>
          <w:lang w:eastAsia="en-AU"/>
        </w:rPr>
        <w:t>t</w:t>
      </w:r>
      <w:r w:rsidRPr="00FA1BCF">
        <w:rPr>
          <w:rFonts w:eastAsia="Times New Roman" w:cs="Times New Roman"/>
          <w:szCs w:val="24"/>
          <w:lang w:eastAsia="en-AU"/>
        </w:rPr>
        <w:t xml:space="preserve"> established with the diseases for which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 xml:space="preserve">are now listed. Patient groups and </w:t>
      </w:r>
      <w:r w:rsidR="00B45ED2" w:rsidRPr="00FA1BCF">
        <w:rPr>
          <w:rFonts w:eastAsia="Times New Roman" w:cs="Times New Roman"/>
          <w:szCs w:val="24"/>
          <w:lang w:eastAsia="en-AU"/>
        </w:rPr>
        <w:t xml:space="preserve">industry submissions also expressed a desire to see reference to quality of life as well as reduced life expectancy. After consideration of the nature of conditions for which the </w:t>
      </w:r>
      <w:r w:rsidR="005012B9" w:rsidRPr="00FA1BCF">
        <w:rPr>
          <w:rFonts w:eastAsia="Times New Roman" w:cs="Times New Roman"/>
          <w:szCs w:val="24"/>
          <w:lang w:eastAsia="en-AU"/>
        </w:rPr>
        <w:t>p</w:t>
      </w:r>
      <w:r w:rsidR="008B29C7" w:rsidRPr="00FA1BCF">
        <w:rPr>
          <w:rFonts w:eastAsia="Times New Roman" w:cs="Times New Roman"/>
          <w:szCs w:val="24"/>
          <w:lang w:eastAsia="en-AU"/>
        </w:rPr>
        <w:t xml:space="preserve">rogramme </w:t>
      </w:r>
      <w:r w:rsidR="00B45ED2" w:rsidRPr="00FA1BCF">
        <w:rPr>
          <w:rFonts w:eastAsia="Times New Roman" w:cs="Times New Roman"/>
          <w:szCs w:val="24"/>
          <w:lang w:eastAsia="en-AU"/>
        </w:rPr>
        <w:t xml:space="preserve">was initially established, the </w:t>
      </w:r>
      <w:r w:rsidR="00F11CA5" w:rsidRPr="00FA1BCF">
        <w:rPr>
          <w:rFonts w:eastAsia="Times New Roman" w:cs="Times New Roman"/>
          <w:szCs w:val="24"/>
          <w:lang w:eastAsia="en-AU"/>
        </w:rPr>
        <w:t>reference group</w:t>
      </w:r>
      <w:r w:rsidR="00B45ED2" w:rsidRPr="00FA1BCF">
        <w:rPr>
          <w:rFonts w:eastAsia="Times New Roman" w:cs="Times New Roman"/>
          <w:szCs w:val="24"/>
          <w:lang w:eastAsia="en-AU"/>
        </w:rPr>
        <w:t xml:space="preserve"> preferred the more explicit term </w:t>
      </w:r>
      <w:r w:rsidR="005012B9" w:rsidRPr="00FA1BCF">
        <w:rPr>
          <w:rFonts w:eastAsia="Times New Roman" w:cs="Times New Roman"/>
          <w:szCs w:val="24"/>
          <w:lang w:eastAsia="en-AU"/>
        </w:rPr>
        <w:t>‘</w:t>
      </w:r>
      <w:r w:rsidR="00B45ED2" w:rsidRPr="00FA1BCF">
        <w:rPr>
          <w:rFonts w:eastAsia="Times New Roman" w:cs="Times New Roman"/>
          <w:szCs w:val="24"/>
          <w:lang w:eastAsia="en-AU"/>
        </w:rPr>
        <w:t>disability</w:t>
      </w:r>
      <w:r w:rsidR="005012B9" w:rsidRPr="00FA1BCF">
        <w:rPr>
          <w:rFonts w:eastAsia="Times New Roman" w:cs="Times New Roman"/>
          <w:szCs w:val="24"/>
          <w:lang w:eastAsia="en-AU"/>
        </w:rPr>
        <w:t>’</w:t>
      </w:r>
      <w:r w:rsidR="00B45ED2" w:rsidRPr="00FA1BCF">
        <w:rPr>
          <w:rFonts w:eastAsia="Times New Roman" w:cs="Times New Roman"/>
          <w:szCs w:val="24"/>
          <w:lang w:eastAsia="en-AU"/>
        </w:rPr>
        <w:t xml:space="preserve">. </w:t>
      </w:r>
    </w:p>
    <w:p w:rsidR="00CC79FE" w:rsidRPr="00FA1BCF" w:rsidRDefault="00CC79FE" w:rsidP="00E436E7">
      <w:pPr>
        <w:ind w:left="360"/>
        <w:jc w:val="both"/>
        <w:rPr>
          <w:rFonts w:eastAsia="Times New Roman" w:cs="Times New Roman"/>
          <w:szCs w:val="24"/>
          <w:lang w:eastAsia="en-AU"/>
        </w:rPr>
      </w:pPr>
      <w:r w:rsidRPr="00FA1BCF">
        <w:rPr>
          <w:rFonts w:eastAsia="Times New Roman" w:cs="Times New Roman"/>
          <w:szCs w:val="24"/>
          <w:lang w:eastAsia="en-AU"/>
        </w:rPr>
        <w:t xml:space="preserve">The </w:t>
      </w:r>
      <w:r w:rsidR="006C699D" w:rsidRPr="00FA1BCF">
        <w:rPr>
          <w:rFonts w:eastAsia="Times New Roman" w:cs="Times New Roman"/>
          <w:szCs w:val="24"/>
          <w:lang w:eastAsia="en-AU"/>
        </w:rPr>
        <w:t xml:space="preserve">Medicines for </w:t>
      </w:r>
      <w:r w:rsidRPr="00FA1BCF">
        <w:rPr>
          <w:rFonts w:eastAsia="Times New Roman" w:cs="Times New Roman"/>
          <w:szCs w:val="24"/>
          <w:lang w:eastAsia="en-AU"/>
        </w:rPr>
        <w:t>Rare Disease</w:t>
      </w:r>
      <w:r w:rsidR="005012B9" w:rsidRPr="00FA1BCF">
        <w:rPr>
          <w:rFonts w:eastAsia="Times New Roman" w:cs="Times New Roman"/>
          <w:szCs w:val="24"/>
          <w:lang w:eastAsia="en-AU"/>
        </w:rPr>
        <w:t>s</w:t>
      </w:r>
      <w:r w:rsidRPr="00FA1BCF">
        <w:rPr>
          <w:rFonts w:eastAsia="Times New Roman" w:cs="Times New Roman"/>
          <w:szCs w:val="24"/>
          <w:lang w:eastAsia="en-AU"/>
        </w:rPr>
        <w:t xml:space="preserve"> Programme should </w:t>
      </w:r>
      <w:r w:rsidR="006909B1" w:rsidRPr="00FA1BCF">
        <w:rPr>
          <w:rFonts w:eastAsia="Times New Roman" w:cs="Times New Roman"/>
          <w:szCs w:val="24"/>
          <w:lang w:eastAsia="en-AU"/>
        </w:rPr>
        <w:t xml:space="preserve">incorporate </w:t>
      </w:r>
      <w:r w:rsidR="00BA7C3A" w:rsidRPr="00FA1BCF">
        <w:rPr>
          <w:rFonts w:eastAsia="Times New Roman" w:cs="Times New Roman"/>
          <w:szCs w:val="24"/>
          <w:lang w:eastAsia="en-AU"/>
        </w:rPr>
        <w:t>a proc</w:t>
      </w:r>
      <w:r w:rsidR="00211BE4" w:rsidRPr="00FA1BCF">
        <w:rPr>
          <w:rFonts w:eastAsia="Times New Roman" w:cs="Times New Roman"/>
          <w:szCs w:val="24"/>
          <w:lang w:eastAsia="en-AU"/>
        </w:rPr>
        <w:t xml:space="preserve">ess to ensure that </w:t>
      </w:r>
      <w:r w:rsidR="00625893" w:rsidRPr="00FA1BCF">
        <w:rPr>
          <w:rFonts w:eastAsia="Times New Roman" w:cs="Times New Roman"/>
          <w:szCs w:val="24"/>
          <w:lang w:eastAsia="en-AU"/>
        </w:rPr>
        <w:t xml:space="preserve">appropriate </w:t>
      </w:r>
      <w:r w:rsidR="00211BE4" w:rsidRPr="00FA1BCF">
        <w:rPr>
          <w:rFonts w:eastAsia="Times New Roman" w:cs="Times New Roman"/>
          <w:szCs w:val="24"/>
          <w:lang w:eastAsia="en-AU"/>
        </w:rPr>
        <w:t xml:space="preserve">expert input </w:t>
      </w:r>
      <w:r w:rsidR="00BA7C3A" w:rsidRPr="00FA1BCF">
        <w:rPr>
          <w:rFonts w:eastAsia="Times New Roman" w:cs="Times New Roman"/>
          <w:szCs w:val="24"/>
          <w:lang w:eastAsia="en-AU"/>
        </w:rPr>
        <w:t xml:space="preserve">is </w:t>
      </w:r>
      <w:r w:rsidR="00211BE4" w:rsidRPr="00FA1BCF">
        <w:rPr>
          <w:rFonts w:eastAsia="Times New Roman" w:cs="Times New Roman"/>
          <w:szCs w:val="24"/>
          <w:lang w:eastAsia="en-AU"/>
        </w:rPr>
        <w:t xml:space="preserve">incorporated in the advice provided to </w:t>
      </w:r>
      <w:r w:rsidR="005012B9" w:rsidRPr="00FA1BCF">
        <w:rPr>
          <w:rFonts w:eastAsia="Times New Roman" w:cs="Times New Roman"/>
          <w:szCs w:val="24"/>
          <w:lang w:eastAsia="en-AU"/>
        </w:rPr>
        <w:t xml:space="preserve">the </w:t>
      </w:r>
      <w:r w:rsidR="00211BE4" w:rsidRPr="00FA1BCF">
        <w:rPr>
          <w:rFonts w:eastAsia="Times New Roman" w:cs="Times New Roman"/>
          <w:szCs w:val="24"/>
          <w:lang w:eastAsia="en-AU"/>
        </w:rPr>
        <w:t xml:space="preserve">PBAC </w:t>
      </w:r>
      <w:r w:rsidR="00E02948" w:rsidRPr="00FA1BCF">
        <w:rPr>
          <w:rFonts w:eastAsia="Times New Roman" w:cs="Times New Roman"/>
          <w:szCs w:val="24"/>
          <w:lang w:eastAsia="en-AU"/>
        </w:rPr>
        <w:t>(see Recommendation 6).</w:t>
      </w:r>
      <w:r w:rsidRPr="00FA1BCF">
        <w:rPr>
          <w:rFonts w:eastAsia="Times New Roman" w:cs="Times New Roman"/>
          <w:szCs w:val="24"/>
          <w:lang w:eastAsia="en-AU"/>
        </w:rPr>
        <w:t xml:space="preserve"> However, the PBAC would remain the body making any decisions regarding recommendations </w:t>
      </w:r>
      <w:r w:rsidR="00E622B4" w:rsidRPr="00FA1BCF">
        <w:rPr>
          <w:rFonts w:eastAsia="Times New Roman" w:cs="Times New Roman"/>
          <w:szCs w:val="24"/>
          <w:lang w:eastAsia="en-AU"/>
        </w:rPr>
        <w:t xml:space="preserve">to the Minister </w:t>
      </w:r>
      <w:r w:rsidRPr="00FA1BCF">
        <w:rPr>
          <w:rFonts w:eastAsia="Times New Roman" w:cs="Times New Roman"/>
          <w:szCs w:val="24"/>
          <w:lang w:eastAsia="en-AU"/>
        </w:rPr>
        <w:t xml:space="preserve">for listing of medicines on the PBS. </w:t>
      </w:r>
    </w:p>
    <w:p w:rsidR="00CC79FE" w:rsidRPr="00FA1BCF" w:rsidRDefault="00CC79FE" w:rsidP="00CC79FE">
      <w:pPr>
        <w:jc w:val="both"/>
        <w:rPr>
          <w:rFonts w:eastAsia="Times New Roman" w:cs="Times New Roman"/>
          <w:i/>
          <w:szCs w:val="24"/>
          <w:lang w:eastAsia="en-AU"/>
        </w:rPr>
      </w:pPr>
      <w:r w:rsidRPr="00FA1BCF">
        <w:rPr>
          <w:rFonts w:eastAsia="Times New Roman" w:cs="Times New Roman"/>
          <w:b/>
          <w:i/>
          <w:szCs w:val="24"/>
          <w:lang w:eastAsia="en-AU"/>
        </w:rPr>
        <w:t>5. There is</w:t>
      </w:r>
      <w:r w:rsidR="00B16EC2" w:rsidRPr="00FA1BCF">
        <w:rPr>
          <w:rFonts w:eastAsia="Times New Roman" w:cs="Times New Roman"/>
          <w:b/>
          <w:i/>
          <w:szCs w:val="24"/>
          <w:lang w:eastAsia="en-AU"/>
        </w:rPr>
        <w:t xml:space="preserve"> a need </w:t>
      </w:r>
      <w:r w:rsidR="00F52F5C" w:rsidRPr="00FA1BCF">
        <w:rPr>
          <w:rFonts w:eastAsia="Times New Roman" w:cs="Times New Roman"/>
          <w:b/>
          <w:i/>
          <w:szCs w:val="24"/>
          <w:lang w:eastAsia="en-AU"/>
        </w:rPr>
        <w:t>when</w:t>
      </w:r>
      <w:r w:rsidR="00B16EC2" w:rsidRPr="00FA1BCF">
        <w:rPr>
          <w:rFonts w:eastAsia="Times New Roman" w:cs="Times New Roman"/>
          <w:b/>
          <w:i/>
          <w:szCs w:val="24"/>
          <w:lang w:eastAsia="en-AU"/>
        </w:rPr>
        <w:t xml:space="preserve"> considering </w:t>
      </w:r>
      <w:r w:rsidR="006E0F94" w:rsidRPr="00FA1BCF">
        <w:rPr>
          <w:rFonts w:eastAsia="Times New Roman" w:cs="Times New Roman"/>
          <w:b/>
          <w:i/>
          <w:szCs w:val="24"/>
          <w:lang w:eastAsia="en-AU"/>
        </w:rPr>
        <w:t xml:space="preserve">the value of </w:t>
      </w:r>
      <w:r w:rsidR="008B29C7" w:rsidRPr="00FA1BCF">
        <w:rPr>
          <w:rFonts w:eastAsia="Times New Roman" w:cs="Times New Roman"/>
          <w:b/>
          <w:i/>
          <w:szCs w:val="24"/>
          <w:lang w:eastAsia="en-AU"/>
        </w:rPr>
        <w:t xml:space="preserve">medicines </w:t>
      </w:r>
      <w:r w:rsidR="00C7459C" w:rsidRPr="00FA1BCF">
        <w:rPr>
          <w:rFonts w:eastAsia="Times New Roman" w:cs="Times New Roman"/>
          <w:b/>
          <w:i/>
          <w:szCs w:val="24"/>
          <w:lang w:eastAsia="en-AU"/>
        </w:rPr>
        <w:t>for rare diseases to consider matters beyond cost-effectiveness</w:t>
      </w:r>
      <w:r w:rsidR="006E0F94" w:rsidRPr="00FA1BCF">
        <w:rPr>
          <w:rFonts w:eastAsia="Times New Roman" w:cs="Times New Roman"/>
          <w:b/>
          <w:i/>
          <w:szCs w:val="24"/>
          <w:lang w:eastAsia="en-AU"/>
        </w:rPr>
        <w:t xml:space="preserve">. </w:t>
      </w:r>
      <w:r w:rsidRPr="00FA1BCF">
        <w:rPr>
          <w:rFonts w:eastAsia="Times New Roman" w:cs="Times New Roman"/>
          <w:b/>
          <w:i/>
          <w:szCs w:val="24"/>
          <w:lang w:eastAsia="en-AU"/>
        </w:rPr>
        <w:t xml:space="preserve">These principles are already embedded in the approach used by the PBAC in its decision making but </w:t>
      </w:r>
      <w:r w:rsidR="00E622B4" w:rsidRPr="00FA1BCF">
        <w:rPr>
          <w:rFonts w:eastAsia="Times New Roman" w:cs="Times New Roman"/>
          <w:b/>
          <w:i/>
          <w:szCs w:val="24"/>
          <w:lang w:eastAsia="en-AU"/>
        </w:rPr>
        <w:t xml:space="preserve">this </w:t>
      </w:r>
      <w:r w:rsidRPr="00FA1BCF">
        <w:rPr>
          <w:rFonts w:eastAsia="Times New Roman" w:cs="Times New Roman"/>
          <w:b/>
          <w:i/>
          <w:szCs w:val="24"/>
          <w:lang w:eastAsia="en-AU"/>
        </w:rPr>
        <w:t>would benefit from being more transparent.</w:t>
      </w:r>
    </w:p>
    <w:p w:rsidR="00CC79FE" w:rsidRPr="00FA1BCF" w:rsidRDefault="00CC79FE">
      <w:pPr>
        <w:ind w:left="360"/>
        <w:jc w:val="both"/>
        <w:rPr>
          <w:rFonts w:eastAsia="Times New Roman" w:cs="Times New Roman"/>
          <w:szCs w:val="24"/>
          <w:lang w:eastAsia="en-AU"/>
        </w:rPr>
      </w:pPr>
      <w:r w:rsidRPr="00FA1BCF">
        <w:rPr>
          <w:rFonts w:eastAsia="Times New Roman" w:cs="Times New Roman"/>
          <w:szCs w:val="24"/>
          <w:lang w:eastAsia="en-AU"/>
        </w:rPr>
        <w:t xml:space="preserve">In assessing a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for listing on the PBS, the PBAC considers a number of relevant factors beyond comparative cost-effectiveness, comparative health gain and financial implications for the PBS or </w:t>
      </w:r>
      <w:r w:rsidR="005012B9" w:rsidRPr="00FA1BCF">
        <w:rPr>
          <w:rFonts w:eastAsia="Times New Roman" w:cs="Times New Roman"/>
          <w:szCs w:val="24"/>
          <w:lang w:eastAsia="en-AU"/>
        </w:rPr>
        <w:t>the G</w:t>
      </w:r>
      <w:r w:rsidRPr="00FA1BCF">
        <w:rPr>
          <w:rFonts w:eastAsia="Times New Roman" w:cs="Times New Roman"/>
          <w:szCs w:val="24"/>
          <w:lang w:eastAsia="en-AU"/>
        </w:rPr>
        <w:t xml:space="preserve">overnment health budget. These factors comprise issues such as patient affordability, the presence of effective alternatives and </w:t>
      </w:r>
      <w:r w:rsidR="005012B9" w:rsidRPr="00FA1BCF">
        <w:rPr>
          <w:rFonts w:eastAsia="Times New Roman" w:cs="Times New Roman"/>
          <w:szCs w:val="24"/>
          <w:lang w:eastAsia="en-AU"/>
        </w:rPr>
        <w:t xml:space="preserve">the </w:t>
      </w:r>
      <w:r w:rsidRPr="00FA1BCF">
        <w:rPr>
          <w:rFonts w:eastAsia="Times New Roman" w:cs="Times New Roman"/>
          <w:szCs w:val="24"/>
          <w:lang w:eastAsia="en-AU"/>
        </w:rPr>
        <w:t xml:space="preserve">severity of the medical condition treated. 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believes </w:t>
      </w:r>
      <w:r w:rsidR="005012B9" w:rsidRPr="00FA1BCF">
        <w:rPr>
          <w:rFonts w:eastAsia="Times New Roman" w:cs="Times New Roman"/>
          <w:szCs w:val="24"/>
          <w:lang w:eastAsia="en-AU"/>
        </w:rPr>
        <w:t xml:space="preserve">that </w:t>
      </w:r>
      <w:r w:rsidR="00625893" w:rsidRPr="00FA1BCF">
        <w:rPr>
          <w:rFonts w:eastAsia="Times New Roman" w:cs="Times New Roman"/>
          <w:szCs w:val="24"/>
          <w:lang w:eastAsia="en-AU"/>
        </w:rPr>
        <w:t>a</w:t>
      </w:r>
      <w:r w:rsidR="00F52F5C" w:rsidRPr="00FA1BCF">
        <w:rPr>
          <w:rFonts w:eastAsia="Times New Roman" w:cs="Times New Roman"/>
          <w:szCs w:val="24"/>
          <w:lang w:eastAsia="en-AU"/>
        </w:rPr>
        <w:t xml:space="preserve"> greater and more explicit </w:t>
      </w:r>
      <w:r w:rsidR="00625893" w:rsidRPr="00FA1BCF">
        <w:rPr>
          <w:rFonts w:eastAsia="Times New Roman" w:cs="Times New Roman"/>
          <w:szCs w:val="24"/>
          <w:lang w:eastAsia="en-AU"/>
        </w:rPr>
        <w:t xml:space="preserve">consideration of </w:t>
      </w:r>
      <w:r w:rsidRPr="00FA1BCF">
        <w:rPr>
          <w:rFonts w:eastAsia="Times New Roman" w:cs="Times New Roman"/>
          <w:szCs w:val="24"/>
          <w:lang w:eastAsia="en-AU"/>
        </w:rPr>
        <w:t xml:space="preserve">quality of life </w:t>
      </w:r>
      <w:r w:rsidR="00F52F5C" w:rsidRPr="00FA1BCF">
        <w:rPr>
          <w:rFonts w:eastAsia="Times New Roman" w:cs="Times New Roman"/>
          <w:szCs w:val="24"/>
          <w:lang w:eastAsia="en-AU"/>
        </w:rPr>
        <w:t>and long</w:t>
      </w:r>
      <w:r w:rsidR="005012B9" w:rsidRPr="00FA1BCF">
        <w:rPr>
          <w:rFonts w:eastAsia="Times New Roman" w:cs="Times New Roman"/>
          <w:szCs w:val="24"/>
          <w:lang w:eastAsia="en-AU"/>
        </w:rPr>
        <w:t>-</w:t>
      </w:r>
      <w:r w:rsidR="00F52F5C" w:rsidRPr="00FA1BCF">
        <w:rPr>
          <w:rFonts w:eastAsia="Times New Roman" w:cs="Times New Roman"/>
          <w:szCs w:val="24"/>
          <w:lang w:eastAsia="en-AU"/>
        </w:rPr>
        <w:t xml:space="preserve">term disability </w:t>
      </w:r>
      <w:r w:rsidR="00F97883" w:rsidRPr="00FA1BCF">
        <w:rPr>
          <w:rFonts w:eastAsia="Times New Roman" w:cs="Times New Roman"/>
          <w:szCs w:val="24"/>
          <w:lang w:eastAsia="en-AU"/>
        </w:rPr>
        <w:t xml:space="preserve">in rare diseases </w:t>
      </w:r>
      <w:r w:rsidRPr="00FA1BCF">
        <w:rPr>
          <w:rFonts w:eastAsia="Times New Roman" w:cs="Times New Roman"/>
          <w:szCs w:val="24"/>
          <w:lang w:eastAsia="en-AU"/>
        </w:rPr>
        <w:t xml:space="preserve">would be an important addition to this list of societal factors to balance a perceived focus on </w:t>
      </w:r>
      <w:r w:rsidR="00E622B4" w:rsidRPr="00FA1BCF">
        <w:rPr>
          <w:rFonts w:eastAsia="Times New Roman" w:cs="Times New Roman"/>
          <w:szCs w:val="24"/>
          <w:lang w:eastAsia="en-AU"/>
        </w:rPr>
        <w:t xml:space="preserve">patient </w:t>
      </w:r>
      <w:r w:rsidRPr="00FA1BCF">
        <w:rPr>
          <w:rFonts w:eastAsia="Times New Roman" w:cs="Times New Roman"/>
          <w:szCs w:val="24"/>
          <w:lang w:eastAsia="en-AU"/>
        </w:rPr>
        <w:t>survival.</w:t>
      </w:r>
    </w:p>
    <w:p w:rsidR="00CC79FE" w:rsidRPr="00E436E7" w:rsidRDefault="00CC79FE" w:rsidP="00E436E7">
      <w:pPr>
        <w:ind w:left="360"/>
        <w:jc w:val="both"/>
        <w:rPr>
          <w:rFonts w:eastAsia="Times New Roman" w:cs="Times New Roman"/>
          <w:szCs w:val="24"/>
          <w:lang w:eastAsia="en-AU"/>
        </w:rPr>
      </w:pPr>
      <w:r w:rsidRPr="00FA1BCF">
        <w:rPr>
          <w:rFonts w:eastAsia="Times New Roman" w:cs="Times New Roman"/>
          <w:szCs w:val="24"/>
          <w:lang w:eastAsia="en-AU"/>
        </w:rPr>
        <w:lastRenderedPageBreak/>
        <w:t xml:space="preserve">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recommends </w:t>
      </w:r>
      <w:r w:rsidR="005012B9" w:rsidRPr="00FA1BCF">
        <w:rPr>
          <w:rFonts w:eastAsia="Times New Roman" w:cs="Times New Roman"/>
          <w:szCs w:val="24"/>
          <w:lang w:eastAsia="en-AU"/>
        </w:rPr>
        <w:t xml:space="preserve">that </w:t>
      </w:r>
      <w:r w:rsidRPr="00FA1BCF">
        <w:rPr>
          <w:rFonts w:eastAsia="Times New Roman" w:cs="Times New Roman"/>
          <w:szCs w:val="24"/>
          <w:lang w:eastAsia="en-AU"/>
        </w:rPr>
        <w:t>the Department of Health</w:t>
      </w:r>
      <w:r w:rsidR="00E622B4" w:rsidRPr="00FA1BCF">
        <w:rPr>
          <w:rFonts w:eastAsia="Times New Roman" w:cs="Times New Roman"/>
          <w:szCs w:val="24"/>
          <w:lang w:eastAsia="en-AU"/>
        </w:rPr>
        <w:t xml:space="preserve"> </w:t>
      </w:r>
      <w:r w:rsidRPr="00FA1BCF">
        <w:rPr>
          <w:rFonts w:eastAsia="Times New Roman" w:cs="Times New Roman"/>
          <w:szCs w:val="24"/>
          <w:lang w:eastAsia="en-AU"/>
        </w:rPr>
        <w:t xml:space="preserve">examine the merits of the </w:t>
      </w:r>
      <w:r w:rsidR="009101C0" w:rsidRPr="00FA1BCF">
        <w:rPr>
          <w:rFonts w:eastAsia="Times New Roman" w:cs="Times New Roman"/>
          <w:szCs w:val="24"/>
          <w:lang w:eastAsia="en-AU"/>
        </w:rPr>
        <w:t>UK</w:t>
      </w:r>
      <w:r w:rsidRPr="00FA1BCF">
        <w:rPr>
          <w:rFonts w:eastAsia="Times New Roman" w:cs="Times New Roman"/>
          <w:szCs w:val="24"/>
          <w:lang w:eastAsia="en-AU"/>
        </w:rPr>
        <w:t xml:space="preserve"> National Institute for Health and Care Excellence</w:t>
      </w:r>
      <w:r w:rsidR="00B2525C">
        <w:rPr>
          <w:rFonts w:eastAsia="Times New Roman" w:cs="Times New Roman"/>
          <w:szCs w:val="24"/>
          <w:lang w:eastAsia="en-AU"/>
        </w:rPr>
        <w:t xml:space="preserve"> </w:t>
      </w:r>
      <w:r w:rsidR="00A26B5E" w:rsidRPr="00FA1BCF">
        <w:rPr>
          <w:rFonts w:eastAsia="Times New Roman" w:cs="Times New Roman"/>
          <w:szCs w:val="24"/>
          <w:lang w:eastAsia="en-AU"/>
        </w:rPr>
        <w:t xml:space="preserve">Highly Specialised Technologies Programme. </w:t>
      </w:r>
      <w:r w:rsidR="00E4169E" w:rsidRPr="00FA1BCF">
        <w:rPr>
          <w:rFonts w:eastAsia="Times New Roman" w:cs="Times New Roman"/>
          <w:szCs w:val="24"/>
          <w:lang w:eastAsia="en-AU"/>
        </w:rPr>
        <w:t xml:space="preserve">This should also include consideration of </w:t>
      </w:r>
      <w:r w:rsidR="007B1C20" w:rsidRPr="00FA1BCF">
        <w:rPr>
          <w:rFonts w:eastAsia="Times New Roman" w:cs="Times New Roman"/>
          <w:szCs w:val="24"/>
          <w:lang w:eastAsia="en-AU"/>
        </w:rPr>
        <w:t>a</w:t>
      </w:r>
      <w:r w:rsidR="00A26B5E" w:rsidRPr="00FA1BCF">
        <w:rPr>
          <w:rFonts w:eastAsia="Times New Roman" w:cs="Times New Roman"/>
          <w:szCs w:val="24"/>
          <w:lang w:eastAsia="en-AU"/>
        </w:rPr>
        <w:t xml:space="preserve"> more structured </w:t>
      </w:r>
      <w:r w:rsidR="007B1C20" w:rsidRPr="00FA1BCF">
        <w:rPr>
          <w:rFonts w:eastAsia="Times New Roman" w:cs="Times New Roman"/>
          <w:szCs w:val="24"/>
          <w:lang w:eastAsia="en-AU"/>
        </w:rPr>
        <w:t xml:space="preserve">and transparent </w:t>
      </w:r>
      <w:r w:rsidR="00A26B5E" w:rsidRPr="00FA1BCF">
        <w:rPr>
          <w:rFonts w:eastAsia="Times New Roman" w:cs="Times New Roman"/>
          <w:szCs w:val="24"/>
          <w:lang w:eastAsia="en-AU"/>
        </w:rPr>
        <w:t>approach to consideration of broader health benefit</w:t>
      </w:r>
      <w:r w:rsidR="007B1C20" w:rsidRPr="00FA1BCF">
        <w:rPr>
          <w:rFonts w:eastAsia="Times New Roman" w:cs="Times New Roman"/>
          <w:szCs w:val="24"/>
          <w:lang w:eastAsia="en-AU"/>
        </w:rPr>
        <w:t xml:space="preserve">s. </w:t>
      </w:r>
    </w:p>
    <w:p w:rsidR="00CC79FE" w:rsidRPr="00FA1BCF" w:rsidRDefault="00CC79FE" w:rsidP="00CC79FE">
      <w:pPr>
        <w:jc w:val="both"/>
        <w:rPr>
          <w:rFonts w:eastAsia="Times New Roman" w:cs="Times New Roman"/>
          <w:b/>
          <w:i/>
          <w:szCs w:val="24"/>
          <w:lang w:eastAsia="en-AU"/>
        </w:rPr>
      </w:pPr>
      <w:r w:rsidRPr="00FA1BCF">
        <w:rPr>
          <w:rFonts w:eastAsia="Times New Roman" w:cs="Times New Roman"/>
          <w:b/>
          <w:i/>
          <w:szCs w:val="24"/>
          <w:lang w:eastAsia="en-AU"/>
        </w:rPr>
        <w:t xml:space="preserve">6. Consideration </w:t>
      </w:r>
      <w:r w:rsidR="006C699D" w:rsidRPr="00FA1BCF">
        <w:rPr>
          <w:rFonts w:eastAsia="Times New Roman" w:cs="Times New Roman"/>
          <w:b/>
          <w:i/>
          <w:szCs w:val="24"/>
          <w:lang w:eastAsia="en-AU"/>
        </w:rPr>
        <w:t xml:space="preserve">should </w:t>
      </w:r>
      <w:r w:rsidRPr="00FA1BCF">
        <w:rPr>
          <w:rFonts w:eastAsia="Times New Roman" w:cs="Times New Roman"/>
          <w:b/>
          <w:i/>
          <w:szCs w:val="24"/>
          <w:lang w:eastAsia="en-AU"/>
        </w:rPr>
        <w:t xml:space="preserve">be given to </w:t>
      </w:r>
      <w:r w:rsidR="00625893" w:rsidRPr="00FA1BCF">
        <w:rPr>
          <w:rFonts w:eastAsia="Times New Roman" w:cs="Times New Roman"/>
          <w:b/>
          <w:i/>
          <w:szCs w:val="24"/>
          <w:lang w:eastAsia="en-AU"/>
        </w:rPr>
        <w:t xml:space="preserve">enhancing </w:t>
      </w:r>
      <w:r w:rsidRPr="00FA1BCF">
        <w:rPr>
          <w:rFonts w:eastAsia="Times New Roman" w:cs="Times New Roman"/>
          <w:b/>
          <w:i/>
          <w:szCs w:val="24"/>
          <w:lang w:eastAsia="en-AU"/>
        </w:rPr>
        <w:t xml:space="preserve">the </w:t>
      </w:r>
      <w:r w:rsidR="008B29C7" w:rsidRPr="00FA1BCF">
        <w:rPr>
          <w:rFonts w:eastAsia="Times New Roman" w:cs="Times New Roman"/>
          <w:b/>
          <w:i/>
          <w:szCs w:val="24"/>
          <w:lang w:eastAsia="en-AU"/>
        </w:rPr>
        <w:t xml:space="preserve">medicines </w:t>
      </w:r>
      <w:r w:rsidRPr="00FA1BCF">
        <w:rPr>
          <w:rFonts w:eastAsia="Times New Roman" w:cs="Times New Roman"/>
          <w:b/>
          <w:i/>
          <w:szCs w:val="24"/>
          <w:lang w:eastAsia="en-AU"/>
        </w:rPr>
        <w:t xml:space="preserve">submission process for rare disease therapies by adopting a collaborative multi-stakeholder approach early in the assessment cycle, before the </w:t>
      </w:r>
      <w:r w:rsidR="009A438D" w:rsidRPr="00FA1BCF">
        <w:rPr>
          <w:rFonts w:eastAsia="Times New Roman" w:cs="Times New Roman"/>
          <w:b/>
          <w:i/>
          <w:szCs w:val="24"/>
          <w:lang w:eastAsia="en-AU"/>
        </w:rPr>
        <w:t xml:space="preserve">medicine </w:t>
      </w:r>
      <w:r w:rsidRPr="00FA1BCF">
        <w:rPr>
          <w:rFonts w:eastAsia="Times New Roman" w:cs="Times New Roman"/>
          <w:b/>
          <w:i/>
          <w:szCs w:val="24"/>
          <w:lang w:eastAsia="en-AU"/>
        </w:rPr>
        <w:t>submission is formally submitted for consideration by the PBAC.</w:t>
      </w:r>
    </w:p>
    <w:p w:rsidR="00CC79FE" w:rsidRPr="00FA1BCF" w:rsidRDefault="00CC79FE">
      <w:pPr>
        <w:ind w:left="360"/>
        <w:jc w:val="both"/>
        <w:rPr>
          <w:rFonts w:eastAsia="Times New Roman" w:cs="Times New Roman"/>
          <w:szCs w:val="24"/>
          <w:lang w:eastAsia="en-AU"/>
        </w:rPr>
      </w:pPr>
      <w:r w:rsidRPr="00FA1BCF">
        <w:rPr>
          <w:rFonts w:eastAsia="Times New Roman" w:cs="Times New Roman"/>
          <w:szCs w:val="24"/>
          <w:lang w:eastAsia="en-AU"/>
        </w:rPr>
        <w:t xml:space="preserve">The present assessment pathway for </w:t>
      </w:r>
      <w:r w:rsidR="006C699D" w:rsidRPr="00FA1BCF">
        <w:rPr>
          <w:rFonts w:eastAsia="Times New Roman" w:cs="Times New Roman"/>
          <w:szCs w:val="24"/>
          <w:lang w:eastAsia="en-AU"/>
        </w:rPr>
        <w:t xml:space="preserve">a </w:t>
      </w:r>
      <w:r w:rsidR="00303051" w:rsidRPr="00FA1BCF">
        <w:rPr>
          <w:rFonts w:eastAsia="Times New Roman" w:cs="Times New Roman"/>
          <w:szCs w:val="24"/>
          <w:lang w:eastAsia="en-AU"/>
        </w:rPr>
        <w:t xml:space="preserve">medicine for </w:t>
      </w:r>
      <w:r w:rsidR="006C699D" w:rsidRPr="00FA1BCF">
        <w:rPr>
          <w:rFonts w:eastAsia="Times New Roman" w:cs="Times New Roman"/>
          <w:szCs w:val="24"/>
          <w:lang w:eastAsia="en-AU"/>
        </w:rPr>
        <w:t xml:space="preserve">a </w:t>
      </w:r>
      <w:r w:rsidRPr="00FA1BCF">
        <w:rPr>
          <w:rFonts w:eastAsia="Times New Roman" w:cs="Times New Roman"/>
          <w:szCs w:val="24"/>
          <w:lang w:eastAsia="en-AU"/>
        </w:rPr>
        <w:t xml:space="preserve">rare disease requires the PBAC to first consider the </w:t>
      </w:r>
      <w:r w:rsidR="00303051"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for listing on the PBS. Typically the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for </w:t>
      </w:r>
      <w:r w:rsidR="00353551" w:rsidRPr="00FA1BCF">
        <w:rPr>
          <w:rFonts w:eastAsia="Times New Roman" w:cs="Times New Roman"/>
          <w:szCs w:val="24"/>
          <w:lang w:eastAsia="en-AU"/>
        </w:rPr>
        <w:t xml:space="preserve">a </w:t>
      </w:r>
      <w:r w:rsidRPr="00FA1BCF">
        <w:rPr>
          <w:rFonts w:eastAsia="Times New Roman" w:cs="Times New Roman"/>
          <w:szCs w:val="24"/>
          <w:lang w:eastAsia="en-AU"/>
        </w:rPr>
        <w:t xml:space="preserve">rare disease is highly priced and </w:t>
      </w:r>
      <w:r w:rsidR="005012B9" w:rsidRPr="00FA1BCF">
        <w:rPr>
          <w:rFonts w:eastAsia="Times New Roman" w:cs="Times New Roman"/>
          <w:szCs w:val="24"/>
          <w:lang w:eastAsia="en-AU"/>
        </w:rPr>
        <w:t xml:space="preserve">is </w:t>
      </w:r>
      <w:r w:rsidRPr="00FA1BCF">
        <w:rPr>
          <w:rFonts w:eastAsia="Times New Roman" w:cs="Times New Roman"/>
          <w:szCs w:val="24"/>
          <w:lang w:eastAsia="en-AU"/>
        </w:rPr>
        <w:t xml:space="preserve">rejected </w:t>
      </w:r>
      <w:r w:rsidR="00353551" w:rsidRPr="00FA1BCF">
        <w:rPr>
          <w:rFonts w:eastAsia="Times New Roman" w:cs="Times New Roman"/>
          <w:szCs w:val="24"/>
          <w:lang w:eastAsia="en-AU"/>
        </w:rPr>
        <w:t xml:space="preserve">because it is not considered </w:t>
      </w:r>
      <w:r w:rsidRPr="00FA1BCF">
        <w:rPr>
          <w:rFonts w:eastAsia="Times New Roman" w:cs="Times New Roman"/>
          <w:szCs w:val="24"/>
          <w:lang w:eastAsia="en-AU"/>
        </w:rPr>
        <w:t xml:space="preserve">cost-effective. After the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is rejected for PBS listing, it is then considered for inclusion on the LSDP.</w:t>
      </w:r>
      <w:r w:rsidR="00B56F35" w:rsidRPr="00FA1BCF">
        <w:rPr>
          <w:rFonts w:eastAsia="Times New Roman" w:cs="Times New Roman"/>
          <w:szCs w:val="24"/>
          <w:lang w:eastAsia="en-AU"/>
        </w:rPr>
        <w:t xml:space="preserve"> </w:t>
      </w:r>
    </w:p>
    <w:p w:rsidR="00CC79FE" w:rsidRPr="00E436E7" w:rsidRDefault="00CC79FE" w:rsidP="00E436E7">
      <w:pPr>
        <w:ind w:left="360"/>
        <w:jc w:val="both"/>
        <w:rPr>
          <w:rFonts w:eastAsia="Times New Roman" w:cs="Times New Roman"/>
          <w:szCs w:val="24"/>
          <w:lang w:eastAsia="en-AU"/>
        </w:rPr>
      </w:pPr>
      <w:r w:rsidRPr="00FA1BCF">
        <w:rPr>
          <w:rFonts w:eastAsia="Times New Roman" w:cs="Times New Roman"/>
          <w:szCs w:val="24"/>
          <w:lang w:eastAsia="en-AU"/>
        </w:rPr>
        <w:t xml:space="preserve">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recommends a streamlined process involving formal information gathering from interested and relevant stakeholders for the disease type, relevant members of the PBAC and departmental staff </w:t>
      </w:r>
      <w:r w:rsidR="00C746BE" w:rsidRPr="00FA1BCF">
        <w:rPr>
          <w:rFonts w:eastAsia="Times New Roman" w:cs="Times New Roman"/>
          <w:szCs w:val="24"/>
          <w:lang w:eastAsia="en-AU"/>
        </w:rPr>
        <w:t>prior to commencement of the formal PBAC evaluation process.</w:t>
      </w:r>
      <w:r w:rsidR="00B56F35" w:rsidRPr="00FA1BCF">
        <w:rPr>
          <w:rFonts w:eastAsia="Times New Roman" w:cs="Times New Roman"/>
          <w:szCs w:val="24"/>
          <w:lang w:eastAsia="en-AU"/>
        </w:rPr>
        <w:t xml:space="preserve"> </w:t>
      </w:r>
      <w:r w:rsidRPr="00FA1BCF">
        <w:rPr>
          <w:rFonts w:eastAsia="Times New Roman" w:cs="Times New Roman"/>
          <w:szCs w:val="24"/>
          <w:lang w:eastAsia="en-AU"/>
        </w:rPr>
        <w:t xml:space="preserve">Early discussion about the appropriateness of the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as a rare disease therapy, data requirements and potential initiation and stopping guidance for administering the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would provide a clearer path</w:t>
      </w:r>
      <w:r w:rsidR="00353551" w:rsidRPr="00FA1BCF">
        <w:rPr>
          <w:rFonts w:eastAsia="Times New Roman" w:cs="Times New Roman"/>
          <w:szCs w:val="24"/>
          <w:lang w:eastAsia="en-AU"/>
        </w:rPr>
        <w:t xml:space="preserve"> for submission and assessment</w:t>
      </w:r>
      <w:r w:rsidRPr="00FA1BCF">
        <w:rPr>
          <w:rFonts w:eastAsia="Times New Roman" w:cs="Times New Roman"/>
          <w:szCs w:val="24"/>
          <w:lang w:eastAsia="en-AU"/>
        </w:rPr>
        <w:t>.</w:t>
      </w:r>
      <w:r w:rsidR="00B56F35" w:rsidRPr="00FA1BCF">
        <w:rPr>
          <w:rFonts w:eastAsia="Times New Roman" w:cs="Times New Roman"/>
          <w:szCs w:val="24"/>
          <w:lang w:eastAsia="en-AU"/>
        </w:rPr>
        <w:t xml:space="preserve"> </w:t>
      </w:r>
      <w:r w:rsidR="001C09CC" w:rsidRPr="00FA1BCF">
        <w:rPr>
          <w:rFonts w:eastAsia="Times New Roman" w:cs="Times New Roman"/>
          <w:szCs w:val="24"/>
          <w:lang w:eastAsia="en-AU"/>
        </w:rPr>
        <w:t xml:space="preserve">In this regard it is noted that the </w:t>
      </w:r>
      <w:r w:rsidR="005012B9" w:rsidRPr="00FA1BCF">
        <w:rPr>
          <w:rFonts w:eastAsia="Times New Roman" w:cs="Times New Roman"/>
          <w:szCs w:val="24"/>
          <w:lang w:eastAsia="en-AU"/>
        </w:rPr>
        <w:t>T</w:t>
      </w:r>
      <w:r w:rsidR="00510EE1">
        <w:rPr>
          <w:rFonts w:eastAsia="Times New Roman" w:cs="Times New Roman"/>
          <w:szCs w:val="24"/>
          <w:lang w:eastAsia="en-AU"/>
        </w:rPr>
        <w:t>GA</w:t>
      </w:r>
      <w:r w:rsidR="001C09CC" w:rsidRPr="00FA1BCF">
        <w:rPr>
          <w:rFonts w:eastAsia="Times New Roman" w:cs="Times New Roman"/>
          <w:szCs w:val="24"/>
          <w:lang w:eastAsia="en-AU"/>
        </w:rPr>
        <w:t xml:space="preserve"> recommends </w:t>
      </w:r>
      <w:r w:rsidR="00B31576">
        <w:rPr>
          <w:rFonts w:eastAsia="Times New Roman" w:cs="Times New Roman"/>
          <w:szCs w:val="24"/>
          <w:lang w:eastAsia="en-AU"/>
        </w:rPr>
        <w:t>that the orphan drug designation process is initiated 2-3 months prior to the start of the registration process</w:t>
      </w:r>
      <w:r w:rsidR="001C09CC" w:rsidRPr="00FA1BCF">
        <w:rPr>
          <w:rFonts w:eastAsia="Times New Roman" w:cs="Times New Roman"/>
          <w:szCs w:val="24"/>
          <w:lang w:eastAsia="en-AU"/>
        </w:rPr>
        <w:t>.</w:t>
      </w:r>
      <w:r w:rsidR="00B56F35" w:rsidRPr="00FA1BCF">
        <w:rPr>
          <w:rFonts w:eastAsia="Times New Roman" w:cs="Times New Roman"/>
          <w:szCs w:val="24"/>
          <w:lang w:eastAsia="en-AU"/>
        </w:rPr>
        <w:t xml:space="preserve"> </w:t>
      </w:r>
      <w:r w:rsidRPr="00FA1BCF">
        <w:rPr>
          <w:rFonts w:eastAsia="Times New Roman" w:cs="Times New Roman"/>
          <w:szCs w:val="24"/>
          <w:lang w:eastAsia="en-AU"/>
        </w:rPr>
        <w:t>Early identification of information gaps, the level of evidence available and what is required, through engagement with stakeholders</w:t>
      </w:r>
      <w:r w:rsidR="00353551" w:rsidRPr="00FA1BCF">
        <w:rPr>
          <w:rFonts w:eastAsia="Times New Roman" w:cs="Times New Roman"/>
          <w:szCs w:val="24"/>
          <w:lang w:eastAsia="en-AU"/>
        </w:rPr>
        <w:t>,</w:t>
      </w:r>
      <w:r w:rsidRPr="00FA1BCF">
        <w:rPr>
          <w:rFonts w:eastAsia="Times New Roman" w:cs="Times New Roman"/>
          <w:szCs w:val="24"/>
          <w:lang w:eastAsia="en-AU"/>
        </w:rPr>
        <w:t xml:space="preserve"> would ensure that the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submission and health technology assessment</w:t>
      </w:r>
      <w:r w:rsidR="00353551" w:rsidRPr="00FA1BCF">
        <w:rPr>
          <w:rFonts w:eastAsia="Times New Roman" w:cs="Times New Roman"/>
          <w:szCs w:val="24"/>
          <w:lang w:eastAsia="en-AU"/>
        </w:rPr>
        <w:t xml:space="preserve"> </w:t>
      </w:r>
      <w:r w:rsidRPr="00FA1BCF">
        <w:rPr>
          <w:rFonts w:eastAsia="Times New Roman" w:cs="Times New Roman"/>
          <w:szCs w:val="24"/>
          <w:lang w:eastAsia="en-AU"/>
        </w:rPr>
        <w:t xml:space="preserve">pathways are constructive and transparent to all stakeholders. </w:t>
      </w:r>
      <w:r w:rsidR="001C09CC" w:rsidRPr="00FA1BCF">
        <w:rPr>
          <w:rFonts w:eastAsia="Times New Roman" w:cs="Times New Roman"/>
          <w:szCs w:val="24"/>
          <w:lang w:eastAsia="en-AU"/>
        </w:rPr>
        <w:t>This would imply early involvement of representatives of stakeholders at the pre</w:t>
      </w:r>
      <w:r w:rsidR="00813427" w:rsidRPr="00FA1BCF">
        <w:rPr>
          <w:rFonts w:eastAsia="Times New Roman" w:cs="Times New Roman"/>
          <w:szCs w:val="24"/>
          <w:lang w:eastAsia="en-AU"/>
        </w:rPr>
        <w:t>-</w:t>
      </w:r>
      <w:r w:rsidR="001C09CC" w:rsidRPr="00FA1BCF">
        <w:rPr>
          <w:rFonts w:eastAsia="Times New Roman" w:cs="Times New Roman"/>
          <w:szCs w:val="24"/>
          <w:lang w:eastAsia="en-AU"/>
        </w:rPr>
        <w:t>submission conference.</w:t>
      </w:r>
      <w:r w:rsidR="00B56F35" w:rsidRPr="00FA1BCF">
        <w:rPr>
          <w:rFonts w:eastAsia="Times New Roman" w:cs="Times New Roman"/>
          <w:szCs w:val="24"/>
          <w:lang w:eastAsia="en-AU"/>
        </w:rPr>
        <w:t xml:space="preserve"> </w:t>
      </w:r>
      <w:r w:rsidRPr="00FA1BCF">
        <w:rPr>
          <w:rFonts w:eastAsia="Times New Roman" w:cs="Times New Roman"/>
          <w:szCs w:val="24"/>
          <w:lang w:eastAsia="en-AU"/>
        </w:rPr>
        <w:t xml:space="preserve">The process will also promote transparency and could potentially achieve earlier community access to the drugs. </w:t>
      </w:r>
    </w:p>
    <w:p w:rsidR="002376BE" w:rsidRPr="00E436E7" w:rsidRDefault="00CC79FE" w:rsidP="00E436E7">
      <w:pPr>
        <w:jc w:val="both"/>
        <w:rPr>
          <w:rFonts w:eastAsia="Times New Roman" w:cs="Times New Roman"/>
          <w:szCs w:val="24"/>
          <w:lang w:eastAsia="en-AU"/>
        </w:rPr>
      </w:pPr>
      <w:r w:rsidRPr="00FA1BCF">
        <w:rPr>
          <w:rFonts w:eastAsia="Times New Roman" w:cs="Times New Roman"/>
          <w:b/>
          <w:i/>
          <w:szCs w:val="24"/>
          <w:lang w:eastAsia="en-AU"/>
        </w:rPr>
        <w:t xml:space="preserve">7. </w:t>
      </w:r>
      <w:r w:rsidR="00B56F35" w:rsidRPr="00FA1BCF">
        <w:rPr>
          <w:rFonts w:eastAsia="Times New Roman" w:cs="Times New Roman"/>
          <w:b/>
          <w:szCs w:val="24"/>
          <w:lang w:eastAsia="en-AU"/>
        </w:rPr>
        <w:t>‘</w:t>
      </w:r>
      <w:r w:rsidR="002376BE" w:rsidRPr="00FA1BCF">
        <w:rPr>
          <w:rFonts w:eastAsia="Times New Roman" w:cs="Times New Roman"/>
          <w:b/>
          <w:szCs w:val="24"/>
          <w:lang w:eastAsia="en-AU"/>
        </w:rPr>
        <w:t xml:space="preserve">Rare </w:t>
      </w:r>
      <w:r w:rsidR="008616F2" w:rsidRPr="00FA1BCF">
        <w:rPr>
          <w:rFonts w:eastAsia="Times New Roman" w:cs="Times New Roman"/>
          <w:b/>
          <w:szCs w:val="24"/>
          <w:lang w:eastAsia="en-AU"/>
        </w:rPr>
        <w:t>d</w:t>
      </w:r>
      <w:r w:rsidR="002376BE" w:rsidRPr="00FA1BCF">
        <w:rPr>
          <w:rFonts w:eastAsia="Times New Roman" w:cs="Times New Roman"/>
          <w:b/>
          <w:szCs w:val="24"/>
          <w:lang w:eastAsia="en-AU"/>
        </w:rPr>
        <w:t>isease</w:t>
      </w:r>
      <w:r w:rsidR="00B56F35" w:rsidRPr="00FA1BCF">
        <w:rPr>
          <w:rFonts w:eastAsia="Times New Roman" w:cs="Times New Roman"/>
          <w:b/>
          <w:szCs w:val="24"/>
          <w:lang w:eastAsia="en-AU"/>
        </w:rPr>
        <w:t>’</w:t>
      </w:r>
      <w:r w:rsidR="006C699D" w:rsidRPr="00FA1BCF">
        <w:rPr>
          <w:rFonts w:eastAsia="Times New Roman" w:cs="Times New Roman"/>
          <w:b/>
          <w:szCs w:val="24"/>
          <w:lang w:eastAsia="en-AU"/>
        </w:rPr>
        <w:t xml:space="preserve"> should be defined</w:t>
      </w:r>
      <w:r w:rsidR="002376BE" w:rsidRPr="00FA1BCF">
        <w:rPr>
          <w:rFonts w:eastAsia="Times New Roman" w:cs="Times New Roman"/>
          <w:b/>
          <w:szCs w:val="24"/>
          <w:lang w:eastAsia="en-AU"/>
        </w:rPr>
        <w:t xml:space="preserve"> for the purpose of the Medicines for Rare Diseases Program</w:t>
      </w:r>
      <w:r w:rsidR="006C699D" w:rsidRPr="00FA1BCF">
        <w:rPr>
          <w:rFonts w:eastAsia="Times New Roman" w:cs="Times New Roman"/>
          <w:b/>
          <w:szCs w:val="24"/>
          <w:lang w:eastAsia="en-AU"/>
        </w:rPr>
        <w:t>me</w:t>
      </w:r>
      <w:r w:rsidR="00B53D49">
        <w:rPr>
          <w:rFonts w:eastAsia="Times New Roman" w:cs="Times New Roman"/>
          <w:b/>
          <w:szCs w:val="24"/>
          <w:lang w:eastAsia="en-AU"/>
        </w:rPr>
        <w:t>.</w:t>
      </w:r>
    </w:p>
    <w:p w:rsidR="002376BE" w:rsidRPr="00FA1BCF" w:rsidRDefault="002376BE" w:rsidP="00E436E7">
      <w:pPr>
        <w:pStyle w:val="ListParagraph"/>
        <w:ind w:left="425"/>
        <w:contextualSpacing w:val="0"/>
        <w:jc w:val="both"/>
        <w:rPr>
          <w:lang w:eastAsia="en-AU"/>
        </w:rPr>
      </w:pPr>
      <w:r w:rsidRPr="00FA1BCF">
        <w:rPr>
          <w:rFonts w:eastAsia="Times New Roman" w:cs="Times New Roman"/>
          <w:szCs w:val="24"/>
          <w:lang w:eastAsia="en-AU"/>
        </w:rPr>
        <w:t xml:space="preserve">For the purpose of the </w:t>
      </w:r>
      <w:r w:rsidR="007B1C20" w:rsidRPr="00FA1BCF">
        <w:rPr>
          <w:rFonts w:eastAsia="Times New Roman" w:cs="Times New Roman"/>
          <w:szCs w:val="24"/>
          <w:lang w:eastAsia="en-AU"/>
        </w:rPr>
        <w:t>M</w:t>
      </w:r>
      <w:r w:rsidRPr="00FA1BCF">
        <w:rPr>
          <w:rFonts w:eastAsia="Times New Roman" w:cs="Times New Roman"/>
          <w:szCs w:val="24"/>
          <w:lang w:eastAsia="en-AU"/>
        </w:rPr>
        <w:t xml:space="preserve">edicines for Rare Diseases </w:t>
      </w:r>
      <w:r w:rsidR="006C699D" w:rsidRPr="00FA1BCF">
        <w:rPr>
          <w:rFonts w:eastAsia="Times New Roman" w:cs="Times New Roman"/>
          <w:szCs w:val="24"/>
          <w:lang w:eastAsia="en-AU"/>
        </w:rPr>
        <w:t>Programme</w:t>
      </w:r>
      <w:r w:rsidRPr="00FA1BCF">
        <w:rPr>
          <w:rFonts w:eastAsia="Times New Roman" w:cs="Times New Roman"/>
          <w:szCs w:val="24"/>
          <w:lang w:eastAsia="en-AU"/>
        </w:rPr>
        <w:t xml:space="preserve">, </w:t>
      </w:r>
      <w:r w:rsidR="00A363A5">
        <w:rPr>
          <w:rFonts w:eastAsia="Times New Roman" w:cs="Times New Roman"/>
          <w:szCs w:val="24"/>
          <w:lang w:eastAsia="en-AU"/>
        </w:rPr>
        <w:t>the Reference Group</w:t>
      </w:r>
      <w:r w:rsidRPr="00FA1BCF">
        <w:rPr>
          <w:rFonts w:eastAsia="Times New Roman" w:cs="Times New Roman"/>
          <w:szCs w:val="24"/>
          <w:lang w:eastAsia="en-AU"/>
        </w:rPr>
        <w:t xml:space="preserve"> propose a definition of a prevalence of 1 per 50,000 (an approximate </w:t>
      </w:r>
      <w:r w:rsidR="006C699D" w:rsidRPr="00FA1BCF">
        <w:rPr>
          <w:rFonts w:eastAsia="Times New Roman" w:cs="Times New Roman"/>
          <w:szCs w:val="24"/>
          <w:lang w:eastAsia="en-AU"/>
        </w:rPr>
        <w:t xml:space="preserve">total </w:t>
      </w:r>
      <w:r w:rsidRPr="00FA1BCF">
        <w:rPr>
          <w:rFonts w:eastAsia="Times New Roman" w:cs="Times New Roman"/>
          <w:szCs w:val="24"/>
          <w:lang w:eastAsia="en-AU"/>
        </w:rPr>
        <w:t xml:space="preserve">of 500 </w:t>
      </w:r>
      <w:r w:rsidR="006C699D" w:rsidRPr="00FA1BCF">
        <w:rPr>
          <w:rFonts w:eastAsia="Times New Roman" w:cs="Times New Roman"/>
          <w:szCs w:val="24"/>
          <w:lang w:eastAsia="en-AU"/>
        </w:rPr>
        <w:t xml:space="preserve">prevalent </w:t>
      </w:r>
      <w:r w:rsidRPr="00FA1BCF">
        <w:rPr>
          <w:rFonts w:eastAsia="Times New Roman" w:cs="Times New Roman"/>
          <w:szCs w:val="24"/>
          <w:lang w:eastAsia="en-AU"/>
        </w:rPr>
        <w:t xml:space="preserve">cases per disease in the Australian population, for designating a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on the PBS for evaluation and listing.</w:t>
      </w:r>
    </w:p>
    <w:p w:rsidR="002376BE" w:rsidRPr="00FA1BCF" w:rsidRDefault="002376BE" w:rsidP="00E436E7">
      <w:pPr>
        <w:pStyle w:val="ListParagraph"/>
        <w:ind w:left="425"/>
        <w:contextualSpacing w:val="0"/>
        <w:jc w:val="both"/>
        <w:rPr>
          <w:lang w:eastAsia="en-AU"/>
        </w:rPr>
      </w:pPr>
      <w:r w:rsidRPr="00FA1BCF">
        <w:rPr>
          <w:rFonts w:eastAsia="Times New Roman" w:cs="Times New Roman"/>
          <w:szCs w:val="24"/>
          <w:lang w:eastAsia="en-AU"/>
        </w:rPr>
        <w:t xml:space="preserve">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notes that the majority of conditions treated through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 xml:space="preserve">funded by the LSDP </w:t>
      </w:r>
      <w:r w:rsidR="008878BB" w:rsidRPr="00FA1BCF">
        <w:rPr>
          <w:rFonts w:eastAsia="Times New Roman" w:cs="Times New Roman"/>
          <w:szCs w:val="24"/>
          <w:lang w:eastAsia="en-AU"/>
        </w:rPr>
        <w:t xml:space="preserve">currently </w:t>
      </w:r>
      <w:r w:rsidRPr="00FA1BCF">
        <w:rPr>
          <w:rFonts w:eastAsia="Times New Roman" w:cs="Times New Roman"/>
          <w:szCs w:val="24"/>
          <w:lang w:eastAsia="en-AU"/>
        </w:rPr>
        <w:t xml:space="preserve">are lysosomal storage diseases </w:t>
      </w:r>
      <w:r w:rsidR="005012B9" w:rsidRPr="00FA1BCF">
        <w:rPr>
          <w:rFonts w:eastAsia="Times New Roman" w:cs="Times New Roman"/>
          <w:szCs w:val="24"/>
          <w:lang w:eastAsia="en-AU"/>
        </w:rPr>
        <w:t xml:space="preserve">or </w:t>
      </w:r>
      <w:r w:rsidR="00813427" w:rsidRPr="00FA1BCF">
        <w:rPr>
          <w:rFonts w:eastAsia="Times New Roman" w:cs="Times New Roman"/>
          <w:szCs w:val="24"/>
          <w:lang w:eastAsia="en-AU"/>
        </w:rPr>
        <w:t>disorders, which</w:t>
      </w:r>
      <w:r w:rsidRPr="00FA1BCF">
        <w:rPr>
          <w:rFonts w:eastAsia="Times New Roman" w:cs="Times New Roman"/>
          <w:szCs w:val="24"/>
          <w:lang w:eastAsia="en-AU"/>
        </w:rPr>
        <w:t xml:space="preserve"> are ultra-rare conditions.</w:t>
      </w:r>
      <w:r w:rsidR="00B56F35" w:rsidRPr="00FA1BCF">
        <w:rPr>
          <w:rFonts w:eastAsia="Times New Roman" w:cs="Times New Roman"/>
          <w:szCs w:val="24"/>
          <w:lang w:eastAsia="en-AU"/>
        </w:rPr>
        <w:t xml:space="preserve"> </w:t>
      </w:r>
      <w:r w:rsidRPr="00FA1BCF">
        <w:rPr>
          <w:rFonts w:eastAsia="Times New Roman" w:cs="Times New Roman"/>
          <w:szCs w:val="24"/>
          <w:lang w:eastAsia="en-AU"/>
        </w:rPr>
        <w:t xml:space="preserve">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also notes variations in numerical definitions of rare disease in different populations.</w:t>
      </w:r>
      <w:r w:rsidR="00B56F35" w:rsidRPr="00FA1BCF">
        <w:rPr>
          <w:rFonts w:eastAsia="Times New Roman" w:cs="Times New Roman"/>
          <w:szCs w:val="24"/>
          <w:lang w:eastAsia="en-AU"/>
        </w:rPr>
        <w:t xml:space="preserve"> </w:t>
      </w:r>
      <w:r w:rsidRPr="00FA1BCF">
        <w:rPr>
          <w:rFonts w:eastAsia="Times New Roman" w:cs="Times New Roman"/>
          <w:szCs w:val="24"/>
          <w:lang w:eastAsia="en-AU"/>
        </w:rPr>
        <w:t>Th</w:t>
      </w:r>
      <w:r w:rsidR="006C699D" w:rsidRPr="00FA1BCF">
        <w:rPr>
          <w:rFonts w:eastAsia="Times New Roman" w:cs="Times New Roman"/>
          <w:szCs w:val="24"/>
          <w:lang w:eastAsia="en-AU"/>
        </w:rPr>
        <w:t>e proposed</w:t>
      </w:r>
      <w:r w:rsidRPr="00FA1BCF">
        <w:rPr>
          <w:rFonts w:eastAsia="Times New Roman" w:cs="Times New Roman"/>
          <w:szCs w:val="24"/>
          <w:lang w:eastAsia="en-AU"/>
        </w:rPr>
        <w:t xml:space="preserve"> definition</w:t>
      </w:r>
      <w:r w:rsidR="006C699D" w:rsidRPr="00FA1BCF">
        <w:rPr>
          <w:rFonts w:eastAsia="Times New Roman" w:cs="Times New Roman"/>
          <w:szCs w:val="24"/>
          <w:lang w:eastAsia="en-AU"/>
        </w:rPr>
        <w:t xml:space="preserve"> for </w:t>
      </w:r>
      <w:r w:rsidR="00B349D4" w:rsidRPr="00FA1BCF">
        <w:rPr>
          <w:rFonts w:eastAsia="Times New Roman" w:cs="Times New Roman"/>
          <w:szCs w:val="24"/>
          <w:lang w:eastAsia="en-AU"/>
        </w:rPr>
        <w:t>section 100</w:t>
      </w:r>
      <w:r w:rsidRPr="00FA1BCF">
        <w:rPr>
          <w:rFonts w:eastAsia="Times New Roman" w:cs="Times New Roman"/>
          <w:szCs w:val="24"/>
          <w:lang w:eastAsia="en-AU"/>
        </w:rPr>
        <w:t xml:space="preserve"> listing in the PBS would keep the prevalence of the diseases treated in this scheme in the ultra-rare disease category</w:t>
      </w:r>
      <w:r w:rsidR="005012B9" w:rsidRPr="00FA1BCF">
        <w:rPr>
          <w:rFonts w:eastAsia="Times New Roman" w:cs="Times New Roman"/>
          <w:szCs w:val="24"/>
          <w:lang w:eastAsia="en-AU"/>
        </w:rPr>
        <w:t>,</w:t>
      </w:r>
      <w:r w:rsidRPr="00FA1BCF">
        <w:rPr>
          <w:rFonts w:eastAsia="Times New Roman" w:cs="Times New Roman"/>
          <w:szCs w:val="24"/>
          <w:lang w:eastAsia="en-AU"/>
        </w:rPr>
        <w:t xml:space="preserve"> maintaining the historical objectives of the LSDP scheme with some expansion of numbers.</w:t>
      </w:r>
    </w:p>
    <w:p w:rsidR="002376BE" w:rsidRPr="00FA1BCF" w:rsidRDefault="002376BE" w:rsidP="00E436E7">
      <w:pPr>
        <w:pStyle w:val="ListParagraph"/>
        <w:ind w:left="426"/>
        <w:jc w:val="both"/>
        <w:rPr>
          <w:lang w:eastAsia="en-AU"/>
        </w:rPr>
      </w:pPr>
      <w:r w:rsidRPr="00FA1BCF">
        <w:rPr>
          <w:rFonts w:eastAsia="Times New Roman" w:cs="Times New Roman"/>
          <w:szCs w:val="24"/>
          <w:lang w:eastAsia="en-AU"/>
        </w:rPr>
        <w:t>This definition</w:t>
      </w:r>
      <w:r w:rsidR="009A6BB4">
        <w:rPr>
          <w:rFonts w:eastAsia="Times New Roman" w:cs="Times New Roman"/>
          <w:szCs w:val="24"/>
          <w:lang w:eastAsia="en-AU"/>
        </w:rPr>
        <w:t xml:space="preserve"> is aimed at single diseases</w:t>
      </w:r>
      <w:r w:rsidRPr="00FA1BCF">
        <w:rPr>
          <w:rFonts w:eastAsia="Times New Roman" w:cs="Times New Roman"/>
          <w:szCs w:val="24"/>
          <w:lang w:eastAsia="en-AU"/>
        </w:rPr>
        <w:t xml:space="preserve"> with prevalence close to</w:t>
      </w:r>
      <w:r w:rsidR="005012B9" w:rsidRPr="00FA1BCF">
        <w:rPr>
          <w:rFonts w:eastAsia="Times New Roman" w:cs="Times New Roman"/>
          <w:szCs w:val="24"/>
          <w:lang w:eastAsia="en-AU"/>
        </w:rPr>
        <w:t xml:space="preserve"> </w:t>
      </w:r>
      <w:r w:rsidRPr="00FA1BCF">
        <w:rPr>
          <w:rFonts w:eastAsia="Times New Roman" w:cs="Times New Roman"/>
          <w:szCs w:val="24"/>
          <w:lang w:eastAsia="en-AU"/>
        </w:rPr>
        <w:t xml:space="preserve">or equivalent to the total number of people whose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are funded by the LSDP.</w:t>
      </w:r>
      <w:r w:rsidR="00B56F35" w:rsidRPr="00FA1BCF">
        <w:rPr>
          <w:rFonts w:eastAsia="Times New Roman" w:cs="Times New Roman"/>
          <w:szCs w:val="24"/>
          <w:lang w:eastAsia="en-AU"/>
        </w:rPr>
        <w:t xml:space="preserve"> </w:t>
      </w:r>
      <w:r w:rsidR="009A6BB4">
        <w:rPr>
          <w:rFonts w:eastAsia="Times New Roman" w:cs="Times New Roman"/>
          <w:szCs w:val="24"/>
          <w:lang w:eastAsia="en-AU"/>
        </w:rPr>
        <w:t xml:space="preserve"> It is not intended to cover genetic subsets of diseases.  </w:t>
      </w:r>
      <w:r w:rsidRPr="00FA1BCF">
        <w:rPr>
          <w:rFonts w:eastAsia="Times New Roman" w:cs="Times New Roman"/>
          <w:szCs w:val="24"/>
          <w:lang w:eastAsia="en-AU"/>
        </w:rPr>
        <w:t xml:space="preserve">This definition should be incorporated into the PBAC guidelines and revisited in two </w:t>
      </w:r>
      <w:r w:rsidR="00D3280A" w:rsidRPr="00FA1BCF">
        <w:rPr>
          <w:rFonts w:eastAsia="Times New Roman" w:cs="Times New Roman"/>
          <w:szCs w:val="24"/>
          <w:lang w:eastAsia="en-AU"/>
        </w:rPr>
        <w:t>years’ time</w:t>
      </w:r>
      <w:r w:rsidRPr="00FA1BCF">
        <w:rPr>
          <w:rFonts w:eastAsia="Times New Roman" w:cs="Times New Roman"/>
          <w:szCs w:val="24"/>
          <w:lang w:eastAsia="en-AU"/>
        </w:rPr>
        <w:t>.</w:t>
      </w:r>
    </w:p>
    <w:p w:rsidR="002376BE" w:rsidRPr="00FA1BCF" w:rsidRDefault="002376BE" w:rsidP="007B1C20">
      <w:pPr>
        <w:pStyle w:val="ListParagraph"/>
        <w:ind w:left="426"/>
        <w:jc w:val="both"/>
        <w:rPr>
          <w:rFonts w:eastAsia="Times New Roman" w:cs="Times New Roman"/>
          <w:szCs w:val="24"/>
          <w:lang w:eastAsia="en-AU"/>
        </w:rPr>
      </w:pPr>
      <w:r w:rsidRPr="00FA1BCF">
        <w:rPr>
          <w:rFonts w:eastAsia="Times New Roman" w:cs="Times New Roman"/>
          <w:szCs w:val="24"/>
          <w:lang w:eastAsia="en-AU"/>
        </w:rPr>
        <w:t>The review also noted that</w:t>
      </w:r>
      <w:r w:rsidR="007B1C20" w:rsidRPr="00FA1BCF">
        <w:rPr>
          <w:rFonts w:eastAsia="Times New Roman" w:cs="Times New Roman"/>
          <w:szCs w:val="24"/>
          <w:lang w:eastAsia="en-AU"/>
        </w:rPr>
        <w:t>:</w:t>
      </w:r>
    </w:p>
    <w:p w:rsidR="002376BE" w:rsidRPr="00FA1BCF" w:rsidRDefault="002376BE" w:rsidP="007B1C20">
      <w:pPr>
        <w:pStyle w:val="ListParagraph"/>
        <w:numPr>
          <w:ilvl w:val="0"/>
          <w:numId w:val="37"/>
        </w:numPr>
        <w:jc w:val="both"/>
        <w:rPr>
          <w:rFonts w:eastAsia="Times New Roman" w:cs="Times New Roman"/>
          <w:szCs w:val="24"/>
          <w:lang w:eastAsia="en-AU"/>
        </w:rPr>
      </w:pPr>
      <w:r w:rsidRPr="00FA1BCF">
        <w:rPr>
          <w:rFonts w:eastAsia="Times New Roman" w:cs="Times New Roman"/>
          <w:szCs w:val="24"/>
          <w:lang w:eastAsia="en-AU"/>
        </w:rPr>
        <w:lastRenderedPageBreak/>
        <w:t xml:space="preserve">Definitions based on a numerical frequency estimate in the Australian population are </w:t>
      </w:r>
      <w:r w:rsidR="001929D8">
        <w:rPr>
          <w:rFonts w:eastAsia="Times New Roman" w:cs="Times New Roman"/>
          <w:szCs w:val="24"/>
          <w:lang w:eastAsia="en-AU"/>
        </w:rPr>
        <w:t>definable</w:t>
      </w:r>
      <w:r w:rsidR="005012B9" w:rsidRPr="00FA1BCF">
        <w:rPr>
          <w:rFonts w:eastAsia="Times New Roman" w:cs="Times New Roman"/>
          <w:szCs w:val="24"/>
          <w:lang w:eastAsia="en-AU"/>
        </w:rPr>
        <w:t xml:space="preserve"> </w:t>
      </w:r>
      <w:r w:rsidRPr="00FA1BCF">
        <w:rPr>
          <w:rFonts w:eastAsia="Times New Roman" w:cs="Times New Roman"/>
          <w:szCs w:val="24"/>
          <w:lang w:eastAsia="en-AU"/>
        </w:rPr>
        <w:t>for very few disorders.</w:t>
      </w:r>
    </w:p>
    <w:p w:rsidR="002376BE" w:rsidRPr="00FA1BCF" w:rsidRDefault="002376BE" w:rsidP="007B1C20">
      <w:pPr>
        <w:pStyle w:val="ListParagraph"/>
        <w:numPr>
          <w:ilvl w:val="0"/>
          <w:numId w:val="37"/>
        </w:numPr>
        <w:jc w:val="both"/>
        <w:rPr>
          <w:rFonts w:eastAsia="Times New Roman" w:cs="Times New Roman"/>
          <w:szCs w:val="24"/>
          <w:lang w:eastAsia="en-AU"/>
        </w:rPr>
      </w:pPr>
      <w:r w:rsidRPr="00FA1BCF">
        <w:rPr>
          <w:rFonts w:eastAsia="Times New Roman" w:cs="Times New Roman"/>
          <w:szCs w:val="24"/>
          <w:lang w:eastAsia="en-AU"/>
        </w:rPr>
        <w:t>While overseas studies can give some guidance, the frequencies of rare genetic disorders vary considerably between populations here and overseas.</w:t>
      </w:r>
    </w:p>
    <w:p w:rsidR="002376BE" w:rsidRPr="00FA1BCF" w:rsidRDefault="002376BE" w:rsidP="007B1C20">
      <w:pPr>
        <w:pStyle w:val="ListParagraph"/>
        <w:numPr>
          <w:ilvl w:val="0"/>
          <w:numId w:val="37"/>
        </w:numPr>
        <w:jc w:val="both"/>
        <w:rPr>
          <w:rFonts w:eastAsia="Times New Roman" w:cs="Times New Roman"/>
          <w:szCs w:val="24"/>
          <w:lang w:eastAsia="en-AU"/>
        </w:rPr>
      </w:pPr>
      <w:r w:rsidRPr="00FA1BCF">
        <w:rPr>
          <w:rFonts w:eastAsia="Times New Roman" w:cs="Times New Roman"/>
          <w:szCs w:val="24"/>
          <w:lang w:eastAsia="en-AU"/>
        </w:rPr>
        <w:t xml:space="preserve">The best data for Australian populations is from </w:t>
      </w:r>
      <w:r w:rsidR="005012B9" w:rsidRPr="00FA1BCF">
        <w:rPr>
          <w:rFonts w:eastAsia="Times New Roman" w:cs="Times New Roman"/>
          <w:szCs w:val="24"/>
          <w:lang w:eastAsia="en-AU"/>
        </w:rPr>
        <w:t>n</w:t>
      </w:r>
      <w:r w:rsidRPr="00FA1BCF">
        <w:rPr>
          <w:rFonts w:eastAsia="Times New Roman" w:cs="Times New Roman"/>
          <w:szCs w:val="24"/>
          <w:lang w:eastAsia="en-AU"/>
        </w:rPr>
        <w:t xml:space="preserve">ewborn </w:t>
      </w:r>
      <w:r w:rsidR="005012B9" w:rsidRPr="00FA1BCF">
        <w:rPr>
          <w:rFonts w:eastAsia="Times New Roman" w:cs="Times New Roman"/>
          <w:szCs w:val="24"/>
          <w:lang w:eastAsia="en-AU"/>
        </w:rPr>
        <w:t>s</w:t>
      </w:r>
      <w:r w:rsidRPr="00FA1BCF">
        <w:rPr>
          <w:rFonts w:eastAsia="Times New Roman" w:cs="Times New Roman"/>
          <w:szCs w:val="24"/>
          <w:lang w:eastAsia="en-AU"/>
        </w:rPr>
        <w:t xml:space="preserve">creening </w:t>
      </w:r>
      <w:r w:rsidR="005012B9" w:rsidRPr="00FA1BCF">
        <w:rPr>
          <w:rFonts w:eastAsia="Times New Roman" w:cs="Times New Roman"/>
          <w:szCs w:val="24"/>
          <w:lang w:eastAsia="en-AU"/>
        </w:rPr>
        <w:t>p</w:t>
      </w:r>
      <w:r w:rsidRPr="00FA1BCF">
        <w:rPr>
          <w:rFonts w:eastAsia="Times New Roman" w:cs="Times New Roman"/>
          <w:szCs w:val="24"/>
          <w:lang w:eastAsia="en-AU"/>
        </w:rPr>
        <w:t>rogram</w:t>
      </w:r>
      <w:r w:rsidR="005012B9" w:rsidRPr="00FA1BCF">
        <w:rPr>
          <w:rFonts w:eastAsia="Times New Roman" w:cs="Times New Roman"/>
          <w:szCs w:val="24"/>
          <w:lang w:eastAsia="en-AU"/>
        </w:rPr>
        <w:t>me</w:t>
      </w:r>
      <w:r w:rsidRPr="00FA1BCF">
        <w:rPr>
          <w:rFonts w:eastAsia="Times New Roman" w:cs="Times New Roman"/>
          <w:szCs w:val="24"/>
          <w:lang w:eastAsia="en-AU"/>
        </w:rPr>
        <w:t>s</w:t>
      </w:r>
      <w:r w:rsidR="005012B9" w:rsidRPr="00FA1BCF">
        <w:rPr>
          <w:rFonts w:eastAsia="Times New Roman" w:cs="Times New Roman"/>
          <w:szCs w:val="24"/>
          <w:lang w:eastAsia="en-AU"/>
        </w:rPr>
        <w:t>,</w:t>
      </w:r>
      <w:r w:rsidRPr="00FA1BCF">
        <w:rPr>
          <w:rFonts w:eastAsia="Times New Roman" w:cs="Times New Roman"/>
          <w:szCs w:val="24"/>
          <w:lang w:eastAsia="en-AU"/>
        </w:rPr>
        <w:t xml:space="preserve"> which can give a reliable estimate only for </w:t>
      </w:r>
      <w:r w:rsidR="006C699D" w:rsidRPr="00FA1BCF">
        <w:rPr>
          <w:rFonts w:eastAsia="Times New Roman" w:cs="Times New Roman"/>
          <w:szCs w:val="24"/>
          <w:lang w:eastAsia="en-AU"/>
        </w:rPr>
        <w:t>p</w:t>
      </w:r>
      <w:r w:rsidRPr="00FA1BCF">
        <w:rPr>
          <w:rFonts w:eastAsia="Times New Roman" w:cs="Times New Roman"/>
          <w:szCs w:val="24"/>
          <w:lang w:eastAsia="en-AU"/>
        </w:rPr>
        <w:t xml:space="preserve">henylketonuria, </w:t>
      </w:r>
      <w:proofErr w:type="spellStart"/>
      <w:r w:rsidR="006C699D" w:rsidRPr="00FA1BCF">
        <w:rPr>
          <w:rFonts w:eastAsia="Times New Roman" w:cs="Times New Roman"/>
          <w:szCs w:val="24"/>
          <w:lang w:eastAsia="en-AU"/>
        </w:rPr>
        <w:t>g</w:t>
      </w:r>
      <w:r w:rsidRPr="00FA1BCF">
        <w:rPr>
          <w:rFonts w:eastAsia="Times New Roman" w:cs="Times New Roman"/>
          <w:szCs w:val="24"/>
          <w:lang w:eastAsia="en-AU"/>
        </w:rPr>
        <w:t>alactosaemia</w:t>
      </w:r>
      <w:proofErr w:type="spellEnd"/>
      <w:r w:rsidRPr="00FA1BCF">
        <w:rPr>
          <w:rFonts w:eastAsia="Times New Roman" w:cs="Times New Roman"/>
          <w:szCs w:val="24"/>
          <w:lang w:eastAsia="en-AU"/>
        </w:rPr>
        <w:t xml:space="preserve">, </w:t>
      </w:r>
      <w:r w:rsidR="006C699D" w:rsidRPr="00FA1BCF">
        <w:rPr>
          <w:rFonts w:eastAsia="Times New Roman" w:cs="Times New Roman"/>
          <w:szCs w:val="24"/>
          <w:lang w:eastAsia="en-AU"/>
        </w:rPr>
        <w:t>c</w:t>
      </w:r>
      <w:r w:rsidRPr="00FA1BCF">
        <w:rPr>
          <w:rFonts w:eastAsia="Times New Roman" w:cs="Times New Roman"/>
          <w:szCs w:val="24"/>
          <w:lang w:eastAsia="en-AU"/>
        </w:rPr>
        <w:t xml:space="preserve">ystic </w:t>
      </w:r>
      <w:r w:rsidR="006C699D" w:rsidRPr="00FA1BCF">
        <w:rPr>
          <w:rFonts w:eastAsia="Times New Roman" w:cs="Times New Roman"/>
          <w:szCs w:val="24"/>
          <w:lang w:eastAsia="en-AU"/>
        </w:rPr>
        <w:t>f</w:t>
      </w:r>
      <w:r w:rsidRPr="00FA1BCF">
        <w:rPr>
          <w:rFonts w:eastAsia="Times New Roman" w:cs="Times New Roman"/>
          <w:szCs w:val="24"/>
          <w:lang w:eastAsia="en-AU"/>
        </w:rPr>
        <w:t xml:space="preserve">ibrosis, </w:t>
      </w:r>
      <w:r w:rsidR="006C699D" w:rsidRPr="00FA1BCF">
        <w:rPr>
          <w:rFonts w:eastAsia="Times New Roman" w:cs="Times New Roman"/>
          <w:szCs w:val="24"/>
          <w:lang w:eastAsia="en-AU"/>
        </w:rPr>
        <w:t>c</w:t>
      </w:r>
      <w:r w:rsidRPr="00FA1BCF">
        <w:rPr>
          <w:rFonts w:eastAsia="Times New Roman" w:cs="Times New Roman"/>
          <w:szCs w:val="24"/>
          <w:lang w:eastAsia="en-AU"/>
        </w:rPr>
        <w:t xml:space="preserve">ongenital </w:t>
      </w:r>
      <w:r w:rsidR="006C699D" w:rsidRPr="00FA1BCF">
        <w:rPr>
          <w:rFonts w:eastAsia="Times New Roman" w:cs="Times New Roman"/>
          <w:szCs w:val="24"/>
          <w:lang w:eastAsia="en-AU"/>
        </w:rPr>
        <w:t>h</w:t>
      </w:r>
      <w:r w:rsidRPr="00FA1BCF">
        <w:rPr>
          <w:rFonts w:eastAsia="Times New Roman" w:cs="Times New Roman"/>
          <w:szCs w:val="24"/>
          <w:lang w:eastAsia="en-AU"/>
        </w:rPr>
        <w:t>ypothyroidism etc.</w:t>
      </w:r>
      <w:r w:rsidR="00B56F35" w:rsidRPr="00FA1BCF">
        <w:rPr>
          <w:rFonts w:eastAsia="Times New Roman" w:cs="Times New Roman"/>
          <w:szCs w:val="24"/>
          <w:lang w:eastAsia="en-AU"/>
        </w:rPr>
        <w:t xml:space="preserve"> </w:t>
      </w:r>
    </w:p>
    <w:p w:rsidR="002376BE" w:rsidRPr="00E436E7" w:rsidRDefault="002376BE" w:rsidP="00E436E7">
      <w:pPr>
        <w:pStyle w:val="ListParagraph"/>
        <w:numPr>
          <w:ilvl w:val="0"/>
          <w:numId w:val="37"/>
        </w:numPr>
        <w:jc w:val="both"/>
        <w:rPr>
          <w:rFonts w:eastAsia="Times New Roman" w:cs="Times New Roman"/>
          <w:szCs w:val="24"/>
          <w:lang w:eastAsia="en-AU"/>
        </w:rPr>
      </w:pPr>
      <w:r w:rsidRPr="00FA1BCF">
        <w:rPr>
          <w:rFonts w:eastAsia="Times New Roman" w:cs="Times New Roman"/>
          <w:szCs w:val="24"/>
          <w:lang w:eastAsia="en-AU"/>
        </w:rPr>
        <w:t xml:space="preserve">Several other sources of data can give population frequencies for </w:t>
      </w:r>
      <w:r w:rsidR="005012B9" w:rsidRPr="00FA1BCF">
        <w:rPr>
          <w:rFonts w:eastAsia="Times New Roman" w:cs="Times New Roman"/>
          <w:szCs w:val="24"/>
          <w:lang w:eastAsia="en-AU"/>
        </w:rPr>
        <w:t>r</w:t>
      </w:r>
      <w:r w:rsidRPr="00FA1BCF">
        <w:rPr>
          <w:rFonts w:eastAsia="Times New Roman" w:cs="Times New Roman"/>
          <w:szCs w:val="24"/>
          <w:lang w:eastAsia="en-AU"/>
        </w:rPr>
        <w:t xml:space="preserve">are </w:t>
      </w:r>
      <w:r w:rsidR="005012B9" w:rsidRPr="00FA1BCF">
        <w:rPr>
          <w:rFonts w:eastAsia="Times New Roman" w:cs="Times New Roman"/>
          <w:szCs w:val="24"/>
          <w:lang w:eastAsia="en-AU"/>
        </w:rPr>
        <w:t>g</w:t>
      </w:r>
      <w:r w:rsidRPr="00FA1BCF">
        <w:rPr>
          <w:rFonts w:eastAsia="Times New Roman" w:cs="Times New Roman"/>
          <w:szCs w:val="24"/>
          <w:lang w:eastAsia="en-AU"/>
        </w:rPr>
        <w:t xml:space="preserve">enetic </w:t>
      </w:r>
      <w:r w:rsidR="005012B9" w:rsidRPr="00FA1BCF">
        <w:rPr>
          <w:rFonts w:eastAsia="Times New Roman" w:cs="Times New Roman"/>
          <w:szCs w:val="24"/>
          <w:lang w:eastAsia="en-AU"/>
        </w:rPr>
        <w:t>d</w:t>
      </w:r>
      <w:r w:rsidRPr="00FA1BCF">
        <w:rPr>
          <w:rFonts w:eastAsia="Times New Roman" w:cs="Times New Roman"/>
          <w:szCs w:val="24"/>
          <w:lang w:eastAsia="en-AU"/>
        </w:rPr>
        <w:t>isorders</w:t>
      </w:r>
      <w:r w:rsidR="00FA33D4" w:rsidRPr="00FA1BCF">
        <w:rPr>
          <w:rFonts w:eastAsia="Times New Roman" w:cs="Times New Roman"/>
          <w:szCs w:val="24"/>
          <w:lang w:eastAsia="en-AU"/>
        </w:rPr>
        <w:t>,</w:t>
      </w:r>
      <w:r w:rsidR="006C699D" w:rsidRPr="00FA1BCF">
        <w:rPr>
          <w:rFonts w:eastAsia="Times New Roman" w:cs="Times New Roman"/>
          <w:szCs w:val="24"/>
          <w:lang w:eastAsia="en-AU"/>
        </w:rPr>
        <w:t xml:space="preserve"> </w:t>
      </w:r>
      <w:r w:rsidRPr="00FA1BCF">
        <w:rPr>
          <w:rFonts w:eastAsia="Times New Roman" w:cs="Times New Roman"/>
          <w:szCs w:val="24"/>
          <w:lang w:eastAsia="en-AU"/>
        </w:rPr>
        <w:t>e.g. Huntington</w:t>
      </w:r>
      <w:r w:rsidR="002E75C7" w:rsidRPr="00FA1BCF">
        <w:rPr>
          <w:rFonts w:eastAsia="Times New Roman" w:cs="Times New Roman"/>
          <w:szCs w:val="24"/>
          <w:lang w:eastAsia="en-AU"/>
        </w:rPr>
        <w:t>’s</w:t>
      </w:r>
      <w:r w:rsidRPr="00FA1BCF">
        <w:rPr>
          <w:rFonts w:eastAsia="Times New Roman" w:cs="Times New Roman"/>
          <w:szCs w:val="24"/>
          <w:lang w:eastAsia="en-AU"/>
        </w:rPr>
        <w:t xml:space="preserve"> disease</w:t>
      </w:r>
      <w:r w:rsidR="006C699D" w:rsidRPr="00FA1BCF">
        <w:rPr>
          <w:rFonts w:eastAsia="Times New Roman" w:cs="Times New Roman"/>
          <w:szCs w:val="24"/>
          <w:lang w:eastAsia="en-AU"/>
        </w:rPr>
        <w:t>,</w:t>
      </w:r>
      <w:r w:rsidRPr="00FA1BCF">
        <w:rPr>
          <w:rFonts w:eastAsia="Times New Roman" w:cs="Times New Roman"/>
          <w:szCs w:val="24"/>
          <w:lang w:eastAsia="en-AU"/>
        </w:rPr>
        <w:t xml:space="preserve"> and some non-genetic disorders</w:t>
      </w:r>
      <w:r w:rsidR="006C699D" w:rsidRPr="00FA1BCF">
        <w:rPr>
          <w:rFonts w:eastAsia="Times New Roman" w:cs="Times New Roman"/>
          <w:szCs w:val="24"/>
          <w:lang w:eastAsia="en-AU"/>
        </w:rPr>
        <w:t>,</w:t>
      </w:r>
      <w:r w:rsidRPr="00FA1BCF">
        <w:rPr>
          <w:rFonts w:eastAsia="Times New Roman" w:cs="Times New Roman"/>
          <w:szCs w:val="24"/>
          <w:lang w:eastAsia="en-AU"/>
        </w:rPr>
        <w:t xml:space="preserve"> e.g. multiple sclerosis.</w:t>
      </w:r>
    </w:p>
    <w:p w:rsidR="007B1C20" w:rsidRPr="00FA1BCF" w:rsidRDefault="002376BE" w:rsidP="00E436E7">
      <w:pPr>
        <w:pStyle w:val="ListParagraph"/>
        <w:ind w:left="426"/>
        <w:jc w:val="both"/>
        <w:rPr>
          <w:lang w:eastAsia="en-AU"/>
        </w:rPr>
      </w:pPr>
      <w:r w:rsidRPr="00FA1BCF">
        <w:rPr>
          <w:rFonts w:eastAsia="Times New Roman" w:cs="Times New Roman"/>
          <w:szCs w:val="24"/>
          <w:lang w:eastAsia="en-AU"/>
        </w:rPr>
        <w:t>For the purpose of public subsidy, the meaning of rare disease is restricted to the prevalence proposed</w:t>
      </w:r>
      <w:r w:rsidR="009A6BB4">
        <w:rPr>
          <w:rFonts w:eastAsia="Times New Roman" w:cs="Times New Roman"/>
          <w:szCs w:val="24"/>
          <w:lang w:eastAsia="en-AU"/>
        </w:rPr>
        <w:t xml:space="preserve">. The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can only be classified as a rare disease treatment for a particular indication as </w:t>
      </w:r>
      <w:r w:rsidR="009A6BB4">
        <w:rPr>
          <w:rFonts w:eastAsia="Times New Roman" w:cs="Times New Roman"/>
          <w:szCs w:val="24"/>
          <w:lang w:eastAsia="en-AU"/>
        </w:rPr>
        <w:t>register</w:t>
      </w:r>
      <w:r w:rsidRPr="00FA1BCF">
        <w:rPr>
          <w:rFonts w:eastAsia="Times New Roman" w:cs="Times New Roman"/>
          <w:szCs w:val="24"/>
          <w:lang w:eastAsia="en-AU"/>
        </w:rPr>
        <w:t xml:space="preserve">ed by the </w:t>
      </w:r>
      <w:r w:rsidR="00510EE1">
        <w:rPr>
          <w:rFonts w:eastAsia="Times New Roman" w:cs="Times New Roman"/>
          <w:szCs w:val="24"/>
          <w:lang w:eastAsia="en-AU"/>
        </w:rPr>
        <w:t>TGA</w:t>
      </w:r>
      <w:r w:rsidRPr="00FA1BCF">
        <w:rPr>
          <w:rFonts w:eastAsia="Times New Roman" w:cs="Times New Roman"/>
          <w:szCs w:val="24"/>
          <w:lang w:eastAsia="en-AU"/>
        </w:rPr>
        <w:t>.</w:t>
      </w:r>
      <w:r w:rsidR="00B56F35" w:rsidRPr="00FA1BCF">
        <w:rPr>
          <w:rFonts w:eastAsia="Times New Roman" w:cs="Times New Roman"/>
          <w:szCs w:val="24"/>
          <w:lang w:eastAsia="en-AU"/>
        </w:rPr>
        <w:t xml:space="preserve"> </w:t>
      </w:r>
      <w:r w:rsidR="00B31576">
        <w:rPr>
          <w:rFonts w:eastAsia="Times New Roman" w:cs="Times New Roman"/>
          <w:szCs w:val="24"/>
          <w:lang w:eastAsia="en-AU"/>
        </w:rPr>
        <w:t xml:space="preserve"> Unlike </w:t>
      </w:r>
      <w:r w:rsidRPr="00FA1BCF">
        <w:rPr>
          <w:rFonts w:eastAsia="Times New Roman" w:cs="Times New Roman"/>
          <w:szCs w:val="24"/>
          <w:lang w:eastAsia="en-AU"/>
        </w:rPr>
        <w:t xml:space="preserve">the TGA’s Orphan Drugs Programme, for the purposes of subsidising the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on the PBS</w:t>
      </w:r>
      <w:r w:rsidR="009A6BB4">
        <w:rPr>
          <w:rFonts w:eastAsia="Times New Roman" w:cs="Times New Roman"/>
          <w:szCs w:val="24"/>
          <w:lang w:eastAsia="en-AU"/>
        </w:rPr>
        <w:t xml:space="preserve"> section 100 Medicines for Rare Disease Programme,</w:t>
      </w:r>
      <w:r w:rsidRPr="00FA1BCF">
        <w:rPr>
          <w:rFonts w:eastAsia="Times New Roman" w:cs="Times New Roman"/>
          <w:szCs w:val="24"/>
          <w:lang w:eastAsia="en-AU"/>
        </w:rPr>
        <w:t xml:space="preserve"> the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may be only classified as a </w:t>
      </w:r>
      <w:r w:rsidR="009A6BB4">
        <w:rPr>
          <w:rFonts w:eastAsia="Times New Roman" w:cs="Times New Roman"/>
          <w:szCs w:val="24"/>
          <w:lang w:eastAsia="en-AU"/>
        </w:rPr>
        <w:t>rare</w:t>
      </w:r>
      <w:r w:rsidRPr="00FA1BCF">
        <w:rPr>
          <w:rFonts w:eastAsia="Times New Roman" w:cs="Times New Roman"/>
          <w:szCs w:val="24"/>
          <w:lang w:eastAsia="en-AU"/>
        </w:rPr>
        <w:t xml:space="preserv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once.</w:t>
      </w:r>
    </w:p>
    <w:p w:rsidR="00CC79FE" w:rsidRPr="00FA1BCF" w:rsidRDefault="00CC79FE" w:rsidP="00CC79FE">
      <w:pPr>
        <w:jc w:val="both"/>
        <w:rPr>
          <w:rFonts w:eastAsia="Times New Roman" w:cs="Times New Roman"/>
          <w:b/>
          <w:i/>
          <w:szCs w:val="24"/>
          <w:lang w:eastAsia="en-AU"/>
        </w:rPr>
      </w:pPr>
      <w:r w:rsidRPr="00FA1BCF">
        <w:rPr>
          <w:rFonts w:eastAsia="Times New Roman" w:cs="Times New Roman"/>
          <w:b/>
          <w:i/>
          <w:szCs w:val="24"/>
          <w:lang w:eastAsia="en-AU"/>
        </w:rPr>
        <w:t xml:space="preserve">8. </w:t>
      </w:r>
      <w:r w:rsidR="006C699D" w:rsidRPr="00FA1BCF">
        <w:rPr>
          <w:rFonts w:eastAsia="Times New Roman" w:cs="Times New Roman"/>
          <w:b/>
          <w:i/>
          <w:szCs w:val="24"/>
          <w:lang w:eastAsia="en-AU"/>
        </w:rPr>
        <w:t xml:space="preserve">A </w:t>
      </w:r>
      <w:r w:rsidRPr="00FA1BCF">
        <w:rPr>
          <w:rFonts w:eastAsia="Times New Roman" w:cs="Times New Roman"/>
          <w:b/>
          <w:i/>
          <w:szCs w:val="24"/>
          <w:lang w:eastAsia="en-AU"/>
        </w:rPr>
        <w:t>small number of centres of clinical expertise in rare diseases</w:t>
      </w:r>
      <w:r w:rsidR="006C699D" w:rsidRPr="00FA1BCF">
        <w:rPr>
          <w:rFonts w:eastAsia="Times New Roman" w:cs="Times New Roman"/>
          <w:b/>
          <w:i/>
          <w:szCs w:val="24"/>
          <w:lang w:eastAsia="en-AU"/>
        </w:rPr>
        <w:t xml:space="preserve"> should be established</w:t>
      </w:r>
      <w:r w:rsidRPr="00FA1BCF">
        <w:rPr>
          <w:rFonts w:eastAsia="Times New Roman" w:cs="Times New Roman"/>
          <w:b/>
          <w:i/>
          <w:szCs w:val="24"/>
          <w:lang w:eastAsia="en-AU"/>
        </w:rPr>
        <w:t xml:space="preserve">. These should incorporate state-based clinical advisory committees, with the larger states networking with smaller states or territories. </w:t>
      </w:r>
    </w:p>
    <w:p w:rsidR="00CC79FE" w:rsidRPr="00FA1BCF" w:rsidRDefault="00CC79FE">
      <w:pPr>
        <w:ind w:left="360"/>
        <w:jc w:val="both"/>
        <w:rPr>
          <w:rFonts w:eastAsia="Times New Roman" w:cs="Times New Roman"/>
          <w:szCs w:val="24"/>
          <w:lang w:eastAsia="en-AU"/>
        </w:rPr>
      </w:pPr>
      <w:r w:rsidRPr="00FA1BCF">
        <w:rPr>
          <w:rFonts w:eastAsia="Times New Roman" w:cs="Times New Roman"/>
          <w:szCs w:val="24"/>
          <w:lang w:eastAsia="en-AU"/>
        </w:rPr>
        <w:t xml:space="preserve">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notes that in relation to these medicines</w:t>
      </w:r>
      <w:r w:rsidR="00353551" w:rsidRPr="00FA1BCF">
        <w:rPr>
          <w:rFonts w:eastAsia="Times New Roman" w:cs="Times New Roman"/>
          <w:szCs w:val="24"/>
          <w:lang w:eastAsia="en-AU"/>
        </w:rPr>
        <w:t>,</w:t>
      </w:r>
      <w:r w:rsidRPr="00FA1BCF">
        <w:rPr>
          <w:rFonts w:eastAsia="Times New Roman" w:cs="Times New Roman"/>
          <w:szCs w:val="24"/>
          <w:lang w:eastAsia="en-AU"/>
        </w:rPr>
        <w:t xml:space="preserve"> as well as the funding mechanism there is a need for an efficient and effective distribution system. The conditions for which these medicines are being prescribed </w:t>
      </w:r>
      <w:r w:rsidR="00527FE3" w:rsidRPr="00FA1BCF">
        <w:rPr>
          <w:rFonts w:eastAsia="Times New Roman" w:cs="Times New Roman"/>
          <w:szCs w:val="24"/>
          <w:lang w:eastAsia="en-AU"/>
        </w:rPr>
        <w:t xml:space="preserve">are managed by </w:t>
      </w:r>
      <w:r w:rsidRPr="00FA1BCF">
        <w:rPr>
          <w:rFonts w:eastAsia="Times New Roman" w:cs="Times New Roman"/>
          <w:szCs w:val="24"/>
          <w:lang w:eastAsia="en-AU"/>
        </w:rPr>
        <w:t xml:space="preserve">a small number of specialists. Consequently 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believes that having </w:t>
      </w:r>
      <w:r w:rsidR="00527FE3" w:rsidRPr="00FA1BCF">
        <w:rPr>
          <w:rFonts w:eastAsia="Times New Roman" w:cs="Times New Roman"/>
          <w:szCs w:val="24"/>
          <w:lang w:eastAsia="en-AU"/>
        </w:rPr>
        <w:t xml:space="preserve">a small number of </w:t>
      </w:r>
      <w:r w:rsidR="00FA33D4" w:rsidRPr="00FA1BCF">
        <w:rPr>
          <w:rFonts w:eastAsia="Times New Roman" w:cs="Times New Roman"/>
          <w:szCs w:val="24"/>
          <w:lang w:eastAsia="en-AU"/>
        </w:rPr>
        <w:t>c</w:t>
      </w:r>
      <w:r w:rsidRPr="00FA1BCF">
        <w:rPr>
          <w:rFonts w:eastAsia="Times New Roman" w:cs="Times New Roman"/>
          <w:szCs w:val="24"/>
          <w:lang w:eastAsia="en-AU"/>
        </w:rPr>
        <w:t xml:space="preserve">entres of </w:t>
      </w:r>
      <w:r w:rsidR="00FA33D4" w:rsidRPr="00FA1BCF">
        <w:rPr>
          <w:rFonts w:eastAsia="Times New Roman" w:cs="Times New Roman"/>
          <w:szCs w:val="24"/>
          <w:lang w:eastAsia="en-AU"/>
        </w:rPr>
        <w:t>e</w:t>
      </w:r>
      <w:r w:rsidRPr="00FA1BCF">
        <w:rPr>
          <w:rFonts w:eastAsia="Times New Roman" w:cs="Times New Roman"/>
          <w:szCs w:val="24"/>
          <w:lang w:eastAsia="en-AU"/>
        </w:rPr>
        <w:t>xpertise located across the states and territories would improve access to clinical care and patient management.</w:t>
      </w:r>
      <w:r w:rsidR="00326FA5" w:rsidRPr="00FA1BCF">
        <w:rPr>
          <w:rFonts w:eastAsia="Times New Roman" w:cs="Times New Roman"/>
          <w:szCs w:val="24"/>
          <w:lang w:eastAsia="en-AU"/>
        </w:rPr>
        <w:t xml:space="preserve"> Such </w:t>
      </w:r>
      <w:r w:rsidR="00FA33D4" w:rsidRPr="00FA1BCF">
        <w:rPr>
          <w:rFonts w:eastAsia="Times New Roman" w:cs="Times New Roman"/>
          <w:szCs w:val="24"/>
          <w:lang w:eastAsia="en-AU"/>
        </w:rPr>
        <w:t>c</w:t>
      </w:r>
      <w:r w:rsidR="00326FA5" w:rsidRPr="00FA1BCF">
        <w:rPr>
          <w:rFonts w:eastAsia="Times New Roman" w:cs="Times New Roman"/>
          <w:szCs w:val="24"/>
          <w:lang w:eastAsia="en-AU"/>
        </w:rPr>
        <w:t xml:space="preserve">entres could also provide support to </w:t>
      </w:r>
      <w:r w:rsidR="0043259F" w:rsidRPr="00FA1BCF">
        <w:rPr>
          <w:rFonts w:eastAsia="Times New Roman" w:cs="Times New Roman"/>
          <w:szCs w:val="24"/>
          <w:lang w:eastAsia="en-AU"/>
        </w:rPr>
        <w:t xml:space="preserve">patients and their usual treating </w:t>
      </w:r>
      <w:r w:rsidR="00326FA5" w:rsidRPr="00FA1BCF">
        <w:rPr>
          <w:rFonts w:eastAsia="Times New Roman" w:cs="Times New Roman"/>
          <w:szCs w:val="24"/>
          <w:lang w:eastAsia="en-AU"/>
        </w:rPr>
        <w:t>clinician</w:t>
      </w:r>
      <w:r w:rsidR="0043259F" w:rsidRPr="00FA1BCF">
        <w:rPr>
          <w:rFonts w:eastAsia="Times New Roman" w:cs="Times New Roman"/>
          <w:szCs w:val="24"/>
          <w:lang w:eastAsia="en-AU"/>
        </w:rPr>
        <w:t xml:space="preserve"> where they are managed away from the </w:t>
      </w:r>
      <w:r w:rsidR="00FA33D4" w:rsidRPr="00FA1BCF">
        <w:rPr>
          <w:rFonts w:eastAsia="Times New Roman" w:cs="Times New Roman"/>
          <w:szCs w:val="24"/>
          <w:lang w:eastAsia="en-AU"/>
        </w:rPr>
        <w:t>c</w:t>
      </w:r>
      <w:r w:rsidR="0043259F" w:rsidRPr="00FA1BCF">
        <w:rPr>
          <w:rFonts w:eastAsia="Times New Roman" w:cs="Times New Roman"/>
          <w:szCs w:val="24"/>
          <w:lang w:eastAsia="en-AU"/>
        </w:rPr>
        <w:t>entre.</w:t>
      </w:r>
      <w:r w:rsidR="005B2053" w:rsidRPr="00FA1BCF">
        <w:rPr>
          <w:rFonts w:eastAsia="Times New Roman" w:cs="Times New Roman"/>
          <w:szCs w:val="24"/>
          <w:lang w:eastAsia="en-AU"/>
        </w:rPr>
        <w:t xml:space="preserve"> It is likely that</w:t>
      </w:r>
      <w:r w:rsidR="00F718AB" w:rsidRPr="00FA1BCF">
        <w:rPr>
          <w:rFonts w:eastAsia="Times New Roman" w:cs="Times New Roman"/>
          <w:szCs w:val="24"/>
          <w:lang w:eastAsia="en-AU"/>
        </w:rPr>
        <w:t xml:space="preserve"> in most if not all cases</w:t>
      </w:r>
      <w:r w:rsidR="005B2053" w:rsidRPr="00FA1BCF">
        <w:rPr>
          <w:rFonts w:eastAsia="Times New Roman" w:cs="Times New Roman"/>
          <w:szCs w:val="24"/>
          <w:lang w:eastAsia="en-AU"/>
        </w:rPr>
        <w:t xml:space="preserve"> these </w:t>
      </w:r>
      <w:r w:rsidR="00F718AB" w:rsidRPr="00FA1BCF">
        <w:rPr>
          <w:rFonts w:eastAsia="Times New Roman" w:cs="Times New Roman"/>
          <w:szCs w:val="24"/>
          <w:lang w:eastAsia="en-AU"/>
        </w:rPr>
        <w:t xml:space="preserve">centres </w:t>
      </w:r>
      <w:r w:rsidR="00527FE3" w:rsidRPr="00FA1BCF">
        <w:rPr>
          <w:rFonts w:eastAsia="Times New Roman" w:cs="Times New Roman"/>
          <w:szCs w:val="24"/>
          <w:lang w:eastAsia="en-AU"/>
        </w:rPr>
        <w:t xml:space="preserve">of clinical expertise </w:t>
      </w:r>
      <w:r w:rsidR="00F718AB" w:rsidRPr="00FA1BCF">
        <w:rPr>
          <w:rFonts w:eastAsia="Times New Roman" w:cs="Times New Roman"/>
          <w:szCs w:val="24"/>
          <w:lang w:eastAsia="en-AU"/>
        </w:rPr>
        <w:t xml:space="preserve">would be </w:t>
      </w:r>
      <w:r w:rsidR="00527FE3" w:rsidRPr="00FA1BCF">
        <w:rPr>
          <w:rFonts w:eastAsia="Times New Roman" w:cs="Times New Roman"/>
          <w:szCs w:val="24"/>
          <w:lang w:eastAsia="en-AU"/>
        </w:rPr>
        <w:t xml:space="preserve">a formal recognition of the role of </w:t>
      </w:r>
      <w:r w:rsidR="00F718AB" w:rsidRPr="00FA1BCF">
        <w:rPr>
          <w:rFonts w:eastAsia="Times New Roman" w:cs="Times New Roman"/>
          <w:szCs w:val="24"/>
          <w:lang w:eastAsia="en-AU"/>
        </w:rPr>
        <w:t>ex</w:t>
      </w:r>
      <w:r w:rsidR="00527FE3" w:rsidRPr="00FA1BCF">
        <w:rPr>
          <w:rFonts w:eastAsia="Times New Roman" w:cs="Times New Roman"/>
          <w:szCs w:val="24"/>
          <w:lang w:eastAsia="en-AU"/>
        </w:rPr>
        <w:t>isting</w:t>
      </w:r>
      <w:r w:rsidR="000B127C" w:rsidRPr="00FA1BCF">
        <w:rPr>
          <w:rFonts w:eastAsia="Times New Roman" w:cs="Times New Roman"/>
          <w:szCs w:val="24"/>
          <w:lang w:eastAsia="en-AU"/>
        </w:rPr>
        <w:t xml:space="preserve"> treatment hubs.</w:t>
      </w:r>
    </w:p>
    <w:p w:rsidR="00CC79FE" w:rsidRPr="00E436E7" w:rsidRDefault="00CC79FE" w:rsidP="00E436E7">
      <w:pPr>
        <w:ind w:left="360"/>
        <w:jc w:val="both"/>
        <w:rPr>
          <w:rFonts w:eastAsia="Times New Roman" w:cs="Times New Roman"/>
          <w:szCs w:val="24"/>
          <w:lang w:eastAsia="en-AU"/>
        </w:rPr>
      </w:pPr>
      <w:r w:rsidRPr="00FA1BCF">
        <w:rPr>
          <w:rFonts w:eastAsia="Times New Roman" w:cs="Times New Roman"/>
          <w:szCs w:val="24"/>
          <w:lang w:eastAsia="en-AU"/>
        </w:rPr>
        <w:t xml:space="preserve">Specialised treatment centres for Fabry </w:t>
      </w:r>
      <w:r w:rsidR="00FA33D4" w:rsidRPr="00FA1BCF">
        <w:rPr>
          <w:rFonts w:eastAsia="Times New Roman" w:cs="Times New Roman"/>
          <w:szCs w:val="24"/>
          <w:lang w:eastAsia="en-AU"/>
        </w:rPr>
        <w:t>d</w:t>
      </w:r>
      <w:r w:rsidRPr="00FA1BCF">
        <w:rPr>
          <w:rFonts w:eastAsia="Times New Roman" w:cs="Times New Roman"/>
          <w:szCs w:val="24"/>
          <w:lang w:eastAsia="en-AU"/>
        </w:rPr>
        <w:t xml:space="preserve">isease are already operating in the states and territories and can be emulated across the different rare disease types. </w:t>
      </w:r>
      <w:r w:rsidR="00353551" w:rsidRPr="00FA1BCF">
        <w:rPr>
          <w:rFonts w:eastAsia="Times New Roman" w:cs="Times New Roman"/>
          <w:szCs w:val="24"/>
          <w:lang w:eastAsia="en-AU"/>
        </w:rPr>
        <w:t>Setting t</w:t>
      </w:r>
      <w:r w:rsidRPr="00FA1BCF">
        <w:rPr>
          <w:rFonts w:eastAsia="Times New Roman" w:cs="Times New Roman"/>
          <w:szCs w:val="24"/>
          <w:lang w:eastAsia="en-AU"/>
        </w:rPr>
        <w:t xml:space="preserve">hese </w:t>
      </w:r>
      <w:r w:rsidR="00FA33D4" w:rsidRPr="00FA1BCF">
        <w:rPr>
          <w:rFonts w:eastAsia="Times New Roman" w:cs="Times New Roman"/>
          <w:szCs w:val="24"/>
          <w:lang w:eastAsia="en-AU"/>
        </w:rPr>
        <w:t>c</w:t>
      </w:r>
      <w:r w:rsidRPr="00FA1BCF">
        <w:rPr>
          <w:rFonts w:eastAsia="Times New Roman" w:cs="Times New Roman"/>
          <w:szCs w:val="24"/>
          <w:lang w:eastAsia="en-AU"/>
        </w:rPr>
        <w:t xml:space="preserve">entres up across five states and territories may </w:t>
      </w:r>
      <w:r w:rsidR="00FA33D4" w:rsidRPr="00FA1BCF">
        <w:rPr>
          <w:rFonts w:eastAsia="Times New Roman" w:cs="Times New Roman"/>
          <w:szCs w:val="24"/>
          <w:lang w:eastAsia="en-AU"/>
        </w:rPr>
        <w:t xml:space="preserve">enable them to </w:t>
      </w:r>
      <w:r w:rsidRPr="00FA1BCF">
        <w:rPr>
          <w:rFonts w:eastAsia="Times New Roman" w:cs="Times New Roman"/>
          <w:szCs w:val="24"/>
          <w:lang w:eastAsia="en-AU"/>
        </w:rPr>
        <w:t xml:space="preserve">act as central nodes of clinical expertise and education for patients and professionals alike. </w:t>
      </w:r>
    </w:p>
    <w:p w:rsidR="00CC79FE" w:rsidRPr="00FA1BCF" w:rsidRDefault="00CC79FE" w:rsidP="00E436E7">
      <w:pPr>
        <w:ind w:left="360"/>
        <w:jc w:val="both"/>
        <w:rPr>
          <w:rFonts w:eastAsia="Times New Roman" w:cs="Times New Roman"/>
          <w:szCs w:val="24"/>
          <w:lang w:eastAsia="en-AU"/>
        </w:rPr>
      </w:pPr>
      <w:r w:rsidRPr="00FA1BCF">
        <w:rPr>
          <w:rFonts w:eastAsia="Times New Roman" w:cs="Times New Roman"/>
          <w:szCs w:val="24"/>
          <w:lang w:eastAsia="en-AU"/>
        </w:rPr>
        <w:t>In the main, stakeholders supported establishing these centres. A few stakeholders were concerned that states and territories would not fund these centres as a matter of priority without central management. Others were concerned that</w:t>
      </w:r>
      <w:r w:rsidR="00FA33D4" w:rsidRPr="00FA1BCF">
        <w:rPr>
          <w:rFonts w:eastAsia="Times New Roman" w:cs="Times New Roman"/>
          <w:szCs w:val="24"/>
          <w:lang w:eastAsia="en-AU"/>
        </w:rPr>
        <w:t>,</w:t>
      </w:r>
      <w:r w:rsidRPr="00FA1BCF">
        <w:rPr>
          <w:rFonts w:eastAsia="Times New Roman" w:cs="Times New Roman"/>
          <w:szCs w:val="24"/>
          <w:lang w:eastAsia="en-AU"/>
        </w:rPr>
        <w:t xml:space="preserve"> without a centrally managed programme, there is a risk that clinical expertise may be diluted over</w:t>
      </w:r>
      <w:r w:rsidR="00FA33D4" w:rsidRPr="00FA1BCF">
        <w:rPr>
          <w:rFonts w:eastAsia="Times New Roman" w:cs="Times New Roman"/>
          <w:szCs w:val="24"/>
          <w:lang w:eastAsia="en-AU"/>
        </w:rPr>
        <w:t xml:space="preserve"> </w:t>
      </w:r>
      <w:r w:rsidRPr="00FA1BCF">
        <w:rPr>
          <w:rFonts w:eastAsia="Times New Roman" w:cs="Times New Roman"/>
          <w:szCs w:val="24"/>
          <w:lang w:eastAsia="en-AU"/>
        </w:rPr>
        <w:t>time.</w:t>
      </w:r>
      <w:r w:rsidR="0027265B" w:rsidRPr="00FA1BCF">
        <w:rPr>
          <w:rFonts w:eastAsia="Times New Roman" w:cs="Times New Roman"/>
          <w:szCs w:val="24"/>
          <w:lang w:eastAsia="en-AU"/>
        </w:rPr>
        <w:t xml:space="preserve"> It is important to note that </w:t>
      </w:r>
      <w:r w:rsidR="00884FAD" w:rsidRPr="00FA1BCF">
        <w:rPr>
          <w:rFonts w:eastAsia="Times New Roman" w:cs="Times New Roman"/>
          <w:szCs w:val="24"/>
          <w:lang w:eastAsia="en-AU"/>
        </w:rPr>
        <w:t>access to subsidy for th</w:t>
      </w:r>
      <w:r w:rsidR="00527FE3" w:rsidRPr="00FA1BCF">
        <w:rPr>
          <w:rFonts w:eastAsia="Times New Roman" w:cs="Times New Roman"/>
          <w:szCs w:val="24"/>
          <w:lang w:eastAsia="en-AU"/>
        </w:rPr>
        <w:t xml:space="preserve">ese </w:t>
      </w:r>
      <w:r w:rsidR="008B29C7" w:rsidRPr="00FA1BCF">
        <w:rPr>
          <w:rFonts w:eastAsia="Times New Roman" w:cs="Times New Roman"/>
          <w:szCs w:val="24"/>
          <w:lang w:eastAsia="en-AU"/>
        </w:rPr>
        <w:t xml:space="preserve">medicines </w:t>
      </w:r>
      <w:r w:rsidR="00527FE3" w:rsidRPr="00FA1BCF">
        <w:rPr>
          <w:rFonts w:eastAsia="Times New Roman" w:cs="Times New Roman"/>
          <w:szCs w:val="24"/>
          <w:lang w:eastAsia="en-AU"/>
        </w:rPr>
        <w:t xml:space="preserve">would not </w:t>
      </w:r>
      <w:r w:rsidR="00FA33D4" w:rsidRPr="00FA1BCF">
        <w:rPr>
          <w:rFonts w:eastAsia="Times New Roman" w:cs="Times New Roman"/>
          <w:szCs w:val="24"/>
          <w:lang w:eastAsia="en-AU"/>
        </w:rPr>
        <w:t xml:space="preserve">be </w:t>
      </w:r>
      <w:r w:rsidR="00884FAD" w:rsidRPr="00FA1BCF">
        <w:rPr>
          <w:rFonts w:eastAsia="Times New Roman" w:cs="Times New Roman"/>
          <w:szCs w:val="24"/>
          <w:lang w:eastAsia="en-AU"/>
        </w:rPr>
        <w:t xml:space="preserve">limited </w:t>
      </w:r>
      <w:r w:rsidR="00527FE3" w:rsidRPr="00FA1BCF">
        <w:rPr>
          <w:rFonts w:eastAsia="Times New Roman" w:cs="Times New Roman"/>
          <w:szCs w:val="24"/>
          <w:lang w:eastAsia="en-AU"/>
        </w:rPr>
        <w:t xml:space="preserve">those treated at </w:t>
      </w:r>
      <w:r w:rsidR="00884FAD" w:rsidRPr="00FA1BCF">
        <w:rPr>
          <w:rFonts w:eastAsia="Times New Roman" w:cs="Times New Roman"/>
          <w:szCs w:val="24"/>
          <w:lang w:eastAsia="en-AU"/>
        </w:rPr>
        <w:t xml:space="preserve">the </w:t>
      </w:r>
      <w:r w:rsidR="00FA33D4" w:rsidRPr="00FA1BCF">
        <w:rPr>
          <w:rFonts w:eastAsia="Times New Roman" w:cs="Times New Roman"/>
          <w:szCs w:val="24"/>
          <w:lang w:eastAsia="en-AU"/>
        </w:rPr>
        <w:t>c</w:t>
      </w:r>
      <w:r w:rsidR="00884FAD" w:rsidRPr="00FA1BCF">
        <w:rPr>
          <w:rFonts w:eastAsia="Times New Roman" w:cs="Times New Roman"/>
          <w:szCs w:val="24"/>
          <w:lang w:eastAsia="en-AU"/>
        </w:rPr>
        <w:t xml:space="preserve">entres of </w:t>
      </w:r>
      <w:r w:rsidR="00FA33D4" w:rsidRPr="00FA1BCF">
        <w:rPr>
          <w:rFonts w:eastAsia="Times New Roman" w:cs="Times New Roman"/>
          <w:szCs w:val="24"/>
          <w:lang w:eastAsia="en-AU"/>
        </w:rPr>
        <w:t>expertise</w:t>
      </w:r>
      <w:r w:rsidR="00527FE3" w:rsidRPr="00FA1BCF">
        <w:rPr>
          <w:rFonts w:eastAsia="Times New Roman" w:cs="Times New Roman"/>
          <w:szCs w:val="24"/>
          <w:lang w:eastAsia="en-AU"/>
        </w:rPr>
        <w:t xml:space="preserve"> but that these </w:t>
      </w:r>
      <w:r w:rsidR="00FA33D4" w:rsidRPr="00FA1BCF">
        <w:rPr>
          <w:rFonts w:eastAsia="Times New Roman" w:cs="Times New Roman"/>
          <w:szCs w:val="24"/>
          <w:lang w:eastAsia="en-AU"/>
        </w:rPr>
        <w:t>c</w:t>
      </w:r>
      <w:r w:rsidR="00527FE3" w:rsidRPr="00FA1BCF">
        <w:rPr>
          <w:rFonts w:eastAsia="Times New Roman" w:cs="Times New Roman"/>
          <w:szCs w:val="24"/>
          <w:lang w:eastAsia="en-AU"/>
        </w:rPr>
        <w:t>entres would have a critical role in monitoring the overall patient populations</w:t>
      </w:r>
      <w:r w:rsidR="00884FAD" w:rsidRPr="00FA1BCF">
        <w:rPr>
          <w:rFonts w:eastAsia="Times New Roman" w:cs="Times New Roman"/>
          <w:szCs w:val="24"/>
          <w:lang w:eastAsia="en-AU"/>
        </w:rPr>
        <w:t xml:space="preserve">. </w:t>
      </w:r>
    </w:p>
    <w:p w:rsidR="00CC79FE" w:rsidRPr="00FA1BCF" w:rsidRDefault="00CC79FE" w:rsidP="00E436E7">
      <w:pPr>
        <w:keepNext/>
        <w:rPr>
          <w:rFonts w:eastAsia="Times New Roman" w:cs="Times New Roman"/>
          <w:b/>
          <w:i/>
          <w:szCs w:val="24"/>
          <w:lang w:eastAsia="en-AU"/>
        </w:rPr>
      </w:pPr>
      <w:r w:rsidRPr="00FA1BCF">
        <w:rPr>
          <w:rFonts w:eastAsia="Times New Roman" w:cs="Times New Roman"/>
          <w:b/>
          <w:i/>
          <w:szCs w:val="24"/>
          <w:lang w:eastAsia="en-AU"/>
        </w:rPr>
        <w:lastRenderedPageBreak/>
        <w:t>9. The Department</w:t>
      </w:r>
      <w:r w:rsidR="002E75C7" w:rsidRPr="00FA1BCF">
        <w:rPr>
          <w:rFonts w:eastAsia="Times New Roman" w:cs="Times New Roman"/>
          <w:b/>
          <w:i/>
          <w:szCs w:val="24"/>
          <w:lang w:eastAsia="en-AU"/>
        </w:rPr>
        <w:t xml:space="preserve"> of Health</w:t>
      </w:r>
      <w:r w:rsidRPr="00FA1BCF">
        <w:rPr>
          <w:rFonts w:eastAsia="Times New Roman" w:cs="Times New Roman"/>
          <w:b/>
          <w:i/>
          <w:szCs w:val="24"/>
          <w:lang w:eastAsia="en-AU"/>
        </w:rPr>
        <w:t xml:space="preserve"> should</w:t>
      </w:r>
      <w:r w:rsidR="00527FE3" w:rsidRPr="00FA1BCF">
        <w:rPr>
          <w:rFonts w:eastAsia="Times New Roman" w:cs="Times New Roman"/>
          <w:b/>
          <w:i/>
          <w:szCs w:val="24"/>
          <w:lang w:eastAsia="en-AU"/>
        </w:rPr>
        <w:t xml:space="preserve"> support the</w:t>
      </w:r>
      <w:r w:rsidRPr="00FA1BCF">
        <w:rPr>
          <w:rFonts w:eastAsia="Times New Roman" w:cs="Times New Roman"/>
          <w:b/>
          <w:i/>
          <w:szCs w:val="24"/>
          <w:lang w:eastAsia="en-AU"/>
        </w:rPr>
        <w:t xml:space="preserve"> develop</w:t>
      </w:r>
      <w:r w:rsidR="00DB57D2" w:rsidRPr="00FA1BCF">
        <w:rPr>
          <w:rFonts w:eastAsia="Times New Roman" w:cs="Times New Roman"/>
          <w:b/>
          <w:i/>
          <w:szCs w:val="24"/>
          <w:lang w:eastAsia="en-AU"/>
        </w:rPr>
        <w:t>ment</w:t>
      </w:r>
      <w:r w:rsidRPr="00FA1BCF">
        <w:rPr>
          <w:rFonts w:eastAsia="Times New Roman" w:cs="Times New Roman"/>
          <w:b/>
          <w:i/>
          <w:szCs w:val="24"/>
          <w:lang w:eastAsia="en-AU"/>
        </w:rPr>
        <w:t xml:space="preserve"> </w:t>
      </w:r>
      <w:r w:rsidR="006C699D" w:rsidRPr="00FA1BCF">
        <w:rPr>
          <w:rFonts w:eastAsia="Times New Roman" w:cs="Times New Roman"/>
          <w:b/>
          <w:i/>
          <w:szCs w:val="24"/>
          <w:lang w:eastAsia="en-AU"/>
        </w:rPr>
        <w:t xml:space="preserve">of </w:t>
      </w:r>
      <w:r w:rsidRPr="00FA1BCF">
        <w:rPr>
          <w:rFonts w:eastAsia="Times New Roman" w:cs="Times New Roman"/>
          <w:b/>
          <w:i/>
          <w:szCs w:val="24"/>
          <w:lang w:eastAsia="en-AU"/>
        </w:rPr>
        <w:t>a fit</w:t>
      </w:r>
      <w:r w:rsidR="008878BB" w:rsidRPr="00FA1BCF">
        <w:rPr>
          <w:rFonts w:eastAsia="Times New Roman" w:cs="Times New Roman"/>
          <w:b/>
          <w:i/>
          <w:szCs w:val="24"/>
          <w:lang w:eastAsia="en-AU"/>
        </w:rPr>
        <w:t>-</w:t>
      </w:r>
      <w:r w:rsidRPr="00FA1BCF">
        <w:rPr>
          <w:rFonts w:eastAsia="Times New Roman" w:cs="Times New Roman"/>
          <w:b/>
          <w:i/>
          <w:szCs w:val="24"/>
          <w:lang w:eastAsia="en-AU"/>
        </w:rPr>
        <w:t>for</w:t>
      </w:r>
      <w:r w:rsidR="008878BB" w:rsidRPr="00FA1BCF">
        <w:rPr>
          <w:rFonts w:eastAsia="Times New Roman" w:cs="Times New Roman"/>
          <w:b/>
          <w:i/>
          <w:szCs w:val="24"/>
          <w:lang w:eastAsia="en-AU"/>
        </w:rPr>
        <w:t>-</w:t>
      </w:r>
      <w:r w:rsidRPr="00FA1BCF">
        <w:rPr>
          <w:rFonts w:eastAsia="Times New Roman" w:cs="Times New Roman"/>
          <w:b/>
          <w:i/>
          <w:szCs w:val="24"/>
          <w:lang w:eastAsia="en-AU"/>
        </w:rPr>
        <w:t xml:space="preserve">purpose data collection framework and require sponsors of </w:t>
      </w:r>
      <w:r w:rsidR="008B29C7" w:rsidRPr="00FA1BCF">
        <w:rPr>
          <w:rFonts w:eastAsia="Times New Roman" w:cs="Times New Roman"/>
          <w:b/>
          <w:i/>
          <w:szCs w:val="24"/>
          <w:lang w:eastAsia="en-AU"/>
        </w:rPr>
        <w:t xml:space="preserve">medicines </w:t>
      </w:r>
      <w:r w:rsidRPr="00FA1BCF">
        <w:rPr>
          <w:rFonts w:eastAsia="Times New Roman" w:cs="Times New Roman"/>
          <w:b/>
          <w:i/>
          <w:szCs w:val="24"/>
          <w:lang w:eastAsia="en-AU"/>
        </w:rPr>
        <w:t xml:space="preserve">for rare diseases to collect the data necessary to support initial and ongoing evaluation of </w:t>
      </w:r>
      <w:r w:rsidR="008B29C7" w:rsidRPr="00FA1BCF">
        <w:rPr>
          <w:rFonts w:eastAsia="Times New Roman" w:cs="Times New Roman"/>
          <w:b/>
          <w:i/>
          <w:szCs w:val="24"/>
          <w:lang w:eastAsia="en-AU"/>
        </w:rPr>
        <w:t xml:space="preserve">medicines </w:t>
      </w:r>
      <w:r w:rsidRPr="00FA1BCF">
        <w:rPr>
          <w:rFonts w:eastAsia="Times New Roman" w:cs="Times New Roman"/>
          <w:b/>
          <w:i/>
          <w:szCs w:val="24"/>
          <w:lang w:eastAsia="en-AU"/>
        </w:rPr>
        <w:t xml:space="preserve">funded under the </w:t>
      </w:r>
      <w:r w:rsidR="00FD1172" w:rsidRPr="00FA1BCF">
        <w:rPr>
          <w:rFonts w:eastAsia="Times New Roman" w:cs="Times New Roman"/>
          <w:b/>
          <w:i/>
          <w:szCs w:val="24"/>
          <w:lang w:eastAsia="en-AU"/>
        </w:rPr>
        <w:t xml:space="preserve">proposed </w:t>
      </w:r>
      <w:r w:rsidR="008B29C7" w:rsidRPr="00FA1BCF">
        <w:rPr>
          <w:rFonts w:eastAsia="Times New Roman" w:cs="Times New Roman"/>
          <w:b/>
          <w:i/>
          <w:szCs w:val="24"/>
          <w:lang w:eastAsia="en-AU"/>
        </w:rPr>
        <w:t>Medicines for Rare Diseases Programme</w:t>
      </w:r>
      <w:r w:rsidRPr="00FA1BCF">
        <w:rPr>
          <w:rFonts w:eastAsia="Times New Roman" w:cs="Times New Roman"/>
          <w:b/>
          <w:i/>
          <w:szCs w:val="24"/>
          <w:lang w:eastAsia="en-AU"/>
        </w:rPr>
        <w:t>.</w:t>
      </w:r>
    </w:p>
    <w:p w:rsidR="00DB57D2" w:rsidRPr="00E436E7" w:rsidRDefault="00CC79FE" w:rsidP="00E436E7">
      <w:pPr>
        <w:pStyle w:val="CommentText"/>
        <w:ind w:left="357"/>
        <w:rPr>
          <w:rFonts w:eastAsia="Times New Roman" w:cs="Times New Roman"/>
          <w:sz w:val="24"/>
          <w:szCs w:val="24"/>
          <w:lang w:eastAsia="en-AU"/>
        </w:rPr>
      </w:pPr>
      <w:r w:rsidRPr="00FA1BCF">
        <w:rPr>
          <w:rFonts w:eastAsia="Times New Roman" w:cs="Times New Roman"/>
          <w:sz w:val="24"/>
          <w:szCs w:val="24"/>
          <w:lang w:eastAsia="en-AU"/>
        </w:rPr>
        <w:t xml:space="preserve">The </w:t>
      </w:r>
      <w:r w:rsidR="00F11CA5" w:rsidRPr="00FA1BCF">
        <w:rPr>
          <w:rFonts w:eastAsia="Times New Roman" w:cs="Times New Roman"/>
          <w:sz w:val="24"/>
          <w:szCs w:val="24"/>
          <w:lang w:eastAsia="en-AU"/>
        </w:rPr>
        <w:t>reference group</w:t>
      </w:r>
      <w:r w:rsidRPr="00FA1BCF">
        <w:rPr>
          <w:rFonts w:eastAsia="Times New Roman" w:cs="Times New Roman"/>
          <w:sz w:val="24"/>
          <w:szCs w:val="24"/>
          <w:lang w:eastAsia="en-AU"/>
        </w:rPr>
        <w:t xml:space="preserve"> recognised the complexities of collecting evidence from small cohorts of patients with rare diseases, the lack of information on the natural histories of a rare disease, the multiple patient registers held by international companies and the different data collection initiatives available across the rare disease communities. </w:t>
      </w:r>
    </w:p>
    <w:p w:rsidR="0076232F" w:rsidRPr="00FA1BCF" w:rsidRDefault="00CC79FE" w:rsidP="00E436E7">
      <w:pPr>
        <w:ind w:left="357"/>
        <w:jc w:val="both"/>
        <w:rPr>
          <w:rFonts w:eastAsia="Times New Roman" w:cs="Times New Roman"/>
          <w:szCs w:val="24"/>
          <w:lang w:eastAsia="en-AU"/>
        </w:rPr>
      </w:pPr>
      <w:r w:rsidRPr="00FA1BCF">
        <w:rPr>
          <w:rFonts w:eastAsia="Times New Roman" w:cs="Times New Roman"/>
          <w:szCs w:val="24"/>
          <w:lang w:eastAsia="en-AU"/>
        </w:rPr>
        <w:t xml:space="preserve">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is of the view that a fit</w:t>
      </w:r>
      <w:r w:rsidR="008878BB" w:rsidRPr="00FA1BCF">
        <w:rPr>
          <w:rFonts w:eastAsia="Times New Roman" w:cs="Times New Roman"/>
          <w:szCs w:val="24"/>
          <w:lang w:eastAsia="en-AU"/>
        </w:rPr>
        <w:t>-</w:t>
      </w:r>
      <w:r w:rsidRPr="00FA1BCF">
        <w:rPr>
          <w:rFonts w:eastAsia="Times New Roman" w:cs="Times New Roman"/>
          <w:szCs w:val="24"/>
          <w:lang w:eastAsia="en-AU"/>
        </w:rPr>
        <w:t>for</w:t>
      </w:r>
      <w:r w:rsidR="008878BB" w:rsidRPr="00FA1BCF">
        <w:rPr>
          <w:rFonts w:eastAsia="Times New Roman" w:cs="Times New Roman"/>
          <w:szCs w:val="24"/>
          <w:lang w:eastAsia="en-AU"/>
        </w:rPr>
        <w:t>-</w:t>
      </w:r>
      <w:r w:rsidRPr="00FA1BCF">
        <w:rPr>
          <w:rFonts w:eastAsia="Times New Roman" w:cs="Times New Roman"/>
          <w:szCs w:val="24"/>
          <w:lang w:eastAsia="en-AU"/>
        </w:rPr>
        <w:t>purpose model should be developed with clarity as to the purpose of the data</w:t>
      </w:r>
      <w:r w:rsidR="00353551" w:rsidRPr="00FA1BCF">
        <w:rPr>
          <w:rFonts w:eastAsia="Times New Roman" w:cs="Times New Roman"/>
          <w:szCs w:val="24"/>
          <w:lang w:eastAsia="en-AU"/>
        </w:rPr>
        <w:t>, what is required</w:t>
      </w:r>
      <w:r w:rsidRPr="00FA1BCF">
        <w:rPr>
          <w:rFonts w:eastAsia="Times New Roman" w:cs="Times New Roman"/>
          <w:szCs w:val="24"/>
          <w:lang w:eastAsia="en-AU"/>
        </w:rPr>
        <w:t xml:space="preserve"> and how it might be used.</w:t>
      </w:r>
      <w:r w:rsidR="0060153C" w:rsidRPr="00FA1BCF">
        <w:rPr>
          <w:rFonts w:eastAsia="Times New Roman" w:cs="Times New Roman"/>
          <w:szCs w:val="24"/>
          <w:lang w:eastAsia="en-AU"/>
        </w:rPr>
        <w:t xml:space="preserve"> </w:t>
      </w:r>
      <w:r w:rsidR="00DB57D2" w:rsidRPr="00E436E7">
        <w:rPr>
          <w:rFonts w:eastAsia="Times New Roman" w:cs="Times New Roman"/>
          <w:szCs w:val="24"/>
          <w:lang w:eastAsia="en-AU"/>
        </w:rPr>
        <w:t>It is important in doing this wherever possible to build on and incorporate already existing registries/databases. This will require existing custodians to be convinced of the value of joining such a database</w:t>
      </w:r>
      <w:r w:rsidR="00FA33D4" w:rsidRPr="00FA1BCF">
        <w:rPr>
          <w:rFonts w:eastAsia="Times New Roman" w:cs="Times New Roman"/>
          <w:szCs w:val="24"/>
          <w:lang w:eastAsia="en-AU"/>
        </w:rPr>
        <w:t>,</w:t>
      </w:r>
      <w:r w:rsidR="00DB57D2" w:rsidRPr="00E436E7">
        <w:rPr>
          <w:rFonts w:eastAsia="Times New Roman" w:cs="Times New Roman"/>
          <w:szCs w:val="24"/>
          <w:lang w:eastAsia="en-AU"/>
        </w:rPr>
        <w:t xml:space="preserve"> and potentially resources to seek consent from patients to </w:t>
      </w:r>
      <w:r w:rsidR="008878BB" w:rsidRPr="00E436E7">
        <w:rPr>
          <w:rFonts w:eastAsia="Times New Roman" w:cs="Times New Roman"/>
          <w:szCs w:val="24"/>
          <w:lang w:eastAsia="en-AU"/>
        </w:rPr>
        <w:t>participate</w:t>
      </w:r>
      <w:r w:rsidR="00DB57D2" w:rsidRPr="00E436E7">
        <w:rPr>
          <w:rFonts w:eastAsia="Times New Roman" w:cs="Times New Roman"/>
          <w:szCs w:val="24"/>
          <w:lang w:eastAsia="en-AU"/>
        </w:rPr>
        <w:t xml:space="preserve"> in t</w:t>
      </w:r>
      <w:r w:rsidR="008878BB" w:rsidRPr="00E436E7">
        <w:rPr>
          <w:rFonts w:eastAsia="Times New Roman" w:cs="Times New Roman"/>
          <w:szCs w:val="24"/>
          <w:lang w:eastAsia="en-AU"/>
        </w:rPr>
        <w:t>h</w:t>
      </w:r>
      <w:r w:rsidR="00DB57D2" w:rsidRPr="00E436E7">
        <w:rPr>
          <w:rFonts w:eastAsia="Times New Roman" w:cs="Times New Roman"/>
          <w:szCs w:val="24"/>
          <w:lang w:eastAsia="en-AU"/>
        </w:rPr>
        <w:t xml:space="preserve">e new database. </w:t>
      </w:r>
    </w:p>
    <w:p w:rsidR="00CC79FE" w:rsidRPr="00FA1BCF" w:rsidRDefault="0060153C" w:rsidP="00E436E7">
      <w:pPr>
        <w:ind w:left="357"/>
        <w:jc w:val="both"/>
        <w:rPr>
          <w:rFonts w:eastAsia="Times New Roman" w:cs="Times New Roman"/>
          <w:szCs w:val="24"/>
          <w:lang w:eastAsia="en-AU"/>
        </w:rPr>
      </w:pPr>
      <w:r w:rsidRPr="00FA1BCF">
        <w:rPr>
          <w:rFonts w:eastAsia="Times New Roman" w:cs="Times New Roman"/>
          <w:szCs w:val="24"/>
          <w:lang w:eastAsia="en-AU"/>
        </w:rPr>
        <w:t xml:space="preserve">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notes the work currentl</w:t>
      </w:r>
      <w:r w:rsidR="00A871D5" w:rsidRPr="00FA1BCF">
        <w:rPr>
          <w:rFonts w:eastAsia="Times New Roman" w:cs="Times New Roman"/>
          <w:szCs w:val="24"/>
          <w:lang w:eastAsia="en-AU"/>
        </w:rPr>
        <w:t>y underway in Western A</w:t>
      </w:r>
      <w:r w:rsidRPr="00FA1BCF">
        <w:rPr>
          <w:rFonts w:eastAsia="Times New Roman" w:cs="Times New Roman"/>
          <w:szCs w:val="24"/>
          <w:lang w:eastAsia="en-AU"/>
        </w:rPr>
        <w:t>ustralia</w:t>
      </w:r>
      <w:r w:rsidR="00A871D5" w:rsidRPr="00FA1BCF">
        <w:rPr>
          <w:rFonts w:eastAsia="Times New Roman" w:cs="Times New Roman"/>
          <w:szCs w:val="24"/>
          <w:lang w:eastAsia="en-AU"/>
        </w:rPr>
        <w:t xml:space="preserve"> to develop such a database for </w:t>
      </w:r>
      <w:proofErr w:type="gramStart"/>
      <w:r w:rsidR="00A871D5" w:rsidRPr="00FA1BCF">
        <w:rPr>
          <w:rFonts w:eastAsia="Times New Roman" w:cs="Times New Roman"/>
          <w:szCs w:val="24"/>
          <w:lang w:eastAsia="en-AU"/>
        </w:rPr>
        <w:t>Gaucher</w:t>
      </w:r>
      <w:proofErr w:type="gramEnd"/>
      <w:r w:rsidR="00A871D5" w:rsidRPr="00FA1BCF">
        <w:rPr>
          <w:rFonts w:eastAsia="Times New Roman" w:cs="Times New Roman"/>
          <w:szCs w:val="24"/>
          <w:lang w:eastAsia="en-AU"/>
        </w:rPr>
        <w:t xml:space="preserve"> </w:t>
      </w:r>
      <w:r w:rsidR="00FA33D4" w:rsidRPr="00FA1BCF">
        <w:rPr>
          <w:rFonts w:eastAsia="Times New Roman" w:cs="Times New Roman"/>
          <w:szCs w:val="24"/>
          <w:lang w:eastAsia="en-AU"/>
        </w:rPr>
        <w:t>d</w:t>
      </w:r>
      <w:r w:rsidR="008878BB" w:rsidRPr="00FA1BCF">
        <w:rPr>
          <w:rFonts w:eastAsia="Times New Roman" w:cs="Times New Roman"/>
          <w:szCs w:val="24"/>
          <w:lang w:eastAsia="en-AU"/>
        </w:rPr>
        <w:t>isease with the</w:t>
      </w:r>
      <w:r w:rsidR="00A871D5" w:rsidRPr="00FA1BCF">
        <w:rPr>
          <w:rFonts w:eastAsia="Times New Roman" w:cs="Times New Roman"/>
          <w:szCs w:val="24"/>
          <w:lang w:eastAsia="en-AU"/>
        </w:rPr>
        <w:t xml:space="preserve"> flexibility to </w:t>
      </w:r>
      <w:r w:rsidR="00F2500B" w:rsidRPr="00FA1BCF">
        <w:rPr>
          <w:rFonts w:eastAsia="Times New Roman" w:cs="Times New Roman"/>
          <w:szCs w:val="24"/>
          <w:lang w:eastAsia="en-AU"/>
        </w:rPr>
        <w:t>be adapted to any rare disease. We also note that there ma</w:t>
      </w:r>
      <w:r w:rsidR="00992873" w:rsidRPr="00FA1BCF">
        <w:rPr>
          <w:rFonts w:eastAsia="Times New Roman" w:cs="Times New Roman"/>
          <w:szCs w:val="24"/>
          <w:lang w:eastAsia="en-AU"/>
        </w:rPr>
        <w:t xml:space="preserve">y be scope within the redesigning </w:t>
      </w:r>
      <w:r w:rsidR="00BC6C1D" w:rsidRPr="00FA1BCF">
        <w:rPr>
          <w:rFonts w:eastAsia="Times New Roman" w:cs="Times New Roman"/>
          <w:szCs w:val="24"/>
          <w:lang w:eastAsia="en-AU"/>
        </w:rPr>
        <w:t>of the</w:t>
      </w:r>
      <w:r w:rsidR="00527FE3" w:rsidRPr="00FA1BCF">
        <w:rPr>
          <w:rFonts w:eastAsia="Times New Roman" w:cs="Times New Roman"/>
          <w:szCs w:val="24"/>
          <w:lang w:eastAsia="en-AU"/>
        </w:rPr>
        <w:t xml:space="preserve"> </w:t>
      </w:r>
      <w:r w:rsidR="00F2500B" w:rsidRPr="00FA1BCF">
        <w:rPr>
          <w:rFonts w:eastAsia="Times New Roman" w:cs="Times New Roman"/>
          <w:szCs w:val="24"/>
          <w:lang w:eastAsia="en-AU"/>
        </w:rPr>
        <w:t>national personal elec</w:t>
      </w:r>
      <w:r w:rsidR="00992873" w:rsidRPr="00FA1BCF">
        <w:rPr>
          <w:rFonts w:eastAsia="Times New Roman" w:cs="Times New Roman"/>
          <w:szCs w:val="24"/>
          <w:lang w:eastAsia="en-AU"/>
        </w:rPr>
        <w:t>tronic health record (</w:t>
      </w:r>
      <w:proofErr w:type="spellStart"/>
      <w:r w:rsidR="00992873" w:rsidRPr="00FA1BCF">
        <w:rPr>
          <w:rFonts w:eastAsia="Times New Roman" w:cs="Times New Roman"/>
          <w:szCs w:val="24"/>
          <w:lang w:eastAsia="en-AU"/>
        </w:rPr>
        <w:t>MyHealthRecord</w:t>
      </w:r>
      <w:proofErr w:type="spellEnd"/>
      <w:r w:rsidR="00992873" w:rsidRPr="00FA1BCF">
        <w:rPr>
          <w:rFonts w:eastAsia="Times New Roman" w:cs="Times New Roman"/>
          <w:szCs w:val="24"/>
          <w:lang w:eastAsia="en-AU"/>
        </w:rPr>
        <w:t xml:space="preserve">) </w:t>
      </w:r>
      <w:r w:rsidR="0076232F" w:rsidRPr="00FA1BCF">
        <w:rPr>
          <w:rFonts w:eastAsia="Times New Roman" w:cs="Times New Roman"/>
          <w:szCs w:val="24"/>
          <w:lang w:eastAsia="en-AU"/>
        </w:rPr>
        <w:t>for a consent</w:t>
      </w:r>
      <w:r w:rsidR="008878BB" w:rsidRPr="00FA1BCF">
        <w:rPr>
          <w:rFonts w:eastAsia="Times New Roman" w:cs="Times New Roman"/>
          <w:szCs w:val="24"/>
          <w:lang w:eastAsia="en-AU"/>
        </w:rPr>
        <w:t>-</w:t>
      </w:r>
      <w:r w:rsidR="0076232F" w:rsidRPr="00FA1BCF">
        <w:rPr>
          <w:rFonts w:eastAsia="Times New Roman" w:cs="Times New Roman"/>
          <w:szCs w:val="24"/>
          <w:lang w:eastAsia="en-AU"/>
        </w:rPr>
        <w:t>based linked data approach.</w:t>
      </w:r>
    </w:p>
    <w:p w:rsidR="00CC79FE" w:rsidRPr="00FA1BCF" w:rsidRDefault="00CC79FE" w:rsidP="00E436E7">
      <w:pPr>
        <w:ind w:left="357"/>
        <w:jc w:val="both"/>
        <w:rPr>
          <w:rFonts w:eastAsia="Times New Roman" w:cs="Times New Roman"/>
          <w:szCs w:val="24"/>
          <w:lang w:eastAsia="en-AU"/>
        </w:rPr>
      </w:pPr>
      <w:r w:rsidRPr="00FA1BCF">
        <w:rPr>
          <w:rFonts w:eastAsia="Times New Roman" w:cs="Times New Roman"/>
          <w:szCs w:val="24"/>
          <w:lang w:eastAsia="en-AU"/>
        </w:rPr>
        <w:t xml:space="preserve">Recognising the financial burden that could be incurred by any single entity, 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proposed that the Department explore the funding of the data collection by the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sponsor as a component of a managed entry scheme for a rare disease drug. Funding may include remuneration for an administrative clerk or nurse at the clinic to enter data into an established registry.</w:t>
      </w:r>
    </w:p>
    <w:p w:rsidR="00CC79FE" w:rsidRPr="00FA1BCF" w:rsidRDefault="00CC79FE" w:rsidP="00CC79FE">
      <w:pPr>
        <w:jc w:val="both"/>
        <w:rPr>
          <w:rFonts w:eastAsia="Times New Roman" w:cs="Times New Roman"/>
          <w:b/>
          <w:i/>
          <w:szCs w:val="24"/>
          <w:lang w:eastAsia="en-AU"/>
        </w:rPr>
      </w:pPr>
      <w:r w:rsidRPr="00FA1BCF">
        <w:rPr>
          <w:rFonts w:eastAsia="Times New Roman" w:cs="Times New Roman"/>
          <w:b/>
          <w:i/>
          <w:szCs w:val="24"/>
          <w:lang w:eastAsia="en-AU"/>
        </w:rPr>
        <w:t xml:space="preserve">10. The </w:t>
      </w:r>
      <w:r w:rsidR="00F11CA5" w:rsidRPr="00FA1BCF">
        <w:rPr>
          <w:rFonts w:eastAsia="Times New Roman" w:cs="Times New Roman"/>
          <w:b/>
          <w:i/>
          <w:szCs w:val="24"/>
          <w:lang w:eastAsia="en-AU"/>
        </w:rPr>
        <w:t>reference group</w:t>
      </w:r>
      <w:r w:rsidRPr="00FA1BCF">
        <w:rPr>
          <w:rFonts w:eastAsia="Times New Roman" w:cs="Times New Roman"/>
          <w:b/>
          <w:i/>
          <w:szCs w:val="24"/>
          <w:lang w:eastAsia="en-AU"/>
        </w:rPr>
        <w:t xml:space="preserve"> considers</w:t>
      </w:r>
      <w:r w:rsidR="006C699D" w:rsidRPr="00FA1BCF">
        <w:rPr>
          <w:rFonts w:eastAsia="Times New Roman" w:cs="Times New Roman"/>
          <w:b/>
          <w:i/>
          <w:szCs w:val="24"/>
          <w:lang w:eastAsia="en-AU"/>
        </w:rPr>
        <w:t xml:space="preserve"> some matters </w:t>
      </w:r>
      <w:r w:rsidRPr="00FA1BCF">
        <w:rPr>
          <w:rFonts w:eastAsia="Times New Roman" w:cs="Times New Roman"/>
          <w:b/>
          <w:i/>
          <w:szCs w:val="24"/>
          <w:lang w:eastAsia="en-AU"/>
        </w:rPr>
        <w:t>out of scope for the LSDP Review but recommends that further consideration be given to these matters raised by stakeholders</w:t>
      </w:r>
      <w:r w:rsidR="00FA33D4" w:rsidRPr="00FA1BCF">
        <w:rPr>
          <w:rFonts w:eastAsia="Times New Roman" w:cs="Times New Roman"/>
          <w:b/>
          <w:i/>
          <w:szCs w:val="24"/>
          <w:lang w:eastAsia="en-AU"/>
        </w:rPr>
        <w:t>.</w:t>
      </w:r>
    </w:p>
    <w:p w:rsidR="00CC79FE" w:rsidRPr="00FA1BCF" w:rsidRDefault="00303051" w:rsidP="00E436E7">
      <w:pPr>
        <w:ind w:left="357"/>
        <w:rPr>
          <w:rFonts w:eastAsia="Times New Roman" w:cs="Times New Roman"/>
          <w:szCs w:val="24"/>
          <w:lang w:eastAsia="en-AU"/>
        </w:rPr>
      </w:pPr>
      <w:r w:rsidRPr="00FA1BCF">
        <w:rPr>
          <w:rFonts w:eastAsia="Times New Roman" w:cs="Times New Roman"/>
          <w:szCs w:val="24"/>
          <w:lang w:eastAsia="en-AU"/>
        </w:rPr>
        <w:t xml:space="preserve">Through the feedback and consultation 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became aware of a range of issues that fell outside its terms of reference but that it recognised as important for </w:t>
      </w:r>
      <w:r w:rsidR="00F52E76" w:rsidRPr="00FA1BCF">
        <w:rPr>
          <w:rFonts w:eastAsia="Times New Roman" w:cs="Times New Roman"/>
          <w:szCs w:val="24"/>
          <w:lang w:eastAsia="en-AU"/>
        </w:rPr>
        <w:t>people with rare diseases, and</w:t>
      </w:r>
      <w:r w:rsidR="00FA33D4" w:rsidRPr="00FA1BCF">
        <w:rPr>
          <w:rFonts w:eastAsia="Times New Roman" w:cs="Times New Roman"/>
          <w:szCs w:val="24"/>
          <w:lang w:eastAsia="en-AU"/>
        </w:rPr>
        <w:t xml:space="preserve"> for</w:t>
      </w:r>
      <w:r w:rsidR="00F52E76" w:rsidRPr="00FA1BCF">
        <w:rPr>
          <w:rFonts w:eastAsia="Times New Roman" w:cs="Times New Roman"/>
          <w:szCs w:val="24"/>
          <w:lang w:eastAsia="en-AU"/>
        </w:rPr>
        <w:t xml:space="preserve"> </w:t>
      </w:r>
      <w:r w:rsidRPr="00FA1BCF">
        <w:rPr>
          <w:rFonts w:eastAsia="Times New Roman" w:cs="Times New Roman"/>
          <w:szCs w:val="24"/>
          <w:lang w:eastAsia="en-AU"/>
        </w:rPr>
        <w:t xml:space="preserve">their </w:t>
      </w:r>
      <w:r w:rsidR="00F52E76" w:rsidRPr="00FA1BCF">
        <w:rPr>
          <w:rFonts w:eastAsia="Times New Roman" w:cs="Times New Roman"/>
          <w:szCs w:val="24"/>
          <w:lang w:eastAsia="en-AU"/>
        </w:rPr>
        <w:t xml:space="preserve">families and </w:t>
      </w:r>
      <w:r w:rsidRPr="00FA1BCF">
        <w:rPr>
          <w:rFonts w:eastAsia="Times New Roman" w:cs="Times New Roman"/>
          <w:szCs w:val="24"/>
          <w:lang w:eastAsia="en-AU"/>
        </w:rPr>
        <w:t>carers</w:t>
      </w:r>
      <w:r w:rsidR="00FA33D4" w:rsidRPr="00FA1BCF">
        <w:rPr>
          <w:rFonts w:eastAsia="Times New Roman" w:cs="Times New Roman"/>
          <w:szCs w:val="24"/>
          <w:lang w:eastAsia="en-AU"/>
        </w:rPr>
        <w:t>,</w:t>
      </w:r>
      <w:r w:rsidRPr="00FA1BCF">
        <w:rPr>
          <w:rFonts w:eastAsia="Times New Roman" w:cs="Times New Roman"/>
          <w:szCs w:val="24"/>
          <w:lang w:eastAsia="en-AU"/>
        </w:rPr>
        <w:t xml:space="preserve"> both now and in the future. These include:</w:t>
      </w:r>
      <w:r w:rsidR="00B56F35" w:rsidRPr="00FA1BCF">
        <w:rPr>
          <w:rFonts w:eastAsia="Times New Roman" w:cs="Times New Roman"/>
          <w:szCs w:val="24"/>
          <w:lang w:eastAsia="en-AU"/>
        </w:rPr>
        <w:t xml:space="preserve"> </w:t>
      </w:r>
    </w:p>
    <w:p w:rsidR="00F52E76" w:rsidRPr="00FA1BCF" w:rsidRDefault="00FA33D4" w:rsidP="00F52E76">
      <w:pPr>
        <w:pStyle w:val="ListParagraph"/>
        <w:numPr>
          <w:ilvl w:val="0"/>
          <w:numId w:val="40"/>
        </w:numPr>
        <w:rPr>
          <w:rFonts w:eastAsia="Times New Roman" w:cs="Times New Roman"/>
          <w:szCs w:val="24"/>
          <w:lang w:eastAsia="en-AU"/>
        </w:rPr>
      </w:pPr>
      <w:r w:rsidRPr="00FA1BCF">
        <w:rPr>
          <w:rFonts w:eastAsia="Times New Roman" w:cs="Times New Roman"/>
          <w:szCs w:val="24"/>
          <w:lang w:eastAsia="en-AU"/>
        </w:rPr>
        <w:t>that t</w:t>
      </w:r>
      <w:r w:rsidR="00CC79FE" w:rsidRPr="00FA1BCF">
        <w:rPr>
          <w:rFonts w:eastAsia="Times New Roman" w:cs="Times New Roman"/>
          <w:szCs w:val="24"/>
          <w:lang w:eastAsia="en-AU"/>
        </w:rPr>
        <w:t>he healthcare needs of people with rare diseases and their families identified in this review go beyond access to special medicines</w:t>
      </w:r>
      <w:r w:rsidR="00F52E76" w:rsidRPr="00FA1BCF">
        <w:rPr>
          <w:rFonts w:eastAsia="Times New Roman" w:cs="Times New Roman"/>
          <w:szCs w:val="24"/>
          <w:lang w:eastAsia="en-AU"/>
        </w:rPr>
        <w:t xml:space="preserve"> </w:t>
      </w:r>
    </w:p>
    <w:p w:rsidR="00F52E76" w:rsidRPr="00FA1BCF" w:rsidRDefault="00FA33D4" w:rsidP="00F52E76">
      <w:pPr>
        <w:pStyle w:val="ListParagraph"/>
        <w:numPr>
          <w:ilvl w:val="0"/>
          <w:numId w:val="40"/>
        </w:numPr>
        <w:rPr>
          <w:lang w:eastAsia="en-AU"/>
        </w:rPr>
      </w:pPr>
      <w:proofErr w:type="gramStart"/>
      <w:r w:rsidRPr="00FA1BCF">
        <w:rPr>
          <w:rFonts w:eastAsia="Times New Roman" w:cs="Times New Roman"/>
          <w:szCs w:val="24"/>
          <w:lang w:eastAsia="en-AU"/>
        </w:rPr>
        <w:t>t</w:t>
      </w:r>
      <w:r w:rsidR="00F52E76" w:rsidRPr="00FA1BCF">
        <w:rPr>
          <w:rFonts w:eastAsia="Times New Roman" w:cs="Times New Roman"/>
          <w:szCs w:val="24"/>
          <w:lang w:eastAsia="en-AU"/>
        </w:rPr>
        <w:t>he</w:t>
      </w:r>
      <w:proofErr w:type="gramEnd"/>
      <w:r w:rsidR="00F52E76" w:rsidRPr="00FA1BCF">
        <w:rPr>
          <w:rFonts w:eastAsia="Times New Roman" w:cs="Times New Roman"/>
          <w:szCs w:val="24"/>
          <w:lang w:eastAsia="en-AU"/>
        </w:rPr>
        <w:t xml:space="preserve"> need to facilitate consumer awareness about clinical trials of medicines for rare diseases.</w:t>
      </w:r>
    </w:p>
    <w:p w:rsidR="00CC79FE" w:rsidRPr="00FA1BCF" w:rsidRDefault="00F52E76" w:rsidP="00E436E7">
      <w:pPr>
        <w:ind w:left="357"/>
        <w:contextualSpacing/>
        <w:rPr>
          <w:rFonts w:eastAsia="Times New Roman" w:cs="Times New Roman"/>
          <w:szCs w:val="24"/>
          <w:lang w:eastAsia="en-AU"/>
        </w:rPr>
      </w:pPr>
      <w:r w:rsidRPr="00FA1BCF">
        <w:rPr>
          <w:rFonts w:eastAsia="Times New Roman" w:cs="Times New Roman"/>
          <w:szCs w:val="24"/>
          <w:lang w:eastAsia="en-AU"/>
        </w:rPr>
        <w:t>The review also identified broader programme issues in access to medicines for rare diseases</w:t>
      </w:r>
      <w:r w:rsidR="00FA33D4" w:rsidRPr="00FA1BCF">
        <w:rPr>
          <w:rFonts w:eastAsia="Times New Roman" w:cs="Times New Roman"/>
          <w:szCs w:val="24"/>
          <w:lang w:eastAsia="en-AU"/>
        </w:rPr>
        <w:t>,</w:t>
      </w:r>
      <w:r w:rsidRPr="00FA1BCF">
        <w:rPr>
          <w:rFonts w:eastAsia="Times New Roman" w:cs="Times New Roman"/>
          <w:szCs w:val="24"/>
          <w:lang w:eastAsia="en-AU"/>
        </w:rPr>
        <w:t xml:space="preserve"> including:</w:t>
      </w:r>
    </w:p>
    <w:p w:rsidR="00CC79FE" w:rsidRPr="00FA1BCF" w:rsidRDefault="00FA33D4" w:rsidP="00F52E76">
      <w:pPr>
        <w:pStyle w:val="ListParagraph"/>
        <w:numPr>
          <w:ilvl w:val="0"/>
          <w:numId w:val="41"/>
        </w:numPr>
        <w:rPr>
          <w:rFonts w:eastAsia="Times New Roman" w:cs="Times New Roman"/>
          <w:szCs w:val="24"/>
          <w:lang w:eastAsia="en-AU"/>
        </w:rPr>
      </w:pPr>
      <w:r w:rsidRPr="00FA1BCF">
        <w:rPr>
          <w:rFonts w:eastAsia="Times New Roman" w:cs="Times New Roman"/>
          <w:szCs w:val="24"/>
          <w:lang w:eastAsia="en-AU"/>
        </w:rPr>
        <w:t>t</w:t>
      </w:r>
      <w:r w:rsidR="00CC79FE" w:rsidRPr="00FA1BCF">
        <w:rPr>
          <w:rFonts w:eastAsia="Times New Roman" w:cs="Times New Roman"/>
          <w:szCs w:val="24"/>
          <w:lang w:eastAsia="en-AU"/>
        </w:rPr>
        <w:t xml:space="preserve">he need for a more systematic and broader use of managed entry schemes for </w:t>
      </w:r>
      <w:r w:rsidR="0063525E" w:rsidRPr="00FA1BCF">
        <w:rPr>
          <w:rFonts w:eastAsia="Times New Roman" w:cs="Times New Roman"/>
          <w:szCs w:val="24"/>
          <w:lang w:eastAsia="en-AU"/>
        </w:rPr>
        <w:t xml:space="preserve">medicines </w:t>
      </w:r>
      <w:r w:rsidR="00CC79FE" w:rsidRPr="00FA1BCF">
        <w:rPr>
          <w:rFonts w:eastAsia="Times New Roman" w:cs="Times New Roman"/>
          <w:szCs w:val="24"/>
          <w:lang w:eastAsia="en-AU"/>
        </w:rPr>
        <w:t>for rare diseases</w:t>
      </w:r>
    </w:p>
    <w:p w:rsidR="00F52E76" w:rsidRPr="00FA1BCF" w:rsidRDefault="00FA33D4" w:rsidP="00F52E76">
      <w:pPr>
        <w:pStyle w:val="ListParagraph"/>
        <w:numPr>
          <w:ilvl w:val="0"/>
          <w:numId w:val="41"/>
        </w:numPr>
        <w:rPr>
          <w:rFonts w:eastAsia="Times New Roman" w:cs="Times New Roman"/>
          <w:szCs w:val="24"/>
          <w:lang w:eastAsia="en-AU"/>
        </w:rPr>
      </w:pPr>
      <w:r w:rsidRPr="00FA1BCF">
        <w:rPr>
          <w:rFonts w:eastAsia="Times New Roman" w:cs="Times New Roman"/>
          <w:szCs w:val="24"/>
          <w:lang w:eastAsia="en-AU"/>
        </w:rPr>
        <w:t>t</w:t>
      </w:r>
      <w:r w:rsidR="00CC79FE" w:rsidRPr="00FA1BCF">
        <w:rPr>
          <w:rFonts w:eastAsia="Times New Roman" w:cs="Times New Roman"/>
          <w:szCs w:val="24"/>
          <w:lang w:eastAsia="en-AU"/>
        </w:rPr>
        <w:t xml:space="preserve">he need </w:t>
      </w:r>
      <w:r w:rsidR="00F52E76" w:rsidRPr="00FA1BCF">
        <w:rPr>
          <w:rFonts w:eastAsia="Times New Roman" w:cs="Times New Roman"/>
          <w:szCs w:val="24"/>
          <w:lang w:eastAsia="en-AU"/>
        </w:rPr>
        <w:t>for greater transparency in the cost of development and production of these medicines and their subsequent pricing</w:t>
      </w:r>
    </w:p>
    <w:p w:rsidR="00CC79FE" w:rsidRPr="00FA1BCF" w:rsidRDefault="00FA33D4" w:rsidP="00E436E7">
      <w:pPr>
        <w:pStyle w:val="ListParagraph"/>
        <w:numPr>
          <w:ilvl w:val="0"/>
          <w:numId w:val="41"/>
        </w:numPr>
        <w:ind w:left="357" w:hanging="357"/>
        <w:rPr>
          <w:rFonts w:eastAsia="Times New Roman" w:cs="Times New Roman"/>
          <w:szCs w:val="24"/>
          <w:lang w:eastAsia="en-AU"/>
        </w:rPr>
      </w:pPr>
      <w:r w:rsidRPr="00FA1BCF">
        <w:rPr>
          <w:rFonts w:eastAsia="Times New Roman" w:cs="Times New Roman"/>
          <w:szCs w:val="24"/>
          <w:lang w:eastAsia="en-AU"/>
        </w:rPr>
        <w:t>t</w:t>
      </w:r>
      <w:r w:rsidR="00CC79FE" w:rsidRPr="00FA1BCF">
        <w:rPr>
          <w:rFonts w:eastAsia="Times New Roman" w:cs="Times New Roman"/>
          <w:szCs w:val="24"/>
          <w:lang w:eastAsia="en-AU"/>
        </w:rPr>
        <w:t xml:space="preserve">he need to systematically review pricing of the </w:t>
      </w:r>
      <w:r w:rsidR="008B29C7" w:rsidRPr="00FA1BCF">
        <w:rPr>
          <w:rFonts w:eastAsia="Times New Roman" w:cs="Times New Roman"/>
          <w:szCs w:val="24"/>
          <w:lang w:eastAsia="en-AU"/>
        </w:rPr>
        <w:t xml:space="preserve">medicines </w:t>
      </w:r>
      <w:r w:rsidR="00CC79FE" w:rsidRPr="00FA1BCF">
        <w:rPr>
          <w:rFonts w:eastAsia="Times New Roman" w:cs="Times New Roman"/>
          <w:szCs w:val="24"/>
          <w:lang w:eastAsia="en-AU"/>
        </w:rPr>
        <w:t>after recommendation, based on demonstration of effectiveness</w:t>
      </w:r>
    </w:p>
    <w:p w:rsidR="00CC79FE" w:rsidRPr="00FA1BCF" w:rsidRDefault="00FA33D4" w:rsidP="00F52E76">
      <w:pPr>
        <w:pStyle w:val="ListParagraph"/>
        <w:numPr>
          <w:ilvl w:val="0"/>
          <w:numId w:val="41"/>
        </w:numPr>
        <w:rPr>
          <w:rFonts w:eastAsia="Times New Roman" w:cs="Times New Roman"/>
          <w:szCs w:val="24"/>
          <w:lang w:eastAsia="en-AU"/>
        </w:rPr>
      </w:pPr>
      <w:proofErr w:type="gramStart"/>
      <w:r w:rsidRPr="00FA1BCF">
        <w:rPr>
          <w:rFonts w:eastAsia="Times New Roman" w:cs="Times New Roman"/>
          <w:szCs w:val="24"/>
          <w:lang w:eastAsia="en-AU"/>
        </w:rPr>
        <w:t>t</w:t>
      </w:r>
      <w:r w:rsidR="00CC79FE" w:rsidRPr="00FA1BCF">
        <w:rPr>
          <w:rFonts w:eastAsia="Times New Roman" w:cs="Times New Roman"/>
          <w:szCs w:val="24"/>
          <w:lang w:eastAsia="en-AU"/>
        </w:rPr>
        <w:t>he</w:t>
      </w:r>
      <w:proofErr w:type="gramEnd"/>
      <w:r w:rsidR="00CC79FE" w:rsidRPr="00FA1BCF">
        <w:rPr>
          <w:rFonts w:eastAsia="Times New Roman" w:cs="Times New Roman"/>
          <w:szCs w:val="24"/>
          <w:lang w:eastAsia="en-AU"/>
        </w:rPr>
        <w:t xml:space="preserve"> need to examine ‘off-label’ use of </w:t>
      </w:r>
      <w:r w:rsidR="0063525E" w:rsidRPr="00FA1BCF">
        <w:rPr>
          <w:rFonts w:eastAsia="Times New Roman" w:cs="Times New Roman"/>
          <w:szCs w:val="24"/>
          <w:lang w:eastAsia="en-AU"/>
        </w:rPr>
        <w:t xml:space="preserve">PBS medicines </w:t>
      </w:r>
      <w:r w:rsidR="00CC79FE" w:rsidRPr="00FA1BCF">
        <w:rPr>
          <w:rFonts w:eastAsia="Times New Roman" w:cs="Times New Roman"/>
          <w:szCs w:val="24"/>
          <w:lang w:eastAsia="en-AU"/>
        </w:rPr>
        <w:t>to treat rare disease</w:t>
      </w:r>
      <w:r w:rsidR="00D742C9" w:rsidRPr="00FA1BCF">
        <w:rPr>
          <w:rFonts w:eastAsia="Times New Roman" w:cs="Times New Roman"/>
          <w:szCs w:val="24"/>
          <w:lang w:eastAsia="en-AU"/>
        </w:rPr>
        <w:t>s</w:t>
      </w:r>
      <w:r w:rsidR="00F52E76" w:rsidRPr="00FA1BCF">
        <w:rPr>
          <w:rFonts w:eastAsia="Times New Roman" w:cs="Times New Roman"/>
          <w:szCs w:val="24"/>
          <w:lang w:eastAsia="en-AU"/>
        </w:rPr>
        <w:t>.</w:t>
      </w:r>
      <w:r w:rsidR="00CC79FE" w:rsidRPr="00FA1BCF">
        <w:rPr>
          <w:rFonts w:eastAsia="Times New Roman" w:cs="Times New Roman"/>
          <w:szCs w:val="24"/>
          <w:lang w:eastAsia="en-AU"/>
        </w:rPr>
        <w:t xml:space="preserve"> </w:t>
      </w:r>
    </w:p>
    <w:p w:rsidR="00CC79FE" w:rsidRPr="00FA1BCF" w:rsidRDefault="00F52E76" w:rsidP="00E436E7">
      <w:pPr>
        <w:ind w:left="357"/>
        <w:jc w:val="both"/>
        <w:rPr>
          <w:rFonts w:eastAsia="Times New Roman" w:cs="Times New Roman"/>
          <w:b/>
          <w:i/>
          <w:sz w:val="28"/>
          <w:szCs w:val="28"/>
          <w:lang w:eastAsia="en-AU"/>
        </w:rPr>
      </w:pPr>
      <w:r w:rsidRPr="00FA1BCF">
        <w:rPr>
          <w:rFonts w:eastAsia="Times New Roman" w:cs="Times New Roman"/>
          <w:szCs w:val="24"/>
          <w:lang w:eastAsia="en-AU"/>
        </w:rPr>
        <w:lastRenderedPageBreak/>
        <w:t xml:space="preserve">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recommends that these programme issues be considered further as part of the review of the </w:t>
      </w:r>
      <w:r w:rsidR="00D742C9" w:rsidRPr="00FA1BCF">
        <w:rPr>
          <w:rFonts w:cs="Arial"/>
          <w:bCs/>
          <w:szCs w:val="24"/>
          <w:lang w:val="en-US"/>
        </w:rPr>
        <w:t>g</w:t>
      </w:r>
      <w:r w:rsidRPr="00FA1BCF">
        <w:rPr>
          <w:rFonts w:cs="Arial"/>
          <w:bCs/>
          <w:szCs w:val="24"/>
          <w:lang w:val="en-US"/>
        </w:rPr>
        <w:t>uidelines for preparing submissions to the Pharmaceutical Benefits Advisory Committee</w:t>
      </w:r>
      <w:r w:rsidRPr="00FA1BCF">
        <w:rPr>
          <w:rFonts w:eastAsia="Times New Roman" w:cs="Times New Roman"/>
          <w:szCs w:val="24"/>
          <w:lang w:eastAsia="en-AU"/>
        </w:rPr>
        <w:t>.</w:t>
      </w:r>
    </w:p>
    <w:p w:rsidR="0084370F" w:rsidRPr="00FA1BCF" w:rsidRDefault="0084370F">
      <w:pPr>
        <w:rPr>
          <w:rFonts w:eastAsia="Times New Roman" w:cs="Times New Roman"/>
          <w:b/>
          <w:sz w:val="40"/>
          <w:szCs w:val="40"/>
          <w:lang w:eastAsia="en-AU"/>
        </w:rPr>
      </w:pPr>
      <w:r w:rsidRPr="00FA1BCF">
        <w:rPr>
          <w:rFonts w:eastAsia="Times New Roman" w:cs="Times New Roman"/>
          <w:b/>
          <w:sz w:val="40"/>
          <w:szCs w:val="40"/>
          <w:lang w:eastAsia="en-AU"/>
        </w:rPr>
        <w:br w:type="page"/>
      </w:r>
    </w:p>
    <w:p w:rsidR="00CC79FE" w:rsidRPr="00FA1BCF" w:rsidRDefault="00CC79FE" w:rsidP="00E436E7">
      <w:pPr>
        <w:pStyle w:val="Heading1"/>
        <w:rPr>
          <w:lang w:eastAsia="en-AU"/>
        </w:rPr>
      </w:pPr>
      <w:bookmarkStart w:id="7" w:name="_Toc302625565"/>
      <w:r w:rsidRPr="00FA1BCF">
        <w:rPr>
          <w:lang w:eastAsia="en-AU"/>
        </w:rPr>
        <w:lastRenderedPageBreak/>
        <w:t>Section 4: Overview</w:t>
      </w:r>
      <w:bookmarkEnd w:id="7"/>
    </w:p>
    <w:p w:rsidR="00CC79FE" w:rsidRPr="00FA1BCF" w:rsidRDefault="00CC79FE" w:rsidP="00E436E7">
      <w:pPr>
        <w:pStyle w:val="Heading2"/>
        <w:rPr>
          <w:lang w:eastAsia="en-AU"/>
        </w:rPr>
      </w:pPr>
      <w:bookmarkStart w:id="8" w:name="_Toc302625566"/>
      <w:r w:rsidRPr="00FA1BCF">
        <w:rPr>
          <w:lang w:eastAsia="en-AU"/>
        </w:rPr>
        <w:t xml:space="preserve">4.1. Objective of the </w:t>
      </w:r>
      <w:r w:rsidR="00084B72" w:rsidRPr="00FA1BCF">
        <w:rPr>
          <w:lang w:eastAsia="en-AU"/>
        </w:rPr>
        <w:t xml:space="preserve">Life Saving Drugs Programme </w:t>
      </w:r>
      <w:r w:rsidRPr="00FA1BCF">
        <w:rPr>
          <w:lang w:eastAsia="en-AU"/>
        </w:rPr>
        <w:t>Post Market Review</w:t>
      </w:r>
      <w:bookmarkEnd w:id="8"/>
      <w:r w:rsidRPr="00FA1BCF">
        <w:rPr>
          <w:lang w:eastAsia="en-AU"/>
        </w:rPr>
        <w:t xml:space="preserve"> </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 xml:space="preserve">The Life Saving Drugs Programme (LSDP) has provided essential treatments to Australians living with rare and life-threatening diseases since its inception through the </w:t>
      </w:r>
      <w:r w:rsidR="00FD50CA">
        <w:rPr>
          <w:rFonts w:eastAsia="Times New Roman" w:cs="Times New Roman"/>
          <w:szCs w:val="24"/>
          <w:lang w:eastAsia="en-AU"/>
        </w:rPr>
        <w:t>A</w:t>
      </w:r>
      <w:r w:rsidRPr="00E436E7">
        <w:rPr>
          <w:rFonts w:eastAsia="Times New Roman" w:cs="Times New Roman"/>
          <w:szCs w:val="24"/>
          <w:lang w:eastAsia="en-AU"/>
        </w:rPr>
        <w:t xml:space="preserve">ct of </w:t>
      </w:r>
      <w:r w:rsidR="00FD50CA">
        <w:rPr>
          <w:rFonts w:eastAsia="Times New Roman" w:cs="Times New Roman"/>
          <w:szCs w:val="24"/>
          <w:lang w:eastAsia="en-AU"/>
        </w:rPr>
        <w:t>G</w:t>
      </w:r>
      <w:r w:rsidRPr="00E436E7">
        <w:rPr>
          <w:rFonts w:eastAsia="Times New Roman" w:cs="Times New Roman"/>
          <w:szCs w:val="24"/>
          <w:lang w:eastAsia="en-AU"/>
        </w:rPr>
        <w:t>race</w:t>
      </w:r>
      <w:r w:rsidRPr="00FA1BCF">
        <w:rPr>
          <w:rFonts w:eastAsia="Times New Roman" w:cs="Times New Roman"/>
          <w:i/>
          <w:szCs w:val="24"/>
          <w:lang w:eastAsia="en-AU"/>
        </w:rPr>
        <w:t xml:space="preserve"> </w:t>
      </w:r>
      <w:r w:rsidRPr="00FA1BCF">
        <w:rPr>
          <w:rFonts w:eastAsia="Times New Roman" w:cs="Times New Roman"/>
          <w:szCs w:val="24"/>
          <w:lang w:eastAsia="en-AU"/>
        </w:rPr>
        <w:t>payments in 1995 and later through the establishment of the LSDP proper.</w:t>
      </w:r>
      <w:r w:rsidR="00B56F35" w:rsidRPr="00FA1BCF">
        <w:rPr>
          <w:rFonts w:eastAsia="Times New Roman" w:cs="Times New Roman"/>
          <w:szCs w:val="24"/>
          <w:lang w:eastAsia="en-AU"/>
        </w:rPr>
        <w:t xml:space="preserve"> </w:t>
      </w:r>
      <w:r w:rsidRPr="00FA1BCF">
        <w:rPr>
          <w:rFonts w:eastAsia="Times New Roman" w:cs="Times New Roman"/>
          <w:szCs w:val="24"/>
          <w:lang w:eastAsia="en-AU"/>
        </w:rPr>
        <w:t xml:space="preserve">These rare disease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 xml:space="preserve">have very high cost per patient and consequently do not meet the comparative effectiveness and cost of therapy criteria required for PBS funding. The LSDP ensures eligible patients are able to access these life-saving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 xml:space="preserve">at no expense to the patients or their families. </w:t>
      </w:r>
    </w:p>
    <w:p w:rsidR="00CC79FE" w:rsidRPr="00FA1BCF" w:rsidRDefault="00CC79FE" w:rsidP="00E436E7">
      <w:pPr>
        <w:pStyle w:val="Heading2"/>
        <w:rPr>
          <w:lang w:eastAsia="en-AU"/>
        </w:rPr>
      </w:pPr>
      <w:bookmarkStart w:id="9" w:name="_Toc302625567"/>
      <w:r w:rsidRPr="00FA1BCF">
        <w:rPr>
          <w:lang w:eastAsia="en-AU"/>
        </w:rPr>
        <w:t>4.2. The Life Saving Drugs Programme</w:t>
      </w:r>
      <w:bookmarkEnd w:id="9"/>
    </w:p>
    <w:p w:rsidR="00CC79FE" w:rsidRPr="00FA1BCF" w:rsidRDefault="00CC79FE" w:rsidP="00CC79FE">
      <w:pPr>
        <w:jc w:val="both"/>
        <w:rPr>
          <w:rFonts w:eastAsia="Times New Roman" w:cs="Times New Roman"/>
          <w:b/>
          <w:i/>
          <w:szCs w:val="24"/>
          <w:lang w:eastAsia="en-AU"/>
        </w:rPr>
      </w:pPr>
      <w:r w:rsidRPr="00FA1BCF">
        <w:rPr>
          <w:rFonts w:eastAsia="Times New Roman" w:cs="Times New Roman"/>
          <w:szCs w:val="24"/>
          <w:lang w:eastAsia="en-AU"/>
        </w:rPr>
        <w:t xml:space="preserve">In </w:t>
      </w:r>
      <w:r w:rsidR="00A363A5">
        <w:rPr>
          <w:rFonts w:eastAsia="Times New Roman" w:cs="Times New Roman"/>
          <w:szCs w:val="24"/>
          <w:lang w:eastAsia="en-AU"/>
        </w:rPr>
        <w:t>September</w:t>
      </w:r>
      <w:r w:rsidRPr="00FA1BCF">
        <w:rPr>
          <w:rFonts w:eastAsia="Times New Roman" w:cs="Times New Roman"/>
          <w:szCs w:val="24"/>
          <w:lang w:eastAsia="en-AU"/>
        </w:rPr>
        <w:t xml:space="preserve"> 2015</w:t>
      </w:r>
      <w:r w:rsidR="004347BD" w:rsidRPr="00FA1BCF">
        <w:rPr>
          <w:rFonts w:eastAsia="Times New Roman" w:cs="Times New Roman"/>
          <w:szCs w:val="24"/>
          <w:lang w:eastAsia="en-AU"/>
        </w:rPr>
        <w:t>,</w:t>
      </w:r>
      <w:r w:rsidRPr="00FA1BCF">
        <w:rPr>
          <w:rFonts w:eastAsia="Times New Roman" w:cs="Times New Roman"/>
          <w:szCs w:val="24"/>
          <w:lang w:eastAsia="en-AU"/>
        </w:rPr>
        <w:t xml:space="preserve"> the LSDP subsidised </w:t>
      </w:r>
      <w:r w:rsidR="00334B2D" w:rsidRPr="00FA1BCF">
        <w:rPr>
          <w:rFonts w:eastAsia="Times New Roman" w:cs="Times New Roman"/>
          <w:szCs w:val="24"/>
          <w:lang w:eastAsia="en-AU"/>
        </w:rPr>
        <w:t xml:space="preserve">10 </w:t>
      </w:r>
      <w:r w:rsidRPr="00FA1BCF">
        <w:rPr>
          <w:rFonts w:eastAsia="Times New Roman" w:cs="Times New Roman"/>
          <w:szCs w:val="24"/>
          <w:lang w:eastAsia="en-AU"/>
        </w:rPr>
        <w:t>medicines for eligible patients with one of seven rare and life threatening diseases at an average cost of over $3</w:t>
      </w:r>
      <w:r w:rsidR="00A363A5">
        <w:rPr>
          <w:rFonts w:eastAsia="Times New Roman" w:cs="Times New Roman"/>
          <w:szCs w:val="24"/>
          <w:lang w:eastAsia="en-AU"/>
        </w:rPr>
        <w:t>11</w:t>
      </w:r>
      <w:r w:rsidRPr="00FA1BCF">
        <w:rPr>
          <w:rFonts w:eastAsia="Times New Roman" w:cs="Times New Roman"/>
          <w:szCs w:val="24"/>
          <w:lang w:eastAsia="en-AU"/>
        </w:rPr>
        <w:t>,000 per patient annually. In 201</w:t>
      </w:r>
      <w:r w:rsidR="00A363A5">
        <w:rPr>
          <w:rFonts w:eastAsia="Times New Roman" w:cs="Times New Roman"/>
          <w:szCs w:val="24"/>
          <w:lang w:eastAsia="en-AU"/>
        </w:rPr>
        <w:t>4</w:t>
      </w:r>
      <w:r w:rsidR="003B146F" w:rsidRPr="00FA1BCF">
        <w:rPr>
          <w:rFonts w:eastAsia="Times New Roman" w:cs="Times New Roman"/>
          <w:szCs w:val="24"/>
          <w:lang w:eastAsia="en-AU"/>
        </w:rPr>
        <w:t>–</w:t>
      </w:r>
      <w:r w:rsidRPr="00FA1BCF">
        <w:rPr>
          <w:rFonts w:eastAsia="Times New Roman" w:cs="Times New Roman"/>
          <w:szCs w:val="24"/>
          <w:lang w:eastAsia="en-AU"/>
        </w:rPr>
        <w:t>1</w:t>
      </w:r>
      <w:r w:rsidR="00A363A5">
        <w:rPr>
          <w:rFonts w:eastAsia="Times New Roman" w:cs="Times New Roman"/>
          <w:szCs w:val="24"/>
          <w:lang w:eastAsia="en-AU"/>
        </w:rPr>
        <w:t>5</w:t>
      </w:r>
      <w:r w:rsidRPr="00FA1BCF">
        <w:rPr>
          <w:rFonts w:eastAsia="Times New Roman" w:cs="Times New Roman"/>
          <w:szCs w:val="24"/>
          <w:lang w:eastAsia="en-AU"/>
        </w:rPr>
        <w:t xml:space="preserve">, the </w:t>
      </w:r>
      <w:r w:rsidR="00334B2D" w:rsidRPr="00FA1BCF">
        <w:rPr>
          <w:rFonts w:eastAsia="Times New Roman" w:cs="Times New Roman"/>
          <w:szCs w:val="24"/>
          <w:lang w:eastAsia="en-AU"/>
        </w:rPr>
        <w:t>p</w:t>
      </w:r>
      <w:r w:rsidRPr="00FA1BCF">
        <w:rPr>
          <w:rFonts w:eastAsia="Times New Roman" w:cs="Times New Roman"/>
          <w:szCs w:val="24"/>
          <w:lang w:eastAsia="en-AU"/>
        </w:rPr>
        <w:t>rogramme treated 2</w:t>
      </w:r>
      <w:r w:rsidR="00A363A5">
        <w:rPr>
          <w:rFonts w:eastAsia="Times New Roman" w:cs="Times New Roman"/>
          <w:szCs w:val="24"/>
          <w:lang w:eastAsia="en-AU"/>
        </w:rPr>
        <w:t>89</w:t>
      </w:r>
      <w:r w:rsidRPr="00FA1BCF">
        <w:rPr>
          <w:rFonts w:eastAsia="Times New Roman" w:cs="Times New Roman"/>
          <w:szCs w:val="24"/>
          <w:lang w:eastAsia="en-AU"/>
        </w:rPr>
        <w:t xml:space="preserve"> patients at a cost of approximately $</w:t>
      </w:r>
      <w:r w:rsidR="00A363A5">
        <w:rPr>
          <w:rFonts w:eastAsia="Times New Roman" w:cs="Times New Roman"/>
          <w:szCs w:val="24"/>
          <w:lang w:eastAsia="en-AU"/>
        </w:rPr>
        <w:t>85.9</w:t>
      </w:r>
      <w:r w:rsidRPr="00FA1BCF">
        <w:rPr>
          <w:rFonts w:eastAsia="Times New Roman" w:cs="Times New Roman"/>
          <w:szCs w:val="24"/>
          <w:lang w:eastAsia="en-AU"/>
        </w:rPr>
        <w:t xml:space="preserve"> million. Twelve additional patients were eligible to receive free access to life saving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treatments through the LSDP since the announcement of the </w:t>
      </w:r>
      <w:r w:rsidR="00334B2D" w:rsidRPr="00FA1BCF">
        <w:rPr>
          <w:rFonts w:eastAsia="Times New Roman" w:cs="Times New Roman"/>
          <w:szCs w:val="24"/>
          <w:lang w:eastAsia="en-AU"/>
        </w:rPr>
        <w:t xml:space="preserve">LDSP Post Market </w:t>
      </w:r>
      <w:r w:rsidRPr="00FA1BCF">
        <w:rPr>
          <w:rFonts w:eastAsia="Times New Roman" w:cs="Times New Roman"/>
          <w:szCs w:val="24"/>
          <w:lang w:eastAsia="en-AU"/>
        </w:rPr>
        <w:t xml:space="preserve">Review in April 2014. </w:t>
      </w:r>
      <w:r w:rsidR="004347BD" w:rsidRPr="00FA1BCF">
        <w:rPr>
          <w:rFonts w:eastAsia="Times New Roman" w:cs="Times New Roman"/>
          <w:szCs w:val="24"/>
          <w:lang w:eastAsia="en-AU"/>
        </w:rPr>
        <w:t xml:space="preserve">In </w:t>
      </w:r>
      <w:r w:rsidR="00A363A5">
        <w:rPr>
          <w:rFonts w:eastAsia="Times New Roman" w:cs="Times New Roman"/>
          <w:szCs w:val="24"/>
          <w:lang w:eastAsia="en-AU"/>
        </w:rPr>
        <w:t>September</w:t>
      </w:r>
      <w:r w:rsidR="004347BD" w:rsidRPr="00FA1BCF">
        <w:rPr>
          <w:rFonts w:eastAsia="Times New Roman" w:cs="Times New Roman"/>
          <w:szCs w:val="24"/>
          <w:lang w:eastAsia="en-AU"/>
        </w:rPr>
        <w:t xml:space="preserve"> 2015, t</w:t>
      </w:r>
      <w:r w:rsidRPr="00FA1BCF">
        <w:rPr>
          <w:rFonts w:eastAsia="Times New Roman" w:cs="Times New Roman"/>
          <w:szCs w:val="24"/>
          <w:lang w:eastAsia="en-AU"/>
        </w:rPr>
        <w:t xml:space="preserve">he number of patients treated under the programme </w:t>
      </w:r>
      <w:r w:rsidR="008878BB" w:rsidRPr="00FA1BCF">
        <w:rPr>
          <w:rFonts w:eastAsia="Times New Roman" w:cs="Times New Roman"/>
          <w:szCs w:val="24"/>
          <w:lang w:eastAsia="en-AU"/>
        </w:rPr>
        <w:t xml:space="preserve">was </w:t>
      </w:r>
      <w:r w:rsidRPr="00FA1BCF">
        <w:rPr>
          <w:rFonts w:eastAsia="Times New Roman" w:cs="Times New Roman"/>
          <w:szCs w:val="24"/>
          <w:lang w:eastAsia="en-AU"/>
        </w:rPr>
        <w:t>2</w:t>
      </w:r>
      <w:r w:rsidR="00A363A5">
        <w:rPr>
          <w:rFonts w:eastAsia="Times New Roman" w:cs="Times New Roman"/>
          <w:szCs w:val="24"/>
          <w:lang w:eastAsia="en-AU"/>
        </w:rPr>
        <w:t>81</w:t>
      </w:r>
      <w:r w:rsidRPr="00FA1BCF">
        <w:rPr>
          <w:rFonts w:eastAsia="Times New Roman" w:cs="Times New Roman"/>
          <w:szCs w:val="24"/>
          <w:lang w:eastAsia="en-AU"/>
        </w:rPr>
        <w:t xml:space="preserve">. </w:t>
      </w:r>
    </w:p>
    <w:p w:rsidR="00CC79FE" w:rsidRPr="00FA1BCF" w:rsidRDefault="00CC79FE" w:rsidP="00E436E7">
      <w:pPr>
        <w:pStyle w:val="Heading2"/>
        <w:rPr>
          <w:lang w:eastAsia="en-AU"/>
        </w:rPr>
      </w:pPr>
      <w:bookmarkStart w:id="10" w:name="_Toc302625568"/>
      <w:r w:rsidRPr="00FA1BCF">
        <w:rPr>
          <w:lang w:eastAsia="en-AU"/>
        </w:rPr>
        <w:t>4.3. Why are we reviewing the programme?</w:t>
      </w:r>
      <w:bookmarkEnd w:id="10"/>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 xml:space="preserve">Like consumers, the Government </w:t>
      </w:r>
      <w:r w:rsidR="00001CB8">
        <w:rPr>
          <w:rFonts w:eastAsia="Times New Roman" w:cs="Times New Roman"/>
          <w:szCs w:val="24"/>
          <w:lang w:eastAsia="en-AU"/>
        </w:rPr>
        <w:t>wants to</w:t>
      </w:r>
      <w:r w:rsidRPr="00FA1BCF">
        <w:rPr>
          <w:rFonts w:eastAsia="Times New Roman" w:cs="Times New Roman"/>
          <w:szCs w:val="24"/>
          <w:lang w:eastAsia="en-AU"/>
        </w:rPr>
        <w:t xml:space="preserve"> ensur</w:t>
      </w:r>
      <w:r w:rsidR="00001CB8">
        <w:rPr>
          <w:rFonts w:eastAsia="Times New Roman" w:cs="Times New Roman"/>
          <w:szCs w:val="24"/>
          <w:lang w:eastAsia="en-AU"/>
        </w:rPr>
        <w:t>e</w:t>
      </w:r>
      <w:r w:rsidRPr="00FA1BCF">
        <w:rPr>
          <w:rFonts w:eastAsia="Times New Roman" w:cs="Times New Roman"/>
          <w:szCs w:val="24"/>
          <w:lang w:eastAsia="en-AU"/>
        </w:rPr>
        <w:t xml:space="preserve"> that the health system delivers the highest standards of equity and quality in providing for individuals with rare diseases. The Government is equally concerned that subsidised medicines are effective and target the most severe diseases</w:t>
      </w:r>
      <w:r w:rsidR="00334B2D" w:rsidRPr="00FA1BCF">
        <w:rPr>
          <w:rFonts w:eastAsia="Times New Roman" w:cs="Times New Roman"/>
          <w:szCs w:val="24"/>
          <w:lang w:eastAsia="en-AU"/>
        </w:rPr>
        <w:t>,</w:t>
      </w:r>
      <w:r w:rsidRPr="00FA1BCF">
        <w:rPr>
          <w:rFonts w:eastAsia="Times New Roman" w:cs="Times New Roman"/>
          <w:szCs w:val="24"/>
          <w:lang w:eastAsia="en-AU"/>
        </w:rPr>
        <w:t xml:space="preserve"> whilst being mindful of the impacts and costs to patients and their families.</w:t>
      </w:r>
      <w:r w:rsidR="00B56F35" w:rsidRPr="00FA1BCF">
        <w:rPr>
          <w:rFonts w:eastAsia="Times New Roman" w:cs="Times New Roman"/>
          <w:szCs w:val="24"/>
          <w:lang w:eastAsia="en-AU"/>
        </w:rPr>
        <w:t xml:space="preserve"> </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In the last few years there has been a</w:t>
      </w:r>
      <w:r w:rsidR="00001CB8">
        <w:rPr>
          <w:rFonts w:eastAsia="Times New Roman" w:cs="Times New Roman"/>
          <w:szCs w:val="24"/>
          <w:lang w:eastAsia="en-AU"/>
        </w:rPr>
        <w:t>n</w:t>
      </w:r>
      <w:r w:rsidRPr="00FA1BCF">
        <w:rPr>
          <w:rFonts w:eastAsia="Times New Roman" w:cs="Times New Roman"/>
          <w:szCs w:val="24"/>
          <w:lang w:eastAsia="en-AU"/>
        </w:rPr>
        <w:t xml:space="preserve"> increase in submissions for very highly priced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in line with increased interest in targeted therapies at the genomic level. Often these are targeted to small populations and seek inclusion to the LSDP. A review of the LSDP, in light of evolving scientific advancements</w:t>
      </w:r>
      <w:r w:rsidR="00334B2D" w:rsidRPr="00FA1BCF">
        <w:rPr>
          <w:rFonts w:eastAsia="Times New Roman" w:cs="Times New Roman"/>
          <w:szCs w:val="24"/>
          <w:lang w:eastAsia="en-AU"/>
        </w:rPr>
        <w:t xml:space="preserve"> and</w:t>
      </w:r>
      <w:r w:rsidRPr="00FA1BCF">
        <w:rPr>
          <w:rFonts w:eastAsia="Times New Roman" w:cs="Times New Roman"/>
          <w:szCs w:val="24"/>
          <w:lang w:eastAsia="en-AU"/>
        </w:rPr>
        <w:t xml:space="preserve"> increased patient and industry expectations is important to ensure the programme remains viable and available to people who might need to access </w:t>
      </w:r>
      <w:r w:rsidR="00334B2D" w:rsidRPr="00FA1BCF">
        <w:rPr>
          <w:rFonts w:eastAsia="Times New Roman" w:cs="Times New Roman"/>
          <w:szCs w:val="24"/>
          <w:lang w:eastAsia="en-AU"/>
        </w:rPr>
        <w:t>it</w:t>
      </w:r>
      <w:r w:rsidRPr="00FA1BCF">
        <w:rPr>
          <w:rFonts w:eastAsia="Times New Roman" w:cs="Times New Roman"/>
          <w:szCs w:val="24"/>
          <w:lang w:eastAsia="en-AU"/>
        </w:rPr>
        <w:t xml:space="preserve"> in future.</w:t>
      </w:r>
      <w:r w:rsidR="00B56F35" w:rsidRPr="00FA1BCF">
        <w:rPr>
          <w:rFonts w:eastAsia="Times New Roman" w:cs="Times New Roman"/>
          <w:szCs w:val="24"/>
          <w:lang w:eastAsia="en-AU"/>
        </w:rPr>
        <w:t xml:space="preserve"> </w:t>
      </w:r>
    </w:p>
    <w:p w:rsidR="00CC79FE" w:rsidRPr="00FA1BCF" w:rsidRDefault="00CC79FE" w:rsidP="00E436E7">
      <w:pPr>
        <w:pStyle w:val="Heading2"/>
        <w:rPr>
          <w:lang w:eastAsia="en-AU"/>
        </w:rPr>
      </w:pPr>
      <w:bookmarkStart w:id="11" w:name="_Toc302625569"/>
      <w:r w:rsidRPr="00FA1BCF">
        <w:rPr>
          <w:lang w:eastAsia="en-AU"/>
        </w:rPr>
        <w:t>4.4. What did we look at?</w:t>
      </w:r>
      <w:bookmarkEnd w:id="11"/>
    </w:p>
    <w:p w:rsidR="00CC79FE" w:rsidRPr="00FA1BCF" w:rsidRDefault="00CC79FE" w:rsidP="00CC79FE">
      <w:pPr>
        <w:jc w:val="both"/>
        <w:rPr>
          <w:rFonts w:eastAsia="Times New Roman" w:cs="Times New Roman"/>
          <w:b/>
          <w:i/>
          <w:szCs w:val="24"/>
          <w:lang w:eastAsia="en-AU"/>
        </w:rPr>
      </w:pPr>
      <w:r w:rsidRPr="00FA1BCF">
        <w:rPr>
          <w:rFonts w:eastAsia="Times New Roman" w:cs="Times New Roman"/>
          <w:szCs w:val="24"/>
          <w:lang w:eastAsia="en-AU"/>
        </w:rPr>
        <w:t>On 9 April 2014</w:t>
      </w:r>
      <w:r w:rsidR="004347BD" w:rsidRPr="00FA1BCF">
        <w:rPr>
          <w:rFonts w:eastAsia="Times New Roman" w:cs="Times New Roman"/>
          <w:szCs w:val="24"/>
          <w:lang w:eastAsia="en-AU"/>
        </w:rPr>
        <w:t>,</w:t>
      </w:r>
      <w:r w:rsidRPr="00FA1BCF">
        <w:rPr>
          <w:rFonts w:eastAsia="Times New Roman" w:cs="Times New Roman"/>
          <w:szCs w:val="24"/>
          <w:lang w:eastAsia="en-AU"/>
        </w:rPr>
        <w:t xml:space="preserve"> the Minister for Health announced the </w:t>
      </w:r>
      <w:r w:rsidR="00334B2D" w:rsidRPr="00FA1BCF">
        <w:rPr>
          <w:rFonts w:eastAsia="Times New Roman" w:cs="Times New Roman"/>
          <w:szCs w:val="24"/>
          <w:lang w:eastAsia="en-AU"/>
        </w:rPr>
        <w:t xml:space="preserve">LDSP </w:t>
      </w:r>
      <w:r w:rsidRPr="00FA1BCF">
        <w:rPr>
          <w:rFonts w:eastAsia="Times New Roman" w:cs="Times New Roman"/>
          <w:szCs w:val="24"/>
          <w:lang w:eastAsia="en-AU"/>
        </w:rPr>
        <w:t>Post Market Review. The main objectives were to review the access, equity, value for money and future administration of the programme with a view to facilitat</w:t>
      </w:r>
      <w:r w:rsidR="00334B2D" w:rsidRPr="00FA1BCF">
        <w:rPr>
          <w:rFonts w:eastAsia="Times New Roman" w:cs="Times New Roman"/>
          <w:szCs w:val="24"/>
          <w:lang w:eastAsia="en-AU"/>
        </w:rPr>
        <w:t>ing</w:t>
      </w:r>
      <w:r w:rsidRPr="00FA1BCF">
        <w:rPr>
          <w:rFonts w:eastAsia="Times New Roman" w:cs="Times New Roman"/>
          <w:szCs w:val="24"/>
          <w:lang w:eastAsia="en-AU"/>
        </w:rPr>
        <w:t xml:space="preserve"> continued subsidy to important and necessary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 xml:space="preserve">for patients in need, in an exciting but challenging environment of increasing demands for new and very highly priced therapies. The </w:t>
      </w:r>
      <w:r w:rsidR="00334B2D" w:rsidRPr="00FA1BCF">
        <w:rPr>
          <w:rFonts w:eastAsia="Times New Roman" w:cs="Times New Roman"/>
          <w:szCs w:val="24"/>
          <w:lang w:eastAsia="en-AU"/>
        </w:rPr>
        <w:t>r</w:t>
      </w:r>
      <w:r w:rsidRPr="00FA1BCF">
        <w:rPr>
          <w:rFonts w:eastAsia="Times New Roman" w:cs="Times New Roman"/>
          <w:szCs w:val="24"/>
          <w:lang w:eastAsia="en-AU"/>
        </w:rPr>
        <w:t xml:space="preserve">eview also provided an opportunity to take stock of the clinical efficacy and safety data for treatments currently subsidised and to incorporate new or emerging evidence. In keeping with the objective of improving </w:t>
      </w:r>
      <w:r w:rsidRPr="00FA1BCF">
        <w:rPr>
          <w:rFonts w:eastAsia="Times New Roman" w:cs="Times New Roman"/>
          <w:szCs w:val="24"/>
          <w:lang w:eastAsia="en-AU"/>
        </w:rPr>
        <w:lastRenderedPageBreak/>
        <w:t xml:space="preserve">processes and access for patients, the </w:t>
      </w:r>
      <w:r w:rsidR="00334B2D" w:rsidRPr="00FA1BCF">
        <w:rPr>
          <w:rFonts w:eastAsia="Times New Roman" w:cs="Times New Roman"/>
          <w:szCs w:val="24"/>
          <w:lang w:eastAsia="en-AU"/>
        </w:rPr>
        <w:t>r</w:t>
      </w:r>
      <w:r w:rsidRPr="00FA1BCF">
        <w:rPr>
          <w:rFonts w:eastAsia="Times New Roman" w:cs="Times New Roman"/>
          <w:szCs w:val="24"/>
          <w:lang w:eastAsia="en-AU"/>
        </w:rPr>
        <w:t xml:space="preserve">eview looked at ways to improve data collection for rare diseases and to engage with stakeholders. </w:t>
      </w:r>
    </w:p>
    <w:p w:rsidR="00813427" w:rsidRPr="00FA1BCF" w:rsidRDefault="00CC79FE" w:rsidP="00E436E7">
      <w:pPr>
        <w:pStyle w:val="Heading2"/>
        <w:rPr>
          <w:szCs w:val="24"/>
          <w:lang w:eastAsia="en-AU"/>
        </w:rPr>
      </w:pPr>
      <w:bookmarkStart w:id="12" w:name="_Toc302625570"/>
      <w:r w:rsidRPr="00FA1BCF">
        <w:rPr>
          <w:lang w:eastAsia="en-AU"/>
        </w:rPr>
        <w:t>4.5. What was the process?</w:t>
      </w:r>
      <w:bookmarkEnd w:id="12"/>
      <w:r w:rsidRPr="00FA1BCF">
        <w:rPr>
          <w:lang w:eastAsia="en-AU"/>
        </w:rPr>
        <w:t xml:space="preserve"> </w:t>
      </w:r>
    </w:p>
    <w:p w:rsidR="004347BD" w:rsidRPr="00FA1BCF" w:rsidRDefault="00813427" w:rsidP="00CC79FE">
      <w:pPr>
        <w:jc w:val="both"/>
        <w:rPr>
          <w:rFonts w:eastAsia="Times New Roman" w:cs="Times New Roman"/>
          <w:szCs w:val="24"/>
          <w:lang w:eastAsia="en-AU"/>
        </w:rPr>
      </w:pPr>
      <w:r w:rsidRPr="00FA1BCF">
        <w:rPr>
          <w:rFonts w:eastAsia="Times New Roman" w:cs="Times New Roman"/>
          <w:szCs w:val="24"/>
          <w:lang w:eastAsia="en-AU"/>
        </w:rPr>
        <w:t xml:space="preserve">The process undertaken and stakeholder engagement during the </w:t>
      </w:r>
      <w:r w:rsidR="00334B2D" w:rsidRPr="00FA1BCF">
        <w:rPr>
          <w:rFonts w:eastAsia="Times New Roman" w:cs="Times New Roman"/>
          <w:szCs w:val="24"/>
          <w:lang w:eastAsia="en-AU"/>
        </w:rPr>
        <w:t>r</w:t>
      </w:r>
      <w:r w:rsidRPr="00FA1BCF">
        <w:rPr>
          <w:rFonts w:eastAsia="Times New Roman" w:cs="Times New Roman"/>
          <w:szCs w:val="24"/>
          <w:lang w:eastAsia="en-AU"/>
        </w:rPr>
        <w:t>eview</w:t>
      </w:r>
      <w:r w:rsidRPr="00FA1BCF">
        <w:rPr>
          <w:rFonts w:eastAsia="Times New Roman" w:cs="Times New Roman"/>
          <w:b/>
          <w:szCs w:val="24"/>
          <w:lang w:eastAsia="en-AU"/>
        </w:rPr>
        <w:t xml:space="preserve"> </w:t>
      </w:r>
      <w:r w:rsidRPr="00FA1BCF">
        <w:rPr>
          <w:rFonts w:eastAsia="Times New Roman" w:cs="Times New Roman"/>
          <w:szCs w:val="24"/>
          <w:lang w:eastAsia="en-AU"/>
        </w:rPr>
        <w:t>are summarised in</w:t>
      </w:r>
      <w:r w:rsidRPr="00FA1BCF">
        <w:rPr>
          <w:rFonts w:eastAsia="Times New Roman" w:cs="Times New Roman"/>
          <w:b/>
          <w:szCs w:val="24"/>
          <w:lang w:eastAsia="en-AU"/>
        </w:rPr>
        <w:t xml:space="preserve"> </w:t>
      </w:r>
      <w:r w:rsidR="00CC79FE" w:rsidRPr="00FA1BCF">
        <w:rPr>
          <w:rFonts w:eastAsia="Times New Roman" w:cs="Times New Roman"/>
          <w:szCs w:val="24"/>
          <w:lang w:eastAsia="en-AU"/>
        </w:rPr>
        <w:t>Table 1</w:t>
      </w:r>
      <w:r w:rsidR="002A2354" w:rsidRPr="00FA1BCF">
        <w:rPr>
          <w:rFonts w:eastAsia="Times New Roman" w:cs="Times New Roman"/>
          <w:szCs w:val="24"/>
          <w:lang w:eastAsia="en-AU"/>
        </w:rPr>
        <w:t xml:space="preserve"> above</w:t>
      </w:r>
      <w:r w:rsidR="00CC79FE" w:rsidRPr="00FA1BCF">
        <w:rPr>
          <w:rFonts w:eastAsia="Times New Roman" w:cs="Times New Roman"/>
          <w:szCs w:val="24"/>
          <w:lang w:eastAsia="en-AU"/>
        </w:rPr>
        <w:t>.</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In August 2013, the Department of Health asked the public for its views on the draft terms of reference for the LSDP review. Based on the feedback received</w:t>
      </w:r>
      <w:r w:rsidR="002A2354" w:rsidRPr="00FA1BCF">
        <w:rPr>
          <w:rFonts w:eastAsia="Times New Roman" w:cs="Times New Roman"/>
          <w:szCs w:val="24"/>
          <w:lang w:eastAsia="en-AU"/>
        </w:rPr>
        <w:t>,</w:t>
      </w:r>
      <w:r w:rsidRPr="00FA1BCF">
        <w:rPr>
          <w:rFonts w:eastAsia="Times New Roman" w:cs="Times New Roman"/>
          <w:szCs w:val="24"/>
          <w:lang w:eastAsia="en-AU"/>
        </w:rPr>
        <w:t xml:space="preserve"> one of the terms of reference</w:t>
      </w:r>
      <w:r w:rsidR="002A2354" w:rsidRPr="00FA1BCF">
        <w:rPr>
          <w:rFonts w:eastAsia="Times New Roman" w:cs="Times New Roman"/>
          <w:szCs w:val="24"/>
          <w:lang w:eastAsia="en-AU"/>
        </w:rPr>
        <w:t>, which</w:t>
      </w:r>
      <w:r w:rsidRPr="00FA1BCF">
        <w:rPr>
          <w:rFonts w:eastAsia="Times New Roman" w:cs="Times New Roman"/>
          <w:szCs w:val="24"/>
          <w:lang w:eastAsia="en-AU"/>
        </w:rPr>
        <w:t xml:space="preserve"> looked at assessing value for money of the medicines subsidised on the LSDP</w:t>
      </w:r>
      <w:r w:rsidR="002A2354" w:rsidRPr="00FA1BCF">
        <w:rPr>
          <w:rFonts w:eastAsia="Times New Roman" w:cs="Times New Roman"/>
          <w:szCs w:val="24"/>
          <w:lang w:eastAsia="en-AU"/>
        </w:rPr>
        <w:t>,</w:t>
      </w:r>
      <w:r w:rsidRPr="00FA1BCF">
        <w:rPr>
          <w:rFonts w:eastAsia="Times New Roman" w:cs="Times New Roman"/>
          <w:szCs w:val="24"/>
          <w:lang w:eastAsia="en-AU"/>
        </w:rPr>
        <w:t xml:space="preserve"> was adjusted to include consideration of the ‘quality of life’ achieved through receiving treatment on the programme.</w:t>
      </w:r>
      <w:r w:rsidR="00B56F35" w:rsidRPr="00FA1BCF">
        <w:rPr>
          <w:rFonts w:eastAsia="Times New Roman" w:cs="Times New Roman"/>
          <w:szCs w:val="24"/>
          <w:lang w:eastAsia="en-AU"/>
        </w:rPr>
        <w:t xml:space="preserve"> </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 xml:space="preserve">In March 2014 the Minister for Health approved the final terms of reference for the review. An independent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was established which drew from expert</w:t>
      </w:r>
      <w:r w:rsidR="002A2354" w:rsidRPr="00FA1BCF">
        <w:rPr>
          <w:rFonts w:eastAsia="Times New Roman" w:cs="Times New Roman"/>
          <w:szCs w:val="24"/>
          <w:lang w:eastAsia="en-AU"/>
        </w:rPr>
        <w:t>ise</w:t>
      </w:r>
      <w:r w:rsidRPr="00FA1BCF">
        <w:rPr>
          <w:rFonts w:eastAsia="Times New Roman" w:cs="Times New Roman"/>
          <w:szCs w:val="24"/>
          <w:lang w:eastAsia="en-AU"/>
        </w:rPr>
        <w:t xml:space="preserve"> in the field</w:t>
      </w:r>
      <w:r w:rsidR="002A2354" w:rsidRPr="00FA1BCF">
        <w:rPr>
          <w:rFonts w:eastAsia="Times New Roman" w:cs="Times New Roman"/>
          <w:szCs w:val="24"/>
          <w:lang w:eastAsia="en-AU"/>
        </w:rPr>
        <w:t>s</w:t>
      </w:r>
      <w:r w:rsidRPr="00FA1BCF">
        <w:rPr>
          <w:rFonts w:eastAsia="Times New Roman" w:cs="Times New Roman"/>
          <w:szCs w:val="24"/>
          <w:lang w:eastAsia="en-AU"/>
        </w:rPr>
        <w:t xml:space="preserve"> of rare diseases, paediatrics, ethics, pharmacotherapy, public health</w:t>
      </w:r>
      <w:r w:rsidR="002A2354" w:rsidRPr="00FA1BCF">
        <w:rPr>
          <w:rFonts w:eastAsia="Times New Roman" w:cs="Times New Roman"/>
          <w:szCs w:val="24"/>
          <w:lang w:eastAsia="en-AU"/>
        </w:rPr>
        <w:t xml:space="preserve"> and</w:t>
      </w:r>
      <w:r w:rsidRPr="00FA1BCF">
        <w:rPr>
          <w:rFonts w:eastAsia="Times New Roman" w:cs="Times New Roman"/>
          <w:szCs w:val="24"/>
          <w:lang w:eastAsia="en-AU"/>
        </w:rPr>
        <w:t xml:space="preserve"> health economics and </w:t>
      </w:r>
      <w:r w:rsidR="002A2354" w:rsidRPr="00FA1BCF">
        <w:rPr>
          <w:rFonts w:eastAsia="Times New Roman" w:cs="Times New Roman"/>
          <w:szCs w:val="24"/>
          <w:lang w:eastAsia="en-AU"/>
        </w:rPr>
        <w:t xml:space="preserve">from </w:t>
      </w:r>
      <w:r w:rsidRPr="00FA1BCF">
        <w:rPr>
          <w:rFonts w:eastAsia="Times New Roman" w:cs="Times New Roman"/>
          <w:szCs w:val="24"/>
          <w:lang w:eastAsia="en-AU"/>
        </w:rPr>
        <w:t xml:space="preserve">consumer representations. 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met five times</w:t>
      </w:r>
      <w:r w:rsidR="002A2354" w:rsidRPr="00FA1BCF">
        <w:rPr>
          <w:rFonts w:eastAsia="Times New Roman" w:cs="Times New Roman"/>
          <w:szCs w:val="24"/>
          <w:lang w:eastAsia="en-AU"/>
        </w:rPr>
        <w:t>,</w:t>
      </w:r>
      <w:r w:rsidRPr="00FA1BCF">
        <w:rPr>
          <w:rFonts w:eastAsia="Times New Roman" w:cs="Times New Roman"/>
          <w:szCs w:val="24"/>
          <w:lang w:eastAsia="en-AU"/>
        </w:rPr>
        <w:t xml:space="preserve"> including one teleconference</w:t>
      </w:r>
      <w:r w:rsidR="002A2354" w:rsidRPr="00FA1BCF">
        <w:rPr>
          <w:rFonts w:eastAsia="Times New Roman" w:cs="Times New Roman"/>
          <w:szCs w:val="24"/>
          <w:lang w:eastAsia="en-AU"/>
        </w:rPr>
        <w:t>,</w:t>
      </w:r>
      <w:r w:rsidRPr="00FA1BCF">
        <w:rPr>
          <w:rFonts w:eastAsia="Times New Roman" w:cs="Times New Roman"/>
          <w:szCs w:val="24"/>
          <w:lang w:eastAsia="en-AU"/>
        </w:rPr>
        <w:t xml:space="preserve"> over the course of the review. 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also met with patients, patient organisations leaders and industry.</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The Department commissioned an independent technical evaluation group, the University of Adelaide</w:t>
      </w:r>
      <w:r w:rsidR="002A2354" w:rsidRPr="00FA1BCF">
        <w:rPr>
          <w:rFonts w:eastAsia="Times New Roman" w:cs="Times New Roman"/>
          <w:szCs w:val="24"/>
          <w:lang w:eastAsia="en-AU"/>
        </w:rPr>
        <w:t>,</w:t>
      </w:r>
      <w:r w:rsidRPr="00FA1BCF">
        <w:rPr>
          <w:rFonts w:eastAsia="Times New Roman" w:cs="Times New Roman"/>
          <w:szCs w:val="24"/>
          <w:lang w:eastAsia="en-AU"/>
        </w:rPr>
        <w:t xml:space="preserve"> to </w:t>
      </w:r>
      <w:r w:rsidR="009C5649" w:rsidRPr="00FA1BCF">
        <w:rPr>
          <w:szCs w:val="24"/>
        </w:rPr>
        <w:t>assess</w:t>
      </w:r>
      <w:r w:rsidR="002A2354" w:rsidRPr="00FA1BCF">
        <w:rPr>
          <w:szCs w:val="24"/>
        </w:rPr>
        <w:t>:</w:t>
      </w:r>
    </w:p>
    <w:p w:rsidR="00CC79FE" w:rsidRPr="00FA1BCF" w:rsidRDefault="00CC79FE" w:rsidP="00CC79FE">
      <w:pPr>
        <w:pStyle w:val="ListParagraph"/>
        <w:numPr>
          <w:ilvl w:val="0"/>
          <w:numId w:val="25"/>
        </w:numPr>
        <w:jc w:val="both"/>
        <w:outlineLvl w:val="1"/>
        <w:rPr>
          <w:szCs w:val="24"/>
        </w:rPr>
      </w:pPr>
      <w:r w:rsidRPr="00FA1BCF">
        <w:rPr>
          <w:szCs w:val="24"/>
        </w:rPr>
        <w:t xml:space="preserve">the effectiveness and safety of </w:t>
      </w:r>
      <w:r w:rsidR="008B29C7" w:rsidRPr="00FA1BCF">
        <w:rPr>
          <w:szCs w:val="24"/>
        </w:rPr>
        <w:t xml:space="preserve">medicines </w:t>
      </w:r>
      <w:r w:rsidRPr="00FA1BCF">
        <w:rPr>
          <w:szCs w:val="24"/>
        </w:rPr>
        <w:t>currently funded through the LSDP</w:t>
      </w:r>
    </w:p>
    <w:p w:rsidR="00CC79FE" w:rsidRPr="00FA1BCF" w:rsidRDefault="00CC79FE" w:rsidP="00CC79FE">
      <w:pPr>
        <w:pStyle w:val="ListParagraph"/>
        <w:numPr>
          <w:ilvl w:val="0"/>
          <w:numId w:val="25"/>
        </w:numPr>
        <w:jc w:val="both"/>
        <w:outlineLvl w:val="1"/>
        <w:rPr>
          <w:szCs w:val="24"/>
        </w:rPr>
      </w:pPr>
      <w:r w:rsidRPr="00FA1BCF">
        <w:rPr>
          <w:szCs w:val="24"/>
        </w:rPr>
        <w:t>treatments and diseases for which funding through the LSDP may be sought in the future</w:t>
      </w:r>
    </w:p>
    <w:p w:rsidR="00CC79FE" w:rsidRPr="00FA1BCF" w:rsidRDefault="00CC79FE" w:rsidP="00CC79FE">
      <w:pPr>
        <w:pStyle w:val="ListParagraph"/>
        <w:numPr>
          <w:ilvl w:val="0"/>
          <w:numId w:val="25"/>
        </w:numPr>
        <w:jc w:val="both"/>
        <w:outlineLvl w:val="1"/>
        <w:rPr>
          <w:szCs w:val="24"/>
        </w:rPr>
      </w:pPr>
      <w:r w:rsidRPr="00FA1BCF">
        <w:rPr>
          <w:szCs w:val="24"/>
        </w:rPr>
        <w:t xml:space="preserve">international approaches to defining rare diseases and funding </w:t>
      </w:r>
      <w:r w:rsidR="008B29C7" w:rsidRPr="00FA1BCF">
        <w:rPr>
          <w:szCs w:val="24"/>
        </w:rPr>
        <w:t xml:space="preserve">medicines </w:t>
      </w:r>
      <w:r w:rsidRPr="00FA1BCF">
        <w:rPr>
          <w:szCs w:val="24"/>
        </w:rPr>
        <w:t>that treat those diseases</w:t>
      </w:r>
    </w:p>
    <w:p w:rsidR="00CC79FE" w:rsidRPr="00FA1BCF" w:rsidRDefault="00CC79FE" w:rsidP="00CC79FE">
      <w:pPr>
        <w:pStyle w:val="ListParagraph"/>
        <w:numPr>
          <w:ilvl w:val="0"/>
          <w:numId w:val="25"/>
        </w:numPr>
        <w:jc w:val="both"/>
        <w:outlineLvl w:val="1"/>
        <w:rPr>
          <w:szCs w:val="24"/>
        </w:rPr>
      </w:pPr>
      <w:r w:rsidRPr="00FA1BCF">
        <w:rPr>
          <w:szCs w:val="24"/>
        </w:rPr>
        <w:t>the value for money of the currently funded drugs</w:t>
      </w:r>
    </w:p>
    <w:p w:rsidR="00CC79FE" w:rsidRPr="00E436E7" w:rsidRDefault="008878BB" w:rsidP="00E436E7">
      <w:pPr>
        <w:pStyle w:val="ListParagraph"/>
        <w:numPr>
          <w:ilvl w:val="0"/>
          <w:numId w:val="25"/>
        </w:numPr>
        <w:jc w:val="both"/>
        <w:outlineLvl w:val="1"/>
        <w:rPr>
          <w:rFonts w:eastAsia="Times New Roman" w:cs="Times New Roman"/>
          <w:szCs w:val="24"/>
          <w:lang w:eastAsia="en-AU"/>
        </w:rPr>
      </w:pPr>
      <w:proofErr w:type="gramStart"/>
      <w:r w:rsidRPr="00FA1BCF">
        <w:rPr>
          <w:szCs w:val="24"/>
        </w:rPr>
        <w:t>the</w:t>
      </w:r>
      <w:proofErr w:type="gramEnd"/>
      <w:r w:rsidRPr="00FA1BCF">
        <w:rPr>
          <w:szCs w:val="24"/>
        </w:rPr>
        <w:t xml:space="preserve"> </w:t>
      </w:r>
      <w:r w:rsidR="00CC79FE" w:rsidRPr="00FA1BCF">
        <w:rPr>
          <w:szCs w:val="24"/>
        </w:rPr>
        <w:t>establishment of a framework for collecting data on rare diseases in Australia and how this could function internationally.</w:t>
      </w:r>
    </w:p>
    <w:p w:rsidR="004347BD" w:rsidRPr="00FA1BCF" w:rsidRDefault="004347BD" w:rsidP="00CC79FE">
      <w:pPr>
        <w:jc w:val="both"/>
        <w:rPr>
          <w:rFonts w:eastAsia="Times New Roman" w:cs="Times New Roman"/>
          <w:szCs w:val="24"/>
          <w:lang w:eastAsia="en-AU"/>
        </w:rPr>
      </w:pPr>
      <w:r w:rsidRPr="00FA1BCF">
        <w:rPr>
          <w:rFonts w:eastAsia="Times New Roman" w:cs="Times New Roman"/>
          <w:szCs w:val="24"/>
          <w:lang w:eastAsia="en-AU"/>
        </w:rPr>
        <w:t xml:space="preserve">The </w:t>
      </w:r>
      <w:r w:rsidR="00CC79FE" w:rsidRPr="00FA1BCF">
        <w:rPr>
          <w:rFonts w:eastAsia="Times New Roman" w:cs="Times New Roman"/>
          <w:szCs w:val="24"/>
          <w:lang w:eastAsia="en-AU"/>
        </w:rPr>
        <w:t>Consumers Health Forum of Australia</w:t>
      </w:r>
      <w:r w:rsidRPr="00FA1BCF">
        <w:rPr>
          <w:rFonts w:eastAsia="Times New Roman" w:cs="Times New Roman"/>
          <w:szCs w:val="24"/>
          <w:lang w:eastAsia="en-AU"/>
        </w:rPr>
        <w:t xml:space="preserve"> (CHF)</w:t>
      </w:r>
      <w:r w:rsidR="00CC79FE" w:rsidRPr="00FA1BCF">
        <w:rPr>
          <w:rFonts w:eastAsia="Times New Roman" w:cs="Times New Roman"/>
          <w:szCs w:val="24"/>
          <w:lang w:eastAsia="en-AU"/>
        </w:rPr>
        <w:t>, the national peak body representing the interests of Australian healthcare consumers</w:t>
      </w:r>
      <w:r w:rsidRPr="00FA1BCF">
        <w:rPr>
          <w:rFonts w:eastAsia="Times New Roman" w:cs="Times New Roman"/>
          <w:szCs w:val="24"/>
          <w:lang w:eastAsia="en-AU"/>
        </w:rPr>
        <w:t>,</w:t>
      </w:r>
      <w:r w:rsidR="00CC79FE" w:rsidRPr="00FA1BCF">
        <w:rPr>
          <w:rFonts w:eastAsia="Times New Roman" w:cs="Times New Roman"/>
          <w:szCs w:val="24"/>
          <w:lang w:eastAsia="en-AU"/>
        </w:rPr>
        <w:t xml:space="preserve"> was contracted to consult patient and consumer groups on two of the terms of reference. The </w:t>
      </w:r>
      <w:r w:rsidRPr="00FA1BCF">
        <w:rPr>
          <w:rFonts w:eastAsia="Times New Roman" w:cs="Times New Roman"/>
          <w:szCs w:val="24"/>
          <w:lang w:eastAsia="en-AU"/>
        </w:rPr>
        <w:t xml:space="preserve">CHF’s </w:t>
      </w:r>
      <w:r w:rsidR="00CC79FE" w:rsidRPr="00FA1BCF">
        <w:rPr>
          <w:rFonts w:eastAsia="Times New Roman" w:cs="Times New Roman"/>
          <w:szCs w:val="24"/>
          <w:lang w:eastAsia="en-AU"/>
        </w:rPr>
        <w:t xml:space="preserve">report is at </w:t>
      </w:r>
      <w:r w:rsidR="00CC79FE" w:rsidRPr="00FA1BCF">
        <w:rPr>
          <w:rFonts w:eastAsia="Times New Roman" w:cs="Times New Roman"/>
          <w:b/>
          <w:szCs w:val="24"/>
          <w:lang w:eastAsia="en-AU"/>
        </w:rPr>
        <w:t xml:space="preserve">Appendix </w:t>
      </w:r>
      <w:r w:rsidR="0087560D" w:rsidRPr="00FA1BCF">
        <w:rPr>
          <w:rFonts w:eastAsia="Times New Roman" w:cs="Times New Roman"/>
          <w:b/>
          <w:szCs w:val="24"/>
          <w:lang w:eastAsia="en-AU"/>
        </w:rPr>
        <w:t>B</w:t>
      </w:r>
      <w:r w:rsidR="00CC79FE" w:rsidRPr="00FA1BCF">
        <w:rPr>
          <w:rFonts w:eastAsia="Times New Roman" w:cs="Times New Roman"/>
          <w:szCs w:val="24"/>
          <w:lang w:eastAsia="en-AU"/>
        </w:rPr>
        <w:t>.</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The Department sought public opinion in two further calls for public submissions. In August 2014</w:t>
      </w:r>
      <w:r w:rsidR="004347BD" w:rsidRPr="00FA1BCF">
        <w:rPr>
          <w:rFonts w:eastAsia="Times New Roman" w:cs="Times New Roman"/>
          <w:szCs w:val="24"/>
          <w:lang w:eastAsia="en-AU"/>
        </w:rPr>
        <w:t>,</w:t>
      </w:r>
      <w:r w:rsidRPr="00FA1BCF">
        <w:rPr>
          <w:rFonts w:eastAsia="Times New Roman" w:cs="Times New Roman"/>
          <w:szCs w:val="24"/>
          <w:lang w:eastAsia="en-AU"/>
        </w:rPr>
        <w:t xml:space="preserve"> the public was asked to comment on the LSDP</w:t>
      </w:r>
      <w:r w:rsidR="002A2354" w:rsidRPr="00FA1BCF">
        <w:rPr>
          <w:rFonts w:eastAsia="Times New Roman" w:cs="Times New Roman"/>
          <w:szCs w:val="24"/>
          <w:lang w:eastAsia="en-AU"/>
        </w:rPr>
        <w:t xml:space="preserve"> review</w:t>
      </w:r>
      <w:r w:rsidRPr="00FA1BCF">
        <w:rPr>
          <w:rFonts w:eastAsia="Times New Roman" w:cs="Times New Roman"/>
          <w:szCs w:val="24"/>
          <w:lang w:eastAsia="en-AU"/>
        </w:rPr>
        <w:t xml:space="preserve"> terms of reference. Submissions were open for three months to enable all interested parties to contribute.</w:t>
      </w:r>
    </w:p>
    <w:p w:rsidR="00CC79FE" w:rsidRPr="00FA1BCF" w:rsidRDefault="00CC79FE" w:rsidP="00CC79FE">
      <w:pPr>
        <w:jc w:val="both"/>
        <w:rPr>
          <w:rFonts w:eastAsia="Times New Roman" w:cs="Times New Roman"/>
          <w:b/>
          <w:i/>
          <w:sz w:val="36"/>
          <w:szCs w:val="36"/>
          <w:lang w:eastAsia="en-AU"/>
        </w:rPr>
      </w:pPr>
      <w:r w:rsidRPr="00FA1BCF">
        <w:rPr>
          <w:rFonts w:eastAsia="Times New Roman" w:cs="Times New Roman"/>
          <w:szCs w:val="24"/>
          <w:lang w:eastAsia="en-AU"/>
        </w:rPr>
        <w:t xml:space="preserve">In April 2015, the </w:t>
      </w:r>
      <w:r w:rsidR="00F11CA5" w:rsidRPr="00FA1BCF">
        <w:rPr>
          <w:rFonts w:eastAsia="Times New Roman" w:cs="Times New Roman"/>
          <w:szCs w:val="24"/>
          <w:lang w:eastAsia="en-AU"/>
        </w:rPr>
        <w:t>reference group</w:t>
      </w:r>
      <w:r w:rsidR="00EA7FD5" w:rsidRPr="00FA1BCF">
        <w:rPr>
          <w:rFonts w:eastAsia="Times New Roman" w:cs="Times New Roman"/>
          <w:szCs w:val="24"/>
          <w:lang w:eastAsia="en-AU"/>
        </w:rPr>
        <w:t xml:space="preserve"> considered</w:t>
      </w:r>
      <w:r w:rsidRPr="00FA1BCF">
        <w:rPr>
          <w:rFonts w:eastAsia="Times New Roman" w:cs="Times New Roman"/>
          <w:szCs w:val="24"/>
          <w:lang w:eastAsia="en-AU"/>
        </w:rPr>
        <w:t xml:space="preserve"> the draft technical assessment report from the University of Adelaide</w:t>
      </w:r>
      <w:r w:rsidR="004347BD" w:rsidRPr="00FA1BCF">
        <w:rPr>
          <w:rFonts w:eastAsia="Times New Roman" w:cs="Times New Roman"/>
          <w:szCs w:val="24"/>
          <w:lang w:eastAsia="en-AU"/>
        </w:rPr>
        <w:t>,</w:t>
      </w:r>
      <w:r w:rsidRPr="00FA1BCF">
        <w:rPr>
          <w:rFonts w:eastAsia="Times New Roman" w:cs="Times New Roman"/>
          <w:szCs w:val="24"/>
          <w:lang w:eastAsia="en-AU"/>
        </w:rPr>
        <w:t xml:space="preserve"> </w:t>
      </w:r>
      <w:r w:rsidR="00EA7FD5" w:rsidRPr="00FA1BCF">
        <w:rPr>
          <w:rFonts w:eastAsia="Times New Roman" w:cs="Times New Roman"/>
          <w:szCs w:val="24"/>
          <w:lang w:eastAsia="en-AU"/>
        </w:rPr>
        <w:t xml:space="preserve">and </w:t>
      </w:r>
      <w:r w:rsidRPr="00FA1BCF">
        <w:rPr>
          <w:rFonts w:eastAsia="Times New Roman" w:cs="Times New Roman"/>
          <w:szCs w:val="24"/>
          <w:lang w:eastAsia="en-AU"/>
        </w:rPr>
        <w:t>released a</w:t>
      </w:r>
      <w:r w:rsidR="002A2354" w:rsidRPr="00FA1BCF">
        <w:rPr>
          <w:rFonts w:eastAsia="Times New Roman" w:cs="Times New Roman"/>
          <w:szCs w:val="24"/>
          <w:lang w:eastAsia="en-AU"/>
        </w:rPr>
        <w:t>n issues</w:t>
      </w:r>
      <w:r w:rsidRPr="00FA1BCF">
        <w:rPr>
          <w:rFonts w:eastAsia="Times New Roman" w:cs="Times New Roman"/>
          <w:szCs w:val="24"/>
          <w:lang w:eastAsia="en-AU"/>
        </w:rPr>
        <w:t xml:space="preserve"> paper </w:t>
      </w:r>
      <w:r w:rsidR="00EA7FD5" w:rsidRPr="00FA1BCF">
        <w:rPr>
          <w:rFonts w:eastAsia="Times New Roman" w:cs="Times New Roman"/>
          <w:szCs w:val="24"/>
          <w:lang w:eastAsia="en-AU"/>
        </w:rPr>
        <w:t xml:space="preserve">summarising </w:t>
      </w:r>
      <w:r w:rsidRPr="00FA1BCF">
        <w:rPr>
          <w:rFonts w:eastAsia="Times New Roman" w:cs="Times New Roman"/>
          <w:szCs w:val="24"/>
          <w:lang w:eastAsia="en-AU"/>
        </w:rPr>
        <w:t>issues</w:t>
      </w:r>
      <w:r w:rsidR="00EA7FD5" w:rsidRPr="00FA1BCF">
        <w:rPr>
          <w:rFonts w:eastAsia="Times New Roman" w:cs="Times New Roman"/>
          <w:szCs w:val="24"/>
          <w:lang w:eastAsia="en-AU"/>
        </w:rPr>
        <w:t xml:space="preserve"> </w:t>
      </w:r>
      <w:r w:rsidR="00B22AF4" w:rsidRPr="00FA1BCF">
        <w:rPr>
          <w:rFonts w:eastAsia="Times New Roman" w:cs="Times New Roman"/>
          <w:szCs w:val="24"/>
          <w:lang w:eastAsia="en-AU"/>
        </w:rPr>
        <w:t>they identified</w:t>
      </w:r>
      <w:r w:rsidR="00EA7FD5" w:rsidRPr="00FA1BCF">
        <w:rPr>
          <w:rFonts w:eastAsia="Times New Roman" w:cs="Times New Roman"/>
          <w:szCs w:val="24"/>
          <w:lang w:eastAsia="en-AU"/>
        </w:rPr>
        <w:t xml:space="preserve"> </w:t>
      </w:r>
      <w:r w:rsidRPr="00FA1BCF">
        <w:rPr>
          <w:rFonts w:eastAsia="Times New Roman" w:cs="Times New Roman"/>
          <w:szCs w:val="24"/>
          <w:lang w:eastAsia="en-AU"/>
        </w:rPr>
        <w:t xml:space="preserve">associated with the LSDP and rare diseases. The public </w:t>
      </w:r>
      <w:r w:rsidR="00EA7FD5" w:rsidRPr="00FA1BCF">
        <w:rPr>
          <w:rFonts w:eastAsia="Times New Roman" w:cs="Times New Roman"/>
          <w:szCs w:val="24"/>
          <w:lang w:eastAsia="en-AU"/>
        </w:rPr>
        <w:t xml:space="preserve">and industry </w:t>
      </w:r>
      <w:r w:rsidRPr="00FA1BCF">
        <w:rPr>
          <w:rFonts w:eastAsia="Times New Roman" w:cs="Times New Roman"/>
          <w:szCs w:val="24"/>
          <w:lang w:eastAsia="en-AU"/>
        </w:rPr>
        <w:t>were invited to submit their views on th</w:t>
      </w:r>
      <w:r w:rsidR="00EA7FD5" w:rsidRPr="00FA1BCF">
        <w:rPr>
          <w:rFonts w:eastAsia="Times New Roman" w:cs="Times New Roman"/>
          <w:szCs w:val="24"/>
          <w:lang w:eastAsia="en-AU"/>
        </w:rPr>
        <w:t xml:space="preserve">e draft technical assessment </w:t>
      </w:r>
      <w:r w:rsidRPr="00FA1BCF">
        <w:rPr>
          <w:rFonts w:eastAsia="Times New Roman" w:cs="Times New Roman"/>
          <w:szCs w:val="24"/>
          <w:lang w:eastAsia="en-AU"/>
        </w:rPr>
        <w:t xml:space="preserve">report </w:t>
      </w:r>
      <w:r w:rsidR="00EA7FD5" w:rsidRPr="00FA1BCF">
        <w:rPr>
          <w:rFonts w:eastAsia="Times New Roman" w:cs="Times New Roman"/>
          <w:szCs w:val="24"/>
          <w:lang w:eastAsia="en-AU"/>
        </w:rPr>
        <w:t>and the issue</w:t>
      </w:r>
      <w:r w:rsidR="002A2354" w:rsidRPr="00FA1BCF">
        <w:rPr>
          <w:rFonts w:eastAsia="Times New Roman" w:cs="Times New Roman"/>
          <w:szCs w:val="24"/>
          <w:lang w:eastAsia="en-AU"/>
        </w:rPr>
        <w:t>s</w:t>
      </w:r>
      <w:r w:rsidR="00EA7FD5" w:rsidRPr="00FA1BCF">
        <w:rPr>
          <w:rFonts w:eastAsia="Times New Roman" w:cs="Times New Roman"/>
          <w:szCs w:val="24"/>
          <w:lang w:eastAsia="en-AU"/>
        </w:rPr>
        <w:t xml:space="preserve"> paper</w:t>
      </w:r>
      <w:r w:rsidRPr="00FA1BCF">
        <w:rPr>
          <w:rFonts w:eastAsia="Times New Roman" w:cs="Times New Roman"/>
          <w:szCs w:val="24"/>
          <w:lang w:eastAsia="en-AU"/>
        </w:rPr>
        <w:t>. The initial period of about three weeks of consultation was extended</w:t>
      </w:r>
      <w:r w:rsidR="002A2354" w:rsidRPr="00FA1BCF">
        <w:rPr>
          <w:rFonts w:eastAsia="Times New Roman" w:cs="Times New Roman"/>
          <w:szCs w:val="24"/>
          <w:lang w:eastAsia="en-AU"/>
        </w:rPr>
        <w:t>,</w:t>
      </w:r>
      <w:r w:rsidRPr="00FA1BCF">
        <w:rPr>
          <w:rFonts w:eastAsia="Times New Roman" w:cs="Times New Roman"/>
          <w:szCs w:val="24"/>
          <w:lang w:eastAsia="en-AU"/>
        </w:rPr>
        <w:t xml:space="preserve"> first to those who requested an extension and later to all interested parties. In total, 58 submissions on the </w:t>
      </w:r>
      <w:r w:rsidR="002A2354" w:rsidRPr="00FA1BCF">
        <w:rPr>
          <w:rFonts w:eastAsia="Times New Roman" w:cs="Times New Roman"/>
          <w:szCs w:val="24"/>
          <w:lang w:eastAsia="en-AU"/>
        </w:rPr>
        <w:t>i</w:t>
      </w:r>
      <w:r w:rsidRPr="00FA1BCF">
        <w:rPr>
          <w:rFonts w:eastAsia="Times New Roman" w:cs="Times New Roman"/>
          <w:szCs w:val="24"/>
          <w:lang w:eastAsia="en-AU"/>
        </w:rPr>
        <w:t xml:space="preserve">ssues </w:t>
      </w:r>
      <w:r w:rsidR="002A2354" w:rsidRPr="00FA1BCF">
        <w:rPr>
          <w:rFonts w:eastAsia="Times New Roman" w:cs="Times New Roman"/>
          <w:szCs w:val="24"/>
          <w:lang w:eastAsia="en-AU"/>
        </w:rPr>
        <w:t>p</w:t>
      </w:r>
      <w:r w:rsidRPr="00FA1BCF">
        <w:rPr>
          <w:rFonts w:eastAsia="Times New Roman" w:cs="Times New Roman"/>
          <w:szCs w:val="24"/>
          <w:lang w:eastAsia="en-AU"/>
        </w:rPr>
        <w:t xml:space="preserve">aper were received over five weeks. </w:t>
      </w:r>
    </w:p>
    <w:p w:rsidR="00CC79FE" w:rsidRPr="00FA1BCF" w:rsidRDefault="00CC79FE" w:rsidP="00E436E7">
      <w:pPr>
        <w:pStyle w:val="Heading2"/>
        <w:rPr>
          <w:lang w:eastAsia="en-AU"/>
        </w:rPr>
      </w:pPr>
      <w:bookmarkStart w:id="13" w:name="_Toc302625571"/>
      <w:r w:rsidRPr="00FA1BCF">
        <w:rPr>
          <w:lang w:eastAsia="en-AU"/>
        </w:rPr>
        <w:lastRenderedPageBreak/>
        <w:t>4.6. Other consultations</w:t>
      </w:r>
      <w:bookmarkEnd w:id="13"/>
      <w:r w:rsidRPr="00FA1BCF">
        <w:rPr>
          <w:lang w:eastAsia="en-AU"/>
        </w:rPr>
        <w:t xml:space="preserve"> </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 xml:space="preserve">Stakeholders met with members of the Department at a number of patient and consumer led events in Canberra, Melbourne and Sydney during the </w:t>
      </w:r>
      <w:r w:rsidR="002A2354" w:rsidRPr="00FA1BCF">
        <w:rPr>
          <w:rFonts w:eastAsia="Times New Roman" w:cs="Times New Roman"/>
          <w:szCs w:val="24"/>
          <w:lang w:eastAsia="en-AU"/>
        </w:rPr>
        <w:t>r</w:t>
      </w:r>
      <w:r w:rsidRPr="00FA1BCF">
        <w:rPr>
          <w:rFonts w:eastAsia="Times New Roman" w:cs="Times New Roman"/>
          <w:szCs w:val="24"/>
          <w:lang w:eastAsia="en-AU"/>
        </w:rPr>
        <w:t xml:space="preserve">eview. Two </w:t>
      </w:r>
      <w:r w:rsidR="003A15FA" w:rsidRPr="00FA1BCF">
        <w:rPr>
          <w:rFonts w:eastAsia="Times New Roman" w:cs="Times New Roman"/>
          <w:szCs w:val="24"/>
          <w:lang w:eastAsia="en-AU"/>
        </w:rPr>
        <w:t>CHF</w:t>
      </w:r>
      <w:r w:rsidR="000009B8" w:rsidRPr="00FA1BCF">
        <w:rPr>
          <w:rFonts w:eastAsia="Times New Roman" w:cs="Times New Roman"/>
          <w:szCs w:val="24"/>
          <w:lang w:eastAsia="en-AU"/>
        </w:rPr>
        <w:t>-</w:t>
      </w:r>
      <w:r w:rsidRPr="00FA1BCF">
        <w:rPr>
          <w:rFonts w:eastAsia="Times New Roman" w:cs="Times New Roman"/>
          <w:szCs w:val="24"/>
          <w:lang w:eastAsia="en-AU"/>
        </w:rPr>
        <w:t xml:space="preserve">facilitated workshops were held in Sydney and Melbourne in March 2015. </w:t>
      </w:r>
      <w:r w:rsidR="00EA7FD5" w:rsidRPr="00FA1BCF">
        <w:rPr>
          <w:rFonts w:eastAsia="Times New Roman" w:cs="Times New Roman"/>
          <w:szCs w:val="24"/>
          <w:lang w:eastAsia="en-AU"/>
        </w:rPr>
        <w:t xml:space="preserve">The </w:t>
      </w:r>
      <w:r w:rsidR="00F11CA5" w:rsidRPr="00FA1BCF">
        <w:rPr>
          <w:rFonts w:eastAsia="Times New Roman" w:cs="Times New Roman"/>
          <w:szCs w:val="24"/>
          <w:lang w:eastAsia="en-AU"/>
        </w:rPr>
        <w:t>reference group</w:t>
      </w:r>
      <w:r w:rsidR="00EA7FD5" w:rsidRPr="00FA1BCF">
        <w:rPr>
          <w:rFonts w:eastAsia="Times New Roman" w:cs="Times New Roman"/>
          <w:szCs w:val="24"/>
          <w:lang w:eastAsia="en-AU"/>
        </w:rPr>
        <w:t xml:space="preserve"> met with industry representatives in May 2015. A further telephone conference was held </w:t>
      </w:r>
      <w:r w:rsidR="00E76A9D" w:rsidRPr="00FA1BCF">
        <w:rPr>
          <w:rFonts w:eastAsia="Times New Roman" w:cs="Times New Roman"/>
          <w:szCs w:val="24"/>
          <w:lang w:eastAsia="en-AU"/>
        </w:rPr>
        <w:t xml:space="preserve">between the Chair and two members of the </w:t>
      </w:r>
      <w:r w:rsidR="00F11CA5" w:rsidRPr="00FA1BCF">
        <w:rPr>
          <w:rFonts w:eastAsia="Times New Roman" w:cs="Times New Roman"/>
          <w:szCs w:val="24"/>
          <w:lang w:eastAsia="en-AU"/>
        </w:rPr>
        <w:t>reference group</w:t>
      </w:r>
      <w:r w:rsidR="00E76A9D" w:rsidRPr="00FA1BCF">
        <w:rPr>
          <w:rFonts w:eastAsia="Times New Roman" w:cs="Times New Roman"/>
          <w:szCs w:val="24"/>
          <w:lang w:eastAsia="en-AU"/>
        </w:rPr>
        <w:t xml:space="preserve"> and representatives of</w:t>
      </w:r>
      <w:r w:rsidR="00EA7FD5" w:rsidRPr="00FA1BCF">
        <w:rPr>
          <w:rFonts w:eastAsia="Times New Roman" w:cs="Times New Roman"/>
          <w:szCs w:val="24"/>
          <w:lang w:eastAsia="en-AU"/>
        </w:rPr>
        <w:t xml:space="preserve"> key patient/family disease interest organisations in May 2015.</w:t>
      </w:r>
    </w:p>
    <w:p w:rsidR="00CC79FE" w:rsidRPr="00FA1BCF" w:rsidRDefault="00CC79FE" w:rsidP="00E436E7">
      <w:pPr>
        <w:pStyle w:val="Heading2"/>
        <w:rPr>
          <w:lang w:eastAsia="en-AU"/>
        </w:rPr>
      </w:pPr>
      <w:bookmarkStart w:id="14" w:name="_Toc302625572"/>
      <w:r w:rsidRPr="00FA1BCF">
        <w:rPr>
          <w:lang w:eastAsia="en-AU"/>
        </w:rPr>
        <w:t xml:space="preserve">4.7. Past </w:t>
      </w:r>
      <w:r w:rsidR="00084B72" w:rsidRPr="00FA1BCF">
        <w:rPr>
          <w:lang w:eastAsia="en-AU"/>
        </w:rPr>
        <w:t>r</w:t>
      </w:r>
      <w:r w:rsidRPr="00FA1BCF">
        <w:rPr>
          <w:lang w:eastAsia="en-AU"/>
        </w:rPr>
        <w:t>eview</w:t>
      </w:r>
      <w:bookmarkEnd w:id="14"/>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 xml:space="preserve">In 2008, the Government reviewed the LSDP as part of the </w:t>
      </w:r>
      <w:r w:rsidR="002A2354" w:rsidRPr="00FA1BCF">
        <w:rPr>
          <w:rFonts w:eastAsia="Times New Roman" w:cs="Times New Roman"/>
          <w:szCs w:val="24"/>
          <w:lang w:eastAsia="en-AU"/>
        </w:rPr>
        <w:t>c</w:t>
      </w:r>
      <w:r w:rsidRPr="00FA1BCF">
        <w:rPr>
          <w:rFonts w:eastAsia="Times New Roman" w:cs="Times New Roman"/>
          <w:szCs w:val="24"/>
          <w:lang w:eastAsia="en-AU"/>
        </w:rPr>
        <w:t xml:space="preserve">omprehensive </w:t>
      </w:r>
      <w:r w:rsidR="002A2354" w:rsidRPr="00FA1BCF">
        <w:rPr>
          <w:rFonts w:eastAsia="Times New Roman" w:cs="Times New Roman"/>
          <w:szCs w:val="24"/>
          <w:lang w:eastAsia="en-AU"/>
        </w:rPr>
        <w:t>e</w:t>
      </w:r>
      <w:r w:rsidRPr="00FA1BCF">
        <w:rPr>
          <w:rFonts w:eastAsia="Times New Roman" w:cs="Times New Roman"/>
          <w:szCs w:val="24"/>
          <w:lang w:eastAsia="en-AU"/>
        </w:rPr>
        <w:t xml:space="preserve">xpenditure </w:t>
      </w:r>
      <w:r w:rsidR="002A2354" w:rsidRPr="00FA1BCF">
        <w:rPr>
          <w:rFonts w:eastAsia="Times New Roman" w:cs="Times New Roman"/>
          <w:szCs w:val="24"/>
          <w:lang w:eastAsia="en-AU"/>
        </w:rPr>
        <w:t>r</w:t>
      </w:r>
      <w:r w:rsidRPr="00FA1BCF">
        <w:rPr>
          <w:rFonts w:eastAsia="Times New Roman" w:cs="Times New Roman"/>
          <w:szCs w:val="24"/>
          <w:lang w:eastAsia="en-AU"/>
        </w:rPr>
        <w:t xml:space="preserve">eview </w:t>
      </w:r>
      <w:r w:rsidR="003A15FA" w:rsidRPr="00FA1BCF">
        <w:rPr>
          <w:rFonts w:eastAsia="Times New Roman" w:cs="Times New Roman"/>
          <w:szCs w:val="24"/>
          <w:lang w:eastAsia="en-AU"/>
        </w:rPr>
        <w:t xml:space="preserve">(CER) </w:t>
      </w:r>
      <w:r w:rsidRPr="00FA1BCF">
        <w:rPr>
          <w:rFonts w:eastAsia="Times New Roman" w:cs="Times New Roman"/>
          <w:szCs w:val="24"/>
          <w:lang w:eastAsia="en-AU"/>
        </w:rPr>
        <w:t>process. The purpose of th</w:t>
      </w:r>
      <w:r w:rsidR="003A15FA" w:rsidRPr="00FA1BCF">
        <w:rPr>
          <w:rFonts w:eastAsia="Times New Roman" w:cs="Times New Roman"/>
          <w:szCs w:val="24"/>
          <w:lang w:eastAsia="en-AU"/>
        </w:rPr>
        <w:t>is</w:t>
      </w:r>
      <w:r w:rsidRPr="00FA1BCF">
        <w:rPr>
          <w:rFonts w:eastAsia="Times New Roman" w:cs="Times New Roman"/>
          <w:szCs w:val="24"/>
          <w:lang w:eastAsia="en-AU"/>
        </w:rPr>
        <w:t xml:space="preserve"> </w:t>
      </w:r>
      <w:r w:rsidR="003A15FA" w:rsidRPr="00FA1BCF">
        <w:rPr>
          <w:rFonts w:eastAsia="Times New Roman" w:cs="Times New Roman"/>
          <w:szCs w:val="24"/>
          <w:lang w:eastAsia="en-AU"/>
        </w:rPr>
        <w:t>r</w:t>
      </w:r>
      <w:r w:rsidRPr="00FA1BCF">
        <w:rPr>
          <w:rFonts w:eastAsia="Times New Roman" w:cs="Times New Roman"/>
          <w:szCs w:val="24"/>
          <w:lang w:eastAsia="en-AU"/>
        </w:rPr>
        <w:t xml:space="preserve">eview was to establish consistent and rigorous procedures and a sustainable programme. The </w:t>
      </w:r>
      <w:r w:rsidR="003A15FA" w:rsidRPr="00FA1BCF">
        <w:rPr>
          <w:rFonts w:eastAsia="Times New Roman" w:cs="Times New Roman"/>
          <w:szCs w:val="24"/>
          <w:lang w:eastAsia="en-AU"/>
        </w:rPr>
        <w:t>t</w:t>
      </w:r>
      <w:r w:rsidRPr="00FA1BCF">
        <w:rPr>
          <w:rFonts w:eastAsia="Times New Roman" w:cs="Times New Roman"/>
          <w:szCs w:val="24"/>
          <w:lang w:eastAsia="en-AU"/>
        </w:rPr>
        <w:t xml:space="preserve">erms of </w:t>
      </w:r>
      <w:r w:rsidR="003A15FA" w:rsidRPr="00FA1BCF">
        <w:rPr>
          <w:rFonts w:eastAsia="Times New Roman" w:cs="Times New Roman"/>
          <w:szCs w:val="24"/>
          <w:lang w:eastAsia="en-AU"/>
        </w:rPr>
        <w:t>r</w:t>
      </w:r>
      <w:r w:rsidRPr="00FA1BCF">
        <w:rPr>
          <w:rFonts w:eastAsia="Times New Roman" w:cs="Times New Roman"/>
          <w:szCs w:val="24"/>
          <w:lang w:eastAsia="en-AU"/>
        </w:rPr>
        <w:t xml:space="preserve">eference specified that the review was to be conducted with due regard to the Government’s </w:t>
      </w:r>
      <w:r w:rsidR="003A15FA" w:rsidRPr="00FA1BCF">
        <w:rPr>
          <w:rFonts w:eastAsia="Times New Roman" w:cs="Times New Roman"/>
          <w:szCs w:val="24"/>
          <w:lang w:eastAsia="en-AU"/>
        </w:rPr>
        <w:t xml:space="preserve">CER </w:t>
      </w:r>
      <w:r w:rsidRPr="00FA1BCF">
        <w:rPr>
          <w:rFonts w:eastAsia="Times New Roman" w:cs="Times New Roman"/>
          <w:szCs w:val="24"/>
          <w:lang w:eastAsia="en-AU"/>
        </w:rPr>
        <w:t>principles of appropriateness, effectiveness, efficiency, performance assessment integration and strategic policy alignment.</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Th</w:t>
      </w:r>
      <w:r w:rsidR="002A2354" w:rsidRPr="00FA1BCF">
        <w:rPr>
          <w:rFonts w:eastAsia="Times New Roman" w:cs="Times New Roman"/>
          <w:szCs w:val="24"/>
          <w:lang w:eastAsia="en-AU"/>
        </w:rPr>
        <w:t>at</w:t>
      </w:r>
      <w:r w:rsidRPr="00FA1BCF">
        <w:rPr>
          <w:rFonts w:eastAsia="Times New Roman" w:cs="Times New Roman"/>
          <w:szCs w:val="24"/>
          <w:lang w:eastAsia="en-AU"/>
        </w:rPr>
        <w:t xml:space="preserve"> </w:t>
      </w:r>
      <w:r w:rsidR="002A2354" w:rsidRPr="00FA1BCF">
        <w:rPr>
          <w:rFonts w:eastAsia="Times New Roman" w:cs="Times New Roman"/>
          <w:szCs w:val="24"/>
          <w:lang w:eastAsia="en-AU"/>
        </w:rPr>
        <w:t>r</w:t>
      </w:r>
      <w:r w:rsidRPr="00FA1BCF">
        <w:rPr>
          <w:rFonts w:eastAsia="Times New Roman" w:cs="Times New Roman"/>
          <w:szCs w:val="24"/>
          <w:lang w:eastAsia="en-AU"/>
        </w:rPr>
        <w:t xml:space="preserve">eview was completed in January 2009. </w:t>
      </w:r>
      <w:r w:rsidR="002A2354" w:rsidRPr="00FA1BCF">
        <w:rPr>
          <w:rFonts w:eastAsia="Times New Roman" w:cs="Times New Roman"/>
          <w:szCs w:val="24"/>
          <w:lang w:eastAsia="en-AU"/>
        </w:rPr>
        <w:t>It</w:t>
      </w:r>
      <w:r w:rsidRPr="00FA1BCF">
        <w:rPr>
          <w:rFonts w:eastAsia="Times New Roman" w:cs="Times New Roman"/>
          <w:szCs w:val="24"/>
          <w:lang w:eastAsia="en-AU"/>
        </w:rPr>
        <w:t xml:space="preserve"> resulted in revised funding criteria and conditions for the </w:t>
      </w:r>
      <w:r w:rsidR="002A2354" w:rsidRPr="00FA1BCF">
        <w:rPr>
          <w:rFonts w:eastAsia="Times New Roman" w:cs="Times New Roman"/>
          <w:szCs w:val="24"/>
          <w:lang w:eastAsia="en-AU"/>
        </w:rPr>
        <w:t>p</w:t>
      </w:r>
      <w:r w:rsidR="00B22AF4" w:rsidRPr="00FA1BCF">
        <w:rPr>
          <w:rFonts w:eastAsia="Times New Roman" w:cs="Times New Roman"/>
          <w:szCs w:val="24"/>
          <w:lang w:eastAsia="en-AU"/>
        </w:rPr>
        <w:t>rogramme that</w:t>
      </w:r>
      <w:r w:rsidRPr="00FA1BCF">
        <w:rPr>
          <w:rFonts w:eastAsia="Times New Roman" w:cs="Times New Roman"/>
          <w:szCs w:val="24"/>
          <w:lang w:eastAsia="en-AU"/>
        </w:rPr>
        <w:t xml:space="preserve"> became effective on 10 May 2010.</w:t>
      </w:r>
    </w:p>
    <w:p w:rsidR="003A15FA" w:rsidRPr="00FA1BCF" w:rsidRDefault="00CC79FE" w:rsidP="00CC79FE">
      <w:pPr>
        <w:tabs>
          <w:tab w:val="left" w:pos="426"/>
        </w:tabs>
        <w:jc w:val="both"/>
        <w:rPr>
          <w:rFonts w:eastAsia="Times New Roman" w:cs="Times New Roman"/>
          <w:szCs w:val="24"/>
          <w:lang w:eastAsia="en-AU"/>
        </w:rPr>
      </w:pPr>
      <w:r w:rsidRPr="00FA1BCF">
        <w:rPr>
          <w:rFonts w:eastAsia="Times New Roman" w:cs="Times New Roman"/>
          <w:szCs w:val="24"/>
          <w:lang w:eastAsia="en-AU"/>
        </w:rPr>
        <w:t xml:space="preserve">Three new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 xml:space="preserve">have been listed since the 2009 </w:t>
      </w:r>
      <w:r w:rsidR="002A2354" w:rsidRPr="00FA1BCF">
        <w:rPr>
          <w:rFonts w:eastAsia="Times New Roman" w:cs="Times New Roman"/>
          <w:szCs w:val="24"/>
          <w:lang w:eastAsia="en-AU"/>
        </w:rPr>
        <w:t>r</w:t>
      </w:r>
      <w:r w:rsidRPr="00FA1BCF">
        <w:rPr>
          <w:rFonts w:eastAsia="Times New Roman" w:cs="Times New Roman"/>
          <w:szCs w:val="24"/>
          <w:lang w:eastAsia="en-AU"/>
        </w:rPr>
        <w:t>eview</w:t>
      </w:r>
      <w:r w:rsidR="003A15FA" w:rsidRPr="00FA1BCF">
        <w:rPr>
          <w:rFonts w:eastAsia="Times New Roman" w:cs="Times New Roman"/>
          <w:szCs w:val="24"/>
          <w:lang w:eastAsia="en-AU"/>
        </w:rPr>
        <w:t>:</w:t>
      </w:r>
      <w:r w:rsidRPr="00FA1BCF">
        <w:rPr>
          <w:rFonts w:eastAsia="Times New Roman" w:cs="Times New Roman"/>
          <w:szCs w:val="24"/>
          <w:lang w:eastAsia="en-AU"/>
        </w:rPr>
        <w:t xml:space="preserve"> </w:t>
      </w:r>
    </w:p>
    <w:p w:rsidR="003A15FA" w:rsidRPr="00FA1BCF" w:rsidRDefault="00CC79FE" w:rsidP="00BE6B72">
      <w:pPr>
        <w:pStyle w:val="ListParagraph"/>
        <w:numPr>
          <w:ilvl w:val="0"/>
          <w:numId w:val="36"/>
        </w:numPr>
        <w:tabs>
          <w:tab w:val="left" w:pos="426"/>
        </w:tabs>
        <w:jc w:val="both"/>
        <w:rPr>
          <w:rFonts w:eastAsia="Times New Roman" w:cs="Times New Roman"/>
          <w:szCs w:val="24"/>
          <w:lang w:eastAsia="en-AU"/>
        </w:rPr>
      </w:pPr>
      <w:proofErr w:type="spellStart"/>
      <w:r w:rsidRPr="00FA1BCF">
        <w:rPr>
          <w:rFonts w:eastAsia="Times New Roman" w:cs="Times New Roman"/>
          <w:szCs w:val="24"/>
          <w:lang w:eastAsia="en-AU"/>
        </w:rPr>
        <w:t>Soliris</w:t>
      </w:r>
      <w:proofErr w:type="spellEnd"/>
      <w:r w:rsidRPr="00FA1BCF">
        <w:rPr>
          <w:rFonts w:eastAsia="Times New Roman" w:cs="Times New Roman"/>
          <w:szCs w:val="24"/>
          <w:lang w:eastAsia="en-AU"/>
        </w:rPr>
        <w:t>® (</w:t>
      </w:r>
      <w:proofErr w:type="spellStart"/>
      <w:r w:rsidRPr="00FA1BCF">
        <w:rPr>
          <w:rFonts w:eastAsia="Times New Roman" w:cs="Times New Roman"/>
          <w:szCs w:val="24"/>
          <w:lang w:eastAsia="en-AU"/>
        </w:rPr>
        <w:t>eculizumab</w:t>
      </w:r>
      <w:proofErr w:type="spellEnd"/>
      <w:r w:rsidRPr="00FA1BCF">
        <w:rPr>
          <w:rFonts w:eastAsia="Times New Roman" w:cs="Times New Roman"/>
          <w:szCs w:val="24"/>
          <w:lang w:eastAsia="en-AU"/>
        </w:rPr>
        <w:t xml:space="preserve">), for the treatment of </w:t>
      </w:r>
      <w:r w:rsidR="009C5649" w:rsidRPr="00FA1BCF">
        <w:rPr>
          <w:rFonts w:eastAsia="Times New Roman" w:cs="Times New Roman"/>
          <w:szCs w:val="24"/>
          <w:lang w:eastAsia="en-AU"/>
        </w:rPr>
        <w:t>p</w:t>
      </w:r>
      <w:r w:rsidRPr="00FA1BCF">
        <w:rPr>
          <w:rFonts w:eastAsia="Times New Roman" w:cs="Times New Roman"/>
          <w:szCs w:val="24"/>
          <w:lang w:eastAsia="en-AU"/>
        </w:rPr>
        <w:t xml:space="preserve">aroxysmal </w:t>
      </w:r>
      <w:r w:rsidR="009C5649" w:rsidRPr="00FA1BCF">
        <w:rPr>
          <w:rFonts w:eastAsia="Times New Roman" w:cs="Times New Roman"/>
          <w:szCs w:val="24"/>
          <w:lang w:eastAsia="en-AU"/>
        </w:rPr>
        <w:t>n</w:t>
      </w:r>
      <w:r w:rsidRPr="00FA1BCF">
        <w:rPr>
          <w:rFonts w:eastAsia="Times New Roman" w:cs="Times New Roman"/>
          <w:szCs w:val="24"/>
          <w:lang w:eastAsia="en-AU"/>
        </w:rPr>
        <w:t xml:space="preserve">octurnal </w:t>
      </w:r>
      <w:proofErr w:type="spellStart"/>
      <w:r w:rsidR="009C5649" w:rsidRPr="00FA1BCF">
        <w:rPr>
          <w:rFonts w:eastAsia="Times New Roman" w:cs="Times New Roman"/>
          <w:szCs w:val="24"/>
          <w:lang w:eastAsia="en-AU"/>
        </w:rPr>
        <w:t>h</w:t>
      </w:r>
      <w:r w:rsidRPr="00FA1BCF">
        <w:rPr>
          <w:rFonts w:eastAsia="Times New Roman" w:cs="Times New Roman"/>
          <w:szCs w:val="24"/>
          <w:lang w:eastAsia="en-AU"/>
        </w:rPr>
        <w:t>aemoglobinuria</w:t>
      </w:r>
      <w:proofErr w:type="spellEnd"/>
      <w:r w:rsidR="002A2354" w:rsidRPr="00FA1BCF">
        <w:rPr>
          <w:rFonts w:eastAsia="Times New Roman" w:cs="Times New Roman"/>
          <w:szCs w:val="24"/>
          <w:lang w:eastAsia="en-AU"/>
        </w:rPr>
        <w:t>,</w:t>
      </w:r>
      <w:r w:rsidRPr="00FA1BCF">
        <w:rPr>
          <w:rFonts w:eastAsia="Times New Roman" w:cs="Times New Roman"/>
          <w:szCs w:val="24"/>
          <w:lang w:eastAsia="en-AU"/>
        </w:rPr>
        <w:t xml:space="preserve"> in 2010</w:t>
      </w:r>
    </w:p>
    <w:p w:rsidR="003A15FA" w:rsidRPr="00FA1BCF" w:rsidRDefault="00CC79FE" w:rsidP="00BE6B72">
      <w:pPr>
        <w:pStyle w:val="ListParagraph"/>
        <w:numPr>
          <w:ilvl w:val="0"/>
          <w:numId w:val="36"/>
        </w:numPr>
        <w:tabs>
          <w:tab w:val="left" w:pos="426"/>
        </w:tabs>
        <w:jc w:val="both"/>
        <w:rPr>
          <w:rFonts w:eastAsia="Times New Roman" w:cs="Times New Roman"/>
          <w:szCs w:val="24"/>
          <w:lang w:eastAsia="en-AU"/>
        </w:rPr>
      </w:pPr>
      <w:r w:rsidRPr="00FA1BCF">
        <w:rPr>
          <w:rFonts w:eastAsia="Times New Roman" w:cs="Times New Roman"/>
          <w:szCs w:val="24"/>
          <w:lang w:eastAsia="en-AU"/>
        </w:rPr>
        <w:t>VPRIV® (</w:t>
      </w:r>
      <w:proofErr w:type="spellStart"/>
      <w:r w:rsidRPr="00FA1BCF">
        <w:rPr>
          <w:rFonts w:eastAsia="Times New Roman" w:cs="Times New Roman"/>
          <w:szCs w:val="24"/>
          <w:lang w:eastAsia="en-AU"/>
        </w:rPr>
        <w:t>velaglucerase</w:t>
      </w:r>
      <w:proofErr w:type="spellEnd"/>
      <w:r w:rsidRPr="00FA1BCF">
        <w:rPr>
          <w:rFonts w:eastAsia="Times New Roman" w:cs="Times New Roman"/>
          <w:szCs w:val="24"/>
          <w:lang w:eastAsia="en-AU"/>
        </w:rPr>
        <w:t xml:space="preserve">), for the treatment of Gaucher </w:t>
      </w:r>
      <w:r w:rsidR="002A2354" w:rsidRPr="00FA1BCF">
        <w:rPr>
          <w:rFonts w:eastAsia="Times New Roman" w:cs="Times New Roman"/>
          <w:szCs w:val="24"/>
          <w:lang w:eastAsia="en-AU"/>
        </w:rPr>
        <w:t>d</w:t>
      </w:r>
      <w:r w:rsidRPr="00FA1BCF">
        <w:rPr>
          <w:rFonts w:eastAsia="Times New Roman" w:cs="Times New Roman"/>
          <w:szCs w:val="24"/>
          <w:lang w:eastAsia="en-AU"/>
        </w:rPr>
        <w:t>isease (</w:t>
      </w:r>
      <w:r w:rsidR="002A2354" w:rsidRPr="00FA1BCF">
        <w:rPr>
          <w:rFonts w:eastAsia="Times New Roman" w:cs="Times New Roman"/>
          <w:szCs w:val="24"/>
          <w:lang w:eastAsia="en-AU"/>
        </w:rPr>
        <w:t>t</w:t>
      </w:r>
      <w:r w:rsidRPr="00FA1BCF">
        <w:rPr>
          <w:rFonts w:eastAsia="Times New Roman" w:cs="Times New Roman"/>
          <w:szCs w:val="24"/>
          <w:lang w:eastAsia="en-AU"/>
        </w:rPr>
        <w:t xml:space="preserve">ype 1), in 2012 </w:t>
      </w:r>
    </w:p>
    <w:p w:rsidR="00CC79FE" w:rsidRPr="00FA1BCF" w:rsidRDefault="00CC79FE" w:rsidP="00BE6B72">
      <w:pPr>
        <w:pStyle w:val="ListParagraph"/>
        <w:numPr>
          <w:ilvl w:val="0"/>
          <w:numId w:val="36"/>
        </w:numPr>
        <w:tabs>
          <w:tab w:val="left" w:pos="426"/>
        </w:tabs>
        <w:jc w:val="both"/>
        <w:rPr>
          <w:rFonts w:eastAsia="Times New Roman" w:cs="Times New Roman"/>
          <w:szCs w:val="24"/>
          <w:lang w:eastAsia="en-AU"/>
        </w:rPr>
      </w:pPr>
      <w:r w:rsidRPr="00FA1BCF">
        <w:rPr>
          <w:rFonts w:eastAsia="Times New Roman" w:cs="Times New Roman"/>
          <w:szCs w:val="24"/>
          <w:lang w:eastAsia="en-AU"/>
        </w:rPr>
        <w:t xml:space="preserve">Myozyme® for the treatment of juvenile onset Pompe </w:t>
      </w:r>
      <w:r w:rsidR="002A2354" w:rsidRPr="00FA1BCF">
        <w:rPr>
          <w:rFonts w:eastAsia="Times New Roman" w:cs="Times New Roman"/>
          <w:szCs w:val="24"/>
          <w:lang w:eastAsia="en-AU"/>
        </w:rPr>
        <w:t>d</w:t>
      </w:r>
      <w:r w:rsidRPr="00FA1BCF">
        <w:rPr>
          <w:rFonts w:eastAsia="Times New Roman" w:cs="Times New Roman"/>
          <w:szCs w:val="24"/>
          <w:lang w:eastAsia="en-AU"/>
        </w:rPr>
        <w:t>isease</w:t>
      </w:r>
      <w:r w:rsidR="002A2354" w:rsidRPr="00FA1BCF">
        <w:rPr>
          <w:rFonts w:eastAsia="Times New Roman" w:cs="Times New Roman"/>
          <w:szCs w:val="24"/>
          <w:lang w:eastAsia="en-AU"/>
        </w:rPr>
        <w:t>,</w:t>
      </w:r>
      <w:r w:rsidRPr="00FA1BCF">
        <w:rPr>
          <w:rFonts w:eastAsia="Times New Roman" w:cs="Times New Roman"/>
          <w:szCs w:val="24"/>
          <w:lang w:eastAsia="en-AU"/>
        </w:rPr>
        <w:t xml:space="preserve"> in February 2015.</w:t>
      </w:r>
      <w:r w:rsidR="00B56F35" w:rsidRPr="00FA1BCF">
        <w:rPr>
          <w:rFonts w:eastAsia="Times New Roman" w:cs="Times New Roman"/>
          <w:szCs w:val="24"/>
          <w:lang w:eastAsia="en-AU"/>
        </w:rPr>
        <w:t xml:space="preserve"> </w:t>
      </w:r>
    </w:p>
    <w:p w:rsidR="00CC79FE" w:rsidRPr="00FA1BCF" w:rsidRDefault="00CC79FE" w:rsidP="00CC79FE">
      <w:pPr>
        <w:jc w:val="both"/>
        <w:rPr>
          <w:rFonts w:eastAsia="Times New Roman" w:cs="Times New Roman"/>
          <w:b/>
          <w:sz w:val="40"/>
          <w:szCs w:val="40"/>
          <w:lang w:eastAsia="en-AU"/>
        </w:rPr>
      </w:pPr>
    </w:p>
    <w:p w:rsidR="0084370F" w:rsidRPr="00FA1BCF" w:rsidRDefault="0084370F">
      <w:pPr>
        <w:rPr>
          <w:rFonts w:eastAsia="Times New Roman" w:cs="Times New Roman"/>
          <w:b/>
          <w:sz w:val="40"/>
          <w:szCs w:val="40"/>
          <w:lang w:eastAsia="en-AU"/>
        </w:rPr>
      </w:pPr>
      <w:r w:rsidRPr="00FA1BCF">
        <w:rPr>
          <w:rFonts w:eastAsia="Times New Roman" w:cs="Times New Roman"/>
          <w:b/>
          <w:sz w:val="40"/>
          <w:szCs w:val="40"/>
          <w:lang w:eastAsia="en-AU"/>
        </w:rPr>
        <w:br w:type="page"/>
      </w:r>
    </w:p>
    <w:p w:rsidR="00CC79FE" w:rsidRPr="00FA1BCF" w:rsidRDefault="00CC79FE" w:rsidP="00E436E7">
      <w:pPr>
        <w:pStyle w:val="Heading1"/>
        <w:rPr>
          <w:lang w:eastAsia="en-AU"/>
        </w:rPr>
      </w:pPr>
      <w:bookmarkStart w:id="15" w:name="_Toc302625573"/>
      <w:r w:rsidRPr="00FA1BCF">
        <w:rPr>
          <w:lang w:eastAsia="en-AU"/>
        </w:rPr>
        <w:lastRenderedPageBreak/>
        <w:t>Section 5: Issues arising since the 2008</w:t>
      </w:r>
      <w:r w:rsidR="003B146F" w:rsidRPr="00FA1BCF">
        <w:rPr>
          <w:lang w:eastAsia="en-AU"/>
        </w:rPr>
        <w:t>–</w:t>
      </w:r>
      <w:r w:rsidRPr="00FA1BCF">
        <w:rPr>
          <w:lang w:eastAsia="en-AU"/>
        </w:rPr>
        <w:t xml:space="preserve">2009 </w:t>
      </w:r>
      <w:r w:rsidR="00897318" w:rsidRPr="00FA1BCF">
        <w:t xml:space="preserve">Life Saving Drugs Programme </w:t>
      </w:r>
      <w:r w:rsidRPr="00FA1BCF">
        <w:rPr>
          <w:lang w:eastAsia="en-AU"/>
        </w:rPr>
        <w:t>review</w:t>
      </w:r>
      <w:bookmarkEnd w:id="15"/>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A number of definitional issues were identified by stakeholders following the 2010 revised funding criteria. These definitional issues</w:t>
      </w:r>
      <w:r w:rsidR="0084370F" w:rsidRPr="00FA1BCF">
        <w:rPr>
          <w:rFonts w:eastAsia="Times New Roman" w:cs="Times New Roman"/>
          <w:szCs w:val="24"/>
          <w:lang w:eastAsia="en-AU"/>
        </w:rPr>
        <w:t xml:space="preserve">, </w:t>
      </w:r>
      <w:r w:rsidRPr="00FA1BCF">
        <w:rPr>
          <w:rFonts w:eastAsia="Times New Roman" w:cs="Times New Roman"/>
          <w:szCs w:val="24"/>
          <w:lang w:eastAsia="en-AU"/>
        </w:rPr>
        <w:t>described below</w:t>
      </w:r>
      <w:r w:rsidR="0084370F" w:rsidRPr="00FA1BCF">
        <w:rPr>
          <w:rFonts w:eastAsia="Times New Roman" w:cs="Times New Roman"/>
          <w:szCs w:val="24"/>
          <w:lang w:eastAsia="en-AU"/>
        </w:rPr>
        <w:t>,</w:t>
      </w:r>
      <w:r w:rsidRPr="00FA1BCF">
        <w:rPr>
          <w:rFonts w:eastAsia="Times New Roman" w:cs="Times New Roman"/>
          <w:szCs w:val="24"/>
          <w:lang w:eastAsia="en-AU"/>
        </w:rPr>
        <w:t xml:space="preserve"> were also raised in submissions received from the public during the </w:t>
      </w:r>
      <w:r w:rsidR="00DE41ED" w:rsidRPr="00FA1BCF">
        <w:rPr>
          <w:rFonts w:eastAsia="Times New Roman" w:cs="Times New Roman"/>
          <w:szCs w:val="24"/>
          <w:lang w:eastAsia="en-AU"/>
        </w:rPr>
        <w:t xml:space="preserve">recent </w:t>
      </w:r>
      <w:r w:rsidRPr="00FA1BCF">
        <w:rPr>
          <w:rFonts w:eastAsia="Times New Roman" w:cs="Times New Roman"/>
          <w:szCs w:val="24"/>
          <w:lang w:eastAsia="en-AU"/>
        </w:rPr>
        <w:t>LSDP Post Market Review consultation processes</w:t>
      </w:r>
      <w:r w:rsidR="00DE41ED" w:rsidRPr="00FA1BCF">
        <w:rPr>
          <w:rFonts w:eastAsia="Times New Roman" w:cs="Times New Roman"/>
          <w:szCs w:val="24"/>
          <w:lang w:eastAsia="en-AU"/>
        </w:rPr>
        <w:t>.</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Other dominant issues raised were the strong emphasis on ‘survival or long-term survival’ as a measure of value for money for patients receiving LSDP</w:t>
      </w:r>
      <w:r w:rsidR="00DE41ED" w:rsidRPr="00FA1BCF">
        <w:rPr>
          <w:rFonts w:eastAsia="Times New Roman" w:cs="Times New Roman"/>
          <w:szCs w:val="24"/>
          <w:lang w:eastAsia="en-AU"/>
        </w:rPr>
        <w:t>-</w:t>
      </w:r>
      <w:r w:rsidRPr="00FA1BCF">
        <w:rPr>
          <w:rFonts w:eastAsia="Times New Roman" w:cs="Times New Roman"/>
          <w:szCs w:val="24"/>
          <w:lang w:eastAsia="en-AU"/>
        </w:rPr>
        <w:t xml:space="preserve">subsidised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 xml:space="preserve">in both the </w:t>
      </w:r>
      <w:r w:rsidR="00DE41ED" w:rsidRPr="00FA1BCF">
        <w:rPr>
          <w:rFonts w:eastAsia="Times New Roman" w:cs="Times New Roman"/>
          <w:szCs w:val="24"/>
          <w:lang w:eastAsia="en-AU"/>
        </w:rPr>
        <w:t>Pharmaceutical Benefits Advisory Committee (</w:t>
      </w:r>
      <w:r w:rsidRPr="00FA1BCF">
        <w:rPr>
          <w:rFonts w:eastAsia="Times New Roman" w:cs="Times New Roman"/>
          <w:szCs w:val="24"/>
          <w:lang w:eastAsia="en-AU"/>
        </w:rPr>
        <w:t>PBAC</w:t>
      </w:r>
      <w:r w:rsidR="00DE41ED" w:rsidRPr="00FA1BCF">
        <w:rPr>
          <w:rFonts w:eastAsia="Times New Roman" w:cs="Times New Roman"/>
          <w:szCs w:val="24"/>
          <w:lang w:eastAsia="en-AU"/>
        </w:rPr>
        <w:t>)</w:t>
      </w:r>
      <w:r w:rsidRPr="00FA1BCF">
        <w:rPr>
          <w:rFonts w:eastAsia="Times New Roman" w:cs="Times New Roman"/>
          <w:szCs w:val="24"/>
          <w:lang w:eastAsia="en-AU"/>
        </w:rPr>
        <w:t xml:space="preserve"> </w:t>
      </w:r>
      <w:r w:rsidR="00DE41ED" w:rsidRPr="00FA1BCF">
        <w:rPr>
          <w:rFonts w:eastAsia="Times New Roman" w:cs="Times New Roman"/>
          <w:szCs w:val="24"/>
          <w:lang w:eastAsia="en-AU"/>
        </w:rPr>
        <w:t>r</w:t>
      </w:r>
      <w:r w:rsidRPr="00FA1BCF">
        <w:rPr>
          <w:rFonts w:eastAsia="Times New Roman" w:cs="Times New Roman"/>
          <w:szCs w:val="24"/>
          <w:lang w:eastAsia="en-AU"/>
        </w:rPr>
        <w:t xml:space="preserve">ule of </w:t>
      </w:r>
      <w:r w:rsidR="00DE41ED" w:rsidRPr="00FA1BCF">
        <w:rPr>
          <w:rFonts w:eastAsia="Times New Roman" w:cs="Times New Roman"/>
          <w:szCs w:val="24"/>
          <w:lang w:eastAsia="en-AU"/>
        </w:rPr>
        <w:t>r</w:t>
      </w:r>
      <w:r w:rsidRPr="00FA1BCF">
        <w:rPr>
          <w:rFonts w:eastAsia="Times New Roman" w:cs="Times New Roman"/>
          <w:szCs w:val="24"/>
          <w:lang w:eastAsia="en-AU"/>
        </w:rPr>
        <w:t xml:space="preserve">escue guidelines and the LSDP eligibility criteria. </w:t>
      </w:r>
    </w:p>
    <w:p w:rsidR="00CC79FE" w:rsidRPr="00FA1BCF" w:rsidRDefault="00CC79FE" w:rsidP="00CC79FE">
      <w:pPr>
        <w:jc w:val="both"/>
        <w:rPr>
          <w:rFonts w:eastAsia="Times New Roman" w:cs="Times New Roman"/>
          <w:b/>
          <w:i/>
          <w:sz w:val="36"/>
          <w:szCs w:val="36"/>
          <w:lang w:eastAsia="en-AU"/>
        </w:rPr>
      </w:pPr>
      <w:r w:rsidRPr="00FA1BCF">
        <w:rPr>
          <w:rFonts w:eastAsia="Times New Roman" w:cs="Times New Roman"/>
          <w:szCs w:val="24"/>
          <w:lang w:eastAsia="en-AU"/>
        </w:rPr>
        <w:t xml:space="preserve">As a consequence of these public comments, the terms of reference were expanded to include investigation </w:t>
      </w:r>
      <w:r w:rsidR="00DE41ED" w:rsidRPr="00FA1BCF">
        <w:rPr>
          <w:rFonts w:eastAsia="Times New Roman" w:cs="Times New Roman"/>
          <w:szCs w:val="24"/>
          <w:lang w:eastAsia="en-AU"/>
        </w:rPr>
        <w:t xml:space="preserve">of </w:t>
      </w:r>
      <w:r w:rsidRPr="00FA1BCF">
        <w:rPr>
          <w:rFonts w:eastAsia="Times New Roman" w:cs="Times New Roman"/>
          <w:szCs w:val="24"/>
          <w:lang w:eastAsia="en-AU"/>
        </w:rPr>
        <w:t xml:space="preserve">the definitional issues and to include quality of life in the evaluation of the benefit of treatment outcomes. The </w:t>
      </w:r>
      <w:r w:rsidR="00DE41ED" w:rsidRPr="00FA1BCF">
        <w:rPr>
          <w:rFonts w:eastAsia="Times New Roman" w:cs="Times New Roman"/>
          <w:szCs w:val="24"/>
          <w:lang w:eastAsia="en-AU"/>
        </w:rPr>
        <w:t>i</w:t>
      </w:r>
      <w:r w:rsidRPr="00FA1BCF">
        <w:rPr>
          <w:rFonts w:eastAsia="Times New Roman" w:cs="Times New Roman"/>
          <w:szCs w:val="24"/>
          <w:lang w:eastAsia="en-AU"/>
        </w:rPr>
        <w:t xml:space="preserve">ssues </w:t>
      </w:r>
      <w:r w:rsidR="00DE41ED" w:rsidRPr="00FA1BCF">
        <w:rPr>
          <w:rFonts w:eastAsia="Times New Roman" w:cs="Times New Roman"/>
          <w:szCs w:val="24"/>
          <w:lang w:eastAsia="en-AU"/>
        </w:rPr>
        <w:t>p</w:t>
      </w:r>
      <w:r w:rsidRPr="00FA1BCF">
        <w:rPr>
          <w:rFonts w:eastAsia="Times New Roman" w:cs="Times New Roman"/>
          <w:szCs w:val="24"/>
          <w:lang w:eastAsia="en-AU"/>
        </w:rPr>
        <w:t xml:space="preserve">aper is at </w:t>
      </w:r>
      <w:r w:rsidRPr="00FA1BCF">
        <w:rPr>
          <w:rFonts w:eastAsia="Times New Roman" w:cs="Times New Roman"/>
          <w:b/>
          <w:szCs w:val="24"/>
          <w:lang w:eastAsia="en-AU"/>
        </w:rPr>
        <w:t xml:space="preserve">Appendix </w:t>
      </w:r>
      <w:r w:rsidR="008B70EE" w:rsidRPr="00FA1BCF">
        <w:rPr>
          <w:rFonts w:eastAsia="Times New Roman" w:cs="Times New Roman"/>
          <w:b/>
          <w:szCs w:val="24"/>
          <w:lang w:eastAsia="en-AU"/>
        </w:rPr>
        <w:t>A</w:t>
      </w:r>
      <w:r w:rsidR="008B70EE" w:rsidRPr="00E436E7">
        <w:rPr>
          <w:rFonts w:eastAsia="Times New Roman" w:cs="Times New Roman"/>
          <w:szCs w:val="24"/>
          <w:lang w:eastAsia="en-AU"/>
        </w:rPr>
        <w:t>.</w:t>
      </w:r>
      <w:r w:rsidRPr="00FA1BCF">
        <w:rPr>
          <w:rFonts w:eastAsia="Times New Roman" w:cs="Times New Roman"/>
          <w:szCs w:val="24"/>
          <w:lang w:eastAsia="en-AU"/>
        </w:rPr>
        <w:t xml:space="preserve"> </w:t>
      </w:r>
    </w:p>
    <w:p w:rsidR="00CC79FE" w:rsidRPr="00FA1BCF" w:rsidRDefault="00CC79FE" w:rsidP="00E436E7">
      <w:pPr>
        <w:pStyle w:val="Heading2"/>
        <w:rPr>
          <w:lang w:eastAsia="en-AU"/>
        </w:rPr>
      </w:pPr>
      <w:bookmarkStart w:id="16" w:name="_Toc302625574"/>
      <w:r w:rsidRPr="00FA1BCF">
        <w:rPr>
          <w:lang w:eastAsia="en-AU"/>
        </w:rPr>
        <w:t>5.1. Definitional issues</w:t>
      </w:r>
      <w:bookmarkEnd w:id="16"/>
    </w:p>
    <w:p w:rsidR="00CC79FE" w:rsidRPr="00FA1BCF" w:rsidRDefault="00CC79FE" w:rsidP="00E436E7">
      <w:pPr>
        <w:pStyle w:val="Heading3"/>
        <w:rPr>
          <w:lang w:eastAsia="en-AU"/>
        </w:rPr>
      </w:pPr>
      <w:bookmarkStart w:id="17" w:name="_Toc302625575"/>
      <w:r w:rsidRPr="00FA1BCF">
        <w:rPr>
          <w:lang w:eastAsia="en-AU"/>
        </w:rPr>
        <w:t xml:space="preserve">5.1.1 Criterion four: </w:t>
      </w:r>
      <w:r w:rsidR="00BE1DFB" w:rsidRPr="00FA1BCF">
        <w:rPr>
          <w:lang w:eastAsia="en-AU"/>
        </w:rPr>
        <w:t>s</w:t>
      </w:r>
      <w:r w:rsidRPr="00FA1BCF">
        <w:rPr>
          <w:lang w:eastAsia="en-AU"/>
        </w:rPr>
        <w:t>ubstantial</w:t>
      </w:r>
      <w:bookmarkEnd w:id="17"/>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In 2010</w:t>
      </w:r>
      <w:r w:rsidR="003A15FA" w:rsidRPr="00FA1BCF">
        <w:rPr>
          <w:rFonts w:eastAsia="Times New Roman" w:cs="Times New Roman"/>
          <w:szCs w:val="24"/>
          <w:lang w:eastAsia="en-AU"/>
        </w:rPr>
        <w:t>,</w:t>
      </w:r>
      <w:r w:rsidRPr="00FA1BCF">
        <w:rPr>
          <w:rFonts w:eastAsia="Times New Roman" w:cs="Times New Roman"/>
          <w:szCs w:val="24"/>
          <w:lang w:eastAsia="en-AU"/>
        </w:rPr>
        <w:t xml:space="preserve"> criterion four was </w:t>
      </w:r>
      <w:r w:rsidR="00E76A9D" w:rsidRPr="00FA1BCF">
        <w:rPr>
          <w:rFonts w:eastAsia="Times New Roman" w:cs="Times New Roman"/>
          <w:szCs w:val="24"/>
          <w:lang w:eastAsia="en-AU"/>
        </w:rPr>
        <w:t xml:space="preserve">added </w:t>
      </w:r>
      <w:r w:rsidRPr="00FA1BCF">
        <w:rPr>
          <w:rFonts w:eastAsia="Times New Roman" w:cs="Times New Roman"/>
          <w:szCs w:val="24"/>
          <w:lang w:eastAsia="en-AU"/>
        </w:rPr>
        <w:t xml:space="preserve">to the criteria for listing new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under the LSDP. Criterion four required ‘</w:t>
      </w:r>
      <w:r w:rsidRPr="00E436E7">
        <w:rPr>
          <w:rFonts w:eastAsia="Times New Roman" w:cs="Times New Roman"/>
          <w:szCs w:val="24"/>
          <w:lang w:eastAsia="en-AU"/>
        </w:rPr>
        <w:t>evidence acceptable to the Pharmaceutical Benefits Advisory Committee (PBAC) to predict that a patient’s lifespan will be substantially extended as a direct consequence of the use of the drug’</w:t>
      </w:r>
      <w:r w:rsidRPr="00FA1BCF">
        <w:rPr>
          <w:rFonts w:eastAsia="Times New Roman" w:cs="Times New Roman"/>
          <w:szCs w:val="24"/>
          <w:lang w:eastAsia="en-AU"/>
        </w:rPr>
        <w:t xml:space="preserve">. </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Stakeholders criticised this criterion as being subjective and ambiguous in that ‘substantially</w:t>
      </w:r>
      <w:r w:rsidR="00BE1DFB" w:rsidRPr="00FA1BCF">
        <w:rPr>
          <w:rFonts w:eastAsia="Times New Roman" w:cs="Times New Roman"/>
          <w:szCs w:val="24"/>
          <w:lang w:eastAsia="en-AU"/>
        </w:rPr>
        <w:t>’</w:t>
      </w:r>
      <w:r w:rsidRPr="00FA1BCF">
        <w:rPr>
          <w:rFonts w:eastAsia="Times New Roman" w:cs="Times New Roman"/>
          <w:szCs w:val="24"/>
          <w:lang w:eastAsia="en-AU"/>
        </w:rPr>
        <w:t xml:space="preserve"> or </w:t>
      </w:r>
      <w:r w:rsidR="00BE1DFB" w:rsidRPr="00FA1BCF">
        <w:rPr>
          <w:rFonts w:eastAsia="Times New Roman" w:cs="Times New Roman"/>
          <w:szCs w:val="24"/>
          <w:lang w:eastAsia="en-AU"/>
        </w:rPr>
        <w:t>‘</w:t>
      </w:r>
      <w:r w:rsidRPr="00FA1BCF">
        <w:rPr>
          <w:rFonts w:eastAsia="Times New Roman" w:cs="Times New Roman"/>
          <w:szCs w:val="24"/>
          <w:lang w:eastAsia="en-AU"/>
        </w:rPr>
        <w:t xml:space="preserve">substantial benefit’ was not defined in the </w:t>
      </w:r>
      <w:r w:rsidRPr="00FA1BCF">
        <w:rPr>
          <w:rFonts w:eastAsia="Times New Roman" w:cs="Times New Roman"/>
          <w:i/>
          <w:szCs w:val="24"/>
          <w:lang w:eastAsia="en-AU"/>
        </w:rPr>
        <w:t xml:space="preserve">National Health Act 1953 </w:t>
      </w:r>
      <w:r w:rsidRPr="00FA1BCF">
        <w:rPr>
          <w:rFonts w:eastAsia="Times New Roman" w:cs="Times New Roman"/>
          <w:szCs w:val="24"/>
          <w:lang w:eastAsia="en-AU"/>
        </w:rPr>
        <w:t xml:space="preserve">or in the PBAC </w:t>
      </w:r>
      <w:r w:rsidR="00BE1DFB" w:rsidRPr="00FA1BCF">
        <w:rPr>
          <w:rFonts w:eastAsia="Times New Roman" w:cs="Times New Roman"/>
          <w:szCs w:val="24"/>
          <w:lang w:eastAsia="en-AU"/>
        </w:rPr>
        <w:t>g</w:t>
      </w:r>
      <w:r w:rsidRPr="00FA1BCF">
        <w:rPr>
          <w:rFonts w:eastAsia="Times New Roman" w:cs="Times New Roman"/>
          <w:szCs w:val="24"/>
          <w:lang w:eastAsia="en-AU"/>
        </w:rPr>
        <w:t xml:space="preserve">uidelines. The lack of definition created uncertainty for industry and patients seeking reimbursement and access through the LSDP. Similarly, industry questioned what would constitute ‘evidence acceptable’ to the PBAC given the small patient populations and clinical trials typical of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 xml:space="preserve">for this cohort. Consumers, </w:t>
      </w:r>
      <w:r w:rsidRPr="00FA1BCF">
        <w:rPr>
          <w:szCs w:val="24"/>
        </w:rPr>
        <w:t xml:space="preserve">including </w:t>
      </w:r>
      <w:r w:rsidR="00B22AF4" w:rsidRPr="00FA1BCF">
        <w:rPr>
          <w:szCs w:val="24"/>
        </w:rPr>
        <w:t>patient organisations</w:t>
      </w:r>
      <w:r w:rsidRPr="00FA1BCF">
        <w:rPr>
          <w:szCs w:val="24"/>
        </w:rPr>
        <w:t>, have also criticised the criterion for focusing solely on a benefit in terms of survival and for not recognising the value of quality of life improvements.</w:t>
      </w:r>
      <w:r w:rsidR="00B56F35" w:rsidRPr="00FA1BCF">
        <w:t xml:space="preserve"> </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In addition</w:t>
      </w:r>
      <w:r w:rsidR="003A15FA" w:rsidRPr="00FA1BCF">
        <w:rPr>
          <w:rFonts w:eastAsia="Times New Roman" w:cs="Times New Roman"/>
          <w:szCs w:val="24"/>
          <w:lang w:eastAsia="en-AU"/>
        </w:rPr>
        <w:t>,</w:t>
      </w:r>
      <w:r w:rsidRPr="00FA1BCF">
        <w:rPr>
          <w:rFonts w:eastAsia="Times New Roman" w:cs="Times New Roman"/>
          <w:szCs w:val="24"/>
          <w:lang w:eastAsia="en-AU"/>
        </w:rPr>
        <w:t xml:space="preserve"> the criterion also stated </w:t>
      </w:r>
      <w:r w:rsidR="00B56F35" w:rsidRPr="00FA1BCF">
        <w:rPr>
          <w:rFonts w:eastAsia="Times New Roman" w:cs="Times New Roman"/>
          <w:szCs w:val="24"/>
          <w:lang w:eastAsia="en-AU"/>
        </w:rPr>
        <w:t>‘</w:t>
      </w:r>
      <w:r w:rsidRPr="00FA1BCF">
        <w:rPr>
          <w:rFonts w:eastAsia="Times New Roman" w:cs="Times New Roman"/>
          <w:szCs w:val="24"/>
          <w:lang w:eastAsia="en-AU"/>
        </w:rPr>
        <w:t xml:space="preserve">there is a rare but clinically definable disease for which the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is regarded as a proven therapeutic modality, </w:t>
      </w:r>
      <w:r w:rsidR="00806285" w:rsidRPr="00FA1BCF">
        <w:rPr>
          <w:rFonts w:eastAsia="Times New Roman" w:cs="Times New Roman"/>
          <w:szCs w:val="24"/>
          <w:lang w:eastAsia="en-AU"/>
        </w:rPr>
        <w:t>i.e.</w:t>
      </w:r>
      <w:r w:rsidRPr="00FA1BCF">
        <w:rPr>
          <w:rFonts w:eastAsia="Times New Roman" w:cs="Times New Roman"/>
          <w:szCs w:val="24"/>
          <w:lang w:eastAsia="en-AU"/>
        </w:rPr>
        <w:t xml:space="preserve"> approved for that indication by the TGA</w:t>
      </w:r>
      <w:r w:rsidR="00510EE1">
        <w:rPr>
          <w:rFonts w:eastAsia="Times New Roman" w:cs="Times New Roman"/>
          <w:szCs w:val="24"/>
          <w:lang w:eastAsia="en-AU"/>
        </w:rPr>
        <w:t>’</w:t>
      </w:r>
      <w:r w:rsidRPr="00FA1BCF">
        <w:rPr>
          <w:rFonts w:eastAsia="Times New Roman" w:cs="Times New Roman"/>
          <w:szCs w:val="24"/>
          <w:lang w:eastAsia="en-AU"/>
        </w:rPr>
        <w:t xml:space="preserve">. This was problematic in the absence of any definition of </w:t>
      </w:r>
      <w:r w:rsidR="00B56F35" w:rsidRPr="00FA1BCF">
        <w:rPr>
          <w:rFonts w:eastAsia="Times New Roman" w:cs="Times New Roman"/>
          <w:szCs w:val="24"/>
          <w:lang w:eastAsia="en-AU"/>
        </w:rPr>
        <w:t>‘</w:t>
      </w:r>
      <w:r w:rsidRPr="00FA1BCF">
        <w:rPr>
          <w:rFonts w:eastAsia="Times New Roman" w:cs="Times New Roman"/>
          <w:szCs w:val="24"/>
          <w:lang w:eastAsia="en-AU"/>
        </w:rPr>
        <w:t>rare</w:t>
      </w:r>
      <w:r w:rsidR="00B56F35" w:rsidRPr="00FA1BCF">
        <w:rPr>
          <w:rFonts w:eastAsia="Times New Roman" w:cs="Times New Roman"/>
          <w:szCs w:val="24"/>
          <w:lang w:eastAsia="en-AU"/>
        </w:rPr>
        <w:t>’</w:t>
      </w:r>
      <w:r w:rsidRPr="00FA1BCF">
        <w:rPr>
          <w:rFonts w:eastAsia="Times New Roman" w:cs="Times New Roman"/>
          <w:szCs w:val="24"/>
          <w:lang w:eastAsia="en-AU"/>
        </w:rPr>
        <w:t xml:space="preserve"> within the Act and the fact that treatments for very small number</w:t>
      </w:r>
      <w:r w:rsidR="00BE1DFB" w:rsidRPr="00FA1BCF">
        <w:rPr>
          <w:rFonts w:eastAsia="Times New Roman" w:cs="Times New Roman"/>
          <w:szCs w:val="24"/>
          <w:lang w:eastAsia="en-AU"/>
        </w:rPr>
        <w:t>s</w:t>
      </w:r>
      <w:r w:rsidRPr="00FA1BCF">
        <w:rPr>
          <w:rFonts w:eastAsia="Times New Roman" w:cs="Times New Roman"/>
          <w:szCs w:val="24"/>
          <w:lang w:eastAsia="en-AU"/>
        </w:rPr>
        <w:t xml:space="preserve"> of patients are routinely subsi</w:t>
      </w:r>
      <w:r w:rsidR="0084370F" w:rsidRPr="00FA1BCF">
        <w:rPr>
          <w:rFonts w:eastAsia="Times New Roman" w:cs="Times New Roman"/>
          <w:szCs w:val="24"/>
          <w:lang w:eastAsia="en-AU"/>
        </w:rPr>
        <w:t>di</w:t>
      </w:r>
      <w:r w:rsidRPr="00FA1BCF">
        <w:rPr>
          <w:rFonts w:eastAsia="Times New Roman" w:cs="Times New Roman"/>
          <w:szCs w:val="24"/>
          <w:lang w:eastAsia="en-AU"/>
        </w:rPr>
        <w:t>sed through the PBS.</w:t>
      </w:r>
      <w:r w:rsidR="00B56F35" w:rsidRPr="00FA1BCF">
        <w:rPr>
          <w:rFonts w:eastAsia="Times New Roman" w:cs="Times New Roman"/>
          <w:szCs w:val="24"/>
          <w:lang w:eastAsia="en-AU"/>
        </w:rPr>
        <w:t xml:space="preserve"> </w:t>
      </w:r>
    </w:p>
    <w:p w:rsidR="00CC79FE" w:rsidRPr="00FA1BCF" w:rsidRDefault="00CC79FE" w:rsidP="00E436E7">
      <w:pPr>
        <w:pStyle w:val="Heading3"/>
        <w:rPr>
          <w:lang w:eastAsia="en-AU"/>
        </w:rPr>
      </w:pPr>
      <w:bookmarkStart w:id="18" w:name="_Toc302625576"/>
      <w:r w:rsidRPr="00FA1BCF">
        <w:rPr>
          <w:lang w:eastAsia="en-AU"/>
        </w:rPr>
        <w:t xml:space="preserve">5.1.2 Criterion five: </w:t>
      </w:r>
      <w:r w:rsidR="00BE1DFB" w:rsidRPr="00FA1BCF">
        <w:rPr>
          <w:lang w:eastAsia="en-AU"/>
        </w:rPr>
        <w:t>c</w:t>
      </w:r>
      <w:r w:rsidRPr="00FA1BCF">
        <w:rPr>
          <w:lang w:eastAsia="en-AU"/>
        </w:rPr>
        <w:t>linically effective but rejected for PBS listing because it has failed to meet the required cost</w:t>
      </w:r>
      <w:r w:rsidR="00BE1DFB" w:rsidRPr="00FA1BCF">
        <w:rPr>
          <w:lang w:eastAsia="en-AU"/>
        </w:rPr>
        <w:t>-</w:t>
      </w:r>
      <w:r w:rsidRPr="00FA1BCF">
        <w:rPr>
          <w:lang w:eastAsia="en-AU"/>
        </w:rPr>
        <w:t>effectiveness criteria</w:t>
      </w:r>
      <w:bookmarkEnd w:id="18"/>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 xml:space="preserve">Criterion five requires the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to be rejected for listing on the PBS for failing to be cost</w:t>
      </w:r>
      <w:r w:rsidR="00BE1DFB" w:rsidRPr="00FA1BCF">
        <w:rPr>
          <w:rFonts w:eastAsia="Times New Roman" w:cs="Times New Roman"/>
          <w:szCs w:val="24"/>
          <w:lang w:eastAsia="en-AU"/>
        </w:rPr>
        <w:t>-</w:t>
      </w:r>
      <w:r w:rsidRPr="00FA1BCF">
        <w:rPr>
          <w:rFonts w:eastAsia="Times New Roman" w:cs="Times New Roman"/>
          <w:szCs w:val="24"/>
          <w:lang w:eastAsia="en-AU"/>
        </w:rPr>
        <w:t>effective when compared to other alternative therapies</w:t>
      </w:r>
      <w:r w:rsidR="00BE1DFB" w:rsidRPr="00FA1BCF">
        <w:rPr>
          <w:rFonts w:eastAsia="Times New Roman" w:cs="Times New Roman"/>
          <w:szCs w:val="24"/>
          <w:lang w:eastAsia="en-AU"/>
        </w:rPr>
        <w:t>,</w:t>
      </w:r>
      <w:r w:rsidRPr="00FA1BCF">
        <w:rPr>
          <w:rFonts w:eastAsia="Times New Roman" w:cs="Times New Roman"/>
          <w:szCs w:val="24"/>
          <w:lang w:eastAsia="en-AU"/>
        </w:rPr>
        <w:t xml:space="preserve"> whether or not </w:t>
      </w:r>
      <w:r w:rsidR="00BE1DFB" w:rsidRPr="00FA1BCF">
        <w:rPr>
          <w:rFonts w:eastAsia="Times New Roman" w:cs="Times New Roman"/>
          <w:szCs w:val="24"/>
          <w:lang w:eastAsia="en-AU"/>
        </w:rPr>
        <w:t xml:space="preserve">the alternatives involve </w:t>
      </w:r>
      <w:r w:rsidRPr="00FA1BCF">
        <w:rPr>
          <w:rFonts w:eastAsia="Times New Roman" w:cs="Times New Roman"/>
          <w:szCs w:val="24"/>
          <w:lang w:eastAsia="en-AU"/>
        </w:rPr>
        <w:t xml:space="preserve">the use of other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 xml:space="preserve">or preparations. This has created perverse </w:t>
      </w:r>
      <w:r w:rsidRPr="00FA1BCF">
        <w:rPr>
          <w:rFonts w:eastAsia="Times New Roman" w:cs="Times New Roman"/>
          <w:szCs w:val="24"/>
          <w:lang w:eastAsia="en-AU"/>
        </w:rPr>
        <w:lastRenderedPageBreak/>
        <w:t xml:space="preserve">incentives for industry to price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 xml:space="preserve">such that the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are not considered cost</w:t>
      </w:r>
      <w:r w:rsidR="00BE1DFB" w:rsidRPr="00FA1BCF">
        <w:rPr>
          <w:rFonts w:eastAsia="Times New Roman" w:cs="Times New Roman"/>
          <w:szCs w:val="24"/>
          <w:lang w:eastAsia="en-AU"/>
        </w:rPr>
        <w:t>-</w:t>
      </w:r>
      <w:r w:rsidRPr="00FA1BCF">
        <w:rPr>
          <w:rFonts w:eastAsia="Times New Roman" w:cs="Times New Roman"/>
          <w:szCs w:val="24"/>
          <w:lang w:eastAsia="en-AU"/>
        </w:rPr>
        <w:t xml:space="preserve">effective by the PBAC when compared to alternative treatments. </w:t>
      </w:r>
    </w:p>
    <w:p w:rsidR="00CC79FE" w:rsidRPr="00FA1BCF" w:rsidRDefault="00CC79FE" w:rsidP="00CC79FE">
      <w:pPr>
        <w:tabs>
          <w:tab w:val="left" w:pos="426"/>
        </w:tabs>
        <w:jc w:val="both"/>
        <w:rPr>
          <w:rFonts w:eastAsia="Times New Roman" w:cs="Times New Roman"/>
          <w:szCs w:val="24"/>
          <w:lang w:eastAsia="en-AU"/>
        </w:rPr>
      </w:pPr>
      <w:r w:rsidRPr="00FA1BCF">
        <w:rPr>
          <w:rFonts w:eastAsia="Times New Roman" w:cs="Times New Roman"/>
          <w:szCs w:val="24"/>
          <w:lang w:eastAsia="en-AU"/>
        </w:rPr>
        <w:t xml:space="preserve">Criteria four and five have been used recently by a number of sponsors of medicines in Australia to target sub-sets of patients (such as </w:t>
      </w:r>
      <w:r w:rsidR="003A15FA" w:rsidRPr="00FA1BCF">
        <w:rPr>
          <w:rFonts w:eastAsia="Times New Roman" w:cs="Times New Roman"/>
          <w:szCs w:val="24"/>
          <w:lang w:eastAsia="en-AU"/>
        </w:rPr>
        <w:t xml:space="preserve">a </w:t>
      </w:r>
      <w:r w:rsidRPr="00FA1BCF">
        <w:rPr>
          <w:rFonts w:eastAsia="Times New Roman" w:cs="Times New Roman"/>
          <w:szCs w:val="24"/>
          <w:lang w:eastAsia="en-AU"/>
        </w:rPr>
        <w:t xml:space="preserve">small number of cystic fibrosis </w:t>
      </w:r>
      <w:r w:rsidR="00B22AF4" w:rsidRPr="00FA1BCF">
        <w:rPr>
          <w:rFonts w:eastAsia="Times New Roman" w:cs="Times New Roman"/>
          <w:szCs w:val="24"/>
          <w:lang w:eastAsia="en-AU"/>
        </w:rPr>
        <w:t xml:space="preserve">or cancer </w:t>
      </w:r>
      <w:r w:rsidRPr="00FA1BCF">
        <w:rPr>
          <w:rFonts w:eastAsia="Times New Roman" w:cs="Times New Roman"/>
          <w:szCs w:val="24"/>
          <w:lang w:eastAsia="en-AU"/>
        </w:rPr>
        <w:t xml:space="preserve">patients with a </w:t>
      </w:r>
      <w:r w:rsidR="00813427" w:rsidRPr="00FA1BCF">
        <w:rPr>
          <w:rFonts w:eastAsia="Times New Roman" w:cs="Times New Roman"/>
          <w:szCs w:val="24"/>
          <w:lang w:eastAsia="en-AU"/>
        </w:rPr>
        <w:t>specific genetic</w:t>
      </w:r>
      <w:r w:rsidRPr="00FA1BCF">
        <w:rPr>
          <w:rFonts w:eastAsia="Times New Roman" w:cs="Times New Roman"/>
          <w:szCs w:val="24"/>
          <w:lang w:eastAsia="en-AU"/>
        </w:rPr>
        <w:t xml:space="preserve"> mutation) to </w:t>
      </w:r>
      <w:r w:rsidR="00B22AF4" w:rsidRPr="00FA1BCF">
        <w:rPr>
          <w:rFonts w:eastAsia="Times New Roman" w:cs="Times New Roman"/>
          <w:szCs w:val="24"/>
          <w:lang w:eastAsia="en-AU"/>
        </w:rPr>
        <w:t>argue that they should be funded in the LSDP rather th</w:t>
      </w:r>
      <w:r w:rsidR="00BE1DFB" w:rsidRPr="00FA1BCF">
        <w:rPr>
          <w:rFonts w:eastAsia="Times New Roman" w:cs="Times New Roman"/>
          <w:szCs w:val="24"/>
          <w:lang w:eastAsia="en-AU"/>
        </w:rPr>
        <w:t>a</w:t>
      </w:r>
      <w:r w:rsidR="00B22AF4" w:rsidRPr="00FA1BCF">
        <w:rPr>
          <w:rFonts w:eastAsia="Times New Roman" w:cs="Times New Roman"/>
          <w:szCs w:val="24"/>
          <w:lang w:eastAsia="en-AU"/>
        </w:rPr>
        <w:t xml:space="preserve">n be considered under </w:t>
      </w:r>
      <w:r w:rsidRPr="00FA1BCF">
        <w:rPr>
          <w:rFonts w:eastAsia="Times New Roman" w:cs="Times New Roman"/>
          <w:szCs w:val="24"/>
          <w:lang w:eastAsia="en-AU"/>
        </w:rPr>
        <w:t xml:space="preserve">the </w:t>
      </w:r>
      <w:r w:rsidR="00B22AF4" w:rsidRPr="00FA1BCF">
        <w:rPr>
          <w:rFonts w:eastAsia="Times New Roman" w:cs="Times New Roman"/>
          <w:szCs w:val="24"/>
          <w:lang w:eastAsia="en-AU"/>
        </w:rPr>
        <w:t xml:space="preserve">usual </w:t>
      </w:r>
      <w:r w:rsidRPr="00FA1BCF">
        <w:rPr>
          <w:rFonts w:eastAsia="Times New Roman" w:cs="Times New Roman"/>
          <w:szCs w:val="24"/>
          <w:lang w:eastAsia="en-AU"/>
        </w:rPr>
        <w:t xml:space="preserve">PBS </w:t>
      </w:r>
      <w:r w:rsidR="00B22AF4" w:rsidRPr="00FA1BCF">
        <w:rPr>
          <w:rFonts w:eastAsia="Times New Roman" w:cs="Times New Roman"/>
          <w:szCs w:val="24"/>
          <w:lang w:eastAsia="en-AU"/>
        </w:rPr>
        <w:t>criteri</w:t>
      </w:r>
      <w:r w:rsidR="00BE1DFB" w:rsidRPr="00FA1BCF">
        <w:rPr>
          <w:rFonts w:eastAsia="Times New Roman" w:cs="Times New Roman"/>
          <w:szCs w:val="24"/>
          <w:lang w:eastAsia="en-AU"/>
        </w:rPr>
        <w:t>on</w:t>
      </w:r>
      <w:r w:rsidR="00B22AF4" w:rsidRPr="00FA1BCF">
        <w:rPr>
          <w:rFonts w:eastAsia="Times New Roman" w:cs="Times New Roman"/>
          <w:szCs w:val="24"/>
          <w:lang w:eastAsia="en-AU"/>
        </w:rPr>
        <w:t xml:space="preserve"> of cost-effectiveness</w:t>
      </w:r>
      <w:r w:rsidR="00001CB8">
        <w:rPr>
          <w:rFonts w:eastAsia="Times New Roman" w:cs="Times New Roman"/>
          <w:szCs w:val="24"/>
          <w:lang w:eastAsia="en-AU"/>
        </w:rPr>
        <w:t>.</w:t>
      </w:r>
      <w:r w:rsidR="00B56F35" w:rsidRPr="00FA1BCF">
        <w:rPr>
          <w:rFonts w:eastAsia="Times New Roman" w:cs="Times New Roman"/>
          <w:szCs w:val="24"/>
          <w:lang w:eastAsia="en-AU"/>
        </w:rPr>
        <w:t xml:space="preserve"> </w:t>
      </w:r>
    </w:p>
    <w:p w:rsidR="003A15FA"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 xml:space="preserve">Criterion five has also led to manufacturers’ interest in seeking orphan drug designation or ‘rare disease’ status for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for more common disease</w:t>
      </w:r>
      <w:r w:rsidR="00BE1DFB" w:rsidRPr="00FA1BCF">
        <w:rPr>
          <w:rFonts w:eastAsia="Times New Roman" w:cs="Times New Roman"/>
          <w:szCs w:val="24"/>
          <w:lang w:eastAsia="en-AU"/>
        </w:rPr>
        <w:t>s</w:t>
      </w:r>
      <w:r w:rsidRPr="00FA1BCF">
        <w:rPr>
          <w:rFonts w:eastAsia="Times New Roman" w:cs="Times New Roman"/>
          <w:szCs w:val="24"/>
          <w:lang w:eastAsia="en-AU"/>
        </w:rPr>
        <w:t xml:space="preserve"> which affect smaller </w:t>
      </w:r>
      <w:r w:rsidR="00F442B9" w:rsidRPr="00FA1BCF">
        <w:rPr>
          <w:rFonts w:eastAsia="Times New Roman" w:cs="Times New Roman"/>
          <w:szCs w:val="24"/>
          <w:lang w:eastAsia="en-AU"/>
        </w:rPr>
        <w:t>subgroup</w:t>
      </w:r>
      <w:r w:rsidRPr="00FA1BCF">
        <w:rPr>
          <w:rFonts w:eastAsia="Times New Roman" w:cs="Times New Roman"/>
          <w:szCs w:val="24"/>
          <w:lang w:eastAsia="en-AU"/>
        </w:rPr>
        <w:t>s within the population</w:t>
      </w:r>
      <w:r w:rsidR="00BE1DFB" w:rsidRPr="00FA1BCF">
        <w:rPr>
          <w:rFonts w:eastAsia="Times New Roman" w:cs="Times New Roman"/>
          <w:szCs w:val="24"/>
          <w:lang w:eastAsia="en-AU"/>
        </w:rPr>
        <w:t>,</w:t>
      </w:r>
      <w:r w:rsidRPr="00FA1BCF">
        <w:rPr>
          <w:rFonts w:eastAsia="Times New Roman" w:cs="Times New Roman"/>
          <w:szCs w:val="24"/>
          <w:lang w:eastAsia="en-AU"/>
        </w:rPr>
        <w:t xml:space="preserve"> to take advantage of orphan drug programme initiatives globally. This has generated an increasing number of very highly priced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 xml:space="preserve">for small populations and is a challenge for </w:t>
      </w:r>
      <w:r w:rsidR="00BE1DFB" w:rsidRPr="00FA1BCF">
        <w:rPr>
          <w:rFonts w:eastAsia="Times New Roman" w:cs="Times New Roman"/>
          <w:szCs w:val="24"/>
          <w:lang w:eastAsia="en-AU"/>
        </w:rPr>
        <w:t>g</w:t>
      </w:r>
      <w:r w:rsidRPr="00FA1BCF">
        <w:rPr>
          <w:rFonts w:eastAsia="Times New Roman" w:cs="Times New Roman"/>
          <w:szCs w:val="24"/>
          <w:lang w:eastAsia="en-AU"/>
        </w:rPr>
        <w:t>overnment</w:t>
      </w:r>
      <w:r w:rsidR="00001CB8">
        <w:rPr>
          <w:rFonts w:eastAsia="Times New Roman" w:cs="Times New Roman"/>
          <w:szCs w:val="24"/>
          <w:lang w:eastAsia="en-AU"/>
        </w:rPr>
        <w:t>,</w:t>
      </w:r>
      <w:r w:rsidRPr="00FA1BCF">
        <w:rPr>
          <w:rFonts w:eastAsia="Times New Roman" w:cs="Times New Roman"/>
          <w:szCs w:val="24"/>
          <w:lang w:eastAsia="en-AU"/>
        </w:rPr>
        <w:t xml:space="preserve"> payers </w:t>
      </w:r>
      <w:r w:rsidR="00BE1DFB" w:rsidRPr="00FA1BCF">
        <w:rPr>
          <w:rFonts w:eastAsia="Times New Roman" w:cs="Times New Roman"/>
          <w:szCs w:val="24"/>
          <w:lang w:eastAsia="en-AU"/>
        </w:rPr>
        <w:t>and</w:t>
      </w:r>
      <w:r w:rsidRPr="00FA1BCF">
        <w:rPr>
          <w:rFonts w:eastAsia="Times New Roman" w:cs="Times New Roman"/>
          <w:szCs w:val="24"/>
          <w:lang w:eastAsia="en-AU"/>
        </w:rPr>
        <w:t xml:space="preserv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reimbursement authorities around the world. </w:t>
      </w:r>
    </w:p>
    <w:p w:rsidR="00CC79FE" w:rsidRPr="00FA1BCF" w:rsidRDefault="00CC79FE" w:rsidP="00E436E7">
      <w:pPr>
        <w:jc w:val="both"/>
        <w:rPr>
          <w:rFonts w:eastAsia="Times New Roman" w:cs="Times New Roman"/>
          <w:i/>
          <w:szCs w:val="24"/>
          <w:lang w:eastAsia="en-AU"/>
        </w:rPr>
      </w:pPr>
      <w:r w:rsidRPr="00FA1BCF">
        <w:rPr>
          <w:rFonts w:eastAsia="Times New Roman" w:cs="Times New Roman"/>
          <w:szCs w:val="24"/>
          <w:lang w:eastAsia="en-AU"/>
        </w:rPr>
        <w:t xml:space="preserve">On 29 May 2015, the </w:t>
      </w:r>
      <w:r w:rsidRPr="00E436E7">
        <w:rPr>
          <w:rFonts w:eastAsia="Times New Roman" w:cs="Times New Roman"/>
          <w:i/>
          <w:szCs w:val="24"/>
          <w:lang w:eastAsia="en-AU"/>
        </w:rPr>
        <w:t>Wall Street Journal</w:t>
      </w:r>
      <w:r w:rsidRPr="00FA1BCF">
        <w:rPr>
          <w:rFonts w:eastAsia="Times New Roman" w:cs="Times New Roman"/>
          <w:szCs w:val="24"/>
          <w:lang w:eastAsia="en-AU"/>
        </w:rPr>
        <w:t xml:space="preserve"> reported </w:t>
      </w:r>
      <w:r w:rsidR="00BE1DFB" w:rsidRPr="00FA1BCF">
        <w:rPr>
          <w:rFonts w:eastAsia="Times New Roman" w:cs="Times New Roman"/>
          <w:szCs w:val="24"/>
          <w:lang w:eastAsia="en-AU"/>
        </w:rPr>
        <w:t xml:space="preserve">that </w:t>
      </w:r>
      <w:r w:rsidR="008878BB" w:rsidRPr="00FA1BCF">
        <w:rPr>
          <w:rFonts w:eastAsia="Times New Roman" w:cs="Times New Roman"/>
          <w:szCs w:val="24"/>
          <w:lang w:eastAsia="en-AU"/>
        </w:rPr>
        <w:t>50</w:t>
      </w:r>
      <w:r w:rsidR="00BE1DFB" w:rsidRPr="00FA1BCF">
        <w:rPr>
          <w:rFonts w:eastAsia="Times New Roman" w:cs="Times New Roman"/>
          <w:szCs w:val="24"/>
          <w:lang w:eastAsia="en-AU"/>
        </w:rPr>
        <w:t xml:space="preserve"> per cent</w:t>
      </w:r>
      <w:r w:rsidRPr="00FA1BCF">
        <w:rPr>
          <w:rFonts w:eastAsia="Times New Roman" w:cs="Times New Roman"/>
          <w:szCs w:val="24"/>
          <w:lang w:eastAsia="en-AU"/>
        </w:rPr>
        <w:t xml:space="preserve"> of acquisition deals among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manufacturers since August 2014 included an orphan drug. The </w:t>
      </w:r>
      <w:r w:rsidRPr="00E436E7">
        <w:rPr>
          <w:rFonts w:eastAsia="Times New Roman" w:cs="Times New Roman"/>
          <w:i/>
          <w:szCs w:val="24"/>
          <w:lang w:eastAsia="en-AU"/>
        </w:rPr>
        <w:t>Wall Street Journal</w:t>
      </w:r>
      <w:r w:rsidRPr="00FA1BCF">
        <w:rPr>
          <w:rFonts w:eastAsia="Times New Roman" w:cs="Times New Roman"/>
          <w:szCs w:val="24"/>
          <w:lang w:eastAsia="en-AU"/>
        </w:rPr>
        <w:t xml:space="preserve"> also </w:t>
      </w:r>
      <w:hyperlink r:id="rId18" w:history="1">
        <w:r w:rsidRPr="00FA1BCF">
          <w:rPr>
            <w:rFonts w:eastAsia="Times New Roman" w:cs="Times New Roman"/>
            <w:szCs w:val="24"/>
            <w:lang w:eastAsia="en-AU"/>
          </w:rPr>
          <w:t>noted</w:t>
        </w:r>
      </w:hyperlink>
      <w:r w:rsidRPr="00FA1BCF">
        <w:rPr>
          <w:rFonts w:eastAsia="Times New Roman" w:cs="Times New Roman"/>
          <w:szCs w:val="24"/>
          <w:lang w:eastAsia="en-AU"/>
        </w:rPr>
        <w:t xml:space="preserve"> that </w:t>
      </w:r>
      <w:proofErr w:type="spellStart"/>
      <w:r w:rsidRPr="00FA1BCF">
        <w:rPr>
          <w:rFonts w:eastAsia="Times New Roman" w:cs="Times New Roman"/>
          <w:szCs w:val="24"/>
          <w:lang w:eastAsia="en-AU"/>
        </w:rPr>
        <w:t>EvaluatePharma</w:t>
      </w:r>
      <w:proofErr w:type="spellEnd"/>
      <w:r w:rsidRPr="00FA1BCF">
        <w:rPr>
          <w:rFonts w:eastAsia="Times New Roman" w:cs="Times New Roman"/>
          <w:szCs w:val="24"/>
          <w:lang w:eastAsia="en-AU"/>
        </w:rPr>
        <w:t>, a market research firm</w:t>
      </w:r>
      <w:r w:rsidR="00BE1DFB" w:rsidRPr="00FA1BCF">
        <w:rPr>
          <w:rFonts w:eastAsia="Times New Roman" w:cs="Times New Roman"/>
          <w:szCs w:val="24"/>
          <w:lang w:eastAsia="en-AU"/>
        </w:rPr>
        <w:t>,</w:t>
      </w:r>
      <w:r w:rsidRPr="00FA1BCF">
        <w:rPr>
          <w:rFonts w:eastAsia="Times New Roman" w:cs="Times New Roman"/>
          <w:szCs w:val="24"/>
          <w:lang w:eastAsia="en-AU"/>
        </w:rPr>
        <w:t xml:space="preserve"> reported</w:t>
      </w:r>
      <w:r w:rsidR="00BE1DFB" w:rsidRPr="00FA1BCF">
        <w:rPr>
          <w:rFonts w:eastAsia="Times New Roman" w:cs="Times New Roman"/>
          <w:szCs w:val="24"/>
          <w:lang w:eastAsia="en-AU"/>
        </w:rPr>
        <w:t xml:space="preserve"> that</w:t>
      </w:r>
      <w:r w:rsidRPr="00FA1BCF">
        <w:rPr>
          <w:rFonts w:eastAsia="Times New Roman" w:cs="Times New Roman"/>
          <w:szCs w:val="24"/>
          <w:lang w:eastAsia="en-AU"/>
        </w:rPr>
        <w:t xml:space="preserve"> global sales of orphan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are expected to rise 10.5</w:t>
      </w:r>
      <w:r w:rsidR="00BE1DFB" w:rsidRPr="00FA1BCF">
        <w:rPr>
          <w:rFonts w:eastAsia="Times New Roman" w:cs="Times New Roman"/>
          <w:szCs w:val="24"/>
          <w:lang w:eastAsia="en-AU"/>
        </w:rPr>
        <w:t xml:space="preserve"> per cent</w:t>
      </w:r>
      <w:r w:rsidRPr="00FA1BCF">
        <w:rPr>
          <w:rFonts w:eastAsia="Times New Roman" w:cs="Times New Roman"/>
          <w:szCs w:val="24"/>
          <w:lang w:eastAsia="en-AU"/>
        </w:rPr>
        <w:t xml:space="preserve"> annually to about $176 billion in 2020. This gives an indication of the attractiveness of orphan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 xml:space="preserve">or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 xml:space="preserve">for small populations to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developers and manufacturers (</w:t>
      </w:r>
      <w:proofErr w:type="spellStart"/>
      <w:r w:rsidRPr="00FA1BCF">
        <w:rPr>
          <w:rFonts w:eastAsia="Times New Roman" w:cs="Times New Roman"/>
          <w:szCs w:val="24"/>
          <w:lang w:eastAsia="en-AU"/>
        </w:rPr>
        <w:t>Pharmalot</w:t>
      </w:r>
      <w:proofErr w:type="spellEnd"/>
      <w:r w:rsidRPr="00FA1BCF">
        <w:rPr>
          <w:rFonts w:eastAsia="Times New Roman" w:cs="Times New Roman"/>
          <w:szCs w:val="24"/>
          <w:lang w:eastAsia="en-AU"/>
        </w:rPr>
        <w:t xml:space="preserve"> 2015 </w:t>
      </w:r>
      <w:r w:rsidR="00BE1DFB" w:rsidRPr="00FA1BCF">
        <w:rPr>
          <w:rFonts w:eastAsia="Times New Roman" w:cs="Times New Roman"/>
          <w:szCs w:val="24"/>
          <w:lang w:eastAsia="en-AU"/>
        </w:rPr>
        <w:br/>
      </w:r>
      <w:hyperlink r:id="rId19" w:history="1">
        <w:r w:rsidR="00BE1DFB" w:rsidRPr="00FA1BCF">
          <w:rPr>
            <w:rStyle w:val="Hyperlink"/>
            <w:rFonts w:eastAsia="Times New Roman" w:cs="Times New Roman"/>
            <w:szCs w:val="24"/>
            <w:lang w:eastAsia="en-AU"/>
          </w:rPr>
          <w:t>http://blogs.wsj.com/pharmalot/2015/05/29/heres-why-orphan-drugs-will-remain-attractive-ma-targets/</w:t>
        </w:r>
      </w:hyperlink>
      <w:r w:rsidRPr="00FA1BCF">
        <w:rPr>
          <w:rFonts w:eastAsia="Times New Roman" w:cs="Times New Roman"/>
          <w:szCs w:val="24"/>
          <w:lang w:eastAsia="en-AU"/>
        </w:rPr>
        <w:t>).</w:t>
      </w:r>
    </w:p>
    <w:p w:rsidR="00CC79FE" w:rsidRPr="00FA1BCF" w:rsidRDefault="00CC79FE" w:rsidP="00E436E7">
      <w:pPr>
        <w:pStyle w:val="Heading3"/>
        <w:rPr>
          <w:lang w:eastAsia="en-AU"/>
        </w:rPr>
      </w:pPr>
      <w:bookmarkStart w:id="19" w:name="_Toc302625577"/>
      <w:r w:rsidRPr="00FA1BCF">
        <w:rPr>
          <w:lang w:eastAsia="en-AU"/>
        </w:rPr>
        <w:t xml:space="preserve">5.1.3 Conflation of </w:t>
      </w:r>
      <w:r w:rsidR="004474F1" w:rsidRPr="00FA1BCF">
        <w:rPr>
          <w:lang w:eastAsia="en-AU"/>
        </w:rPr>
        <w:t>r</w:t>
      </w:r>
      <w:r w:rsidRPr="00FA1BCF">
        <w:rPr>
          <w:lang w:eastAsia="en-AU"/>
        </w:rPr>
        <w:t xml:space="preserve">are disease </w:t>
      </w:r>
      <w:r w:rsidR="00282335">
        <w:rPr>
          <w:lang w:eastAsia="en-AU"/>
        </w:rPr>
        <w:t xml:space="preserve">drug </w:t>
      </w:r>
      <w:r w:rsidR="00A92341">
        <w:rPr>
          <w:lang w:eastAsia="en-AU"/>
        </w:rPr>
        <w:t>subsidy</w:t>
      </w:r>
      <w:r w:rsidR="00282335">
        <w:rPr>
          <w:lang w:eastAsia="en-AU"/>
        </w:rPr>
        <w:t xml:space="preserve"> </w:t>
      </w:r>
      <w:r w:rsidRPr="00FA1BCF">
        <w:rPr>
          <w:lang w:eastAsia="en-AU"/>
        </w:rPr>
        <w:t>and orphan drugs</w:t>
      </w:r>
      <w:bookmarkEnd w:id="19"/>
    </w:p>
    <w:p w:rsidR="00CC79FE" w:rsidRPr="00FA1BCF" w:rsidRDefault="00CC79FE" w:rsidP="00CC79FE">
      <w:pPr>
        <w:autoSpaceDE w:val="0"/>
        <w:autoSpaceDN w:val="0"/>
        <w:adjustRightInd w:val="0"/>
        <w:jc w:val="both"/>
        <w:rPr>
          <w:rFonts w:eastAsia="Times New Roman" w:cs="Times New Roman"/>
          <w:szCs w:val="24"/>
          <w:lang w:eastAsia="en-AU"/>
        </w:rPr>
      </w:pPr>
      <w:r w:rsidRPr="00FA1BCF">
        <w:rPr>
          <w:rFonts w:eastAsia="Times New Roman" w:cs="Times New Roman"/>
          <w:szCs w:val="24"/>
          <w:lang w:eastAsia="en-AU"/>
        </w:rPr>
        <w:t xml:space="preserve">For a </w:t>
      </w:r>
      <w:r w:rsidR="0011136C"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to be successfully included in the LSDP, the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must also be approved by the TGA as a proven therapeutic modality for the specified ‘rare but clinically definable disease’</w:t>
      </w:r>
      <w:r w:rsidR="004474F1" w:rsidRPr="00FA1BCF">
        <w:rPr>
          <w:rFonts w:eastAsia="Times New Roman" w:cs="Times New Roman"/>
          <w:szCs w:val="24"/>
          <w:lang w:eastAsia="en-AU"/>
        </w:rPr>
        <w:t>.</w:t>
      </w:r>
      <w:r w:rsidR="00B56F35" w:rsidRPr="00FA1BCF">
        <w:rPr>
          <w:rFonts w:eastAsia="Times New Roman" w:cs="Times New Roman"/>
          <w:szCs w:val="24"/>
          <w:lang w:eastAsia="en-AU"/>
        </w:rPr>
        <w:t xml:space="preserve"> </w:t>
      </w:r>
      <w:r w:rsidR="004474F1" w:rsidRPr="00FA1BCF">
        <w:rPr>
          <w:rFonts w:eastAsia="Times New Roman" w:cs="Times New Roman"/>
          <w:szCs w:val="24"/>
          <w:lang w:eastAsia="en-AU"/>
        </w:rPr>
        <w:t>However,</w:t>
      </w:r>
      <w:r w:rsidRPr="00FA1BCF">
        <w:rPr>
          <w:rFonts w:eastAsia="Times New Roman" w:cs="Times New Roman"/>
          <w:szCs w:val="24"/>
          <w:lang w:eastAsia="en-AU"/>
        </w:rPr>
        <w:t xml:space="preserve"> as discussed above</w:t>
      </w:r>
      <w:r w:rsidR="004474F1" w:rsidRPr="00FA1BCF">
        <w:rPr>
          <w:rFonts w:eastAsia="Times New Roman" w:cs="Times New Roman"/>
          <w:szCs w:val="24"/>
          <w:lang w:eastAsia="en-AU"/>
        </w:rPr>
        <w:t>,</w:t>
      </w:r>
      <w:r w:rsidRPr="00FA1BCF">
        <w:rPr>
          <w:rFonts w:eastAsia="Times New Roman" w:cs="Times New Roman"/>
          <w:szCs w:val="24"/>
          <w:lang w:eastAsia="en-AU"/>
        </w:rPr>
        <w:t xml:space="preserve"> the </w:t>
      </w:r>
      <w:r w:rsidRPr="00E436E7">
        <w:rPr>
          <w:rFonts w:eastAsia="Times New Roman" w:cs="Times New Roman"/>
          <w:szCs w:val="24"/>
          <w:lang w:eastAsia="en-AU"/>
        </w:rPr>
        <w:t>National Health Act</w:t>
      </w:r>
      <w:r w:rsidR="004474F1" w:rsidRPr="00E436E7">
        <w:rPr>
          <w:rFonts w:eastAsia="Times New Roman" w:cs="Times New Roman"/>
          <w:szCs w:val="24"/>
          <w:lang w:eastAsia="en-AU"/>
        </w:rPr>
        <w:t>,</w:t>
      </w:r>
      <w:r w:rsidRPr="00FA1BCF">
        <w:rPr>
          <w:rFonts w:eastAsia="Times New Roman" w:cs="Times New Roman"/>
          <w:szCs w:val="24"/>
          <w:lang w:eastAsia="en-AU"/>
        </w:rPr>
        <w:t xml:space="preserve"> which sets out the roles and functions of the PBAC</w:t>
      </w:r>
      <w:r w:rsidR="004474F1" w:rsidRPr="00FA1BCF">
        <w:rPr>
          <w:rFonts w:eastAsia="Times New Roman" w:cs="Times New Roman"/>
          <w:szCs w:val="24"/>
          <w:lang w:eastAsia="en-AU"/>
        </w:rPr>
        <w:t>,</w:t>
      </w:r>
      <w:r w:rsidRPr="00FA1BCF">
        <w:rPr>
          <w:rFonts w:eastAsia="Times New Roman" w:cs="Times New Roman"/>
          <w:szCs w:val="24"/>
          <w:lang w:eastAsia="en-AU"/>
        </w:rPr>
        <w:t xml:space="preserve"> does not define ‘rare disease’. </w:t>
      </w:r>
    </w:p>
    <w:p w:rsidR="00CC79FE" w:rsidRPr="00FA1BCF" w:rsidRDefault="00CC79FE" w:rsidP="00CC79FE">
      <w:pPr>
        <w:autoSpaceDE w:val="0"/>
        <w:autoSpaceDN w:val="0"/>
        <w:adjustRightInd w:val="0"/>
        <w:jc w:val="both"/>
        <w:rPr>
          <w:rFonts w:eastAsia="Times New Roman" w:cs="Times New Roman"/>
          <w:szCs w:val="24"/>
          <w:lang w:eastAsia="en-AU"/>
        </w:rPr>
      </w:pPr>
      <w:proofErr w:type="gramStart"/>
      <w:r w:rsidRPr="00FA1BCF">
        <w:rPr>
          <w:rFonts w:eastAsia="Times New Roman" w:cs="Times New Roman"/>
          <w:szCs w:val="24"/>
          <w:lang w:eastAsia="en-AU"/>
        </w:rPr>
        <w:t xml:space="preserve">Regulation 2 of the </w:t>
      </w:r>
      <w:r w:rsidRPr="00E436E7">
        <w:rPr>
          <w:rFonts w:eastAsia="Times New Roman" w:cs="Times New Roman"/>
          <w:szCs w:val="24"/>
          <w:lang w:eastAsia="en-AU"/>
        </w:rPr>
        <w:t>Therapeutic Goods Regulation</w:t>
      </w:r>
      <w:r w:rsidR="008D3B4E" w:rsidRPr="00FA1BCF">
        <w:rPr>
          <w:rFonts w:eastAsia="Times New Roman" w:cs="Times New Roman"/>
          <w:szCs w:val="24"/>
          <w:lang w:eastAsia="en-AU"/>
        </w:rPr>
        <w:t>s</w:t>
      </w:r>
      <w:r w:rsidRPr="00E436E7">
        <w:rPr>
          <w:rFonts w:eastAsia="Times New Roman" w:cs="Times New Roman"/>
          <w:szCs w:val="24"/>
          <w:lang w:eastAsia="en-AU"/>
        </w:rPr>
        <w:t xml:space="preserve"> 1990 </w:t>
      </w:r>
      <w:r w:rsidRPr="00FA1BCF">
        <w:rPr>
          <w:rFonts w:eastAsia="Times New Roman" w:cs="Times New Roman"/>
          <w:szCs w:val="24"/>
          <w:lang w:eastAsia="en-AU"/>
        </w:rPr>
        <w:t>define</w:t>
      </w:r>
      <w:proofErr w:type="gramEnd"/>
      <w:r w:rsidRPr="00FA1BCF">
        <w:rPr>
          <w:rFonts w:eastAsia="Times New Roman" w:cs="Times New Roman"/>
          <w:szCs w:val="24"/>
          <w:lang w:eastAsia="en-AU"/>
        </w:rPr>
        <w:t xml:space="preserve"> rare disease as </w:t>
      </w:r>
      <w:r w:rsidR="00B56F35" w:rsidRPr="00FA1BCF">
        <w:rPr>
          <w:rFonts w:eastAsia="Times New Roman" w:cs="Times New Roman"/>
          <w:szCs w:val="24"/>
          <w:lang w:eastAsia="en-AU"/>
        </w:rPr>
        <w:t>‘</w:t>
      </w:r>
      <w:r w:rsidRPr="00FA1BCF">
        <w:rPr>
          <w:rFonts w:eastAsia="Times New Roman" w:cs="Times New Roman"/>
          <w:szCs w:val="24"/>
          <w:lang w:eastAsia="en-AU"/>
        </w:rPr>
        <w:t>a disease, or condition, likely to affect not more than 2,000 individuals in Australia at any time</w:t>
      </w:r>
      <w:r w:rsidR="00B56F35" w:rsidRPr="00FA1BCF">
        <w:rPr>
          <w:rFonts w:eastAsia="Times New Roman" w:cs="Times New Roman"/>
          <w:szCs w:val="24"/>
          <w:lang w:eastAsia="en-AU"/>
        </w:rPr>
        <w:t>’</w:t>
      </w:r>
      <w:r w:rsidRPr="00FA1BCF">
        <w:rPr>
          <w:rFonts w:eastAsia="Times New Roman" w:cs="Times New Roman"/>
          <w:szCs w:val="24"/>
          <w:lang w:eastAsia="en-AU"/>
        </w:rPr>
        <w:t>. The reference to ‘not more than 2,000</w:t>
      </w:r>
      <w:r w:rsidR="008E1CA0" w:rsidRPr="00FA1BCF">
        <w:rPr>
          <w:rFonts w:eastAsia="Times New Roman" w:cs="Times New Roman"/>
          <w:szCs w:val="24"/>
          <w:lang w:eastAsia="en-AU"/>
        </w:rPr>
        <w:t>’</w:t>
      </w:r>
      <w:r w:rsidRPr="00FA1BCF">
        <w:rPr>
          <w:rFonts w:eastAsia="Times New Roman" w:cs="Times New Roman"/>
          <w:szCs w:val="24"/>
          <w:lang w:eastAsia="en-AU"/>
        </w:rPr>
        <w:t xml:space="preserve"> is also seen in Regulation </w:t>
      </w:r>
      <w:proofErr w:type="gramStart"/>
      <w:r w:rsidR="008E1CA0" w:rsidRPr="00FA1BCF">
        <w:rPr>
          <w:rFonts w:eastAsia="Times New Roman" w:cs="Times New Roman"/>
          <w:szCs w:val="24"/>
          <w:lang w:eastAsia="en-AU"/>
        </w:rPr>
        <w:t>16</w:t>
      </w:r>
      <w:r w:rsidRPr="00FA1BCF">
        <w:rPr>
          <w:rFonts w:eastAsia="Times New Roman" w:cs="Times New Roman"/>
          <w:szCs w:val="24"/>
          <w:lang w:eastAsia="en-AU"/>
        </w:rPr>
        <w:t>I(</w:t>
      </w:r>
      <w:proofErr w:type="gramEnd"/>
      <w:r w:rsidRPr="00FA1BCF">
        <w:rPr>
          <w:rFonts w:eastAsia="Times New Roman" w:cs="Times New Roman"/>
          <w:szCs w:val="24"/>
          <w:lang w:eastAsia="en-AU"/>
        </w:rPr>
        <w:t>4)</w:t>
      </w:r>
      <w:r w:rsidR="008E1CA0" w:rsidRPr="00FA1BCF">
        <w:rPr>
          <w:rFonts w:eastAsia="Times New Roman" w:cs="Times New Roman"/>
          <w:szCs w:val="24"/>
          <w:lang w:eastAsia="en-AU"/>
        </w:rPr>
        <w:t>,</w:t>
      </w:r>
      <w:r w:rsidRPr="00FA1BCF">
        <w:rPr>
          <w:rFonts w:eastAsia="Times New Roman" w:cs="Times New Roman"/>
          <w:szCs w:val="24"/>
          <w:lang w:eastAsia="en-AU"/>
        </w:rPr>
        <w:t xml:space="preserve"> which requires </w:t>
      </w:r>
      <w:r w:rsidR="00B56F35" w:rsidRPr="00FA1BCF">
        <w:rPr>
          <w:rFonts w:eastAsia="Times New Roman" w:cs="Times New Roman"/>
          <w:szCs w:val="24"/>
          <w:lang w:eastAsia="en-AU"/>
        </w:rPr>
        <w:t>‘</w:t>
      </w:r>
      <w:r w:rsidRPr="00FA1BCF">
        <w:rPr>
          <w:rFonts w:eastAsia="Times New Roman" w:cs="Times New Roman"/>
          <w:szCs w:val="24"/>
          <w:lang w:eastAsia="en-AU"/>
        </w:rPr>
        <w:t>applications for vaccines or in vivo diagnostic agents requesting designation as an orphan drug</w:t>
      </w:r>
      <w:r w:rsidR="00B56F35" w:rsidRPr="00FA1BCF">
        <w:rPr>
          <w:rFonts w:eastAsia="Times New Roman" w:cs="Times New Roman"/>
          <w:szCs w:val="24"/>
          <w:lang w:eastAsia="en-AU"/>
        </w:rPr>
        <w:t>’</w:t>
      </w:r>
      <w:r w:rsidRPr="00FA1BCF">
        <w:rPr>
          <w:rFonts w:eastAsia="Times New Roman" w:cs="Times New Roman"/>
          <w:szCs w:val="24"/>
          <w:lang w:eastAsia="en-AU"/>
        </w:rPr>
        <w:t xml:space="preserve"> to state that </w:t>
      </w:r>
      <w:r w:rsidR="00B56F35" w:rsidRPr="00FA1BCF">
        <w:rPr>
          <w:rFonts w:eastAsia="Times New Roman" w:cs="Times New Roman"/>
          <w:szCs w:val="24"/>
          <w:lang w:eastAsia="en-AU"/>
        </w:rPr>
        <w:t>‘</w:t>
      </w:r>
      <w:r w:rsidRPr="00FA1BCF">
        <w:rPr>
          <w:rFonts w:eastAsia="Times New Roman" w:cs="Times New Roman"/>
          <w:szCs w:val="24"/>
          <w:lang w:eastAsia="en-AU"/>
        </w:rPr>
        <w:t>the vaccine or agent will be administered in Australia to not more than 2,000 people in each year after it is registered for use for the disease or condition</w:t>
      </w:r>
      <w:r w:rsidR="008E1CA0" w:rsidRPr="00FA1BCF">
        <w:rPr>
          <w:rFonts w:eastAsia="Times New Roman" w:cs="Times New Roman"/>
          <w:szCs w:val="24"/>
          <w:lang w:eastAsia="en-AU"/>
        </w:rPr>
        <w:t>’</w:t>
      </w:r>
      <w:r w:rsidRPr="00FA1BCF">
        <w:rPr>
          <w:rFonts w:eastAsia="Times New Roman" w:cs="Times New Roman"/>
          <w:szCs w:val="24"/>
          <w:lang w:eastAsia="en-AU"/>
        </w:rPr>
        <w:t>.</w:t>
      </w:r>
    </w:p>
    <w:p w:rsidR="00CC79FE" w:rsidRPr="00FA1BCF" w:rsidRDefault="00CC79FE" w:rsidP="00CC79FE">
      <w:pPr>
        <w:autoSpaceDE w:val="0"/>
        <w:autoSpaceDN w:val="0"/>
        <w:adjustRightInd w:val="0"/>
        <w:jc w:val="both"/>
        <w:rPr>
          <w:rFonts w:eastAsia="Times New Roman" w:cs="Times New Roman"/>
          <w:szCs w:val="24"/>
          <w:lang w:eastAsia="en-AU"/>
        </w:rPr>
      </w:pPr>
      <w:r w:rsidRPr="00FA1BCF">
        <w:rPr>
          <w:rFonts w:eastAsia="Times New Roman" w:cs="Times New Roman"/>
          <w:szCs w:val="24"/>
          <w:lang w:eastAsia="en-AU"/>
        </w:rPr>
        <w:t>The Regulation</w:t>
      </w:r>
      <w:r w:rsidR="008E1CA0" w:rsidRPr="00FA1BCF">
        <w:rPr>
          <w:rFonts w:eastAsia="Times New Roman" w:cs="Times New Roman"/>
          <w:szCs w:val="24"/>
          <w:lang w:eastAsia="en-AU"/>
        </w:rPr>
        <w:t>s</w:t>
      </w:r>
      <w:r w:rsidRPr="00FA1BCF">
        <w:rPr>
          <w:rFonts w:eastAsia="Times New Roman" w:cs="Times New Roman"/>
          <w:szCs w:val="24"/>
          <w:lang w:eastAsia="en-AU"/>
        </w:rPr>
        <w:t xml:space="preserve"> govern administration of the Orphan Drugs </w:t>
      </w:r>
      <w:r w:rsidR="00602974" w:rsidRPr="00FA1BCF">
        <w:rPr>
          <w:rFonts w:eastAsia="Times New Roman" w:cs="Times New Roman"/>
          <w:szCs w:val="24"/>
          <w:lang w:eastAsia="en-AU"/>
        </w:rPr>
        <w:t>Programme, which</w:t>
      </w:r>
      <w:r w:rsidRPr="00FA1BCF">
        <w:rPr>
          <w:rFonts w:eastAsia="Times New Roman" w:cs="Times New Roman"/>
          <w:szCs w:val="24"/>
          <w:lang w:eastAsia="en-AU"/>
        </w:rPr>
        <w:t xml:space="preserve"> has as its purpose to provide incentives to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sponsors to develop and bring to market </w:t>
      </w:r>
      <w:r w:rsidR="008B29C7" w:rsidRPr="00FA1BCF">
        <w:rPr>
          <w:rFonts w:eastAsia="Times New Roman" w:cs="Times New Roman"/>
          <w:szCs w:val="24"/>
          <w:lang w:eastAsia="en-AU"/>
        </w:rPr>
        <w:t xml:space="preserve">medicines </w:t>
      </w:r>
      <w:r w:rsidR="00A14688" w:rsidRPr="00FA1BCF">
        <w:rPr>
          <w:rFonts w:eastAsia="Times New Roman" w:cs="Times New Roman"/>
          <w:szCs w:val="24"/>
          <w:lang w:eastAsia="en-AU"/>
        </w:rPr>
        <w:t xml:space="preserve">that </w:t>
      </w:r>
      <w:r w:rsidRPr="00FA1BCF">
        <w:rPr>
          <w:rFonts w:eastAsia="Times New Roman" w:cs="Times New Roman"/>
          <w:szCs w:val="24"/>
          <w:lang w:eastAsia="en-AU"/>
        </w:rPr>
        <w:t xml:space="preserve">affect small </w:t>
      </w:r>
      <w:r w:rsidR="0011136C" w:rsidRPr="00FA1BCF">
        <w:rPr>
          <w:rFonts w:eastAsia="Times New Roman" w:cs="Times New Roman"/>
          <w:szCs w:val="24"/>
          <w:lang w:eastAsia="en-AU"/>
        </w:rPr>
        <w:t xml:space="preserve">populations </w:t>
      </w:r>
      <w:r w:rsidR="00A14688" w:rsidRPr="00FA1BCF">
        <w:rPr>
          <w:rFonts w:eastAsia="Times New Roman" w:cs="Times New Roman"/>
          <w:szCs w:val="24"/>
          <w:lang w:eastAsia="en-AU"/>
        </w:rPr>
        <w:t xml:space="preserve">and </w:t>
      </w:r>
      <w:r w:rsidRPr="00FA1BCF">
        <w:rPr>
          <w:rFonts w:eastAsia="Times New Roman" w:cs="Times New Roman"/>
          <w:szCs w:val="24"/>
          <w:lang w:eastAsia="en-AU"/>
        </w:rPr>
        <w:t xml:space="preserve">would not otherwise be commercially viable. </w:t>
      </w:r>
      <w:r w:rsidR="00F81224" w:rsidRPr="00FA1BCF">
        <w:rPr>
          <w:szCs w:val="24"/>
        </w:rPr>
        <w:t>Regulation</w:t>
      </w:r>
      <w:r w:rsidR="00A14688" w:rsidRPr="00FA1BCF">
        <w:rPr>
          <w:szCs w:val="24"/>
        </w:rPr>
        <w:t xml:space="preserve"> 16H</w:t>
      </w:r>
      <w:r w:rsidR="00F81224" w:rsidRPr="00FA1BCF">
        <w:rPr>
          <w:szCs w:val="24"/>
        </w:rPr>
        <w:t xml:space="preserve"> specifies that, among other requirements, an orphan drug ‘must be intended to treat, prevent or diagnose a rare disease</w:t>
      </w:r>
      <w:r w:rsidR="00A14688" w:rsidRPr="00FA1BCF">
        <w:rPr>
          <w:szCs w:val="24"/>
        </w:rPr>
        <w:t>’</w:t>
      </w:r>
      <w:r w:rsidR="00F81224" w:rsidRPr="00FA1BCF">
        <w:rPr>
          <w:szCs w:val="24"/>
        </w:rPr>
        <w:t xml:space="preserve"> or ‘must not be commercially viable to supply to treat, prevent or diagnose another disease or condition’. </w:t>
      </w:r>
      <w:r w:rsidRPr="00FA1BCF">
        <w:rPr>
          <w:rFonts w:eastAsia="Times New Roman" w:cs="Times New Roman"/>
          <w:szCs w:val="24"/>
          <w:lang w:eastAsia="en-AU"/>
        </w:rPr>
        <w:t xml:space="preserve">Regulation 45(12) provides a waiver of fees in relation to the designation, evaluation and registration of orphan drugs. </w:t>
      </w:r>
    </w:p>
    <w:p w:rsidR="00CC79FE" w:rsidRPr="00FA1BCF" w:rsidRDefault="00CC79FE" w:rsidP="00E436E7">
      <w:pPr>
        <w:pStyle w:val="Default"/>
        <w:jc w:val="both"/>
        <w:rPr>
          <w:lang w:eastAsia="en-AU"/>
        </w:rPr>
      </w:pPr>
      <w:r w:rsidRPr="00FA1BCF">
        <w:rPr>
          <w:rFonts w:asciiTheme="minorHAnsi" w:eastAsia="Times New Roman" w:hAnsiTheme="minorHAnsi" w:cs="Times New Roman"/>
          <w:lang w:eastAsia="en-AU"/>
        </w:rPr>
        <w:t>The objectives of the PBS and the LSDP differ from</w:t>
      </w:r>
      <w:r w:rsidR="00A14688" w:rsidRPr="00FA1BCF">
        <w:rPr>
          <w:rFonts w:asciiTheme="minorHAnsi" w:eastAsia="Times New Roman" w:hAnsiTheme="minorHAnsi" w:cs="Times New Roman"/>
          <w:lang w:eastAsia="en-AU"/>
        </w:rPr>
        <w:t xml:space="preserve"> that of</w:t>
      </w:r>
      <w:r w:rsidRPr="00FA1BCF">
        <w:rPr>
          <w:rFonts w:asciiTheme="minorHAnsi" w:eastAsia="Times New Roman" w:hAnsiTheme="minorHAnsi" w:cs="Times New Roman"/>
          <w:lang w:eastAsia="en-AU"/>
        </w:rPr>
        <w:t xml:space="preserve"> the Orphan Drugs Programme. The Orphan Drugs Programme gives </w:t>
      </w:r>
      <w:r w:rsidR="009A438D" w:rsidRPr="00FA1BCF">
        <w:rPr>
          <w:rFonts w:asciiTheme="minorHAnsi" w:eastAsia="Times New Roman" w:hAnsiTheme="minorHAnsi" w:cs="Times New Roman"/>
          <w:lang w:eastAsia="en-AU"/>
        </w:rPr>
        <w:t xml:space="preserve">medicine </w:t>
      </w:r>
      <w:r w:rsidRPr="00FA1BCF">
        <w:rPr>
          <w:rFonts w:asciiTheme="minorHAnsi" w:eastAsia="Times New Roman" w:hAnsiTheme="minorHAnsi" w:cs="Times New Roman"/>
          <w:lang w:eastAsia="en-AU"/>
        </w:rPr>
        <w:t>sponsors an exemption or relief from the TGA’s cost</w:t>
      </w:r>
      <w:r w:rsidR="00A14688" w:rsidRPr="00FA1BCF">
        <w:rPr>
          <w:rFonts w:asciiTheme="minorHAnsi" w:eastAsia="Times New Roman" w:hAnsiTheme="minorHAnsi" w:cs="Times New Roman"/>
          <w:lang w:eastAsia="en-AU"/>
        </w:rPr>
        <w:t>-</w:t>
      </w:r>
      <w:r w:rsidRPr="00FA1BCF">
        <w:rPr>
          <w:rFonts w:asciiTheme="minorHAnsi" w:eastAsia="Times New Roman" w:hAnsiTheme="minorHAnsi" w:cs="Times New Roman"/>
          <w:lang w:eastAsia="en-AU"/>
        </w:rPr>
        <w:t>recovery</w:t>
      </w:r>
      <w:r w:rsidR="00A14688" w:rsidRPr="00FA1BCF">
        <w:rPr>
          <w:rFonts w:asciiTheme="minorHAnsi" w:eastAsia="Times New Roman" w:hAnsiTheme="minorHAnsi" w:cs="Times New Roman"/>
          <w:lang w:eastAsia="en-AU"/>
        </w:rPr>
        <w:t xml:space="preserve"> mechanism</w:t>
      </w:r>
      <w:r w:rsidR="004474F1" w:rsidRPr="00FA1BCF">
        <w:rPr>
          <w:rFonts w:asciiTheme="minorHAnsi" w:eastAsia="Times New Roman" w:hAnsiTheme="minorHAnsi" w:cs="Times New Roman"/>
          <w:lang w:eastAsia="en-AU"/>
        </w:rPr>
        <w:t>.</w:t>
      </w:r>
      <w:r w:rsidRPr="00FA1BCF">
        <w:rPr>
          <w:rFonts w:asciiTheme="minorHAnsi" w:eastAsia="Times New Roman" w:hAnsiTheme="minorHAnsi" w:cs="Times New Roman"/>
          <w:lang w:eastAsia="en-AU"/>
        </w:rPr>
        <w:t xml:space="preserve"> </w:t>
      </w:r>
      <w:r w:rsidR="004474F1" w:rsidRPr="00FA1BCF">
        <w:rPr>
          <w:rFonts w:asciiTheme="minorHAnsi" w:eastAsia="Times New Roman" w:hAnsiTheme="minorHAnsi" w:cs="Times New Roman"/>
          <w:lang w:eastAsia="en-AU"/>
        </w:rPr>
        <w:t>I</w:t>
      </w:r>
      <w:r w:rsidRPr="00FA1BCF">
        <w:rPr>
          <w:rFonts w:asciiTheme="minorHAnsi" w:eastAsia="Times New Roman" w:hAnsiTheme="minorHAnsi" w:cs="Times New Roman"/>
          <w:lang w:eastAsia="en-AU"/>
        </w:rPr>
        <w:t>n doing so</w:t>
      </w:r>
      <w:r w:rsidR="004474F1" w:rsidRPr="00FA1BCF">
        <w:rPr>
          <w:rFonts w:asciiTheme="minorHAnsi" w:eastAsia="Times New Roman" w:hAnsiTheme="minorHAnsi" w:cs="Times New Roman"/>
          <w:lang w:eastAsia="en-AU"/>
        </w:rPr>
        <w:t>, it</w:t>
      </w:r>
      <w:r w:rsidRPr="00FA1BCF">
        <w:rPr>
          <w:rFonts w:asciiTheme="minorHAnsi" w:eastAsia="Times New Roman" w:hAnsiTheme="minorHAnsi" w:cs="Times New Roman"/>
          <w:lang w:eastAsia="en-AU"/>
        </w:rPr>
        <w:t xml:space="preserve"> introduces an incentive for industry to research, develop and market the orphan drugs. The PBS and the LSDP are Government </w:t>
      </w:r>
      <w:r w:rsidRPr="00FA1BCF">
        <w:rPr>
          <w:rFonts w:asciiTheme="minorHAnsi" w:eastAsia="Times New Roman" w:hAnsiTheme="minorHAnsi" w:cs="Times New Roman"/>
          <w:lang w:eastAsia="en-AU"/>
        </w:rPr>
        <w:lastRenderedPageBreak/>
        <w:t xml:space="preserve">reimbursement programmes which seek to subsidise the cost of </w:t>
      </w:r>
      <w:r w:rsidR="008B29C7" w:rsidRPr="00FA1BCF">
        <w:rPr>
          <w:rFonts w:asciiTheme="minorHAnsi" w:eastAsia="Times New Roman" w:hAnsiTheme="minorHAnsi" w:cs="Times New Roman"/>
          <w:lang w:eastAsia="en-AU"/>
        </w:rPr>
        <w:t xml:space="preserve">medicines </w:t>
      </w:r>
      <w:r w:rsidRPr="00FA1BCF">
        <w:rPr>
          <w:rFonts w:asciiTheme="minorHAnsi" w:eastAsia="Times New Roman" w:hAnsiTheme="minorHAnsi" w:cs="Times New Roman"/>
          <w:lang w:eastAsia="en-AU"/>
        </w:rPr>
        <w:t>to the community on the evidence of comparative effective</w:t>
      </w:r>
      <w:r w:rsidR="00A14688" w:rsidRPr="00FA1BCF">
        <w:rPr>
          <w:rFonts w:asciiTheme="minorHAnsi" w:eastAsia="Times New Roman" w:hAnsiTheme="minorHAnsi" w:cs="Times New Roman"/>
          <w:lang w:eastAsia="en-AU"/>
        </w:rPr>
        <w:t>ness</w:t>
      </w:r>
      <w:r w:rsidRPr="00FA1BCF">
        <w:rPr>
          <w:rFonts w:asciiTheme="minorHAnsi" w:eastAsia="Times New Roman" w:hAnsiTheme="minorHAnsi" w:cs="Times New Roman"/>
          <w:lang w:eastAsia="en-AU"/>
        </w:rPr>
        <w:t xml:space="preserve"> and cost</w:t>
      </w:r>
      <w:r w:rsidR="00A14688" w:rsidRPr="00FA1BCF">
        <w:rPr>
          <w:rFonts w:asciiTheme="minorHAnsi" w:eastAsia="Times New Roman" w:hAnsiTheme="minorHAnsi" w:cs="Times New Roman"/>
          <w:lang w:eastAsia="en-AU"/>
        </w:rPr>
        <w:t>.</w:t>
      </w:r>
      <w:r w:rsidRPr="00FA1BCF">
        <w:rPr>
          <w:rFonts w:asciiTheme="minorHAnsi" w:eastAsia="Times New Roman" w:hAnsiTheme="minorHAnsi" w:cs="Times New Roman"/>
          <w:lang w:eastAsia="en-AU"/>
        </w:rPr>
        <w:t xml:space="preserve"> </w:t>
      </w:r>
      <w:r w:rsidR="00A14688" w:rsidRPr="00FA1BCF">
        <w:rPr>
          <w:rFonts w:asciiTheme="minorHAnsi" w:eastAsia="Times New Roman" w:hAnsiTheme="minorHAnsi" w:cs="Times New Roman"/>
          <w:lang w:eastAsia="en-AU"/>
        </w:rPr>
        <w:t>T</w:t>
      </w:r>
      <w:r w:rsidRPr="00FA1BCF">
        <w:rPr>
          <w:rFonts w:asciiTheme="minorHAnsi" w:eastAsia="Times New Roman" w:hAnsiTheme="minorHAnsi" w:cs="Times New Roman"/>
          <w:lang w:eastAsia="en-AU"/>
        </w:rPr>
        <w:t xml:space="preserve">hrough these mechanisms, the PBS and the LSDP deliver health outcomes to the Australian public. </w:t>
      </w:r>
    </w:p>
    <w:p w:rsidR="00CC79FE" w:rsidRPr="00FA1BCF" w:rsidRDefault="00CC79FE" w:rsidP="00CC79FE">
      <w:pPr>
        <w:autoSpaceDE w:val="0"/>
        <w:autoSpaceDN w:val="0"/>
        <w:adjustRightInd w:val="0"/>
        <w:jc w:val="both"/>
        <w:rPr>
          <w:rFonts w:ascii="Arial" w:hAnsi="Arial" w:cs="Arial"/>
          <w:color w:val="000000"/>
          <w:szCs w:val="24"/>
        </w:rPr>
      </w:pPr>
      <w:r w:rsidRPr="00FA1BCF">
        <w:rPr>
          <w:rFonts w:eastAsia="Times New Roman" w:cs="Times New Roman"/>
          <w:szCs w:val="24"/>
          <w:lang w:eastAsia="en-AU"/>
        </w:rPr>
        <w:t xml:space="preserve">Consistent with the Government’s policy of providing relief from cost recovery for a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that has been designated as an orphan </w:t>
      </w:r>
      <w:proofErr w:type="gramStart"/>
      <w:r w:rsidRPr="00FA1BCF">
        <w:rPr>
          <w:rFonts w:eastAsia="Times New Roman" w:cs="Times New Roman"/>
          <w:szCs w:val="24"/>
          <w:lang w:eastAsia="en-AU"/>
        </w:rPr>
        <w:t>drug</w:t>
      </w:r>
      <w:r w:rsidR="00EB219B" w:rsidRPr="00FA1BCF">
        <w:rPr>
          <w:rFonts w:eastAsia="Times New Roman" w:cs="Times New Roman"/>
          <w:szCs w:val="24"/>
          <w:lang w:eastAsia="en-AU"/>
        </w:rPr>
        <w:t>,</w:t>
      </w:r>
      <w:proofErr w:type="gramEnd"/>
      <w:r w:rsidRPr="00FA1BCF">
        <w:rPr>
          <w:rFonts w:eastAsia="Times New Roman" w:cs="Times New Roman"/>
          <w:szCs w:val="24"/>
          <w:lang w:eastAsia="en-AU"/>
        </w:rPr>
        <w:t xml:space="preserve"> an orphan drug also attracts a waiver of fees for drug applications submitted to the PBAC for consideration of PBS funding.</w:t>
      </w:r>
      <w:r w:rsidRPr="00FA1BCF">
        <w:rPr>
          <w:rFonts w:ascii="Arial" w:hAnsi="Arial" w:cs="Arial"/>
          <w:color w:val="000000"/>
          <w:szCs w:val="24"/>
        </w:rPr>
        <w:t xml:space="preserve"> </w:t>
      </w:r>
    </w:p>
    <w:p w:rsidR="00CC79FE" w:rsidRPr="00FA1BCF" w:rsidRDefault="00CC79FE" w:rsidP="00E436E7">
      <w:pPr>
        <w:pStyle w:val="Heading3"/>
        <w:rPr>
          <w:lang w:eastAsia="en-AU"/>
        </w:rPr>
      </w:pPr>
      <w:bookmarkStart w:id="20" w:name="_Toc302625578"/>
      <w:r w:rsidRPr="00FA1BCF">
        <w:rPr>
          <w:lang w:eastAsia="en-AU"/>
        </w:rPr>
        <w:t>5.1.4 Name of the programme</w:t>
      </w:r>
      <w:bookmarkEnd w:id="20"/>
    </w:p>
    <w:p w:rsidR="00CC79FE" w:rsidRPr="00FA1BCF" w:rsidRDefault="00CC79FE" w:rsidP="00CC79FE">
      <w:pPr>
        <w:jc w:val="both"/>
        <w:rPr>
          <w:rFonts w:eastAsia="Times New Roman" w:cs="Times New Roman"/>
          <w:b/>
          <w:i/>
          <w:szCs w:val="24"/>
          <w:u w:val="single"/>
          <w:lang w:eastAsia="en-AU"/>
        </w:rPr>
      </w:pPr>
      <w:r w:rsidRPr="00FA1BCF">
        <w:rPr>
          <w:rFonts w:eastAsia="Times New Roman" w:cs="Times New Roman"/>
          <w:szCs w:val="24"/>
          <w:lang w:eastAsia="en-AU"/>
        </w:rPr>
        <w:t xml:space="preserve">The name Life Saving Drugs Programme is unclear and does not reflect the objectives or the target population of the programme. Stakeholders have argued that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 xml:space="preserve">that treat chronic disease such as insulin for diabetes or chemotherapeutic </w:t>
      </w:r>
      <w:r w:rsidR="008B29C7" w:rsidRPr="00FA1BCF">
        <w:rPr>
          <w:rFonts w:eastAsia="Times New Roman" w:cs="Times New Roman"/>
          <w:szCs w:val="24"/>
          <w:lang w:eastAsia="en-AU"/>
        </w:rPr>
        <w:t xml:space="preserve">medicines </w:t>
      </w:r>
      <w:r w:rsidRPr="00FA1BCF">
        <w:rPr>
          <w:rFonts w:eastAsia="Times New Roman" w:cs="Times New Roman"/>
          <w:szCs w:val="24"/>
          <w:lang w:eastAsia="en-AU"/>
        </w:rPr>
        <w:t>could be classified as life</w:t>
      </w:r>
      <w:r w:rsidR="001B31D8" w:rsidRPr="00FA1BCF">
        <w:rPr>
          <w:rFonts w:eastAsia="Times New Roman" w:cs="Times New Roman"/>
          <w:szCs w:val="24"/>
          <w:lang w:eastAsia="en-AU"/>
        </w:rPr>
        <w:t>-</w:t>
      </w:r>
      <w:r w:rsidRPr="00FA1BCF">
        <w:rPr>
          <w:rFonts w:eastAsia="Times New Roman" w:cs="Times New Roman"/>
          <w:szCs w:val="24"/>
          <w:lang w:eastAsia="en-AU"/>
        </w:rPr>
        <w:t>saving.</w:t>
      </w:r>
    </w:p>
    <w:p w:rsidR="00CC79FE" w:rsidRPr="00FA1BCF" w:rsidRDefault="00CC79FE" w:rsidP="00E436E7">
      <w:pPr>
        <w:pStyle w:val="Heading3"/>
        <w:rPr>
          <w:lang w:eastAsia="en-AU"/>
        </w:rPr>
      </w:pPr>
      <w:bookmarkStart w:id="21" w:name="_Toc302625579"/>
      <w:r w:rsidRPr="00FA1BCF">
        <w:rPr>
          <w:lang w:eastAsia="en-AU"/>
        </w:rPr>
        <w:t>5.1.5 No agreed definition of rare disease</w:t>
      </w:r>
      <w:bookmarkEnd w:id="21"/>
      <w:r w:rsidRPr="00FA1BCF">
        <w:rPr>
          <w:lang w:eastAsia="en-AU"/>
        </w:rPr>
        <w:t xml:space="preserve"> </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 xml:space="preserve">There is no consistent definition of rare disease in comparable countries. In Australia rare disease is defined as a disease affecting </w:t>
      </w:r>
      <w:r w:rsidR="001B31D8" w:rsidRPr="00FA1BCF">
        <w:rPr>
          <w:rFonts w:eastAsia="Times New Roman" w:cs="Times New Roman"/>
          <w:szCs w:val="24"/>
          <w:lang w:eastAsia="en-AU"/>
        </w:rPr>
        <w:t xml:space="preserve">fewer </w:t>
      </w:r>
      <w:r w:rsidRPr="00FA1BCF">
        <w:rPr>
          <w:rFonts w:eastAsia="Times New Roman" w:cs="Times New Roman"/>
          <w:szCs w:val="24"/>
          <w:lang w:eastAsia="en-AU"/>
        </w:rPr>
        <w:t xml:space="preserve">than 2,000 Australians or a prevalence of less than about 1 in 10,000. Table </w:t>
      </w:r>
      <w:r w:rsidR="008F6849" w:rsidRPr="00FA1BCF">
        <w:rPr>
          <w:rFonts w:eastAsia="Times New Roman" w:cs="Times New Roman"/>
          <w:szCs w:val="24"/>
          <w:lang w:eastAsia="en-AU"/>
        </w:rPr>
        <w:t>4</w:t>
      </w:r>
      <w:r w:rsidRPr="00FA1BCF">
        <w:rPr>
          <w:rFonts w:eastAsia="Times New Roman" w:cs="Times New Roman"/>
          <w:szCs w:val="24"/>
          <w:lang w:eastAsia="en-AU"/>
        </w:rPr>
        <w:t xml:space="preserve"> provides examples of the </w:t>
      </w:r>
      <w:r w:rsidR="004474F1" w:rsidRPr="00FA1BCF">
        <w:rPr>
          <w:rFonts w:eastAsia="Times New Roman" w:cs="Times New Roman"/>
          <w:szCs w:val="24"/>
          <w:lang w:eastAsia="en-AU"/>
        </w:rPr>
        <w:t xml:space="preserve">different </w:t>
      </w:r>
      <w:r w:rsidRPr="00FA1BCF">
        <w:rPr>
          <w:rFonts w:eastAsia="Times New Roman" w:cs="Times New Roman"/>
          <w:szCs w:val="24"/>
          <w:lang w:eastAsia="en-AU"/>
        </w:rPr>
        <w:t>definitions</w:t>
      </w:r>
      <w:r w:rsidR="004474F1" w:rsidRPr="00FA1BCF">
        <w:rPr>
          <w:rFonts w:eastAsia="Times New Roman" w:cs="Times New Roman"/>
          <w:szCs w:val="24"/>
          <w:lang w:eastAsia="en-AU"/>
        </w:rPr>
        <w:t xml:space="preserve"> used</w:t>
      </w:r>
      <w:r w:rsidRPr="00FA1BCF">
        <w:rPr>
          <w:rFonts w:eastAsia="Times New Roman" w:cs="Times New Roman"/>
          <w:szCs w:val="24"/>
          <w:lang w:eastAsia="en-AU"/>
        </w:rPr>
        <w:t>.</w:t>
      </w:r>
    </w:p>
    <w:p w:rsidR="00084B72" w:rsidRPr="00FA1BCF" w:rsidRDefault="00084B72">
      <w:pPr>
        <w:spacing w:after="200" w:line="276" w:lineRule="auto"/>
        <w:rPr>
          <w:rFonts w:eastAsia="Times New Roman" w:cs="Times New Roman"/>
          <w:b/>
          <w:sz w:val="28"/>
          <w:szCs w:val="28"/>
          <w:lang w:eastAsia="en-AU"/>
        </w:rPr>
      </w:pPr>
      <w:r w:rsidRPr="00FA1BCF">
        <w:rPr>
          <w:rFonts w:eastAsia="Times New Roman" w:cs="Times New Roman"/>
          <w:b/>
          <w:sz w:val="28"/>
          <w:szCs w:val="28"/>
          <w:lang w:eastAsia="en-AU"/>
        </w:rPr>
        <w:br w:type="page"/>
      </w:r>
    </w:p>
    <w:p w:rsidR="00CC79FE" w:rsidRPr="00FA1BCF" w:rsidRDefault="00CC79FE" w:rsidP="00E436E7">
      <w:pPr>
        <w:pStyle w:val="Caption"/>
        <w:rPr>
          <w:lang w:eastAsia="en-AU"/>
        </w:rPr>
      </w:pPr>
      <w:r w:rsidRPr="00FA1BCF">
        <w:rPr>
          <w:lang w:eastAsia="en-AU"/>
        </w:rPr>
        <w:lastRenderedPageBreak/>
        <w:t xml:space="preserve">Table </w:t>
      </w:r>
      <w:r w:rsidR="008F6849" w:rsidRPr="00FA1BCF">
        <w:rPr>
          <w:lang w:eastAsia="en-AU"/>
        </w:rPr>
        <w:t>4</w:t>
      </w:r>
      <w:r w:rsidR="00084B72" w:rsidRPr="00FA1BCF">
        <w:rPr>
          <w:lang w:eastAsia="en-AU"/>
        </w:rPr>
        <w:t>:</w:t>
      </w:r>
      <w:r w:rsidRPr="00FA1BCF">
        <w:rPr>
          <w:lang w:eastAsia="en-AU"/>
        </w:rPr>
        <w:t xml:space="preserve"> Definition of rare</w:t>
      </w:r>
      <w:r w:rsidR="00084B72" w:rsidRPr="00FA1BCF">
        <w:rPr>
          <w:lang w:eastAsia="en-AU"/>
        </w:rPr>
        <w:t xml:space="preserve"> disease</w:t>
      </w:r>
      <w:r w:rsidRPr="00FA1BCF">
        <w:rPr>
          <w:lang w:eastAsia="en-AU"/>
        </w:rPr>
        <w:t xml:space="preserve"> in </w:t>
      </w:r>
      <w:r w:rsidR="00963730" w:rsidRPr="00FA1BCF">
        <w:rPr>
          <w:lang w:eastAsia="en-AU"/>
        </w:rPr>
        <w:t xml:space="preserve">comparable </w:t>
      </w:r>
      <w:r w:rsidRPr="00FA1BCF">
        <w:rPr>
          <w:lang w:eastAsia="en-AU"/>
        </w:rPr>
        <w:t>countries</w:t>
      </w:r>
    </w:p>
    <w:tbl>
      <w:tblPr>
        <w:tblW w:w="9322" w:type="dxa"/>
        <w:tblCellMar>
          <w:left w:w="0" w:type="dxa"/>
          <w:right w:w="0" w:type="dxa"/>
        </w:tblCellMar>
        <w:tblLook w:val="04A0" w:firstRow="1" w:lastRow="0" w:firstColumn="1" w:lastColumn="0" w:noHBand="0" w:noVBand="1"/>
      </w:tblPr>
      <w:tblGrid>
        <w:gridCol w:w="4786"/>
        <w:gridCol w:w="4536"/>
      </w:tblGrid>
      <w:tr w:rsidR="00CC79FE" w:rsidRPr="00FA1BCF" w:rsidTr="00DC19F4">
        <w:trPr>
          <w:tblHeader/>
        </w:trPr>
        <w:tc>
          <w:tcPr>
            <w:tcW w:w="4786" w:type="dxa"/>
            <w:tcBorders>
              <w:top w:val="single" w:sz="8" w:space="0" w:color="000000"/>
              <w:left w:val="single" w:sz="8" w:space="0" w:color="000000"/>
              <w:bottom w:val="single" w:sz="8" w:space="0" w:color="000000"/>
              <w:right w:val="single" w:sz="8" w:space="0" w:color="000000"/>
            </w:tcBorders>
            <w:shd w:val="clear" w:color="auto" w:fill="C0504D" w:themeFill="accent2"/>
            <w:tcMar>
              <w:top w:w="0" w:type="dxa"/>
              <w:left w:w="108" w:type="dxa"/>
              <w:bottom w:w="0" w:type="dxa"/>
              <w:right w:w="108" w:type="dxa"/>
            </w:tcMar>
            <w:hideMark/>
          </w:tcPr>
          <w:p w:rsidR="00CC79FE" w:rsidRPr="00DC19F4" w:rsidRDefault="00084B72">
            <w:pPr>
              <w:pStyle w:val="TableHeading"/>
              <w:rPr>
                <w:color w:val="FFFFFF" w:themeColor="background1"/>
              </w:rPr>
            </w:pPr>
            <w:r w:rsidRPr="00DC19F4">
              <w:rPr>
                <w:color w:val="FFFFFF" w:themeColor="background1"/>
              </w:rPr>
              <w:t>Region/o</w:t>
            </w:r>
            <w:r w:rsidR="00CC79FE" w:rsidRPr="00DC19F4">
              <w:rPr>
                <w:color w:val="FFFFFF" w:themeColor="background1"/>
              </w:rPr>
              <w:t xml:space="preserve">rganisation </w:t>
            </w:r>
          </w:p>
        </w:tc>
        <w:tc>
          <w:tcPr>
            <w:tcW w:w="4536" w:type="dxa"/>
            <w:tcBorders>
              <w:top w:val="single" w:sz="8" w:space="0" w:color="000000"/>
              <w:left w:val="nil"/>
              <w:bottom w:val="single" w:sz="8" w:space="0" w:color="000000"/>
              <w:right w:val="single" w:sz="8" w:space="0" w:color="000000"/>
            </w:tcBorders>
            <w:shd w:val="clear" w:color="auto" w:fill="C0504D" w:themeFill="accent2"/>
            <w:tcMar>
              <w:top w:w="0" w:type="dxa"/>
              <w:left w:w="108" w:type="dxa"/>
              <w:bottom w:w="0" w:type="dxa"/>
              <w:right w:w="108" w:type="dxa"/>
            </w:tcMar>
            <w:hideMark/>
          </w:tcPr>
          <w:p w:rsidR="00CC79FE" w:rsidRPr="00DC19F4" w:rsidRDefault="00CC79FE" w:rsidP="00E622B4">
            <w:pPr>
              <w:pStyle w:val="TableHeading"/>
              <w:rPr>
                <w:color w:val="FFFFFF" w:themeColor="background1"/>
              </w:rPr>
            </w:pPr>
            <w:r w:rsidRPr="00DC19F4">
              <w:rPr>
                <w:color w:val="FFFFFF" w:themeColor="background1"/>
              </w:rPr>
              <w:t xml:space="preserve">Definition of </w:t>
            </w:r>
            <w:r w:rsidR="00084B72" w:rsidRPr="00DC19F4">
              <w:rPr>
                <w:color w:val="FFFFFF" w:themeColor="background1"/>
              </w:rPr>
              <w:t>‘</w:t>
            </w:r>
            <w:r w:rsidRPr="00DC19F4">
              <w:rPr>
                <w:color w:val="FFFFFF" w:themeColor="background1"/>
              </w:rPr>
              <w:t>rare disease</w:t>
            </w:r>
            <w:r w:rsidR="00084B72" w:rsidRPr="00DC19F4">
              <w:rPr>
                <w:color w:val="FFFFFF" w:themeColor="background1"/>
              </w:rPr>
              <w:t>’</w:t>
            </w:r>
          </w:p>
        </w:tc>
      </w:tr>
      <w:tr w:rsidR="00CC79FE" w:rsidRPr="00FA1BCF" w:rsidTr="00E622B4">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C79FE" w:rsidRPr="00FA1BCF" w:rsidRDefault="00CC79FE" w:rsidP="00E622B4">
            <w:pPr>
              <w:pStyle w:val="TableText"/>
              <w:rPr>
                <w:rStyle w:val="TableHeadingChar"/>
                <w:lang w:val="en-GB"/>
              </w:rPr>
            </w:pPr>
            <w:r w:rsidRPr="00FA1BCF">
              <w:rPr>
                <w:rStyle w:val="TableHeadingChar"/>
                <w:lang w:val="en-GB"/>
              </w:rPr>
              <w:t xml:space="preserve">Australia: </w:t>
            </w:r>
            <w:r w:rsidRPr="00FA1BCF">
              <w:rPr>
                <w:rStyle w:val="TableHeadingChar"/>
                <w:b w:val="0"/>
              </w:rPr>
              <w:t>Therapeutic Goods Administration (</w:t>
            </w:r>
            <w:hyperlink w:anchor="_ENREF_16" w:tooltip="Australian Government, 1990 #506" w:history="1">
              <w:r w:rsidRPr="00FA1BCF">
                <w:rPr>
                  <w:rStyle w:val="TableHeadingChar"/>
                  <w:b w:val="0"/>
                </w:rPr>
                <w:t>Australian Government 1990</w:t>
              </w:r>
            </w:hyperlink>
            <w:r w:rsidRPr="00FA1BCF">
              <w:rPr>
                <w:rStyle w:val="TableHeadingChar"/>
                <w:b w:val="0"/>
              </w:rPr>
              <w:t>)</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CC79FE" w:rsidRPr="00FA1BCF" w:rsidRDefault="00CC79FE" w:rsidP="00E622B4">
            <w:pPr>
              <w:pStyle w:val="TableText"/>
              <w:rPr>
                <w:lang w:val="en-GB"/>
              </w:rPr>
            </w:pPr>
            <w:r w:rsidRPr="00FA1BCF">
              <w:rPr>
                <w:lang w:val="en-GB"/>
              </w:rPr>
              <w:t xml:space="preserve">Affects ≤2,000 Australians, </w:t>
            </w:r>
            <w:r w:rsidRPr="00E436E7">
              <w:rPr>
                <w:iCs/>
                <w:lang w:val="en-GB"/>
              </w:rPr>
              <w:t xml:space="preserve">i.e. </w:t>
            </w:r>
            <w:r w:rsidRPr="00FA1BCF">
              <w:rPr>
                <w:lang w:val="en-GB"/>
              </w:rPr>
              <w:t xml:space="preserve">prevalence of about &lt;1 in 10,000 </w:t>
            </w:r>
          </w:p>
        </w:tc>
      </w:tr>
      <w:tr w:rsidR="00CC79FE" w:rsidRPr="00FA1BCF" w:rsidTr="00DC19F4">
        <w:tc>
          <w:tcPr>
            <w:tcW w:w="4786" w:type="dxa"/>
            <w:tcBorders>
              <w:top w:val="nil"/>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hideMark/>
          </w:tcPr>
          <w:p w:rsidR="00CC79FE" w:rsidRPr="00FA1BCF" w:rsidRDefault="00CC79FE" w:rsidP="00E622B4">
            <w:pPr>
              <w:pStyle w:val="TableText"/>
              <w:rPr>
                <w:lang w:val="en-GB"/>
              </w:rPr>
            </w:pPr>
            <w:r w:rsidRPr="00FA1BCF">
              <w:rPr>
                <w:rStyle w:val="TableHeadingChar"/>
                <w:lang w:val="en-GB"/>
              </w:rPr>
              <w:t>Ontario, Canada</w:t>
            </w:r>
            <w:r w:rsidRPr="00FA1BCF">
              <w:rPr>
                <w:lang w:val="en-GB"/>
              </w:rPr>
              <w:t xml:space="preserve"> (Ontario Public Drug Programs) (</w:t>
            </w:r>
            <w:hyperlink w:anchor="_ENREF_45" w:tooltip="Canadian Agency for Drugs and Technologies in Health, 2013 #150" w:history="1">
              <w:r w:rsidRPr="00D6583F">
                <w:t>Canadian Agency for Drugs and Technologies in Health 2013</w:t>
              </w:r>
            </w:hyperlink>
            <w:r w:rsidRPr="00FA1BCF">
              <w:rPr>
                <w:lang w:val="en-GB"/>
              </w:rPr>
              <w:t>)</w:t>
            </w:r>
          </w:p>
        </w:tc>
        <w:tc>
          <w:tcPr>
            <w:tcW w:w="4536" w:type="dxa"/>
            <w:tcBorders>
              <w:top w:val="nil"/>
              <w:left w:val="nil"/>
              <w:bottom w:val="single" w:sz="8" w:space="0" w:color="000000"/>
              <w:right w:val="single" w:sz="8" w:space="0" w:color="000000"/>
            </w:tcBorders>
            <w:shd w:val="clear" w:color="auto" w:fill="EAF1DD" w:themeFill="accent3" w:themeFillTint="33"/>
            <w:tcMar>
              <w:top w:w="0" w:type="dxa"/>
              <w:left w:w="108" w:type="dxa"/>
              <w:bottom w:w="0" w:type="dxa"/>
              <w:right w:w="108" w:type="dxa"/>
            </w:tcMar>
            <w:hideMark/>
          </w:tcPr>
          <w:p w:rsidR="00CC79FE" w:rsidRPr="00FA1BCF" w:rsidRDefault="00CC79FE" w:rsidP="00E622B4">
            <w:pPr>
              <w:pStyle w:val="TableText"/>
              <w:rPr>
                <w:lang w:val="en-GB"/>
              </w:rPr>
            </w:pPr>
            <w:r w:rsidRPr="00FA1BCF">
              <w:rPr>
                <w:lang w:val="en-GB"/>
              </w:rPr>
              <w:t>Incidence rate of &lt;1:150,000 live births or new diagnoses per year</w:t>
            </w:r>
          </w:p>
        </w:tc>
      </w:tr>
      <w:tr w:rsidR="00CC79FE" w:rsidRPr="00FA1BCF" w:rsidTr="00E622B4">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C79FE" w:rsidRPr="00FA1BCF" w:rsidRDefault="00CC79FE" w:rsidP="00E622B4">
            <w:pPr>
              <w:pStyle w:val="TableText"/>
              <w:rPr>
                <w:lang w:val="en-GB"/>
              </w:rPr>
            </w:pPr>
            <w:r w:rsidRPr="00FA1BCF">
              <w:rPr>
                <w:rStyle w:val="TableHeadingChar"/>
                <w:lang w:val="en-GB"/>
              </w:rPr>
              <w:t>Alberta, Canada:</w:t>
            </w:r>
            <w:r w:rsidRPr="00FA1BCF">
              <w:rPr>
                <w:lang w:val="en-GB"/>
              </w:rPr>
              <w:t xml:space="preserve"> Alberta Human Services </w:t>
            </w:r>
            <w:r w:rsidRPr="00D6583F">
              <w:t>(</w:t>
            </w:r>
            <w:hyperlink w:anchor="_ENREF_5" w:tooltip="Alberta Health and Wellness, 2008 #145" w:history="1">
              <w:r w:rsidRPr="00D6583F">
                <w:t>Alberta Health and Wellness 2008</w:t>
              </w:r>
            </w:hyperlink>
            <w:r w:rsidRPr="00D6583F">
              <w:t xml:space="preserve">; </w:t>
            </w:r>
            <w:hyperlink w:anchor="_ENREF_45" w:tooltip="Canadian Agency for Drugs and Technologies in Health, 2013 #150" w:history="1">
              <w:r w:rsidRPr="00D6583F">
                <w:t>Canadian Agency for Drugs and Technologies in Health 2013</w:t>
              </w:r>
            </w:hyperlink>
            <w:r w:rsidRPr="00FA1BCF">
              <w:rPr>
                <w:lang w:val="en-GB"/>
              </w:rPr>
              <w:t>)</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CC79FE" w:rsidRPr="00FA1BCF" w:rsidRDefault="00CC79FE" w:rsidP="00E622B4">
            <w:pPr>
              <w:pStyle w:val="TableText"/>
              <w:rPr>
                <w:lang w:val="en-GB"/>
              </w:rPr>
            </w:pPr>
            <w:r w:rsidRPr="00FA1BCF">
              <w:rPr>
                <w:lang w:val="en-GB"/>
              </w:rPr>
              <w:t xml:space="preserve">Genetic lysosomal storage disorders occurring &lt;1 in 50,000 Canadians </w:t>
            </w:r>
          </w:p>
        </w:tc>
      </w:tr>
      <w:tr w:rsidR="00CC79FE" w:rsidRPr="00FA1BCF" w:rsidTr="00DC19F4">
        <w:tc>
          <w:tcPr>
            <w:tcW w:w="4786" w:type="dxa"/>
            <w:tcBorders>
              <w:top w:val="nil"/>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hideMark/>
          </w:tcPr>
          <w:p w:rsidR="00CC79FE" w:rsidRPr="00FA1BCF" w:rsidRDefault="00CC79FE" w:rsidP="00E622B4">
            <w:pPr>
              <w:pStyle w:val="TableText"/>
              <w:rPr>
                <w:lang w:val="en-GB"/>
              </w:rPr>
            </w:pPr>
            <w:r w:rsidRPr="00FA1BCF">
              <w:rPr>
                <w:rStyle w:val="TableHeadingChar"/>
                <w:lang w:val="en-GB"/>
              </w:rPr>
              <w:t>European Medicines Agency</w:t>
            </w:r>
            <w:r w:rsidRPr="00FA1BCF">
              <w:rPr>
                <w:lang w:val="en-GB"/>
              </w:rPr>
              <w:t xml:space="preserve"> (</w:t>
            </w:r>
            <w:hyperlink w:anchor="_ENREF_45" w:tooltip="Canadian Agency for Drugs and Technologies in Health, 2013 #150" w:history="1">
              <w:r w:rsidRPr="00D6583F">
                <w:t>Canadian Agency for Drugs and Technologies in Health 2013</w:t>
              </w:r>
            </w:hyperlink>
            <w:r w:rsidRPr="00D6583F">
              <w:t>)</w:t>
            </w:r>
          </w:p>
        </w:tc>
        <w:tc>
          <w:tcPr>
            <w:tcW w:w="4536" w:type="dxa"/>
            <w:tcBorders>
              <w:top w:val="nil"/>
              <w:left w:val="nil"/>
              <w:bottom w:val="single" w:sz="8" w:space="0" w:color="000000"/>
              <w:right w:val="single" w:sz="8" w:space="0" w:color="000000"/>
            </w:tcBorders>
            <w:shd w:val="clear" w:color="auto" w:fill="EAF1DD" w:themeFill="accent3" w:themeFillTint="33"/>
            <w:tcMar>
              <w:top w:w="0" w:type="dxa"/>
              <w:left w:w="108" w:type="dxa"/>
              <w:bottom w:w="0" w:type="dxa"/>
              <w:right w:w="108" w:type="dxa"/>
            </w:tcMar>
            <w:hideMark/>
          </w:tcPr>
          <w:p w:rsidR="00CC79FE" w:rsidRPr="00FA1BCF" w:rsidRDefault="00CC79FE" w:rsidP="00E622B4">
            <w:pPr>
              <w:pStyle w:val="TableText"/>
              <w:rPr>
                <w:lang w:val="en-GB"/>
              </w:rPr>
            </w:pPr>
            <w:r w:rsidRPr="00FA1BCF">
              <w:rPr>
                <w:lang w:val="en-GB"/>
              </w:rPr>
              <w:t>Prevalence of &lt;5 in 10,000</w:t>
            </w:r>
          </w:p>
        </w:tc>
      </w:tr>
      <w:tr w:rsidR="00CC79FE" w:rsidRPr="00FA1BCF" w:rsidTr="00E622B4">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C79FE" w:rsidRPr="00FA1BCF" w:rsidRDefault="00CC79FE" w:rsidP="00E622B4">
            <w:pPr>
              <w:pStyle w:val="TableText"/>
              <w:rPr>
                <w:lang w:val="en-GB"/>
              </w:rPr>
            </w:pPr>
            <w:r w:rsidRPr="00FA1BCF">
              <w:rPr>
                <w:rStyle w:val="TableHeadingChar"/>
                <w:lang w:val="en-GB"/>
              </w:rPr>
              <w:t>Sweden</w:t>
            </w:r>
            <w:r w:rsidRPr="00FA1BCF">
              <w:rPr>
                <w:lang w:val="en-GB"/>
              </w:rPr>
              <w:t xml:space="preserve">: Swedish National Health Service </w:t>
            </w:r>
            <w:r w:rsidRPr="00D6583F">
              <w:t>(</w:t>
            </w:r>
            <w:proofErr w:type="spellStart"/>
            <w:r w:rsidR="007D0125">
              <w:fldChar w:fldCharType="begin"/>
            </w:r>
            <w:r w:rsidR="007D0125">
              <w:instrText xml:space="preserve"> HYPERLINK \l "_ENREF_309" \o "Visschers, 2011 #217" </w:instrText>
            </w:r>
            <w:r w:rsidR="007D0125">
              <w:fldChar w:fldCharType="separate"/>
            </w:r>
            <w:r w:rsidRPr="00D6583F">
              <w:t>Visschers</w:t>
            </w:r>
            <w:proofErr w:type="spellEnd"/>
            <w:r w:rsidRPr="00D6583F">
              <w:t xml:space="preserve">, van </w:t>
            </w:r>
            <w:proofErr w:type="spellStart"/>
            <w:r w:rsidRPr="00D6583F">
              <w:t>Gemert</w:t>
            </w:r>
            <w:proofErr w:type="spellEnd"/>
            <w:r w:rsidRPr="00D6583F">
              <w:t xml:space="preserve"> &amp; </w:t>
            </w:r>
            <w:proofErr w:type="spellStart"/>
            <w:r w:rsidRPr="00D6583F">
              <w:t>Olde</w:t>
            </w:r>
            <w:proofErr w:type="spellEnd"/>
            <w:r w:rsidRPr="00D6583F">
              <w:t xml:space="preserve"> </w:t>
            </w:r>
            <w:proofErr w:type="spellStart"/>
            <w:r w:rsidRPr="00D6583F">
              <w:t>Damink</w:t>
            </w:r>
            <w:proofErr w:type="spellEnd"/>
            <w:r w:rsidRPr="00D6583F">
              <w:t xml:space="preserve"> 2011</w:t>
            </w:r>
            <w:r w:rsidR="007D0125">
              <w:fldChar w:fldCharType="end"/>
            </w:r>
            <w:r w:rsidRPr="00D6583F">
              <w:t>)</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CC79FE" w:rsidRPr="00FA1BCF" w:rsidRDefault="00CC79FE" w:rsidP="00E622B4">
            <w:pPr>
              <w:pStyle w:val="TableText"/>
              <w:rPr>
                <w:lang w:val="en-GB"/>
              </w:rPr>
            </w:pPr>
            <w:r w:rsidRPr="00FA1BCF">
              <w:rPr>
                <w:lang w:val="en-GB"/>
              </w:rPr>
              <w:t>Prevalence of &lt;1 in 10,000</w:t>
            </w:r>
          </w:p>
        </w:tc>
      </w:tr>
      <w:tr w:rsidR="00CC79FE" w:rsidRPr="00FA1BCF" w:rsidTr="00DC19F4">
        <w:tc>
          <w:tcPr>
            <w:tcW w:w="4786" w:type="dxa"/>
            <w:tcBorders>
              <w:top w:val="nil"/>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hideMark/>
          </w:tcPr>
          <w:p w:rsidR="00CC79FE" w:rsidRPr="00FA1BCF" w:rsidRDefault="00CC79FE" w:rsidP="00E622B4">
            <w:pPr>
              <w:pStyle w:val="TableText"/>
              <w:rPr>
                <w:lang w:val="en-GB"/>
              </w:rPr>
            </w:pPr>
            <w:r w:rsidRPr="00FA1BCF">
              <w:rPr>
                <w:rStyle w:val="TableHeadingChar"/>
                <w:lang w:val="en-GB"/>
              </w:rPr>
              <w:t>United Kingdom:</w:t>
            </w:r>
            <w:r w:rsidRPr="00FA1BCF">
              <w:rPr>
                <w:lang w:val="en-GB"/>
              </w:rPr>
              <w:t xml:space="preserve"> National Institute for Clinical Excellence </w:t>
            </w:r>
            <w:r w:rsidRPr="00D6583F">
              <w:t>(</w:t>
            </w:r>
            <w:proofErr w:type="spellStart"/>
            <w:r w:rsidR="007D0125">
              <w:fldChar w:fldCharType="begin"/>
            </w:r>
            <w:r w:rsidR="007D0125">
              <w:instrText xml:space="preserve"> HYPERLINK \l "_ENREF_236" \o "Picavet, 2013 #198" </w:instrText>
            </w:r>
            <w:r w:rsidR="007D0125">
              <w:fldChar w:fldCharType="separate"/>
            </w:r>
            <w:r w:rsidRPr="00D6583F">
              <w:t>Picavet</w:t>
            </w:r>
            <w:proofErr w:type="spellEnd"/>
            <w:r w:rsidRPr="00D6583F">
              <w:t xml:space="preserve">, </w:t>
            </w:r>
            <w:proofErr w:type="spellStart"/>
            <w:r w:rsidRPr="00D6583F">
              <w:t>Cassiman</w:t>
            </w:r>
            <w:proofErr w:type="spellEnd"/>
            <w:r w:rsidRPr="00D6583F">
              <w:t xml:space="preserve"> &amp; </w:t>
            </w:r>
            <w:proofErr w:type="spellStart"/>
            <w:r w:rsidRPr="00D6583F">
              <w:t>Simoens</w:t>
            </w:r>
            <w:proofErr w:type="spellEnd"/>
            <w:r w:rsidRPr="00D6583F">
              <w:t xml:space="preserve"> 2013</w:t>
            </w:r>
            <w:r w:rsidR="007D0125">
              <w:fldChar w:fldCharType="end"/>
            </w:r>
            <w:r w:rsidRPr="00FA1BCF">
              <w:rPr>
                <w:lang w:val="en-GB"/>
              </w:rPr>
              <w:t>)</w:t>
            </w:r>
          </w:p>
        </w:tc>
        <w:tc>
          <w:tcPr>
            <w:tcW w:w="4536" w:type="dxa"/>
            <w:tcBorders>
              <w:top w:val="nil"/>
              <w:left w:val="nil"/>
              <w:bottom w:val="single" w:sz="8" w:space="0" w:color="000000"/>
              <w:right w:val="single" w:sz="8" w:space="0" w:color="000000"/>
            </w:tcBorders>
            <w:shd w:val="clear" w:color="auto" w:fill="EAF1DD" w:themeFill="accent3" w:themeFillTint="33"/>
            <w:tcMar>
              <w:top w:w="0" w:type="dxa"/>
              <w:left w:w="108" w:type="dxa"/>
              <w:bottom w:w="0" w:type="dxa"/>
              <w:right w:w="108" w:type="dxa"/>
            </w:tcMar>
            <w:hideMark/>
          </w:tcPr>
          <w:p w:rsidR="00CC79FE" w:rsidRPr="00FA1BCF" w:rsidRDefault="00CC79FE" w:rsidP="00E622B4">
            <w:pPr>
              <w:pStyle w:val="TableText"/>
              <w:rPr>
                <w:lang w:val="en-GB"/>
              </w:rPr>
            </w:pPr>
            <w:r w:rsidRPr="00FA1BCF">
              <w:rPr>
                <w:lang w:val="en-GB"/>
              </w:rPr>
              <w:t>Affects &lt;</w:t>
            </w:r>
            <w:r w:rsidR="00001CB8">
              <w:rPr>
                <w:lang w:val="en-GB"/>
              </w:rPr>
              <w:t>1</w:t>
            </w:r>
            <w:r w:rsidRPr="00FA1BCF">
              <w:rPr>
                <w:lang w:val="en-GB"/>
              </w:rPr>
              <w:t xml:space="preserve">000 people in England and Wales, </w:t>
            </w:r>
            <w:r w:rsidRPr="00E436E7">
              <w:rPr>
                <w:iCs/>
                <w:lang w:val="en-GB"/>
              </w:rPr>
              <w:t xml:space="preserve">i.e. </w:t>
            </w:r>
            <w:r w:rsidRPr="00FA1BCF">
              <w:rPr>
                <w:lang w:val="en-GB"/>
              </w:rPr>
              <w:t>prevalence of &lt;1 in 50,000</w:t>
            </w:r>
            <w:r w:rsidRPr="00FA1BCF">
              <w:rPr>
                <w:vertAlign w:val="superscript"/>
                <w:lang w:val="en-GB"/>
              </w:rPr>
              <w:t>a</w:t>
            </w:r>
          </w:p>
        </w:tc>
      </w:tr>
      <w:tr w:rsidR="00CC79FE" w:rsidRPr="00FA1BCF" w:rsidTr="00E622B4">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C79FE" w:rsidRPr="00FA1BCF" w:rsidRDefault="00CC79FE" w:rsidP="00E622B4">
            <w:pPr>
              <w:pStyle w:val="TableText"/>
              <w:rPr>
                <w:lang w:val="en-GB"/>
              </w:rPr>
            </w:pPr>
            <w:r w:rsidRPr="00FA1BCF">
              <w:rPr>
                <w:rStyle w:val="TableHeadingChar"/>
                <w:lang w:val="en-GB"/>
              </w:rPr>
              <w:t>United States</w:t>
            </w:r>
            <w:r w:rsidRPr="00FA1BCF">
              <w:rPr>
                <w:lang w:val="en-GB"/>
              </w:rPr>
              <w:t>: Food and Drug Administration (</w:t>
            </w:r>
            <w:hyperlink w:anchor="_ENREF_309" w:tooltip="Visschers, 2011 #217" w:history="1">
              <w:proofErr w:type="spellStart"/>
              <w:r w:rsidRPr="00D6583F">
                <w:t>Visschers</w:t>
              </w:r>
              <w:proofErr w:type="spellEnd"/>
              <w:r w:rsidRPr="00D6583F">
                <w:t xml:space="preserve">, van </w:t>
              </w:r>
              <w:proofErr w:type="spellStart"/>
              <w:r w:rsidRPr="00D6583F">
                <w:t>Gemert</w:t>
              </w:r>
              <w:proofErr w:type="spellEnd"/>
              <w:r w:rsidRPr="00D6583F">
                <w:t xml:space="preserve"> &amp; </w:t>
              </w:r>
              <w:proofErr w:type="spellStart"/>
              <w:r w:rsidRPr="00D6583F">
                <w:t>Olde</w:t>
              </w:r>
              <w:proofErr w:type="spellEnd"/>
              <w:r w:rsidRPr="00D6583F">
                <w:t xml:space="preserve"> </w:t>
              </w:r>
              <w:proofErr w:type="spellStart"/>
              <w:r w:rsidRPr="00D6583F">
                <w:t>Damink</w:t>
              </w:r>
              <w:proofErr w:type="spellEnd"/>
              <w:r w:rsidRPr="00D6583F">
                <w:t xml:space="preserve"> 2011</w:t>
              </w:r>
            </w:hyperlink>
            <w:r w:rsidRPr="00D6583F">
              <w:t>)</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CC79FE" w:rsidRPr="00FA1BCF" w:rsidRDefault="00CC79FE" w:rsidP="00E622B4">
            <w:pPr>
              <w:pStyle w:val="TableText"/>
              <w:rPr>
                <w:lang w:val="en-GB"/>
              </w:rPr>
            </w:pPr>
            <w:r w:rsidRPr="00FA1BCF">
              <w:rPr>
                <w:lang w:val="en-GB"/>
              </w:rPr>
              <w:t xml:space="preserve">Affects &lt;200,000 Americans, </w:t>
            </w:r>
            <w:r w:rsidRPr="00E436E7">
              <w:rPr>
                <w:iCs/>
                <w:lang w:val="en-GB"/>
              </w:rPr>
              <w:t>i.e.</w:t>
            </w:r>
            <w:r w:rsidRPr="00FA1BCF">
              <w:rPr>
                <w:lang w:val="en-GB"/>
              </w:rPr>
              <w:t xml:space="preserve"> prevalence of &lt;1 in 1,500</w:t>
            </w:r>
          </w:p>
        </w:tc>
      </w:tr>
      <w:tr w:rsidR="00CC79FE" w:rsidRPr="00FA1BCF" w:rsidTr="00DC19F4">
        <w:tc>
          <w:tcPr>
            <w:tcW w:w="4786" w:type="dxa"/>
            <w:tcBorders>
              <w:top w:val="nil"/>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hideMark/>
          </w:tcPr>
          <w:p w:rsidR="00CC79FE" w:rsidRPr="00FA1BCF" w:rsidRDefault="00CC79FE">
            <w:pPr>
              <w:pStyle w:val="TableText"/>
              <w:rPr>
                <w:lang w:val="en-GB"/>
              </w:rPr>
            </w:pPr>
            <w:r w:rsidRPr="00FA1BCF">
              <w:rPr>
                <w:rStyle w:val="TableHeadingChar"/>
                <w:lang w:val="en-GB"/>
              </w:rPr>
              <w:t>Japan</w:t>
            </w:r>
            <w:r w:rsidRPr="00E436E7">
              <w:rPr>
                <w:b/>
                <w:lang w:val="en-GB"/>
              </w:rPr>
              <w:t>:</w:t>
            </w:r>
            <w:r w:rsidRPr="00FA1BCF">
              <w:rPr>
                <w:lang w:val="en-GB"/>
              </w:rPr>
              <w:t xml:space="preserve"> Ministry of Health, Labour and Welfare (</w:t>
            </w:r>
            <w:hyperlink w:anchor="_ENREF_99" w:tooltip="Gao, 2013 #161" w:history="1">
              <w:r w:rsidRPr="00D6583F">
                <w:t>Gao, Song &amp; Tang 2013</w:t>
              </w:r>
            </w:hyperlink>
            <w:r w:rsidRPr="00D6583F">
              <w:t>)</w:t>
            </w:r>
          </w:p>
        </w:tc>
        <w:tc>
          <w:tcPr>
            <w:tcW w:w="4536" w:type="dxa"/>
            <w:tcBorders>
              <w:top w:val="nil"/>
              <w:left w:val="nil"/>
              <w:bottom w:val="single" w:sz="8" w:space="0" w:color="000000"/>
              <w:right w:val="single" w:sz="8" w:space="0" w:color="000000"/>
            </w:tcBorders>
            <w:shd w:val="clear" w:color="auto" w:fill="EAF1DD" w:themeFill="accent3" w:themeFillTint="33"/>
            <w:tcMar>
              <w:top w:w="0" w:type="dxa"/>
              <w:left w:w="108" w:type="dxa"/>
              <w:bottom w:w="0" w:type="dxa"/>
              <w:right w:w="108" w:type="dxa"/>
            </w:tcMar>
            <w:hideMark/>
          </w:tcPr>
          <w:p w:rsidR="00CC79FE" w:rsidRPr="00FA1BCF" w:rsidRDefault="00CC79FE" w:rsidP="00E622B4">
            <w:pPr>
              <w:pStyle w:val="TableText"/>
              <w:rPr>
                <w:lang w:val="en-GB"/>
              </w:rPr>
            </w:pPr>
            <w:r w:rsidRPr="00FA1BCF">
              <w:rPr>
                <w:lang w:val="en-GB"/>
              </w:rPr>
              <w:t xml:space="preserve">Affects &lt;50,000 people in Japan, </w:t>
            </w:r>
            <w:r w:rsidRPr="00E436E7">
              <w:rPr>
                <w:iCs/>
                <w:lang w:val="en-GB"/>
              </w:rPr>
              <w:t xml:space="preserve">i.e. </w:t>
            </w:r>
            <w:r w:rsidRPr="00FA1BCF">
              <w:rPr>
                <w:lang w:val="en-GB"/>
              </w:rPr>
              <w:t>prevalence of &lt;4 in 10,000</w:t>
            </w:r>
          </w:p>
        </w:tc>
      </w:tr>
      <w:tr w:rsidR="00CC79FE" w:rsidRPr="00FA1BCF" w:rsidTr="00E622B4">
        <w:trPr>
          <w:trHeight w:val="1059"/>
        </w:trPr>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C79FE" w:rsidRPr="00FA1BCF" w:rsidRDefault="00CC79FE">
            <w:pPr>
              <w:pStyle w:val="TableText"/>
              <w:rPr>
                <w:lang w:val="en-GB"/>
              </w:rPr>
            </w:pPr>
            <w:r w:rsidRPr="00FA1BCF">
              <w:rPr>
                <w:rStyle w:val="TableHeadingChar"/>
                <w:lang w:val="en-GB"/>
              </w:rPr>
              <w:t>South Korea</w:t>
            </w:r>
            <w:r w:rsidRPr="00E436E7">
              <w:rPr>
                <w:b/>
                <w:lang w:val="en-GB"/>
              </w:rPr>
              <w:t xml:space="preserve">: </w:t>
            </w:r>
            <w:r w:rsidRPr="00FA1BCF">
              <w:rPr>
                <w:lang w:val="en-GB"/>
              </w:rPr>
              <w:t>Ministry of Food and Drug Safety, formerly known as the Korean Food and Drug Administration (</w:t>
            </w:r>
            <w:hyperlink w:anchor="_ENREF_99" w:tooltip="Gao, 2013 #161" w:history="1">
              <w:r w:rsidRPr="00D6583F">
                <w:t>Gao, Song &amp; Tang 2013</w:t>
              </w:r>
            </w:hyperlink>
            <w:r w:rsidRPr="00D6583F">
              <w:t>)</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CC79FE" w:rsidRPr="00FA1BCF" w:rsidRDefault="00CC79FE" w:rsidP="00E622B4">
            <w:pPr>
              <w:pStyle w:val="TableText"/>
              <w:rPr>
                <w:lang w:val="en-GB"/>
              </w:rPr>
            </w:pPr>
            <w:r w:rsidRPr="00FA1BCF">
              <w:rPr>
                <w:lang w:val="en-GB"/>
              </w:rPr>
              <w:t xml:space="preserve">Affects &lt;20,000 people in Korea, </w:t>
            </w:r>
            <w:r w:rsidRPr="00E436E7">
              <w:rPr>
                <w:iCs/>
                <w:lang w:val="en-GB"/>
              </w:rPr>
              <w:t xml:space="preserve">i.e. </w:t>
            </w:r>
            <w:r w:rsidRPr="00FA1BCF">
              <w:rPr>
                <w:lang w:val="en-GB"/>
              </w:rPr>
              <w:t>prevalence of &lt;4 in 10,000</w:t>
            </w:r>
          </w:p>
        </w:tc>
      </w:tr>
      <w:tr w:rsidR="00CC79FE" w:rsidRPr="00FA1BCF" w:rsidTr="00DC19F4">
        <w:tc>
          <w:tcPr>
            <w:tcW w:w="4786" w:type="dxa"/>
            <w:tcBorders>
              <w:top w:val="nil"/>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hideMark/>
          </w:tcPr>
          <w:p w:rsidR="00CC79FE" w:rsidRPr="00FA1BCF" w:rsidRDefault="00CC79FE" w:rsidP="00E622B4">
            <w:pPr>
              <w:pStyle w:val="TableText"/>
              <w:rPr>
                <w:lang w:val="en-GB"/>
              </w:rPr>
            </w:pPr>
            <w:r w:rsidRPr="00FA1BCF">
              <w:rPr>
                <w:rStyle w:val="TableHeadingChar"/>
                <w:lang w:val="en-GB"/>
              </w:rPr>
              <w:t>China</w:t>
            </w:r>
            <w:r w:rsidRPr="00FA1BCF">
              <w:rPr>
                <w:lang w:val="en-GB"/>
              </w:rPr>
              <w:t xml:space="preserve"> (</w:t>
            </w:r>
            <w:hyperlink w:anchor="_ENREF_187" w:tooltip="Ma, 2011 #191" w:history="1">
              <w:r w:rsidRPr="00D6583F">
                <w:t>Ma et al. 2011</w:t>
              </w:r>
            </w:hyperlink>
            <w:r w:rsidRPr="00D6583F">
              <w:t xml:space="preserve">; </w:t>
            </w:r>
            <w:hyperlink w:anchor="_ENREF_272" w:tooltip="Song, 2012 #213" w:history="1">
              <w:r w:rsidRPr="00D6583F">
                <w:t>Song et al. 2012</w:t>
              </w:r>
            </w:hyperlink>
            <w:r w:rsidRPr="00D6583F">
              <w:t>)</w:t>
            </w:r>
          </w:p>
        </w:tc>
        <w:tc>
          <w:tcPr>
            <w:tcW w:w="4536" w:type="dxa"/>
            <w:tcBorders>
              <w:top w:val="nil"/>
              <w:left w:val="nil"/>
              <w:bottom w:val="single" w:sz="8" w:space="0" w:color="000000"/>
              <w:right w:val="single" w:sz="8" w:space="0" w:color="000000"/>
            </w:tcBorders>
            <w:shd w:val="clear" w:color="auto" w:fill="EAF1DD" w:themeFill="accent3" w:themeFillTint="33"/>
            <w:tcMar>
              <w:top w:w="0" w:type="dxa"/>
              <w:left w:w="108" w:type="dxa"/>
              <w:bottom w:w="0" w:type="dxa"/>
              <w:right w:w="108" w:type="dxa"/>
            </w:tcMar>
            <w:hideMark/>
          </w:tcPr>
          <w:p w:rsidR="00CC79FE" w:rsidRPr="00FA1BCF" w:rsidRDefault="00CC79FE" w:rsidP="00E622B4">
            <w:pPr>
              <w:pStyle w:val="TableText"/>
              <w:rPr>
                <w:szCs w:val="20"/>
                <w:lang w:val="en-GB"/>
              </w:rPr>
            </w:pPr>
            <w:r w:rsidRPr="00FA1BCF">
              <w:rPr>
                <w:lang w:val="en-GB"/>
              </w:rPr>
              <w:t>Rare disease not clearly defined by legislation</w:t>
            </w:r>
          </w:p>
          <w:p w:rsidR="00CC79FE" w:rsidRPr="00FA1BCF" w:rsidRDefault="00CC79FE" w:rsidP="00E622B4">
            <w:pPr>
              <w:pStyle w:val="TableText"/>
              <w:rPr>
                <w:lang w:val="en-GB"/>
              </w:rPr>
            </w:pPr>
            <w:r w:rsidRPr="00FA1BCF">
              <w:rPr>
                <w:lang w:val="en-GB"/>
              </w:rPr>
              <w:t>Consensus on the definition of rare disease:</w:t>
            </w:r>
            <w:r w:rsidR="00B56F35" w:rsidRPr="00FA1BCF">
              <w:rPr>
                <w:lang w:val="en-GB"/>
              </w:rPr>
              <w:t xml:space="preserve"> </w:t>
            </w:r>
            <w:r w:rsidRPr="00FA1BCF">
              <w:rPr>
                <w:lang w:val="en-GB"/>
              </w:rPr>
              <w:t>prevalen</w:t>
            </w:r>
            <w:r w:rsidR="00441F09" w:rsidRPr="00FA1BCF">
              <w:rPr>
                <w:lang w:val="en-GB"/>
              </w:rPr>
              <w:t>ce</w:t>
            </w:r>
            <w:r w:rsidRPr="00FA1BCF">
              <w:rPr>
                <w:lang w:val="en-GB"/>
              </w:rPr>
              <w:t xml:space="preserve"> of &lt;1 in 500,000 or neonatal incidence of &lt;1 in 10,000</w:t>
            </w:r>
          </w:p>
        </w:tc>
      </w:tr>
    </w:tbl>
    <w:p w:rsidR="0054315F" w:rsidRPr="0054315F" w:rsidRDefault="0054315F" w:rsidP="0054315F">
      <w:pPr>
        <w:pStyle w:val="TableNote"/>
      </w:pPr>
      <w:proofErr w:type="gramStart"/>
      <w:r w:rsidRPr="00DC19F4">
        <w:rPr>
          <w:b/>
          <w:vertAlign w:val="superscript"/>
        </w:rPr>
        <w:t>a</w:t>
      </w:r>
      <w:proofErr w:type="gramEnd"/>
      <w:r w:rsidRPr="00CE188E">
        <w:t xml:space="preserve"> Definition of ultra-rare disease</w:t>
      </w:r>
      <w:r w:rsidR="00491886">
        <w:t>.</w:t>
      </w:r>
    </w:p>
    <w:p w:rsidR="00CC79FE" w:rsidRPr="00FA1BCF" w:rsidRDefault="00CC79FE" w:rsidP="00E436E7">
      <w:pPr>
        <w:pStyle w:val="TableNote"/>
        <w:rPr>
          <w:szCs w:val="24"/>
        </w:rPr>
      </w:pPr>
      <w:r w:rsidRPr="00FA1BCF">
        <w:rPr>
          <w:rFonts w:eastAsiaTheme="majorEastAsia"/>
        </w:rPr>
        <w:t>Source: Table 137, Life Saving Drugs Programme Review: Technical Assessment, April 2015, p</w:t>
      </w:r>
      <w:r w:rsidR="00441F09" w:rsidRPr="00FA1BCF">
        <w:rPr>
          <w:rFonts w:eastAsiaTheme="majorEastAsia"/>
        </w:rPr>
        <w:t>.</w:t>
      </w:r>
      <w:r w:rsidRPr="00FA1BCF">
        <w:rPr>
          <w:rFonts w:eastAsiaTheme="majorEastAsia"/>
        </w:rPr>
        <w:t xml:space="preserve"> 23</w:t>
      </w:r>
      <w:r w:rsidR="0054315F">
        <w:rPr>
          <w:rFonts w:eastAsiaTheme="majorEastAsia"/>
        </w:rPr>
        <w:t>2</w:t>
      </w:r>
      <w:r w:rsidR="00897318" w:rsidRPr="00FA1BCF">
        <w:rPr>
          <w:rFonts w:eastAsiaTheme="majorEastAsia"/>
        </w:rPr>
        <w:t>.</w:t>
      </w:r>
    </w:p>
    <w:p w:rsidR="00CC79FE" w:rsidRPr="00FA1BCF" w:rsidRDefault="00CC79FE" w:rsidP="00CC79FE">
      <w:pPr>
        <w:jc w:val="both"/>
        <w:rPr>
          <w:rFonts w:eastAsia="Times New Roman" w:cs="Times New Roman"/>
          <w:szCs w:val="24"/>
          <w:lang w:eastAsia="en-AU"/>
        </w:rPr>
      </w:pPr>
    </w:p>
    <w:p w:rsidR="00813427" w:rsidRPr="00FA1BCF" w:rsidRDefault="00813427">
      <w:pPr>
        <w:rPr>
          <w:rFonts w:eastAsia="Times New Roman" w:cs="Times New Roman"/>
          <w:b/>
          <w:i/>
          <w:sz w:val="36"/>
          <w:szCs w:val="36"/>
          <w:lang w:eastAsia="en-AU"/>
        </w:rPr>
      </w:pPr>
      <w:r w:rsidRPr="00FA1BCF">
        <w:rPr>
          <w:rFonts w:eastAsia="Times New Roman" w:cs="Times New Roman"/>
          <w:b/>
          <w:i/>
          <w:sz w:val="36"/>
          <w:szCs w:val="36"/>
          <w:lang w:eastAsia="en-AU"/>
        </w:rPr>
        <w:br w:type="page"/>
      </w:r>
    </w:p>
    <w:p w:rsidR="00CC79FE" w:rsidRPr="00FA1BCF" w:rsidRDefault="00CC79FE" w:rsidP="00E436E7">
      <w:pPr>
        <w:pStyle w:val="Heading2"/>
        <w:rPr>
          <w:lang w:eastAsia="en-AU"/>
        </w:rPr>
      </w:pPr>
      <w:bookmarkStart w:id="22" w:name="_Toc302625580"/>
      <w:r w:rsidRPr="00FA1BCF">
        <w:rPr>
          <w:lang w:eastAsia="en-AU"/>
        </w:rPr>
        <w:lastRenderedPageBreak/>
        <w:t xml:space="preserve">5.2. </w:t>
      </w:r>
      <w:r w:rsidR="008431F9" w:rsidRPr="00FA1BCF">
        <w:rPr>
          <w:lang w:eastAsia="en-AU"/>
        </w:rPr>
        <w:t>D</w:t>
      </w:r>
      <w:r w:rsidRPr="00FA1BCF">
        <w:rPr>
          <w:lang w:eastAsia="en-AU"/>
        </w:rPr>
        <w:t xml:space="preserve">issolution of the </w:t>
      </w:r>
      <w:r w:rsidR="008431F9" w:rsidRPr="00FA1BCF">
        <w:rPr>
          <w:lang w:eastAsia="en-AU"/>
        </w:rPr>
        <w:t>d</w:t>
      </w:r>
      <w:r w:rsidRPr="00FA1BCF">
        <w:rPr>
          <w:lang w:eastAsia="en-AU"/>
        </w:rPr>
        <w:t xml:space="preserve">isease </w:t>
      </w:r>
      <w:r w:rsidR="008431F9" w:rsidRPr="00FA1BCF">
        <w:rPr>
          <w:lang w:eastAsia="en-AU"/>
        </w:rPr>
        <w:t>a</w:t>
      </w:r>
      <w:r w:rsidRPr="00FA1BCF">
        <w:rPr>
          <w:lang w:eastAsia="en-AU"/>
        </w:rPr>
        <w:t xml:space="preserve">dvisory </w:t>
      </w:r>
      <w:r w:rsidR="008431F9" w:rsidRPr="00FA1BCF">
        <w:rPr>
          <w:lang w:eastAsia="en-AU"/>
        </w:rPr>
        <w:t>c</w:t>
      </w:r>
      <w:r w:rsidRPr="00FA1BCF">
        <w:rPr>
          <w:lang w:eastAsia="en-AU"/>
        </w:rPr>
        <w:t>ommittee</w:t>
      </w:r>
      <w:r w:rsidR="008431F9" w:rsidRPr="00FA1BCF">
        <w:rPr>
          <w:lang w:eastAsia="en-AU"/>
        </w:rPr>
        <w:t>s</w:t>
      </w:r>
      <w:r w:rsidRPr="00FA1BCF">
        <w:rPr>
          <w:lang w:eastAsia="en-AU"/>
        </w:rPr>
        <w:t xml:space="preserve"> in 2014</w:t>
      </w:r>
      <w:bookmarkEnd w:id="22"/>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 xml:space="preserve">Prior to 1 May 2014, the Department of Health delegate relied on five </w:t>
      </w:r>
      <w:r w:rsidR="008431F9" w:rsidRPr="00FA1BCF">
        <w:rPr>
          <w:rFonts w:eastAsia="Times New Roman" w:cs="Times New Roman"/>
          <w:szCs w:val="24"/>
          <w:lang w:eastAsia="en-AU"/>
        </w:rPr>
        <w:t>d</w:t>
      </w:r>
      <w:r w:rsidRPr="00FA1BCF">
        <w:rPr>
          <w:rFonts w:eastAsia="Times New Roman" w:cs="Times New Roman"/>
          <w:szCs w:val="24"/>
          <w:lang w:eastAsia="en-AU"/>
        </w:rPr>
        <w:t xml:space="preserve">isease </w:t>
      </w:r>
      <w:r w:rsidR="00F11CA5" w:rsidRPr="00FA1BCF">
        <w:rPr>
          <w:rFonts w:eastAsia="Times New Roman" w:cs="Times New Roman"/>
          <w:szCs w:val="24"/>
          <w:lang w:eastAsia="en-AU"/>
        </w:rPr>
        <w:t>a</w:t>
      </w:r>
      <w:r w:rsidRPr="00FA1BCF">
        <w:rPr>
          <w:rFonts w:eastAsia="Times New Roman" w:cs="Times New Roman"/>
          <w:szCs w:val="24"/>
          <w:lang w:eastAsia="en-AU"/>
        </w:rPr>
        <w:t xml:space="preserve">dvisory </w:t>
      </w:r>
      <w:r w:rsidR="00F11CA5" w:rsidRPr="00FA1BCF">
        <w:rPr>
          <w:rFonts w:eastAsia="Times New Roman" w:cs="Times New Roman"/>
          <w:szCs w:val="24"/>
          <w:lang w:eastAsia="en-AU"/>
        </w:rPr>
        <w:t>c</w:t>
      </w:r>
      <w:r w:rsidRPr="00FA1BCF">
        <w:rPr>
          <w:rFonts w:eastAsia="Times New Roman" w:cs="Times New Roman"/>
          <w:szCs w:val="24"/>
          <w:lang w:eastAsia="en-AU"/>
        </w:rPr>
        <w:t>ommittees (DACs) to assess patient applications and make clinical recommendations regarding initial and continued eligibility for individuals to receive Government</w:t>
      </w:r>
      <w:r w:rsidR="001B1DD8" w:rsidRPr="00FA1BCF">
        <w:rPr>
          <w:rFonts w:eastAsia="Times New Roman" w:cs="Times New Roman"/>
          <w:szCs w:val="24"/>
          <w:lang w:eastAsia="en-AU"/>
        </w:rPr>
        <w:t>-</w:t>
      </w:r>
      <w:r w:rsidRPr="00FA1BCF">
        <w:rPr>
          <w:rFonts w:eastAsia="Times New Roman" w:cs="Times New Roman"/>
          <w:szCs w:val="24"/>
          <w:lang w:eastAsia="en-AU"/>
        </w:rPr>
        <w:t>subsidised treatment through the LSDP.</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 xml:space="preserve">Each committee comprised a </w:t>
      </w:r>
      <w:r w:rsidR="001B1DD8" w:rsidRPr="00FA1BCF">
        <w:rPr>
          <w:rFonts w:eastAsia="Times New Roman" w:cs="Times New Roman"/>
          <w:szCs w:val="24"/>
          <w:lang w:eastAsia="en-AU"/>
        </w:rPr>
        <w:t>c</w:t>
      </w:r>
      <w:r w:rsidRPr="00FA1BCF">
        <w:rPr>
          <w:rFonts w:eastAsia="Times New Roman" w:cs="Times New Roman"/>
          <w:szCs w:val="24"/>
          <w:lang w:eastAsia="en-AU"/>
        </w:rPr>
        <w:t>hair and four or five clinical experts in the relevant disease area.</w:t>
      </w:r>
      <w:r w:rsidR="00B56F35" w:rsidRPr="00FA1BCF">
        <w:rPr>
          <w:rFonts w:eastAsia="Times New Roman" w:cs="Times New Roman"/>
          <w:szCs w:val="24"/>
          <w:lang w:eastAsia="en-AU"/>
        </w:rPr>
        <w:t xml:space="preserve"> </w:t>
      </w:r>
      <w:r w:rsidRPr="00FA1BCF">
        <w:rPr>
          <w:rFonts w:eastAsia="Times New Roman" w:cs="Times New Roman"/>
          <w:szCs w:val="24"/>
          <w:lang w:eastAsia="en-AU"/>
        </w:rPr>
        <w:t>Some experts sat on multiple committees. As part of normal committee processes and transparency, the Department receive</w:t>
      </w:r>
      <w:r w:rsidR="004474F1" w:rsidRPr="00FA1BCF">
        <w:rPr>
          <w:rFonts w:eastAsia="Times New Roman" w:cs="Times New Roman"/>
          <w:szCs w:val="24"/>
          <w:lang w:eastAsia="en-AU"/>
        </w:rPr>
        <w:t>d</w:t>
      </w:r>
      <w:r w:rsidRPr="00FA1BCF">
        <w:rPr>
          <w:rFonts w:eastAsia="Times New Roman" w:cs="Times New Roman"/>
          <w:szCs w:val="24"/>
          <w:lang w:eastAsia="en-AU"/>
        </w:rPr>
        <w:t xml:space="preserve"> conflict</w:t>
      </w:r>
      <w:r w:rsidR="001B1DD8" w:rsidRPr="00FA1BCF">
        <w:rPr>
          <w:rFonts w:eastAsia="Times New Roman" w:cs="Times New Roman"/>
          <w:szCs w:val="24"/>
          <w:lang w:eastAsia="en-AU"/>
        </w:rPr>
        <w:t>-</w:t>
      </w:r>
      <w:r w:rsidRPr="00FA1BCF">
        <w:rPr>
          <w:rFonts w:eastAsia="Times New Roman" w:cs="Times New Roman"/>
          <w:szCs w:val="24"/>
          <w:lang w:eastAsia="en-AU"/>
        </w:rPr>
        <w:t>of</w:t>
      </w:r>
      <w:r w:rsidR="001B1DD8" w:rsidRPr="00FA1BCF">
        <w:rPr>
          <w:rFonts w:eastAsia="Times New Roman" w:cs="Times New Roman"/>
          <w:szCs w:val="24"/>
          <w:lang w:eastAsia="en-AU"/>
        </w:rPr>
        <w:t>-</w:t>
      </w:r>
      <w:r w:rsidR="004474F1" w:rsidRPr="00FA1BCF">
        <w:rPr>
          <w:rFonts w:eastAsia="Times New Roman" w:cs="Times New Roman"/>
          <w:szCs w:val="24"/>
          <w:lang w:eastAsia="en-AU"/>
        </w:rPr>
        <w:t xml:space="preserve">interest </w:t>
      </w:r>
      <w:r w:rsidRPr="00FA1BCF">
        <w:rPr>
          <w:rFonts w:eastAsia="Times New Roman" w:cs="Times New Roman"/>
          <w:szCs w:val="24"/>
          <w:lang w:eastAsia="en-AU"/>
        </w:rPr>
        <w:t xml:space="preserve">declarations for all </w:t>
      </w:r>
      <w:r w:rsidR="0054315F">
        <w:rPr>
          <w:rFonts w:eastAsia="Times New Roman" w:cs="Times New Roman"/>
          <w:szCs w:val="24"/>
          <w:lang w:eastAsia="en-AU"/>
        </w:rPr>
        <w:t>committee members</w:t>
      </w:r>
      <w:r w:rsidR="00A94861">
        <w:rPr>
          <w:rFonts w:eastAsia="Times New Roman" w:cs="Times New Roman"/>
          <w:szCs w:val="24"/>
          <w:lang w:eastAsia="en-AU"/>
        </w:rPr>
        <w:t>,</w:t>
      </w:r>
      <w:r w:rsidR="0054315F">
        <w:rPr>
          <w:rFonts w:eastAsia="Times New Roman" w:cs="Times New Roman"/>
          <w:szCs w:val="24"/>
          <w:lang w:eastAsia="en-AU"/>
        </w:rPr>
        <w:t xml:space="preserve"> including </w:t>
      </w:r>
      <w:r w:rsidR="001B1DD8" w:rsidRPr="00FA1BCF">
        <w:rPr>
          <w:rFonts w:eastAsia="Times New Roman" w:cs="Times New Roman"/>
          <w:szCs w:val="24"/>
          <w:lang w:eastAsia="en-AU"/>
        </w:rPr>
        <w:t xml:space="preserve">DAC </w:t>
      </w:r>
      <w:r w:rsidRPr="00FA1BCF">
        <w:rPr>
          <w:rFonts w:eastAsia="Times New Roman" w:cs="Times New Roman"/>
          <w:szCs w:val="24"/>
          <w:lang w:eastAsia="en-AU"/>
        </w:rPr>
        <w:t xml:space="preserve">members. </w:t>
      </w:r>
    </w:p>
    <w:p w:rsidR="00CC79FE" w:rsidRPr="00FA1BCF" w:rsidRDefault="007312AB" w:rsidP="00CC79FE">
      <w:pPr>
        <w:jc w:val="both"/>
        <w:rPr>
          <w:rFonts w:eastAsia="Times New Roman" w:cs="Times New Roman"/>
          <w:szCs w:val="24"/>
          <w:lang w:eastAsia="en-AU"/>
        </w:rPr>
      </w:pPr>
      <w:r w:rsidRPr="00FA1BCF">
        <w:rPr>
          <w:rFonts w:eastAsia="Times New Roman" w:cs="Times New Roman"/>
          <w:szCs w:val="24"/>
          <w:lang w:eastAsia="en-AU"/>
        </w:rPr>
        <w:t>Unsurprisingly g</w:t>
      </w:r>
      <w:r w:rsidR="00B45ED2" w:rsidRPr="00FA1BCF">
        <w:rPr>
          <w:rFonts w:eastAsia="Times New Roman" w:cs="Times New Roman"/>
          <w:szCs w:val="24"/>
          <w:lang w:eastAsia="en-AU"/>
        </w:rPr>
        <w:t>iven the small number of experts in this field, some</w:t>
      </w:r>
      <w:r w:rsidR="00CC79FE" w:rsidRPr="00FA1BCF">
        <w:rPr>
          <w:rFonts w:eastAsia="Times New Roman" w:cs="Times New Roman"/>
          <w:szCs w:val="24"/>
          <w:lang w:eastAsia="en-AU"/>
        </w:rPr>
        <w:t xml:space="preserve"> DAC members declared dual advisory roles</w:t>
      </w:r>
      <w:r w:rsidR="001B1DD8" w:rsidRPr="00FA1BCF">
        <w:rPr>
          <w:rFonts w:eastAsia="Times New Roman" w:cs="Times New Roman"/>
          <w:szCs w:val="24"/>
          <w:lang w:eastAsia="en-AU"/>
        </w:rPr>
        <w:t xml:space="preserve"> –</w:t>
      </w:r>
      <w:r w:rsidR="00CC79FE" w:rsidRPr="00FA1BCF">
        <w:rPr>
          <w:rFonts w:eastAsia="Times New Roman" w:cs="Times New Roman"/>
          <w:szCs w:val="24"/>
          <w:lang w:eastAsia="en-AU"/>
        </w:rPr>
        <w:t xml:space="preserve"> that is</w:t>
      </w:r>
      <w:r w:rsidR="001B1DD8" w:rsidRPr="00FA1BCF">
        <w:rPr>
          <w:rFonts w:eastAsia="Times New Roman" w:cs="Times New Roman"/>
          <w:szCs w:val="24"/>
          <w:lang w:eastAsia="en-AU"/>
        </w:rPr>
        <w:t>,</w:t>
      </w:r>
      <w:r w:rsidR="00CC79FE" w:rsidRPr="00FA1BCF">
        <w:rPr>
          <w:rFonts w:eastAsia="Times New Roman" w:cs="Times New Roman"/>
          <w:szCs w:val="24"/>
          <w:lang w:eastAsia="en-AU"/>
        </w:rPr>
        <w:t xml:space="preserve"> some members acted to advise the </w:t>
      </w:r>
      <w:r w:rsidR="004474F1" w:rsidRPr="00FA1BCF">
        <w:rPr>
          <w:rFonts w:eastAsia="Times New Roman" w:cs="Times New Roman"/>
          <w:szCs w:val="24"/>
          <w:lang w:eastAsia="en-AU"/>
        </w:rPr>
        <w:t>G</w:t>
      </w:r>
      <w:r w:rsidR="00CC79FE" w:rsidRPr="00FA1BCF">
        <w:rPr>
          <w:rFonts w:eastAsia="Times New Roman" w:cs="Times New Roman"/>
          <w:szCs w:val="24"/>
          <w:lang w:eastAsia="en-AU"/>
        </w:rPr>
        <w:t xml:space="preserve">overnment on the eligibility of patients receiving LSDP drugs while also </w:t>
      </w:r>
      <w:r w:rsidR="004474F1" w:rsidRPr="00FA1BCF">
        <w:rPr>
          <w:rFonts w:eastAsia="Times New Roman" w:cs="Times New Roman"/>
          <w:szCs w:val="24"/>
          <w:lang w:eastAsia="en-AU"/>
        </w:rPr>
        <w:t xml:space="preserve">acting </w:t>
      </w:r>
      <w:r w:rsidR="00CC79FE" w:rsidRPr="00FA1BCF">
        <w:rPr>
          <w:rFonts w:eastAsia="Times New Roman" w:cs="Times New Roman"/>
          <w:szCs w:val="24"/>
          <w:lang w:eastAsia="en-AU"/>
        </w:rPr>
        <w:t xml:space="preserve">in an advisory position for industry supplying the </w:t>
      </w:r>
      <w:r w:rsidR="009A438D" w:rsidRPr="00FA1BCF">
        <w:rPr>
          <w:rFonts w:eastAsia="Times New Roman" w:cs="Times New Roman"/>
          <w:szCs w:val="24"/>
          <w:lang w:eastAsia="en-AU"/>
        </w:rPr>
        <w:t xml:space="preserve">medicine </w:t>
      </w:r>
      <w:r w:rsidR="00CC79FE" w:rsidRPr="00FA1BCF">
        <w:rPr>
          <w:rFonts w:eastAsia="Times New Roman" w:cs="Times New Roman"/>
          <w:szCs w:val="24"/>
          <w:lang w:eastAsia="en-AU"/>
        </w:rPr>
        <w:t xml:space="preserve">to the Government. </w:t>
      </w:r>
      <w:r w:rsidR="002628DE" w:rsidRPr="00FA1BCF">
        <w:rPr>
          <w:rFonts w:eastAsia="Times New Roman" w:cs="Times New Roman"/>
          <w:szCs w:val="24"/>
          <w:lang w:eastAsia="en-AU"/>
        </w:rPr>
        <w:t>O</w:t>
      </w:r>
      <w:r w:rsidR="00CC79FE" w:rsidRPr="00FA1BCF">
        <w:rPr>
          <w:rFonts w:eastAsia="Times New Roman" w:cs="Times New Roman"/>
          <w:szCs w:val="24"/>
          <w:lang w:eastAsia="en-AU"/>
        </w:rPr>
        <w:t xml:space="preserve">ther members of the DACs were also involved in clinically managing and caring for patients receiving treatment under the LSDP. </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In March 2014</w:t>
      </w:r>
      <w:r w:rsidR="004474F1" w:rsidRPr="00FA1BCF">
        <w:rPr>
          <w:rFonts w:eastAsia="Times New Roman" w:cs="Times New Roman"/>
          <w:szCs w:val="24"/>
          <w:lang w:eastAsia="en-AU"/>
        </w:rPr>
        <w:t>,</w:t>
      </w:r>
      <w:r w:rsidRPr="00FA1BCF">
        <w:rPr>
          <w:rFonts w:eastAsia="Times New Roman" w:cs="Times New Roman"/>
          <w:szCs w:val="24"/>
          <w:lang w:eastAsia="en-AU"/>
        </w:rPr>
        <w:t xml:space="preserve"> as part of the Government’s deregulation agenda, the Minister for Health approved streamlining of the LSDP administrative processes at the same time</w:t>
      </w:r>
      <w:r w:rsidR="002628DE" w:rsidRPr="00FA1BCF">
        <w:rPr>
          <w:rFonts w:eastAsia="Times New Roman" w:cs="Times New Roman"/>
          <w:szCs w:val="24"/>
          <w:lang w:eastAsia="en-AU"/>
        </w:rPr>
        <w:t xml:space="preserve"> when</w:t>
      </w:r>
      <w:r w:rsidRPr="00FA1BCF">
        <w:rPr>
          <w:rFonts w:eastAsia="Times New Roman" w:cs="Times New Roman"/>
          <w:szCs w:val="24"/>
          <w:lang w:eastAsia="en-AU"/>
        </w:rPr>
        <w:t xml:space="preserve"> the post-market review of the LSDP was announced.</w:t>
      </w:r>
      <w:r w:rsidR="00B56F35" w:rsidRPr="00FA1BCF">
        <w:rPr>
          <w:rFonts w:eastAsia="Times New Roman" w:cs="Times New Roman"/>
          <w:szCs w:val="24"/>
          <w:lang w:eastAsia="en-AU"/>
        </w:rPr>
        <w:t xml:space="preserve"> </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 xml:space="preserve">Streamlining reduced the administrative burden on all DAC members and allowed members to freely advocate on behalf of their patients, and to share their expertise with colleagues directly rather than through the DAC. </w:t>
      </w:r>
      <w:r w:rsidR="004474F1" w:rsidRPr="00FA1BCF">
        <w:rPr>
          <w:rFonts w:eastAsia="Times New Roman" w:cs="Times New Roman"/>
          <w:szCs w:val="24"/>
          <w:lang w:eastAsia="en-AU"/>
        </w:rPr>
        <w:t xml:space="preserve">It was considered </w:t>
      </w:r>
      <w:r w:rsidRPr="00FA1BCF">
        <w:rPr>
          <w:rFonts w:eastAsia="Times New Roman" w:cs="Times New Roman"/>
          <w:szCs w:val="24"/>
          <w:lang w:eastAsia="en-AU"/>
        </w:rPr>
        <w:t>that clinical experts would continue to share, network and improve their knowledge at conferences and other meetings.</w:t>
      </w:r>
    </w:p>
    <w:p w:rsidR="00CC79FE" w:rsidRPr="00FA1BCF" w:rsidRDefault="00CC79FE" w:rsidP="00CC79FE">
      <w:pPr>
        <w:rPr>
          <w:rFonts w:eastAsia="Times New Roman" w:cs="Times New Roman"/>
          <w:b/>
          <w:szCs w:val="24"/>
          <w:lang w:eastAsia="en-AU"/>
        </w:rPr>
      </w:pPr>
    </w:p>
    <w:p w:rsidR="007312AB" w:rsidRPr="00FA1BCF" w:rsidRDefault="007312AB">
      <w:pPr>
        <w:rPr>
          <w:rFonts w:eastAsia="Times New Roman" w:cs="Times New Roman"/>
          <w:b/>
          <w:sz w:val="40"/>
          <w:szCs w:val="40"/>
          <w:lang w:eastAsia="en-AU"/>
        </w:rPr>
      </w:pPr>
      <w:r w:rsidRPr="00FA1BCF">
        <w:rPr>
          <w:rFonts w:eastAsia="Times New Roman" w:cs="Times New Roman"/>
          <w:b/>
          <w:sz w:val="40"/>
          <w:szCs w:val="40"/>
          <w:lang w:eastAsia="en-AU"/>
        </w:rPr>
        <w:br w:type="page"/>
      </w:r>
    </w:p>
    <w:p w:rsidR="00CC79FE" w:rsidRPr="00FA1BCF" w:rsidRDefault="00CC79FE" w:rsidP="00E436E7">
      <w:pPr>
        <w:pStyle w:val="Heading1"/>
        <w:rPr>
          <w:lang w:eastAsia="en-AU"/>
        </w:rPr>
      </w:pPr>
      <w:bookmarkStart w:id="23" w:name="_Toc302625581"/>
      <w:r w:rsidRPr="00FA1BCF">
        <w:rPr>
          <w:lang w:eastAsia="en-AU"/>
        </w:rPr>
        <w:lastRenderedPageBreak/>
        <w:t xml:space="preserve">Section 6: </w:t>
      </w:r>
      <w:r w:rsidR="00897318" w:rsidRPr="00FA1BCF">
        <w:t xml:space="preserve">Life Saving Drugs Programme Reference Group </w:t>
      </w:r>
      <w:r w:rsidR="0044178F" w:rsidRPr="00FA1BCF">
        <w:rPr>
          <w:lang w:eastAsia="en-AU"/>
        </w:rPr>
        <w:t>p</w:t>
      </w:r>
      <w:r w:rsidRPr="00FA1BCF">
        <w:rPr>
          <w:lang w:eastAsia="en-AU"/>
        </w:rPr>
        <w:t>aper April 2015</w:t>
      </w:r>
      <w:bookmarkEnd w:id="23"/>
    </w:p>
    <w:p w:rsidR="00CC79FE" w:rsidRPr="00FA1BCF" w:rsidRDefault="00CC79FE" w:rsidP="00E436E7">
      <w:pPr>
        <w:pStyle w:val="Heading2"/>
        <w:rPr>
          <w:lang w:eastAsia="en-AU"/>
        </w:rPr>
      </w:pPr>
      <w:bookmarkStart w:id="24" w:name="_Toc302625582"/>
      <w:r w:rsidRPr="00FA1BCF">
        <w:rPr>
          <w:lang w:eastAsia="en-AU"/>
        </w:rPr>
        <w:t xml:space="preserve">6.1. </w:t>
      </w:r>
      <w:r w:rsidR="0044178F" w:rsidRPr="00FA1BCF">
        <w:rPr>
          <w:lang w:eastAsia="en-AU"/>
        </w:rPr>
        <w:t>Life Saving Drugs Programme</w:t>
      </w:r>
      <w:r w:rsidRPr="00FA1BCF">
        <w:rPr>
          <w:lang w:eastAsia="en-AU"/>
        </w:rPr>
        <w:t xml:space="preserve"> </w:t>
      </w:r>
      <w:r w:rsidR="0044178F" w:rsidRPr="00FA1BCF">
        <w:rPr>
          <w:lang w:eastAsia="en-AU"/>
        </w:rPr>
        <w:t>t</w:t>
      </w:r>
      <w:r w:rsidRPr="00FA1BCF">
        <w:rPr>
          <w:lang w:eastAsia="en-AU"/>
        </w:rPr>
        <w:t xml:space="preserve">echnical </w:t>
      </w:r>
      <w:r w:rsidR="0044178F" w:rsidRPr="00FA1BCF">
        <w:rPr>
          <w:lang w:eastAsia="en-AU"/>
        </w:rPr>
        <w:t>a</w:t>
      </w:r>
      <w:r w:rsidRPr="00FA1BCF">
        <w:rPr>
          <w:lang w:eastAsia="en-AU"/>
        </w:rPr>
        <w:t xml:space="preserve">ssessment </w:t>
      </w:r>
      <w:r w:rsidR="0044178F" w:rsidRPr="00FA1BCF">
        <w:rPr>
          <w:lang w:eastAsia="en-AU"/>
        </w:rPr>
        <w:t>r</w:t>
      </w:r>
      <w:r w:rsidRPr="00FA1BCF">
        <w:rPr>
          <w:lang w:eastAsia="en-AU"/>
        </w:rPr>
        <w:t>eport</w:t>
      </w:r>
      <w:bookmarkEnd w:id="24"/>
      <w:r w:rsidRPr="00FA1BCF">
        <w:rPr>
          <w:lang w:eastAsia="en-AU"/>
        </w:rPr>
        <w:t xml:space="preserve"> </w:t>
      </w:r>
    </w:p>
    <w:p w:rsidR="00CC79FE" w:rsidRPr="00FA1BCF" w:rsidRDefault="004474F1" w:rsidP="00CC79FE">
      <w:pPr>
        <w:jc w:val="both"/>
        <w:rPr>
          <w:szCs w:val="24"/>
        </w:rPr>
      </w:pPr>
      <w:r w:rsidRPr="00FA1BCF">
        <w:rPr>
          <w:szCs w:val="24"/>
        </w:rPr>
        <w:t xml:space="preserve">The </w:t>
      </w:r>
      <w:r w:rsidR="00CC79FE" w:rsidRPr="00FA1BCF">
        <w:rPr>
          <w:szCs w:val="24"/>
        </w:rPr>
        <w:t xml:space="preserve">Adelaide Health Technology Assessment (AHTA), University of Adelaide (the </w:t>
      </w:r>
      <w:r w:rsidR="00FF50E2" w:rsidRPr="00FA1BCF">
        <w:rPr>
          <w:szCs w:val="24"/>
        </w:rPr>
        <w:t>e</w:t>
      </w:r>
      <w:r w:rsidR="00CC79FE" w:rsidRPr="00FA1BCF">
        <w:rPr>
          <w:szCs w:val="24"/>
        </w:rPr>
        <w:t>valuator)</w:t>
      </w:r>
      <w:r w:rsidRPr="00FA1BCF">
        <w:rPr>
          <w:szCs w:val="24"/>
        </w:rPr>
        <w:t xml:space="preserve"> </w:t>
      </w:r>
      <w:r w:rsidR="00CC79FE" w:rsidRPr="00FA1BCF">
        <w:rPr>
          <w:szCs w:val="24"/>
        </w:rPr>
        <w:t>was contracted by the Government to examine the technical aspects of terms of reference 1</w:t>
      </w:r>
      <w:r w:rsidR="00FF50E2" w:rsidRPr="00FA1BCF">
        <w:rPr>
          <w:szCs w:val="24"/>
        </w:rPr>
        <w:t xml:space="preserve">, 2, </w:t>
      </w:r>
      <w:r w:rsidR="00CC79FE" w:rsidRPr="00FA1BCF">
        <w:rPr>
          <w:szCs w:val="24"/>
        </w:rPr>
        <w:t>3, 5 and 7.</w:t>
      </w:r>
      <w:r w:rsidR="00B56F35" w:rsidRPr="00FA1BCF">
        <w:rPr>
          <w:szCs w:val="24"/>
        </w:rPr>
        <w:t xml:space="preserve"> </w:t>
      </w:r>
      <w:r w:rsidR="00CC79FE" w:rsidRPr="00FA1BCF">
        <w:rPr>
          <w:szCs w:val="24"/>
        </w:rPr>
        <w:t xml:space="preserve">The </w:t>
      </w:r>
      <w:r w:rsidR="00FF50E2" w:rsidRPr="00FA1BCF">
        <w:rPr>
          <w:szCs w:val="24"/>
        </w:rPr>
        <w:t>e</w:t>
      </w:r>
      <w:r w:rsidR="00CC79FE" w:rsidRPr="00FA1BCF">
        <w:rPr>
          <w:szCs w:val="24"/>
        </w:rPr>
        <w:t>valuator was asked</w:t>
      </w:r>
      <w:r w:rsidR="009C5649" w:rsidRPr="00FA1BCF">
        <w:rPr>
          <w:szCs w:val="24"/>
        </w:rPr>
        <w:t xml:space="preserve"> to</w:t>
      </w:r>
      <w:r w:rsidR="00602974" w:rsidRPr="00FA1BCF">
        <w:rPr>
          <w:szCs w:val="24"/>
        </w:rPr>
        <w:t>:</w:t>
      </w:r>
    </w:p>
    <w:p w:rsidR="00CC79FE" w:rsidRPr="00FA1BCF" w:rsidRDefault="00CC79FE" w:rsidP="00CC79FE">
      <w:pPr>
        <w:pStyle w:val="ListParagraph"/>
        <w:numPr>
          <w:ilvl w:val="0"/>
          <w:numId w:val="25"/>
        </w:numPr>
        <w:jc w:val="both"/>
        <w:outlineLvl w:val="1"/>
        <w:rPr>
          <w:szCs w:val="24"/>
        </w:rPr>
      </w:pPr>
      <w:r w:rsidRPr="00FA1BCF">
        <w:rPr>
          <w:szCs w:val="24"/>
        </w:rPr>
        <w:t xml:space="preserve">look at whether there was new information on the safety and effectiveness of </w:t>
      </w:r>
      <w:r w:rsidR="008B29C7" w:rsidRPr="00FA1BCF">
        <w:rPr>
          <w:szCs w:val="24"/>
        </w:rPr>
        <w:t xml:space="preserve">medicines </w:t>
      </w:r>
      <w:r w:rsidRPr="00FA1BCF">
        <w:rPr>
          <w:szCs w:val="24"/>
        </w:rPr>
        <w:t>currently funded through the LSDP and whether the information added support to the original funding recommendations</w:t>
      </w:r>
    </w:p>
    <w:p w:rsidR="00CC79FE" w:rsidRPr="00FA1BCF" w:rsidRDefault="00CC79FE" w:rsidP="00CC79FE">
      <w:pPr>
        <w:pStyle w:val="ListParagraph"/>
        <w:numPr>
          <w:ilvl w:val="0"/>
          <w:numId w:val="25"/>
        </w:numPr>
        <w:jc w:val="both"/>
        <w:outlineLvl w:val="1"/>
        <w:rPr>
          <w:szCs w:val="24"/>
        </w:rPr>
      </w:pPr>
      <w:r w:rsidRPr="00FA1BCF">
        <w:rPr>
          <w:szCs w:val="24"/>
        </w:rPr>
        <w:t>scan for new and emerging technologies that might be relevant to the LSDP in the near future</w:t>
      </w:r>
    </w:p>
    <w:p w:rsidR="00CC79FE" w:rsidRPr="00FA1BCF" w:rsidRDefault="00CC79FE" w:rsidP="00CC79FE">
      <w:pPr>
        <w:pStyle w:val="ListParagraph"/>
        <w:numPr>
          <w:ilvl w:val="0"/>
          <w:numId w:val="25"/>
        </w:numPr>
        <w:jc w:val="both"/>
        <w:outlineLvl w:val="1"/>
        <w:rPr>
          <w:szCs w:val="24"/>
        </w:rPr>
      </w:pPr>
      <w:r w:rsidRPr="00FA1BCF">
        <w:rPr>
          <w:szCs w:val="24"/>
        </w:rPr>
        <w:t>asse</w:t>
      </w:r>
      <w:r w:rsidR="004474F1" w:rsidRPr="00FA1BCF">
        <w:rPr>
          <w:szCs w:val="24"/>
        </w:rPr>
        <w:t>s</w:t>
      </w:r>
      <w:r w:rsidRPr="00FA1BCF">
        <w:rPr>
          <w:szCs w:val="24"/>
        </w:rPr>
        <w:t xml:space="preserve">s how </w:t>
      </w:r>
      <w:r w:rsidR="0087560D" w:rsidRPr="00FA1BCF">
        <w:rPr>
          <w:szCs w:val="24"/>
        </w:rPr>
        <w:t>medicine</w:t>
      </w:r>
      <w:r w:rsidRPr="00FA1BCF">
        <w:rPr>
          <w:szCs w:val="24"/>
        </w:rPr>
        <w:t>s that treat rare disease are subsidised in other countries</w:t>
      </w:r>
    </w:p>
    <w:p w:rsidR="00CC79FE" w:rsidRPr="00FA1BCF" w:rsidRDefault="00CC79FE" w:rsidP="00CC79FE">
      <w:pPr>
        <w:pStyle w:val="ListParagraph"/>
        <w:numPr>
          <w:ilvl w:val="0"/>
          <w:numId w:val="25"/>
        </w:numPr>
        <w:jc w:val="both"/>
        <w:outlineLvl w:val="1"/>
        <w:rPr>
          <w:szCs w:val="24"/>
        </w:rPr>
      </w:pPr>
      <w:r w:rsidRPr="00FA1BCF">
        <w:rPr>
          <w:szCs w:val="24"/>
        </w:rPr>
        <w:t>identify published literature reporting on cost</w:t>
      </w:r>
      <w:r w:rsidR="00FF50E2" w:rsidRPr="00FA1BCF">
        <w:rPr>
          <w:szCs w:val="24"/>
        </w:rPr>
        <w:t>-</w:t>
      </w:r>
      <w:r w:rsidRPr="00FA1BCF">
        <w:rPr>
          <w:szCs w:val="24"/>
        </w:rPr>
        <w:t>effectiveness and quality</w:t>
      </w:r>
      <w:r w:rsidR="00FF50E2" w:rsidRPr="00FA1BCF">
        <w:rPr>
          <w:szCs w:val="24"/>
        </w:rPr>
        <w:t>-</w:t>
      </w:r>
      <w:r w:rsidRPr="00FA1BCF">
        <w:rPr>
          <w:szCs w:val="24"/>
        </w:rPr>
        <w:t>of</w:t>
      </w:r>
      <w:r w:rsidR="00FF50E2" w:rsidRPr="00FA1BCF">
        <w:rPr>
          <w:szCs w:val="24"/>
        </w:rPr>
        <w:t>-</w:t>
      </w:r>
      <w:r w:rsidRPr="00FA1BCF">
        <w:rPr>
          <w:szCs w:val="24"/>
        </w:rPr>
        <w:t>life measures or other metrics for determining ‘value’ or identify alternative potentially useful metrics to measure ’value’</w:t>
      </w:r>
    </w:p>
    <w:p w:rsidR="00CC79FE" w:rsidRPr="00E436E7" w:rsidRDefault="00CC79FE" w:rsidP="00E436E7">
      <w:pPr>
        <w:pStyle w:val="ListParagraph"/>
        <w:numPr>
          <w:ilvl w:val="0"/>
          <w:numId w:val="25"/>
        </w:numPr>
        <w:jc w:val="both"/>
        <w:outlineLvl w:val="1"/>
        <w:rPr>
          <w:rFonts w:eastAsia="Calibri"/>
          <w:szCs w:val="24"/>
        </w:rPr>
      </w:pPr>
      <w:proofErr w:type="gramStart"/>
      <w:r w:rsidRPr="00FA1BCF">
        <w:rPr>
          <w:szCs w:val="24"/>
        </w:rPr>
        <w:t>provide</w:t>
      </w:r>
      <w:proofErr w:type="gramEnd"/>
      <w:r w:rsidRPr="00FA1BCF">
        <w:rPr>
          <w:szCs w:val="24"/>
        </w:rPr>
        <w:t xml:space="preserve"> a summary of key concepts related to data collection for rare diseases in Australia and methods for addressing the goals of such a data collection. </w:t>
      </w:r>
    </w:p>
    <w:p w:rsidR="00CC79FE" w:rsidRPr="00FA1BCF" w:rsidRDefault="00CC79FE" w:rsidP="00CC79FE">
      <w:pPr>
        <w:jc w:val="both"/>
        <w:rPr>
          <w:szCs w:val="24"/>
        </w:rPr>
      </w:pPr>
      <w:r w:rsidRPr="00FA1BCF">
        <w:rPr>
          <w:szCs w:val="24"/>
        </w:rPr>
        <w:t xml:space="preserve">The </w:t>
      </w:r>
      <w:r w:rsidR="00FF50E2" w:rsidRPr="00FA1BCF">
        <w:rPr>
          <w:szCs w:val="24"/>
        </w:rPr>
        <w:t>e</w:t>
      </w:r>
      <w:r w:rsidRPr="00FA1BCF">
        <w:rPr>
          <w:szCs w:val="24"/>
        </w:rPr>
        <w:t>valuator undertook to develop a protocol to conduct systematic reviews of the evidence on all LSDP</w:t>
      </w:r>
      <w:r w:rsidR="00FF50E2" w:rsidRPr="00FA1BCF">
        <w:rPr>
          <w:szCs w:val="24"/>
        </w:rPr>
        <w:t>-</w:t>
      </w:r>
      <w:r w:rsidRPr="00FA1BCF">
        <w:rPr>
          <w:szCs w:val="24"/>
        </w:rPr>
        <w:t xml:space="preserve">subsidised </w:t>
      </w:r>
      <w:r w:rsidR="008B29C7" w:rsidRPr="00FA1BCF">
        <w:rPr>
          <w:szCs w:val="24"/>
        </w:rPr>
        <w:t xml:space="preserve">medicines </w:t>
      </w:r>
      <w:r w:rsidRPr="00FA1BCF">
        <w:rPr>
          <w:szCs w:val="24"/>
        </w:rPr>
        <w:t xml:space="preserve">and analysed Australian data contained in the patient registries on the use of the drugs. The findings of the technical assessment (the </w:t>
      </w:r>
      <w:r w:rsidR="00FF50E2" w:rsidRPr="00FA1BCF">
        <w:rPr>
          <w:szCs w:val="24"/>
        </w:rPr>
        <w:t>e</w:t>
      </w:r>
      <w:r w:rsidRPr="00FA1BCF">
        <w:rPr>
          <w:szCs w:val="24"/>
        </w:rPr>
        <w:t xml:space="preserve">valuator’s report) were presented to the </w:t>
      </w:r>
      <w:r w:rsidR="00F11CA5" w:rsidRPr="00FA1BCF">
        <w:rPr>
          <w:szCs w:val="24"/>
        </w:rPr>
        <w:t>reference group</w:t>
      </w:r>
      <w:r w:rsidRPr="00FA1BCF">
        <w:rPr>
          <w:szCs w:val="24"/>
        </w:rPr>
        <w:t xml:space="preserve">. The findings </w:t>
      </w:r>
      <w:r w:rsidR="00372AA8" w:rsidRPr="00FA1BCF">
        <w:rPr>
          <w:szCs w:val="24"/>
        </w:rPr>
        <w:t xml:space="preserve">of the </w:t>
      </w:r>
      <w:r w:rsidR="00FF50E2" w:rsidRPr="00FA1BCF">
        <w:rPr>
          <w:szCs w:val="24"/>
        </w:rPr>
        <w:t>e</w:t>
      </w:r>
      <w:r w:rsidR="00372AA8" w:rsidRPr="00FA1BCF">
        <w:rPr>
          <w:szCs w:val="24"/>
        </w:rPr>
        <w:t xml:space="preserve">valuator’s report </w:t>
      </w:r>
      <w:r w:rsidRPr="00FA1BCF">
        <w:rPr>
          <w:szCs w:val="24"/>
        </w:rPr>
        <w:t>are summarised below.</w:t>
      </w:r>
    </w:p>
    <w:p w:rsidR="0044178F" w:rsidRPr="00FA1BCF" w:rsidRDefault="00CC79FE" w:rsidP="00E436E7">
      <w:pPr>
        <w:pStyle w:val="Heading3"/>
      </w:pPr>
      <w:bookmarkStart w:id="25" w:name="_Toc302625583"/>
      <w:r w:rsidRPr="00FA1BCF">
        <w:t>6.1.2 Term of reference 1</w:t>
      </w:r>
      <w:bookmarkEnd w:id="25"/>
      <w:r w:rsidR="00602974" w:rsidRPr="00FA1BCF">
        <w:t xml:space="preserve"> </w:t>
      </w:r>
    </w:p>
    <w:p w:rsidR="00CC79FE" w:rsidRPr="00FA1BCF" w:rsidRDefault="00602974" w:rsidP="00CC79FE">
      <w:pPr>
        <w:jc w:val="both"/>
        <w:rPr>
          <w:b/>
          <w:i/>
          <w:sz w:val="28"/>
          <w:szCs w:val="28"/>
        </w:rPr>
      </w:pPr>
      <w:r w:rsidRPr="00FA1BCF">
        <w:rPr>
          <w:rFonts w:eastAsia="Times New Roman" w:cs="Times New Roman"/>
          <w:i/>
          <w:szCs w:val="24"/>
          <w:lang w:eastAsia="en-AU"/>
        </w:rPr>
        <w:t>Review the clinical effectiveness and safety of medicines currently subsidised through the LSDP.</w:t>
      </w:r>
    </w:p>
    <w:p w:rsidR="00CC79FE" w:rsidRPr="00FA1BCF" w:rsidRDefault="00CC79FE" w:rsidP="00CC79FE">
      <w:pPr>
        <w:pStyle w:val="ListParagraph"/>
        <w:numPr>
          <w:ilvl w:val="0"/>
          <w:numId w:val="25"/>
        </w:numPr>
        <w:jc w:val="both"/>
        <w:outlineLvl w:val="1"/>
        <w:rPr>
          <w:szCs w:val="24"/>
        </w:rPr>
      </w:pPr>
      <w:r w:rsidRPr="00FA1BCF">
        <w:rPr>
          <w:szCs w:val="24"/>
        </w:rPr>
        <w:t xml:space="preserve">The evidence for </w:t>
      </w:r>
      <w:proofErr w:type="gramStart"/>
      <w:r w:rsidRPr="00FA1BCF">
        <w:rPr>
          <w:szCs w:val="24"/>
        </w:rPr>
        <w:t>Gaucher</w:t>
      </w:r>
      <w:proofErr w:type="gramEnd"/>
      <w:r w:rsidRPr="00FA1BCF">
        <w:rPr>
          <w:szCs w:val="24"/>
        </w:rPr>
        <w:t xml:space="preserve"> </w:t>
      </w:r>
      <w:r w:rsidR="00F40D3E" w:rsidRPr="00FA1BCF">
        <w:rPr>
          <w:szCs w:val="24"/>
        </w:rPr>
        <w:t>d</w:t>
      </w:r>
      <w:r w:rsidRPr="00FA1BCF">
        <w:rPr>
          <w:szCs w:val="24"/>
        </w:rPr>
        <w:t xml:space="preserve">isease </w:t>
      </w:r>
      <w:r w:rsidR="00F40D3E" w:rsidRPr="00FA1BCF">
        <w:rPr>
          <w:szCs w:val="24"/>
        </w:rPr>
        <w:t>t</w:t>
      </w:r>
      <w:r w:rsidRPr="00FA1BCF">
        <w:rPr>
          <w:szCs w:val="24"/>
        </w:rPr>
        <w:t xml:space="preserve">ype 1 supported the funding of </w:t>
      </w:r>
      <w:proofErr w:type="spellStart"/>
      <w:r w:rsidRPr="00FA1BCF">
        <w:rPr>
          <w:szCs w:val="24"/>
        </w:rPr>
        <w:t>imiglucerase</w:t>
      </w:r>
      <w:proofErr w:type="spellEnd"/>
      <w:r w:rsidRPr="00FA1BCF">
        <w:rPr>
          <w:szCs w:val="24"/>
        </w:rPr>
        <w:t xml:space="preserve">. The evidence on </w:t>
      </w:r>
      <w:proofErr w:type="spellStart"/>
      <w:r w:rsidRPr="00FA1BCF">
        <w:rPr>
          <w:szCs w:val="24"/>
        </w:rPr>
        <w:t>miglustat</w:t>
      </w:r>
      <w:proofErr w:type="spellEnd"/>
      <w:r w:rsidRPr="00FA1BCF">
        <w:rPr>
          <w:szCs w:val="24"/>
        </w:rPr>
        <w:t xml:space="preserve"> did not include any data on the treatment population proposed by the sponsor.</w:t>
      </w:r>
    </w:p>
    <w:p w:rsidR="00CC79FE" w:rsidRPr="00FA1BCF" w:rsidRDefault="00CC79FE" w:rsidP="00CC79FE">
      <w:pPr>
        <w:pStyle w:val="ListParagraph"/>
        <w:numPr>
          <w:ilvl w:val="0"/>
          <w:numId w:val="25"/>
        </w:numPr>
        <w:jc w:val="both"/>
        <w:outlineLvl w:val="1"/>
        <w:rPr>
          <w:szCs w:val="24"/>
        </w:rPr>
      </w:pPr>
      <w:r w:rsidRPr="00FA1BCF">
        <w:rPr>
          <w:szCs w:val="24"/>
        </w:rPr>
        <w:t>No new evidence was found to change the conclusion on funding arrangements of treatments for Fabry disease, infantile-onset</w:t>
      </w:r>
      <w:r w:rsidR="00431DFE" w:rsidRPr="00FA1BCF">
        <w:rPr>
          <w:szCs w:val="24"/>
        </w:rPr>
        <w:t xml:space="preserve"> and</w:t>
      </w:r>
      <w:r w:rsidRPr="00FA1BCF">
        <w:rPr>
          <w:szCs w:val="24"/>
        </w:rPr>
        <w:t xml:space="preserve"> juvenile onset Pompe disease and paroxysmal nocturnal </w:t>
      </w:r>
      <w:proofErr w:type="spellStart"/>
      <w:r w:rsidRPr="00FA1BCF">
        <w:rPr>
          <w:szCs w:val="24"/>
        </w:rPr>
        <w:t>haemoglobinuria</w:t>
      </w:r>
      <w:proofErr w:type="spellEnd"/>
      <w:r w:rsidRPr="00FA1BCF">
        <w:rPr>
          <w:szCs w:val="24"/>
        </w:rPr>
        <w:t>.</w:t>
      </w:r>
    </w:p>
    <w:p w:rsidR="00CC79FE" w:rsidRPr="00E436E7" w:rsidRDefault="00CC79FE" w:rsidP="0090324B">
      <w:pPr>
        <w:pStyle w:val="ListParagraph"/>
        <w:rPr>
          <w:b/>
          <w:szCs w:val="24"/>
        </w:rPr>
      </w:pPr>
      <w:r w:rsidRPr="00FA1BCF">
        <w:rPr>
          <w:szCs w:val="24"/>
        </w:rPr>
        <w:t xml:space="preserve">New data for </w:t>
      </w:r>
      <w:proofErr w:type="spellStart"/>
      <w:r w:rsidR="009C5649" w:rsidRPr="00FA1BCF">
        <w:rPr>
          <w:szCs w:val="24"/>
        </w:rPr>
        <w:t>m</w:t>
      </w:r>
      <w:r w:rsidRPr="00FA1BCF">
        <w:rPr>
          <w:szCs w:val="24"/>
        </w:rPr>
        <w:t>ucopolysaccharidosis</w:t>
      </w:r>
      <w:proofErr w:type="spellEnd"/>
      <w:r w:rsidRPr="00FA1BCF">
        <w:rPr>
          <w:szCs w:val="24"/>
        </w:rPr>
        <w:t xml:space="preserve"> types </w:t>
      </w:r>
      <w:r w:rsidR="00F40D3E" w:rsidRPr="00FA1BCF">
        <w:rPr>
          <w:szCs w:val="24"/>
        </w:rPr>
        <w:t>I</w:t>
      </w:r>
      <w:r w:rsidRPr="00FA1BCF">
        <w:rPr>
          <w:szCs w:val="24"/>
        </w:rPr>
        <w:t xml:space="preserve">, </w:t>
      </w:r>
      <w:r w:rsidR="00F40D3E" w:rsidRPr="00FA1BCF">
        <w:rPr>
          <w:szCs w:val="24"/>
        </w:rPr>
        <w:t xml:space="preserve">II </w:t>
      </w:r>
      <w:r w:rsidRPr="00FA1BCF">
        <w:rPr>
          <w:szCs w:val="24"/>
        </w:rPr>
        <w:t>and VI is unlikely to change funding recommendations for these diseases.</w:t>
      </w:r>
    </w:p>
    <w:p w:rsidR="0044178F" w:rsidRPr="00FA1BCF" w:rsidRDefault="00CC79FE" w:rsidP="00E436E7">
      <w:pPr>
        <w:pStyle w:val="Heading3"/>
        <w:rPr>
          <w:rFonts w:eastAsia="Times New Roman" w:cs="Times New Roman"/>
          <w:szCs w:val="24"/>
          <w:lang w:eastAsia="en-AU"/>
        </w:rPr>
      </w:pPr>
      <w:bookmarkStart w:id="26" w:name="_Toc302625584"/>
      <w:r w:rsidRPr="00FA1BCF">
        <w:t>6.1.3 Term of reference 2</w:t>
      </w:r>
      <w:bookmarkEnd w:id="26"/>
      <w:r w:rsidR="00602974" w:rsidRPr="00FA1BCF">
        <w:rPr>
          <w:rFonts w:eastAsia="Times New Roman" w:cs="Times New Roman"/>
          <w:sz w:val="24"/>
          <w:szCs w:val="24"/>
          <w:lang w:eastAsia="en-AU"/>
        </w:rPr>
        <w:t xml:space="preserve"> </w:t>
      </w:r>
    </w:p>
    <w:p w:rsidR="00CC79FE" w:rsidRPr="00FA1BCF" w:rsidRDefault="00602974" w:rsidP="00CC79FE">
      <w:pPr>
        <w:jc w:val="both"/>
        <w:rPr>
          <w:b/>
          <w:i/>
          <w:sz w:val="28"/>
          <w:szCs w:val="28"/>
        </w:rPr>
      </w:pPr>
      <w:r w:rsidRPr="00FA1BCF">
        <w:rPr>
          <w:rFonts w:eastAsia="Times New Roman" w:cs="Times New Roman"/>
          <w:i/>
          <w:szCs w:val="24"/>
          <w:lang w:eastAsia="en-AU"/>
        </w:rPr>
        <w:t xml:space="preserve">Review emerging clinical treatments and diseases, including those that identify </w:t>
      </w:r>
      <w:r w:rsidR="00F442B9" w:rsidRPr="00FA1BCF">
        <w:rPr>
          <w:rFonts w:eastAsia="Times New Roman" w:cs="Times New Roman"/>
          <w:i/>
          <w:szCs w:val="24"/>
          <w:lang w:eastAsia="en-AU"/>
        </w:rPr>
        <w:t>subgroup</w:t>
      </w:r>
      <w:r w:rsidRPr="00FA1BCF">
        <w:rPr>
          <w:rFonts w:eastAsia="Times New Roman" w:cs="Times New Roman"/>
          <w:i/>
          <w:szCs w:val="24"/>
          <w:lang w:eastAsia="en-AU"/>
        </w:rPr>
        <w:t>s by molecular target, which could potentially seek subsidisation through the LSDP in the future.</w:t>
      </w:r>
    </w:p>
    <w:p w:rsidR="00CC79FE" w:rsidRPr="00FA1BCF" w:rsidRDefault="00CC79FE" w:rsidP="00CC79FE">
      <w:pPr>
        <w:pStyle w:val="ListParagraph"/>
        <w:numPr>
          <w:ilvl w:val="0"/>
          <w:numId w:val="25"/>
        </w:numPr>
        <w:jc w:val="both"/>
        <w:outlineLvl w:val="1"/>
        <w:rPr>
          <w:szCs w:val="24"/>
        </w:rPr>
      </w:pPr>
      <w:r w:rsidRPr="00FA1BCF">
        <w:rPr>
          <w:szCs w:val="24"/>
        </w:rPr>
        <w:lastRenderedPageBreak/>
        <w:t xml:space="preserve">Emerging clinical treatments use a variety of mechanisms to treat severe diseases. Treatment types of growing importance are monoclonal antibodies and gene therapies. Some rare conditions are also being targeted with </w:t>
      </w:r>
      <w:r w:rsidR="008B29C7" w:rsidRPr="00FA1BCF">
        <w:rPr>
          <w:szCs w:val="24"/>
        </w:rPr>
        <w:t xml:space="preserve">medicines </w:t>
      </w:r>
      <w:r w:rsidRPr="00FA1BCF">
        <w:rPr>
          <w:szCs w:val="24"/>
        </w:rPr>
        <w:t>that are already used for different clinical indications, and this could have implications for the public funding of these treatments.</w:t>
      </w:r>
      <w:r w:rsidR="00B56F35" w:rsidRPr="00FA1BCF">
        <w:rPr>
          <w:szCs w:val="24"/>
        </w:rPr>
        <w:t xml:space="preserve"> </w:t>
      </w:r>
    </w:p>
    <w:p w:rsidR="00CC79FE" w:rsidRPr="00FA1BCF" w:rsidRDefault="00CC79FE" w:rsidP="00CC79FE">
      <w:pPr>
        <w:pStyle w:val="ListParagraph"/>
        <w:numPr>
          <w:ilvl w:val="0"/>
          <w:numId w:val="25"/>
        </w:numPr>
        <w:jc w:val="both"/>
        <w:outlineLvl w:val="1"/>
        <w:rPr>
          <w:szCs w:val="24"/>
        </w:rPr>
      </w:pPr>
      <w:r w:rsidRPr="00FA1BCF">
        <w:rPr>
          <w:szCs w:val="24"/>
        </w:rPr>
        <w:t xml:space="preserve">The increase in knowledge regarding causative genetic mutations responsible for many common conditions is now being divided into many different rare subtypes. These subtypes can be individually targeted with </w:t>
      </w:r>
      <w:r w:rsidR="008B29C7" w:rsidRPr="00FA1BCF">
        <w:rPr>
          <w:szCs w:val="24"/>
        </w:rPr>
        <w:t xml:space="preserve">medicines </w:t>
      </w:r>
      <w:r w:rsidRPr="00FA1BCF">
        <w:rPr>
          <w:szCs w:val="24"/>
        </w:rPr>
        <w:t>that could be potentially eligible for the LSDP.</w:t>
      </w:r>
      <w:r w:rsidR="00B56F35" w:rsidRPr="00FA1BCF">
        <w:rPr>
          <w:szCs w:val="24"/>
        </w:rPr>
        <w:t xml:space="preserve"> </w:t>
      </w:r>
      <w:r w:rsidRPr="00FA1BCF">
        <w:rPr>
          <w:szCs w:val="24"/>
        </w:rPr>
        <w:t xml:space="preserve">It is possible that in the future, the majority of </w:t>
      </w:r>
      <w:r w:rsidR="008B29C7" w:rsidRPr="00FA1BCF">
        <w:rPr>
          <w:szCs w:val="24"/>
        </w:rPr>
        <w:t xml:space="preserve">medicines </w:t>
      </w:r>
      <w:r w:rsidRPr="00FA1BCF">
        <w:rPr>
          <w:szCs w:val="24"/>
        </w:rPr>
        <w:t xml:space="preserve">being developed would fit this category. </w:t>
      </w:r>
    </w:p>
    <w:p w:rsidR="00CC79FE" w:rsidRPr="00E436E7" w:rsidRDefault="00CC79FE" w:rsidP="00E436E7">
      <w:pPr>
        <w:pStyle w:val="ListParagraph"/>
        <w:numPr>
          <w:ilvl w:val="0"/>
          <w:numId w:val="25"/>
        </w:numPr>
        <w:jc w:val="both"/>
        <w:outlineLvl w:val="1"/>
        <w:rPr>
          <w:i/>
          <w:szCs w:val="24"/>
        </w:rPr>
      </w:pPr>
      <w:r w:rsidRPr="00FA1BCF">
        <w:rPr>
          <w:szCs w:val="24"/>
        </w:rPr>
        <w:t xml:space="preserve">Given that the rarity of disease is one of the current criteria for eligibility for the LSDP, an increase in the number of </w:t>
      </w:r>
      <w:r w:rsidR="008B29C7" w:rsidRPr="00FA1BCF">
        <w:rPr>
          <w:szCs w:val="24"/>
        </w:rPr>
        <w:t xml:space="preserve">medicines </w:t>
      </w:r>
      <w:r w:rsidRPr="00FA1BCF">
        <w:rPr>
          <w:szCs w:val="24"/>
        </w:rPr>
        <w:t xml:space="preserve">targeting this one criterion may increase the total number of </w:t>
      </w:r>
      <w:r w:rsidR="008B29C7" w:rsidRPr="00FA1BCF">
        <w:rPr>
          <w:szCs w:val="24"/>
        </w:rPr>
        <w:t xml:space="preserve">medicines </w:t>
      </w:r>
      <w:r w:rsidRPr="00FA1BCF">
        <w:rPr>
          <w:szCs w:val="24"/>
        </w:rPr>
        <w:t xml:space="preserve">eligible for the LSDP. </w:t>
      </w:r>
    </w:p>
    <w:p w:rsidR="0044178F" w:rsidRPr="00FA1BCF" w:rsidRDefault="00CC79FE" w:rsidP="00E436E7">
      <w:pPr>
        <w:pStyle w:val="Heading3"/>
        <w:rPr>
          <w:rFonts w:eastAsia="Times New Roman" w:cs="Times New Roman"/>
          <w:szCs w:val="24"/>
          <w:lang w:eastAsia="en-AU"/>
        </w:rPr>
      </w:pPr>
      <w:bookmarkStart w:id="27" w:name="_Toc302625585"/>
      <w:r w:rsidRPr="00FA1BCF">
        <w:t>6.1.4 Term of reference 3</w:t>
      </w:r>
      <w:bookmarkEnd w:id="27"/>
      <w:r w:rsidR="00602974" w:rsidRPr="00FA1BCF">
        <w:rPr>
          <w:rFonts w:eastAsia="Times New Roman" w:cs="Times New Roman"/>
          <w:sz w:val="24"/>
          <w:szCs w:val="24"/>
          <w:lang w:eastAsia="en-AU"/>
        </w:rPr>
        <w:t xml:space="preserve"> </w:t>
      </w:r>
    </w:p>
    <w:p w:rsidR="00CC79FE" w:rsidRPr="00FA1BCF" w:rsidRDefault="00602974" w:rsidP="00CC79FE">
      <w:pPr>
        <w:jc w:val="both"/>
        <w:rPr>
          <w:b/>
          <w:i/>
          <w:sz w:val="28"/>
          <w:szCs w:val="28"/>
        </w:rPr>
      </w:pPr>
      <w:r w:rsidRPr="00FA1BCF">
        <w:rPr>
          <w:rFonts w:eastAsia="Times New Roman" w:cs="Times New Roman"/>
          <w:i/>
          <w:szCs w:val="24"/>
          <w:lang w:eastAsia="en-AU"/>
        </w:rPr>
        <w:t>Conduct an international comparison of subsidisation of drugs for rare diseases and the definitions for a rare/ultra-rare disease.</w:t>
      </w:r>
    </w:p>
    <w:p w:rsidR="00CC79FE" w:rsidRPr="00FA1BCF" w:rsidRDefault="00CC79FE" w:rsidP="00CC79FE">
      <w:pPr>
        <w:pStyle w:val="ListParagraph"/>
        <w:numPr>
          <w:ilvl w:val="0"/>
          <w:numId w:val="25"/>
        </w:numPr>
        <w:jc w:val="both"/>
        <w:outlineLvl w:val="1"/>
        <w:rPr>
          <w:szCs w:val="24"/>
        </w:rPr>
      </w:pPr>
      <w:r w:rsidRPr="00FA1BCF">
        <w:rPr>
          <w:szCs w:val="24"/>
        </w:rPr>
        <w:t xml:space="preserve">Many funding bodies allow special consideration of orphan drugs, such as a relaxed requirement for </w:t>
      </w:r>
      <w:proofErr w:type="spellStart"/>
      <w:r w:rsidRPr="00FA1BCF">
        <w:rPr>
          <w:szCs w:val="24"/>
        </w:rPr>
        <w:t>pharmacoeconomic</w:t>
      </w:r>
      <w:proofErr w:type="spellEnd"/>
      <w:r w:rsidRPr="00FA1BCF">
        <w:rPr>
          <w:szCs w:val="24"/>
        </w:rPr>
        <w:t xml:space="preserve"> evaluation (Belgium, the Netherlands, Germany, Sweden and France), a higher cost-effectiveness threshold (Sweden), consideration of a broader societal perspective (UK), an acceptance of poorer quality evidence (Belgium, Sweden and France), or placement of greater weight in decision-making on the lack of alternative treatments (Germany, Italy and France)</w:t>
      </w:r>
      <w:r w:rsidR="00F40D3E" w:rsidRPr="00FA1BCF">
        <w:rPr>
          <w:szCs w:val="24"/>
        </w:rPr>
        <w:t>.</w:t>
      </w:r>
    </w:p>
    <w:p w:rsidR="00CC79FE" w:rsidRPr="00FA1BCF" w:rsidRDefault="00CC79FE" w:rsidP="00CC79FE">
      <w:pPr>
        <w:pStyle w:val="ListParagraph"/>
        <w:numPr>
          <w:ilvl w:val="0"/>
          <w:numId w:val="25"/>
        </w:numPr>
        <w:jc w:val="both"/>
        <w:outlineLvl w:val="1"/>
        <w:rPr>
          <w:szCs w:val="24"/>
        </w:rPr>
      </w:pPr>
      <w:r w:rsidRPr="00FA1BCF">
        <w:rPr>
          <w:szCs w:val="24"/>
        </w:rPr>
        <w:t xml:space="preserve">Pricing and funding decisions are monitored in Belgium, where </w:t>
      </w:r>
      <w:r w:rsidR="009A438D" w:rsidRPr="00FA1BCF">
        <w:rPr>
          <w:szCs w:val="24"/>
        </w:rPr>
        <w:t xml:space="preserve">medicine </w:t>
      </w:r>
      <w:r w:rsidRPr="00FA1BCF">
        <w:rPr>
          <w:szCs w:val="24"/>
        </w:rPr>
        <w:t xml:space="preserve">companies are expected to submit a revised </w:t>
      </w:r>
      <w:r w:rsidR="009A438D" w:rsidRPr="00FA1BCF">
        <w:rPr>
          <w:szCs w:val="24"/>
        </w:rPr>
        <w:t xml:space="preserve">medicine </w:t>
      </w:r>
      <w:r w:rsidRPr="00FA1BCF">
        <w:rPr>
          <w:szCs w:val="24"/>
        </w:rPr>
        <w:t xml:space="preserve">submission dossier 1.5 to 3 years following initial approval; </w:t>
      </w:r>
      <w:r w:rsidR="00F40D3E" w:rsidRPr="00FA1BCF">
        <w:rPr>
          <w:szCs w:val="24"/>
        </w:rPr>
        <w:t xml:space="preserve">in </w:t>
      </w:r>
      <w:r w:rsidRPr="00FA1BCF">
        <w:rPr>
          <w:szCs w:val="24"/>
        </w:rPr>
        <w:t xml:space="preserve">the Netherlands, where evidence is reappraised after 3 years; in France, where a listing is only valid for 5 years; and </w:t>
      </w:r>
      <w:r w:rsidR="00F40D3E" w:rsidRPr="00FA1BCF">
        <w:rPr>
          <w:szCs w:val="24"/>
        </w:rPr>
        <w:t xml:space="preserve">in </w:t>
      </w:r>
      <w:r w:rsidRPr="00FA1BCF">
        <w:rPr>
          <w:szCs w:val="24"/>
        </w:rPr>
        <w:t xml:space="preserve">the </w:t>
      </w:r>
      <w:r w:rsidR="00F40D3E" w:rsidRPr="00FA1BCF">
        <w:rPr>
          <w:szCs w:val="24"/>
        </w:rPr>
        <w:t>UK</w:t>
      </w:r>
      <w:r w:rsidRPr="00FA1BCF">
        <w:rPr>
          <w:szCs w:val="24"/>
        </w:rPr>
        <w:t>, where evidence is assessed after 5</w:t>
      </w:r>
      <w:r w:rsidR="00F40D3E" w:rsidRPr="00FA1BCF">
        <w:rPr>
          <w:szCs w:val="24"/>
        </w:rPr>
        <w:t> </w:t>
      </w:r>
      <w:r w:rsidRPr="00FA1BCF">
        <w:rPr>
          <w:szCs w:val="24"/>
        </w:rPr>
        <w:t>years</w:t>
      </w:r>
      <w:r w:rsidR="00F40D3E" w:rsidRPr="00FA1BCF">
        <w:rPr>
          <w:szCs w:val="24"/>
        </w:rPr>
        <w:t>.</w:t>
      </w:r>
    </w:p>
    <w:p w:rsidR="00CC79FE" w:rsidRPr="00FA1BCF" w:rsidRDefault="00CC79FE" w:rsidP="00CC79FE">
      <w:pPr>
        <w:pStyle w:val="ListParagraph"/>
        <w:numPr>
          <w:ilvl w:val="0"/>
          <w:numId w:val="25"/>
        </w:numPr>
        <w:jc w:val="both"/>
        <w:outlineLvl w:val="1"/>
        <w:rPr>
          <w:szCs w:val="24"/>
        </w:rPr>
      </w:pPr>
      <w:r w:rsidRPr="00FA1BCF">
        <w:rPr>
          <w:szCs w:val="24"/>
        </w:rPr>
        <w:t>Funding bodies apply different mechanisms to manage these high</w:t>
      </w:r>
      <w:r w:rsidR="00F40D3E" w:rsidRPr="00FA1BCF">
        <w:rPr>
          <w:szCs w:val="24"/>
        </w:rPr>
        <w:t>-</w:t>
      </w:r>
      <w:r w:rsidRPr="00FA1BCF">
        <w:rPr>
          <w:szCs w:val="24"/>
        </w:rPr>
        <w:t xml:space="preserve">cost </w:t>
      </w:r>
      <w:r w:rsidR="008B29C7" w:rsidRPr="00FA1BCF">
        <w:rPr>
          <w:szCs w:val="24"/>
        </w:rPr>
        <w:t xml:space="preserve">medicines </w:t>
      </w:r>
      <w:r w:rsidRPr="00FA1BCF">
        <w:rPr>
          <w:szCs w:val="24"/>
        </w:rPr>
        <w:t>including managed entry schemes, performance-based risk sharing and financial-based schemes</w:t>
      </w:r>
      <w:r w:rsidR="00F40D3E" w:rsidRPr="00FA1BCF">
        <w:rPr>
          <w:szCs w:val="24"/>
        </w:rPr>
        <w:t>.</w:t>
      </w:r>
    </w:p>
    <w:p w:rsidR="00CC79FE" w:rsidRPr="00FA1BCF" w:rsidRDefault="00CC79FE" w:rsidP="00E436E7">
      <w:pPr>
        <w:pStyle w:val="ListParagraph"/>
        <w:numPr>
          <w:ilvl w:val="0"/>
          <w:numId w:val="25"/>
        </w:numPr>
        <w:jc w:val="both"/>
        <w:outlineLvl w:val="1"/>
        <w:rPr>
          <w:i/>
          <w:szCs w:val="24"/>
        </w:rPr>
      </w:pPr>
      <w:r w:rsidRPr="00FA1BCF">
        <w:rPr>
          <w:szCs w:val="24"/>
        </w:rPr>
        <w:t>In Australia, the LSDP does not require a reassessment of the funding decision on a listing following its initial approval, although this can occur on an ad hoc basis. Managed entry schemes and risk</w:t>
      </w:r>
      <w:r w:rsidR="00F40D3E" w:rsidRPr="00FA1BCF">
        <w:rPr>
          <w:szCs w:val="24"/>
        </w:rPr>
        <w:t xml:space="preserve"> </w:t>
      </w:r>
      <w:r w:rsidRPr="00FA1BCF">
        <w:rPr>
          <w:szCs w:val="24"/>
        </w:rPr>
        <w:t xml:space="preserve">sharing are used as appropriate and with advice from the </w:t>
      </w:r>
      <w:r w:rsidR="009A438D" w:rsidRPr="00FA1BCF">
        <w:rPr>
          <w:szCs w:val="24"/>
        </w:rPr>
        <w:t xml:space="preserve">medicine </w:t>
      </w:r>
      <w:r w:rsidRPr="00FA1BCF">
        <w:rPr>
          <w:szCs w:val="24"/>
        </w:rPr>
        <w:t>sponsors.</w:t>
      </w:r>
    </w:p>
    <w:p w:rsidR="0044178F" w:rsidRPr="00FA1BCF" w:rsidRDefault="00CC79FE" w:rsidP="00E436E7">
      <w:pPr>
        <w:pStyle w:val="Heading3"/>
        <w:rPr>
          <w:rFonts w:eastAsia="Times New Roman" w:cs="Times New Roman"/>
          <w:szCs w:val="24"/>
          <w:lang w:eastAsia="en-AU"/>
        </w:rPr>
      </w:pPr>
      <w:bookmarkStart w:id="28" w:name="_Toc302625586"/>
      <w:r w:rsidRPr="00FA1BCF">
        <w:t>6.1.5 Term of reference 5</w:t>
      </w:r>
      <w:bookmarkEnd w:id="28"/>
      <w:r w:rsidR="00602974" w:rsidRPr="00FA1BCF">
        <w:rPr>
          <w:rFonts w:eastAsia="Times New Roman" w:cs="Times New Roman"/>
          <w:sz w:val="24"/>
          <w:szCs w:val="24"/>
          <w:lang w:eastAsia="en-AU"/>
        </w:rPr>
        <w:t xml:space="preserve"> </w:t>
      </w:r>
    </w:p>
    <w:p w:rsidR="00CC79FE" w:rsidRPr="00FA1BCF" w:rsidRDefault="00602974" w:rsidP="00CC79FE">
      <w:pPr>
        <w:jc w:val="both"/>
        <w:rPr>
          <w:b/>
          <w:i/>
          <w:sz w:val="28"/>
          <w:szCs w:val="28"/>
        </w:rPr>
      </w:pPr>
      <w:r w:rsidRPr="00FA1BCF">
        <w:rPr>
          <w:rFonts w:eastAsia="Times New Roman" w:cs="Times New Roman"/>
          <w:i/>
          <w:szCs w:val="24"/>
          <w:lang w:eastAsia="en-AU"/>
        </w:rPr>
        <w:t>Assess the value for money of the medicines subsidised on the LSDP by evaluating the benefit of each drug’s treatment outcomes, including in terms of quality of life achieved through the programme, and their cost.</w:t>
      </w:r>
      <w:r w:rsidR="00B56F35" w:rsidRPr="00FA1BCF">
        <w:rPr>
          <w:rFonts w:eastAsia="Times New Roman" w:cs="Times New Roman"/>
          <w:i/>
          <w:szCs w:val="24"/>
          <w:lang w:eastAsia="en-AU"/>
        </w:rPr>
        <w:t xml:space="preserve"> </w:t>
      </w:r>
    </w:p>
    <w:p w:rsidR="00CC79FE" w:rsidRPr="00FA1BCF" w:rsidRDefault="00CC79FE" w:rsidP="00CC79FE">
      <w:pPr>
        <w:jc w:val="both"/>
        <w:rPr>
          <w:szCs w:val="24"/>
        </w:rPr>
      </w:pPr>
      <w:r w:rsidRPr="00FA1BCF">
        <w:rPr>
          <w:szCs w:val="24"/>
        </w:rPr>
        <w:t>Other than routine cost</w:t>
      </w:r>
      <w:r w:rsidR="00F40D3E" w:rsidRPr="00FA1BCF">
        <w:rPr>
          <w:szCs w:val="24"/>
        </w:rPr>
        <w:t>–</w:t>
      </w:r>
      <w:r w:rsidRPr="00FA1BCF">
        <w:rPr>
          <w:szCs w:val="24"/>
        </w:rPr>
        <w:t>utility analyses, alternative approaches identified to evaluate the benefit of each of the LSDP drugs’ treatment outcomes were:</w:t>
      </w:r>
    </w:p>
    <w:p w:rsidR="00CC79FE" w:rsidRPr="00FA1BCF" w:rsidRDefault="00F40D3E" w:rsidP="00CC79FE">
      <w:pPr>
        <w:pStyle w:val="ListParagraph"/>
        <w:numPr>
          <w:ilvl w:val="0"/>
          <w:numId w:val="25"/>
        </w:numPr>
        <w:jc w:val="both"/>
        <w:outlineLvl w:val="1"/>
        <w:rPr>
          <w:szCs w:val="24"/>
        </w:rPr>
      </w:pPr>
      <w:r w:rsidRPr="00FA1BCF">
        <w:rPr>
          <w:szCs w:val="24"/>
        </w:rPr>
        <w:t>b</w:t>
      </w:r>
      <w:r w:rsidR="00CC79FE" w:rsidRPr="00FA1BCF">
        <w:rPr>
          <w:szCs w:val="24"/>
        </w:rPr>
        <w:t>roadened cost</w:t>
      </w:r>
      <w:r w:rsidRPr="00FA1BCF">
        <w:rPr>
          <w:szCs w:val="24"/>
        </w:rPr>
        <w:t>–</w:t>
      </w:r>
      <w:r w:rsidR="00CC79FE" w:rsidRPr="00FA1BCF">
        <w:rPr>
          <w:szCs w:val="24"/>
        </w:rPr>
        <w:t>utility evaluation, with improved sensitivity and broadened perspective</w:t>
      </w:r>
    </w:p>
    <w:p w:rsidR="00CC79FE" w:rsidRPr="00FA1BCF" w:rsidRDefault="00F40D3E" w:rsidP="00CC79FE">
      <w:pPr>
        <w:pStyle w:val="ListParagraph"/>
        <w:numPr>
          <w:ilvl w:val="0"/>
          <w:numId w:val="25"/>
        </w:numPr>
        <w:jc w:val="both"/>
        <w:outlineLvl w:val="1"/>
        <w:rPr>
          <w:szCs w:val="24"/>
        </w:rPr>
      </w:pPr>
      <w:r w:rsidRPr="00FA1BCF">
        <w:rPr>
          <w:szCs w:val="24"/>
        </w:rPr>
        <w:lastRenderedPageBreak/>
        <w:t>e</w:t>
      </w:r>
      <w:r w:rsidR="00CC79FE" w:rsidRPr="00FA1BCF">
        <w:rPr>
          <w:szCs w:val="24"/>
        </w:rPr>
        <w:t>quity-weighted cost</w:t>
      </w:r>
      <w:r w:rsidRPr="00FA1BCF">
        <w:rPr>
          <w:szCs w:val="24"/>
        </w:rPr>
        <w:t>–</w:t>
      </w:r>
      <w:r w:rsidR="00CC79FE" w:rsidRPr="00FA1BCF">
        <w:rPr>
          <w:szCs w:val="24"/>
        </w:rPr>
        <w:t>utility evaluation, using various weighting criteria</w:t>
      </w:r>
      <w:r w:rsidR="008A247C" w:rsidRPr="00FA1BCF">
        <w:rPr>
          <w:szCs w:val="24"/>
        </w:rPr>
        <w:t xml:space="preserve"> – </w:t>
      </w:r>
      <w:r w:rsidR="00CC79FE" w:rsidRPr="00FA1BCF">
        <w:rPr>
          <w:szCs w:val="24"/>
        </w:rPr>
        <w:t>e.g. disease severity (non-specific to orphan drugs), or rarity (specific to orphan drugs)</w:t>
      </w:r>
    </w:p>
    <w:p w:rsidR="00CC79FE" w:rsidRPr="00FA1BCF" w:rsidRDefault="00F40D3E" w:rsidP="00CC79FE">
      <w:pPr>
        <w:pStyle w:val="ListParagraph"/>
        <w:numPr>
          <w:ilvl w:val="0"/>
          <w:numId w:val="25"/>
        </w:numPr>
        <w:jc w:val="both"/>
        <w:outlineLvl w:val="1"/>
        <w:rPr>
          <w:szCs w:val="24"/>
        </w:rPr>
      </w:pPr>
      <w:r w:rsidRPr="00FA1BCF">
        <w:rPr>
          <w:szCs w:val="24"/>
        </w:rPr>
        <w:t>m</w:t>
      </w:r>
      <w:r w:rsidR="00CC79FE" w:rsidRPr="00FA1BCF">
        <w:rPr>
          <w:szCs w:val="24"/>
        </w:rPr>
        <w:t>ulti-</w:t>
      </w:r>
      <w:r w:rsidRPr="00FA1BCF">
        <w:rPr>
          <w:szCs w:val="24"/>
        </w:rPr>
        <w:t>c</w:t>
      </w:r>
      <w:r w:rsidR="00CC79FE" w:rsidRPr="00FA1BCF">
        <w:rPr>
          <w:szCs w:val="24"/>
        </w:rPr>
        <w:t xml:space="preserve">riteria </w:t>
      </w:r>
      <w:r w:rsidRPr="00FA1BCF">
        <w:rPr>
          <w:szCs w:val="24"/>
        </w:rPr>
        <w:t>d</w:t>
      </w:r>
      <w:r w:rsidR="00CC79FE" w:rsidRPr="00FA1BCF">
        <w:rPr>
          <w:szCs w:val="24"/>
        </w:rPr>
        <w:t xml:space="preserve">ecision </w:t>
      </w:r>
      <w:r w:rsidRPr="00FA1BCF">
        <w:rPr>
          <w:szCs w:val="24"/>
        </w:rPr>
        <w:t>a</w:t>
      </w:r>
      <w:r w:rsidR="00CC79FE" w:rsidRPr="00FA1BCF">
        <w:rPr>
          <w:szCs w:val="24"/>
        </w:rPr>
        <w:t xml:space="preserve">nalysis </w:t>
      </w:r>
    </w:p>
    <w:p w:rsidR="00CC79FE" w:rsidRPr="00FA1BCF" w:rsidRDefault="00F40D3E" w:rsidP="00E436E7">
      <w:pPr>
        <w:pStyle w:val="ListParagraph"/>
        <w:numPr>
          <w:ilvl w:val="0"/>
          <w:numId w:val="25"/>
        </w:numPr>
        <w:jc w:val="both"/>
        <w:outlineLvl w:val="1"/>
        <w:rPr>
          <w:szCs w:val="24"/>
        </w:rPr>
      </w:pPr>
      <w:proofErr w:type="gramStart"/>
      <w:r w:rsidRPr="00FA1BCF">
        <w:rPr>
          <w:szCs w:val="24"/>
        </w:rPr>
        <w:t>i</w:t>
      </w:r>
      <w:r w:rsidR="00CC79FE" w:rsidRPr="00FA1BCF">
        <w:rPr>
          <w:szCs w:val="24"/>
        </w:rPr>
        <w:t>nput-based</w:t>
      </w:r>
      <w:proofErr w:type="gramEnd"/>
      <w:r w:rsidR="00CC79FE" w:rsidRPr="00FA1BCF">
        <w:rPr>
          <w:szCs w:val="24"/>
        </w:rPr>
        <w:t xml:space="preserve"> costing.</w:t>
      </w:r>
    </w:p>
    <w:p w:rsidR="00CC79FE" w:rsidRPr="00FA1BCF" w:rsidRDefault="00CC79FE" w:rsidP="00CC79FE">
      <w:pPr>
        <w:jc w:val="both"/>
        <w:rPr>
          <w:i/>
          <w:szCs w:val="24"/>
        </w:rPr>
      </w:pPr>
      <w:r w:rsidRPr="00FA1BCF">
        <w:rPr>
          <w:szCs w:val="24"/>
        </w:rPr>
        <w:t xml:space="preserve">The </w:t>
      </w:r>
      <w:r w:rsidR="00F40D3E" w:rsidRPr="00FA1BCF">
        <w:rPr>
          <w:szCs w:val="24"/>
        </w:rPr>
        <w:t>e</w:t>
      </w:r>
      <w:r w:rsidRPr="00FA1BCF">
        <w:rPr>
          <w:szCs w:val="24"/>
        </w:rPr>
        <w:t xml:space="preserve">valuator noted that conducting a ‘value’ assessment on existing </w:t>
      </w:r>
      <w:r w:rsidR="008B29C7" w:rsidRPr="00FA1BCF">
        <w:rPr>
          <w:szCs w:val="24"/>
        </w:rPr>
        <w:t xml:space="preserve">medicines </w:t>
      </w:r>
      <w:r w:rsidRPr="00FA1BCF">
        <w:rPr>
          <w:szCs w:val="24"/>
        </w:rPr>
        <w:t>on the LSDP was difficult, irrespective of the metric used</w:t>
      </w:r>
      <w:r w:rsidR="00F40D3E" w:rsidRPr="00FA1BCF">
        <w:rPr>
          <w:szCs w:val="24"/>
        </w:rPr>
        <w:t>,</w:t>
      </w:r>
      <w:r w:rsidRPr="00FA1BCF">
        <w:rPr>
          <w:szCs w:val="24"/>
        </w:rPr>
        <w:t xml:space="preserve"> because of the limited evidence available to measure the clinical effectiveness of the drugs.</w:t>
      </w:r>
    </w:p>
    <w:p w:rsidR="0044178F" w:rsidRPr="00FA1BCF" w:rsidRDefault="00CC79FE" w:rsidP="00E436E7">
      <w:pPr>
        <w:pStyle w:val="Heading3"/>
        <w:rPr>
          <w:rFonts w:eastAsia="Times New Roman" w:cs="Times New Roman"/>
          <w:szCs w:val="24"/>
          <w:lang w:eastAsia="en-AU"/>
        </w:rPr>
      </w:pPr>
      <w:bookmarkStart w:id="29" w:name="_Toc302625587"/>
      <w:r w:rsidRPr="00FA1BCF">
        <w:t>6.1.6 Term of reference 7</w:t>
      </w:r>
      <w:bookmarkEnd w:id="29"/>
      <w:r w:rsidR="00602974" w:rsidRPr="00FA1BCF">
        <w:rPr>
          <w:rFonts w:eastAsia="Times New Roman" w:cs="Times New Roman"/>
          <w:sz w:val="24"/>
          <w:szCs w:val="24"/>
          <w:lang w:eastAsia="en-AU"/>
        </w:rPr>
        <w:t xml:space="preserve"> </w:t>
      </w:r>
    </w:p>
    <w:p w:rsidR="00CC79FE" w:rsidRPr="00FA1BCF" w:rsidRDefault="00602974" w:rsidP="00CC79FE">
      <w:pPr>
        <w:jc w:val="both"/>
        <w:rPr>
          <w:b/>
          <w:i/>
          <w:sz w:val="28"/>
          <w:szCs w:val="28"/>
        </w:rPr>
      </w:pPr>
      <w:r w:rsidRPr="00FA1BCF">
        <w:rPr>
          <w:rFonts w:eastAsia="Times New Roman" w:cs="Times New Roman"/>
          <w:i/>
          <w:szCs w:val="24"/>
          <w:lang w:eastAsia="en-AU"/>
        </w:rPr>
        <w:t>Establish a framework for data collection on rare diseases in Australia and assess how this could function internationally.</w:t>
      </w:r>
    </w:p>
    <w:p w:rsidR="00CC79FE" w:rsidRPr="00FA1BCF" w:rsidRDefault="00CC79FE" w:rsidP="00CC79FE">
      <w:pPr>
        <w:jc w:val="both"/>
        <w:rPr>
          <w:szCs w:val="24"/>
        </w:rPr>
      </w:pPr>
      <w:r w:rsidRPr="00FA1BCF">
        <w:rPr>
          <w:szCs w:val="24"/>
        </w:rPr>
        <w:t xml:space="preserve">The </w:t>
      </w:r>
      <w:r w:rsidR="00F40D3E" w:rsidRPr="00FA1BCF">
        <w:rPr>
          <w:szCs w:val="24"/>
        </w:rPr>
        <w:t>e</w:t>
      </w:r>
      <w:r w:rsidRPr="00FA1BCF">
        <w:rPr>
          <w:szCs w:val="24"/>
        </w:rPr>
        <w:t xml:space="preserve">valuator differentiated between rare disease registries and drug surveillance registries. The </w:t>
      </w:r>
      <w:r w:rsidR="00F40D3E" w:rsidRPr="00FA1BCF">
        <w:rPr>
          <w:szCs w:val="24"/>
        </w:rPr>
        <w:t>e</w:t>
      </w:r>
      <w:r w:rsidRPr="00FA1BCF">
        <w:rPr>
          <w:szCs w:val="24"/>
        </w:rPr>
        <w:t>valuator reported that</w:t>
      </w:r>
      <w:r w:rsidR="00F40D3E" w:rsidRPr="00FA1BCF">
        <w:rPr>
          <w:szCs w:val="24"/>
        </w:rPr>
        <w:t>,</w:t>
      </w:r>
      <w:r w:rsidRPr="00FA1BCF">
        <w:rPr>
          <w:szCs w:val="24"/>
        </w:rPr>
        <w:t xml:space="preserve"> whilst drug surveillance registries are useful to collect data to address uncertainties regarding claims of the efficacy and safety of orphan </w:t>
      </w:r>
      <w:r w:rsidR="008B29C7" w:rsidRPr="00FA1BCF">
        <w:rPr>
          <w:szCs w:val="24"/>
        </w:rPr>
        <w:t xml:space="preserve">medicines </w:t>
      </w:r>
      <w:r w:rsidRPr="00FA1BCF">
        <w:rPr>
          <w:szCs w:val="24"/>
        </w:rPr>
        <w:t xml:space="preserve">for the cohort of patients receiving treatment with the drug(s), the key purposes of rare disease registries are to </w:t>
      </w:r>
      <w:r w:rsidR="00652916" w:rsidRPr="00FA1BCF">
        <w:rPr>
          <w:szCs w:val="24"/>
        </w:rPr>
        <w:t>(</w:t>
      </w:r>
      <w:proofErr w:type="spellStart"/>
      <w:r w:rsidRPr="00FA1BCF">
        <w:rPr>
          <w:szCs w:val="24"/>
        </w:rPr>
        <w:t>i</w:t>
      </w:r>
      <w:proofErr w:type="spellEnd"/>
      <w:r w:rsidRPr="00FA1BCF">
        <w:rPr>
          <w:szCs w:val="24"/>
        </w:rPr>
        <w:t xml:space="preserve">) connect affected patients, families and clinicians; </w:t>
      </w:r>
      <w:r w:rsidR="00652916" w:rsidRPr="00FA1BCF">
        <w:rPr>
          <w:szCs w:val="24"/>
        </w:rPr>
        <w:t>(</w:t>
      </w:r>
      <w:r w:rsidRPr="00FA1BCF">
        <w:rPr>
          <w:szCs w:val="24"/>
        </w:rPr>
        <w:t xml:space="preserve">ii) study the natural history of a disease; </w:t>
      </w:r>
      <w:r w:rsidR="00652916" w:rsidRPr="00FA1BCF">
        <w:rPr>
          <w:szCs w:val="24"/>
        </w:rPr>
        <w:t>(</w:t>
      </w:r>
      <w:r w:rsidRPr="00FA1BCF">
        <w:rPr>
          <w:szCs w:val="24"/>
        </w:rPr>
        <w:t xml:space="preserve">iii) support research; and </w:t>
      </w:r>
      <w:r w:rsidR="00652916" w:rsidRPr="00FA1BCF">
        <w:rPr>
          <w:szCs w:val="24"/>
        </w:rPr>
        <w:t>(</w:t>
      </w:r>
      <w:r w:rsidRPr="00FA1BCF">
        <w:rPr>
          <w:szCs w:val="24"/>
        </w:rPr>
        <w:t>iv) establish a patient base for evaluating drugs.</w:t>
      </w:r>
    </w:p>
    <w:p w:rsidR="00CC79FE" w:rsidRPr="00FA1BCF" w:rsidRDefault="00CC79FE" w:rsidP="00CC79FE">
      <w:pPr>
        <w:jc w:val="both"/>
        <w:rPr>
          <w:szCs w:val="24"/>
        </w:rPr>
      </w:pPr>
      <w:r w:rsidRPr="00FA1BCF">
        <w:rPr>
          <w:szCs w:val="24"/>
        </w:rPr>
        <w:t xml:space="preserve">It was important to design each of the registries in accordance with its purpose. The likely objectives of the proposed surveillance registry for </w:t>
      </w:r>
      <w:r w:rsidR="008B29C7" w:rsidRPr="00FA1BCF">
        <w:rPr>
          <w:szCs w:val="24"/>
        </w:rPr>
        <w:t xml:space="preserve">medicines </w:t>
      </w:r>
      <w:r w:rsidRPr="00FA1BCF">
        <w:rPr>
          <w:szCs w:val="24"/>
        </w:rPr>
        <w:t>being reimbursed through the LSDP are</w:t>
      </w:r>
      <w:r w:rsidR="00F81FC5" w:rsidRPr="00FA1BCF">
        <w:rPr>
          <w:szCs w:val="24"/>
        </w:rPr>
        <w:t xml:space="preserve"> to</w:t>
      </w:r>
      <w:r w:rsidRPr="00FA1BCF">
        <w:rPr>
          <w:szCs w:val="24"/>
        </w:rPr>
        <w:t>:</w:t>
      </w:r>
    </w:p>
    <w:p w:rsidR="00CC79FE" w:rsidRPr="00FA1BCF" w:rsidRDefault="00CC79FE" w:rsidP="00CC79FE">
      <w:pPr>
        <w:pStyle w:val="ListParagraph"/>
        <w:numPr>
          <w:ilvl w:val="0"/>
          <w:numId w:val="25"/>
        </w:numPr>
        <w:jc w:val="both"/>
        <w:outlineLvl w:val="1"/>
        <w:rPr>
          <w:szCs w:val="24"/>
        </w:rPr>
      </w:pPr>
      <w:r w:rsidRPr="00FA1BCF">
        <w:rPr>
          <w:szCs w:val="24"/>
        </w:rPr>
        <w:t xml:space="preserve">verify initial and ongoing eligibility of patients receiving subsidised </w:t>
      </w:r>
      <w:r w:rsidR="008B29C7" w:rsidRPr="00FA1BCF">
        <w:rPr>
          <w:szCs w:val="24"/>
        </w:rPr>
        <w:t xml:space="preserve">medicines </w:t>
      </w:r>
      <w:r w:rsidRPr="00FA1BCF">
        <w:rPr>
          <w:szCs w:val="24"/>
        </w:rPr>
        <w:t xml:space="preserve">against the initially determined eligibility criteria </w:t>
      </w:r>
    </w:p>
    <w:p w:rsidR="00CC79FE" w:rsidRPr="00FA1BCF" w:rsidRDefault="00CC79FE" w:rsidP="00CC79FE">
      <w:pPr>
        <w:pStyle w:val="ListParagraph"/>
        <w:numPr>
          <w:ilvl w:val="0"/>
          <w:numId w:val="25"/>
        </w:numPr>
        <w:jc w:val="both"/>
        <w:outlineLvl w:val="1"/>
        <w:rPr>
          <w:szCs w:val="24"/>
        </w:rPr>
      </w:pPr>
      <w:r w:rsidRPr="00FA1BCF">
        <w:rPr>
          <w:szCs w:val="24"/>
        </w:rPr>
        <w:t xml:space="preserve">measure the costs of the </w:t>
      </w:r>
      <w:r w:rsidR="00F81224" w:rsidRPr="00FA1BCF">
        <w:rPr>
          <w:szCs w:val="24"/>
        </w:rPr>
        <w:t xml:space="preserve">medicine </w:t>
      </w:r>
      <w:r w:rsidRPr="00FA1BCF">
        <w:rPr>
          <w:szCs w:val="24"/>
        </w:rPr>
        <w:t>and management of the programme</w:t>
      </w:r>
    </w:p>
    <w:p w:rsidR="00CC79FE" w:rsidRPr="00FA1BCF" w:rsidRDefault="00CC79FE" w:rsidP="00CC79FE">
      <w:pPr>
        <w:pStyle w:val="ListParagraph"/>
        <w:numPr>
          <w:ilvl w:val="0"/>
          <w:numId w:val="25"/>
        </w:numPr>
        <w:jc w:val="both"/>
        <w:outlineLvl w:val="1"/>
        <w:rPr>
          <w:szCs w:val="24"/>
        </w:rPr>
      </w:pPr>
      <w:r w:rsidRPr="00FA1BCF">
        <w:rPr>
          <w:szCs w:val="24"/>
        </w:rPr>
        <w:t xml:space="preserve">evaluate the safety and effectiveness of the </w:t>
      </w:r>
      <w:r w:rsidR="00F81224" w:rsidRPr="00FA1BCF">
        <w:rPr>
          <w:szCs w:val="24"/>
        </w:rPr>
        <w:t xml:space="preserve">medicine </w:t>
      </w:r>
      <w:r w:rsidRPr="00FA1BCF">
        <w:rPr>
          <w:szCs w:val="24"/>
        </w:rPr>
        <w:t>against the claims made in the submission for funding through the LSDP</w:t>
      </w:r>
    </w:p>
    <w:p w:rsidR="00CC79FE" w:rsidRPr="00FA1BCF" w:rsidRDefault="00CC79FE" w:rsidP="00CC79FE">
      <w:pPr>
        <w:pStyle w:val="ListParagraph"/>
        <w:numPr>
          <w:ilvl w:val="0"/>
          <w:numId w:val="25"/>
        </w:numPr>
        <w:jc w:val="both"/>
        <w:outlineLvl w:val="1"/>
        <w:rPr>
          <w:szCs w:val="24"/>
        </w:rPr>
      </w:pPr>
      <w:r w:rsidRPr="00FA1BCF">
        <w:rPr>
          <w:szCs w:val="24"/>
        </w:rPr>
        <w:t xml:space="preserve">use cost, safety and effectiveness data to support outcome-based risk-share arrangements between sponsors and </w:t>
      </w:r>
      <w:r w:rsidR="00652916" w:rsidRPr="00FA1BCF">
        <w:rPr>
          <w:szCs w:val="24"/>
        </w:rPr>
        <w:t>g</w:t>
      </w:r>
      <w:r w:rsidRPr="00FA1BCF">
        <w:rPr>
          <w:szCs w:val="24"/>
        </w:rPr>
        <w:t>overnment</w:t>
      </w:r>
    </w:p>
    <w:p w:rsidR="00CC79FE" w:rsidRPr="00FA1BCF" w:rsidRDefault="00CC79FE" w:rsidP="00CC79FE">
      <w:pPr>
        <w:pStyle w:val="ListParagraph"/>
        <w:numPr>
          <w:ilvl w:val="0"/>
          <w:numId w:val="25"/>
        </w:numPr>
        <w:jc w:val="both"/>
        <w:outlineLvl w:val="1"/>
        <w:rPr>
          <w:szCs w:val="24"/>
        </w:rPr>
      </w:pPr>
      <w:r w:rsidRPr="00FA1BCF">
        <w:rPr>
          <w:szCs w:val="24"/>
        </w:rPr>
        <w:t>ensure adequate data collection to meet the aims of the registry</w:t>
      </w:r>
    </w:p>
    <w:p w:rsidR="00CC79FE" w:rsidRPr="00E436E7" w:rsidRDefault="00CC79FE" w:rsidP="00E436E7">
      <w:pPr>
        <w:pStyle w:val="ListParagraph"/>
        <w:numPr>
          <w:ilvl w:val="0"/>
          <w:numId w:val="25"/>
        </w:numPr>
        <w:jc w:val="both"/>
        <w:outlineLvl w:val="1"/>
        <w:rPr>
          <w:i/>
          <w:szCs w:val="24"/>
        </w:rPr>
      </w:pPr>
      <w:proofErr w:type="gramStart"/>
      <w:r w:rsidRPr="00FA1BCF">
        <w:rPr>
          <w:szCs w:val="24"/>
        </w:rPr>
        <w:t>ensure</w:t>
      </w:r>
      <w:proofErr w:type="gramEnd"/>
      <w:r w:rsidRPr="00FA1BCF">
        <w:rPr>
          <w:szCs w:val="24"/>
        </w:rPr>
        <w:t xml:space="preserve"> access to the data by key stakeholders. </w:t>
      </w:r>
    </w:p>
    <w:p w:rsidR="00CC79FE" w:rsidRPr="00FA1BCF" w:rsidRDefault="00CC79FE" w:rsidP="00E436E7">
      <w:pPr>
        <w:pStyle w:val="Heading3"/>
      </w:pPr>
      <w:bookmarkStart w:id="30" w:name="_Toc302625588"/>
      <w:r w:rsidRPr="00FA1BCF">
        <w:t>6.1.7 Conclusion</w:t>
      </w:r>
      <w:bookmarkEnd w:id="30"/>
    </w:p>
    <w:p w:rsidR="007312AB" w:rsidRPr="00FA1BCF" w:rsidRDefault="00CC79FE" w:rsidP="00372AA8">
      <w:pPr>
        <w:jc w:val="both"/>
        <w:rPr>
          <w:rFonts w:eastAsia="Times New Roman" w:cs="Times New Roman"/>
          <w:b/>
          <w:i/>
          <w:sz w:val="36"/>
          <w:szCs w:val="36"/>
          <w:lang w:eastAsia="en-AU"/>
        </w:rPr>
      </w:pPr>
      <w:r w:rsidRPr="00FA1BCF">
        <w:rPr>
          <w:szCs w:val="24"/>
        </w:rPr>
        <w:t xml:space="preserve">The technical report concluded that most of the </w:t>
      </w:r>
      <w:r w:rsidR="008B29C7" w:rsidRPr="00FA1BCF">
        <w:rPr>
          <w:szCs w:val="24"/>
        </w:rPr>
        <w:t xml:space="preserve">medicines </w:t>
      </w:r>
      <w:r w:rsidRPr="00FA1BCF">
        <w:rPr>
          <w:szCs w:val="24"/>
        </w:rPr>
        <w:t xml:space="preserve">subsidised by the LSDP are clinically effective and have acceptable safety profiles. There are indications that the LSDP is likely to be unsustainable in the future given </w:t>
      </w:r>
      <w:r w:rsidR="00F81224" w:rsidRPr="00FA1BCF">
        <w:rPr>
          <w:szCs w:val="24"/>
        </w:rPr>
        <w:t xml:space="preserve">medicine </w:t>
      </w:r>
      <w:r w:rsidRPr="00FA1BCF">
        <w:rPr>
          <w:szCs w:val="24"/>
        </w:rPr>
        <w:t xml:space="preserve">development and marketing trends. International experience in the public funding of orphan </w:t>
      </w:r>
      <w:r w:rsidR="008B29C7" w:rsidRPr="00FA1BCF">
        <w:rPr>
          <w:szCs w:val="24"/>
        </w:rPr>
        <w:t xml:space="preserve">medicines </w:t>
      </w:r>
      <w:r w:rsidRPr="00FA1BCF">
        <w:rPr>
          <w:szCs w:val="24"/>
        </w:rPr>
        <w:t xml:space="preserve">and from economic theory suggests that a range of approaches might be </w:t>
      </w:r>
      <w:proofErr w:type="gramStart"/>
      <w:r w:rsidRPr="00FA1BCF">
        <w:rPr>
          <w:szCs w:val="24"/>
        </w:rPr>
        <w:t>adopted</w:t>
      </w:r>
      <w:proofErr w:type="gramEnd"/>
      <w:r w:rsidRPr="00FA1BCF">
        <w:rPr>
          <w:szCs w:val="24"/>
        </w:rPr>
        <w:t xml:space="preserve"> to work towards a sustainable LSDP. A drug surveillance registry may help determine whether each </w:t>
      </w:r>
      <w:r w:rsidR="00F81224" w:rsidRPr="00FA1BCF">
        <w:rPr>
          <w:szCs w:val="24"/>
        </w:rPr>
        <w:t xml:space="preserve">medicine </w:t>
      </w:r>
      <w:r w:rsidRPr="00FA1BCF">
        <w:rPr>
          <w:szCs w:val="24"/>
        </w:rPr>
        <w:t>performs as expected.</w:t>
      </w:r>
    </w:p>
    <w:p w:rsidR="00CC79FE" w:rsidRPr="00FA1BCF" w:rsidRDefault="00CC79FE" w:rsidP="00E436E7">
      <w:pPr>
        <w:pStyle w:val="Heading2"/>
        <w:rPr>
          <w:lang w:eastAsia="en-AU"/>
        </w:rPr>
      </w:pPr>
      <w:bookmarkStart w:id="31" w:name="_Toc302625589"/>
      <w:r w:rsidRPr="00FA1BCF">
        <w:rPr>
          <w:lang w:eastAsia="en-AU"/>
        </w:rPr>
        <w:t xml:space="preserve">6.2. </w:t>
      </w:r>
      <w:r w:rsidR="00C26026" w:rsidRPr="00FA1BCF">
        <w:rPr>
          <w:lang w:eastAsia="en-AU"/>
        </w:rPr>
        <w:t xml:space="preserve">Reference </w:t>
      </w:r>
      <w:r w:rsidR="0044178F" w:rsidRPr="00FA1BCF">
        <w:rPr>
          <w:lang w:eastAsia="en-AU"/>
        </w:rPr>
        <w:t>g</w:t>
      </w:r>
      <w:r w:rsidR="00C26026" w:rsidRPr="00FA1BCF">
        <w:rPr>
          <w:lang w:eastAsia="en-AU"/>
        </w:rPr>
        <w:t xml:space="preserve">roup consideration of </w:t>
      </w:r>
      <w:r w:rsidR="0044178F" w:rsidRPr="00FA1BCF">
        <w:rPr>
          <w:lang w:eastAsia="en-AU"/>
        </w:rPr>
        <w:t>e</w:t>
      </w:r>
      <w:r w:rsidR="00372AA8" w:rsidRPr="00FA1BCF">
        <w:rPr>
          <w:lang w:eastAsia="en-AU"/>
        </w:rPr>
        <w:t>valuator’s</w:t>
      </w:r>
      <w:r w:rsidR="00C26026" w:rsidRPr="00FA1BCF">
        <w:rPr>
          <w:lang w:eastAsia="en-AU"/>
        </w:rPr>
        <w:t xml:space="preserve"> </w:t>
      </w:r>
      <w:r w:rsidR="0044178F" w:rsidRPr="00FA1BCF">
        <w:rPr>
          <w:lang w:eastAsia="en-AU"/>
        </w:rPr>
        <w:t>r</w:t>
      </w:r>
      <w:r w:rsidR="00C26026" w:rsidRPr="00FA1BCF">
        <w:rPr>
          <w:lang w:eastAsia="en-AU"/>
        </w:rPr>
        <w:t>eport</w:t>
      </w:r>
      <w:bookmarkEnd w:id="31"/>
    </w:p>
    <w:p w:rsidR="00CC79FE" w:rsidRPr="00FA1BCF" w:rsidRDefault="00372AA8" w:rsidP="00CC79FE">
      <w:pPr>
        <w:widowControl w:val="0"/>
        <w:tabs>
          <w:tab w:val="left" w:pos="220"/>
          <w:tab w:val="left" w:pos="720"/>
        </w:tabs>
        <w:autoSpaceDE w:val="0"/>
        <w:autoSpaceDN w:val="0"/>
        <w:adjustRightInd w:val="0"/>
        <w:jc w:val="both"/>
        <w:rPr>
          <w:szCs w:val="24"/>
        </w:rPr>
      </w:pPr>
      <w:r w:rsidRPr="00FA1BCF">
        <w:rPr>
          <w:szCs w:val="24"/>
        </w:rPr>
        <w:t>T</w:t>
      </w:r>
      <w:r w:rsidR="00CC79FE" w:rsidRPr="00FA1BCF">
        <w:rPr>
          <w:szCs w:val="24"/>
        </w:rPr>
        <w:t xml:space="preserve">he </w:t>
      </w:r>
      <w:r w:rsidR="00F11CA5" w:rsidRPr="00FA1BCF">
        <w:rPr>
          <w:szCs w:val="24"/>
        </w:rPr>
        <w:t>reference group</w:t>
      </w:r>
      <w:r w:rsidR="00CC79FE" w:rsidRPr="00FA1BCF">
        <w:rPr>
          <w:szCs w:val="24"/>
        </w:rPr>
        <w:t xml:space="preserve"> considered </w:t>
      </w:r>
      <w:r w:rsidRPr="00FA1BCF">
        <w:rPr>
          <w:szCs w:val="24"/>
        </w:rPr>
        <w:t xml:space="preserve">the findings of the </w:t>
      </w:r>
      <w:r w:rsidR="0044178F" w:rsidRPr="00FA1BCF">
        <w:rPr>
          <w:szCs w:val="24"/>
        </w:rPr>
        <w:t>e</w:t>
      </w:r>
      <w:r w:rsidRPr="00FA1BCF">
        <w:rPr>
          <w:szCs w:val="24"/>
        </w:rPr>
        <w:t xml:space="preserve">valuator’s report against each of its terms of reference. It considered </w:t>
      </w:r>
      <w:r w:rsidR="00CC79FE" w:rsidRPr="00FA1BCF">
        <w:rPr>
          <w:szCs w:val="24"/>
        </w:rPr>
        <w:t xml:space="preserve">whether there was more recent evidence for each disease and medicine class, since the initial decision to include a </w:t>
      </w:r>
      <w:r w:rsidR="00F81224" w:rsidRPr="00FA1BCF">
        <w:rPr>
          <w:szCs w:val="24"/>
        </w:rPr>
        <w:t xml:space="preserve">medicine </w:t>
      </w:r>
      <w:r w:rsidR="00CC79FE" w:rsidRPr="00FA1BCF">
        <w:rPr>
          <w:szCs w:val="24"/>
        </w:rPr>
        <w:t>in the LSDP, to show that:</w:t>
      </w:r>
    </w:p>
    <w:p w:rsidR="00CC79FE" w:rsidRPr="00FA1BCF" w:rsidRDefault="00CC79FE" w:rsidP="00CC79FE">
      <w:pPr>
        <w:pStyle w:val="ListParagraph"/>
        <w:numPr>
          <w:ilvl w:val="0"/>
          <w:numId w:val="25"/>
        </w:numPr>
        <w:jc w:val="both"/>
        <w:outlineLvl w:val="1"/>
        <w:rPr>
          <w:szCs w:val="24"/>
        </w:rPr>
      </w:pPr>
      <w:r w:rsidRPr="00FA1BCF">
        <w:rPr>
          <w:szCs w:val="24"/>
        </w:rPr>
        <w:lastRenderedPageBreak/>
        <w:t>the medications were effective or ineffective</w:t>
      </w:r>
    </w:p>
    <w:p w:rsidR="00CC79FE" w:rsidRPr="00FA1BCF" w:rsidRDefault="00CC79FE" w:rsidP="00CC79FE">
      <w:pPr>
        <w:pStyle w:val="ListParagraph"/>
        <w:numPr>
          <w:ilvl w:val="0"/>
          <w:numId w:val="25"/>
        </w:numPr>
        <w:jc w:val="both"/>
        <w:outlineLvl w:val="1"/>
        <w:rPr>
          <w:szCs w:val="24"/>
        </w:rPr>
      </w:pPr>
      <w:r w:rsidRPr="00FA1BCF">
        <w:rPr>
          <w:szCs w:val="24"/>
        </w:rPr>
        <w:t xml:space="preserve">the clinical benefits were less than what was claimed when the </w:t>
      </w:r>
      <w:r w:rsidR="00F81224" w:rsidRPr="00FA1BCF">
        <w:rPr>
          <w:szCs w:val="24"/>
        </w:rPr>
        <w:t xml:space="preserve">medicine </w:t>
      </w:r>
      <w:r w:rsidRPr="00FA1BCF">
        <w:rPr>
          <w:szCs w:val="24"/>
        </w:rPr>
        <w:t xml:space="preserve">was originally evaluated for inclusion on the LSDP </w:t>
      </w:r>
    </w:p>
    <w:p w:rsidR="00CC79FE" w:rsidRPr="00FA1BCF" w:rsidRDefault="00CC79FE" w:rsidP="00CC79FE">
      <w:pPr>
        <w:pStyle w:val="ListParagraph"/>
        <w:numPr>
          <w:ilvl w:val="0"/>
          <w:numId w:val="25"/>
        </w:numPr>
        <w:jc w:val="both"/>
        <w:outlineLvl w:val="1"/>
        <w:rPr>
          <w:szCs w:val="24"/>
        </w:rPr>
      </w:pPr>
      <w:r w:rsidRPr="00FA1BCF">
        <w:rPr>
          <w:szCs w:val="24"/>
        </w:rPr>
        <w:t>the risks or side</w:t>
      </w:r>
      <w:r w:rsidR="00652916" w:rsidRPr="00FA1BCF">
        <w:rPr>
          <w:szCs w:val="24"/>
        </w:rPr>
        <w:t>-</w:t>
      </w:r>
      <w:r w:rsidRPr="00FA1BCF">
        <w:rPr>
          <w:szCs w:val="24"/>
        </w:rPr>
        <w:t xml:space="preserve">effects were greater than what was claimed when the </w:t>
      </w:r>
      <w:r w:rsidR="00F81224" w:rsidRPr="00FA1BCF">
        <w:rPr>
          <w:szCs w:val="24"/>
        </w:rPr>
        <w:t xml:space="preserve">medicine </w:t>
      </w:r>
      <w:r w:rsidRPr="00FA1BCF">
        <w:rPr>
          <w:szCs w:val="24"/>
        </w:rPr>
        <w:t>was originally evaluated</w:t>
      </w:r>
    </w:p>
    <w:p w:rsidR="00CC79FE" w:rsidRPr="00FA1BCF" w:rsidRDefault="00CC79FE" w:rsidP="00CC79FE">
      <w:pPr>
        <w:pStyle w:val="ListParagraph"/>
        <w:numPr>
          <w:ilvl w:val="0"/>
          <w:numId w:val="25"/>
        </w:numPr>
        <w:jc w:val="both"/>
        <w:outlineLvl w:val="1"/>
        <w:rPr>
          <w:szCs w:val="24"/>
        </w:rPr>
      </w:pPr>
      <w:r w:rsidRPr="00FA1BCF">
        <w:rPr>
          <w:szCs w:val="24"/>
        </w:rPr>
        <w:t>there was therapeutic equivalence where there is more than one medication in the same class</w:t>
      </w:r>
    </w:p>
    <w:p w:rsidR="00CC79FE" w:rsidRPr="00FA1BCF" w:rsidRDefault="00CC79FE" w:rsidP="00CC79FE">
      <w:pPr>
        <w:pStyle w:val="ListParagraph"/>
        <w:numPr>
          <w:ilvl w:val="0"/>
          <w:numId w:val="25"/>
        </w:numPr>
        <w:jc w:val="both"/>
        <w:outlineLvl w:val="1"/>
        <w:rPr>
          <w:szCs w:val="24"/>
        </w:rPr>
      </w:pPr>
      <w:proofErr w:type="gramStart"/>
      <w:r w:rsidRPr="00FA1BCF">
        <w:rPr>
          <w:szCs w:val="24"/>
        </w:rPr>
        <w:t>there</w:t>
      </w:r>
      <w:proofErr w:type="gramEnd"/>
      <w:r w:rsidRPr="00FA1BCF">
        <w:rPr>
          <w:szCs w:val="24"/>
        </w:rPr>
        <w:t xml:space="preserve"> was additional evidence on whether individuals were or were not responding to treatment.</w:t>
      </w:r>
    </w:p>
    <w:p w:rsidR="00F81FC5" w:rsidRPr="00FA1BCF" w:rsidRDefault="00CC79FE" w:rsidP="00CC79FE">
      <w:pPr>
        <w:widowControl w:val="0"/>
        <w:tabs>
          <w:tab w:val="left" w:pos="220"/>
          <w:tab w:val="left" w:pos="720"/>
        </w:tabs>
        <w:autoSpaceDE w:val="0"/>
        <w:autoSpaceDN w:val="0"/>
        <w:adjustRightInd w:val="0"/>
        <w:jc w:val="both"/>
        <w:rPr>
          <w:szCs w:val="24"/>
        </w:rPr>
      </w:pPr>
      <w:r w:rsidRPr="00FA1BCF">
        <w:rPr>
          <w:szCs w:val="24"/>
        </w:rPr>
        <w:t xml:space="preserve">The </w:t>
      </w:r>
      <w:r w:rsidR="00F11CA5" w:rsidRPr="00FA1BCF">
        <w:rPr>
          <w:szCs w:val="24"/>
        </w:rPr>
        <w:t>reference group</w:t>
      </w:r>
      <w:r w:rsidRPr="00FA1BCF">
        <w:rPr>
          <w:szCs w:val="24"/>
        </w:rPr>
        <w:t xml:space="preserve"> concluded that </w:t>
      </w:r>
      <w:r w:rsidR="00C26026" w:rsidRPr="00FA1BCF">
        <w:rPr>
          <w:szCs w:val="24"/>
        </w:rPr>
        <w:t>long-term</w:t>
      </w:r>
      <w:r w:rsidRPr="00FA1BCF">
        <w:rPr>
          <w:szCs w:val="24"/>
        </w:rPr>
        <w:t xml:space="preserve"> efficacy data had not increased substantially despite the </w:t>
      </w:r>
      <w:r w:rsidR="008B29C7" w:rsidRPr="00FA1BCF">
        <w:rPr>
          <w:szCs w:val="24"/>
        </w:rPr>
        <w:t xml:space="preserve">medicines </w:t>
      </w:r>
      <w:r w:rsidRPr="00FA1BCF">
        <w:rPr>
          <w:szCs w:val="24"/>
        </w:rPr>
        <w:t xml:space="preserve">being on the market for many years. At the same time, there was no new evidence to suggest </w:t>
      </w:r>
      <w:r w:rsidR="00652916" w:rsidRPr="00FA1BCF">
        <w:rPr>
          <w:szCs w:val="24"/>
        </w:rPr>
        <w:t xml:space="preserve">that </w:t>
      </w:r>
      <w:r w:rsidRPr="00FA1BCF">
        <w:rPr>
          <w:szCs w:val="24"/>
        </w:rPr>
        <w:t xml:space="preserve">the original recommendation to include the </w:t>
      </w:r>
      <w:r w:rsidR="008B29C7" w:rsidRPr="00FA1BCF">
        <w:rPr>
          <w:szCs w:val="24"/>
        </w:rPr>
        <w:t xml:space="preserve">medicines </w:t>
      </w:r>
      <w:r w:rsidRPr="00FA1BCF">
        <w:rPr>
          <w:szCs w:val="24"/>
        </w:rPr>
        <w:t xml:space="preserve">on the LSDP should be amended. The </w:t>
      </w:r>
      <w:r w:rsidR="00F11CA5" w:rsidRPr="00FA1BCF">
        <w:rPr>
          <w:szCs w:val="24"/>
        </w:rPr>
        <w:t>reference group</w:t>
      </w:r>
      <w:r w:rsidRPr="00FA1BCF">
        <w:rPr>
          <w:szCs w:val="24"/>
        </w:rPr>
        <w:t xml:space="preserve"> also noted that</w:t>
      </w:r>
      <w:r w:rsidR="00652916" w:rsidRPr="00FA1BCF">
        <w:rPr>
          <w:szCs w:val="24"/>
        </w:rPr>
        <w:t>,</w:t>
      </w:r>
      <w:r w:rsidRPr="00FA1BCF">
        <w:rPr>
          <w:szCs w:val="24"/>
        </w:rPr>
        <w:t xml:space="preserve"> while none of the LSDP </w:t>
      </w:r>
      <w:r w:rsidR="008B29C7" w:rsidRPr="00FA1BCF">
        <w:rPr>
          <w:szCs w:val="24"/>
        </w:rPr>
        <w:t xml:space="preserve">medicines </w:t>
      </w:r>
      <w:r w:rsidRPr="00FA1BCF">
        <w:rPr>
          <w:szCs w:val="24"/>
        </w:rPr>
        <w:t xml:space="preserve">cured the disease, all showed an effect in slowing progression of the disease. In some instances, progression of the diseases was reversed. </w:t>
      </w:r>
    </w:p>
    <w:p w:rsidR="00CC79FE" w:rsidRPr="00FA1BCF" w:rsidRDefault="00CC79FE" w:rsidP="00E436E7">
      <w:pPr>
        <w:widowControl w:val="0"/>
        <w:tabs>
          <w:tab w:val="left" w:pos="220"/>
          <w:tab w:val="left" w:pos="720"/>
        </w:tabs>
        <w:autoSpaceDE w:val="0"/>
        <w:autoSpaceDN w:val="0"/>
        <w:adjustRightInd w:val="0"/>
        <w:jc w:val="both"/>
        <w:rPr>
          <w:szCs w:val="24"/>
        </w:rPr>
      </w:pPr>
      <w:r w:rsidRPr="00FA1BCF">
        <w:rPr>
          <w:szCs w:val="24"/>
        </w:rPr>
        <w:t xml:space="preserve">The </w:t>
      </w:r>
      <w:r w:rsidR="00F11CA5" w:rsidRPr="00FA1BCF">
        <w:rPr>
          <w:szCs w:val="24"/>
        </w:rPr>
        <w:t>reference group</w:t>
      </w:r>
      <w:r w:rsidRPr="00FA1BCF">
        <w:rPr>
          <w:szCs w:val="24"/>
        </w:rPr>
        <w:t xml:space="preserve"> suggests</w:t>
      </w:r>
      <w:r w:rsidR="00652916" w:rsidRPr="00FA1BCF">
        <w:rPr>
          <w:szCs w:val="24"/>
        </w:rPr>
        <w:t xml:space="preserve"> that</w:t>
      </w:r>
      <w:r w:rsidRPr="00FA1BCF">
        <w:rPr>
          <w:szCs w:val="24"/>
        </w:rPr>
        <w:t xml:space="preserve"> treating physicians should be supported in decisions to cease treatment in situations where there is continued deterioration in the patient’s condition despite continued administration of treatment and there is no substantial patient benefit. Reference to clear expert</w:t>
      </w:r>
      <w:r w:rsidR="00652916" w:rsidRPr="00FA1BCF">
        <w:rPr>
          <w:szCs w:val="24"/>
        </w:rPr>
        <w:t>-</w:t>
      </w:r>
      <w:r w:rsidRPr="00FA1BCF">
        <w:rPr>
          <w:szCs w:val="24"/>
        </w:rPr>
        <w:t>endorsed stopping rules is paramount and all decisions should be in consultation with the patient, carers and clinical experts.</w:t>
      </w:r>
    </w:p>
    <w:p w:rsidR="00372AA8" w:rsidRPr="00FA1BCF" w:rsidRDefault="00CC79FE" w:rsidP="00CC79FE">
      <w:pPr>
        <w:jc w:val="both"/>
        <w:rPr>
          <w:szCs w:val="24"/>
        </w:rPr>
      </w:pPr>
      <w:r w:rsidRPr="00FA1BCF">
        <w:rPr>
          <w:szCs w:val="24"/>
        </w:rPr>
        <w:t xml:space="preserve">The </w:t>
      </w:r>
      <w:r w:rsidR="00F11CA5" w:rsidRPr="00FA1BCF">
        <w:rPr>
          <w:szCs w:val="24"/>
        </w:rPr>
        <w:t>reference group</w:t>
      </w:r>
      <w:r w:rsidRPr="00FA1BCF">
        <w:rPr>
          <w:szCs w:val="24"/>
        </w:rPr>
        <w:t xml:space="preserve"> published an </w:t>
      </w:r>
      <w:r w:rsidR="00652916" w:rsidRPr="00FA1BCF">
        <w:rPr>
          <w:szCs w:val="24"/>
        </w:rPr>
        <w:t>i</w:t>
      </w:r>
      <w:r w:rsidRPr="00FA1BCF">
        <w:rPr>
          <w:szCs w:val="24"/>
        </w:rPr>
        <w:t xml:space="preserve">ssues </w:t>
      </w:r>
      <w:r w:rsidR="00652916" w:rsidRPr="00FA1BCF">
        <w:rPr>
          <w:szCs w:val="24"/>
        </w:rPr>
        <w:t>p</w:t>
      </w:r>
      <w:r w:rsidRPr="00FA1BCF">
        <w:rPr>
          <w:szCs w:val="24"/>
        </w:rPr>
        <w:t>aper in April 2015</w:t>
      </w:r>
      <w:r w:rsidR="00C26026" w:rsidRPr="00FA1BCF">
        <w:rPr>
          <w:szCs w:val="24"/>
        </w:rPr>
        <w:t xml:space="preserve"> summarising its considerations of the technical report and its initial views on </w:t>
      </w:r>
      <w:r w:rsidR="00372AA8" w:rsidRPr="00FA1BCF">
        <w:rPr>
          <w:szCs w:val="24"/>
        </w:rPr>
        <w:t xml:space="preserve">each of </w:t>
      </w:r>
      <w:r w:rsidR="00C26026" w:rsidRPr="00FA1BCF">
        <w:rPr>
          <w:szCs w:val="24"/>
        </w:rPr>
        <w:t>the terms of reference</w:t>
      </w:r>
      <w:r w:rsidRPr="00FA1BCF">
        <w:rPr>
          <w:szCs w:val="24"/>
        </w:rPr>
        <w:t xml:space="preserve">. Public opinion </w:t>
      </w:r>
      <w:r w:rsidR="00372AA8" w:rsidRPr="00FA1BCF">
        <w:rPr>
          <w:szCs w:val="24"/>
        </w:rPr>
        <w:t xml:space="preserve">(including relevant clinical groups, patient advocacy groups and medicine companies) </w:t>
      </w:r>
      <w:r w:rsidRPr="00FA1BCF">
        <w:rPr>
          <w:szCs w:val="24"/>
        </w:rPr>
        <w:t xml:space="preserve">on the </w:t>
      </w:r>
      <w:r w:rsidR="00652916" w:rsidRPr="00FA1BCF">
        <w:rPr>
          <w:szCs w:val="24"/>
        </w:rPr>
        <w:t xml:space="preserve">10 </w:t>
      </w:r>
      <w:r w:rsidRPr="00FA1BCF">
        <w:rPr>
          <w:szCs w:val="24"/>
        </w:rPr>
        <w:t>main issues was sought</w:t>
      </w:r>
      <w:r w:rsidR="00652916" w:rsidRPr="00FA1BCF">
        <w:rPr>
          <w:szCs w:val="24"/>
        </w:rPr>
        <w:t>.</w:t>
      </w:r>
      <w:r w:rsidRPr="00FA1BCF">
        <w:rPr>
          <w:szCs w:val="24"/>
        </w:rPr>
        <w:t xml:space="preserve"> </w:t>
      </w:r>
      <w:r w:rsidR="00652916" w:rsidRPr="00FA1BCF">
        <w:rPr>
          <w:szCs w:val="24"/>
        </w:rPr>
        <w:t>A</w:t>
      </w:r>
      <w:r w:rsidRPr="00FA1BCF">
        <w:rPr>
          <w:szCs w:val="24"/>
        </w:rPr>
        <w:t xml:space="preserve"> summary of the stakeholders’ views in relation to each of the issue is presented below.</w:t>
      </w:r>
    </w:p>
    <w:p w:rsidR="00D76301" w:rsidRPr="00FA1BCF" w:rsidRDefault="00372AA8" w:rsidP="00E436E7">
      <w:pPr>
        <w:pStyle w:val="Heading2"/>
        <w:rPr>
          <w:rFonts w:cs="Arial"/>
          <w:szCs w:val="24"/>
          <w:u w:val="single"/>
        </w:rPr>
      </w:pPr>
      <w:bookmarkStart w:id="32" w:name="_Toc302625590"/>
      <w:r w:rsidRPr="00FA1BCF">
        <w:rPr>
          <w:lang w:eastAsia="en-AU"/>
        </w:rPr>
        <w:t xml:space="preserve">6.3. Summary of </w:t>
      </w:r>
      <w:r w:rsidR="00B003BF" w:rsidRPr="00FA1BCF">
        <w:rPr>
          <w:lang w:eastAsia="en-AU"/>
        </w:rPr>
        <w:t>p</w:t>
      </w:r>
      <w:r w:rsidRPr="00FA1BCF">
        <w:rPr>
          <w:lang w:eastAsia="en-AU"/>
        </w:rPr>
        <w:t xml:space="preserve">ublic </w:t>
      </w:r>
      <w:r w:rsidR="00B003BF" w:rsidRPr="00FA1BCF">
        <w:rPr>
          <w:lang w:eastAsia="en-AU"/>
        </w:rPr>
        <w:t>c</w:t>
      </w:r>
      <w:r w:rsidRPr="00FA1BCF">
        <w:rPr>
          <w:lang w:eastAsia="en-AU"/>
        </w:rPr>
        <w:t xml:space="preserve">omments on </w:t>
      </w:r>
      <w:r w:rsidR="00B003BF" w:rsidRPr="00FA1BCF">
        <w:rPr>
          <w:lang w:eastAsia="en-AU"/>
        </w:rPr>
        <w:t>i</w:t>
      </w:r>
      <w:r w:rsidRPr="00FA1BCF">
        <w:rPr>
          <w:lang w:eastAsia="en-AU"/>
        </w:rPr>
        <w:t xml:space="preserve">ssues </w:t>
      </w:r>
      <w:r w:rsidR="00B003BF" w:rsidRPr="00FA1BCF">
        <w:rPr>
          <w:lang w:eastAsia="en-AU"/>
        </w:rPr>
        <w:t>p</w:t>
      </w:r>
      <w:r w:rsidRPr="00FA1BCF">
        <w:rPr>
          <w:lang w:eastAsia="en-AU"/>
        </w:rPr>
        <w:t>aper</w:t>
      </w:r>
      <w:bookmarkEnd w:id="32"/>
    </w:p>
    <w:p w:rsidR="00CC79FE" w:rsidRPr="00FA1BCF" w:rsidRDefault="00D76301" w:rsidP="00E436E7">
      <w:pPr>
        <w:pStyle w:val="Heading3"/>
        <w:rPr>
          <w:szCs w:val="24"/>
        </w:rPr>
      </w:pPr>
      <w:bookmarkStart w:id="33" w:name="_Toc302625591"/>
      <w:r w:rsidRPr="00FA1BCF">
        <w:t>6.</w:t>
      </w:r>
      <w:r w:rsidR="00372AA8" w:rsidRPr="00FA1BCF">
        <w:t>3</w:t>
      </w:r>
      <w:r w:rsidR="00CC79FE" w:rsidRPr="00FA1BCF">
        <w:t>.1 Issue 1</w:t>
      </w:r>
      <w:bookmarkEnd w:id="33"/>
      <w:r w:rsidR="00B56F35" w:rsidRPr="00FA1BCF">
        <w:rPr>
          <w:sz w:val="24"/>
          <w:szCs w:val="24"/>
        </w:rPr>
        <w:t xml:space="preserve"> </w:t>
      </w:r>
    </w:p>
    <w:p w:rsidR="00CC79FE" w:rsidRPr="00FA1BCF" w:rsidRDefault="00CC79FE" w:rsidP="00CC79FE">
      <w:pPr>
        <w:jc w:val="both"/>
        <w:outlineLvl w:val="1"/>
        <w:rPr>
          <w:i/>
          <w:szCs w:val="24"/>
        </w:rPr>
      </w:pPr>
      <w:r w:rsidRPr="00FA1BCF">
        <w:rPr>
          <w:i/>
          <w:szCs w:val="24"/>
        </w:rPr>
        <w:t xml:space="preserve">The LSDP provides access to </w:t>
      </w:r>
      <w:r w:rsidR="008B29C7" w:rsidRPr="00FA1BCF">
        <w:rPr>
          <w:i/>
          <w:szCs w:val="24"/>
        </w:rPr>
        <w:t xml:space="preserve">medicines </w:t>
      </w:r>
      <w:r w:rsidRPr="00FA1BCF">
        <w:rPr>
          <w:i/>
          <w:szCs w:val="24"/>
        </w:rPr>
        <w:t xml:space="preserve">but this is usually before there is clear evidence that the </w:t>
      </w:r>
      <w:r w:rsidR="00F81224" w:rsidRPr="00FA1BCF">
        <w:rPr>
          <w:i/>
          <w:szCs w:val="24"/>
        </w:rPr>
        <w:t xml:space="preserve">medicine </w:t>
      </w:r>
      <w:r w:rsidRPr="00FA1BCF">
        <w:rPr>
          <w:i/>
          <w:szCs w:val="24"/>
        </w:rPr>
        <w:t xml:space="preserve">is effective in the medium and long term. Consequently, the manufacturer may be being paid for a </w:t>
      </w:r>
      <w:r w:rsidR="00F81224" w:rsidRPr="00FA1BCF">
        <w:rPr>
          <w:i/>
          <w:szCs w:val="24"/>
        </w:rPr>
        <w:t xml:space="preserve">medicine </w:t>
      </w:r>
      <w:r w:rsidRPr="00FA1BCF">
        <w:rPr>
          <w:i/>
          <w:szCs w:val="24"/>
        </w:rPr>
        <w:t xml:space="preserve">that is subsequently shown to be ineffective or less effective than originally claimed. Theoretically the </w:t>
      </w:r>
      <w:r w:rsidR="00F81224" w:rsidRPr="00FA1BCF">
        <w:rPr>
          <w:i/>
          <w:szCs w:val="24"/>
        </w:rPr>
        <w:t xml:space="preserve">medicine </w:t>
      </w:r>
      <w:r w:rsidRPr="00FA1BCF">
        <w:rPr>
          <w:i/>
          <w:szCs w:val="24"/>
        </w:rPr>
        <w:t>could be more effective than originally claimed.</w:t>
      </w:r>
    </w:p>
    <w:p w:rsidR="00CC79FE" w:rsidRPr="00FA1BCF" w:rsidRDefault="00CC79FE" w:rsidP="00CC79FE">
      <w:pPr>
        <w:jc w:val="both"/>
        <w:outlineLvl w:val="1"/>
        <w:rPr>
          <w:i/>
          <w:szCs w:val="24"/>
        </w:rPr>
      </w:pPr>
      <w:r w:rsidRPr="00FA1BCF">
        <w:rPr>
          <w:i/>
          <w:szCs w:val="24"/>
        </w:rPr>
        <w:t>Should the Government expect some further evidence to support a continued benefit for patients through mechanisms like managed entry schemes and pay</w:t>
      </w:r>
      <w:r w:rsidR="008A247C" w:rsidRPr="00FA1BCF">
        <w:rPr>
          <w:i/>
          <w:szCs w:val="24"/>
        </w:rPr>
        <w:t>-</w:t>
      </w:r>
      <w:r w:rsidRPr="00FA1BCF">
        <w:rPr>
          <w:i/>
          <w:szCs w:val="24"/>
        </w:rPr>
        <w:t>for</w:t>
      </w:r>
      <w:r w:rsidR="008A247C" w:rsidRPr="00FA1BCF">
        <w:rPr>
          <w:i/>
          <w:szCs w:val="24"/>
        </w:rPr>
        <w:t>-</w:t>
      </w:r>
      <w:r w:rsidRPr="00FA1BCF">
        <w:rPr>
          <w:i/>
          <w:szCs w:val="24"/>
        </w:rPr>
        <w:t xml:space="preserve">performance mechanisms when the relative effectiveness of a </w:t>
      </w:r>
      <w:r w:rsidR="00F81224" w:rsidRPr="00FA1BCF">
        <w:rPr>
          <w:i/>
          <w:szCs w:val="24"/>
        </w:rPr>
        <w:t xml:space="preserve">medicine </w:t>
      </w:r>
      <w:r w:rsidRPr="00FA1BCF">
        <w:rPr>
          <w:i/>
          <w:szCs w:val="24"/>
        </w:rPr>
        <w:t xml:space="preserve">is not clear? </w:t>
      </w:r>
    </w:p>
    <w:p w:rsidR="00CC79FE" w:rsidRPr="00FA1BCF" w:rsidRDefault="00CC79FE" w:rsidP="00E436E7">
      <w:pPr>
        <w:pStyle w:val="ListParagraph"/>
        <w:numPr>
          <w:ilvl w:val="0"/>
          <w:numId w:val="21"/>
        </w:numPr>
        <w:jc w:val="both"/>
        <w:outlineLvl w:val="1"/>
        <w:rPr>
          <w:szCs w:val="24"/>
        </w:rPr>
      </w:pPr>
      <w:r w:rsidRPr="00FA1BCF">
        <w:rPr>
          <w:szCs w:val="24"/>
        </w:rPr>
        <w:t>Should the Government expect that sponsor companies share the uncertainty of the benefit through risk</w:t>
      </w:r>
      <w:r w:rsidR="008A247C" w:rsidRPr="00FA1BCF">
        <w:rPr>
          <w:szCs w:val="24"/>
        </w:rPr>
        <w:t>-</w:t>
      </w:r>
      <w:r w:rsidRPr="00FA1BCF">
        <w:rPr>
          <w:szCs w:val="24"/>
        </w:rPr>
        <w:t>share arrangements or similar mechanisms?</w:t>
      </w:r>
    </w:p>
    <w:p w:rsidR="00CC79FE" w:rsidRDefault="00CC79FE" w:rsidP="00E436E7">
      <w:pPr>
        <w:pStyle w:val="ListParagraph"/>
        <w:numPr>
          <w:ilvl w:val="0"/>
          <w:numId w:val="21"/>
        </w:numPr>
        <w:jc w:val="both"/>
        <w:outlineLvl w:val="1"/>
        <w:rPr>
          <w:szCs w:val="24"/>
        </w:rPr>
      </w:pPr>
      <w:r w:rsidRPr="00FA1BCF">
        <w:rPr>
          <w:szCs w:val="24"/>
        </w:rPr>
        <w:t xml:space="preserve">What criteria should </w:t>
      </w:r>
      <w:r w:rsidR="00A94861">
        <w:rPr>
          <w:szCs w:val="24"/>
        </w:rPr>
        <w:t xml:space="preserve">the </w:t>
      </w:r>
      <w:r w:rsidRPr="00FA1BCF">
        <w:rPr>
          <w:szCs w:val="24"/>
        </w:rPr>
        <w:t>Government use in determining what is a reasonable cost to pay for such drugs?</w:t>
      </w:r>
    </w:p>
    <w:p w:rsidR="00975F2D" w:rsidRPr="00FA1BCF" w:rsidRDefault="00975F2D" w:rsidP="00491886">
      <w:pPr>
        <w:pStyle w:val="ListParagraph"/>
        <w:jc w:val="both"/>
        <w:outlineLvl w:val="1"/>
        <w:rPr>
          <w:szCs w:val="24"/>
        </w:rPr>
      </w:pPr>
    </w:p>
    <w:p w:rsidR="00975F2D" w:rsidRDefault="00975F2D" w:rsidP="00CC79FE">
      <w:pPr>
        <w:jc w:val="both"/>
        <w:outlineLvl w:val="1"/>
        <w:rPr>
          <w:szCs w:val="24"/>
        </w:rPr>
      </w:pPr>
      <w:r w:rsidRPr="00975F2D">
        <w:rPr>
          <w:szCs w:val="24"/>
        </w:rPr>
        <w:lastRenderedPageBreak/>
        <w:t xml:space="preserve">There is evidence through data that is being collected to show that medicines on the LSDP are effective. Enzyme replacement therapy has reduced </w:t>
      </w:r>
      <w:r w:rsidRPr="007B6A18">
        <w:rPr>
          <w:szCs w:val="24"/>
        </w:rPr>
        <w:t xml:space="preserve">the </w:t>
      </w:r>
      <w:r w:rsidRPr="00C07057">
        <w:rPr>
          <w:szCs w:val="24"/>
        </w:rPr>
        <w:t>severity of symptoms associated with rare diseases</w:t>
      </w:r>
      <w:r w:rsidRPr="00975F2D">
        <w:rPr>
          <w:szCs w:val="24"/>
        </w:rPr>
        <w:t xml:space="preserve">. </w:t>
      </w:r>
    </w:p>
    <w:p w:rsidR="00CC79FE" w:rsidRPr="00FA1BCF" w:rsidRDefault="00CC79FE" w:rsidP="00CC79FE">
      <w:pPr>
        <w:jc w:val="both"/>
        <w:outlineLvl w:val="1"/>
        <w:rPr>
          <w:szCs w:val="24"/>
        </w:rPr>
      </w:pPr>
      <w:r w:rsidRPr="00FA1BCF">
        <w:rPr>
          <w:szCs w:val="24"/>
        </w:rPr>
        <w:t xml:space="preserve">Stakeholders generally supported the need for sponsor companies to provide further evidence to </w:t>
      </w:r>
      <w:r w:rsidR="008A247C" w:rsidRPr="00FA1BCF">
        <w:rPr>
          <w:szCs w:val="24"/>
        </w:rPr>
        <w:t>g</w:t>
      </w:r>
      <w:r w:rsidRPr="00FA1BCF">
        <w:rPr>
          <w:szCs w:val="24"/>
        </w:rPr>
        <w:t xml:space="preserve">overnment and evaluating authorities for continued public funding of the LSDP </w:t>
      </w:r>
      <w:r w:rsidR="008B29C7" w:rsidRPr="00FA1BCF">
        <w:rPr>
          <w:szCs w:val="24"/>
        </w:rPr>
        <w:t xml:space="preserve">medicines </w:t>
      </w:r>
      <w:r w:rsidRPr="00FA1BCF">
        <w:rPr>
          <w:szCs w:val="24"/>
        </w:rPr>
        <w:t xml:space="preserve">and to demonstrate </w:t>
      </w:r>
      <w:r w:rsidR="00E31C6F" w:rsidRPr="00FA1BCF">
        <w:rPr>
          <w:szCs w:val="24"/>
        </w:rPr>
        <w:t xml:space="preserve">the </w:t>
      </w:r>
      <w:r w:rsidRPr="00FA1BCF">
        <w:rPr>
          <w:szCs w:val="24"/>
        </w:rPr>
        <w:t>benefit of the drug.</w:t>
      </w:r>
      <w:r w:rsidR="00B56F35" w:rsidRPr="00FA1BCF">
        <w:rPr>
          <w:szCs w:val="24"/>
        </w:rPr>
        <w:t xml:space="preserve"> </w:t>
      </w:r>
      <w:r w:rsidRPr="00FA1BCF">
        <w:rPr>
          <w:szCs w:val="24"/>
        </w:rPr>
        <w:t>Government should expect sponsor companies to share the uncertainty of the health benefits through risk</w:t>
      </w:r>
      <w:r w:rsidR="008A247C" w:rsidRPr="00FA1BCF">
        <w:rPr>
          <w:szCs w:val="24"/>
        </w:rPr>
        <w:t>-</w:t>
      </w:r>
      <w:r w:rsidRPr="00FA1BCF">
        <w:rPr>
          <w:szCs w:val="24"/>
        </w:rPr>
        <w:t>share arrangements or similar mechanisms, as long as there is still incentive for companies to keep investing in much</w:t>
      </w:r>
      <w:r w:rsidR="008A247C" w:rsidRPr="00FA1BCF">
        <w:rPr>
          <w:szCs w:val="24"/>
        </w:rPr>
        <w:t>-</w:t>
      </w:r>
      <w:r w:rsidRPr="00FA1BCF">
        <w:rPr>
          <w:szCs w:val="24"/>
        </w:rPr>
        <w:t>needed rare disease research. Most importantly patients should be able to have timely and equitable access to treatment.</w:t>
      </w:r>
    </w:p>
    <w:p w:rsidR="00CC79FE" w:rsidRPr="00FA1BCF" w:rsidRDefault="00CC79FE" w:rsidP="00CC79FE">
      <w:pPr>
        <w:jc w:val="both"/>
        <w:outlineLvl w:val="1"/>
        <w:rPr>
          <w:szCs w:val="24"/>
        </w:rPr>
      </w:pPr>
      <w:r w:rsidRPr="00FA1BCF">
        <w:rPr>
          <w:szCs w:val="24"/>
        </w:rPr>
        <w:t xml:space="preserve">Many agreed that costs should be managed and negotiated by </w:t>
      </w:r>
      <w:r w:rsidR="008A247C" w:rsidRPr="00FA1BCF">
        <w:rPr>
          <w:szCs w:val="24"/>
        </w:rPr>
        <w:t>g</w:t>
      </w:r>
      <w:r w:rsidRPr="00FA1BCF">
        <w:rPr>
          <w:szCs w:val="24"/>
        </w:rPr>
        <w:t xml:space="preserve">overnment and the </w:t>
      </w:r>
      <w:r w:rsidR="00F81224" w:rsidRPr="00FA1BCF">
        <w:rPr>
          <w:szCs w:val="24"/>
        </w:rPr>
        <w:t xml:space="preserve">medicine </w:t>
      </w:r>
      <w:r w:rsidRPr="00FA1BCF">
        <w:rPr>
          <w:szCs w:val="24"/>
        </w:rPr>
        <w:t xml:space="preserve">sponsors. One submission suggested cost per </w:t>
      </w:r>
      <w:r w:rsidR="008A247C" w:rsidRPr="00FA1BCF">
        <w:rPr>
          <w:szCs w:val="24"/>
        </w:rPr>
        <w:t>quality-adjusted life year (</w:t>
      </w:r>
      <w:r w:rsidRPr="00FA1BCF">
        <w:rPr>
          <w:szCs w:val="24"/>
        </w:rPr>
        <w:t>QALY</w:t>
      </w:r>
      <w:r w:rsidR="008A247C" w:rsidRPr="00FA1BCF">
        <w:rPr>
          <w:szCs w:val="24"/>
        </w:rPr>
        <w:t>)</w:t>
      </w:r>
      <w:r w:rsidRPr="00FA1BCF">
        <w:rPr>
          <w:szCs w:val="24"/>
        </w:rPr>
        <w:t xml:space="preserve"> should be provided.</w:t>
      </w:r>
      <w:r w:rsidR="00B56F35" w:rsidRPr="00FA1BCF">
        <w:rPr>
          <w:szCs w:val="24"/>
        </w:rPr>
        <w:t xml:space="preserve"> </w:t>
      </w:r>
      <w:r w:rsidR="008A247C" w:rsidRPr="00FA1BCF">
        <w:rPr>
          <w:szCs w:val="24"/>
        </w:rPr>
        <w:t>A m</w:t>
      </w:r>
      <w:r w:rsidRPr="00FA1BCF">
        <w:rPr>
          <w:szCs w:val="24"/>
        </w:rPr>
        <w:t xml:space="preserve">anaged </w:t>
      </w:r>
      <w:r w:rsidR="008A247C" w:rsidRPr="00FA1BCF">
        <w:rPr>
          <w:szCs w:val="24"/>
        </w:rPr>
        <w:t>e</w:t>
      </w:r>
      <w:r w:rsidRPr="00FA1BCF">
        <w:rPr>
          <w:szCs w:val="24"/>
        </w:rPr>
        <w:t xml:space="preserve">ntry </w:t>
      </w:r>
      <w:r w:rsidR="008A247C" w:rsidRPr="00FA1BCF">
        <w:rPr>
          <w:szCs w:val="24"/>
        </w:rPr>
        <w:t>s</w:t>
      </w:r>
      <w:r w:rsidRPr="00FA1BCF">
        <w:rPr>
          <w:szCs w:val="24"/>
        </w:rPr>
        <w:t>cheme (MES) coupled with risk</w:t>
      </w:r>
      <w:r w:rsidR="008A247C" w:rsidRPr="00FA1BCF">
        <w:rPr>
          <w:szCs w:val="24"/>
        </w:rPr>
        <w:t>-</w:t>
      </w:r>
      <w:r w:rsidRPr="00FA1BCF">
        <w:rPr>
          <w:szCs w:val="24"/>
        </w:rPr>
        <w:t>share arrangements may be useful to fast</w:t>
      </w:r>
      <w:r w:rsidR="008A247C" w:rsidRPr="00FA1BCF">
        <w:rPr>
          <w:szCs w:val="24"/>
        </w:rPr>
        <w:t>-</w:t>
      </w:r>
      <w:r w:rsidRPr="00FA1BCF">
        <w:rPr>
          <w:szCs w:val="24"/>
        </w:rPr>
        <w:t xml:space="preserve">track a </w:t>
      </w:r>
      <w:r w:rsidR="00F81224" w:rsidRPr="00FA1BCF">
        <w:rPr>
          <w:szCs w:val="24"/>
        </w:rPr>
        <w:t xml:space="preserve">medicine </w:t>
      </w:r>
      <w:r w:rsidRPr="00FA1BCF">
        <w:rPr>
          <w:szCs w:val="24"/>
        </w:rPr>
        <w:t xml:space="preserve">where there is no alternative effective treatment. Clinicians must have accepted the </w:t>
      </w:r>
      <w:r w:rsidR="00F81224" w:rsidRPr="00FA1BCF">
        <w:rPr>
          <w:szCs w:val="24"/>
        </w:rPr>
        <w:t xml:space="preserve">medicine </w:t>
      </w:r>
      <w:r w:rsidRPr="00FA1BCF">
        <w:rPr>
          <w:szCs w:val="24"/>
        </w:rPr>
        <w:t>as being efficacious. Sponsors</w:t>
      </w:r>
      <w:r w:rsidR="00E31C6F" w:rsidRPr="00FA1BCF">
        <w:rPr>
          <w:szCs w:val="24"/>
        </w:rPr>
        <w:t>,</w:t>
      </w:r>
      <w:r w:rsidRPr="00FA1BCF">
        <w:rPr>
          <w:szCs w:val="24"/>
        </w:rPr>
        <w:t xml:space="preserve"> however</w:t>
      </w:r>
      <w:r w:rsidR="00EB219B" w:rsidRPr="00FA1BCF">
        <w:rPr>
          <w:szCs w:val="24"/>
        </w:rPr>
        <w:t xml:space="preserve">, </w:t>
      </w:r>
      <w:r w:rsidRPr="00FA1BCF">
        <w:rPr>
          <w:szCs w:val="24"/>
        </w:rPr>
        <w:t xml:space="preserve">should not expect an automatic rise in prices with the provision of additional data. Patients receiving </w:t>
      </w:r>
      <w:r w:rsidR="008B29C7" w:rsidRPr="00FA1BCF">
        <w:rPr>
          <w:szCs w:val="24"/>
        </w:rPr>
        <w:t xml:space="preserve">medicines </w:t>
      </w:r>
      <w:r w:rsidRPr="00FA1BCF">
        <w:rPr>
          <w:szCs w:val="24"/>
        </w:rPr>
        <w:t xml:space="preserve">under the MES must be made aware that evaluation of the </w:t>
      </w:r>
      <w:r w:rsidR="00F81224" w:rsidRPr="00FA1BCF">
        <w:rPr>
          <w:szCs w:val="24"/>
        </w:rPr>
        <w:t xml:space="preserve">medicine </w:t>
      </w:r>
      <w:r w:rsidRPr="00FA1BCF">
        <w:rPr>
          <w:szCs w:val="24"/>
        </w:rPr>
        <w:t xml:space="preserve">is ongoing and there could be risks that the </w:t>
      </w:r>
      <w:r w:rsidR="00F81224" w:rsidRPr="00FA1BCF">
        <w:rPr>
          <w:szCs w:val="24"/>
        </w:rPr>
        <w:t xml:space="preserve">medicine </w:t>
      </w:r>
      <w:r w:rsidRPr="00FA1BCF">
        <w:rPr>
          <w:szCs w:val="24"/>
        </w:rPr>
        <w:t>is toxic or ineffective.</w:t>
      </w:r>
    </w:p>
    <w:p w:rsidR="00CC79FE" w:rsidRPr="00FA1BCF" w:rsidRDefault="00CC79FE" w:rsidP="00CC79FE">
      <w:pPr>
        <w:jc w:val="both"/>
        <w:outlineLvl w:val="1"/>
        <w:rPr>
          <w:szCs w:val="24"/>
        </w:rPr>
      </w:pPr>
      <w:r w:rsidRPr="00FA1BCF">
        <w:rPr>
          <w:szCs w:val="24"/>
        </w:rPr>
        <w:t xml:space="preserve">Stakeholders believe that there should be explicit and pre-agreed criteria for determining reasonable cost of a drug. This should not be tied to </w:t>
      </w:r>
      <w:proofErr w:type="gramStart"/>
      <w:r w:rsidRPr="00FA1BCF">
        <w:rPr>
          <w:szCs w:val="24"/>
        </w:rPr>
        <w:t>continued</w:t>
      </w:r>
      <w:proofErr w:type="gramEnd"/>
      <w:r w:rsidRPr="00FA1BCF">
        <w:rPr>
          <w:szCs w:val="24"/>
        </w:rPr>
        <w:t xml:space="preserve"> funding of the drug. Reasonable cost should cover costs plus reasonable profit. </w:t>
      </w:r>
    </w:p>
    <w:p w:rsidR="00CC79FE" w:rsidRPr="00FA1BCF" w:rsidRDefault="00CC79FE" w:rsidP="00CC79FE">
      <w:pPr>
        <w:jc w:val="both"/>
        <w:outlineLvl w:val="1"/>
        <w:rPr>
          <w:szCs w:val="24"/>
        </w:rPr>
      </w:pPr>
      <w:r w:rsidRPr="00FA1BCF">
        <w:rPr>
          <w:szCs w:val="24"/>
        </w:rPr>
        <w:t xml:space="preserve">One submission suggested </w:t>
      </w:r>
      <w:r w:rsidR="008A247C" w:rsidRPr="00FA1BCF">
        <w:rPr>
          <w:szCs w:val="24"/>
        </w:rPr>
        <w:t xml:space="preserve">using </w:t>
      </w:r>
      <w:r w:rsidRPr="00FA1BCF">
        <w:rPr>
          <w:szCs w:val="24"/>
        </w:rPr>
        <w:t xml:space="preserve">a model </w:t>
      </w:r>
      <w:r w:rsidR="00813427" w:rsidRPr="00FA1BCF">
        <w:rPr>
          <w:szCs w:val="24"/>
        </w:rPr>
        <w:t xml:space="preserve">proposed by </w:t>
      </w:r>
      <w:proofErr w:type="spellStart"/>
      <w:r w:rsidR="00813427" w:rsidRPr="00FA1BCF">
        <w:rPr>
          <w:szCs w:val="24"/>
        </w:rPr>
        <w:t>Luzzatto</w:t>
      </w:r>
      <w:proofErr w:type="spellEnd"/>
      <w:r w:rsidR="00813427" w:rsidRPr="00FA1BCF">
        <w:rPr>
          <w:szCs w:val="24"/>
        </w:rPr>
        <w:t xml:space="preserve"> et al (2015)</w:t>
      </w:r>
      <w:r w:rsidRPr="00FA1BCF">
        <w:rPr>
          <w:szCs w:val="24"/>
        </w:rPr>
        <w:t xml:space="preserve"> to negotiate the cost of the orphan </w:t>
      </w:r>
      <w:r w:rsidR="008B29C7" w:rsidRPr="00FA1BCF">
        <w:rPr>
          <w:szCs w:val="24"/>
        </w:rPr>
        <w:t xml:space="preserve">medicines </w:t>
      </w:r>
      <w:r w:rsidRPr="00FA1BCF">
        <w:rPr>
          <w:szCs w:val="24"/>
        </w:rPr>
        <w:t>systematically based on the documented cost incurred during the development of an orphan drug, an estimated number of eligible patients</w:t>
      </w:r>
      <w:r w:rsidR="00EB219B" w:rsidRPr="00FA1BCF">
        <w:rPr>
          <w:szCs w:val="24"/>
        </w:rPr>
        <w:t>,</w:t>
      </w:r>
      <w:r w:rsidRPr="00FA1BCF">
        <w:rPr>
          <w:szCs w:val="24"/>
        </w:rPr>
        <w:t xml:space="preserve"> and allow</w:t>
      </w:r>
      <w:r w:rsidR="00EB219B" w:rsidRPr="00FA1BCF">
        <w:rPr>
          <w:szCs w:val="24"/>
        </w:rPr>
        <w:t xml:space="preserve">ance </w:t>
      </w:r>
      <w:r w:rsidRPr="00FA1BCF">
        <w:rPr>
          <w:szCs w:val="24"/>
        </w:rPr>
        <w:t>for a reasonable margin of profit. Recognising the common interest in other countries grappling with rising healthcare cost</w:t>
      </w:r>
      <w:r w:rsidR="00E31C6F" w:rsidRPr="00FA1BCF">
        <w:rPr>
          <w:szCs w:val="24"/>
        </w:rPr>
        <w:t>s</w:t>
      </w:r>
      <w:r w:rsidRPr="00FA1BCF">
        <w:rPr>
          <w:szCs w:val="24"/>
        </w:rPr>
        <w:t xml:space="preserve"> and the cost of these drugs, and the size of the Australian market, the submission suggested</w:t>
      </w:r>
      <w:r w:rsidR="008A247C" w:rsidRPr="00FA1BCF">
        <w:rPr>
          <w:szCs w:val="24"/>
        </w:rPr>
        <w:t xml:space="preserve"> that</w:t>
      </w:r>
      <w:r w:rsidRPr="00FA1BCF">
        <w:rPr>
          <w:szCs w:val="24"/>
        </w:rPr>
        <w:t xml:space="preserve"> national governmental </w:t>
      </w:r>
      <w:r w:rsidR="00F81224" w:rsidRPr="00FA1BCF">
        <w:rPr>
          <w:szCs w:val="24"/>
        </w:rPr>
        <w:t xml:space="preserve">medicine </w:t>
      </w:r>
      <w:r w:rsidRPr="00FA1BCF">
        <w:rPr>
          <w:szCs w:val="24"/>
        </w:rPr>
        <w:t xml:space="preserve">agencies and insurance agencies should combine to negotiate with the pharmaceutical companies. Another proposal offered was for </w:t>
      </w:r>
      <w:r w:rsidR="008A247C" w:rsidRPr="00FA1BCF">
        <w:rPr>
          <w:szCs w:val="24"/>
        </w:rPr>
        <w:t>g</w:t>
      </w:r>
      <w:r w:rsidRPr="00FA1BCF">
        <w:rPr>
          <w:szCs w:val="24"/>
        </w:rPr>
        <w:t>overnment to partner with companies to define research priorities in rare diseases and product development to avoid sponsors expending resources without certainty of recouping costs. Tendering was also touted as an option.</w:t>
      </w:r>
    </w:p>
    <w:p w:rsidR="00CC79FE" w:rsidRPr="00FA1BCF" w:rsidRDefault="00CC79FE" w:rsidP="00E436E7">
      <w:pPr>
        <w:pStyle w:val="Heading3"/>
      </w:pPr>
      <w:bookmarkStart w:id="34" w:name="_Toc302625592"/>
      <w:r w:rsidRPr="00FA1BCF">
        <w:t>6.</w:t>
      </w:r>
      <w:r w:rsidR="00372AA8" w:rsidRPr="00FA1BCF">
        <w:t>3</w:t>
      </w:r>
      <w:r w:rsidRPr="00FA1BCF">
        <w:t>.2 Issue 2</w:t>
      </w:r>
      <w:bookmarkEnd w:id="34"/>
      <w:r w:rsidRPr="00FA1BCF">
        <w:t xml:space="preserve"> </w:t>
      </w:r>
    </w:p>
    <w:p w:rsidR="00CC79FE" w:rsidRPr="00FA1BCF" w:rsidRDefault="00CC79FE" w:rsidP="00CC79FE">
      <w:pPr>
        <w:jc w:val="both"/>
        <w:outlineLvl w:val="1"/>
        <w:rPr>
          <w:i/>
          <w:szCs w:val="24"/>
        </w:rPr>
      </w:pPr>
      <w:r w:rsidRPr="00FA1BCF">
        <w:rPr>
          <w:i/>
          <w:szCs w:val="24"/>
        </w:rPr>
        <w:t xml:space="preserve">The </w:t>
      </w:r>
      <w:r w:rsidR="00F11CA5" w:rsidRPr="00FA1BCF">
        <w:rPr>
          <w:i/>
          <w:szCs w:val="24"/>
        </w:rPr>
        <w:t>reference group</w:t>
      </w:r>
      <w:r w:rsidRPr="00FA1BCF">
        <w:rPr>
          <w:i/>
          <w:szCs w:val="24"/>
        </w:rPr>
        <w:t xml:space="preserve"> concluded that none of the </w:t>
      </w:r>
      <w:r w:rsidR="008B29C7" w:rsidRPr="00FA1BCF">
        <w:rPr>
          <w:i/>
          <w:szCs w:val="24"/>
        </w:rPr>
        <w:t xml:space="preserve">medicines </w:t>
      </w:r>
      <w:r w:rsidRPr="00FA1BCF">
        <w:rPr>
          <w:i/>
          <w:szCs w:val="24"/>
        </w:rPr>
        <w:t xml:space="preserve">subsidised through the LSDP have been shown to cure the disease for which they are subsidised. With all of the </w:t>
      </w:r>
      <w:r w:rsidR="008B29C7" w:rsidRPr="00FA1BCF">
        <w:rPr>
          <w:i/>
          <w:szCs w:val="24"/>
        </w:rPr>
        <w:t>medicines</w:t>
      </w:r>
      <w:r w:rsidR="00A60479" w:rsidRPr="00FA1BCF">
        <w:rPr>
          <w:i/>
          <w:szCs w:val="24"/>
        </w:rPr>
        <w:t>,</w:t>
      </w:r>
      <w:r w:rsidR="008B29C7" w:rsidRPr="00FA1BCF">
        <w:rPr>
          <w:i/>
          <w:szCs w:val="24"/>
        </w:rPr>
        <w:t xml:space="preserve"> </w:t>
      </w:r>
      <w:r w:rsidRPr="00FA1BCF">
        <w:rPr>
          <w:i/>
          <w:szCs w:val="24"/>
        </w:rPr>
        <w:t>progression of the disease may be slowed, though not reversed. Experience with the medications has identified patients where there is a continued deterioration in the patient’s condition despite the continued administration of the relevant medication.</w:t>
      </w:r>
    </w:p>
    <w:p w:rsidR="00CC79FE" w:rsidRPr="00FA1BCF" w:rsidRDefault="00CC79FE" w:rsidP="00CC79FE">
      <w:pPr>
        <w:jc w:val="both"/>
        <w:outlineLvl w:val="1"/>
        <w:rPr>
          <w:i/>
          <w:szCs w:val="24"/>
        </w:rPr>
      </w:pPr>
      <w:r w:rsidRPr="00FA1BCF">
        <w:rPr>
          <w:i/>
          <w:szCs w:val="24"/>
        </w:rPr>
        <w:t>The review of evidence and published literature shows that some patients continue to deteriorate despite receiving continued relevant medication.</w:t>
      </w:r>
      <w:r w:rsidR="00B56F35" w:rsidRPr="00FA1BCF">
        <w:rPr>
          <w:i/>
          <w:szCs w:val="24"/>
        </w:rPr>
        <w:t xml:space="preserve"> </w:t>
      </w:r>
    </w:p>
    <w:p w:rsidR="00CC79FE" w:rsidRPr="00FA1BCF" w:rsidRDefault="00CC79FE" w:rsidP="00CC79FE">
      <w:pPr>
        <w:jc w:val="both"/>
        <w:outlineLvl w:val="1"/>
        <w:rPr>
          <w:i/>
          <w:szCs w:val="24"/>
        </w:rPr>
      </w:pPr>
      <w:r w:rsidRPr="00FA1BCF">
        <w:rPr>
          <w:i/>
          <w:szCs w:val="24"/>
        </w:rPr>
        <w:t xml:space="preserve">Is it reasonable to continue therapy when the patient’s disease progressively deteriorates as assessed by clinical parameters and clinical assessments? </w:t>
      </w:r>
    </w:p>
    <w:p w:rsidR="00CC79FE" w:rsidRPr="00FA1BCF" w:rsidRDefault="00CC79FE" w:rsidP="00E436E7">
      <w:pPr>
        <w:pStyle w:val="ListParagraph"/>
        <w:numPr>
          <w:ilvl w:val="0"/>
          <w:numId w:val="22"/>
        </w:numPr>
        <w:jc w:val="both"/>
        <w:outlineLvl w:val="1"/>
        <w:rPr>
          <w:szCs w:val="24"/>
        </w:rPr>
      </w:pPr>
      <w:r w:rsidRPr="00FA1BCF">
        <w:rPr>
          <w:szCs w:val="24"/>
        </w:rPr>
        <w:lastRenderedPageBreak/>
        <w:t>Who should decide to continue therapy if the disease and/or the disease symptoms are not stable or improving (i.e. the disease is progressing)?</w:t>
      </w:r>
    </w:p>
    <w:p w:rsidR="00CC79FE" w:rsidRPr="00E436E7" w:rsidRDefault="00CC79FE" w:rsidP="00E436E7">
      <w:pPr>
        <w:pStyle w:val="ListParagraph"/>
        <w:numPr>
          <w:ilvl w:val="0"/>
          <w:numId w:val="22"/>
        </w:numPr>
        <w:jc w:val="both"/>
        <w:outlineLvl w:val="1"/>
        <w:rPr>
          <w:i/>
          <w:szCs w:val="24"/>
        </w:rPr>
      </w:pPr>
      <w:r w:rsidRPr="00FA1BCF">
        <w:rPr>
          <w:szCs w:val="24"/>
        </w:rPr>
        <w:t>Under what circumstances would a patient or clinician consider that the person has a benefit even when their disease is progressing?</w:t>
      </w:r>
    </w:p>
    <w:p w:rsidR="00CC79FE" w:rsidRPr="00FA1BCF" w:rsidRDefault="00D76301" w:rsidP="00CC79FE">
      <w:pPr>
        <w:jc w:val="both"/>
        <w:outlineLvl w:val="1"/>
        <w:rPr>
          <w:szCs w:val="24"/>
        </w:rPr>
      </w:pPr>
      <w:r w:rsidRPr="00FA1BCF">
        <w:rPr>
          <w:szCs w:val="24"/>
        </w:rPr>
        <w:t xml:space="preserve">Responses noted </w:t>
      </w:r>
      <w:r w:rsidR="008A247C" w:rsidRPr="00FA1BCF">
        <w:rPr>
          <w:szCs w:val="24"/>
        </w:rPr>
        <w:t xml:space="preserve">that </w:t>
      </w:r>
      <w:r w:rsidRPr="00FA1BCF">
        <w:rPr>
          <w:szCs w:val="24"/>
        </w:rPr>
        <w:t>t</w:t>
      </w:r>
      <w:r w:rsidR="00CC79FE" w:rsidRPr="00FA1BCF">
        <w:rPr>
          <w:szCs w:val="24"/>
        </w:rPr>
        <w:t xml:space="preserve">here is no cure for </w:t>
      </w:r>
      <w:r w:rsidRPr="00FA1BCF">
        <w:rPr>
          <w:szCs w:val="24"/>
        </w:rPr>
        <w:t xml:space="preserve">most </w:t>
      </w:r>
      <w:r w:rsidR="00CC79FE" w:rsidRPr="00FA1BCF">
        <w:rPr>
          <w:szCs w:val="24"/>
        </w:rPr>
        <w:t xml:space="preserve">rare diseases such as those included on the LSDP. However, stabilisation of the condition, slowing disease progression and improved quality of life are valuable outcomes. Contrary to the statement in the </w:t>
      </w:r>
      <w:r w:rsidR="008A247C" w:rsidRPr="00FA1BCF">
        <w:rPr>
          <w:szCs w:val="24"/>
        </w:rPr>
        <w:t>i</w:t>
      </w:r>
      <w:r w:rsidR="00CC79FE" w:rsidRPr="00FA1BCF">
        <w:rPr>
          <w:szCs w:val="24"/>
        </w:rPr>
        <w:t xml:space="preserve">ssues </w:t>
      </w:r>
      <w:r w:rsidR="008A247C" w:rsidRPr="00FA1BCF">
        <w:rPr>
          <w:szCs w:val="24"/>
        </w:rPr>
        <w:t>p</w:t>
      </w:r>
      <w:r w:rsidR="00CC79FE" w:rsidRPr="00FA1BCF">
        <w:rPr>
          <w:szCs w:val="24"/>
        </w:rPr>
        <w:t>aper</w:t>
      </w:r>
      <w:r w:rsidR="008A247C" w:rsidRPr="00FA1BCF">
        <w:rPr>
          <w:szCs w:val="24"/>
        </w:rPr>
        <w:t>,</w:t>
      </w:r>
      <w:r w:rsidR="00CC79FE" w:rsidRPr="00FA1BCF">
        <w:rPr>
          <w:szCs w:val="24"/>
        </w:rPr>
        <w:t xml:space="preserve"> </w:t>
      </w:r>
      <w:r w:rsidRPr="00FA1BCF">
        <w:rPr>
          <w:szCs w:val="24"/>
        </w:rPr>
        <w:t xml:space="preserve">responses argued </w:t>
      </w:r>
      <w:r w:rsidR="008A247C" w:rsidRPr="00FA1BCF">
        <w:rPr>
          <w:szCs w:val="24"/>
        </w:rPr>
        <w:t xml:space="preserve">that </w:t>
      </w:r>
      <w:r w:rsidR="00CC79FE" w:rsidRPr="00FA1BCF">
        <w:rPr>
          <w:szCs w:val="24"/>
        </w:rPr>
        <w:t xml:space="preserve">there is clinical evidence that enzyme replacement therapy reverses progression. This statement was concluded in view of the evidence provided in the </w:t>
      </w:r>
      <w:r w:rsidR="008A247C" w:rsidRPr="00FA1BCF">
        <w:rPr>
          <w:szCs w:val="24"/>
        </w:rPr>
        <w:t>e</w:t>
      </w:r>
      <w:r w:rsidR="00CC79FE" w:rsidRPr="00FA1BCF">
        <w:rPr>
          <w:szCs w:val="24"/>
        </w:rPr>
        <w:t xml:space="preserve">valuator’s report where evidence was reviewed in accordance </w:t>
      </w:r>
      <w:r w:rsidR="00E31C6F" w:rsidRPr="00FA1BCF">
        <w:rPr>
          <w:szCs w:val="24"/>
        </w:rPr>
        <w:t xml:space="preserve">with </w:t>
      </w:r>
      <w:r w:rsidR="00CC79FE" w:rsidRPr="00FA1BCF">
        <w:rPr>
          <w:szCs w:val="24"/>
        </w:rPr>
        <w:t>accepted scientific practices</w:t>
      </w:r>
      <w:r w:rsidR="008B70EE" w:rsidRPr="00FA1BCF">
        <w:rPr>
          <w:szCs w:val="24"/>
        </w:rPr>
        <w:t xml:space="preserve"> (the National Health Medical Research Council Evidence Hierarchy for Interventional </w:t>
      </w:r>
      <w:r w:rsidR="008A247C" w:rsidRPr="00FA1BCF">
        <w:rPr>
          <w:szCs w:val="24"/>
        </w:rPr>
        <w:t>E</w:t>
      </w:r>
      <w:r w:rsidR="008B70EE" w:rsidRPr="00FA1BCF">
        <w:rPr>
          <w:szCs w:val="24"/>
        </w:rPr>
        <w:t xml:space="preserve">vidence (Merlin, Weston &amp; </w:t>
      </w:r>
      <w:proofErr w:type="spellStart"/>
      <w:r w:rsidR="008B70EE" w:rsidRPr="00FA1BCF">
        <w:rPr>
          <w:szCs w:val="24"/>
        </w:rPr>
        <w:t>Tooher</w:t>
      </w:r>
      <w:proofErr w:type="spellEnd"/>
      <w:r w:rsidR="008B70EE" w:rsidRPr="00FA1BCF">
        <w:rPr>
          <w:szCs w:val="24"/>
        </w:rPr>
        <w:t xml:space="preserve"> 2009</w:t>
      </w:r>
      <w:r w:rsidR="00CC79FE" w:rsidRPr="00FA1BCF">
        <w:rPr>
          <w:szCs w:val="24"/>
        </w:rPr>
        <w:t>)</w:t>
      </w:r>
      <w:r w:rsidR="008A247C" w:rsidRPr="00FA1BCF">
        <w:rPr>
          <w:szCs w:val="24"/>
        </w:rPr>
        <w:t>)</w:t>
      </w:r>
      <w:r w:rsidR="00E31C6F" w:rsidRPr="00FA1BCF">
        <w:rPr>
          <w:szCs w:val="24"/>
        </w:rPr>
        <w:t>.</w:t>
      </w:r>
      <w:r w:rsidR="00B56F35" w:rsidRPr="00FA1BCF">
        <w:rPr>
          <w:szCs w:val="24"/>
        </w:rPr>
        <w:t xml:space="preserve"> </w:t>
      </w:r>
      <w:r w:rsidR="00E31C6F" w:rsidRPr="00FA1BCF">
        <w:rPr>
          <w:szCs w:val="24"/>
        </w:rPr>
        <w:t>However,</w:t>
      </w:r>
      <w:r w:rsidR="00CC79FE" w:rsidRPr="00FA1BCF">
        <w:rPr>
          <w:szCs w:val="24"/>
        </w:rPr>
        <w:t xml:space="preserve"> </w:t>
      </w:r>
      <w:r w:rsidR="00E31C6F" w:rsidRPr="00FA1BCF">
        <w:rPr>
          <w:szCs w:val="24"/>
        </w:rPr>
        <w:t xml:space="preserve">this </w:t>
      </w:r>
      <w:r w:rsidR="00CC79FE" w:rsidRPr="00FA1BCF">
        <w:rPr>
          <w:szCs w:val="24"/>
        </w:rPr>
        <w:t xml:space="preserve">meant that evidence of </w:t>
      </w:r>
      <w:r w:rsidR="00E31C6F" w:rsidRPr="00FA1BCF">
        <w:rPr>
          <w:szCs w:val="24"/>
        </w:rPr>
        <w:t xml:space="preserve">a </w:t>
      </w:r>
      <w:r w:rsidR="00CC79FE" w:rsidRPr="00FA1BCF">
        <w:rPr>
          <w:szCs w:val="24"/>
        </w:rPr>
        <w:t>lesser level was not considered if evidence of a higher standard was available. This distorted the evidence presented.</w:t>
      </w:r>
    </w:p>
    <w:p w:rsidR="00E31C6F" w:rsidRPr="00FA1BCF" w:rsidRDefault="00CC79FE" w:rsidP="00CC79FE">
      <w:pPr>
        <w:jc w:val="both"/>
        <w:outlineLvl w:val="1"/>
        <w:rPr>
          <w:szCs w:val="24"/>
        </w:rPr>
      </w:pPr>
      <w:r w:rsidRPr="00FA1BCF">
        <w:rPr>
          <w:szCs w:val="24"/>
        </w:rPr>
        <w:t xml:space="preserve">Submissions were divided </w:t>
      </w:r>
      <w:r w:rsidR="00E31C6F" w:rsidRPr="00FA1BCF">
        <w:rPr>
          <w:szCs w:val="24"/>
        </w:rPr>
        <w:t xml:space="preserve">on </w:t>
      </w:r>
      <w:r w:rsidRPr="00FA1BCF">
        <w:rPr>
          <w:szCs w:val="24"/>
        </w:rPr>
        <w:t>the continuation of therapy in the face of continued deterioration. Some submissions suggest</w:t>
      </w:r>
      <w:r w:rsidR="00E31C6F" w:rsidRPr="00FA1BCF">
        <w:rPr>
          <w:szCs w:val="24"/>
        </w:rPr>
        <w:t>ed</w:t>
      </w:r>
      <w:r w:rsidRPr="00FA1BCF">
        <w:rPr>
          <w:szCs w:val="24"/>
        </w:rPr>
        <w:t xml:space="preserve"> that if a patient continues to deteriorate despite therapy then withdrawal of therapy is reasonable provided there is continued monitoring and symptomatic management. If </w:t>
      </w:r>
      <w:r w:rsidR="00E31C6F" w:rsidRPr="00FA1BCF">
        <w:rPr>
          <w:szCs w:val="24"/>
        </w:rPr>
        <w:t xml:space="preserve">the </w:t>
      </w:r>
      <w:r w:rsidRPr="00FA1BCF">
        <w:rPr>
          <w:szCs w:val="24"/>
        </w:rPr>
        <w:t>deterioration rate accelerates beyond expected rates, there should be a mechanism to reinstate therapy.</w:t>
      </w:r>
    </w:p>
    <w:p w:rsidR="00CC79FE" w:rsidRPr="00FA1BCF" w:rsidRDefault="00CC79FE" w:rsidP="00CC79FE">
      <w:pPr>
        <w:jc w:val="both"/>
        <w:outlineLvl w:val="1"/>
        <w:rPr>
          <w:b/>
          <w:i/>
          <w:szCs w:val="24"/>
        </w:rPr>
      </w:pPr>
      <w:r w:rsidRPr="00FA1BCF">
        <w:rPr>
          <w:szCs w:val="24"/>
        </w:rPr>
        <w:t>Withdrawal of treatments must be within pre-defined parameters and deliberations must be transparent. Others suggest</w:t>
      </w:r>
      <w:r w:rsidR="00E31C6F" w:rsidRPr="00FA1BCF">
        <w:rPr>
          <w:szCs w:val="24"/>
        </w:rPr>
        <w:t>ed that</w:t>
      </w:r>
      <w:r w:rsidRPr="00FA1BCF">
        <w:rPr>
          <w:szCs w:val="24"/>
        </w:rPr>
        <w:t xml:space="preserve"> therapy should continue as deterioration could be temporary and due to unknown factors. Another suggested deriving a cost per QALY and building it into the </w:t>
      </w:r>
      <w:r w:rsidR="008A247C" w:rsidRPr="00FA1BCF">
        <w:rPr>
          <w:szCs w:val="24"/>
        </w:rPr>
        <w:t>d</w:t>
      </w:r>
      <w:r w:rsidR="00372AA8" w:rsidRPr="00FA1BCF">
        <w:rPr>
          <w:szCs w:val="24"/>
        </w:rPr>
        <w:t xml:space="preserve">rug </w:t>
      </w:r>
      <w:r w:rsidR="008A247C" w:rsidRPr="00FA1BCF">
        <w:rPr>
          <w:szCs w:val="24"/>
        </w:rPr>
        <w:t>a</w:t>
      </w:r>
      <w:r w:rsidRPr="00FA1BCF">
        <w:rPr>
          <w:szCs w:val="24"/>
        </w:rPr>
        <w:t xml:space="preserve">uthority restrictions as an aid when deciding whether to cease treatment. All agreed that the treating specialist in consultation with </w:t>
      </w:r>
      <w:r w:rsidR="008A247C" w:rsidRPr="00FA1BCF">
        <w:rPr>
          <w:szCs w:val="24"/>
        </w:rPr>
        <w:t xml:space="preserve">the </w:t>
      </w:r>
      <w:r w:rsidRPr="00FA1BCF">
        <w:rPr>
          <w:szCs w:val="24"/>
        </w:rPr>
        <w:t xml:space="preserve">patient/carer should make the decision. One submission noted that pre-agreed criteria may not be possible for all cases, and recommended oversight by a panel of experts. </w:t>
      </w:r>
    </w:p>
    <w:p w:rsidR="00CC79FE" w:rsidRPr="00FA1BCF" w:rsidRDefault="00CC79FE" w:rsidP="00E436E7">
      <w:pPr>
        <w:pStyle w:val="Heading3"/>
      </w:pPr>
      <w:bookmarkStart w:id="35" w:name="_Toc302625593"/>
      <w:r w:rsidRPr="00FA1BCF">
        <w:t>6.</w:t>
      </w:r>
      <w:r w:rsidR="00564EAE" w:rsidRPr="00FA1BCF">
        <w:t>3</w:t>
      </w:r>
      <w:r w:rsidRPr="00FA1BCF">
        <w:t>.3 Issue 3</w:t>
      </w:r>
      <w:bookmarkEnd w:id="35"/>
    </w:p>
    <w:p w:rsidR="0074546B" w:rsidRPr="00FA1BCF" w:rsidRDefault="00CC79FE" w:rsidP="00CC79FE">
      <w:pPr>
        <w:jc w:val="both"/>
        <w:outlineLvl w:val="1"/>
        <w:rPr>
          <w:i/>
          <w:szCs w:val="24"/>
        </w:rPr>
      </w:pPr>
      <w:r w:rsidRPr="00FA1BCF">
        <w:rPr>
          <w:i/>
          <w:szCs w:val="24"/>
        </w:rPr>
        <w:t>Clinicians and patients currently agree to certain conditions</w:t>
      </w:r>
      <w:r w:rsidR="008A247C" w:rsidRPr="00FA1BCF">
        <w:rPr>
          <w:i/>
          <w:szCs w:val="24"/>
        </w:rPr>
        <w:t>,</w:t>
      </w:r>
      <w:r w:rsidRPr="00FA1BCF">
        <w:rPr>
          <w:i/>
          <w:szCs w:val="24"/>
        </w:rPr>
        <w:t xml:space="preserve"> including discontinuation of the LSDP subsidy if the patient ceases to benefit from administration of the drug, prior to the approval of the funding. </w:t>
      </w:r>
    </w:p>
    <w:p w:rsidR="00CC79FE" w:rsidRPr="00FA1BCF" w:rsidRDefault="00CC79FE" w:rsidP="00E436E7">
      <w:pPr>
        <w:pStyle w:val="ListParagraph"/>
        <w:numPr>
          <w:ilvl w:val="0"/>
          <w:numId w:val="23"/>
        </w:numPr>
        <w:jc w:val="both"/>
        <w:outlineLvl w:val="1"/>
        <w:rPr>
          <w:szCs w:val="24"/>
        </w:rPr>
      </w:pPr>
      <w:r w:rsidRPr="00FA1BCF">
        <w:rPr>
          <w:szCs w:val="24"/>
        </w:rPr>
        <w:t>Should such decisions be binding on all decision makers</w:t>
      </w:r>
      <w:r w:rsidR="008A247C" w:rsidRPr="00FA1BCF">
        <w:rPr>
          <w:szCs w:val="24"/>
        </w:rPr>
        <w:t xml:space="preserve"> – </w:t>
      </w:r>
      <w:r w:rsidRPr="00FA1BCF">
        <w:rPr>
          <w:szCs w:val="24"/>
        </w:rPr>
        <w:t>i.e. the prescriber, the consumer and the Government? If not, why not?</w:t>
      </w:r>
    </w:p>
    <w:p w:rsidR="00CC79FE" w:rsidRPr="00FA1BCF" w:rsidRDefault="0074546B" w:rsidP="00CC79FE">
      <w:pPr>
        <w:jc w:val="both"/>
        <w:outlineLvl w:val="1"/>
        <w:rPr>
          <w:szCs w:val="24"/>
        </w:rPr>
      </w:pPr>
      <w:r w:rsidRPr="00FA1BCF">
        <w:rPr>
          <w:szCs w:val="24"/>
        </w:rPr>
        <w:t>Responses indicated that t</w:t>
      </w:r>
      <w:r w:rsidR="00CC79FE" w:rsidRPr="00FA1BCF">
        <w:rPr>
          <w:szCs w:val="24"/>
        </w:rPr>
        <w:t xml:space="preserve">he Government has a responsibility to listen to patients and protect them. Some submissions </w:t>
      </w:r>
      <w:r w:rsidR="00D76301" w:rsidRPr="00FA1BCF">
        <w:rPr>
          <w:szCs w:val="24"/>
        </w:rPr>
        <w:t>stated</w:t>
      </w:r>
      <w:r w:rsidR="00CC79FE" w:rsidRPr="00FA1BCF">
        <w:rPr>
          <w:szCs w:val="24"/>
        </w:rPr>
        <w:t xml:space="preserve"> that all parties should abide by the legally binding agreement on the initiating and discontinuing conditions entered into at the start of the treatment. Any decision to enforce withdrawal should be undertaken with guidance from local or international clinical experts and exercised with caution as it may cause irreparable damage. One submission only supported withdrawing treatment if the </w:t>
      </w:r>
      <w:r w:rsidR="00F81224" w:rsidRPr="00FA1BCF">
        <w:rPr>
          <w:szCs w:val="24"/>
        </w:rPr>
        <w:t xml:space="preserve">medicine </w:t>
      </w:r>
      <w:r w:rsidR="00CC79FE" w:rsidRPr="00FA1BCF">
        <w:rPr>
          <w:szCs w:val="24"/>
        </w:rPr>
        <w:t xml:space="preserve">was not well tolerated or if there </w:t>
      </w:r>
      <w:r w:rsidR="006A44B7" w:rsidRPr="00FA1BCF">
        <w:rPr>
          <w:szCs w:val="24"/>
        </w:rPr>
        <w:t xml:space="preserve">were </w:t>
      </w:r>
      <w:r w:rsidR="00CC79FE" w:rsidRPr="00FA1BCF">
        <w:rPr>
          <w:szCs w:val="24"/>
        </w:rPr>
        <w:t>serious adverse effects.</w:t>
      </w:r>
    </w:p>
    <w:p w:rsidR="00CC79FE" w:rsidRPr="00FA1BCF" w:rsidRDefault="00CC79FE" w:rsidP="00E436E7">
      <w:pPr>
        <w:pStyle w:val="Heading3"/>
      </w:pPr>
      <w:bookmarkStart w:id="36" w:name="_Toc302625594"/>
      <w:r w:rsidRPr="00FA1BCF">
        <w:t>6.</w:t>
      </w:r>
      <w:r w:rsidR="00564EAE" w:rsidRPr="00FA1BCF">
        <w:t>3</w:t>
      </w:r>
      <w:r w:rsidRPr="00FA1BCF">
        <w:t>.</w:t>
      </w:r>
      <w:r w:rsidR="00813427" w:rsidRPr="00FA1BCF">
        <w:t>4</w:t>
      </w:r>
      <w:r w:rsidRPr="00FA1BCF">
        <w:t xml:space="preserve"> Issue 4</w:t>
      </w:r>
      <w:bookmarkEnd w:id="36"/>
      <w:r w:rsidR="00B56F35" w:rsidRPr="00FA1BCF">
        <w:t xml:space="preserve"> </w:t>
      </w:r>
    </w:p>
    <w:p w:rsidR="0074546B" w:rsidRPr="00FA1BCF" w:rsidRDefault="00CC79FE" w:rsidP="00CC79FE">
      <w:pPr>
        <w:jc w:val="both"/>
        <w:outlineLvl w:val="1"/>
        <w:rPr>
          <w:i/>
          <w:szCs w:val="24"/>
        </w:rPr>
      </w:pPr>
      <w:r w:rsidRPr="00FA1BCF">
        <w:rPr>
          <w:i/>
          <w:szCs w:val="24"/>
        </w:rPr>
        <w:t xml:space="preserve">Many </w:t>
      </w:r>
      <w:r w:rsidR="008B29C7" w:rsidRPr="00FA1BCF">
        <w:rPr>
          <w:i/>
          <w:szCs w:val="24"/>
        </w:rPr>
        <w:t xml:space="preserve">medicines </w:t>
      </w:r>
      <w:r w:rsidRPr="00FA1BCF">
        <w:rPr>
          <w:i/>
          <w:szCs w:val="24"/>
        </w:rPr>
        <w:t>subsidised on the Pharmaceutical Benefit</w:t>
      </w:r>
      <w:r w:rsidR="006A44B7" w:rsidRPr="00FA1BCF">
        <w:rPr>
          <w:i/>
          <w:szCs w:val="24"/>
        </w:rPr>
        <w:t>s</w:t>
      </w:r>
      <w:r w:rsidRPr="00FA1BCF">
        <w:rPr>
          <w:i/>
          <w:szCs w:val="24"/>
        </w:rPr>
        <w:t xml:space="preserve"> Scheme (PBS) could be considered to be life-saving. In contrast the extent to which some of the LSDP listed </w:t>
      </w:r>
      <w:r w:rsidR="008B29C7" w:rsidRPr="00FA1BCF">
        <w:rPr>
          <w:i/>
          <w:szCs w:val="24"/>
        </w:rPr>
        <w:lastRenderedPageBreak/>
        <w:t xml:space="preserve">medicines </w:t>
      </w:r>
      <w:r w:rsidRPr="00FA1BCF">
        <w:rPr>
          <w:i/>
          <w:szCs w:val="24"/>
        </w:rPr>
        <w:t xml:space="preserve">are life-saving is questionable. Many new therapies are emerging on the market. These new </w:t>
      </w:r>
      <w:r w:rsidR="008B29C7" w:rsidRPr="00FA1BCF">
        <w:rPr>
          <w:i/>
          <w:szCs w:val="24"/>
        </w:rPr>
        <w:t xml:space="preserve">medicines </w:t>
      </w:r>
      <w:r w:rsidRPr="00FA1BCF">
        <w:rPr>
          <w:i/>
          <w:szCs w:val="24"/>
        </w:rPr>
        <w:t>may treat the rarer subgroups of more common disease</w:t>
      </w:r>
      <w:r w:rsidR="006A44B7" w:rsidRPr="00FA1BCF">
        <w:rPr>
          <w:i/>
          <w:szCs w:val="24"/>
        </w:rPr>
        <w:t>s</w:t>
      </w:r>
      <w:r w:rsidRPr="00FA1BCF">
        <w:rPr>
          <w:i/>
          <w:szCs w:val="24"/>
        </w:rPr>
        <w:t xml:space="preserve">. </w:t>
      </w:r>
    </w:p>
    <w:p w:rsidR="00CC79FE" w:rsidRPr="00FA1BCF" w:rsidRDefault="00CC79FE" w:rsidP="00CC79FE">
      <w:pPr>
        <w:pStyle w:val="ListParagraph"/>
        <w:numPr>
          <w:ilvl w:val="0"/>
          <w:numId w:val="23"/>
        </w:numPr>
        <w:jc w:val="both"/>
        <w:outlineLvl w:val="1"/>
        <w:rPr>
          <w:szCs w:val="24"/>
        </w:rPr>
      </w:pPr>
      <w:r w:rsidRPr="00FA1BCF">
        <w:rPr>
          <w:szCs w:val="24"/>
        </w:rPr>
        <w:t xml:space="preserve">Some of the new treatments emerging for genetically inherited diseases such as those currently treated on the LSDP will not be </w:t>
      </w:r>
      <w:r w:rsidR="008B29C7" w:rsidRPr="00FA1BCF">
        <w:rPr>
          <w:szCs w:val="24"/>
        </w:rPr>
        <w:t xml:space="preserve">medicines </w:t>
      </w:r>
      <w:r w:rsidRPr="00FA1BCF">
        <w:rPr>
          <w:szCs w:val="24"/>
        </w:rPr>
        <w:t xml:space="preserve">in the conventional sense. Some may be tailored to the specific genetic </w:t>
      </w:r>
      <w:r w:rsidR="00F442B9" w:rsidRPr="00FA1BCF">
        <w:rPr>
          <w:szCs w:val="24"/>
        </w:rPr>
        <w:t>subtype</w:t>
      </w:r>
      <w:r w:rsidRPr="00FA1BCF">
        <w:rPr>
          <w:szCs w:val="24"/>
        </w:rPr>
        <w:t>s of each individual for a more common disease.</w:t>
      </w:r>
    </w:p>
    <w:p w:rsidR="00CC79FE" w:rsidRPr="00FA1BCF" w:rsidRDefault="00CC79FE" w:rsidP="00E436E7">
      <w:pPr>
        <w:pStyle w:val="ListParagraph"/>
        <w:numPr>
          <w:ilvl w:val="0"/>
          <w:numId w:val="23"/>
        </w:numPr>
        <w:jc w:val="both"/>
        <w:outlineLvl w:val="1"/>
        <w:rPr>
          <w:szCs w:val="24"/>
        </w:rPr>
      </w:pPr>
      <w:r w:rsidRPr="00FA1BCF">
        <w:rPr>
          <w:szCs w:val="24"/>
        </w:rPr>
        <w:t>Should the LSDP be extended to treatments that are specific to one or two individuals and/or to small subsets of individuals with a unique rare mutation which responds to a specific therapy (i.e. truly individualised therapy)?</w:t>
      </w:r>
    </w:p>
    <w:p w:rsidR="00CC79FE" w:rsidRPr="00FA1BCF" w:rsidRDefault="00CC79FE" w:rsidP="0074546B">
      <w:pPr>
        <w:pStyle w:val="ListParagraph"/>
        <w:numPr>
          <w:ilvl w:val="0"/>
          <w:numId w:val="23"/>
        </w:numPr>
        <w:jc w:val="both"/>
        <w:outlineLvl w:val="1"/>
        <w:rPr>
          <w:szCs w:val="24"/>
        </w:rPr>
      </w:pPr>
      <w:r w:rsidRPr="00FA1BCF">
        <w:rPr>
          <w:szCs w:val="24"/>
        </w:rPr>
        <w:t xml:space="preserve">If so are the criteria of value and effectiveness currently used by the </w:t>
      </w:r>
      <w:r w:rsidR="00D45004" w:rsidRPr="00FA1BCF">
        <w:rPr>
          <w:szCs w:val="24"/>
        </w:rPr>
        <w:t>Pharmaceutical Benefits Advisory Committee (</w:t>
      </w:r>
      <w:r w:rsidRPr="00FA1BCF">
        <w:rPr>
          <w:szCs w:val="24"/>
        </w:rPr>
        <w:t>PBAC</w:t>
      </w:r>
      <w:r w:rsidR="00D45004" w:rsidRPr="00FA1BCF">
        <w:rPr>
          <w:szCs w:val="24"/>
        </w:rPr>
        <w:t>)</w:t>
      </w:r>
      <w:r w:rsidRPr="00FA1BCF">
        <w:rPr>
          <w:szCs w:val="24"/>
        </w:rPr>
        <w:t xml:space="preserve"> still relevant? If not what should be the criteria for each of the groups referred to in the question above?</w:t>
      </w:r>
    </w:p>
    <w:p w:rsidR="00CC79FE" w:rsidRPr="00FA1BCF" w:rsidRDefault="00CC79FE" w:rsidP="00E436E7">
      <w:pPr>
        <w:pStyle w:val="ListParagraph"/>
        <w:numPr>
          <w:ilvl w:val="0"/>
          <w:numId w:val="23"/>
        </w:numPr>
        <w:jc w:val="both"/>
        <w:outlineLvl w:val="1"/>
        <w:rPr>
          <w:szCs w:val="24"/>
        </w:rPr>
      </w:pPr>
      <w:r w:rsidRPr="00FA1BCF">
        <w:rPr>
          <w:szCs w:val="24"/>
        </w:rPr>
        <w:t xml:space="preserve">Should there be a distinction between the types of diseases with treatments on the LSDP for rarer </w:t>
      </w:r>
      <w:r w:rsidR="00F442B9" w:rsidRPr="00FA1BCF">
        <w:rPr>
          <w:szCs w:val="24"/>
        </w:rPr>
        <w:t>subtype</w:t>
      </w:r>
      <w:r w:rsidRPr="00FA1BCF">
        <w:rPr>
          <w:szCs w:val="24"/>
        </w:rPr>
        <w:t>s of more common diseases and rare disease</w:t>
      </w:r>
      <w:r w:rsidR="006A44B7" w:rsidRPr="00FA1BCF">
        <w:rPr>
          <w:szCs w:val="24"/>
        </w:rPr>
        <w:t>s</w:t>
      </w:r>
      <w:r w:rsidRPr="00FA1BCF">
        <w:rPr>
          <w:szCs w:val="24"/>
        </w:rPr>
        <w:t>?</w:t>
      </w:r>
    </w:p>
    <w:p w:rsidR="00CC79FE" w:rsidRPr="00FA1BCF" w:rsidRDefault="0074546B" w:rsidP="00CC79FE">
      <w:pPr>
        <w:jc w:val="both"/>
        <w:outlineLvl w:val="1"/>
        <w:rPr>
          <w:i/>
          <w:szCs w:val="24"/>
        </w:rPr>
      </w:pPr>
      <w:r w:rsidRPr="00FA1BCF">
        <w:rPr>
          <w:szCs w:val="24"/>
        </w:rPr>
        <w:t>Responses noted that</w:t>
      </w:r>
      <w:r w:rsidR="006A44B7" w:rsidRPr="00FA1BCF">
        <w:rPr>
          <w:szCs w:val="24"/>
        </w:rPr>
        <w:t>,</w:t>
      </w:r>
      <w:r w:rsidRPr="00FA1BCF">
        <w:rPr>
          <w:szCs w:val="24"/>
        </w:rPr>
        <w:t xml:space="preserve"> i</w:t>
      </w:r>
      <w:r w:rsidR="00CC79FE" w:rsidRPr="00FA1BCF">
        <w:rPr>
          <w:szCs w:val="24"/>
        </w:rPr>
        <w:t xml:space="preserve">n general, society has not discussed putting a cap on the </w:t>
      </w:r>
      <w:r w:rsidR="00891F01" w:rsidRPr="00FA1BCF">
        <w:rPr>
          <w:szCs w:val="24"/>
        </w:rPr>
        <w:t xml:space="preserve">total </w:t>
      </w:r>
      <w:r w:rsidR="00CC79FE" w:rsidRPr="00FA1BCF">
        <w:rPr>
          <w:szCs w:val="24"/>
        </w:rPr>
        <w:t xml:space="preserve">amount spent per patient and </w:t>
      </w:r>
      <w:r w:rsidR="006A44B7" w:rsidRPr="00FA1BCF">
        <w:rPr>
          <w:szCs w:val="24"/>
        </w:rPr>
        <w:t xml:space="preserve">that </w:t>
      </w:r>
      <w:r w:rsidR="00CC79FE" w:rsidRPr="00FA1BCF">
        <w:rPr>
          <w:szCs w:val="24"/>
        </w:rPr>
        <w:t xml:space="preserve">a patient would expect to receive optimised therapy specific to the patient need. </w:t>
      </w:r>
      <w:r w:rsidR="00C26026" w:rsidRPr="00FA1BCF">
        <w:rPr>
          <w:szCs w:val="24"/>
        </w:rPr>
        <w:t>It was also commented that</w:t>
      </w:r>
      <w:r w:rsidR="006A44B7" w:rsidRPr="00FA1BCF">
        <w:rPr>
          <w:szCs w:val="24"/>
        </w:rPr>
        <w:t>,</w:t>
      </w:r>
      <w:r w:rsidR="00C26026" w:rsidRPr="00FA1BCF">
        <w:rPr>
          <w:szCs w:val="24"/>
        </w:rPr>
        <w:t xml:space="preserve"> a</w:t>
      </w:r>
      <w:r w:rsidR="00CC79FE" w:rsidRPr="00FA1BCF">
        <w:rPr>
          <w:szCs w:val="24"/>
        </w:rPr>
        <w:t>s long as a high</w:t>
      </w:r>
      <w:r w:rsidR="006A44B7" w:rsidRPr="00FA1BCF">
        <w:rPr>
          <w:szCs w:val="24"/>
        </w:rPr>
        <w:t>-</w:t>
      </w:r>
      <w:r w:rsidR="00CC79FE" w:rsidRPr="00FA1BCF">
        <w:rPr>
          <w:szCs w:val="24"/>
        </w:rPr>
        <w:t xml:space="preserve">cost </w:t>
      </w:r>
      <w:r w:rsidR="00F81224" w:rsidRPr="00FA1BCF">
        <w:rPr>
          <w:szCs w:val="24"/>
        </w:rPr>
        <w:t xml:space="preserve">medicine </w:t>
      </w:r>
      <w:r w:rsidR="00CC79FE" w:rsidRPr="00FA1BCF">
        <w:rPr>
          <w:szCs w:val="24"/>
        </w:rPr>
        <w:t xml:space="preserve">offers a </w:t>
      </w:r>
      <w:r w:rsidR="00EB2F2C" w:rsidRPr="00FA1BCF">
        <w:rPr>
          <w:szCs w:val="24"/>
        </w:rPr>
        <w:t xml:space="preserve">significant </w:t>
      </w:r>
      <w:r w:rsidR="00CC79FE" w:rsidRPr="00FA1BCF">
        <w:rPr>
          <w:szCs w:val="24"/>
        </w:rPr>
        <w:t>health benefit, there is no moral difference between providing high</w:t>
      </w:r>
      <w:r w:rsidR="006A44B7" w:rsidRPr="00FA1BCF">
        <w:rPr>
          <w:szCs w:val="24"/>
        </w:rPr>
        <w:t>-</w:t>
      </w:r>
      <w:r w:rsidR="00CC79FE" w:rsidRPr="00FA1BCF">
        <w:rPr>
          <w:szCs w:val="24"/>
        </w:rPr>
        <w:t xml:space="preserve">cost </w:t>
      </w:r>
      <w:r w:rsidR="008B29C7" w:rsidRPr="00FA1BCF">
        <w:rPr>
          <w:szCs w:val="24"/>
        </w:rPr>
        <w:t xml:space="preserve">medicines </w:t>
      </w:r>
      <w:r w:rsidR="00CC79FE" w:rsidRPr="00FA1BCF">
        <w:rPr>
          <w:szCs w:val="24"/>
        </w:rPr>
        <w:t>for small groups of patients with rare genetic diseases and those with genetic subgroups of common disease</w:t>
      </w:r>
      <w:r w:rsidR="00F442B9" w:rsidRPr="00FA1BCF">
        <w:rPr>
          <w:szCs w:val="24"/>
        </w:rPr>
        <w:t>s</w:t>
      </w:r>
      <w:r w:rsidR="00CC79FE" w:rsidRPr="00FA1BCF">
        <w:rPr>
          <w:szCs w:val="24"/>
        </w:rPr>
        <w:t>.</w:t>
      </w:r>
      <w:r w:rsidR="00813427" w:rsidRPr="00FA1BCF">
        <w:rPr>
          <w:szCs w:val="24"/>
        </w:rPr>
        <w:t xml:space="preserve"> </w:t>
      </w:r>
      <w:r w:rsidR="00CC79FE" w:rsidRPr="00FA1BCF">
        <w:rPr>
          <w:szCs w:val="24"/>
        </w:rPr>
        <w:t>A common process involving the evaluation of safety, effectiveness and efficiency of the medicine should apply with some variation in the level of evidence provided when assessing funding.</w:t>
      </w:r>
      <w:r w:rsidR="00B56F35" w:rsidRPr="00FA1BCF">
        <w:rPr>
          <w:szCs w:val="24"/>
        </w:rPr>
        <w:t xml:space="preserve"> </w:t>
      </w:r>
      <w:r w:rsidR="00CC79FE" w:rsidRPr="00FA1BCF">
        <w:rPr>
          <w:szCs w:val="24"/>
        </w:rPr>
        <w:t xml:space="preserve">One submission </w:t>
      </w:r>
      <w:r w:rsidRPr="00FA1BCF">
        <w:rPr>
          <w:szCs w:val="24"/>
        </w:rPr>
        <w:t>stated</w:t>
      </w:r>
      <w:r w:rsidR="00F442B9" w:rsidRPr="00FA1BCF">
        <w:rPr>
          <w:szCs w:val="24"/>
        </w:rPr>
        <w:t xml:space="preserve"> that</w:t>
      </w:r>
      <w:r w:rsidR="00CC79FE" w:rsidRPr="00FA1BCF">
        <w:rPr>
          <w:szCs w:val="24"/>
        </w:rPr>
        <w:t xml:space="preserve"> it was </w:t>
      </w:r>
      <w:r w:rsidRPr="00FA1BCF">
        <w:rPr>
          <w:szCs w:val="24"/>
        </w:rPr>
        <w:t xml:space="preserve">not </w:t>
      </w:r>
      <w:r w:rsidR="00CC79FE" w:rsidRPr="00FA1BCF">
        <w:rPr>
          <w:szCs w:val="24"/>
        </w:rPr>
        <w:t xml:space="preserve">equitable to have no limits on cost-effectiveness based on rarity alone. Many other submissions </w:t>
      </w:r>
      <w:r w:rsidR="00E31C6F" w:rsidRPr="00FA1BCF">
        <w:rPr>
          <w:szCs w:val="24"/>
        </w:rPr>
        <w:t xml:space="preserve">contended </w:t>
      </w:r>
      <w:r w:rsidR="00CC79FE" w:rsidRPr="00FA1BCF">
        <w:rPr>
          <w:szCs w:val="24"/>
        </w:rPr>
        <w:t>that the LSDP</w:t>
      </w:r>
      <w:r w:rsidR="00E31C6F" w:rsidRPr="00FA1BCF">
        <w:rPr>
          <w:szCs w:val="24"/>
        </w:rPr>
        <w:t>,</w:t>
      </w:r>
      <w:r w:rsidR="00CC79FE" w:rsidRPr="00FA1BCF">
        <w:rPr>
          <w:szCs w:val="24"/>
        </w:rPr>
        <w:t xml:space="preserve"> or any iteration of it</w:t>
      </w:r>
      <w:r w:rsidR="00E31C6F" w:rsidRPr="00FA1BCF">
        <w:rPr>
          <w:szCs w:val="24"/>
        </w:rPr>
        <w:t>,</w:t>
      </w:r>
      <w:r w:rsidR="00CC79FE" w:rsidRPr="00FA1BCF">
        <w:rPr>
          <w:szCs w:val="24"/>
        </w:rPr>
        <w:t xml:space="preserve"> should remain true to its original objective</w:t>
      </w:r>
      <w:r w:rsidR="00F442B9" w:rsidRPr="00FA1BCF">
        <w:rPr>
          <w:szCs w:val="24"/>
        </w:rPr>
        <w:t>,</w:t>
      </w:r>
      <w:r w:rsidR="00CC79FE" w:rsidRPr="00FA1BCF">
        <w:rPr>
          <w:szCs w:val="24"/>
        </w:rPr>
        <w:t xml:space="preserve"> which was to provide subsidies to</w:t>
      </w:r>
      <w:r w:rsidR="00F442B9" w:rsidRPr="00FA1BCF">
        <w:rPr>
          <w:szCs w:val="24"/>
        </w:rPr>
        <w:t xml:space="preserve"> people with</w:t>
      </w:r>
      <w:r w:rsidR="00CC79FE" w:rsidRPr="00FA1BCF">
        <w:rPr>
          <w:szCs w:val="24"/>
        </w:rPr>
        <w:t xml:space="preserve"> rare diseases or very</w:t>
      </w:r>
      <w:r w:rsidR="00E31C6F" w:rsidRPr="00FA1BCF">
        <w:rPr>
          <w:szCs w:val="24"/>
        </w:rPr>
        <w:t xml:space="preserve"> rare</w:t>
      </w:r>
      <w:r w:rsidR="00CC79FE" w:rsidRPr="00FA1BCF">
        <w:rPr>
          <w:szCs w:val="24"/>
        </w:rPr>
        <w:t xml:space="preserve"> diseases only. </w:t>
      </w:r>
    </w:p>
    <w:p w:rsidR="00CC79FE" w:rsidRPr="00FA1BCF" w:rsidRDefault="00CC79FE" w:rsidP="00E436E7">
      <w:pPr>
        <w:pStyle w:val="Heading3"/>
        <w:rPr>
          <w:szCs w:val="24"/>
        </w:rPr>
      </w:pPr>
      <w:bookmarkStart w:id="37" w:name="_Toc302625595"/>
      <w:r w:rsidRPr="00FA1BCF">
        <w:t>6.</w:t>
      </w:r>
      <w:r w:rsidR="00564EAE" w:rsidRPr="00FA1BCF">
        <w:t>3</w:t>
      </w:r>
      <w:r w:rsidRPr="00FA1BCF">
        <w:t>.5 Issue 5</w:t>
      </w:r>
      <w:bookmarkEnd w:id="37"/>
      <w:r w:rsidRPr="00FA1BCF">
        <w:rPr>
          <w:sz w:val="24"/>
          <w:szCs w:val="24"/>
        </w:rPr>
        <w:t xml:space="preserve"> </w:t>
      </w:r>
    </w:p>
    <w:p w:rsidR="00CC79FE" w:rsidRPr="00FA1BCF" w:rsidRDefault="00CC79FE" w:rsidP="00CC79FE">
      <w:pPr>
        <w:jc w:val="both"/>
        <w:outlineLvl w:val="1"/>
        <w:rPr>
          <w:i/>
          <w:szCs w:val="24"/>
        </w:rPr>
      </w:pPr>
      <w:r w:rsidRPr="00FA1BCF">
        <w:rPr>
          <w:i/>
          <w:szCs w:val="24"/>
        </w:rPr>
        <w:t>There are a number of definitions for rare diseases. Th</w:t>
      </w:r>
      <w:r w:rsidR="009C5649" w:rsidRPr="00FA1BCF">
        <w:rPr>
          <w:i/>
          <w:szCs w:val="24"/>
        </w:rPr>
        <w:t>e defined prevalence</w:t>
      </w:r>
      <w:r w:rsidRPr="00FA1BCF">
        <w:rPr>
          <w:i/>
          <w:szCs w:val="24"/>
        </w:rPr>
        <w:t xml:space="preserve"> ranges from 1 in 1</w:t>
      </w:r>
      <w:r w:rsidR="00F442B9" w:rsidRPr="00FA1BCF">
        <w:rPr>
          <w:i/>
          <w:szCs w:val="24"/>
        </w:rPr>
        <w:t>,</w:t>
      </w:r>
      <w:r w:rsidRPr="00FA1BCF">
        <w:rPr>
          <w:i/>
          <w:szCs w:val="24"/>
        </w:rPr>
        <w:t xml:space="preserve">500 to 1 in 500,000. Regulation 2 of the Therapeutic Goods Regulations 1990 defines rare disease as a disease or condition likely to affect not more than 2,000 individuals in Australia at any time, representing </w:t>
      </w:r>
      <w:proofErr w:type="gramStart"/>
      <w:r w:rsidRPr="00FA1BCF">
        <w:rPr>
          <w:i/>
          <w:szCs w:val="24"/>
        </w:rPr>
        <w:t>a</w:t>
      </w:r>
      <w:r w:rsidR="009C5649" w:rsidRPr="00FA1BCF">
        <w:rPr>
          <w:i/>
          <w:szCs w:val="24"/>
        </w:rPr>
        <w:t xml:space="preserve"> prevalence</w:t>
      </w:r>
      <w:proofErr w:type="gramEnd"/>
      <w:r w:rsidRPr="00FA1BCF">
        <w:rPr>
          <w:i/>
          <w:szCs w:val="24"/>
        </w:rPr>
        <w:t xml:space="preserve"> at the time of 1 in 10,000.</w:t>
      </w:r>
      <w:r w:rsidR="0074546B" w:rsidRPr="00FA1BCF">
        <w:rPr>
          <w:i/>
          <w:szCs w:val="24"/>
        </w:rPr>
        <w:t xml:space="preserve"> </w:t>
      </w:r>
      <w:r w:rsidRPr="00FA1BCF">
        <w:rPr>
          <w:i/>
          <w:szCs w:val="24"/>
        </w:rPr>
        <w:t>The definition of rare disease varies between countries and agencies. There are also other factors that may be relevant such as the impact of the disease and the availability of existing treatments.</w:t>
      </w:r>
    </w:p>
    <w:p w:rsidR="00CC79FE" w:rsidRPr="00FA1BCF" w:rsidRDefault="00CC79FE" w:rsidP="00E436E7">
      <w:pPr>
        <w:pStyle w:val="ListParagraph"/>
        <w:numPr>
          <w:ilvl w:val="0"/>
          <w:numId w:val="24"/>
        </w:numPr>
        <w:jc w:val="both"/>
        <w:outlineLvl w:val="1"/>
        <w:rPr>
          <w:szCs w:val="24"/>
        </w:rPr>
      </w:pPr>
      <w:r w:rsidRPr="00FA1BCF">
        <w:rPr>
          <w:szCs w:val="24"/>
        </w:rPr>
        <w:t xml:space="preserve">Should there be an explicit definition of what constitutes a rare disease for purposes of public funding and, if so, what should that be? </w:t>
      </w:r>
    </w:p>
    <w:p w:rsidR="00CC79FE" w:rsidRPr="00FA1BCF" w:rsidRDefault="00CC79FE" w:rsidP="00E436E7">
      <w:pPr>
        <w:pStyle w:val="ListParagraph"/>
        <w:numPr>
          <w:ilvl w:val="0"/>
          <w:numId w:val="24"/>
        </w:numPr>
        <w:jc w:val="both"/>
        <w:outlineLvl w:val="1"/>
        <w:rPr>
          <w:szCs w:val="24"/>
        </w:rPr>
      </w:pPr>
      <w:r w:rsidRPr="00FA1BCF">
        <w:rPr>
          <w:szCs w:val="24"/>
        </w:rPr>
        <w:t xml:space="preserve">What criteria other than effectiveness should be taken into account in deciding the merits of public subsidy for a new </w:t>
      </w:r>
      <w:r w:rsidR="00F81224" w:rsidRPr="00FA1BCF">
        <w:rPr>
          <w:szCs w:val="24"/>
        </w:rPr>
        <w:t xml:space="preserve">medicine </w:t>
      </w:r>
      <w:r w:rsidRPr="00FA1BCF">
        <w:rPr>
          <w:szCs w:val="24"/>
        </w:rPr>
        <w:t>under this category?</w:t>
      </w:r>
    </w:p>
    <w:p w:rsidR="00CC79FE" w:rsidRPr="00E436E7" w:rsidRDefault="00CC79FE" w:rsidP="00E436E7">
      <w:pPr>
        <w:pStyle w:val="ListParagraph"/>
        <w:numPr>
          <w:ilvl w:val="0"/>
          <w:numId w:val="24"/>
        </w:numPr>
        <w:jc w:val="both"/>
        <w:outlineLvl w:val="1"/>
        <w:rPr>
          <w:i/>
          <w:szCs w:val="24"/>
        </w:rPr>
      </w:pPr>
      <w:r w:rsidRPr="00FA1BCF">
        <w:rPr>
          <w:szCs w:val="24"/>
        </w:rPr>
        <w:t xml:space="preserve">What mechanism should be used to measure those criteria in a valid and reproducible way that could be applied generally to other </w:t>
      </w:r>
      <w:r w:rsidR="008B29C7" w:rsidRPr="00FA1BCF">
        <w:rPr>
          <w:szCs w:val="24"/>
        </w:rPr>
        <w:t xml:space="preserve">medicines </w:t>
      </w:r>
      <w:r w:rsidRPr="00FA1BCF">
        <w:rPr>
          <w:szCs w:val="24"/>
        </w:rPr>
        <w:t xml:space="preserve">seeking subsidy for rare diseases? </w:t>
      </w:r>
    </w:p>
    <w:p w:rsidR="00CC79FE" w:rsidRPr="00FA1BCF" w:rsidRDefault="00C26026" w:rsidP="00CC79FE">
      <w:pPr>
        <w:jc w:val="both"/>
        <w:outlineLvl w:val="1"/>
        <w:rPr>
          <w:szCs w:val="24"/>
        </w:rPr>
      </w:pPr>
      <w:r w:rsidRPr="00FA1BCF">
        <w:rPr>
          <w:szCs w:val="24"/>
        </w:rPr>
        <w:t>Responses to this issue indicated that a</w:t>
      </w:r>
      <w:r w:rsidR="00CC79FE" w:rsidRPr="00FA1BCF">
        <w:rPr>
          <w:szCs w:val="24"/>
        </w:rPr>
        <w:t xml:space="preserve"> definition of what is rare would assist with identifying the level of evidence required for subsidising the medicine. The Therapeutic Goods Regulations</w:t>
      </w:r>
      <w:r w:rsidR="008D3B4E" w:rsidRPr="00FA1BCF">
        <w:rPr>
          <w:szCs w:val="24"/>
        </w:rPr>
        <w:t>’</w:t>
      </w:r>
      <w:r w:rsidR="00CC79FE" w:rsidRPr="00FA1BCF">
        <w:rPr>
          <w:szCs w:val="24"/>
        </w:rPr>
        <w:t xml:space="preserve"> definition of rare as </w:t>
      </w:r>
      <w:r w:rsidR="009C5649" w:rsidRPr="00FA1BCF">
        <w:rPr>
          <w:szCs w:val="24"/>
        </w:rPr>
        <w:t xml:space="preserve">a prevalence </w:t>
      </w:r>
      <w:r w:rsidR="00CC79FE" w:rsidRPr="00FA1BCF">
        <w:rPr>
          <w:szCs w:val="24"/>
        </w:rPr>
        <w:t>of less than 1 in 10, 000 was accepted as suitable by clinical practitioners. One submission raised questions about how disease should be defined</w:t>
      </w:r>
      <w:r w:rsidR="00D45004" w:rsidRPr="00FA1BCF">
        <w:rPr>
          <w:szCs w:val="24"/>
        </w:rPr>
        <w:t xml:space="preserve"> – </w:t>
      </w:r>
      <w:r w:rsidR="00CC79FE" w:rsidRPr="00FA1BCF">
        <w:rPr>
          <w:szCs w:val="24"/>
        </w:rPr>
        <w:t xml:space="preserve">should it be specified by a specific gene mutation or specific enzyme </w:t>
      </w:r>
      <w:r w:rsidR="00CC79FE" w:rsidRPr="00FA1BCF">
        <w:rPr>
          <w:szCs w:val="24"/>
        </w:rPr>
        <w:lastRenderedPageBreak/>
        <w:t>level, or by severity, and how should the severity of a disease be defined (e.g. MPS</w:t>
      </w:r>
      <w:r w:rsidR="00102D5E" w:rsidRPr="00FA1BCF">
        <w:rPr>
          <w:szCs w:val="24"/>
        </w:rPr>
        <w:t> </w:t>
      </w:r>
      <w:r w:rsidR="00CC79FE" w:rsidRPr="00FA1BCF">
        <w:rPr>
          <w:szCs w:val="24"/>
        </w:rPr>
        <w:t>I spectrum of Hurler, Hurler-</w:t>
      </w:r>
      <w:proofErr w:type="spellStart"/>
      <w:r w:rsidR="00CC79FE" w:rsidRPr="00FA1BCF">
        <w:rPr>
          <w:szCs w:val="24"/>
        </w:rPr>
        <w:t>Scheie</w:t>
      </w:r>
      <w:proofErr w:type="spellEnd"/>
      <w:r w:rsidR="00D45004" w:rsidRPr="00FA1BCF">
        <w:rPr>
          <w:szCs w:val="24"/>
        </w:rPr>
        <w:t xml:space="preserve"> and</w:t>
      </w:r>
      <w:r w:rsidR="00CC79FE" w:rsidRPr="00FA1BCF">
        <w:rPr>
          <w:szCs w:val="24"/>
        </w:rPr>
        <w:t xml:space="preserve"> </w:t>
      </w:r>
      <w:proofErr w:type="spellStart"/>
      <w:r w:rsidR="00CC79FE" w:rsidRPr="00FA1BCF">
        <w:rPr>
          <w:szCs w:val="24"/>
        </w:rPr>
        <w:t>Scheie</w:t>
      </w:r>
      <w:proofErr w:type="spellEnd"/>
      <w:r w:rsidR="00CC79FE" w:rsidRPr="00FA1BCF">
        <w:rPr>
          <w:szCs w:val="24"/>
        </w:rPr>
        <w:t xml:space="preserve"> </w:t>
      </w:r>
      <w:r w:rsidR="00D45004" w:rsidRPr="00FA1BCF">
        <w:rPr>
          <w:szCs w:val="24"/>
        </w:rPr>
        <w:t>s</w:t>
      </w:r>
      <w:r w:rsidR="00CC79FE" w:rsidRPr="00FA1BCF">
        <w:rPr>
          <w:szCs w:val="24"/>
        </w:rPr>
        <w:t>yndromes)</w:t>
      </w:r>
      <w:r w:rsidR="009C5649" w:rsidRPr="00FA1BCF">
        <w:rPr>
          <w:szCs w:val="24"/>
        </w:rPr>
        <w:t>?</w:t>
      </w:r>
      <w:r w:rsidR="00CC79FE" w:rsidRPr="00FA1BCF">
        <w:rPr>
          <w:szCs w:val="24"/>
        </w:rPr>
        <w:t xml:space="preserve"> </w:t>
      </w:r>
      <w:r w:rsidRPr="00FA1BCF">
        <w:rPr>
          <w:szCs w:val="24"/>
        </w:rPr>
        <w:t xml:space="preserve">Another submission suggested </w:t>
      </w:r>
      <w:r w:rsidR="00D45004" w:rsidRPr="00FA1BCF">
        <w:rPr>
          <w:szCs w:val="24"/>
        </w:rPr>
        <w:t xml:space="preserve">that </w:t>
      </w:r>
      <w:r w:rsidRPr="00FA1BCF">
        <w:rPr>
          <w:szCs w:val="24"/>
        </w:rPr>
        <w:t>a</w:t>
      </w:r>
      <w:r w:rsidR="00CC79FE" w:rsidRPr="00FA1BCF">
        <w:rPr>
          <w:szCs w:val="24"/>
        </w:rPr>
        <w:t xml:space="preserve">n expert panel with relevant expertise in the disease and a patient care ethicist should be appointed to assist not only in providing guidance to these questions but also to advise on decisions about continued funding of the </w:t>
      </w:r>
      <w:r w:rsidR="008B29C7" w:rsidRPr="00FA1BCF">
        <w:rPr>
          <w:szCs w:val="24"/>
        </w:rPr>
        <w:t xml:space="preserve">medicines </w:t>
      </w:r>
      <w:r w:rsidR="00CC79FE" w:rsidRPr="00FA1BCF">
        <w:rPr>
          <w:szCs w:val="24"/>
        </w:rPr>
        <w:t>in patients, disease criteria, guidelines and health outcomes for funding purposes.</w:t>
      </w:r>
    </w:p>
    <w:p w:rsidR="00CC79FE" w:rsidRPr="00FA1BCF" w:rsidRDefault="00CC79FE" w:rsidP="00CC79FE">
      <w:pPr>
        <w:jc w:val="both"/>
        <w:outlineLvl w:val="1"/>
        <w:rPr>
          <w:szCs w:val="24"/>
        </w:rPr>
      </w:pPr>
      <w:r w:rsidRPr="00FA1BCF">
        <w:rPr>
          <w:szCs w:val="24"/>
        </w:rPr>
        <w:t>The definition requires broader consultation and there should be clarity and transparency about the criteria used for any new definition.</w:t>
      </w:r>
      <w:r w:rsidR="00B56F35" w:rsidRPr="00FA1BCF">
        <w:rPr>
          <w:szCs w:val="24"/>
        </w:rPr>
        <w:t xml:space="preserve"> </w:t>
      </w:r>
      <w:r w:rsidRPr="00FA1BCF">
        <w:rPr>
          <w:szCs w:val="24"/>
        </w:rPr>
        <w:t xml:space="preserve">Several submissions proposed adopting a definition consistent with the European definition of no more than 5 in 10,000 whilst others believed the current prevalence of 1 in 10,000 is reasonable. The proposed definition of rarity in the </w:t>
      </w:r>
      <w:r w:rsidR="00D45004" w:rsidRPr="00FA1BCF">
        <w:rPr>
          <w:szCs w:val="24"/>
        </w:rPr>
        <w:t>i</w:t>
      </w:r>
      <w:r w:rsidRPr="00FA1BCF">
        <w:rPr>
          <w:szCs w:val="24"/>
        </w:rPr>
        <w:t xml:space="preserve">ssues paper would </w:t>
      </w:r>
      <w:r w:rsidR="00D45004" w:rsidRPr="00FA1BCF">
        <w:rPr>
          <w:szCs w:val="24"/>
        </w:rPr>
        <w:t xml:space="preserve">affect </w:t>
      </w:r>
      <w:r w:rsidRPr="00FA1BCF">
        <w:rPr>
          <w:szCs w:val="24"/>
        </w:rPr>
        <w:t>many across the rare disease population in Australia and the implications must be fully understood.</w:t>
      </w:r>
    </w:p>
    <w:p w:rsidR="00CC79FE" w:rsidRPr="00FA1BCF" w:rsidRDefault="00E31C6F" w:rsidP="00CC79FE">
      <w:pPr>
        <w:jc w:val="both"/>
        <w:outlineLvl w:val="1"/>
        <w:rPr>
          <w:i/>
          <w:szCs w:val="24"/>
        </w:rPr>
      </w:pPr>
      <w:r w:rsidRPr="00FA1BCF">
        <w:rPr>
          <w:szCs w:val="24"/>
        </w:rPr>
        <w:t xml:space="preserve">The </w:t>
      </w:r>
      <w:r w:rsidR="00CC79FE" w:rsidRPr="00FA1BCF">
        <w:rPr>
          <w:szCs w:val="24"/>
        </w:rPr>
        <w:t xml:space="preserve">Rare Voices </w:t>
      </w:r>
      <w:r w:rsidRPr="00FA1BCF">
        <w:rPr>
          <w:szCs w:val="24"/>
        </w:rPr>
        <w:t xml:space="preserve">Australia </w:t>
      </w:r>
      <w:r w:rsidR="00CC79FE" w:rsidRPr="00FA1BCF">
        <w:rPr>
          <w:szCs w:val="24"/>
        </w:rPr>
        <w:t>definition of rare disease</w:t>
      </w:r>
      <w:r w:rsidRPr="00FA1BCF">
        <w:rPr>
          <w:szCs w:val="24"/>
        </w:rPr>
        <w:t xml:space="preserve"> </w:t>
      </w:r>
      <w:r w:rsidR="003B146F" w:rsidRPr="00FA1BCF">
        <w:rPr>
          <w:szCs w:val="24"/>
        </w:rPr>
        <w:t>–</w:t>
      </w:r>
      <w:r w:rsidR="00CC79FE" w:rsidRPr="00FA1BCF">
        <w:rPr>
          <w:szCs w:val="24"/>
        </w:rPr>
        <w:t xml:space="preserve"> ‘any disorder or condition that is a life-threatening or chronically debilitating disease which is statistically rare, with an estimated prevalence of 5 in 10,000 or of similarly low prevalence and high level of complexity that special combined efforts are needed to address the disorder or condition’ was suggested by a number of submissions.</w:t>
      </w:r>
    </w:p>
    <w:p w:rsidR="00CC79FE" w:rsidRPr="00FA1BCF" w:rsidRDefault="00CC79FE" w:rsidP="00E436E7">
      <w:pPr>
        <w:pStyle w:val="Heading3"/>
      </w:pPr>
      <w:bookmarkStart w:id="38" w:name="_Toc302625596"/>
      <w:r w:rsidRPr="00FA1BCF">
        <w:t>6.</w:t>
      </w:r>
      <w:r w:rsidR="00564EAE" w:rsidRPr="00FA1BCF">
        <w:t>3</w:t>
      </w:r>
      <w:r w:rsidRPr="00FA1BCF">
        <w:t>.</w:t>
      </w:r>
      <w:r w:rsidR="009F3049" w:rsidRPr="00FA1BCF">
        <w:t>6</w:t>
      </w:r>
      <w:r w:rsidRPr="00FA1BCF">
        <w:t xml:space="preserve"> Issue 6</w:t>
      </w:r>
      <w:bookmarkEnd w:id="38"/>
      <w:r w:rsidR="00B56F35" w:rsidRPr="00FA1BCF">
        <w:t xml:space="preserve"> </w:t>
      </w:r>
    </w:p>
    <w:p w:rsidR="00CC79FE" w:rsidRPr="00FA1BCF" w:rsidRDefault="00CC79FE" w:rsidP="00CC79FE">
      <w:pPr>
        <w:jc w:val="both"/>
        <w:outlineLvl w:val="1"/>
        <w:rPr>
          <w:i/>
          <w:szCs w:val="24"/>
        </w:rPr>
      </w:pPr>
      <w:r w:rsidRPr="00FA1BCF">
        <w:rPr>
          <w:i/>
          <w:szCs w:val="24"/>
        </w:rPr>
        <w:t>The PBAC is required by law to consider the cost-effectiveness of any new medication. The PBAC also take</w:t>
      </w:r>
      <w:r w:rsidR="00D45004" w:rsidRPr="00FA1BCF">
        <w:rPr>
          <w:i/>
          <w:szCs w:val="24"/>
        </w:rPr>
        <w:t>s</w:t>
      </w:r>
      <w:r w:rsidRPr="00FA1BCF">
        <w:rPr>
          <w:i/>
          <w:szCs w:val="24"/>
        </w:rPr>
        <w:t xml:space="preserve"> into account other factors such as the affordability if not subsidised, availability of other effective therapies, severity of the medical condition, equity, unmet need and special need situations such as children and </w:t>
      </w:r>
      <w:r w:rsidR="00D45004" w:rsidRPr="00FA1BCF">
        <w:rPr>
          <w:i/>
          <w:szCs w:val="24"/>
        </w:rPr>
        <w:t>I</w:t>
      </w:r>
      <w:r w:rsidRPr="00FA1BCF">
        <w:rPr>
          <w:i/>
          <w:szCs w:val="24"/>
        </w:rPr>
        <w:t>ndigenous population</w:t>
      </w:r>
      <w:r w:rsidR="00D45004" w:rsidRPr="00FA1BCF">
        <w:rPr>
          <w:i/>
          <w:szCs w:val="24"/>
        </w:rPr>
        <w:t>s</w:t>
      </w:r>
      <w:r w:rsidRPr="00FA1BCF">
        <w:rPr>
          <w:i/>
          <w:szCs w:val="24"/>
        </w:rPr>
        <w:t xml:space="preserve">. </w:t>
      </w:r>
      <w:r w:rsidR="009C5649" w:rsidRPr="00FA1BCF">
        <w:rPr>
          <w:i/>
          <w:szCs w:val="24"/>
        </w:rPr>
        <w:t>‘</w:t>
      </w:r>
      <w:r w:rsidRPr="00FA1BCF">
        <w:rPr>
          <w:i/>
          <w:szCs w:val="24"/>
        </w:rPr>
        <w:t>Rule of rescue</w:t>
      </w:r>
      <w:r w:rsidR="009C5649" w:rsidRPr="00FA1BCF">
        <w:rPr>
          <w:i/>
          <w:szCs w:val="24"/>
        </w:rPr>
        <w:t>’</w:t>
      </w:r>
      <w:r w:rsidRPr="00FA1BCF">
        <w:rPr>
          <w:i/>
          <w:szCs w:val="24"/>
        </w:rPr>
        <w:t xml:space="preserve"> is applied when the </w:t>
      </w:r>
      <w:r w:rsidR="00F81224" w:rsidRPr="00FA1BCF">
        <w:rPr>
          <w:i/>
          <w:szCs w:val="24"/>
        </w:rPr>
        <w:t xml:space="preserve">medicine </w:t>
      </w:r>
      <w:r w:rsidRPr="00FA1BCF">
        <w:rPr>
          <w:i/>
          <w:szCs w:val="24"/>
        </w:rPr>
        <w:t>is presented as an agent of last resort. Rule of rescue has four main considerations</w:t>
      </w:r>
      <w:r w:rsidR="009C5649" w:rsidRPr="00FA1BCF">
        <w:rPr>
          <w:i/>
          <w:szCs w:val="24"/>
        </w:rPr>
        <w:t>:</w:t>
      </w:r>
      <w:r w:rsidRPr="00FA1BCF">
        <w:rPr>
          <w:i/>
          <w:szCs w:val="24"/>
        </w:rPr>
        <w:t xml:space="preserve"> (</w:t>
      </w:r>
      <w:proofErr w:type="spellStart"/>
      <w:r w:rsidRPr="00FA1BCF">
        <w:rPr>
          <w:i/>
          <w:szCs w:val="24"/>
        </w:rPr>
        <w:t>i</w:t>
      </w:r>
      <w:proofErr w:type="spellEnd"/>
      <w:r w:rsidRPr="00FA1BCF">
        <w:rPr>
          <w:i/>
          <w:szCs w:val="24"/>
        </w:rPr>
        <w:t xml:space="preserve">) no alternative treatment is available in Australia, (ii) the condition is severe, progressive and expected to lead to premature death, (iii) there </w:t>
      </w:r>
      <w:r w:rsidR="009C5649" w:rsidRPr="00FA1BCF">
        <w:rPr>
          <w:i/>
          <w:szCs w:val="24"/>
        </w:rPr>
        <w:t>is</w:t>
      </w:r>
      <w:r w:rsidRPr="00FA1BCF">
        <w:rPr>
          <w:i/>
          <w:szCs w:val="24"/>
        </w:rPr>
        <w:t xml:space="preserve"> a small number of patients who would be treated, and </w:t>
      </w:r>
      <w:proofErr w:type="gramStart"/>
      <w:r w:rsidRPr="00FA1BCF">
        <w:rPr>
          <w:i/>
          <w:szCs w:val="24"/>
        </w:rPr>
        <w:t>(iv) a</w:t>
      </w:r>
      <w:proofErr w:type="gramEnd"/>
      <w:r w:rsidRPr="00FA1BCF">
        <w:rPr>
          <w:i/>
          <w:szCs w:val="24"/>
        </w:rPr>
        <w:t xml:space="preserve"> worthwhile clinical improvement is achieved. </w:t>
      </w:r>
    </w:p>
    <w:p w:rsidR="00CC79FE" w:rsidRPr="00FA1BCF" w:rsidRDefault="00CC79FE" w:rsidP="00CC79FE">
      <w:pPr>
        <w:jc w:val="both"/>
        <w:outlineLvl w:val="1"/>
        <w:rPr>
          <w:i/>
          <w:szCs w:val="24"/>
        </w:rPr>
      </w:pPr>
      <w:r w:rsidRPr="00FA1BCF">
        <w:rPr>
          <w:i/>
          <w:szCs w:val="24"/>
        </w:rPr>
        <w:t xml:space="preserve">For further information on the </w:t>
      </w:r>
      <w:r w:rsidR="00D45004" w:rsidRPr="00FA1BCF">
        <w:rPr>
          <w:i/>
          <w:szCs w:val="24"/>
        </w:rPr>
        <w:t>r</w:t>
      </w:r>
      <w:r w:rsidRPr="00FA1BCF">
        <w:rPr>
          <w:i/>
          <w:szCs w:val="24"/>
        </w:rPr>
        <w:t xml:space="preserve">ule of </w:t>
      </w:r>
      <w:r w:rsidR="00D45004" w:rsidRPr="00FA1BCF">
        <w:rPr>
          <w:i/>
          <w:szCs w:val="24"/>
        </w:rPr>
        <w:t>r</w:t>
      </w:r>
      <w:r w:rsidRPr="00FA1BCF">
        <w:rPr>
          <w:i/>
          <w:szCs w:val="24"/>
        </w:rPr>
        <w:t xml:space="preserve">escue refer to </w:t>
      </w:r>
      <w:hyperlink r:id="rId20" w:history="1">
        <w:r w:rsidRPr="00E436E7">
          <w:rPr>
            <w:rStyle w:val="Hyperlink"/>
          </w:rPr>
          <w:t>http://www.pbac.pbs.gov.au/section-f/f3-other-relevant-factors.html</w:t>
        </w:r>
      </w:hyperlink>
      <w:r w:rsidR="00D45004" w:rsidRPr="00FA1BCF">
        <w:rPr>
          <w:i/>
          <w:szCs w:val="24"/>
        </w:rPr>
        <w:t>.</w:t>
      </w:r>
    </w:p>
    <w:p w:rsidR="00E31C6F" w:rsidRPr="00FA1BCF" w:rsidRDefault="00CC79FE" w:rsidP="00CC79FE">
      <w:pPr>
        <w:jc w:val="both"/>
        <w:outlineLvl w:val="1"/>
        <w:rPr>
          <w:i/>
          <w:szCs w:val="24"/>
        </w:rPr>
      </w:pPr>
      <w:r w:rsidRPr="00FA1BCF">
        <w:rPr>
          <w:i/>
          <w:szCs w:val="24"/>
        </w:rPr>
        <w:t>There currently exist</w:t>
      </w:r>
      <w:r w:rsidR="009C5649" w:rsidRPr="00FA1BCF">
        <w:rPr>
          <w:i/>
          <w:szCs w:val="24"/>
        </w:rPr>
        <w:t>s</w:t>
      </w:r>
      <w:r w:rsidRPr="00FA1BCF">
        <w:rPr>
          <w:i/>
          <w:szCs w:val="24"/>
        </w:rPr>
        <w:t xml:space="preserve"> a number of separate programmes that fund high</w:t>
      </w:r>
      <w:r w:rsidR="00D45004" w:rsidRPr="00FA1BCF">
        <w:rPr>
          <w:i/>
          <w:szCs w:val="24"/>
        </w:rPr>
        <w:t>-</w:t>
      </w:r>
      <w:r w:rsidRPr="00FA1BCF">
        <w:rPr>
          <w:i/>
          <w:szCs w:val="24"/>
        </w:rPr>
        <w:t xml:space="preserve">cost and specific therapy </w:t>
      </w:r>
      <w:r w:rsidR="008B29C7" w:rsidRPr="00FA1BCF">
        <w:rPr>
          <w:i/>
          <w:szCs w:val="24"/>
        </w:rPr>
        <w:t>medicines</w:t>
      </w:r>
      <w:r w:rsidR="00D45004" w:rsidRPr="00FA1BCF">
        <w:rPr>
          <w:i/>
          <w:szCs w:val="24"/>
        </w:rPr>
        <w:t>,</w:t>
      </w:r>
      <w:r w:rsidR="008B29C7" w:rsidRPr="00FA1BCF">
        <w:rPr>
          <w:i/>
          <w:szCs w:val="24"/>
        </w:rPr>
        <w:t xml:space="preserve"> </w:t>
      </w:r>
      <w:r w:rsidRPr="00FA1BCF">
        <w:rPr>
          <w:i/>
          <w:szCs w:val="24"/>
        </w:rPr>
        <w:t xml:space="preserve">including the LSDP and </w:t>
      </w:r>
      <w:r w:rsidR="008B29C7" w:rsidRPr="00FA1BCF">
        <w:rPr>
          <w:i/>
          <w:szCs w:val="24"/>
        </w:rPr>
        <w:t xml:space="preserve">medicines </w:t>
      </w:r>
      <w:r w:rsidRPr="00FA1BCF">
        <w:rPr>
          <w:i/>
          <w:szCs w:val="24"/>
        </w:rPr>
        <w:t xml:space="preserve">approved by the PBAC under the </w:t>
      </w:r>
      <w:r w:rsidR="00D45004" w:rsidRPr="00FA1BCF">
        <w:rPr>
          <w:i/>
          <w:szCs w:val="24"/>
        </w:rPr>
        <w:t>r</w:t>
      </w:r>
      <w:r w:rsidRPr="00FA1BCF">
        <w:rPr>
          <w:i/>
          <w:szCs w:val="24"/>
        </w:rPr>
        <w:t xml:space="preserve">ule of </w:t>
      </w:r>
      <w:r w:rsidR="00D45004" w:rsidRPr="00FA1BCF">
        <w:rPr>
          <w:i/>
          <w:szCs w:val="24"/>
        </w:rPr>
        <w:t>r</w:t>
      </w:r>
      <w:r w:rsidRPr="00FA1BCF">
        <w:rPr>
          <w:i/>
          <w:szCs w:val="24"/>
        </w:rPr>
        <w:t xml:space="preserve">escue and </w:t>
      </w:r>
      <w:r w:rsidR="00B349D4" w:rsidRPr="00FA1BCF">
        <w:rPr>
          <w:i/>
          <w:szCs w:val="24"/>
        </w:rPr>
        <w:t>section 100</w:t>
      </w:r>
      <w:r w:rsidRPr="00FA1BCF">
        <w:rPr>
          <w:i/>
          <w:szCs w:val="24"/>
        </w:rPr>
        <w:t xml:space="preserve"> </w:t>
      </w:r>
      <w:r w:rsidR="00D45004" w:rsidRPr="00FA1BCF">
        <w:rPr>
          <w:i/>
          <w:szCs w:val="24"/>
        </w:rPr>
        <w:t>h</w:t>
      </w:r>
      <w:r w:rsidRPr="00FA1BCF">
        <w:rPr>
          <w:i/>
          <w:szCs w:val="24"/>
        </w:rPr>
        <w:t xml:space="preserve">ighly </w:t>
      </w:r>
      <w:r w:rsidR="00D45004" w:rsidRPr="00FA1BCF">
        <w:rPr>
          <w:i/>
          <w:szCs w:val="24"/>
        </w:rPr>
        <w:t>s</w:t>
      </w:r>
      <w:r w:rsidRPr="00FA1BCF">
        <w:rPr>
          <w:i/>
          <w:szCs w:val="24"/>
        </w:rPr>
        <w:t xml:space="preserve">pecialised </w:t>
      </w:r>
      <w:r w:rsidR="00D45004" w:rsidRPr="00FA1BCF">
        <w:rPr>
          <w:i/>
          <w:szCs w:val="24"/>
        </w:rPr>
        <w:t>d</w:t>
      </w:r>
      <w:r w:rsidRPr="00FA1BCF">
        <w:rPr>
          <w:i/>
          <w:szCs w:val="24"/>
        </w:rPr>
        <w:t xml:space="preserve">rugs. </w:t>
      </w:r>
    </w:p>
    <w:p w:rsidR="00CC79FE" w:rsidRPr="00FA1BCF" w:rsidRDefault="00CC79FE" w:rsidP="00E436E7">
      <w:pPr>
        <w:pStyle w:val="ListParagraph"/>
        <w:numPr>
          <w:ilvl w:val="0"/>
          <w:numId w:val="25"/>
        </w:numPr>
        <w:jc w:val="both"/>
        <w:outlineLvl w:val="1"/>
        <w:rPr>
          <w:szCs w:val="24"/>
        </w:rPr>
      </w:pPr>
      <w:r w:rsidRPr="00FA1BCF">
        <w:rPr>
          <w:szCs w:val="24"/>
        </w:rPr>
        <w:t>Should the LSDP be continued as a separate programme? If so, why?</w:t>
      </w:r>
    </w:p>
    <w:p w:rsidR="00CC79FE" w:rsidRPr="00FA1BCF" w:rsidRDefault="00CC79FE" w:rsidP="00E436E7">
      <w:pPr>
        <w:pStyle w:val="ListParagraph"/>
        <w:numPr>
          <w:ilvl w:val="0"/>
          <w:numId w:val="25"/>
        </w:numPr>
        <w:jc w:val="both"/>
        <w:outlineLvl w:val="1"/>
        <w:rPr>
          <w:szCs w:val="24"/>
        </w:rPr>
      </w:pPr>
      <w:r w:rsidRPr="00FA1BCF">
        <w:rPr>
          <w:szCs w:val="24"/>
        </w:rPr>
        <w:t>Should there be one overarching subsidisation programme that applies to all high</w:t>
      </w:r>
      <w:r w:rsidR="00D45004" w:rsidRPr="00FA1BCF">
        <w:rPr>
          <w:szCs w:val="24"/>
        </w:rPr>
        <w:t>-</w:t>
      </w:r>
      <w:r w:rsidRPr="00FA1BCF">
        <w:rPr>
          <w:szCs w:val="24"/>
        </w:rPr>
        <w:t xml:space="preserve">cost and/or specialised </w:t>
      </w:r>
      <w:r w:rsidR="008B29C7" w:rsidRPr="00FA1BCF">
        <w:rPr>
          <w:szCs w:val="24"/>
        </w:rPr>
        <w:t xml:space="preserve">medicines </w:t>
      </w:r>
      <w:r w:rsidRPr="00FA1BCF">
        <w:rPr>
          <w:szCs w:val="24"/>
        </w:rPr>
        <w:t xml:space="preserve">(including those on the LSDP and those available through the PBS section 100 </w:t>
      </w:r>
      <w:r w:rsidR="00D45004" w:rsidRPr="00FA1BCF">
        <w:rPr>
          <w:szCs w:val="24"/>
        </w:rPr>
        <w:t>h</w:t>
      </w:r>
      <w:r w:rsidRPr="00FA1BCF">
        <w:rPr>
          <w:szCs w:val="24"/>
        </w:rPr>
        <w:t xml:space="preserve">ighly </w:t>
      </w:r>
      <w:r w:rsidR="00D45004" w:rsidRPr="00FA1BCF">
        <w:rPr>
          <w:szCs w:val="24"/>
        </w:rPr>
        <w:t>s</w:t>
      </w:r>
      <w:r w:rsidRPr="00FA1BCF">
        <w:rPr>
          <w:szCs w:val="24"/>
        </w:rPr>
        <w:t xml:space="preserve">pecialised </w:t>
      </w:r>
      <w:r w:rsidR="00D45004" w:rsidRPr="00FA1BCF">
        <w:rPr>
          <w:szCs w:val="24"/>
        </w:rPr>
        <w:t>d</w:t>
      </w:r>
      <w:r w:rsidRPr="00FA1BCF">
        <w:rPr>
          <w:szCs w:val="24"/>
        </w:rPr>
        <w:t>rugs)?</w:t>
      </w:r>
    </w:p>
    <w:p w:rsidR="00CC79FE" w:rsidRPr="00FA1BCF" w:rsidRDefault="00CC79FE" w:rsidP="00E436E7">
      <w:pPr>
        <w:pStyle w:val="ListParagraph"/>
        <w:numPr>
          <w:ilvl w:val="0"/>
          <w:numId w:val="25"/>
        </w:numPr>
        <w:jc w:val="both"/>
        <w:outlineLvl w:val="1"/>
        <w:rPr>
          <w:szCs w:val="24"/>
        </w:rPr>
      </w:pPr>
      <w:r w:rsidRPr="00FA1BCF">
        <w:rPr>
          <w:szCs w:val="24"/>
        </w:rPr>
        <w:t xml:space="preserve">What criteria would be applied to such a programme that would distinguish them from other </w:t>
      </w:r>
      <w:r w:rsidR="008B29C7" w:rsidRPr="00FA1BCF">
        <w:rPr>
          <w:szCs w:val="24"/>
        </w:rPr>
        <w:t xml:space="preserve">medicines </w:t>
      </w:r>
      <w:r w:rsidRPr="00FA1BCF">
        <w:rPr>
          <w:szCs w:val="24"/>
        </w:rPr>
        <w:t>subsidised on the PBS, for relatively common conditions?</w:t>
      </w:r>
    </w:p>
    <w:p w:rsidR="00CC79FE" w:rsidRPr="00FA1BCF" w:rsidRDefault="00CC79FE" w:rsidP="00E436E7">
      <w:pPr>
        <w:pStyle w:val="ListParagraph"/>
        <w:numPr>
          <w:ilvl w:val="0"/>
          <w:numId w:val="25"/>
        </w:numPr>
        <w:jc w:val="both"/>
        <w:outlineLvl w:val="1"/>
        <w:rPr>
          <w:szCs w:val="24"/>
        </w:rPr>
      </w:pPr>
      <w:r w:rsidRPr="00FA1BCF">
        <w:rPr>
          <w:szCs w:val="24"/>
        </w:rPr>
        <w:t>Should a programme that subsidises high</w:t>
      </w:r>
      <w:r w:rsidR="00D45004" w:rsidRPr="00FA1BCF">
        <w:rPr>
          <w:szCs w:val="24"/>
        </w:rPr>
        <w:t>-</w:t>
      </w:r>
      <w:r w:rsidRPr="00FA1BCF">
        <w:rPr>
          <w:szCs w:val="24"/>
        </w:rPr>
        <w:t xml:space="preserve">cost and/or specialised </w:t>
      </w:r>
      <w:r w:rsidR="008B29C7" w:rsidRPr="00FA1BCF">
        <w:rPr>
          <w:szCs w:val="24"/>
        </w:rPr>
        <w:t xml:space="preserve">medicines </w:t>
      </w:r>
      <w:r w:rsidRPr="00FA1BCF">
        <w:rPr>
          <w:szCs w:val="24"/>
        </w:rPr>
        <w:t xml:space="preserve">have one set of decision rules that apply to all </w:t>
      </w:r>
      <w:r w:rsidR="008B29C7" w:rsidRPr="00FA1BCF">
        <w:rPr>
          <w:szCs w:val="24"/>
        </w:rPr>
        <w:t xml:space="preserve">medicines </w:t>
      </w:r>
      <w:r w:rsidRPr="00FA1BCF">
        <w:rPr>
          <w:szCs w:val="24"/>
        </w:rPr>
        <w:t>meeting those criteria?</w:t>
      </w:r>
    </w:p>
    <w:p w:rsidR="00CC79FE" w:rsidRPr="00E436E7" w:rsidRDefault="00CC79FE" w:rsidP="00E436E7">
      <w:pPr>
        <w:pStyle w:val="ListParagraph"/>
        <w:numPr>
          <w:ilvl w:val="0"/>
          <w:numId w:val="25"/>
        </w:numPr>
        <w:jc w:val="both"/>
        <w:outlineLvl w:val="1"/>
        <w:rPr>
          <w:i/>
          <w:szCs w:val="24"/>
        </w:rPr>
      </w:pPr>
      <w:r w:rsidRPr="00FA1BCF">
        <w:rPr>
          <w:szCs w:val="24"/>
        </w:rPr>
        <w:t>Should there be one set of criteria to cover both high</w:t>
      </w:r>
      <w:r w:rsidR="00D45004" w:rsidRPr="00FA1BCF">
        <w:rPr>
          <w:szCs w:val="24"/>
        </w:rPr>
        <w:t>-</w:t>
      </w:r>
      <w:r w:rsidRPr="00FA1BCF">
        <w:rPr>
          <w:szCs w:val="24"/>
        </w:rPr>
        <w:t>cost and specialised drugs?</w:t>
      </w:r>
    </w:p>
    <w:p w:rsidR="00CC79FE" w:rsidRPr="00FA1BCF" w:rsidRDefault="00CC79FE" w:rsidP="00CC79FE">
      <w:pPr>
        <w:jc w:val="both"/>
        <w:outlineLvl w:val="1"/>
        <w:rPr>
          <w:szCs w:val="24"/>
        </w:rPr>
      </w:pPr>
      <w:r w:rsidRPr="00FA1BCF">
        <w:rPr>
          <w:szCs w:val="24"/>
        </w:rPr>
        <w:t xml:space="preserve">Most submissions supported keeping the LSDP as a separate programme but accepted that it may be integrated within an existing administrative structure such as the section 100 Highly Specialised Drugs </w:t>
      </w:r>
      <w:r w:rsidR="00D45004" w:rsidRPr="00FA1BCF">
        <w:rPr>
          <w:szCs w:val="24"/>
        </w:rPr>
        <w:t xml:space="preserve">Programme </w:t>
      </w:r>
      <w:r w:rsidRPr="00FA1BCF">
        <w:rPr>
          <w:szCs w:val="24"/>
        </w:rPr>
        <w:t>(HSD</w:t>
      </w:r>
      <w:r w:rsidR="00D45004" w:rsidRPr="00FA1BCF">
        <w:rPr>
          <w:szCs w:val="24"/>
        </w:rPr>
        <w:t>P</w:t>
      </w:r>
      <w:r w:rsidRPr="00FA1BCF">
        <w:rPr>
          <w:szCs w:val="24"/>
        </w:rPr>
        <w:t>).</w:t>
      </w:r>
      <w:r w:rsidR="00B56F35" w:rsidRPr="00FA1BCF">
        <w:rPr>
          <w:szCs w:val="24"/>
        </w:rPr>
        <w:t xml:space="preserve"> </w:t>
      </w:r>
      <w:r w:rsidRPr="00FA1BCF">
        <w:rPr>
          <w:szCs w:val="24"/>
        </w:rPr>
        <w:t xml:space="preserve">It is contended that the best use of funds will </w:t>
      </w:r>
      <w:r w:rsidRPr="00FA1BCF">
        <w:rPr>
          <w:szCs w:val="24"/>
        </w:rPr>
        <w:lastRenderedPageBreak/>
        <w:t>only be achieved if appropriate patients are identified and there is continuous monitoring</w:t>
      </w:r>
      <w:r w:rsidR="00D45004" w:rsidRPr="00FA1BCF">
        <w:rPr>
          <w:szCs w:val="24"/>
        </w:rPr>
        <w:t xml:space="preserve"> of</w:t>
      </w:r>
      <w:r w:rsidRPr="00FA1BCF">
        <w:rPr>
          <w:szCs w:val="24"/>
        </w:rPr>
        <w:t xml:space="preserve"> and research </w:t>
      </w:r>
      <w:r w:rsidR="00D45004" w:rsidRPr="00FA1BCF">
        <w:rPr>
          <w:szCs w:val="24"/>
        </w:rPr>
        <w:t>on</w:t>
      </w:r>
      <w:r w:rsidRPr="00FA1BCF">
        <w:rPr>
          <w:szCs w:val="24"/>
        </w:rPr>
        <w:t xml:space="preserve"> patients treated with the subsidised drugs.</w:t>
      </w:r>
    </w:p>
    <w:p w:rsidR="00CC79FE" w:rsidRPr="00FA1BCF" w:rsidRDefault="00CC79FE" w:rsidP="00CC79FE">
      <w:pPr>
        <w:jc w:val="both"/>
        <w:outlineLvl w:val="1"/>
        <w:rPr>
          <w:szCs w:val="24"/>
        </w:rPr>
      </w:pPr>
      <w:r w:rsidRPr="00FA1BCF">
        <w:rPr>
          <w:szCs w:val="24"/>
        </w:rPr>
        <w:t xml:space="preserve">Benchmarking against similar systems was encouraged. A few submissions believed that the LSDP should be incorporated into an overarching programme for medicines. One submission proposed that ethical principles for allocating resources should be applied and </w:t>
      </w:r>
      <w:r w:rsidR="00D45004" w:rsidRPr="00FA1BCF">
        <w:rPr>
          <w:szCs w:val="24"/>
        </w:rPr>
        <w:t xml:space="preserve">that </w:t>
      </w:r>
      <w:r w:rsidRPr="00FA1BCF">
        <w:rPr>
          <w:szCs w:val="24"/>
        </w:rPr>
        <w:t xml:space="preserve">this may be achieved more easily if similar programmes like the LSDP, </w:t>
      </w:r>
      <w:r w:rsidR="005624C1" w:rsidRPr="00FA1BCF">
        <w:rPr>
          <w:szCs w:val="24"/>
        </w:rPr>
        <w:t xml:space="preserve">the </w:t>
      </w:r>
      <w:r w:rsidR="00E31C6F" w:rsidRPr="00FA1BCF">
        <w:rPr>
          <w:szCs w:val="24"/>
        </w:rPr>
        <w:t>HSD</w:t>
      </w:r>
      <w:r w:rsidR="008B29C7" w:rsidRPr="00FA1BCF">
        <w:rPr>
          <w:szCs w:val="24"/>
        </w:rPr>
        <w:t xml:space="preserve">P </w:t>
      </w:r>
      <w:r w:rsidRPr="00FA1BCF">
        <w:rPr>
          <w:szCs w:val="24"/>
        </w:rPr>
        <w:t xml:space="preserve">and the PBAC </w:t>
      </w:r>
      <w:r w:rsidR="005624C1" w:rsidRPr="00FA1BCF">
        <w:rPr>
          <w:szCs w:val="24"/>
        </w:rPr>
        <w:t>r</w:t>
      </w:r>
      <w:r w:rsidRPr="00FA1BCF">
        <w:rPr>
          <w:szCs w:val="24"/>
        </w:rPr>
        <w:t xml:space="preserve">ule of </w:t>
      </w:r>
      <w:r w:rsidR="005624C1" w:rsidRPr="00FA1BCF">
        <w:rPr>
          <w:szCs w:val="24"/>
        </w:rPr>
        <w:t>r</w:t>
      </w:r>
      <w:r w:rsidRPr="00FA1BCF">
        <w:rPr>
          <w:szCs w:val="24"/>
        </w:rPr>
        <w:t>escue were consolidated. This comes with the recognition that criteria for rare diseases would address the economic barriers faced in treating small populations and assessments must recognise decisions that may be applicable to the broader populations versus ones that apply at the individual level.</w:t>
      </w:r>
      <w:r w:rsidR="00B56F35" w:rsidRPr="00FA1BCF">
        <w:rPr>
          <w:szCs w:val="24"/>
        </w:rPr>
        <w:t xml:space="preserve"> </w:t>
      </w:r>
      <w:r w:rsidRPr="00FA1BCF">
        <w:rPr>
          <w:szCs w:val="24"/>
        </w:rPr>
        <w:t>Assessment of benefits should include quality of life.</w:t>
      </w:r>
    </w:p>
    <w:p w:rsidR="00CC79FE" w:rsidRPr="00FA1BCF" w:rsidRDefault="00CC79FE" w:rsidP="00E436E7">
      <w:pPr>
        <w:jc w:val="both"/>
        <w:outlineLvl w:val="1"/>
      </w:pPr>
      <w:r w:rsidRPr="00FA1BCF">
        <w:rPr>
          <w:szCs w:val="24"/>
        </w:rPr>
        <w:t xml:space="preserve">The rule of rescue is appropriate for the majority of the </w:t>
      </w:r>
      <w:r w:rsidR="00A26B5E" w:rsidRPr="00FA1BCF">
        <w:rPr>
          <w:szCs w:val="24"/>
        </w:rPr>
        <w:t xml:space="preserve">medicines </w:t>
      </w:r>
      <w:r w:rsidRPr="00FA1BCF">
        <w:rPr>
          <w:szCs w:val="24"/>
        </w:rPr>
        <w:t xml:space="preserve">subsidised by the LSDP but some modifications </w:t>
      </w:r>
      <w:r w:rsidR="00D43670" w:rsidRPr="00FA1BCF">
        <w:rPr>
          <w:szCs w:val="24"/>
        </w:rPr>
        <w:t xml:space="preserve">are </w:t>
      </w:r>
      <w:r w:rsidRPr="00FA1BCF">
        <w:rPr>
          <w:szCs w:val="24"/>
        </w:rPr>
        <w:t>necessary to broaden the factors considered.</w:t>
      </w:r>
      <w:r w:rsidR="009C5649" w:rsidRPr="00FA1BCF">
        <w:rPr>
          <w:szCs w:val="24"/>
        </w:rPr>
        <w:t xml:space="preserve"> Factors </w:t>
      </w:r>
      <w:r w:rsidR="00A12D02" w:rsidRPr="00FA1BCF">
        <w:rPr>
          <w:szCs w:val="24"/>
        </w:rPr>
        <w:t>which could</w:t>
      </w:r>
      <w:r w:rsidR="009C5649" w:rsidRPr="00FA1BCF">
        <w:rPr>
          <w:szCs w:val="24"/>
        </w:rPr>
        <w:t xml:space="preserve"> be considered</w:t>
      </w:r>
      <w:r w:rsidR="00F0245C" w:rsidRPr="00FA1BCF">
        <w:rPr>
          <w:szCs w:val="24"/>
        </w:rPr>
        <w:t xml:space="preserve"> to broaden the assessment of </w:t>
      </w:r>
      <w:r w:rsidR="00A12D02" w:rsidRPr="00FA1BCF">
        <w:rPr>
          <w:szCs w:val="24"/>
        </w:rPr>
        <w:t>LSDP</w:t>
      </w:r>
      <w:r w:rsidR="005624C1" w:rsidRPr="00FA1BCF">
        <w:rPr>
          <w:szCs w:val="24"/>
        </w:rPr>
        <w:t>-</w:t>
      </w:r>
      <w:r w:rsidR="00A12D02" w:rsidRPr="00FA1BCF">
        <w:rPr>
          <w:szCs w:val="24"/>
        </w:rPr>
        <w:t>type medicine</w:t>
      </w:r>
      <w:r w:rsidR="00F0245C" w:rsidRPr="00FA1BCF">
        <w:rPr>
          <w:szCs w:val="24"/>
        </w:rPr>
        <w:t>s</w:t>
      </w:r>
      <w:r w:rsidR="00A12D02" w:rsidRPr="00FA1BCF">
        <w:rPr>
          <w:szCs w:val="24"/>
        </w:rPr>
        <w:t xml:space="preserve"> for subsidy can include</w:t>
      </w:r>
      <w:r w:rsidR="005624C1" w:rsidRPr="00FA1BCF">
        <w:rPr>
          <w:szCs w:val="24"/>
        </w:rPr>
        <w:t>,</w:t>
      </w:r>
      <w:r w:rsidR="00A12D02" w:rsidRPr="00FA1BCF">
        <w:rPr>
          <w:szCs w:val="24"/>
        </w:rPr>
        <w:t xml:space="preserve"> as appropriate, quality of life</w:t>
      </w:r>
      <w:r w:rsidR="007B6A18" w:rsidRPr="00BF6A08">
        <w:rPr>
          <w:szCs w:val="24"/>
        </w:rPr>
        <w:t xml:space="preserve"> </w:t>
      </w:r>
      <w:r w:rsidR="00FE6F81">
        <w:rPr>
          <w:szCs w:val="24"/>
        </w:rPr>
        <w:t xml:space="preserve">and </w:t>
      </w:r>
      <w:r w:rsidR="007B6A18" w:rsidRPr="00BF6A08">
        <w:rPr>
          <w:szCs w:val="24"/>
        </w:rPr>
        <w:t>combination therapies</w:t>
      </w:r>
      <w:r w:rsidR="00FE6F81">
        <w:rPr>
          <w:szCs w:val="24"/>
        </w:rPr>
        <w:t>,</w:t>
      </w:r>
      <w:r w:rsidR="007B6A18" w:rsidRPr="00BF6A08">
        <w:rPr>
          <w:szCs w:val="24"/>
        </w:rPr>
        <w:t xml:space="preserve"> particularly where an expensive drug may be used for a short period of time</w:t>
      </w:r>
      <w:r w:rsidR="00870839">
        <w:rPr>
          <w:szCs w:val="24"/>
        </w:rPr>
        <w:t xml:space="preserve"> in conjunction with another therapy</w:t>
      </w:r>
      <w:r w:rsidR="005624C1" w:rsidRPr="00FA1BCF">
        <w:rPr>
          <w:szCs w:val="24"/>
        </w:rPr>
        <w:t>.</w:t>
      </w:r>
      <w:r w:rsidR="00A12D02" w:rsidRPr="00FA1BCF">
        <w:rPr>
          <w:szCs w:val="24"/>
        </w:rPr>
        <w:t xml:space="preserve"> </w:t>
      </w:r>
      <w:r w:rsidR="005624C1" w:rsidRPr="00FA1BCF">
        <w:rPr>
          <w:szCs w:val="24"/>
        </w:rPr>
        <w:t>A</w:t>
      </w:r>
      <w:r w:rsidR="00F0245C" w:rsidRPr="00FA1BCF">
        <w:rPr>
          <w:szCs w:val="24"/>
        </w:rPr>
        <w:t>n example</w:t>
      </w:r>
      <w:r w:rsidR="005624C1" w:rsidRPr="00FA1BCF">
        <w:rPr>
          <w:szCs w:val="24"/>
        </w:rPr>
        <w:t xml:space="preserve"> of the latter is</w:t>
      </w:r>
      <w:r w:rsidR="00B56F35" w:rsidRPr="00FA1BCF">
        <w:rPr>
          <w:szCs w:val="24"/>
        </w:rPr>
        <w:t xml:space="preserve"> </w:t>
      </w:r>
      <w:r w:rsidRPr="00FA1BCF">
        <w:rPr>
          <w:szCs w:val="24"/>
        </w:rPr>
        <w:t xml:space="preserve">in cases of MPS I Hurler </w:t>
      </w:r>
      <w:r w:rsidR="005624C1" w:rsidRPr="00FA1BCF">
        <w:rPr>
          <w:szCs w:val="24"/>
        </w:rPr>
        <w:t>s</w:t>
      </w:r>
      <w:r w:rsidRPr="00FA1BCF">
        <w:rPr>
          <w:szCs w:val="24"/>
        </w:rPr>
        <w:t>yndrome</w:t>
      </w:r>
      <w:r w:rsidR="00F0245C" w:rsidRPr="00FA1BCF">
        <w:rPr>
          <w:szCs w:val="24"/>
        </w:rPr>
        <w:t xml:space="preserve"> where </w:t>
      </w:r>
      <w:proofErr w:type="spellStart"/>
      <w:r w:rsidRPr="00FA1BCF">
        <w:rPr>
          <w:szCs w:val="24"/>
        </w:rPr>
        <w:t>idursulphase</w:t>
      </w:r>
      <w:proofErr w:type="spellEnd"/>
      <w:r w:rsidRPr="00FA1BCF">
        <w:rPr>
          <w:szCs w:val="24"/>
        </w:rPr>
        <w:t xml:space="preserve"> may be used for a defined period prior to and after stem cell transplant.</w:t>
      </w:r>
    </w:p>
    <w:p w:rsidR="00CC79FE" w:rsidRPr="00FA1BCF" w:rsidRDefault="00CC79FE" w:rsidP="00E436E7">
      <w:pPr>
        <w:pStyle w:val="Heading3"/>
        <w:rPr>
          <w:szCs w:val="24"/>
        </w:rPr>
      </w:pPr>
      <w:bookmarkStart w:id="39" w:name="_Toc302625597"/>
      <w:r w:rsidRPr="00FA1BCF">
        <w:t>6.</w:t>
      </w:r>
      <w:r w:rsidR="00564EAE" w:rsidRPr="00FA1BCF">
        <w:t>3</w:t>
      </w:r>
      <w:r w:rsidRPr="00FA1BCF">
        <w:t>.</w:t>
      </w:r>
      <w:r w:rsidR="009F3049" w:rsidRPr="00FA1BCF">
        <w:t>7</w:t>
      </w:r>
      <w:r w:rsidRPr="00FA1BCF">
        <w:t xml:space="preserve"> Issue 7</w:t>
      </w:r>
      <w:bookmarkEnd w:id="39"/>
      <w:r w:rsidRPr="00FA1BCF">
        <w:rPr>
          <w:sz w:val="24"/>
          <w:szCs w:val="24"/>
        </w:rPr>
        <w:t xml:space="preserve"> </w:t>
      </w:r>
    </w:p>
    <w:p w:rsidR="007B6A18" w:rsidRDefault="00CC79FE" w:rsidP="00CC79FE">
      <w:pPr>
        <w:jc w:val="both"/>
        <w:outlineLvl w:val="1"/>
        <w:rPr>
          <w:i/>
          <w:szCs w:val="24"/>
        </w:rPr>
      </w:pPr>
      <w:r w:rsidRPr="00FA1BCF">
        <w:rPr>
          <w:i/>
          <w:szCs w:val="24"/>
        </w:rPr>
        <w:t>There is inadequate evidence to address the value for money of medicines subsidised under the LSDP.</w:t>
      </w:r>
    </w:p>
    <w:p w:rsidR="007B6A18" w:rsidRDefault="007B6A18" w:rsidP="007B6A18">
      <w:pPr>
        <w:jc w:val="both"/>
        <w:outlineLvl w:val="1"/>
        <w:rPr>
          <w:szCs w:val="24"/>
        </w:rPr>
      </w:pPr>
      <w:r w:rsidRPr="00BF6A08">
        <w:rPr>
          <w:i/>
          <w:szCs w:val="24"/>
        </w:rPr>
        <w:t>Clinicians could be encouraged to fill this gap by conducting research and providing evidence of dosing by body weight, where there is more than one medical agent in the same medicinal class, provide information of therapeutic equivalence, frequency of administration of treatment and provide information and clarification of when patients are not responding to treatment</w:t>
      </w:r>
      <w:r w:rsidR="00491886">
        <w:rPr>
          <w:i/>
          <w:szCs w:val="24"/>
        </w:rPr>
        <w:t>.</w:t>
      </w:r>
    </w:p>
    <w:p w:rsidR="00CC79FE" w:rsidRPr="00FA1BCF" w:rsidRDefault="00CC79FE" w:rsidP="007B6A18">
      <w:pPr>
        <w:pStyle w:val="ListParagraph"/>
        <w:numPr>
          <w:ilvl w:val="0"/>
          <w:numId w:val="25"/>
        </w:numPr>
        <w:jc w:val="both"/>
        <w:outlineLvl w:val="1"/>
        <w:rPr>
          <w:szCs w:val="24"/>
        </w:rPr>
      </w:pPr>
      <w:r w:rsidRPr="00FA1BCF">
        <w:rPr>
          <w:szCs w:val="24"/>
        </w:rPr>
        <w:t>What incentives are required to encourage clinicians and/or companies to undertake this type of research?</w:t>
      </w:r>
    </w:p>
    <w:p w:rsidR="00C26026" w:rsidRPr="00FA1BCF" w:rsidRDefault="00CC79FE" w:rsidP="00E436E7">
      <w:pPr>
        <w:pStyle w:val="ListParagraph"/>
        <w:numPr>
          <w:ilvl w:val="0"/>
          <w:numId w:val="25"/>
        </w:numPr>
        <w:jc w:val="both"/>
        <w:outlineLvl w:val="1"/>
        <w:rPr>
          <w:szCs w:val="24"/>
        </w:rPr>
      </w:pPr>
      <w:r w:rsidRPr="00FA1BCF">
        <w:rPr>
          <w:szCs w:val="24"/>
        </w:rPr>
        <w:t>To what extent should continuance of public money for the purposes of subsidy be linked to companies and/or clinicians undertaking such research?</w:t>
      </w:r>
    </w:p>
    <w:p w:rsidR="00CC611B" w:rsidRPr="00FA1BCF" w:rsidRDefault="00564EAE" w:rsidP="00CC79FE">
      <w:pPr>
        <w:jc w:val="both"/>
        <w:rPr>
          <w:szCs w:val="24"/>
        </w:rPr>
      </w:pPr>
      <w:r w:rsidRPr="00FA1BCF">
        <w:rPr>
          <w:szCs w:val="24"/>
        </w:rPr>
        <w:t>Submissions noted that r</w:t>
      </w:r>
      <w:r w:rsidR="00CC79FE" w:rsidRPr="00FA1BCF">
        <w:rPr>
          <w:szCs w:val="24"/>
        </w:rPr>
        <w:t>esponsible stewardship of taxpayers’ money requires post</w:t>
      </w:r>
      <w:r w:rsidR="005624C1" w:rsidRPr="00FA1BCF">
        <w:rPr>
          <w:szCs w:val="24"/>
        </w:rPr>
        <w:t>-</w:t>
      </w:r>
      <w:r w:rsidR="00CC79FE" w:rsidRPr="00FA1BCF">
        <w:rPr>
          <w:szCs w:val="24"/>
        </w:rPr>
        <w:t xml:space="preserve">market drug surveillance and regular mandated reviews. The initial decision to subsidise a medicine does not imply ongoing subsidisation. Sponsors should be responsible for ongoing research and monitoring of patients for </w:t>
      </w:r>
      <w:r w:rsidR="00A26B5E" w:rsidRPr="00FA1BCF">
        <w:rPr>
          <w:szCs w:val="24"/>
        </w:rPr>
        <w:t xml:space="preserve">medicines </w:t>
      </w:r>
      <w:r w:rsidR="00CC79FE" w:rsidRPr="00FA1BCF">
        <w:rPr>
          <w:szCs w:val="24"/>
        </w:rPr>
        <w:t>funded through the managed entry scheme. While desirable, research by clinicians is difficult as they are stretched for time and resources.</w:t>
      </w:r>
      <w:r w:rsidR="00B56F35" w:rsidRPr="00FA1BCF">
        <w:rPr>
          <w:szCs w:val="24"/>
        </w:rPr>
        <w:t xml:space="preserve"> </w:t>
      </w:r>
    </w:p>
    <w:p w:rsidR="00CC79FE" w:rsidRPr="00FA1BCF" w:rsidRDefault="00564EAE" w:rsidP="00CC79FE">
      <w:pPr>
        <w:jc w:val="both"/>
        <w:rPr>
          <w:szCs w:val="24"/>
        </w:rPr>
      </w:pPr>
      <w:r w:rsidRPr="00FA1BCF">
        <w:rPr>
          <w:szCs w:val="24"/>
        </w:rPr>
        <w:t xml:space="preserve">Some submissions </w:t>
      </w:r>
      <w:r w:rsidR="005624C1" w:rsidRPr="00FA1BCF">
        <w:rPr>
          <w:szCs w:val="24"/>
        </w:rPr>
        <w:t xml:space="preserve">considered </w:t>
      </w:r>
      <w:r w:rsidRPr="00FA1BCF">
        <w:rPr>
          <w:szCs w:val="24"/>
        </w:rPr>
        <w:t>a</w:t>
      </w:r>
      <w:r w:rsidR="00CC79FE" w:rsidRPr="00FA1BCF">
        <w:rPr>
          <w:szCs w:val="24"/>
        </w:rPr>
        <w:t xml:space="preserve"> national database hosting data of all patients within each disease group, not only those who are subsidised</w:t>
      </w:r>
      <w:r w:rsidR="005624C1" w:rsidRPr="00FA1BCF">
        <w:rPr>
          <w:szCs w:val="24"/>
        </w:rPr>
        <w:t>,</w:t>
      </w:r>
      <w:r w:rsidR="00CC79FE" w:rsidRPr="00FA1BCF">
        <w:rPr>
          <w:szCs w:val="24"/>
        </w:rPr>
        <w:t xml:space="preserve"> </w:t>
      </w:r>
      <w:r w:rsidR="005624C1" w:rsidRPr="00FA1BCF">
        <w:rPr>
          <w:szCs w:val="24"/>
        </w:rPr>
        <w:t>to be</w:t>
      </w:r>
      <w:r w:rsidR="00CC79FE" w:rsidRPr="00FA1BCF">
        <w:rPr>
          <w:szCs w:val="24"/>
        </w:rPr>
        <w:t xml:space="preserve"> important</w:t>
      </w:r>
      <w:r w:rsidR="007B6A18">
        <w:rPr>
          <w:szCs w:val="24"/>
        </w:rPr>
        <w:t>.</w:t>
      </w:r>
      <w:r w:rsidRPr="00FA1BCF">
        <w:rPr>
          <w:szCs w:val="24"/>
        </w:rPr>
        <w:t xml:space="preserve"> </w:t>
      </w:r>
      <w:r w:rsidR="007B6A18">
        <w:rPr>
          <w:szCs w:val="24"/>
        </w:rPr>
        <w:t>O</w:t>
      </w:r>
      <w:r w:rsidR="00573375" w:rsidRPr="00FA1BCF">
        <w:rPr>
          <w:szCs w:val="24"/>
        </w:rPr>
        <w:t xml:space="preserve">ne </w:t>
      </w:r>
      <w:r w:rsidR="007B6A18">
        <w:rPr>
          <w:szCs w:val="24"/>
        </w:rPr>
        <w:t xml:space="preserve">submission </w:t>
      </w:r>
      <w:r w:rsidRPr="00FA1BCF">
        <w:rPr>
          <w:szCs w:val="24"/>
        </w:rPr>
        <w:t>suggested an</w:t>
      </w:r>
      <w:r w:rsidR="00CC79FE" w:rsidRPr="00FA1BCF">
        <w:rPr>
          <w:szCs w:val="24"/>
        </w:rPr>
        <w:t xml:space="preserve"> international database coordinated by the World Health Organi</w:t>
      </w:r>
      <w:r w:rsidR="005624C1" w:rsidRPr="00FA1BCF">
        <w:rPr>
          <w:szCs w:val="24"/>
        </w:rPr>
        <w:t>z</w:t>
      </w:r>
      <w:r w:rsidR="00CC79FE" w:rsidRPr="00FA1BCF">
        <w:rPr>
          <w:szCs w:val="24"/>
        </w:rPr>
        <w:t xml:space="preserve">ation </w:t>
      </w:r>
      <w:r w:rsidRPr="00FA1BCF">
        <w:rPr>
          <w:szCs w:val="24"/>
        </w:rPr>
        <w:t>a</w:t>
      </w:r>
      <w:r w:rsidR="00CC79FE" w:rsidRPr="00FA1BCF">
        <w:rPr>
          <w:szCs w:val="24"/>
        </w:rPr>
        <w:t xml:space="preserve">s ideal. </w:t>
      </w:r>
    </w:p>
    <w:p w:rsidR="00CC79FE" w:rsidRPr="00FA1BCF" w:rsidRDefault="00573375" w:rsidP="00CC79FE">
      <w:pPr>
        <w:jc w:val="both"/>
        <w:rPr>
          <w:szCs w:val="24"/>
        </w:rPr>
      </w:pPr>
      <w:r w:rsidRPr="00FA1BCF">
        <w:rPr>
          <w:szCs w:val="24"/>
        </w:rPr>
        <w:t>Some comments noted that t</w:t>
      </w:r>
      <w:r w:rsidR="00CC79FE" w:rsidRPr="00FA1BCF">
        <w:rPr>
          <w:szCs w:val="24"/>
        </w:rPr>
        <w:t>he post</w:t>
      </w:r>
      <w:r w:rsidR="005624C1" w:rsidRPr="00FA1BCF">
        <w:rPr>
          <w:szCs w:val="24"/>
        </w:rPr>
        <w:t>-</w:t>
      </w:r>
      <w:r w:rsidR="00CC79FE" w:rsidRPr="00FA1BCF">
        <w:rPr>
          <w:szCs w:val="24"/>
        </w:rPr>
        <w:t xml:space="preserve">market review of the LSDP has focused on costs to the </w:t>
      </w:r>
      <w:r w:rsidR="005624C1" w:rsidRPr="00FA1BCF">
        <w:rPr>
          <w:szCs w:val="24"/>
        </w:rPr>
        <w:t>f</w:t>
      </w:r>
      <w:r w:rsidR="00CC79FE" w:rsidRPr="00FA1BCF">
        <w:rPr>
          <w:szCs w:val="24"/>
        </w:rPr>
        <w:t xml:space="preserve">ederal </w:t>
      </w:r>
      <w:r w:rsidR="005624C1" w:rsidRPr="00FA1BCF">
        <w:rPr>
          <w:szCs w:val="24"/>
        </w:rPr>
        <w:t>h</w:t>
      </w:r>
      <w:r w:rsidR="00CC79FE" w:rsidRPr="00FA1BCF">
        <w:rPr>
          <w:szCs w:val="24"/>
        </w:rPr>
        <w:t xml:space="preserve">ealth budget and is lacking in its consideration of the overall cost of managing the diseases for the family, </w:t>
      </w:r>
      <w:r w:rsidR="005624C1" w:rsidRPr="00FA1BCF">
        <w:rPr>
          <w:szCs w:val="24"/>
        </w:rPr>
        <w:t xml:space="preserve">the </w:t>
      </w:r>
      <w:r w:rsidR="00CC79FE" w:rsidRPr="00FA1BCF">
        <w:rPr>
          <w:szCs w:val="24"/>
        </w:rPr>
        <w:t xml:space="preserve">state and the general population. </w:t>
      </w:r>
      <w:r w:rsidRPr="00FA1BCF">
        <w:rPr>
          <w:szCs w:val="24"/>
        </w:rPr>
        <w:t>It was noted that n</w:t>
      </w:r>
      <w:r w:rsidR="00CC79FE" w:rsidRPr="00FA1BCF">
        <w:rPr>
          <w:szCs w:val="24"/>
        </w:rPr>
        <w:t xml:space="preserve">ot treating patients could cost more as demands on the health system increase as the condition of the patient regresses. </w:t>
      </w:r>
      <w:r w:rsidRPr="00FA1BCF">
        <w:rPr>
          <w:szCs w:val="24"/>
        </w:rPr>
        <w:t>Other comments noted that r</w:t>
      </w:r>
      <w:r w:rsidR="00CC79FE" w:rsidRPr="00FA1BCF">
        <w:rPr>
          <w:szCs w:val="24"/>
        </w:rPr>
        <w:t>are diseases require a fit</w:t>
      </w:r>
      <w:r w:rsidR="005624C1" w:rsidRPr="00FA1BCF">
        <w:rPr>
          <w:szCs w:val="24"/>
        </w:rPr>
        <w:t>-</w:t>
      </w:r>
      <w:r w:rsidR="00CC79FE" w:rsidRPr="00FA1BCF">
        <w:rPr>
          <w:szCs w:val="24"/>
        </w:rPr>
        <w:t>for</w:t>
      </w:r>
      <w:r w:rsidR="005624C1" w:rsidRPr="00FA1BCF">
        <w:rPr>
          <w:szCs w:val="24"/>
        </w:rPr>
        <w:t>-</w:t>
      </w:r>
      <w:r w:rsidR="00CC79FE" w:rsidRPr="00FA1BCF">
        <w:rPr>
          <w:szCs w:val="24"/>
        </w:rPr>
        <w:t xml:space="preserve">purpose </w:t>
      </w:r>
      <w:r w:rsidR="00CC79FE" w:rsidRPr="00FA1BCF">
        <w:rPr>
          <w:szCs w:val="24"/>
        </w:rPr>
        <w:lastRenderedPageBreak/>
        <w:t>approach</w:t>
      </w:r>
      <w:r w:rsidRPr="00FA1BCF">
        <w:rPr>
          <w:szCs w:val="24"/>
        </w:rPr>
        <w:t xml:space="preserve"> and that s</w:t>
      </w:r>
      <w:r w:rsidR="00CC79FE" w:rsidRPr="00FA1BCF">
        <w:rPr>
          <w:szCs w:val="24"/>
        </w:rPr>
        <w:t xml:space="preserve">afe and effective treatments approved by the </w:t>
      </w:r>
      <w:r w:rsidR="005624C1" w:rsidRPr="00FA1BCF">
        <w:rPr>
          <w:szCs w:val="24"/>
        </w:rPr>
        <w:t>T</w:t>
      </w:r>
      <w:r w:rsidR="00510EE1">
        <w:rPr>
          <w:szCs w:val="24"/>
        </w:rPr>
        <w:t>GA</w:t>
      </w:r>
      <w:r w:rsidR="00CC79FE" w:rsidRPr="00FA1BCF">
        <w:rPr>
          <w:szCs w:val="24"/>
        </w:rPr>
        <w:t xml:space="preserve"> need to be accompanied by positive recommendations by the PBAC.</w:t>
      </w:r>
    </w:p>
    <w:p w:rsidR="00CC611B" w:rsidRPr="00FA1BCF" w:rsidRDefault="00564EAE" w:rsidP="00CC79FE">
      <w:pPr>
        <w:jc w:val="both"/>
        <w:rPr>
          <w:szCs w:val="24"/>
        </w:rPr>
      </w:pPr>
      <w:r w:rsidRPr="00FA1BCF">
        <w:rPr>
          <w:szCs w:val="24"/>
        </w:rPr>
        <w:t>A specific recommendation was that t</w:t>
      </w:r>
      <w:r w:rsidR="00CC79FE" w:rsidRPr="00FA1BCF">
        <w:rPr>
          <w:szCs w:val="24"/>
        </w:rPr>
        <w:t>he criteria for Fabry</w:t>
      </w:r>
      <w:r w:rsidR="00CC611B" w:rsidRPr="00FA1BCF">
        <w:rPr>
          <w:szCs w:val="24"/>
        </w:rPr>
        <w:t xml:space="preserve"> </w:t>
      </w:r>
      <w:r w:rsidR="0019572B" w:rsidRPr="00FA1BCF">
        <w:rPr>
          <w:szCs w:val="24"/>
        </w:rPr>
        <w:t>disease should</w:t>
      </w:r>
      <w:r w:rsidR="00CC79FE" w:rsidRPr="00FA1BCF">
        <w:rPr>
          <w:szCs w:val="24"/>
        </w:rPr>
        <w:t xml:space="preserve"> be reviewed to ensure access to treatment for females and children. There should not be a difference in criteria between males and females.</w:t>
      </w:r>
    </w:p>
    <w:p w:rsidR="00CC79FE" w:rsidRPr="00FA1BCF" w:rsidRDefault="00CC79FE" w:rsidP="00E436E7">
      <w:pPr>
        <w:jc w:val="both"/>
      </w:pPr>
      <w:r w:rsidRPr="00FA1BCF">
        <w:rPr>
          <w:szCs w:val="24"/>
        </w:rPr>
        <w:t xml:space="preserve">There </w:t>
      </w:r>
      <w:r w:rsidR="00573375" w:rsidRPr="00FA1BCF">
        <w:rPr>
          <w:szCs w:val="24"/>
        </w:rPr>
        <w:t>was</w:t>
      </w:r>
      <w:r w:rsidRPr="00FA1BCF">
        <w:rPr>
          <w:szCs w:val="24"/>
        </w:rPr>
        <w:t xml:space="preserve"> no consensus </w:t>
      </w:r>
      <w:r w:rsidR="00573375" w:rsidRPr="00FA1BCF">
        <w:rPr>
          <w:szCs w:val="24"/>
        </w:rPr>
        <w:t xml:space="preserve">among submissions </w:t>
      </w:r>
      <w:r w:rsidRPr="00FA1BCF">
        <w:rPr>
          <w:szCs w:val="24"/>
        </w:rPr>
        <w:t xml:space="preserve">about the Australian </w:t>
      </w:r>
      <w:r w:rsidR="00CC611B" w:rsidRPr="00FA1BCF">
        <w:rPr>
          <w:szCs w:val="24"/>
        </w:rPr>
        <w:t>T</w:t>
      </w:r>
      <w:r w:rsidRPr="00FA1BCF">
        <w:rPr>
          <w:szCs w:val="24"/>
        </w:rPr>
        <w:t xml:space="preserve">reatment </w:t>
      </w:r>
      <w:r w:rsidR="00CC611B" w:rsidRPr="00FA1BCF">
        <w:rPr>
          <w:szCs w:val="24"/>
        </w:rPr>
        <w:t>G</w:t>
      </w:r>
      <w:r w:rsidRPr="00FA1BCF">
        <w:rPr>
          <w:szCs w:val="24"/>
        </w:rPr>
        <w:t xml:space="preserve">uidelines. </w:t>
      </w:r>
      <w:r w:rsidR="00573375" w:rsidRPr="00FA1BCF">
        <w:rPr>
          <w:szCs w:val="24"/>
        </w:rPr>
        <w:t>Some s</w:t>
      </w:r>
      <w:r w:rsidRPr="00FA1BCF">
        <w:rPr>
          <w:szCs w:val="24"/>
        </w:rPr>
        <w:t xml:space="preserve">ubmissions proposed </w:t>
      </w:r>
      <w:r w:rsidR="005624C1" w:rsidRPr="00FA1BCF">
        <w:rPr>
          <w:szCs w:val="24"/>
        </w:rPr>
        <w:t xml:space="preserve">that </w:t>
      </w:r>
      <w:r w:rsidRPr="00FA1BCF">
        <w:rPr>
          <w:szCs w:val="24"/>
        </w:rPr>
        <w:t xml:space="preserve">a review be conducted to ensure </w:t>
      </w:r>
      <w:r w:rsidR="00EF6EF3" w:rsidRPr="00FA1BCF">
        <w:rPr>
          <w:szCs w:val="24"/>
        </w:rPr>
        <w:t xml:space="preserve">that </w:t>
      </w:r>
      <w:r w:rsidRPr="00FA1BCF">
        <w:rPr>
          <w:szCs w:val="24"/>
        </w:rPr>
        <w:t xml:space="preserve">the </w:t>
      </w:r>
      <w:r w:rsidR="00EF6EF3" w:rsidRPr="00FA1BCF">
        <w:rPr>
          <w:szCs w:val="24"/>
        </w:rPr>
        <w:t>g</w:t>
      </w:r>
      <w:r w:rsidRPr="00FA1BCF">
        <w:rPr>
          <w:szCs w:val="24"/>
        </w:rPr>
        <w:t xml:space="preserve">uidelines are consistent with international best practice. </w:t>
      </w:r>
      <w:r w:rsidR="00573375" w:rsidRPr="00FA1BCF">
        <w:rPr>
          <w:szCs w:val="24"/>
        </w:rPr>
        <w:t>O</w:t>
      </w:r>
      <w:r w:rsidRPr="00FA1BCF">
        <w:rPr>
          <w:szCs w:val="24"/>
        </w:rPr>
        <w:t>thers believe</w:t>
      </w:r>
      <w:r w:rsidR="00EF6EF3" w:rsidRPr="00FA1BCF">
        <w:rPr>
          <w:szCs w:val="24"/>
        </w:rPr>
        <w:t xml:space="preserve"> that</w:t>
      </w:r>
      <w:r w:rsidRPr="00FA1BCF">
        <w:rPr>
          <w:szCs w:val="24"/>
        </w:rPr>
        <w:t xml:space="preserve"> the current </w:t>
      </w:r>
      <w:r w:rsidR="00EF6EF3" w:rsidRPr="00FA1BCF">
        <w:rPr>
          <w:szCs w:val="24"/>
        </w:rPr>
        <w:t xml:space="preserve">Australian </w:t>
      </w:r>
      <w:r w:rsidRPr="00FA1BCF">
        <w:rPr>
          <w:szCs w:val="24"/>
        </w:rPr>
        <w:t xml:space="preserve">Treatment Guidelines provide sufficient flexibility to accommodate variation in treatment and to manage small patient groups. There </w:t>
      </w:r>
      <w:r w:rsidR="00573375" w:rsidRPr="00FA1BCF">
        <w:rPr>
          <w:szCs w:val="24"/>
        </w:rPr>
        <w:t>was</w:t>
      </w:r>
      <w:r w:rsidRPr="00FA1BCF">
        <w:rPr>
          <w:szCs w:val="24"/>
        </w:rPr>
        <w:t xml:space="preserve"> agreement that </w:t>
      </w:r>
      <w:r w:rsidR="00EF6EF3" w:rsidRPr="00FA1BCF">
        <w:rPr>
          <w:szCs w:val="24"/>
        </w:rPr>
        <w:t>t</w:t>
      </w:r>
      <w:r w:rsidRPr="00FA1BCF">
        <w:rPr>
          <w:szCs w:val="24"/>
        </w:rPr>
        <w:t xml:space="preserve">reatment </w:t>
      </w:r>
      <w:r w:rsidR="00EF6EF3" w:rsidRPr="00FA1BCF">
        <w:rPr>
          <w:szCs w:val="24"/>
        </w:rPr>
        <w:t>g</w:t>
      </w:r>
      <w:r w:rsidRPr="00FA1BCF">
        <w:rPr>
          <w:szCs w:val="24"/>
        </w:rPr>
        <w:t>uidelines should be clear on the success and failure of the treatment, and should outline when a treatment should commence, continue and cease.</w:t>
      </w:r>
      <w:r w:rsidR="00B56F35" w:rsidRPr="00FA1BCF">
        <w:rPr>
          <w:szCs w:val="24"/>
        </w:rPr>
        <w:t xml:space="preserve"> </w:t>
      </w:r>
    </w:p>
    <w:p w:rsidR="00CC79FE" w:rsidRPr="00FA1BCF" w:rsidRDefault="00CC79FE" w:rsidP="00E436E7">
      <w:pPr>
        <w:pStyle w:val="Heading3"/>
        <w:rPr>
          <w:szCs w:val="24"/>
        </w:rPr>
      </w:pPr>
      <w:bookmarkStart w:id="40" w:name="_Toc302625598"/>
      <w:r w:rsidRPr="00FA1BCF">
        <w:t>6.</w:t>
      </w:r>
      <w:r w:rsidR="00564EAE" w:rsidRPr="00FA1BCF">
        <w:t>3</w:t>
      </w:r>
      <w:r w:rsidRPr="00FA1BCF">
        <w:t>.8 Issue 8</w:t>
      </w:r>
      <w:bookmarkEnd w:id="40"/>
      <w:r w:rsidR="00B56F35" w:rsidRPr="00FA1BCF">
        <w:rPr>
          <w:sz w:val="24"/>
          <w:szCs w:val="24"/>
        </w:rPr>
        <w:t xml:space="preserve"> </w:t>
      </w:r>
    </w:p>
    <w:p w:rsidR="00CC79FE" w:rsidRPr="00E436E7" w:rsidRDefault="00CC79FE" w:rsidP="00E436E7">
      <w:pPr>
        <w:jc w:val="both"/>
        <w:outlineLvl w:val="1"/>
        <w:rPr>
          <w:rFonts w:cs="Arial"/>
          <w:color w:val="1A1A1A"/>
          <w:szCs w:val="24"/>
        </w:rPr>
      </w:pPr>
      <w:r w:rsidRPr="00FA1BCF">
        <w:rPr>
          <w:i/>
          <w:szCs w:val="24"/>
        </w:rPr>
        <w:t xml:space="preserve">The access </w:t>
      </w:r>
      <w:r w:rsidR="00EF6EF3" w:rsidRPr="00FA1BCF">
        <w:rPr>
          <w:i/>
          <w:szCs w:val="24"/>
        </w:rPr>
        <w:t xml:space="preserve">to </w:t>
      </w:r>
      <w:r w:rsidRPr="00FA1BCF">
        <w:rPr>
          <w:i/>
          <w:szCs w:val="24"/>
        </w:rPr>
        <w:t xml:space="preserve">and administration of </w:t>
      </w:r>
      <w:r w:rsidR="00A26B5E" w:rsidRPr="00FA1BCF">
        <w:rPr>
          <w:i/>
          <w:szCs w:val="24"/>
        </w:rPr>
        <w:t xml:space="preserve">medicines </w:t>
      </w:r>
      <w:r w:rsidRPr="00FA1BCF">
        <w:rPr>
          <w:i/>
          <w:szCs w:val="24"/>
        </w:rPr>
        <w:t xml:space="preserve">subsidised under the LSDP is managed by the Commonwealth Government but point of patient care is usually in public hospitals in the states and territories. Access to </w:t>
      </w:r>
      <w:r w:rsidR="00A26B5E" w:rsidRPr="00FA1BCF">
        <w:rPr>
          <w:i/>
          <w:szCs w:val="24"/>
        </w:rPr>
        <w:t xml:space="preserve">medicines </w:t>
      </w:r>
      <w:r w:rsidRPr="00FA1BCF">
        <w:rPr>
          <w:i/>
          <w:szCs w:val="24"/>
        </w:rPr>
        <w:t>for patients should be efficient and support good health care.</w:t>
      </w:r>
    </w:p>
    <w:p w:rsidR="00CC79FE" w:rsidRPr="00FA1BCF" w:rsidRDefault="00CC79FE" w:rsidP="00E436E7">
      <w:pPr>
        <w:pStyle w:val="ListParagraph"/>
        <w:numPr>
          <w:ilvl w:val="0"/>
          <w:numId w:val="25"/>
        </w:numPr>
        <w:jc w:val="both"/>
        <w:outlineLvl w:val="1"/>
        <w:rPr>
          <w:szCs w:val="24"/>
        </w:rPr>
      </w:pPr>
      <w:r w:rsidRPr="00FA1BCF">
        <w:rPr>
          <w:szCs w:val="24"/>
        </w:rPr>
        <w:t xml:space="preserve">Would establishing a small number of </w:t>
      </w:r>
      <w:r w:rsidR="00EF6EF3" w:rsidRPr="00FA1BCF">
        <w:rPr>
          <w:szCs w:val="24"/>
        </w:rPr>
        <w:t>s</w:t>
      </w:r>
      <w:r w:rsidRPr="00FA1BCF">
        <w:rPr>
          <w:szCs w:val="24"/>
        </w:rPr>
        <w:t>tate</w:t>
      </w:r>
      <w:r w:rsidR="00EF6EF3" w:rsidRPr="00FA1BCF">
        <w:rPr>
          <w:szCs w:val="24"/>
        </w:rPr>
        <w:t>-</w:t>
      </w:r>
      <w:r w:rsidRPr="00FA1BCF">
        <w:rPr>
          <w:szCs w:val="24"/>
        </w:rPr>
        <w:t xml:space="preserve">based </w:t>
      </w:r>
      <w:r w:rsidR="00EF6EF3" w:rsidRPr="00FA1BCF">
        <w:rPr>
          <w:szCs w:val="24"/>
        </w:rPr>
        <w:t>c</w:t>
      </w:r>
      <w:r w:rsidRPr="00FA1BCF">
        <w:rPr>
          <w:szCs w:val="24"/>
        </w:rPr>
        <w:t xml:space="preserve">entres of for </w:t>
      </w:r>
      <w:r w:rsidR="00EF6EF3" w:rsidRPr="00FA1BCF">
        <w:rPr>
          <w:szCs w:val="24"/>
        </w:rPr>
        <w:t>r</w:t>
      </w:r>
      <w:r w:rsidRPr="00FA1BCF">
        <w:rPr>
          <w:szCs w:val="24"/>
        </w:rPr>
        <w:t xml:space="preserve">are </w:t>
      </w:r>
      <w:r w:rsidR="00EF6EF3" w:rsidRPr="00FA1BCF">
        <w:rPr>
          <w:szCs w:val="24"/>
        </w:rPr>
        <w:t>d</w:t>
      </w:r>
      <w:r w:rsidRPr="00FA1BCF">
        <w:rPr>
          <w:szCs w:val="24"/>
        </w:rPr>
        <w:t xml:space="preserve">isease </w:t>
      </w:r>
      <w:r w:rsidR="00EF6EF3" w:rsidRPr="00FA1BCF">
        <w:rPr>
          <w:szCs w:val="24"/>
        </w:rPr>
        <w:t>e</w:t>
      </w:r>
      <w:r w:rsidRPr="00FA1BCF">
        <w:rPr>
          <w:szCs w:val="24"/>
        </w:rPr>
        <w:t xml:space="preserve">xpertise be more effective in delivering the best overall care? What are the benefits for patients, their </w:t>
      </w:r>
      <w:proofErr w:type="spellStart"/>
      <w:r w:rsidRPr="00FA1BCF">
        <w:rPr>
          <w:szCs w:val="24"/>
        </w:rPr>
        <w:t>carers</w:t>
      </w:r>
      <w:proofErr w:type="spellEnd"/>
      <w:r w:rsidRPr="00FA1BCF">
        <w:rPr>
          <w:szCs w:val="24"/>
        </w:rPr>
        <w:t xml:space="preserve"> and clinical services? </w:t>
      </w:r>
    </w:p>
    <w:p w:rsidR="00CC79FE" w:rsidRPr="00FA1BCF" w:rsidRDefault="00CC79FE" w:rsidP="00E436E7">
      <w:pPr>
        <w:pStyle w:val="ListParagraph"/>
        <w:numPr>
          <w:ilvl w:val="0"/>
          <w:numId w:val="25"/>
        </w:numPr>
        <w:jc w:val="both"/>
        <w:outlineLvl w:val="1"/>
        <w:rPr>
          <w:szCs w:val="24"/>
        </w:rPr>
      </w:pPr>
      <w:r w:rsidRPr="00FA1BCF">
        <w:rPr>
          <w:szCs w:val="24"/>
        </w:rPr>
        <w:t xml:space="preserve">Would patients and their carers be disadvantaged by this arrangement? How could this be overcome? </w:t>
      </w:r>
    </w:p>
    <w:p w:rsidR="00CC79FE" w:rsidRPr="00FA1BCF" w:rsidRDefault="00CC79FE" w:rsidP="00E436E7">
      <w:pPr>
        <w:pStyle w:val="ListParagraph"/>
        <w:numPr>
          <w:ilvl w:val="0"/>
          <w:numId w:val="25"/>
        </w:numPr>
        <w:jc w:val="both"/>
        <w:outlineLvl w:val="1"/>
        <w:rPr>
          <w:szCs w:val="24"/>
        </w:rPr>
      </w:pPr>
      <w:r w:rsidRPr="00FA1BCF">
        <w:rPr>
          <w:szCs w:val="24"/>
        </w:rPr>
        <w:t>Is there a better way to improve clinical management of these patients, other than these state</w:t>
      </w:r>
      <w:r w:rsidR="00EF6EF3" w:rsidRPr="00FA1BCF">
        <w:rPr>
          <w:szCs w:val="24"/>
        </w:rPr>
        <w:t>-</w:t>
      </w:r>
      <w:r w:rsidRPr="00FA1BCF">
        <w:rPr>
          <w:szCs w:val="24"/>
        </w:rPr>
        <w:t xml:space="preserve">based centres? </w:t>
      </w:r>
    </w:p>
    <w:p w:rsidR="00CC79FE" w:rsidRPr="00FA1BCF" w:rsidRDefault="00CC79FE" w:rsidP="00CC79FE">
      <w:pPr>
        <w:jc w:val="both"/>
        <w:rPr>
          <w:szCs w:val="24"/>
        </w:rPr>
      </w:pPr>
      <w:r w:rsidRPr="00FA1BCF">
        <w:rPr>
          <w:szCs w:val="24"/>
        </w:rPr>
        <w:t xml:space="preserve">One submission </w:t>
      </w:r>
      <w:r w:rsidR="0074546B" w:rsidRPr="00FA1BCF">
        <w:rPr>
          <w:szCs w:val="24"/>
        </w:rPr>
        <w:t>stated that</w:t>
      </w:r>
      <w:r w:rsidRPr="00FA1BCF">
        <w:rPr>
          <w:szCs w:val="24"/>
        </w:rPr>
        <w:t xml:space="preserve"> </w:t>
      </w:r>
      <w:r w:rsidR="00EB219B" w:rsidRPr="00FA1BCF">
        <w:rPr>
          <w:szCs w:val="24"/>
        </w:rPr>
        <w:t xml:space="preserve">if </w:t>
      </w:r>
      <w:r w:rsidRPr="00FA1BCF">
        <w:rPr>
          <w:szCs w:val="24"/>
        </w:rPr>
        <w:t xml:space="preserve">the LSDP </w:t>
      </w:r>
      <w:r w:rsidR="00EF6EF3" w:rsidRPr="00FA1BCF">
        <w:rPr>
          <w:szCs w:val="24"/>
        </w:rPr>
        <w:t>were</w:t>
      </w:r>
      <w:r w:rsidRPr="00FA1BCF">
        <w:rPr>
          <w:szCs w:val="24"/>
        </w:rPr>
        <w:t xml:space="preserve"> consolidated into a </w:t>
      </w:r>
      <w:r w:rsidR="00B349D4" w:rsidRPr="00FA1BCF">
        <w:rPr>
          <w:szCs w:val="24"/>
        </w:rPr>
        <w:t>section 100</w:t>
      </w:r>
      <w:r w:rsidRPr="00FA1BCF">
        <w:rPr>
          <w:szCs w:val="24"/>
        </w:rPr>
        <w:t xml:space="preserve"> type programme, there would be no need for state based </w:t>
      </w:r>
      <w:r w:rsidR="00EF6EF3" w:rsidRPr="00FA1BCF">
        <w:rPr>
          <w:szCs w:val="24"/>
        </w:rPr>
        <w:t>c</w:t>
      </w:r>
      <w:r w:rsidRPr="00FA1BCF">
        <w:rPr>
          <w:szCs w:val="24"/>
        </w:rPr>
        <w:t xml:space="preserve">entres of </w:t>
      </w:r>
      <w:r w:rsidR="00EF6EF3" w:rsidRPr="00FA1BCF">
        <w:rPr>
          <w:szCs w:val="24"/>
        </w:rPr>
        <w:t>r</w:t>
      </w:r>
      <w:r w:rsidRPr="00FA1BCF">
        <w:rPr>
          <w:szCs w:val="24"/>
        </w:rPr>
        <w:t xml:space="preserve">are </w:t>
      </w:r>
      <w:r w:rsidR="00EF6EF3" w:rsidRPr="00FA1BCF">
        <w:rPr>
          <w:szCs w:val="24"/>
        </w:rPr>
        <w:t>d</w:t>
      </w:r>
      <w:r w:rsidRPr="00FA1BCF">
        <w:rPr>
          <w:szCs w:val="24"/>
        </w:rPr>
        <w:t xml:space="preserve">isease </w:t>
      </w:r>
      <w:r w:rsidR="00EF6EF3" w:rsidRPr="00FA1BCF">
        <w:rPr>
          <w:szCs w:val="24"/>
        </w:rPr>
        <w:t>e</w:t>
      </w:r>
      <w:r w:rsidRPr="00FA1BCF">
        <w:rPr>
          <w:szCs w:val="24"/>
        </w:rPr>
        <w:t>xpertise (</w:t>
      </w:r>
      <w:proofErr w:type="spellStart"/>
      <w:r w:rsidRPr="00FA1BCF">
        <w:rPr>
          <w:szCs w:val="24"/>
        </w:rPr>
        <w:t>CoE</w:t>
      </w:r>
      <w:r w:rsidR="00EF6EF3" w:rsidRPr="00FA1BCF">
        <w:rPr>
          <w:szCs w:val="24"/>
        </w:rPr>
        <w:t>s</w:t>
      </w:r>
      <w:proofErr w:type="spellEnd"/>
      <w:r w:rsidRPr="00FA1BCF">
        <w:rPr>
          <w:szCs w:val="24"/>
        </w:rPr>
        <w:t>). Another submission contend</w:t>
      </w:r>
      <w:r w:rsidR="00CC611B" w:rsidRPr="00FA1BCF">
        <w:rPr>
          <w:szCs w:val="24"/>
        </w:rPr>
        <w:t>ed</w:t>
      </w:r>
      <w:r w:rsidRPr="00FA1BCF">
        <w:rPr>
          <w:szCs w:val="24"/>
        </w:rPr>
        <w:t xml:space="preserve"> that new </w:t>
      </w:r>
      <w:proofErr w:type="spellStart"/>
      <w:r w:rsidRPr="00FA1BCF">
        <w:rPr>
          <w:szCs w:val="24"/>
        </w:rPr>
        <w:t>CoEs</w:t>
      </w:r>
      <w:proofErr w:type="spellEnd"/>
      <w:r w:rsidRPr="00FA1BCF">
        <w:rPr>
          <w:szCs w:val="24"/>
        </w:rPr>
        <w:t xml:space="preserve"> were unnecessary and would not provide specialist care given the small number of patients and lack of expertise as state</w:t>
      </w:r>
      <w:r w:rsidR="00EF6EF3" w:rsidRPr="00FA1BCF">
        <w:rPr>
          <w:szCs w:val="24"/>
        </w:rPr>
        <w:t>-</w:t>
      </w:r>
      <w:r w:rsidRPr="00FA1BCF">
        <w:rPr>
          <w:szCs w:val="24"/>
        </w:rPr>
        <w:t>based paed</w:t>
      </w:r>
      <w:r w:rsidR="00CC611B" w:rsidRPr="00FA1BCF">
        <w:rPr>
          <w:szCs w:val="24"/>
        </w:rPr>
        <w:t>iatric</w:t>
      </w:r>
      <w:r w:rsidRPr="00FA1BCF">
        <w:rPr>
          <w:szCs w:val="24"/>
        </w:rPr>
        <w:t xml:space="preserve"> hospitals already function in this capacity. </w:t>
      </w:r>
      <w:r w:rsidR="00573375" w:rsidRPr="00FA1BCF">
        <w:rPr>
          <w:szCs w:val="24"/>
        </w:rPr>
        <w:t>Another concern was that s</w:t>
      </w:r>
      <w:r w:rsidRPr="00FA1BCF">
        <w:rPr>
          <w:szCs w:val="24"/>
        </w:rPr>
        <w:t>tate</w:t>
      </w:r>
      <w:r w:rsidR="00EF6EF3" w:rsidRPr="00FA1BCF">
        <w:rPr>
          <w:szCs w:val="24"/>
        </w:rPr>
        <w:t>-</w:t>
      </w:r>
      <w:r w:rsidRPr="00FA1BCF">
        <w:rPr>
          <w:szCs w:val="24"/>
        </w:rPr>
        <w:t xml:space="preserve">based </w:t>
      </w:r>
      <w:proofErr w:type="spellStart"/>
      <w:r w:rsidRPr="00FA1BCF">
        <w:rPr>
          <w:szCs w:val="24"/>
        </w:rPr>
        <w:t>CoE</w:t>
      </w:r>
      <w:r w:rsidR="00EF6EF3" w:rsidRPr="00FA1BCF">
        <w:rPr>
          <w:szCs w:val="24"/>
        </w:rPr>
        <w:t>s</w:t>
      </w:r>
      <w:proofErr w:type="spellEnd"/>
      <w:r w:rsidRPr="00FA1BCF">
        <w:rPr>
          <w:szCs w:val="24"/>
        </w:rPr>
        <w:t xml:space="preserve"> run the risk of diluting expertise.</w:t>
      </w:r>
      <w:r w:rsidR="00B56F35" w:rsidRPr="00FA1BCF">
        <w:rPr>
          <w:szCs w:val="24"/>
        </w:rPr>
        <w:t xml:space="preserve"> </w:t>
      </w:r>
      <w:r w:rsidRPr="00FA1BCF">
        <w:rPr>
          <w:szCs w:val="24"/>
        </w:rPr>
        <w:t>In contrast</w:t>
      </w:r>
      <w:r w:rsidR="00CC611B" w:rsidRPr="00FA1BCF">
        <w:rPr>
          <w:szCs w:val="24"/>
        </w:rPr>
        <w:t>,</w:t>
      </w:r>
      <w:r w:rsidRPr="00FA1BCF">
        <w:rPr>
          <w:szCs w:val="24"/>
        </w:rPr>
        <w:t xml:space="preserve"> there is a belief that centres with experience in dealing with rare disease would improve patient care and consequently patient health outcomes. I</w:t>
      </w:r>
      <w:r w:rsidR="00573375" w:rsidRPr="00FA1BCF">
        <w:rPr>
          <w:szCs w:val="24"/>
        </w:rPr>
        <w:t>t was noted that i</w:t>
      </w:r>
      <w:r w:rsidRPr="00FA1BCF">
        <w:rPr>
          <w:szCs w:val="24"/>
        </w:rPr>
        <w:t xml:space="preserve">n reality </w:t>
      </w:r>
      <w:proofErr w:type="spellStart"/>
      <w:r w:rsidRPr="00FA1BCF">
        <w:rPr>
          <w:szCs w:val="24"/>
        </w:rPr>
        <w:t>CoE</w:t>
      </w:r>
      <w:r w:rsidR="00EF6EF3" w:rsidRPr="00FA1BCF">
        <w:rPr>
          <w:szCs w:val="24"/>
        </w:rPr>
        <w:t>s</w:t>
      </w:r>
      <w:proofErr w:type="spellEnd"/>
      <w:r w:rsidRPr="00FA1BCF">
        <w:rPr>
          <w:szCs w:val="24"/>
        </w:rPr>
        <w:t xml:space="preserve"> are the only places where patients can access disease</w:t>
      </w:r>
      <w:r w:rsidR="00EF6EF3" w:rsidRPr="00FA1BCF">
        <w:rPr>
          <w:szCs w:val="24"/>
        </w:rPr>
        <w:t>-</w:t>
      </w:r>
      <w:r w:rsidRPr="00FA1BCF">
        <w:rPr>
          <w:szCs w:val="24"/>
        </w:rPr>
        <w:t xml:space="preserve">specific multidisciplinary care. </w:t>
      </w:r>
      <w:r w:rsidR="00573375" w:rsidRPr="00FA1BCF">
        <w:rPr>
          <w:szCs w:val="24"/>
        </w:rPr>
        <w:t>Such f</w:t>
      </w:r>
      <w:r w:rsidRPr="00FA1BCF">
        <w:rPr>
          <w:szCs w:val="24"/>
        </w:rPr>
        <w:t xml:space="preserve">acilities </w:t>
      </w:r>
      <w:r w:rsidR="00573375" w:rsidRPr="00FA1BCF">
        <w:rPr>
          <w:szCs w:val="24"/>
        </w:rPr>
        <w:t xml:space="preserve">should be able </w:t>
      </w:r>
      <w:r w:rsidRPr="00FA1BCF">
        <w:rPr>
          <w:szCs w:val="24"/>
        </w:rPr>
        <w:t xml:space="preserve">to test all major organs. </w:t>
      </w:r>
    </w:p>
    <w:p w:rsidR="00CC79FE" w:rsidRPr="00FA1BCF" w:rsidRDefault="00564EAE" w:rsidP="00CC79FE">
      <w:pPr>
        <w:jc w:val="both"/>
        <w:rPr>
          <w:szCs w:val="24"/>
        </w:rPr>
      </w:pPr>
      <w:r w:rsidRPr="00FA1BCF">
        <w:rPr>
          <w:szCs w:val="24"/>
        </w:rPr>
        <w:t>It was further commented that i</w:t>
      </w:r>
      <w:r w:rsidR="00CC79FE" w:rsidRPr="00FA1BCF">
        <w:rPr>
          <w:szCs w:val="24"/>
        </w:rPr>
        <w:t xml:space="preserve">f </w:t>
      </w:r>
      <w:proofErr w:type="spellStart"/>
      <w:r w:rsidR="00CC79FE" w:rsidRPr="00FA1BCF">
        <w:rPr>
          <w:szCs w:val="24"/>
        </w:rPr>
        <w:t>CoE</w:t>
      </w:r>
      <w:r w:rsidR="00EF6EF3" w:rsidRPr="00FA1BCF">
        <w:rPr>
          <w:szCs w:val="24"/>
        </w:rPr>
        <w:t>s</w:t>
      </w:r>
      <w:proofErr w:type="spellEnd"/>
      <w:r w:rsidR="00CC79FE" w:rsidRPr="00FA1BCF">
        <w:rPr>
          <w:szCs w:val="24"/>
        </w:rPr>
        <w:t xml:space="preserve"> are established, funding policies and management of the </w:t>
      </w:r>
      <w:r w:rsidR="00A26B5E" w:rsidRPr="00FA1BCF">
        <w:rPr>
          <w:szCs w:val="24"/>
        </w:rPr>
        <w:t xml:space="preserve">medicines </w:t>
      </w:r>
      <w:r w:rsidR="00CC79FE" w:rsidRPr="00FA1BCF">
        <w:rPr>
          <w:szCs w:val="24"/>
        </w:rPr>
        <w:t xml:space="preserve">must be managed centrally to </w:t>
      </w:r>
      <w:proofErr w:type="gramStart"/>
      <w:r w:rsidR="00CC79FE" w:rsidRPr="00FA1BCF">
        <w:rPr>
          <w:szCs w:val="24"/>
        </w:rPr>
        <w:t>mitigate</w:t>
      </w:r>
      <w:proofErr w:type="gramEnd"/>
      <w:r w:rsidR="00CC79FE" w:rsidRPr="00FA1BCF">
        <w:rPr>
          <w:szCs w:val="24"/>
        </w:rPr>
        <w:t xml:space="preserve"> against inequitable access due to geographic locations and ‘postcode lottery’. It </w:t>
      </w:r>
      <w:r w:rsidR="00573375" w:rsidRPr="00FA1BCF">
        <w:rPr>
          <w:szCs w:val="24"/>
        </w:rPr>
        <w:t>was</w:t>
      </w:r>
      <w:r w:rsidR="00CC79FE" w:rsidRPr="00FA1BCF">
        <w:rPr>
          <w:szCs w:val="24"/>
        </w:rPr>
        <w:t xml:space="preserve"> the view of one submission that the state</w:t>
      </w:r>
      <w:r w:rsidR="00EF6EF3" w:rsidRPr="00FA1BCF">
        <w:rPr>
          <w:szCs w:val="24"/>
        </w:rPr>
        <w:t>s</w:t>
      </w:r>
      <w:r w:rsidR="00CC79FE" w:rsidRPr="00FA1BCF">
        <w:rPr>
          <w:szCs w:val="24"/>
        </w:rPr>
        <w:t xml:space="preserve"> and territories would place less priority on providing funds to manage patients with rare diseases in the absence of a national policy or strategy on it.</w:t>
      </w:r>
    </w:p>
    <w:p w:rsidR="00CC79FE" w:rsidRPr="00FA1BCF" w:rsidRDefault="00CC79FE" w:rsidP="00E436E7">
      <w:pPr>
        <w:pStyle w:val="Heading3"/>
        <w:rPr>
          <w:szCs w:val="24"/>
        </w:rPr>
      </w:pPr>
      <w:bookmarkStart w:id="41" w:name="_Toc302625599"/>
      <w:r w:rsidRPr="00FA1BCF">
        <w:t>6.</w:t>
      </w:r>
      <w:r w:rsidR="00564EAE" w:rsidRPr="00FA1BCF">
        <w:t>3</w:t>
      </w:r>
      <w:r w:rsidRPr="00FA1BCF">
        <w:t>.9 Issue 9</w:t>
      </w:r>
      <w:bookmarkEnd w:id="41"/>
    </w:p>
    <w:p w:rsidR="00CC79FE" w:rsidRPr="00FA1BCF" w:rsidRDefault="00CC79FE" w:rsidP="00CC79FE">
      <w:pPr>
        <w:jc w:val="both"/>
        <w:outlineLvl w:val="1"/>
        <w:rPr>
          <w:i/>
          <w:szCs w:val="24"/>
        </w:rPr>
      </w:pPr>
      <w:r w:rsidRPr="00FA1BCF">
        <w:rPr>
          <w:i/>
          <w:szCs w:val="24"/>
        </w:rPr>
        <w:t xml:space="preserve">The PBS is a well-established framework that delivers appropriate </w:t>
      </w:r>
      <w:r w:rsidR="00F81224" w:rsidRPr="00FA1BCF">
        <w:rPr>
          <w:i/>
          <w:szCs w:val="24"/>
        </w:rPr>
        <w:t xml:space="preserve">medicine </w:t>
      </w:r>
      <w:r w:rsidRPr="00FA1BCF">
        <w:rPr>
          <w:i/>
          <w:szCs w:val="24"/>
        </w:rPr>
        <w:t xml:space="preserve">subsidies to Australians. It has been in operation for over 60 years and has evolved from supplying </w:t>
      </w:r>
      <w:r w:rsidR="00A26B5E" w:rsidRPr="00FA1BCF">
        <w:rPr>
          <w:i/>
          <w:szCs w:val="24"/>
        </w:rPr>
        <w:lastRenderedPageBreak/>
        <w:t xml:space="preserve">medicines </w:t>
      </w:r>
      <w:r w:rsidRPr="00FA1BCF">
        <w:rPr>
          <w:i/>
          <w:szCs w:val="24"/>
        </w:rPr>
        <w:t xml:space="preserve">in the </w:t>
      </w:r>
      <w:r w:rsidRPr="00E436E7">
        <w:rPr>
          <w:szCs w:val="24"/>
        </w:rPr>
        <w:t>British Pharmacopeia</w:t>
      </w:r>
      <w:r w:rsidRPr="00FA1BCF">
        <w:rPr>
          <w:i/>
          <w:szCs w:val="24"/>
        </w:rPr>
        <w:t xml:space="preserve"> to pensioners in 1948 to subsidising over 5</w:t>
      </w:r>
      <w:r w:rsidR="00EF6EF3" w:rsidRPr="00FA1BCF">
        <w:rPr>
          <w:i/>
          <w:szCs w:val="24"/>
        </w:rPr>
        <w:t>,</w:t>
      </w:r>
      <w:r w:rsidRPr="00FA1BCF">
        <w:rPr>
          <w:i/>
          <w:szCs w:val="24"/>
        </w:rPr>
        <w:t xml:space="preserve">100 </w:t>
      </w:r>
      <w:r w:rsidR="00A26B5E" w:rsidRPr="00FA1BCF">
        <w:rPr>
          <w:i/>
          <w:szCs w:val="24"/>
        </w:rPr>
        <w:t xml:space="preserve">medicines </w:t>
      </w:r>
      <w:r w:rsidRPr="00FA1BCF">
        <w:rPr>
          <w:i/>
          <w:szCs w:val="24"/>
        </w:rPr>
        <w:t xml:space="preserve">in 2014. </w:t>
      </w:r>
    </w:p>
    <w:p w:rsidR="00CC79FE" w:rsidRPr="00FA1BCF" w:rsidRDefault="00CC79FE" w:rsidP="00CC79FE">
      <w:pPr>
        <w:jc w:val="both"/>
        <w:outlineLvl w:val="1"/>
        <w:rPr>
          <w:i/>
          <w:szCs w:val="24"/>
        </w:rPr>
      </w:pPr>
      <w:r w:rsidRPr="00FA1BCF">
        <w:rPr>
          <w:i/>
          <w:szCs w:val="24"/>
        </w:rPr>
        <w:t xml:space="preserve">Under </w:t>
      </w:r>
      <w:r w:rsidR="00EF6EF3" w:rsidRPr="00FA1BCF">
        <w:rPr>
          <w:i/>
          <w:szCs w:val="24"/>
        </w:rPr>
        <w:t xml:space="preserve">the </w:t>
      </w:r>
      <w:r w:rsidRPr="00FA1BCF">
        <w:rPr>
          <w:i/>
          <w:szCs w:val="24"/>
        </w:rPr>
        <w:t>PBS the Commonwealth subsidises many high</w:t>
      </w:r>
      <w:r w:rsidR="00EF6EF3" w:rsidRPr="00FA1BCF">
        <w:rPr>
          <w:i/>
          <w:szCs w:val="24"/>
        </w:rPr>
        <w:t>-</w:t>
      </w:r>
      <w:r w:rsidRPr="00FA1BCF">
        <w:rPr>
          <w:i/>
          <w:szCs w:val="24"/>
        </w:rPr>
        <w:t xml:space="preserve">cost </w:t>
      </w:r>
      <w:r w:rsidR="00467533" w:rsidRPr="00FA1BCF">
        <w:rPr>
          <w:i/>
          <w:szCs w:val="24"/>
        </w:rPr>
        <w:t>medicines that</w:t>
      </w:r>
      <w:r w:rsidRPr="00FA1BCF">
        <w:rPr>
          <w:i/>
          <w:szCs w:val="24"/>
        </w:rPr>
        <w:t xml:space="preserve"> can only be supplied from hospitals to outpatients. These arrangements are known as Highly Specialised </w:t>
      </w:r>
      <w:r w:rsidR="00A26B5E" w:rsidRPr="00FA1BCF">
        <w:rPr>
          <w:i/>
          <w:szCs w:val="24"/>
        </w:rPr>
        <w:t xml:space="preserve">Medicines </w:t>
      </w:r>
      <w:r w:rsidRPr="00FA1BCF">
        <w:rPr>
          <w:i/>
          <w:szCs w:val="24"/>
        </w:rPr>
        <w:t xml:space="preserve">Programme or </w:t>
      </w:r>
      <w:r w:rsidR="00B349D4" w:rsidRPr="00FA1BCF">
        <w:rPr>
          <w:i/>
          <w:szCs w:val="24"/>
        </w:rPr>
        <w:t>section 100</w:t>
      </w:r>
      <w:r w:rsidRPr="00FA1BCF">
        <w:rPr>
          <w:i/>
          <w:szCs w:val="24"/>
        </w:rPr>
        <w:t xml:space="preserve"> drugs, after the relevant part of the </w:t>
      </w:r>
      <w:r w:rsidRPr="00E436E7">
        <w:rPr>
          <w:szCs w:val="24"/>
        </w:rPr>
        <w:t>National Health Act 1953</w:t>
      </w:r>
      <w:r w:rsidRPr="00FA1BCF">
        <w:rPr>
          <w:i/>
          <w:szCs w:val="24"/>
        </w:rPr>
        <w:t xml:space="preserve">. Section 100 allows alternative arrangements to be established where these are considered more appropriate. Other current </w:t>
      </w:r>
      <w:r w:rsidR="00B349D4" w:rsidRPr="00FA1BCF">
        <w:rPr>
          <w:i/>
          <w:szCs w:val="24"/>
        </w:rPr>
        <w:t>section 100</w:t>
      </w:r>
      <w:r w:rsidRPr="00FA1BCF">
        <w:rPr>
          <w:i/>
          <w:szCs w:val="24"/>
        </w:rPr>
        <w:t xml:space="preserve"> programmes include Efficient Funding of Chemotherapy and the Growth Hormone Programme. </w:t>
      </w:r>
    </w:p>
    <w:p w:rsidR="00AE41CE" w:rsidRPr="00FA1BCF" w:rsidRDefault="00CC79FE" w:rsidP="00CC79FE">
      <w:pPr>
        <w:jc w:val="both"/>
        <w:outlineLvl w:val="1"/>
        <w:rPr>
          <w:i/>
          <w:szCs w:val="24"/>
        </w:rPr>
      </w:pPr>
      <w:bookmarkStart w:id="42" w:name="_Toc412728853"/>
      <w:r w:rsidRPr="00FA1BCF">
        <w:rPr>
          <w:i/>
          <w:szCs w:val="24"/>
        </w:rPr>
        <w:t>One proposal under consideration is that</w:t>
      </w:r>
      <w:r w:rsidR="00EF6EF3" w:rsidRPr="00FA1BCF">
        <w:rPr>
          <w:i/>
          <w:szCs w:val="24"/>
        </w:rPr>
        <w:t>,</w:t>
      </w:r>
      <w:r w:rsidRPr="00FA1BCF">
        <w:rPr>
          <w:i/>
          <w:szCs w:val="24"/>
        </w:rPr>
        <w:t xml:space="preserve"> instead of having a separate programme for rare diseases, a special </w:t>
      </w:r>
      <w:r w:rsidR="00B349D4" w:rsidRPr="00FA1BCF">
        <w:rPr>
          <w:i/>
          <w:szCs w:val="24"/>
        </w:rPr>
        <w:t>section 100</w:t>
      </w:r>
      <w:r w:rsidRPr="00FA1BCF">
        <w:rPr>
          <w:i/>
          <w:szCs w:val="24"/>
        </w:rPr>
        <w:t xml:space="preserve"> arrangement could be establish</w:t>
      </w:r>
      <w:r w:rsidR="00EF6EF3" w:rsidRPr="00FA1BCF">
        <w:rPr>
          <w:i/>
          <w:szCs w:val="24"/>
        </w:rPr>
        <w:t>ed</w:t>
      </w:r>
      <w:r w:rsidRPr="00FA1BCF">
        <w:rPr>
          <w:i/>
          <w:szCs w:val="24"/>
        </w:rPr>
        <w:t xml:space="preserve"> that takes into account the rarity of the patients’ condition. A set of criteria would need to be established for each rare disease</w:t>
      </w:r>
      <w:r w:rsidR="00EF6EF3" w:rsidRPr="00FA1BCF">
        <w:rPr>
          <w:i/>
          <w:szCs w:val="24"/>
        </w:rPr>
        <w:t>,</w:t>
      </w:r>
      <w:r w:rsidRPr="00FA1BCF">
        <w:rPr>
          <w:i/>
          <w:szCs w:val="24"/>
        </w:rPr>
        <w:t xml:space="preserve"> and the administration of the programme </w:t>
      </w:r>
      <w:r w:rsidR="00EF6EF3" w:rsidRPr="00FA1BCF">
        <w:rPr>
          <w:i/>
          <w:szCs w:val="24"/>
        </w:rPr>
        <w:t xml:space="preserve">would </w:t>
      </w:r>
      <w:r w:rsidRPr="00FA1BCF">
        <w:rPr>
          <w:i/>
          <w:szCs w:val="24"/>
        </w:rPr>
        <w:t xml:space="preserve">be modelled on existing programmes like the Growth Hormone </w:t>
      </w:r>
      <w:r w:rsidR="00EF6EF3" w:rsidRPr="00FA1BCF">
        <w:rPr>
          <w:i/>
          <w:szCs w:val="24"/>
        </w:rPr>
        <w:t>P</w:t>
      </w:r>
      <w:r w:rsidRPr="00FA1BCF">
        <w:rPr>
          <w:i/>
          <w:szCs w:val="24"/>
        </w:rPr>
        <w:t>rogramme.</w:t>
      </w:r>
      <w:bookmarkEnd w:id="42"/>
    </w:p>
    <w:p w:rsidR="00CC79FE" w:rsidRPr="00FA1BCF" w:rsidRDefault="00CC79FE" w:rsidP="00E436E7">
      <w:pPr>
        <w:pStyle w:val="ListParagraph"/>
        <w:numPr>
          <w:ilvl w:val="0"/>
          <w:numId w:val="25"/>
        </w:numPr>
        <w:jc w:val="both"/>
        <w:outlineLvl w:val="1"/>
        <w:rPr>
          <w:szCs w:val="24"/>
        </w:rPr>
      </w:pPr>
      <w:bookmarkStart w:id="43" w:name="_Toc412728854"/>
      <w:r w:rsidRPr="00FA1BCF">
        <w:rPr>
          <w:szCs w:val="24"/>
        </w:rPr>
        <w:t xml:space="preserve">What are the advantages of establishing a </w:t>
      </w:r>
      <w:r w:rsidR="00B349D4" w:rsidRPr="00FA1BCF">
        <w:rPr>
          <w:szCs w:val="24"/>
        </w:rPr>
        <w:t>section 100</w:t>
      </w:r>
      <w:r w:rsidRPr="00FA1BCF">
        <w:rPr>
          <w:szCs w:val="24"/>
        </w:rPr>
        <w:t xml:space="preserve"> special arrangement for rare conditions as oppose</w:t>
      </w:r>
      <w:r w:rsidR="00EF6EF3" w:rsidRPr="00FA1BCF">
        <w:rPr>
          <w:szCs w:val="24"/>
        </w:rPr>
        <w:t>d</w:t>
      </w:r>
      <w:r w:rsidRPr="00FA1BCF">
        <w:rPr>
          <w:szCs w:val="24"/>
        </w:rPr>
        <w:t xml:space="preserve"> to having a separate LSDP? What are the disadvantages?</w:t>
      </w:r>
      <w:bookmarkEnd w:id="43"/>
    </w:p>
    <w:p w:rsidR="00CC79FE" w:rsidRPr="00FA1BCF" w:rsidRDefault="00CC79FE" w:rsidP="00E436E7">
      <w:pPr>
        <w:pStyle w:val="ListParagraph"/>
        <w:numPr>
          <w:ilvl w:val="0"/>
          <w:numId w:val="25"/>
        </w:numPr>
        <w:jc w:val="both"/>
        <w:outlineLvl w:val="1"/>
        <w:rPr>
          <w:szCs w:val="24"/>
        </w:rPr>
      </w:pPr>
      <w:r w:rsidRPr="00FA1BCF">
        <w:rPr>
          <w:szCs w:val="24"/>
        </w:rPr>
        <w:t xml:space="preserve">Are there other approaches to access and </w:t>
      </w:r>
      <w:r w:rsidR="00F81224" w:rsidRPr="00FA1BCF">
        <w:rPr>
          <w:szCs w:val="24"/>
        </w:rPr>
        <w:t xml:space="preserve">medicine </w:t>
      </w:r>
      <w:r w:rsidRPr="00FA1BCF">
        <w:rPr>
          <w:szCs w:val="24"/>
        </w:rPr>
        <w:t>delivery than via a special PBS programme that should be considered?</w:t>
      </w:r>
    </w:p>
    <w:p w:rsidR="00CC79FE" w:rsidRPr="00FA1BCF" w:rsidRDefault="00CC79FE" w:rsidP="00CC79FE">
      <w:pPr>
        <w:jc w:val="both"/>
        <w:rPr>
          <w:szCs w:val="24"/>
        </w:rPr>
      </w:pPr>
      <w:r w:rsidRPr="00FA1BCF">
        <w:rPr>
          <w:szCs w:val="24"/>
        </w:rPr>
        <w:t xml:space="preserve">A majority of submissions supported developing a new section 100 </w:t>
      </w:r>
      <w:r w:rsidR="000009B8" w:rsidRPr="00FA1BCF">
        <w:rPr>
          <w:szCs w:val="24"/>
        </w:rPr>
        <w:t>‘</w:t>
      </w:r>
      <w:r w:rsidRPr="00FA1BCF">
        <w:rPr>
          <w:szCs w:val="24"/>
        </w:rPr>
        <w:t>Rare or Very Rare Disease</w:t>
      </w:r>
      <w:r w:rsidR="000009B8" w:rsidRPr="00FA1BCF">
        <w:rPr>
          <w:szCs w:val="24"/>
        </w:rPr>
        <w:t xml:space="preserve"> Programme’</w:t>
      </w:r>
      <w:r w:rsidRPr="00FA1BCF">
        <w:rPr>
          <w:szCs w:val="24"/>
        </w:rPr>
        <w:t xml:space="preserve"> or </w:t>
      </w:r>
      <w:r w:rsidR="000009B8" w:rsidRPr="00FA1BCF">
        <w:rPr>
          <w:szCs w:val="24"/>
        </w:rPr>
        <w:t>‘</w:t>
      </w:r>
      <w:r w:rsidRPr="00FA1BCF">
        <w:rPr>
          <w:szCs w:val="24"/>
        </w:rPr>
        <w:t>Special-</w:t>
      </w:r>
      <w:r w:rsidR="00CC611B" w:rsidRPr="00FA1BCF">
        <w:rPr>
          <w:szCs w:val="24"/>
        </w:rPr>
        <w:t>A</w:t>
      </w:r>
      <w:r w:rsidRPr="00FA1BCF">
        <w:rPr>
          <w:szCs w:val="24"/>
        </w:rPr>
        <w:t xml:space="preserve">ccess </w:t>
      </w:r>
      <w:r w:rsidR="008B29C7" w:rsidRPr="00FA1BCF">
        <w:rPr>
          <w:szCs w:val="24"/>
        </w:rPr>
        <w:t xml:space="preserve">Medicines for </w:t>
      </w:r>
      <w:r w:rsidR="000009B8" w:rsidRPr="00FA1BCF">
        <w:rPr>
          <w:szCs w:val="24"/>
        </w:rPr>
        <w:t xml:space="preserve">Inherited </w:t>
      </w:r>
      <w:r w:rsidR="008B29C7" w:rsidRPr="00FA1BCF">
        <w:rPr>
          <w:szCs w:val="24"/>
        </w:rPr>
        <w:t>Rare Diseases Programme</w:t>
      </w:r>
      <w:r w:rsidRPr="00FA1BCF">
        <w:rPr>
          <w:szCs w:val="24"/>
        </w:rPr>
        <w:t xml:space="preserve">. A separate section 100 </w:t>
      </w:r>
      <w:r w:rsidR="00CC611B" w:rsidRPr="00FA1BCF">
        <w:rPr>
          <w:szCs w:val="24"/>
        </w:rPr>
        <w:t xml:space="preserve">programme </w:t>
      </w:r>
      <w:r w:rsidRPr="00FA1BCF">
        <w:rPr>
          <w:szCs w:val="24"/>
        </w:rPr>
        <w:t>mirroring an established and successful delivery framework dedicated to rare diseases would minimise confusion. It has the potential to reduce administrative burden and deliver more certainty to clinicians</w:t>
      </w:r>
      <w:r w:rsidR="000009B8" w:rsidRPr="00FA1BCF">
        <w:rPr>
          <w:szCs w:val="24"/>
        </w:rPr>
        <w:t>,</w:t>
      </w:r>
      <w:r w:rsidRPr="00FA1BCF">
        <w:rPr>
          <w:szCs w:val="24"/>
        </w:rPr>
        <w:t xml:space="preserve"> freeing them to care for their patients. Other</w:t>
      </w:r>
      <w:r w:rsidR="000009B8" w:rsidRPr="00FA1BCF">
        <w:rPr>
          <w:szCs w:val="24"/>
        </w:rPr>
        <w:t>s</w:t>
      </w:r>
      <w:r w:rsidRPr="00FA1BCF">
        <w:rPr>
          <w:szCs w:val="24"/>
        </w:rPr>
        <w:t xml:space="preserve"> called for a similar programme but suggested calling it </w:t>
      </w:r>
      <w:r w:rsidR="000009B8" w:rsidRPr="00FA1BCF">
        <w:rPr>
          <w:szCs w:val="24"/>
        </w:rPr>
        <w:t>‘S</w:t>
      </w:r>
      <w:r w:rsidRPr="00FA1BCF">
        <w:rPr>
          <w:szCs w:val="24"/>
        </w:rPr>
        <w:t>ection 200 Rare Disease or Very Rare Disease Programme</w:t>
      </w:r>
      <w:r w:rsidR="000009B8" w:rsidRPr="00FA1BCF">
        <w:rPr>
          <w:szCs w:val="24"/>
        </w:rPr>
        <w:t>’</w:t>
      </w:r>
      <w:r w:rsidRPr="00FA1BCF">
        <w:rPr>
          <w:szCs w:val="24"/>
        </w:rPr>
        <w:t>.</w:t>
      </w:r>
    </w:p>
    <w:p w:rsidR="00CC79FE" w:rsidRPr="00FA1BCF" w:rsidRDefault="00CC79FE" w:rsidP="00CC79FE">
      <w:pPr>
        <w:jc w:val="both"/>
        <w:rPr>
          <w:szCs w:val="24"/>
        </w:rPr>
      </w:pPr>
      <w:r w:rsidRPr="00FA1BCF">
        <w:rPr>
          <w:szCs w:val="24"/>
        </w:rPr>
        <w:t xml:space="preserve">A few submissions noted that the primary objective of the programme is for patients to have timely access to needed medicines. The system should be flexible to enable doses to be adjusted as necessary for individual needs but it should also be stringent enough to restrict the </w:t>
      </w:r>
      <w:r w:rsidR="00A26B5E" w:rsidRPr="00FA1BCF">
        <w:rPr>
          <w:szCs w:val="24"/>
        </w:rPr>
        <w:t xml:space="preserve">medicines </w:t>
      </w:r>
      <w:r w:rsidRPr="00FA1BCF">
        <w:rPr>
          <w:szCs w:val="24"/>
        </w:rPr>
        <w:t xml:space="preserve">to appropriately defined groups of patients. Any new framework or model would need to be clear about who is responsible for prescribing, funding and maintaining expertise within accredited centres. Rare disease treatment entails close monitoring and individualised patient treatment. Therefore automating the application process may risk inappropriate therapy. </w:t>
      </w:r>
    </w:p>
    <w:p w:rsidR="00CC79FE" w:rsidRPr="00FA1BCF" w:rsidRDefault="00564EAE" w:rsidP="00CC79FE">
      <w:pPr>
        <w:jc w:val="both"/>
        <w:rPr>
          <w:szCs w:val="24"/>
        </w:rPr>
      </w:pPr>
      <w:r w:rsidRPr="00FA1BCF">
        <w:rPr>
          <w:szCs w:val="24"/>
        </w:rPr>
        <w:t xml:space="preserve">Submissions suggested </w:t>
      </w:r>
      <w:r w:rsidR="000009B8" w:rsidRPr="00FA1BCF">
        <w:rPr>
          <w:szCs w:val="24"/>
        </w:rPr>
        <w:t xml:space="preserve">that </w:t>
      </w:r>
      <w:r w:rsidRPr="00FA1BCF">
        <w:rPr>
          <w:szCs w:val="24"/>
        </w:rPr>
        <w:t>a</w:t>
      </w:r>
      <w:r w:rsidR="00CC79FE" w:rsidRPr="00FA1BCF">
        <w:rPr>
          <w:szCs w:val="24"/>
        </w:rPr>
        <w:t xml:space="preserve"> clinical expert committee with membership flexibility to draw on expertise depending on the medication and diseases being considered is important to provide advice </w:t>
      </w:r>
      <w:r w:rsidR="000009B8" w:rsidRPr="00FA1BCF">
        <w:rPr>
          <w:szCs w:val="24"/>
        </w:rPr>
        <w:t xml:space="preserve">in </w:t>
      </w:r>
      <w:r w:rsidR="00CC79FE" w:rsidRPr="00FA1BCF">
        <w:rPr>
          <w:szCs w:val="24"/>
        </w:rPr>
        <w:t>instances where standard protocol</w:t>
      </w:r>
      <w:r w:rsidR="000009B8" w:rsidRPr="00FA1BCF">
        <w:rPr>
          <w:szCs w:val="24"/>
        </w:rPr>
        <w:t>s</w:t>
      </w:r>
      <w:r w:rsidR="00CC79FE" w:rsidRPr="00FA1BCF">
        <w:rPr>
          <w:szCs w:val="24"/>
        </w:rPr>
        <w:t xml:space="preserve"> may not apply or where cases are </w:t>
      </w:r>
      <w:proofErr w:type="gramStart"/>
      <w:r w:rsidR="00CC79FE" w:rsidRPr="00FA1BCF">
        <w:rPr>
          <w:szCs w:val="24"/>
        </w:rPr>
        <w:t>borderline</w:t>
      </w:r>
      <w:proofErr w:type="gramEnd"/>
      <w:r w:rsidR="00CC79FE" w:rsidRPr="00FA1BCF">
        <w:rPr>
          <w:szCs w:val="24"/>
        </w:rPr>
        <w:t>.</w:t>
      </w:r>
      <w:r w:rsidR="00B56F35" w:rsidRPr="00FA1BCF">
        <w:rPr>
          <w:szCs w:val="24"/>
        </w:rPr>
        <w:t xml:space="preserve"> </w:t>
      </w:r>
      <w:r w:rsidR="00CC79FE" w:rsidRPr="00FA1BCF">
        <w:rPr>
          <w:szCs w:val="24"/>
        </w:rPr>
        <w:t>Members of this clinical committee must have relevant experience and be represented by specialist</w:t>
      </w:r>
      <w:r w:rsidR="00CC611B" w:rsidRPr="00FA1BCF">
        <w:rPr>
          <w:szCs w:val="24"/>
        </w:rPr>
        <w:t>s</w:t>
      </w:r>
      <w:r w:rsidR="00CC79FE" w:rsidRPr="00FA1BCF">
        <w:rPr>
          <w:szCs w:val="24"/>
        </w:rPr>
        <w:t xml:space="preserve"> from both paediatric and adult medicine background</w:t>
      </w:r>
      <w:r w:rsidR="00CC611B" w:rsidRPr="00FA1BCF">
        <w:rPr>
          <w:szCs w:val="24"/>
        </w:rPr>
        <w:t>s</w:t>
      </w:r>
      <w:r w:rsidR="00897318" w:rsidRPr="00FA1BCF">
        <w:rPr>
          <w:szCs w:val="24"/>
        </w:rPr>
        <w:t>.</w:t>
      </w:r>
    </w:p>
    <w:p w:rsidR="00CC79FE" w:rsidRPr="00FA1BCF" w:rsidRDefault="00CC79FE" w:rsidP="00E436E7">
      <w:pPr>
        <w:pStyle w:val="Heading3"/>
        <w:rPr>
          <w:szCs w:val="24"/>
        </w:rPr>
      </w:pPr>
      <w:bookmarkStart w:id="44" w:name="_Toc302625600"/>
      <w:r w:rsidRPr="00FA1BCF">
        <w:t>6.</w:t>
      </w:r>
      <w:r w:rsidR="00564EAE" w:rsidRPr="00FA1BCF">
        <w:t>3</w:t>
      </w:r>
      <w:r w:rsidRPr="00FA1BCF">
        <w:t>.10 Issue 10</w:t>
      </w:r>
      <w:bookmarkEnd w:id="44"/>
    </w:p>
    <w:p w:rsidR="00CC79FE" w:rsidRPr="00FA1BCF" w:rsidRDefault="00CC79FE" w:rsidP="00CC79FE">
      <w:pPr>
        <w:jc w:val="both"/>
        <w:outlineLvl w:val="1"/>
        <w:rPr>
          <w:i/>
          <w:szCs w:val="24"/>
        </w:rPr>
      </w:pPr>
      <w:r w:rsidRPr="00FA1BCF">
        <w:rPr>
          <w:i/>
          <w:szCs w:val="24"/>
        </w:rPr>
        <w:t xml:space="preserve">There is universal acknowledgement of the need for systematic collection of data and better data management in order to inform questions such as efficiency and ongoing benefit of subsidisation to patients and the Government. Many companies host their own patient registries. Additionally there are initiatives at the international level for rare disease data </w:t>
      </w:r>
      <w:r w:rsidRPr="00FA1BCF">
        <w:rPr>
          <w:i/>
          <w:szCs w:val="24"/>
        </w:rPr>
        <w:lastRenderedPageBreak/>
        <w:t xml:space="preserve">collection but these do not produce suitable information required to evaluate the </w:t>
      </w:r>
      <w:r w:rsidR="00A26B5E" w:rsidRPr="00FA1BCF">
        <w:rPr>
          <w:i/>
          <w:szCs w:val="24"/>
        </w:rPr>
        <w:t xml:space="preserve">medicines </w:t>
      </w:r>
      <w:r w:rsidRPr="00FA1BCF">
        <w:rPr>
          <w:i/>
          <w:szCs w:val="24"/>
        </w:rPr>
        <w:t xml:space="preserve">for the purposes of subsidy. </w:t>
      </w:r>
    </w:p>
    <w:p w:rsidR="00CC79FE" w:rsidRPr="00FA1BCF" w:rsidRDefault="00CC79FE" w:rsidP="00CC79FE">
      <w:pPr>
        <w:jc w:val="both"/>
        <w:outlineLvl w:val="1"/>
        <w:rPr>
          <w:i/>
          <w:szCs w:val="24"/>
        </w:rPr>
      </w:pPr>
      <w:r w:rsidRPr="00FA1BCF">
        <w:rPr>
          <w:i/>
          <w:szCs w:val="24"/>
        </w:rPr>
        <w:t>Establishing or adapting a data registry and maintaining the registry is expensive and consideration should be given to improving the data collected and ensuring that the data collected is ‘fit for purpose’.</w:t>
      </w:r>
    </w:p>
    <w:p w:rsidR="00CC79FE" w:rsidRPr="00FA1BCF" w:rsidRDefault="00CC79FE" w:rsidP="00E436E7">
      <w:pPr>
        <w:pStyle w:val="ListParagraph"/>
        <w:numPr>
          <w:ilvl w:val="0"/>
          <w:numId w:val="25"/>
        </w:numPr>
        <w:jc w:val="both"/>
        <w:outlineLvl w:val="1"/>
        <w:rPr>
          <w:szCs w:val="24"/>
        </w:rPr>
      </w:pPr>
      <w:r w:rsidRPr="00FA1BCF">
        <w:rPr>
          <w:szCs w:val="24"/>
        </w:rPr>
        <w:t>Should the cost of maintaining a data registry be distributed across all the stakeholders (</w:t>
      </w:r>
      <w:r w:rsidR="000009B8" w:rsidRPr="00FA1BCF">
        <w:rPr>
          <w:szCs w:val="24"/>
        </w:rPr>
        <w:t>g</w:t>
      </w:r>
      <w:r w:rsidRPr="00FA1BCF">
        <w:rPr>
          <w:szCs w:val="24"/>
        </w:rPr>
        <w:t xml:space="preserve">overnment, </w:t>
      </w:r>
      <w:r w:rsidR="00F81224" w:rsidRPr="00FA1BCF">
        <w:rPr>
          <w:szCs w:val="24"/>
        </w:rPr>
        <w:t xml:space="preserve">medicine </w:t>
      </w:r>
      <w:r w:rsidRPr="00FA1BCF">
        <w:rPr>
          <w:szCs w:val="24"/>
        </w:rPr>
        <w:t>companies and patients)? How might this be done?</w:t>
      </w:r>
      <w:r w:rsidR="00B56F35" w:rsidRPr="00FA1BCF">
        <w:rPr>
          <w:szCs w:val="24"/>
        </w:rPr>
        <w:t xml:space="preserve"> </w:t>
      </w:r>
    </w:p>
    <w:p w:rsidR="00CC79FE" w:rsidRPr="00FA1BCF" w:rsidRDefault="00F81224" w:rsidP="00E436E7">
      <w:pPr>
        <w:pStyle w:val="ListParagraph"/>
        <w:numPr>
          <w:ilvl w:val="0"/>
          <w:numId w:val="25"/>
        </w:numPr>
        <w:jc w:val="both"/>
        <w:outlineLvl w:val="1"/>
        <w:rPr>
          <w:szCs w:val="24"/>
        </w:rPr>
      </w:pPr>
      <w:r w:rsidRPr="00FA1BCF">
        <w:rPr>
          <w:szCs w:val="24"/>
        </w:rPr>
        <w:t xml:space="preserve">Medicine </w:t>
      </w:r>
      <w:r w:rsidR="00CC79FE" w:rsidRPr="00FA1BCF">
        <w:rPr>
          <w:szCs w:val="24"/>
        </w:rPr>
        <w:t>companies often maintain their rare disease registries in order to provide regulatory agencies with additional clinical data, generally on safety (</w:t>
      </w:r>
      <w:proofErr w:type="spellStart"/>
      <w:r w:rsidR="00CC79FE" w:rsidRPr="00FA1BCF">
        <w:rPr>
          <w:szCs w:val="24"/>
        </w:rPr>
        <w:t>pharmaco</w:t>
      </w:r>
      <w:proofErr w:type="spellEnd"/>
      <w:r w:rsidR="00CC79FE" w:rsidRPr="00FA1BCF">
        <w:rPr>
          <w:szCs w:val="24"/>
        </w:rPr>
        <w:t xml:space="preserve">-vigilance) and sometimes </w:t>
      </w:r>
      <w:r w:rsidR="000009B8" w:rsidRPr="00FA1BCF">
        <w:rPr>
          <w:szCs w:val="24"/>
        </w:rPr>
        <w:t xml:space="preserve">on the </w:t>
      </w:r>
      <w:r w:rsidR="00CC79FE" w:rsidRPr="00FA1BCF">
        <w:rPr>
          <w:szCs w:val="24"/>
        </w:rPr>
        <w:t xml:space="preserve">effectiveness of the </w:t>
      </w:r>
      <w:r w:rsidRPr="00FA1BCF">
        <w:rPr>
          <w:szCs w:val="24"/>
        </w:rPr>
        <w:t xml:space="preserve">medicine </w:t>
      </w:r>
      <w:r w:rsidR="00CC79FE" w:rsidRPr="00FA1BCF">
        <w:rPr>
          <w:szCs w:val="24"/>
        </w:rPr>
        <w:t xml:space="preserve">in the ‘real world’ setting. This data is not always adequate or fit for purpose to answer questions raised about longer term patient benefits. Should the </w:t>
      </w:r>
      <w:proofErr w:type="spellStart"/>
      <w:r w:rsidR="00CC79FE" w:rsidRPr="00FA1BCF">
        <w:rPr>
          <w:szCs w:val="24"/>
        </w:rPr>
        <w:t>compan</w:t>
      </w:r>
      <w:r w:rsidR="000009B8" w:rsidRPr="00FA1BCF">
        <w:rPr>
          <w:szCs w:val="24"/>
        </w:rPr>
        <w:t>ies</w:t>
      </w:r>
      <w:proofErr w:type="spellEnd"/>
      <w:r w:rsidR="00CC79FE" w:rsidRPr="00FA1BCF">
        <w:rPr>
          <w:szCs w:val="24"/>
        </w:rPr>
        <w:t xml:space="preserve"> marketing these </w:t>
      </w:r>
      <w:r w:rsidR="00A26B5E" w:rsidRPr="00FA1BCF">
        <w:rPr>
          <w:szCs w:val="24"/>
        </w:rPr>
        <w:t xml:space="preserve">medicines </w:t>
      </w:r>
      <w:r w:rsidR="00CC79FE" w:rsidRPr="00FA1BCF">
        <w:rPr>
          <w:szCs w:val="24"/>
        </w:rPr>
        <w:t>be responsible for collection and maintenance of data that is fit for purpose?</w:t>
      </w:r>
    </w:p>
    <w:p w:rsidR="00CC79FE" w:rsidRPr="00FA1BCF" w:rsidRDefault="00CC79FE" w:rsidP="00E436E7">
      <w:pPr>
        <w:pStyle w:val="ListParagraph"/>
        <w:numPr>
          <w:ilvl w:val="0"/>
          <w:numId w:val="25"/>
        </w:numPr>
        <w:jc w:val="both"/>
        <w:outlineLvl w:val="1"/>
        <w:rPr>
          <w:szCs w:val="24"/>
        </w:rPr>
      </w:pPr>
      <w:r w:rsidRPr="00FA1BCF">
        <w:rPr>
          <w:szCs w:val="24"/>
        </w:rPr>
        <w:t xml:space="preserve">If </w:t>
      </w:r>
      <w:r w:rsidR="000009B8" w:rsidRPr="00FA1BCF">
        <w:rPr>
          <w:szCs w:val="24"/>
        </w:rPr>
        <w:t xml:space="preserve">it is </w:t>
      </w:r>
      <w:r w:rsidRPr="00FA1BCF">
        <w:rPr>
          <w:szCs w:val="24"/>
        </w:rPr>
        <w:t>not</w:t>
      </w:r>
      <w:r w:rsidR="000009B8" w:rsidRPr="00FA1BCF">
        <w:rPr>
          <w:szCs w:val="24"/>
        </w:rPr>
        <w:t xml:space="preserve"> done by</w:t>
      </w:r>
      <w:r w:rsidRPr="00FA1BCF">
        <w:rPr>
          <w:szCs w:val="24"/>
        </w:rPr>
        <w:t xml:space="preserve"> the company </w:t>
      </w:r>
      <w:r w:rsidR="000009B8" w:rsidRPr="00FA1BCF">
        <w:rPr>
          <w:szCs w:val="24"/>
        </w:rPr>
        <w:t xml:space="preserve">that </w:t>
      </w:r>
      <w:r w:rsidRPr="00FA1BCF">
        <w:rPr>
          <w:szCs w:val="24"/>
        </w:rPr>
        <w:t xml:space="preserve">markets the drug, what other effective and cost-efficient approaches are there for establishing and maintaining data registries? </w:t>
      </w:r>
    </w:p>
    <w:p w:rsidR="00F0245C" w:rsidRPr="00FA1BCF" w:rsidRDefault="00CC79FE" w:rsidP="00E436E7">
      <w:pPr>
        <w:jc w:val="both"/>
        <w:rPr>
          <w:szCs w:val="24"/>
        </w:rPr>
      </w:pPr>
      <w:r w:rsidRPr="00FA1BCF">
        <w:rPr>
          <w:szCs w:val="24"/>
        </w:rPr>
        <w:t>Submissions were mixed about who should be responsible for data collection and maintaining the registries. Nurses are usually responsible for collecting the data. It would be unrealistic to expect existing clinical staff to fund or resource this activity as there are only a small pool of clinicians with expertise in metabolic conditions in Australia and all are already fully involved in research, clinical trials or research reviews.</w:t>
      </w:r>
      <w:r w:rsidR="00B56F35" w:rsidRPr="00FA1BCF">
        <w:rPr>
          <w:szCs w:val="24"/>
        </w:rPr>
        <w:t xml:space="preserve"> </w:t>
      </w:r>
    </w:p>
    <w:p w:rsidR="00D3280A" w:rsidRPr="00FA1BCF" w:rsidRDefault="004703B2" w:rsidP="00D3280A">
      <w:pPr>
        <w:jc w:val="both"/>
        <w:rPr>
          <w:szCs w:val="24"/>
        </w:rPr>
      </w:pPr>
      <w:r w:rsidRPr="00FA1BCF">
        <w:rPr>
          <w:szCs w:val="24"/>
        </w:rPr>
        <w:t xml:space="preserve">There was a consensus from a </w:t>
      </w:r>
      <w:r w:rsidR="000009B8" w:rsidRPr="00FA1BCF">
        <w:t>Consumers Health Forum of Australia</w:t>
      </w:r>
      <w:r w:rsidR="000009B8" w:rsidRPr="00FA1BCF">
        <w:rPr>
          <w:szCs w:val="24"/>
        </w:rPr>
        <w:t xml:space="preserve"> (</w:t>
      </w:r>
      <w:r w:rsidRPr="00FA1BCF">
        <w:rPr>
          <w:szCs w:val="24"/>
        </w:rPr>
        <w:t>CHF</w:t>
      </w:r>
      <w:r w:rsidR="000009B8" w:rsidRPr="00FA1BCF">
        <w:rPr>
          <w:szCs w:val="24"/>
        </w:rPr>
        <w:t>)</w:t>
      </w:r>
      <w:r w:rsidRPr="00FA1BCF">
        <w:rPr>
          <w:szCs w:val="24"/>
        </w:rPr>
        <w:t xml:space="preserve"> workshop that any registry (or registries) should be able to work in an international environment, but it would be important to agree on standards for ensuring </w:t>
      </w:r>
      <w:r w:rsidR="000009B8" w:rsidRPr="00FA1BCF">
        <w:rPr>
          <w:szCs w:val="24"/>
        </w:rPr>
        <w:t xml:space="preserve">the </w:t>
      </w:r>
      <w:r w:rsidRPr="00FA1BCF">
        <w:rPr>
          <w:szCs w:val="24"/>
        </w:rPr>
        <w:t xml:space="preserve">accuracy and consistency </w:t>
      </w:r>
      <w:r w:rsidR="000009B8" w:rsidRPr="00FA1BCF">
        <w:rPr>
          <w:szCs w:val="24"/>
        </w:rPr>
        <w:t xml:space="preserve">of </w:t>
      </w:r>
      <w:r w:rsidRPr="00FA1BCF">
        <w:rPr>
          <w:szCs w:val="24"/>
        </w:rPr>
        <w:t>the registry. An internationally</w:t>
      </w:r>
      <w:r w:rsidR="000009B8" w:rsidRPr="00FA1BCF">
        <w:rPr>
          <w:szCs w:val="24"/>
        </w:rPr>
        <w:t xml:space="preserve"> </w:t>
      </w:r>
      <w:r w:rsidRPr="00FA1BCF">
        <w:rPr>
          <w:szCs w:val="24"/>
        </w:rPr>
        <w:t>linked registry would permit researchers to draw on overseas evidence in assessing the efficacy of treatments or the emergence of new medicines that could be considered for use in Australia.</w:t>
      </w:r>
      <w:r w:rsidR="00FB61AC" w:rsidRPr="00FA1BCF">
        <w:rPr>
          <w:szCs w:val="24"/>
        </w:rPr>
        <w:t xml:space="preserve"> Similarly, information sharing between drug development companies would benefit patients and could facilitate earlier access to the medicines. </w:t>
      </w:r>
    </w:p>
    <w:p w:rsidR="00FB61AC" w:rsidRPr="00FA1BCF" w:rsidRDefault="00FB61AC" w:rsidP="00FB61AC">
      <w:pPr>
        <w:jc w:val="both"/>
        <w:rPr>
          <w:lang w:eastAsia="en-AU"/>
        </w:rPr>
      </w:pPr>
      <w:r w:rsidRPr="00FA1BCF">
        <w:rPr>
          <w:szCs w:val="24"/>
        </w:rPr>
        <w:t xml:space="preserve">Many submissions agreed that </w:t>
      </w:r>
      <w:r w:rsidR="00C07057">
        <w:rPr>
          <w:szCs w:val="24"/>
        </w:rPr>
        <w:t>the m</w:t>
      </w:r>
      <w:r w:rsidR="00C07057" w:rsidRPr="00FA1BCF">
        <w:rPr>
          <w:szCs w:val="24"/>
        </w:rPr>
        <w:t>anagement of data could be improved through a</w:t>
      </w:r>
      <w:r w:rsidR="00C07057">
        <w:rPr>
          <w:szCs w:val="24"/>
        </w:rPr>
        <w:t>dequate funding</w:t>
      </w:r>
      <w:r w:rsidR="00F0677C">
        <w:rPr>
          <w:szCs w:val="24"/>
        </w:rPr>
        <w:t>,</w:t>
      </w:r>
      <w:r w:rsidR="00C07057" w:rsidRPr="00FA1BCF">
        <w:rPr>
          <w:szCs w:val="24"/>
        </w:rPr>
        <w:t xml:space="preserve"> as most</w:t>
      </w:r>
      <w:r w:rsidR="00C07057">
        <w:rPr>
          <w:szCs w:val="24"/>
        </w:rPr>
        <w:t xml:space="preserve"> of this activity</w:t>
      </w:r>
      <w:r w:rsidR="00C07057" w:rsidRPr="00FA1BCF">
        <w:rPr>
          <w:szCs w:val="24"/>
        </w:rPr>
        <w:t xml:space="preserve"> is unfunded</w:t>
      </w:r>
      <w:r w:rsidR="00C07057">
        <w:rPr>
          <w:szCs w:val="24"/>
        </w:rPr>
        <w:t>.</w:t>
      </w:r>
      <w:r w:rsidR="00C07057" w:rsidRPr="00FA1BCF">
        <w:rPr>
          <w:szCs w:val="24"/>
        </w:rPr>
        <w:t xml:space="preserve"> </w:t>
      </w:r>
      <w:r w:rsidR="00C07057">
        <w:rPr>
          <w:szCs w:val="24"/>
        </w:rPr>
        <w:t>R</w:t>
      </w:r>
      <w:r w:rsidRPr="00FA1BCF">
        <w:rPr>
          <w:szCs w:val="24"/>
        </w:rPr>
        <w:t xml:space="preserve">esponsibility for data collection and the registries should be shared between medicine companies and the </w:t>
      </w:r>
      <w:r w:rsidR="000009B8" w:rsidRPr="00FA1BCF">
        <w:rPr>
          <w:szCs w:val="24"/>
        </w:rPr>
        <w:t xml:space="preserve">Australian </w:t>
      </w:r>
      <w:r w:rsidRPr="00FA1BCF">
        <w:rPr>
          <w:szCs w:val="24"/>
        </w:rPr>
        <w:t>Government. Others felt more comfortable with state</w:t>
      </w:r>
      <w:r w:rsidR="000009B8" w:rsidRPr="00FA1BCF">
        <w:rPr>
          <w:szCs w:val="24"/>
        </w:rPr>
        <w:t>-</w:t>
      </w:r>
      <w:r w:rsidRPr="00FA1BCF">
        <w:rPr>
          <w:szCs w:val="24"/>
        </w:rPr>
        <w:t>sponsored registries since company</w:t>
      </w:r>
      <w:r w:rsidR="000009B8" w:rsidRPr="00FA1BCF">
        <w:rPr>
          <w:szCs w:val="24"/>
        </w:rPr>
        <w:t>-</w:t>
      </w:r>
      <w:r w:rsidRPr="00FA1BCF">
        <w:rPr>
          <w:szCs w:val="24"/>
        </w:rPr>
        <w:t xml:space="preserve">hosted data is at risk of conflicts of interest and may be used for profit gain. Companies should help fund the cost of maintaining any data collection system through imposing a levy on pharmaceutical companies or through the negotiated managed entry schemes. An independent registry, funded by the Department </w:t>
      </w:r>
      <w:r w:rsidR="002E75C7" w:rsidRPr="00FA1BCF">
        <w:rPr>
          <w:szCs w:val="24"/>
        </w:rPr>
        <w:t xml:space="preserve">of Health, </w:t>
      </w:r>
      <w:r w:rsidRPr="00FA1BCF">
        <w:rPr>
          <w:szCs w:val="24"/>
        </w:rPr>
        <w:t xml:space="preserve">was also suggested. This option relies on healthcare providers to enter data and for the Department to provide incentives for the healthcare professionals to do so. Another proposal suggested enabling patients to enter their own data and having an independent body oversee the management of the registry. </w:t>
      </w:r>
    </w:p>
    <w:p w:rsidR="00FB61AC" w:rsidRPr="00FA1BCF" w:rsidRDefault="00FB61AC" w:rsidP="00FB61AC">
      <w:pPr>
        <w:jc w:val="both"/>
        <w:rPr>
          <w:szCs w:val="24"/>
        </w:rPr>
      </w:pPr>
      <w:r w:rsidRPr="00FA1BCF">
        <w:rPr>
          <w:szCs w:val="24"/>
        </w:rPr>
        <w:t>It was suggested that management of rare disease registries could be modelled on current state</w:t>
      </w:r>
      <w:r w:rsidR="005D28AC" w:rsidRPr="00FA1BCF">
        <w:rPr>
          <w:szCs w:val="24"/>
        </w:rPr>
        <w:t>-</w:t>
      </w:r>
      <w:r w:rsidRPr="00FA1BCF">
        <w:rPr>
          <w:szCs w:val="24"/>
        </w:rPr>
        <w:t xml:space="preserve">based cancer registries. There were suggestions that companies should be responsible </w:t>
      </w:r>
      <w:r w:rsidRPr="00FA1BCF">
        <w:rPr>
          <w:szCs w:val="24"/>
        </w:rPr>
        <w:lastRenderedPageBreak/>
        <w:t>for collecting and maintaining data with the Government being responsible for scrutinising the data and charged with protecting the interest</w:t>
      </w:r>
      <w:r w:rsidR="005D28AC" w:rsidRPr="00FA1BCF">
        <w:rPr>
          <w:szCs w:val="24"/>
        </w:rPr>
        <w:t>s</w:t>
      </w:r>
      <w:r w:rsidRPr="00FA1BCF">
        <w:rPr>
          <w:szCs w:val="24"/>
        </w:rPr>
        <w:t xml:space="preserve"> of patients and </w:t>
      </w:r>
      <w:r w:rsidR="005D28AC" w:rsidRPr="00FA1BCF">
        <w:rPr>
          <w:szCs w:val="24"/>
        </w:rPr>
        <w:t xml:space="preserve">the </w:t>
      </w:r>
      <w:r w:rsidRPr="00FA1BCF">
        <w:rPr>
          <w:szCs w:val="24"/>
        </w:rPr>
        <w:t>public. A couple of submissions suggested developing an independent data registry for all rare disease</w:t>
      </w:r>
      <w:r w:rsidR="005D28AC" w:rsidRPr="00FA1BCF">
        <w:rPr>
          <w:szCs w:val="24"/>
        </w:rPr>
        <w:t>s</w:t>
      </w:r>
      <w:r w:rsidRPr="00FA1BCF">
        <w:rPr>
          <w:szCs w:val="24"/>
        </w:rPr>
        <w:t xml:space="preserve"> to collect information on the natural history of the disease. This independent data registry would cover all patients with rare disease</w:t>
      </w:r>
      <w:r w:rsidR="005D28AC" w:rsidRPr="00FA1BCF">
        <w:rPr>
          <w:szCs w:val="24"/>
        </w:rPr>
        <w:t>s,</w:t>
      </w:r>
      <w:r w:rsidRPr="00FA1BCF">
        <w:rPr>
          <w:szCs w:val="24"/>
        </w:rPr>
        <w:t xml:space="preserve"> including those who are not currently being treated. </w:t>
      </w:r>
    </w:p>
    <w:p w:rsidR="00FB61AC" w:rsidRPr="00FA1BCF" w:rsidRDefault="00FB61AC" w:rsidP="00FB61AC">
      <w:pPr>
        <w:jc w:val="both"/>
        <w:rPr>
          <w:szCs w:val="24"/>
        </w:rPr>
      </w:pPr>
      <w:r w:rsidRPr="00FA1BCF">
        <w:rPr>
          <w:szCs w:val="24"/>
        </w:rPr>
        <w:t>It was reported that Genzyme currently maintains registries for Fabry, Gaucher, Pompe and MPS</w:t>
      </w:r>
      <w:r w:rsidR="00191369" w:rsidRPr="00FA1BCF">
        <w:rPr>
          <w:szCs w:val="24"/>
        </w:rPr>
        <w:t> </w:t>
      </w:r>
      <w:r w:rsidR="00191369" w:rsidRPr="00E436E7">
        <w:rPr>
          <w:szCs w:val="24"/>
        </w:rPr>
        <w:t>I</w:t>
      </w:r>
      <w:r w:rsidRPr="00FA1BCF">
        <w:rPr>
          <w:szCs w:val="24"/>
        </w:rPr>
        <w:t xml:space="preserve"> disease which are open to all treated and untreated patients. </w:t>
      </w:r>
    </w:p>
    <w:p w:rsidR="00FB61AC" w:rsidRPr="00FA1BCF" w:rsidRDefault="00FB61AC" w:rsidP="00FB61AC">
      <w:pPr>
        <w:jc w:val="both"/>
        <w:rPr>
          <w:szCs w:val="24"/>
        </w:rPr>
      </w:pPr>
      <w:r w:rsidRPr="00FA1BCF">
        <w:rPr>
          <w:szCs w:val="24"/>
        </w:rPr>
        <w:t>Stakeholders agreed that the focus and purpose of data collection must be clear and transparent with safeguards to protect the privacy of patients.</w:t>
      </w:r>
    </w:p>
    <w:p w:rsidR="00CC79FE" w:rsidRPr="00FA1BCF" w:rsidRDefault="00CC79FE" w:rsidP="00E436E7">
      <w:pPr>
        <w:pStyle w:val="Heading2"/>
        <w:rPr>
          <w:lang w:eastAsia="en-AU"/>
        </w:rPr>
      </w:pPr>
      <w:bookmarkStart w:id="45" w:name="_Toc302625601"/>
      <w:r w:rsidRPr="00FA1BCF">
        <w:rPr>
          <w:lang w:eastAsia="en-AU"/>
        </w:rPr>
        <w:t>6.</w:t>
      </w:r>
      <w:r w:rsidR="00564EAE" w:rsidRPr="00FA1BCF">
        <w:rPr>
          <w:lang w:eastAsia="en-AU"/>
        </w:rPr>
        <w:t>4</w:t>
      </w:r>
      <w:r w:rsidRPr="00FA1BCF">
        <w:rPr>
          <w:lang w:eastAsia="en-AU"/>
        </w:rPr>
        <w:t xml:space="preserve">. </w:t>
      </w:r>
      <w:r w:rsidR="00A36A3C" w:rsidRPr="00FA1BCF">
        <w:rPr>
          <w:lang w:eastAsia="en-AU"/>
        </w:rPr>
        <w:t xml:space="preserve">Medicine </w:t>
      </w:r>
      <w:r w:rsidR="00B003BF" w:rsidRPr="00FA1BCF">
        <w:rPr>
          <w:lang w:eastAsia="en-AU"/>
        </w:rPr>
        <w:t>i</w:t>
      </w:r>
      <w:r w:rsidRPr="00FA1BCF">
        <w:rPr>
          <w:lang w:eastAsia="en-AU"/>
        </w:rPr>
        <w:t>ndustry’s proposal</w:t>
      </w:r>
      <w:bookmarkEnd w:id="45"/>
    </w:p>
    <w:p w:rsidR="00CC79FE" w:rsidRPr="00FA1BCF" w:rsidRDefault="00CC79FE" w:rsidP="00CC79FE">
      <w:pPr>
        <w:jc w:val="both"/>
        <w:rPr>
          <w:szCs w:val="24"/>
        </w:rPr>
      </w:pPr>
      <w:r w:rsidRPr="00FA1BCF">
        <w:rPr>
          <w:szCs w:val="24"/>
        </w:rPr>
        <w:t xml:space="preserve">Fourteen industry representatives representing eight pharmaceutical companies with interests in rare diseases met with the LSDP Reference Group in May 2015. The representatives proposed a two-step process for evaluating </w:t>
      </w:r>
      <w:r w:rsidR="00F81224" w:rsidRPr="00FA1BCF">
        <w:rPr>
          <w:szCs w:val="24"/>
        </w:rPr>
        <w:t xml:space="preserve">medicine </w:t>
      </w:r>
      <w:r w:rsidRPr="00FA1BCF">
        <w:rPr>
          <w:szCs w:val="24"/>
        </w:rPr>
        <w:t>submissions for rare disease and criteria for assessing rare disease.</w:t>
      </w:r>
      <w:r w:rsidR="00B56F35" w:rsidRPr="00FA1BCF">
        <w:rPr>
          <w:szCs w:val="24"/>
        </w:rPr>
        <w:t xml:space="preserve"> </w:t>
      </w:r>
      <w:r w:rsidRPr="00FA1BCF">
        <w:rPr>
          <w:szCs w:val="24"/>
        </w:rPr>
        <w:t xml:space="preserve">This process comprised an initial assessment of a drug’s eligibility to be declared as a rare disease therapy, followed by a multi-stakeholder conversation prior to formal submission to the PBAC about </w:t>
      </w:r>
      <w:r w:rsidR="00C34365" w:rsidRPr="00FA1BCF">
        <w:rPr>
          <w:szCs w:val="24"/>
        </w:rPr>
        <w:t>(</w:t>
      </w:r>
      <w:r w:rsidRPr="00FA1BCF">
        <w:rPr>
          <w:szCs w:val="24"/>
        </w:rPr>
        <w:t>but not limited to</w:t>
      </w:r>
      <w:r w:rsidR="00C34365" w:rsidRPr="00FA1BCF">
        <w:rPr>
          <w:szCs w:val="24"/>
        </w:rPr>
        <w:t>)</w:t>
      </w:r>
      <w:r w:rsidRPr="00FA1BCF">
        <w:rPr>
          <w:szCs w:val="24"/>
        </w:rPr>
        <w:t xml:space="preserve"> the:</w:t>
      </w:r>
    </w:p>
    <w:p w:rsidR="00CC79FE" w:rsidRPr="00FA1BCF" w:rsidRDefault="00CC79FE" w:rsidP="00CC79FE">
      <w:pPr>
        <w:pStyle w:val="ListParagraph"/>
        <w:numPr>
          <w:ilvl w:val="0"/>
          <w:numId w:val="25"/>
        </w:numPr>
        <w:jc w:val="both"/>
        <w:outlineLvl w:val="1"/>
        <w:rPr>
          <w:szCs w:val="24"/>
        </w:rPr>
      </w:pPr>
      <w:r w:rsidRPr="00FA1BCF">
        <w:rPr>
          <w:szCs w:val="24"/>
        </w:rPr>
        <w:t xml:space="preserve">collection of appropriate data </w:t>
      </w:r>
    </w:p>
    <w:p w:rsidR="00CC79FE" w:rsidRPr="00FA1BCF" w:rsidRDefault="00CC79FE" w:rsidP="00CC79FE">
      <w:pPr>
        <w:pStyle w:val="ListParagraph"/>
        <w:numPr>
          <w:ilvl w:val="0"/>
          <w:numId w:val="25"/>
        </w:numPr>
        <w:jc w:val="both"/>
        <w:outlineLvl w:val="1"/>
        <w:rPr>
          <w:szCs w:val="24"/>
        </w:rPr>
      </w:pPr>
      <w:r w:rsidRPr="00FA1BCF">
        <w:rPr>
          <w:szCs w:val="24"/>
        </w:rPr>
        <w:t>indication to be treated</w:t>
      </w:r>
    </w:p>
    <w:p w:rsidR="00CC79FE" w:rsidRPr="00FA1BCF" w:rsidRDefault="00CC79FE" w:rsidP="00CC79FE">
      <w:pPr>
        <w:pStyle w:val="ListParagraph"/>
        <w:numPr>
          <w:ilvl w:val="0"/>
          <w:numId w:val="25"/>
        </w:numPr>
        <w:jc w:val="both"/>
        <w:outlineLvl w:val="1"/>
        <w:rPr>
          <w:szCs w:val="24"/>
        </w:rPr>
      </w:pPr>
      <w:r w:rsidRPr="00FA1BCF">
        <w:rPr>
          <w:szCs w:val="24"/>
        </w:rPr>
        <w:t>population to be treated</w:t>
      </w:r>
    </w:p>
    <w:p w:rsidR="00CC79FE" w:rsidRPr="00FA1BCF" w:rsidRDefault="00CC79FE" w:rsidP="00CC79FE">
      <w:pPr>
        <w:pStyle w:val="ListParagraph"/>
        <w:numPr>
          <w:ilvl w:val="0"/>
          <w:numId w:val="25"/>
        </w:numPr>
        <w:jc w:val="both"/>
        <w:outlineLvl w:val="1"/>
        <w:rPr>
          <w:szCs w:val="24"/>
        </w:rPr>
      </w:pPr>
      <w:r w:rsidRPr="00FA1BCF">
        <w:rPr>
          <w:szCs w:val="24"/>
        </w:rPr>
        <w:t xml:space="preserve">conditions and criteria for commencing and stopping treatment </w:t>
      </w:r>
    </w:p>
    <w:p w:rsidR="00CC79FE" w:rsidRPr="00FA1BCF" w:rsidRDefault="00CC79FE" w:rsidP="00CC79FE">
      <w:pPr>
        <w:pStyle w:val="ListParagraph"/>
        <w:numPr>
          <w:ilvl w:val="0"/>
          <w:numId w:val="25"/>
        </w:numPr>
        <w:jc w:val="both"/>
        <w:outlineLvl w:val="1"/>
        <w:rPr>
          <w:szCs w:val="24"/>
        </w:rPr>
      </w:pPr>
      <w:r w:rsidRPr="00FA1BCF">
        <w:rPr>
          <w:szCs w:val="24"/>
        </w:rPr>
        <w:t>management of the high cost of the drug</w:t>
      </w:r>
    </w:p>
    <w:p w:rsidR="00CC79FE" w:rsidRPr="00FA1BCF" w:rsidRDefault="00CC79FE" w:rsidP="00E436E7">
      <w:pPr>
        <w:pStyle w:val="ListParagraph"/>
        <w:numPr>
          <w:ilvl w:val="0"/>
          <w:numId w:val="25"/>
        </w:numPr>
        <w:jc w:val="both"/>
        <w:outlineLvl w:val="1"/>
        <w:rPr>
          <w:szCs w:val="24"/>
        </w:rPr>
      </w:pPr>
      <w:proofErr w:type="gramStart"/>
      <w:r w:rsidRPr="00FA1BCF">
        <w:rPr>
          <w:szCs w:val="24"/>
        </w:rPr>
        <w:t>possible</w:t>
      </w:r>
      <w:proofErr w:type="gramEnd"/>
      <w:r w:rsidRPr="00FA1BCF">
        <w:rPr>
          <w:szCs w:val="24"/>
        </w:rPr>
        <w:t xml:space="preserve"> risk sharing between the Government and industry. </w:t>
      </w:r>
    </w:p>
    <w:p w:rsidR="00CC79FE" w:rsidRPr="00FA1BCF" w:rsidRDefault="00CC79FE" w:rsidP="00CC79FE">
      <w:pPr>
        <w:jc w:val="both"/>
        <w:rPr>
          <w:szCs w:val="24"/>
        </w:rPr>
      </w:pPr>
      <w:r w:rsidRPr="00FA1BCF">
        <w:rPr>
          <w:szCs w:val="24"/>
        </w:rPr>
        <w:t xml:space="preserve">The proposal was suggested as a way to ‘ring-fence’ </w:t>
      </w:r>
      <w:r w:rsidR="00A26B5E" w:rsidRPr="00FA1BCF">
        <w:rPr>
          <w:szCs w:val="24"/>
        </w:rPr>
        <w:t xml:space="preserve">medicines </w:t>
      </w:r>
      <w:r w:rsidRPr="00FA1BCF">
        <w:rPr>
          <w:szCs w:val="24"/>
        </w:rPr>
        <w:t xml:space="preserve">for rare diseases to reduce the risk of industry’s propensity to ‘slice an indication to maximise price’, a situation that is currently encountered by regulatory and reimbursement authorities (see also TGA Orphan Drugs </w:t>
      </w:r>
      <w:r w:rsidR="00191369" w:rsidRPr="00FA1BCF">
        <w:rPr>
          <w:szCs w:val="24"/>
        </w:rPr>
        <w:t>review d</w:t>
      </w:r>
      <w:r w:rsidRPr="00FA1BCF">
        <w:rPr>
          <w:szCs w:val="24"/>
        </w:rPr>
        <w:t>iscussion paper</w:t>
      </w:r>
      <w:r w:rsidR="00191369" w:rsidRPr="00FA1BCF">
        <w:rPr>
          <w:szCs w:val="24"/>
        </w:rPr>
        <w:t>,</w:t>
      </w:r>
      <w:r w:rsidRPr="00FA1BCF">
        <w:rPr>
          <w:szCs w:val="24"/>
        </w:rPr>
        <w:t xml:space="preserve"> January 2015). </w:t>
      </w:r>
    </w:p>
    <w:p w:rsidR="00CC79FE" w:rsidRPr="00FA1BCF" w:rsidRDefault="00CC79FE" w:rsidP="00CC79FE">
      <w:pPr>
        <w:jc w:val="both"/>
        <w:rPr>
          <w:szCs w:val="24"/>
        </w:rPr>
      </w:pPr>
      <w:r w:rsidRPr="00FA1BCF">
        <w:rPr>
          <w:szCs w:val="24"/>
        </w:rPr>
        <w:t xml:space="preserve">The first step of the process is based on a set of proposed </w:t>
      </w:r>
      <w:r w:rsidR="00960ECC" w:rsidRPr="00FA1BCF">
        <w:rPr>
          <w:szCs w:val="24"/>
        </w:rPr>
        <w:t>conditions that</w:t>
      </w:r>
      <w:r w:rsidRPr="00FA1BCF">
        <w:rPr>
          <w:szCs w:val="24"/>
        </w:rPr>
        <w:t xml:space="preserve"> also seek to address common issues encountered by industry and health technology p</w:t>
      </w:r>
      <w:r w:rsidR="00C34365" w:rsidRPr="00FA1BCF">
        <w:rPr>
          <w:szCs w:val="24"/>
        </w:rPr>
        <w:t>l</w:t>
      </w:r>
      <w:r w:rsidRPr="00FA1BCF">
        <w:rPr>
          <w:szCs w:val="24"/>
        </w:rPr>
        <w:t>ayers when evaluating rare disease therapies. As articulated by industry, issues encountered are</w:t>
      </w:r>
      <w:r w:rsidR="00C34365" w:rsidRPr="00FA1BCF">
        <w:rPr>
          <w:szCs w:val="24"/>
        </w:rPr>
        <w:t>:</w:t>
      </w:r>
    </w:p>
    <w:p w:rsidR="00CC79FE" w:rsidRPr="00FA1BCF" w:rsidRDefault="00C34365" w:rsidP="00CC79FE">
      <w:pPr>
        <w:pStyle w:val="ListParagraph"/>
        <w:numPr>
          <w:ilvl w:val="0"/>
          <w:numId w:val="25"/>
        </w:numPr>
        <w:jc w:val="both"/>
        <w:outlineLvl w:val="1"/>
        <w:rPr>
          <w:szCs w:val="24"/>
        </w:rPr>
      </w:pPr>
      <w:r w:rsidRPr="00FA1BCF">
        <w:rPr>
          <w:szCs w:val="24"/>
        </w:rPr>
        <w:t>a</w:t>
      </w:r>
      <w:r w:rsidR="00CC79FE" w:rsidRPr="00FA1BCF">
        <w:rPr>
          <w:szCs w:val="24"/>
        </w:rPr>
        <w:t xml:space="preserve"> lower level evidence base because of a lack of long-term outcomes</w:t>
      </w:r>
      <w:r w:rsidRPr="00FA1BCF">
        <w:rPr>
          <w:szCs w:val="24"/>
        </w:rPr>
        <w:t>,</w:t>
      </w:r>
      <w:r w:rsidR="00CC79FE" w:rsidRPr="00FA1BCF">
        <w:rPr>
          <w:szCs w:val="24"/>
        </w:rPr>
        <w:t xml:space="preserve"> use of surrogate end-points</w:t>
      </w:r>
      <w:r w:rsidRPr="00FA1BCF">
        <w:rPr>
          <w:szCs w:val="24"/>
        </w:rPr>
        <w:t>,</w:t>
      </w:r>
      <w:r w:rsidR="00CC79FE" w:rsidRPr="00FA1BCF">
        <w:rPr>
          <w:szCs w:val="24"/>
        </w:rPr>
        <w:t xml:space="preserve"> heterogeneity in disease characteristics and medical history</w:t>
      </w:r>
      <w:r w:rsidRPr="00FA1BCF">
        <w:rPr>
          <w:szCs w:val="24"/>
        </w:rPr>
        <w:t>,</w:t>
      </w:r>
      <w:r w:rsidR="00CC79FE" w:rsidRPr="00FA1BCF">
        <w:rPr>
          <w:szCs w:val="24"/>
        </w:rPr>
        <w:t xml:space="preserve"> challenges with sample size and statistical power</w:t>
      </w:r>
      <w:r w:rsidRPr="00FA1BCF">
        <w:rPr>
          <w:szCs w:val="24"/>
        </w:rPr>
        <w:t>,</w:t>
      </w:r>
      <w:r w:rsidR="00CC79FE" w:rsidRPr="00FA1BCF">
        <w:rPr>
          <w:szCs w:val="24"/>
        </w:rPr>
        <w:t xml:space="preserve"> and ethical consideration</w:t>
      </w:r>
      <w:r w:rsidRPr="00FA1BCF">
        <w:rPr>
          <w:szCs w:val="24"/>
        </w:rPr>
        <w:t>s</w:t>
      </w:r>
      <w:r w:rsidR="00CC79FE" w:rsidRPr="00FA1BCF">
        <w:rPr>
          <w:szCs w:val="24"/>
        </w:rPr>
        <w:t xml:space="preserve"> which prohibit randomised and long-term studies </w:t>
      </w:r>
    </w:p>
    <w:p w:rsidR="00CC79FE" w:rsidRPr="00FA1BCF" w:rsidRDefault="00C34365" w:rsidP="00CC79FE">
      <w:pPr>
        <w:pStyle w:val="ListParagraph"/>
        <w:numPr>
          <w:ilvl w:val="0"/>
          <w:numId w:val="25"/>
        </w:numPr>
        <w:jc w:val="both"/>
        <w:outlineLvl w:val="1"/>
        <w:rPr>
          <w:szCs w:val="24"/>
        </w:rPr>
      </w:pPr>
      <w:r w:rsidRPr="00FA1BCF">
        <w:rPr>
          <w:szCs w:val="24"/>
        </w:rPr>
        <w:t>a</w:t>
      </w:r>
      <w:r w:rsidR="00CC79FE" w:rsidRPr="00FA1BCF">
        <w:rPr>
          <w:szCs w:val="24"/>
        </w:rPr>
        <w:t xml:space="preserve"> reliance on clinical opinion</w:t>
      </w:r>
      <w:r w:rsidRPr="00FA1BCF">
        <w:rPr>
          <w:szCs w:val="24"/>
        </w:rPr>
        <w:t>:</w:t>
      </w:r>
      <w:r w:rsidR="00CC79FE" w:rsidRPr="00FA1BCF">
        <w:rPr>
          <w:szCs w:val="24"/>
        </w:rPr>
        <w:t xml:space="preserve"> clinical opinion</w:t>
      </w:r>
      <w:r w:rsidRPr="00FA1BCF">
        <w:rPr>
          <w:szCs w:val="24"/>
        </w:rPr>
        <w:t xml:space="preserve"> is</w:t>
      </w:r>
      <w:r w:rsidR="00CC79FE" w:rsidRPr="00FA1BCF">
        <w:rPr>
          <w:szCs w:val="24"/>
        </w:rPr>
        <w:t xml:space="preserve"> used to supplement evidence but there is a limited pool of treating clinicians</w:t>
      </w:r>
    </w:p>
    <w:p w:rsidR="00CC79FE" w:rsidRPr="00FA1BCF" w:rsidRDefault="00C34365" w:rsidP="00E436E7">
      <w:pPr>
        <w:pStyle w:val="ListParagraph"/>
        <w:numPr>
          <w:ilvl w:val="0"/>
          <w:numId w:val="25"/>
        </w:numPr>
        <w:jc w:val="both"/>
        <w:outlineLvl w:val="1"/>
        <w:rPr>
          <w:szCs w:val="24"/>
        </w:rPr>
      </w:pPr>
      <w:proofErr w:type="gramStart"/>
      <w:r w:rsidRPr="00FA1BCF">
        <w:rPr>
          <w:szCs w:val="24"/>
        </w:rPr>
        <w:t>c</w:t>
      </w:r>
      <w:r w:rsidR="00CC79FE" w:rsidRPr="00FA1BCF">
        <w:rPr>
          <w:szCs w:val="24"/>
        </w:rPr>
        <w:t>hallenges</w:t>
      </w:r>
      <w:proofErr w:type="gramEnd"/>
      <w:r w:rsidR="00CC79FE" w:rsidRPr="00FA1BCF">
        <w:rPr>
          <w:szCs w:val="24"/>
        </w:rPr>
        <w:t xml:space="preserve"> demonstrating value for money through cost-effectiveness due to the high cost of the drug, lack of survival data and lack of adequate cost offsets.</w:t>
      </w:r>
    </w:p>
    <w:p w:rsidR="00CC79FE" w:rsidRPr="00FA1BCF" w:rsidRDefault="00CC79FE" w:rsidP="00CC79FE">
      <w:pPr>
        <w:jc w:val="both"/>
        <w:rPr>
          <w:szCs w:val="24"/>
        </w:rPr>
      </w:pPr>
      <w:r w:rsidRPr="00FA1BCF">
        <w:rPr>
          <w:szCs w:val="24"/>
        </w:rPr>
        <w:t xml:space="preserve">On 10 June 2015, industry tabled revised </w:t>
      </w:r>
      <w:r w:rsidR="00AE7468" w:rsidRPr="00FA1BCF">
        <w:rPr>
          <w:szCs w:val="24"/>
        </w:rPr>
        <w:t xml:space="preserve">medicine </w:t>
      </w:r>
      <w:r w:rsidRPr="00FA1BCF">
        <w:rPr>
          <w:szCs w:val="24"/>
        </w:rPr>
        <w:t>entry criteria for its</w:t>
      </w:r>
      <w:r w:rsidR="00182FAC" w:rsidRPr="00FA1BCF">
        <w:rPr>
          <w:szCs w:val="24"/>
        </w:rPr>
        <w:t xml:space="preserve"> proposed</w:t>
      </w:r>
      <w:r w:rsidRPr="00FA1BCF">
        <w:rPr>
          <w:szCs w:val="24"/>
        </w:rPr>
        <w:t xml:space="preserve"> </w:t>
      </w:r>
      <w:r w:rsidR="00182FAC" w:rsidRPr="00FA1BCF">
        <w:rPr>
          <w:szCs w:val="24"/>
        </w:rPr>
        <w:t>‘</w:t>
      </w:r>
      <w:r w:rsidRPr="00FA1BCF">
        <w:rPr>
          <w:szCs w:val="24"/>
        </w:rPr>
        <w:t>Section 200 Very Rare Disease Programme</w:t>
      </w:r>
      <w:r w:rsidR="00182FAC" w:rsidRPr="00FA1BCF">
        <w:rPr>
          <w:szCs w:val="24"/>
        </w:rPr>
        <w:t>’</w:t>
      </w:r>
      <w:r w:rsidRPr="00FA1BCF">
        <w:rPr>
          <w:szCs w:val="24"/>
        </w:rPr>
        <w:t>. The</w:t>
      </w:r>
      <w:r w:rsidR="00960ECC" w:rsidRPr="00FA1BCF">
        <w:rPr>
          <w:szCs w:val="24"/>
        </w:rPr>
        <w:t xml:space="preserve"> revised criteria proposed were that there </w:t>
      </w:r>
      <w:r w:rsidRPr="00FA1BCF">
        <w:rPr>
          <w:szCs w:val="24"/>
        </w:rPr>
        <w:t xml:space="preserve">must be a </w:t>
      </w:r>
      <w:r w:rsidRPr="00FA1BCF">
        <w:rPr>
          <w:szCs w:val="24"/>
        </w:rPr>
        <w:lastRenderedPageBreak/>
        <w:t>high unmet clinical need based on an assessment of the prevalence and severity of the disease</w:t>
      </w:r>
      <w:r w:rsidR="00C34365" w:rsidRPr="00FA1BCF">
        <w:rPr>
          <w:szCs w:val="24"/>
        </w:rPr>
        <w:t>,</w:t>
      </w:r>
      <w:r w:rsidRPr="00FA1BCF">
        <w:rPr>
          <w:szCs w:val="24"/>
        </w:rPr>
        <w:t xml:space="preserve"> including:</w:t>
      </w:r>
    </w:p>
    <w:p w:rsidR="00CC79FE" w:rsidRPr="00FA1BCF" w:rsidRDefault="00C34365" w:rsidP="00CC79FE">
      <w:pPr>
        <w:pStyle w:val="ListParagraph"/>
        <w:numPr>
          <w:ilvl w:val="0"/>
          <w:numId w:val="25"/>
        </w:numPr>
        <w:jc w:val="both"/>
        <w:outlineLvl w:val="1"/>
        <w:rPr>
          <w:szCs w:val="24"/>
        </w:rPr>
      </w:pPr>
      <w:r w:rsidRPr="00FA1BCF">
        <w:rPr>
          <w:szCs w:val="24"/>
        </w:rPr>
        <w:t>t</w:t>
      </w:r>
      <w:r w:rsidR="00CC79FE" w:rsidRPr="00FA1BCF">
        <w:rPr>
          <w:szCs w:val="24"/>
        </w:rPr>
        <w:t xml:space="preserve">he disease prevalence must be no more than </w:t>
      </w:r>
      <w:r w:rsidR="00CC79FE" w:rsidRPr="00E436E7">
        <w:rPr>
          <w:szCs w:val="24"/>
        </w:rPr>
        <w:t>1 in 50,000 people</w:t>
      </w:r>
    </w:p>
    <w:p w:rsidR="00CC79FE" w:rsidRPr="00FA1BCF" w:rsidRDefault="00C34365" w:rsidP="00CC79FE">
      <w:pPr>
        <w:pStyle w:val="ListParagraph"/>
        <w:numPr>
          <w:ilvl w:val="0"/>
          <w:numId w:val="25"/>
        </w:numPr>
        <w:jc w:val="both"/>
        <w:outlineLvl w:val="1"/>
        <w:rPr>
          <w:szCs w:val="24"/>
        </w:rPr>
      </w:pPr>
      <w:r w:rsidRPr="00FA1BCF">
        <w:rPr>
          <w:szCs w:val="24"/>
        </w:rPr>
        <w:t>t</w:t>
      </w:r>
      <w:r w:rsidR="00CC79FE" w:rsidRPr="00FA1BCF">
        <w:rPr>
          <w:szCs w:val="24"/>
        </w:rPr>
        <w:t xml:space="preserve">he disease is a </w:t>
      </w:r>
      <w:r w:rsidR="00CC79FE" w:rsidRPr="00E436E7">
        <w:rPr>
          <w:szCs w:val="24"/>
        </w:rPr>
        <w:t>chronic degenerative disease</w:t>
      </w:r>
      <w:r w:rsidR="00CC79FE" w:rsidRPr="00FA1BCF">
        <w:rPr>
          <w:szCs w:val="24"/>
        </w:rPr>
        <w:t xml:space="preserve"> that causes a </w:t>
      </w:r>
      <w:r w:rsidR="00CC79FE" w:rsidRPr="00E436E7">
        <w:rPr>
          <w:szCs w:val="24"/>
        </w:rPr>
        <w:t>substantial reduction</w:t>
      </w:r>
      <w:r w:rsidR="00CC79FE" w:rsidRPr="00FA1BCF">
        <w:rPr>
          <w:szCs w:val="24"/>
        </w:rPr>
        <w:t xml:space="preserve"> in age-specific life expectancy </w:t>
      </w:r>
      <w:r w:rsidR="00CC79FE" w:rsidRPr="00E436E7">
        <w:rPr>
          <w:szCs w:val="24"/>
        </w:rPr>
        <w:t>or quality of life</w:t>
      </w:r>
    </w:p>
    <w:p w:rsidR="007A31BA" w:rsidRPr="00FA1BCF" w:rsidRDefault="00C34365" w:rsidP="00E436E7">
      <w:pPr>
        <w:pStyle w:val="ListParagraph"/>
        <w:numPr>
          <w:ilvl w:val="0"/>
          <w:numId w:val="25"/>
        </w:numPr>
        <w:jc w:val="both"/>
        <w:outlineLvl w:val="1"/>
        <w:rPr>
          <w:szCs w:val="24"/>
        </w:rPr>
      </w:pPr>
      <w:proofErr w:type="gramStart"/>
      <w:r w:rsidRPr="00FA1BCF">
        <w:rPr>
          <w:szCs w:val="24"/>
        </w:rPr>
        <w:t>o</w:t>
      </w:r>
      <w:r w:rsidR="00CC79FE" w:rsidRPr="00E436E7">
        <w:rPr>
          <w:szCs w:val="24"/>
        </w:rPr>
        <w:t>nce</w:t>
      </w:r>
      <w:proofErr w:type="gramEnd"/>
      <w:r w:rsidR="00CC79FE" w:rsidRPr="00E436E7">
        <w:rPr>
          <w:szCs w:val="24"/>
        </w:rPr>
        <w:t xml:space="preserve"> the population treated by the drug exceeds a cumulative patient population of greater than 1 in 50,000 people per year a review of the therapy listing</w:t>
      </w:r>
      <w:r w:rsidRPr="00FA1BCF">
        <w:rPr>
          <w:szCs w:val="24"/>
        </w:rPr>
        <w:t>(</w:t>
      </w:r>
      <w:r w:rsidR="00CC79FE" w:rsidRPr="00E436E7">
        <w:rPr>
          <w:szCs w:val="24"/>
        </w:rPr>
        <w:t>s</w:t>
      </w:r>
      <w:r w:rsidRPr="00FA1BCF">
        <w:rPr>
          <w:szCs w:val="24"/>
        </w:rPr>
        <w:t>)</w:t>
      </w:r>
      <w:r w:rsidR="00CC79FE" w:rsidRPr="00E436E7">
        <w:rPr>
          <w:szCs w:val="24"/>
        </w:rPr>
        <w:t xml:space="preserve"> will be conducted.</w:t>
      </w:r>
    </w:p>
    <w:p w:rsidR="00CC79FE" w:rsidRPr="00FA1BCF" w:rsidRDefault="00960ECC" w:rsidP="00CC79FE">
      <w:pPr>
        <w:jc w:val="both"/>
        <w:rPr>
          <w:szCs w:val="24"/>
        </w:rPr>
      </w:pPr>
      <w:r w:rsidRPr="00FA1BCF">
        <w:rPr>
          <w:szCs w:val="24"/>
        </w:rPr>
        <w:t>Further, t</w:t>
      </w:r>
      <w:r w:rsidR="00CC79FE" w:rsidRPr="00FA1BCF">
        <w:rPr>
          <w:szCs w:val="24"/>
        </w:rPr>
        <w:t xml:space="preserve">he availability of an alternative </w:t>
      </w:r>
      <w:r w:rsidR="009A438D" w:rsidRPr="00FA1BCF">
        <w:rPr>
          <w:szCs w:val="24"/>
        </w:rPr>
        <w:t xml:space="preserve">medicine </w:t>
      </w:r>
      <w:r w:rsidR="00CC79FE" w:rsidRPr="00FA1BCF">
        <w:rPr>
          <w:szCs w:val="24"/>
        </w:rPr>
        <w:t xml:space="preserve">listed </w:t>
      </w:r>
      <w:r w:rsidR="00C34365" w:rsidRPr="00FA1BCF">
        <w:rPr>
          <w:szCs w:val="24"/>
        </w:rPr>
        <w:t>i</w:t>
      </w:r>
      <w:r w:rsidR="00CC79FE" w:rsidRPr="00FA1BCF">
        <w:rPr>
          <w:szCs w:val="24"/>
        </w:rPr>
        <w:t xml:space="preserve">n </w:t>
      </w:r>
      <w:r w:rsidR="00C34365" w:rsidRPr="00FA1BCF">
        <w:rPr>
          <w:szCs w:val="24"/>
        </w:rPr>
        <w:t>s</w:t>
      </w:r>
      <w:r w:rsidR="00CC79FE" w:rsidRPr="00FA1BCF">
        <w:rPr>
          <w:szCs w:val="24"/>
        </w:rPr>
        <w:t xml:space="preserve">ection 200 does not disqualify the proposed </w:t>
      </w:r>
      <w:r w:rsidR="009A438D" w:rsidRPr="00FA1BCF">
        <w:rPr>
          <w:szCs w:val="24"/>
        </w:rPr>
        <w:t xml:space="preserve">medicine </w:t>
      </w:r>
      <w:r w:rsidR="00CC79FE" w:rsidRPr="00FA1BCF">
        <w:rPr>
          <w:szCs w:val="24"/>
        </w:rPr>
        <w:t xml:space="preserve">from consideration for the </w:t>
      </w:r>
      <w:r w:rsidR="00C34365" w:rsidRPr="00FA1BCF">
        <w:rPr>
          <w:szCs w:val="24"/>
        </w:rPr>
        <w:t>s</w:t>
      </w:r>
      <w:r w:rsidR="00CC79FE" w:rsidRPr="00FA1BCF">
        <w:rPr>
          <w:szCs w:val="24"/>
        </w:rPr>
        <w:t>ection 200</w:t>
      </w:r>
      <w:r w:rsidR="007A31BA" w:rsidRPr="00FA1BCF">
        <w:rPr>
          <w:szCs w:val="24"/>
        </w:rPr>
        <w:t xml:space="preserve"> programme</w:t>
      </w:r>
      <w:r w:rsidR="00CC79FE" w:rsidRPr="00FA1BCF">
        <w:rPr>
          <w:szCs w:val="24"/>
        </w:rPr>
        <w:t xml:space="preserve">. </w:t>
      </w:r>
    </w:p>
    <w:p w:rsidR="00CC79FE" w:rsidRPr="00FA1BCF" w:rsidRDefault="00CC79FE" w:rsidP="00CC79FE">
      <w:pPr>
        <w:jc w:val="both"/>
        <w:rPr>
          <w:szCs w:val="24"/>
        </w:rPr>
      </w:pPr>
      <w:r w:rsidRPr="00FA1BCF">
        <w:rPr>
          <w:szCs w:val="24"/>
        </w:rPr>
        <w:t xml:space="preserve">Once the </w:t>
      </w:r>
      <w:r w:rsidR="009A438D" w:rsidRPr="00FA1BCF">
        <w:rPr>
          <w:szCs w:val="24"/>
        </w:rPr>
        <w:t xml:space="preserve">medicine </w:t>
      </w:r>
      <w:r w:rsidRPr="00FA1BCF">
        <w:rPr>
          <w:szCs w:val="24"/>
        </w:rPr>
        <w:t xml:space="preserve">is accepted as a treatment for rare disease, the </w:t>
      </w:r>
      <w:r w:rsidR="009A438D" w:rsidRPr="00FA1BCF">
        <w:rPr>
          <w:szCs w:val="24"/>
        </w:rPr>
        <w:t xml:space="preserve">medicine </w:t>
      </w:r>
      <w:r w:rsidRPr="00FA1BCF">
        <w:rPr>
          <w:szCs w:val="24"/>
        </w:rPr>
        <w:t xml:space="preserve">submission is considered for reimbursement purposes. Under the </w:t>
      </w:r>
      <w:r w:rsidRPr="00E436E7">
        <w:rPr>
          <w:szCs w:val="24"/>
        </w:rPr>
        <w:t>National Health Act</w:t>
      </w:r>
      <w:r w:rsidRPr="00FA1BCF">
        <w:rPr>
          <w:szCs w:val="24"/>
        </w:rPr>
        <w:t xml:space="preserve">, the PBAC must consider the clinical effectiveness, comparative cost-effectiveness and cost of the </w:t>
      </w:r>
      <w:r w:rsidR="009A438D" w:rsidRPr="00FA1BCF">
        <w:rPr>
          <w:szCs w:val="24"/>
        </w:rPr>
        <w:t xml:space="preserve">medicine </w:t>
      </w:r>
      <w:r w:rsidRPr="00FA1BCF">
        <w:rPr>
          <w:szCs w:val="24"/>
        </w:rPr>
        <w:t>seeking listing on the PBS.</w:t>
      </w:r>
      <w:r w:rsidR="00B56F35" w:rsidRPr="00FA1BCF">
        <w:rPr>
          <w:szCs w:val="24"/>
        </w:rPr>
        <w:t xml:space="preserve"> </w:t>
      </w:r>
      <w:r w:rsidRPr="00FA1BCF">
        <w:rPr>
          <w:szCs w:val="24"/>
        </w:rPr>
        <w:t xml:space="preserve">The PBAC also considers the availability of other effective therapies, severity of the medical condition, equity, unmet clinical need and special need situations such as </w:t>
      </w:r>
      <w:r w:rsidR="00A26B5E" w:rsidRPr="00FA1BCF">
        <w:rPr>
          <w:szCs w:val="24"/>
        </w:rPr>
        <w:t xml:space="preserve">medicines </w:t>
      </w:r>
      <w:r w:rsidRPr="00FA1BCF">
        <w:rPr>
          <w:szCs w:val="24"/>
        </w:rPr>
        <w:t xml:space="preserve">for children or </w:t>
      </w:r>
      <w:r w:rsidR="00182FAC" w:rsidRPr="00FA1BCF">
        <w:rPr>
          <w:szCs w:val="24"/>
        </w:rPr>
        <w:t>I</w:t>
      </w:r>
      <w:r w:rsidRPr="00FA1BCF">
        <w:rPr>
          <w:szCs w:val="24"/>
        </w:rPr>
        <w:t>ndigenous population</w:t>
      </w:r>
      <w:r w:rsidR="00182FAC" w:rsidRPr="00FA1BCF">
        <w:rPr>
          <w:szCs w:val="24"/>
        </w:rPr>
        <w:t>s</w:t>
      </w:r>
      <w:r w:rsidRPr="00FA1BCF">
        <w:rPr>
          <w:szCs w:val="24"/>
        </w:rPr>
        <w:t xml:space="preserve">. </w:t>
      </w:r>
    </w:p>
    <w:p w:rsidR="00CC79FE" w:rsidRPr="00FA1BCF" w:rsidRDefault="00CC79FE" w:rsidP="00CC79FE">
      <w:pPr>
        <w:jc w:val="both"/>
        <w:rPr>
          <w:b/>
          <w:i/>
          <w:szCs w:val="24"/>
        </w:rPr>
      </w:pPr>
      <w:r w:rsidRPr="00FA1BCF">
        <w:rPr>
          <w:szCs w:val="24"/>
        </w:rPr>
        <w:t>The PBAC is commonly criticised for its perceived emphasis on cost-effectiveness. Industry claims that cost</w:t>
      </w:r>
      <w:r w:rsidR="00182FAC" w:rsidRPr="00FA1BCF">
        <w:rPr>
          <w:szCs w:val="24"/>
        </w:rPr>
        <w:t>-</w:t>
      </w:r>
      <w:r w:rsidRPr="00FA1BCF">
        <w:rPr>
          <w:szCs w:val="24"/>
        </w:rPr>
        <w:t>effectiveness ensures maximum gains for each dollar spent but the value of quality of life is not given enough weight in the decision</w:t>
      </w:r>
      <w:r w:rsidR="00182FAC" w:rsidRPr="00FA1BCF">
        <w:rPr>
          <w:szCs w:val="24"/>
        </w:rPr>
        <w:t>-</w:t>
      </w:r>
      <w:r w:rsidRPr="00FA1BCF">
        <w:rPr>
          <w:szCs w:val="24"/>
        </w:rPr>
        <w:t xml:space="preserve">making process. Other aspects of ‘value’ like treatment options, patients’ and carer’s contribution to </w:t>
      </w:r>
      <w:r w:rsidR="00182FAC" w:rsidRPr="00FA1BCF">
        <w:rPr>
          <w:szCs w:val="24"/>
        </w:rPr>
        <w:t xml:space="preserve">the </w:t>
      </w:r>
      <w:r w:rsidRPr="00FA1BCF">
        <w:rPr>
          <w:szCs w:val="24"/>
        </w:rPr>
        <w:t xml:space="preserve">community, convenience and the carer’s quality of life are also not given sufficient weight when assessing a </w:t>
      </w:r>
      <w:r w:rsidR="009A438D" w:rsidRPr="00FA1BCF">
        <w:rPr>
          <w:szCs w:val="24"/>
        </w:rPr>
        <w:t xml:space="preserve">medicine </w:t>
      </w:r>
      <w:r w:rsidRPr="00FA1BCF">
        <w:rPr>
          <w:szCs w:val="24"/>
        </w:rPr>
        <w:t xml:space="preserve">for inclusion on the LSDP or PBS. Multiple stakeholders have proposed </w:t>
      </w:r>
      <w:r w:rsidR="00182FAC" w:rsidRPr="00FA1BCF">
        <w:rPr>
          <w:szCs w:val="24"/>
        </w:rPr>
        <w:t xml:space="preserve">that </w:t>
      </w:r>
      <w:r w:rsidRPr="00FA1BCF">
        <w:rPr>
          <w:szCs w:val="24"/>
        </w:rPr>
        <w:t>the PBAC broaden its view and assessment of ‘value’. A popular proposal is to include a UK</w:t>
      </w:r>
      <w:r w:rsidR="005D5B2D">
        <w:rPr>
          <w:szCs w:val="24"/>
        </w:rPr>
        <w:t>-</w:t>
      </w:r>
      <w:r w:rsidRPr="00FA1BCF">
        <w:rPr>
          <w:szCs w:val="24"/>
        </w:rPr>
        <w:t>style multi</w:t>
      </w:r>
      <w:r w:rsidR="00182FAC" w:rsidRPr="00FA1BCF">
        <w:rPr>
          <w:szCs w:val="24"/>
        </w:rPr>
        <w:t>-</w:t>
      </w:r>
      <w:r w:rsidRPr="00FA1BCF">
        <w:rPr>
          <w:szCs w:val="24"/>
        </w:rPr>
        <w:t xml:space="preserve">criteria decision analysis to expand value assessment. </w:t>
      </w:r>
    </w:p>
    <w:p w:rsidR="00366637" w:rsidRPr="00FA1BCF" w:rsidRDefault="00CC79FE" w:rsidP="00E436E7">
      <w:pPr>
        <w:pStyle w:val="Heading2"/>
        <w:rPr>
          <w:lang w:eastAsia="en-AU"/>
        </w:rPr>
      </w:pPr>
      <w:bookmarkStart w:id="46" w:name="_Toc302625602"/>
      <w:r w:rsidRPr="00FA1BCF">
        <w:rPr>
          <w:lang w:eastAsia="en-AU"/>
        </w:rPr>
        <w:t>6.</w:t>
      </w:r>
      <w:r w:rsidR="00564EAE" w:rsidRPr="00FA1BCF">
        <w:rPr>
          <w:lang w:eastAsia="en-AU"/>
        </w:rPr>
        <w:t>5</w:t>
      </w:r>
      <w:r w:rsidR="00985303" w:rsidRPr="00FA1BCF">
        <w:rPr>
          <w:lang w:eastAsia="en-AU"/>
        </w:rPr>
        <w:t>.</w:t>
      </w:r>
      <w:r w:rsidR="00B56F35" w:rsidRPr="00FA1BCF">
        <w:rPr>
          <w:lang w:eastAsia="en-AU"/>
        </w:rPr>
        <w:t xml:space="preserve"> </w:t>
      </w:r>
      <w:r w:rsidR="00366637" w:rsidRPr="00FA1BCF">
        <w:rPr>
          <w:lang w:eastAsia="en-AU"/>
        </w:rPr>
        <w:t>International perspectives on funding medicines for rare disease</w:t>
      </w:r>
      <w:bookmarkEnd w:id="46"/>
      <w:r w:rsidR="00366637" w:rsidRPr="00FA1BCF">
        <w:rPr>
          <w:lang w:eastAsia="en-AU"/>
        </w:rPr>
        <w:t xml:space="preserve"> </w:t>
      </w:r>
    </w:p>
    <w:p w:rsidR="00366637" w:rsidRPr="00FA1BCF" w:rsidRDefault="00366637" w:rsidP="00E436E7">
      <w:pPr>
        <w:jc w:val="both"/>
        <w:rPr>
          <w:rFonts w:eastAsia="Times New Roman" w:cs="Times New Roman"/>
          <w:b/>
          <w:i/>
          <w:sz w:val="28"/>
          <w:szCs w:val="28"/>
          <w:lang w:eastAsia="en-AU"/>
        </w:rPr>
      </w:pPr>
      <w:r w:rsidRPr="00FA1BCF">
        <w:t xml:space="preserve">The reimbursement of medicines to treat rare diseases presents a unique challenge to governments worldwide. Many countries have implemented orphan medicine frameworks to encourage research and development in this sector. Such paradigms reflect an understanding that management of treatment of rare diseases are different to </w:t>
      </w:r>
      <w:r w:rsidR="00001CB8">
        <w:t xml:space="preserve">the </w:t>
      </w:r>
      <w:r w:rsidR="00182FAC" w:rsidRPr="00FA1BCF">
        <w:t xml:space="preserve">management and treatment of </w:t>
      </w:r>
      <w:r w:rsidRPr="00FA1BCF">
        <w:t>other diseases. In the current health treatment context</w:t>
      </w:r>
      <w:r w:rsidR="00182FAC" w:rsidRPr="00FA1BCF">
        <w:t>,</w:t>
      </w:r>
      <w:r w:rsidRPr="00FA1BCF">
        <w:t xml:space="preserve"> lack of existing treatment options and hence consideration of effectiveness, equity of access to experienced treatment centres, providing fair return on investments to the medicine companies, the high cost of medicines and increasing fiscal constraints represent some of the challenges faced by organisations and health technology assessment and reimbursement authorities.</w:t>
      </w:r>
      <w:r w:rsidR="00B56F35" w:rsidRPr="00FA1BCF">
        <w:t xml:space="preserve"> </w:t>
      </w:r>
    </w:p>
    <w:p w:rsidR="00366637" w:rsidRPr="00FA1BCF" w:rsidRDefault="00366637" w:rsidP="00366637">
      <w:pPr>
        <w:jc w:val="both"/>
      </w:pPr>
      <w:r w:rsidRPr="00FA1BCF">
        <w:t xml:space="preserve">LSDP Post Market Review term of reference three looked at how other countries </w:t>
      </w:r>
      <w:r w:rsidR="00001CB8">
        <w:t>a</w:t>
      </w:r>
      <w:r w:rsidRPr="00FA1BCF">
        <w:t>re managing the costs of these expensive therapies. Unlike Australia, the Netherlands, Italy, England, Wales, and Ontario (Canada) have separate evaluation and funding mechanisms specific to orphan drugs. Alberta’s rare drug programme is restricted to lysosomal storage disorders and is similar to the LSDP, i.e. disease prevalence of 1 in 50,000. Patients treated under the Alberta programme must consent to a number of conditions including:</w:t>
      </w:r>
    </w:p>
    <w:p w:rsidR="00366637" w:rsidRPr="00FA1BCF" w:rsidRDefault="00182FAC" w:rsidP="00366637">
      <w:pPr>
        <w:pStyle w:val="ListParagraph"/>
        <w:numPr>
          <w:ilvl w:val="0"/>
          <w:numId w:val="33"/>
        </w:numPr>
        <w:autoSpaceDE w:val="0"/>
        <w:autoSpaceDN w:val="0"/>
        <w:adjustRightInd w:val="0"/>
        <w:contextualSpacing w:val="0"/>
        <w:jc w:val="both"/>
      </w:pPr>
      <w:r w:rsidRPr="00FA1BCF">
        <w:lastRenderedPageBreak/>
        <w:t>c</w:t>
      </w:r>
      <w:r w:rsidR="00366637" w:rsidRPr="00FA1BCF">
        <w:t>onditional initial and continued coverage are dependent upon clinical outcomes</w:t>
      </w:r>
    </w:p>
    <w:p w:rsidR="00366637" w:rsidRPr="00FA1BCF" w:rsidRDefault="00182FAC" w:rsidP="00366637">
      <w:pPr>
        <w:pStyle w:val="ListParagraph"/>
        <w:numPr>
          <w:ilvl w:val="0"/>
          <w:numId w:val="33"/>
        </w:numPr>
        <w:autoSpaceDE w:val="0"/>
        <w:autoSpaceDN w:val="0"/>
        <w:adjustRightInd w:val="0"/>
        <w:contextualSpacing w:val="0"/>
        <w:jc w:val="both"/>
      </w:pPr>
      <w:r w:rsidRPr="00FA1BCF">
        <w:t>o</w:t>
      </w:r>
      <w:r w:rsidR="00366637" w:rsidRPr="00FA1BCF">
        <w:t>ngoing clinical outcome monitoring is mandatory</w:t>
      </w:r>
    </w:p>
    <w:p w:rsidR="00366637" w:rsidRPr="00FA1BCF" w:rsidRDefault="00182FAC" w:rsidP="00366637">
      <w:pPr>
        <w:pStyle w:val="ListParagraph"/>
        <w:numPr>
          <w:ilvl w:val="0"/>
          <w:numId w:val="33"/>
        </w:numPr>
        <w:autoSpaceDE w:val="0"/>
        <w:autoSpaceDN w:val="0"/>
        <w:adjustRightInd w:val="0"/>
        <w:contextualSpacing w:val="0"/>
        <w:jc w:val="both"/>
      </w:pPr>
      <w:proofErr w:type="gramStart"/>
      <w:r w:rsidRPr="00FA1BCF">
        <w:t>i</w:t>
      </w:r>
      <w:r w:rsidR="00366637" w:rsidRPr="00FA1BCF">
        <w:t>nadequate</w:t>
      </w:r>
      <w:proofErr w:type="gramEnd"/>
      <w:r w:rsidR="00366637" w:rsidRPr="00FA1BCF">
        <w:t xml:space="preserve"> patient response or deterioration, as defined by pre-established withdrawal criteria for a specific medicine and/or as assessed by the program</w:t>
      </w:r>
      <w:r w:rsidRPr="00FA1BCF">
        <w:t>me</w:t>
      </w:r>
      <w:r w:rsidR="00366637" w:rsidRPr="00FA1BCF">
        <w:t>’s clinical review panel, will dictate coverage discontinuation.</w:t>
      </w:r>
    </w:p>
    <w:p w:rsidR="00366637" w:rsidRPr="00FA1BCF" w:rsidRDefault="00366637" w:rsidP="00366637">
      <w:pPr>
        <w:jc w:val="both"/>
      </w:pPr>
      <w:r w:rsidRPr="00FA1BCF">
        <w:t>Note that the presence of a significant illness likely to affect life expectancy, outside of the rare disease itself, is considered a contraindication to medicine funding</w:t>
      </w:r>
      <w:r w:rsidR="00732A31">
        <w:t>.</w:t>
      </w:r>
    </w:p>
    <w:p w:rsidR="00366637" w:rsidRPr="00FA1BCF" w:rsidRDefault="00366637" w:rsidP="00366637">
      <w:pPr>
        <w:jc w:val="both"/>
      </w:pPr>
      <w:r w:rsidRPr="00FA1BCF">
        <w:t xml:space="preserve">Belgium, the Netherlands and Germany reportedly require no </w:t>
      </w:r>
      <w:proofErr w:type="spellStart"/>
      <w:r w:rsidRPr="00FA1BCF">
        <w:t>pharmacoeconomic</w:t>
      </w:r>
      <w:proofErr w:type="spellEnd"/>
      <w:r w:rsidRPr="00FA1BCF">
        <w:t xml:space="preserve"> evaluation but do not preclude risk</w:t>
      </w:r>
      <w:r w:rsidR="008F02E1" w:rsidRPr="00FA1BCF">
        <w:t>-</w:t>
      </w:r>
      <w:r w:rsidRPr="00FA1BCF">
        <w:t xml:space="preserve">sharing arrangements (Denis et al. 2011; </w:t>
      </w:r>
      <w:proofErr w:type="spellStart"/>
      <w:r w:rsidRPr="00FA1BCF">
        <w:t>Garau</w:t>
      </w:r>
      <w:proofErr w:type="spellEnd"/>
      <w:r w:rsidRPr="00FA1BCF">
        <w:t xml:space="preserve"> &amp; </w:t>
      </w:r>
      <w:proofErr w:type="spellStart"/>
      <w:r w:rsidRPr="00FA1BCF">
        <w:t>Mestre-Ferrandiz</w:t>
      </w:r>
      <w:proofErr w:type="spellEnd"/>
      <w:r w:rsidRPr="00FA1BCF">
        <w:t xml:space="preserve"> 2009; </w:t>
      </w:r>
      <w:proofErr w:type="spellStart"/>
      <w:r w:rsidRPr="00FA1BCF">
        <w:t>Vegter</w:t>
      </w:r>
      <w:proofErr w:type="spellEnd"/>
      <w:r w:rsidRPr="00FA1BCF">
        <w:t xml:space="preserve"> et al. 2010). In Germany, the </w:t>
      </w:r>
      <w:r w:rsidRPr="00E436E7">
        <w:t xml:space="preserve">Pharmaceutical Market Reorganisation Act </w:t>
      </w:r>
      <w:r w:rsidRPr="00FA1BCF">
        <w:t>(AMNOG) requires all medicines seeking reimbursement to be subjected to an additional benefit analysis prior to listing for reimbursement by the Federal Joint Committee (GBA). A simplified process was implemented for new products with orphan drug status, where the manufacturer need only submit an extract of the dossier. The GBA will decide on the level of additional benefit as a drug with an orphan drug designation implies that there is additional benefit. This simplified process is restricted to orphan medicines with anticipated peak sales of €50 million per year. If the threshold is exceeded after the GBA’s decision, a complete dossier has to be submitted by the manufacturer. At its core, the benefit dossier must present evidence of the drug’s additional benefit over the appropriate comparator, defined as the clinically appropriate standard of care in the indication (</w:t>
      </w:r>
      <w:proofErr w:type="spellStart"/>
      <w:r w:rsidRPr="00FA1BCF">
        <w:t>Tordup</w:t>
      </w:r>
      <w:proofErr w:type="spellEnd"/>
      <w:r w:rsidRPr="00FA1BCF">
        <w:t xml:space="preserve"> et al. 2014). </w:t>
      </w:r>
    </w:p>
    <w:p w:rsidR="00366637" w:rsidRPr="00FA1BCF" w:rsidRDefault="00366637" w:rsidP="00366637">
      <w:pPr>
        <w:jc w:val="both"/>
      </w:pPr>
      <w:r w:rsidRPr="00FA1BCF">
        <w:t xml:space="preserve">Funding for rare diseases </w:t>
      </w:r>
      <w:r w:rsidR="008F02E1" w:rsidRPr="00FA1BCF">
        <w:t xml:space="preserve">is </w:t>
      </w:r>
      <w:r w:rsidRPr="00FA1BCF">
        <w:t>re-evaluated after 1.5</w:t>
      </w:r>
      <w:r w:rsidR="008F02E1" w:rsidRPr="00FA1BCF">
        <w:t xml:space="preserve"> to </w:t>
      </w:r>
      <w:r w:rsidRPr="00FA1BCF">
        <w:t xml:space="preserve">5 years in Belgium, the Netherlands and the </w:t>
      </w:r>
      <w:r w:rsidR="008F02E1" w:rsidRPr="00FA1BCF">
        <w:t>UK</w:t>
      </w:r>
      <w:r w:rsidRPr="00FA1BCF">
        <w:t xml:space="preserve"> (Denis et al. 2011; </w:t>
      </w:r>
      <w:proofErr w:type="spellStart"/>
      <w:r w:rsidRPr="00FA1BCF">
        <w:t>Garau</w:t>
      </w:r>
      <w:proofErr w:type="spellEnd"/>
      <w:r w:rsidRPr="00FA1BCF">
        <w:t xml:space="preserve"> &amp; </w:t>
      </w:r>
      <w:proofErr w:type="spellStart"/>
      <w:r w:rsidRPr="00FA1BCF">
        <w:t>Mestre-Ferrandiz</w:t>
      </w:r>
      <w:proofErr w:type="spellEnd"/>
      <w:r w:rsidRPr="00FA1BCF">
        <w:t xml:space="preserve"> 2009; </w:t>
      </w:r>
      <w:proofErr w:type="spellStart"/>
      <w:r w:rsidRPr="00FA1BCF">
        <w:t>Vegter</w:t>
      </w:r>
      <w:proofErr w:type="spellEnd"/>
      <w:r w:rsidRPr="00FA1BCF">
        <w:t xml:space="preserve"> et al. 2010).</w:t>
      </w:r>
    </w:p>
    <w:p w:rsidR="00366637" w:rsidRPr="00FA1BCF" w:rsidRDefault="00366637" w:rsidP="00E436E7">
      <w:pPr>
        <w:pStyle w:val="Default"/>
        <w:jc w:val="both"/>
      </w:pPr>
      <w:r w:rsidRPr="00FA1BCF">
        <w:rPr>
          <w:rFonts w:asciiTheme="minorHAnsi" w:hAnsiTheme="minorHAnsi" w:cstheme="minorBidi"/>
          <w:color w:val="auto"/>
          <w:szCs w:val="22"/>
        </w:rPr>
        <w:t>Sweden applies different cost-effectiveness thresholds for different characteristics of disease-linked severity and accepts a lower level of evidence for orphan medicines (Denis et al</w:t>
      </w:r>
      <w:r w:rsidR="00732A31">
        <w:rPr>
          <w:rFonts w:asciiTheme="minorHAnsi" w:hAnsiTheme="minorHAnsi" w:cstheme="minorBidi"/>
          <w:color w:val="auto"/>
          <w:szCs w:val="22"/>
        </w:rPr>
        <w:t>.</w:t>
      </w:r>
      <w:r w:rsidRPr="00FA1BCF">
        <w:rPr>
          <w:rFonts w:asciiTheme="minorHAnsi" w:hAnsiTheme="minorHAnsi" w:cstheme="minorBidi"/>
          <w:color w:val="auto"/>
          <w:szCs w:val="22"/>
        </w:rPr>
        <w:t xml:space="preserve"> 2011; </w:t>
      </w:r>
      <w:proofErr w:type="spellStart"/>
      <w:r w:rsidRPr="00FA1BCF">
        <w:rPr>
          <w:rFonts w:asciiTheme="minorHAnsi" w:hAnsiTheme="minorHAnsi" w:cstheme="minorBidi"/>
          <w:color w:val="auto"/>
          <w:szCs w:val="22"/>
        </w:rPr>
        <w:t>Garau</w:t>
      </w:r>
      <w:proofErr w:type="spellEnd"/>
      <w:r w:rsidRPr="00FA1BCF">
        <w:rPr>
          <w:rFonts w:asciiTheme="minorHAnsi" w:hAnsiTheme="minorHAnsi" w:cstheme="minorBidi"/>
          <w:color w:val="auto"/>
          <w:szCs w:val="22"/>
        </w:rPr>
        <w:t xml:space="preserve"> &amp; </w:t>
      </w:r>
      <w:proofErr w:type="spellStart"/>
      <w:r w:rsidRPr="00FA1BCF">
        <w:rPr>
          <w:rFonts w:asciiTheme="minorHAnsi" w:hAnsiTheme="minorHAnsi" w:cstheme="minorBidi"/>
          <w:color w:val="auto"/>
          <w:szCs w:val="22"/>
        </w:rPr>
        <w:t>Mestre-Ferrandiz</w:t>
      </w:r>
      <w:proofErr w:type="spellEnd"/>
      <w:r w:rsidRPr="00FA1BCF">
        <w:rPr>
          <w:rFonts w:asciiTheme="minorHAnsi" w:hAnsiTheme="minorHAnsi" w:cstheme="minorBidi"/>
          <w:color w:val="auto"/>
          <w:szCs w:val="22"/>
        </w:rPr>
        <w:t xml:space="preserve"> 2009). The Pharmaceutical Management Agency (PHARMAC) in New Zealand uses a clinical effectiveness and cost-effectiveness framework with additional consideration of societal factors to determine public reimbursement of drugs. In June 2014, PHARMAC established a contestable fund aimed at improving access to medicines for rare disorders. ‘Rare</w:t>
      </w:r>
      <w:r w:rsidR="00B56F35" w:rsidRPr="00FA1BCF">
        <w:rPr>
          <w:rFonts w:asciiTheme="minorHAnsi" w:hAnsiTheme="minorHAnsi" w:cstheme="minorBidi"/>
          <w:color w:val="auto"/>
          <w:szCs w:val="22"/>
        </w:rPr>
        <w:t>’</w:t>
      </w:r>
      <w:r w:rsidRPr="00FA1BCF">
        <w:rPr>
          <w:rFonts w:asciiTheme="minorHAnsi" w:hAnsiTheme="minorHAnsi" w:cstheme="minorBidi"/>
          <w:color w:val="auto"/>
          <w:szCs w:val="22"/>
        </w:rPr>
        <w:t xml:space="preserve"> was defined as an identifiable and measurable patient population with a prevalence of 1</w:t>
      </w:r>
      <w:r w:rsidR="008F02E1" w:rsidRPr="00FA1BCF">
        <w:rPr>
          <w:rFonts w:asciiTheme="minorHAnsi" w:hAnsiTheme="minorHAnsi" w:cstheme="minorBidi"/>
          <w:color w:val="auto"/>
          <w:szCs w:val="22"/>
        </w:rPr>
        <w:t xml:space="preserve"> in </w:t>
      </w:r>
      <w:r w:rsidRPr="00FA1BCF">
        <w:rPr>
          <w:rFonts w:asciiTheme="minorHAnsi" w:hAnsiTheme="minorHAnsi" w:cstheme="minorBidi"/>
          <w:color w:val="auto"/>
          <w:szCs w:val="22"/>
        </w:rPr>
        <w:t>50,000 or less.</w:t>
      </w:r>
      <w:r w:rsidR="00B56F35" w:rsidRPr="00FA1BCF">
        <w:rPr>
          <w:rFonts w:asciiTheme="minorHAnsi" w:hAnsiTheme="minorHAnsi" w:cstheme="minorBidi"/>
          <w:color w:val="auto"/>
          <w:szCs w:val="22"/>
        </w:rPr>
        <w:t xml:space="preserve"> </w:t>
      </w:r>
      <w:r w:rsidRPr="00FA1BCF">
        <w:rPr>
          <w:rFonts w:asciiTheme="minorHAnsi" w:hAnsiTheme="minorHAnsi" w:cstheme="minorBidi"/>
          <w:color w:val="auto"/>
          <w:szCs w:val="22"/>
        </w:rPr>
        <w:t xml:space="preserve">Pharmaceutical companies were invited to bid for funding worth up to $25 million over five years. Medicines funded under this process will be listed on the Pharmaceutical Schedule. </w:t>
      </w:r>
    </w:p>
    <w:p w:rsidR="00AF5283" w:rsidRPr="00FA1BCF" w:rsidRDefault="00366637" w:rsidP="00AF5283">
      <w:r w:rsidRPr="00FA1BCF">
        <w:t xml:space="preserve">In France, the clinical evidence required for orphan medicines is limited to </w:t>
      </w:r>
      <w:r w:rsidR="008F02E1" w:rsidRPr="00FA1BCF">
        <w:t>p</w:t>
      </w:r>
      <w:r w:rsidRPr="00FA1BCF">
        <w:t>hase</w:t>
      </w:r>
      <w:r w:rsidR="00B95C43" w:rsidRPr="00FA1BCF">
        <w:t> 2</w:t>
      </w:r>
      <w:r w:rsidRPr="00FA1BCF">
        <w:t xml:space="preserve"> trials and literature reviews</w:t>
      </w:r>
      <w:r w:rsidR="008F02E1" w:rsidRPr="00FA1BCF">
        <w:t>,</w:t>
      </w:r>
      <w:r w:rsidRPr="00FA1BCF">
        <w:t xml:space="preserve"> reflecting the limitations of gathering evidence on rare conditions (</w:t>
      </w:r>
      <w:proofErr w:type="spellStart"/>
      <w:r w:rsidRPr="00FA1BCF">
        <w:t>Garau</w:t>
      </w:r>
      <w:proofErr w:type="spellEnd"/>
      <w:r w:rsidRPr="00FA1BCF">
        <w:t xml:space="preserve"> et al. 2009).</w:t>
      </w:r>
    </w:p>
    <w:p w:rsidR="00366637" w:rsidRPr="00FA1BCF" w:rsidRDefault="00366637" w:rsidP="00366637">
      <w:pPr>
        <w:jc w:val="both"/>
      </w:pPr>
      <w:r w:rsidRPr="00FA1BCF">
        <w:t xml:space="preserve">Morel et al. </w:t>
      </w:r>
      <w:r w:rsidR="00732A31">
        <w:t>(</w:t>
      </w:r>
      <w:r w:rsidRPr="00FA1BCF">
        <w:t>2013</w:t>
      </w:r>
      <w:r w:rsidR="00732A31">
        <w:t>)</w:t>
      </w:r>
      <w:r w:rsidRPr="00FA1BCF">
        <w:t xml:space="preserve"> reviewed managed entry schemes for orphan medicines in Europe and found evidence of 42 managed entry schemes specific to 26 medicines implemented between 2006 and 2012 in five European countries (Belgium: n = 4; England and Wales: n = 8; Italy: n = 15; the Netherlands: n = 10; and Sweden: n = 5). The review found that performance-based risk-sharing arrangements (55</w:t>
      </w:r>
      <w:r w:rsidR="008F02E1" w:rsidRPr="00FA1BCF">
        <w:t> per cent</w:t>
      </w:r>
      <w:r w:rsidRPr="00FA1BCF">
        <w:t>; n = 23) were slightly more prevalent than financial-based schemes (n = 19) and that performance-based risk</w:t>
      </w:r>
      <w:r w:rsidR="008F02E1" w:rsidRPr="00FA1BCF">
        <w:t>-</w:t>
      </w:r>
      <w:r w:rsidRPr="00FA1BCF">
        <w:t xml:space="preserve">sharing arrangements were relatively more common in Italy, the Netherlands and Sweden. </w:t>
      </w:r>
      <w:r w:rsidRPr="00FA1BCF">
        <w:lastRenderedPageBreak/>
        <w:t xml:space="preserve">Financial-based schemes were mainly found in Belgium, England and Wales, and Italy. A summary of managed entry schemes is given in Table 5. </w:t>
      </w:r>
    </w:p>
    <w:p w:rsidR="00366637" w:rsidRPr="00FA1BCF" w:rsidRDefault="00366637" w:rsidP="00366637">
      <w:pPr>
        <w:jc w:val="both"/>
      </w:pPr>
      <w:r w:rsidRPr="00FA1BCF">
        <w:t>A review of reports and ongoing inquiries from other countries suggest</w:t>
      </w:r>
      <w:r w:rsidR="008F02E1" w:rsidRPr="00FA1BCF">
        <w:t>s</w:t>
      </w:r>
      <w:r w:rsidRPr="00FA1BCF">
        <w:t xml:space="preserve"> that Australia is not alone in grappling with managing the growing cost of medicines to treat rare diseases or diseases that affect a small population. </w:t>
      </w:r>
    </w:p>
    <w:p w:rsidR="00366637" w:rsidRPr="00FA1BCF" w:rsidRDefault="00366637" w:rsidP="00E436E7">
      <w:pPr>
        <w:pStyle w:val="Caption"/>
      </w:pPr>
      <w:r w:rsidRPr="00FA1BCF">
        <w:t xml:space="preserve">Table </w:t>
      </w:r>
      <w:r w:rsidR="008F6849" w:rsidRPr="00FA1BCF">
        <w:rPr>
          <w:noProof/>
        </w:rPr>
        <w:t>5</w:t>
      </w:r>
      <w:r w:rsidR="00EB29AC" w:rsidRPr="00FA1BCF">
        <w:rPr>
          <w:noProof/>
        </w:rPr>
        <w:t>:</w:t>
      </w:r>
      <w:r w:rsidRPr="00FA1BCF">
        <w:t xml:space="preserve"> Overview of </w:t>
      </w:r>
      <w:r w:rsidR="00B003BF" w:rsidRPr="00FA1BCF">
        <w:t>m</w:t>
      </w:r>
      <w:r w:rsidRPr="00E436E7">
        <w:t>anaged</w:t>
      </w:r>
      <w:r w:rsidRPr="00FA1BCF">
        <w:t xml:space="preserve"> </w:t>
      </w:r>
      <w:r w:rsidR="00B003BF" w:rsidRPr="00FA1BCF">
        <w:t>e</w:t>
      </w:r>
      <w:r w:rsidRPr="00FA1BCF">
        <w:t xml:space="preserve">ntry </w:t>
      </w:r>
      <w:r w:rsidR="00B003BF" w:rsidRPr="00FA1BCF">
        <w:t>a</w:t>
      </w:r>
      <w:r w:rsidRPr="00FA1BCF">
        <w:t>rrangements identified across five European countries, described by country and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04  Overview of Managed Entry Arrangements (MEAs) identified across five European countries, described by country and design"/>
      </w:tblPr>
      <w:tblGrid>
        <w:gridCol w:w="4731"/>
        <w:gridCol w:w="676"/>
        <w:gridCol w:w="677"/>
        <w:gridCol w:w="677"/>
        <w:gridCol w:w="677"/>
        <w:gridCol w:w="678"/>
        <w:gridCol w:w="1126"/>
      </w:tblGrid>
      <w:tr w:rsidR="00366637" w:rsidRPr="00F0677C" w:rsidTr="00DC19F4">
        <w:trPr>
          <w:trHeight w:val="300"/>
          <w:tblHeader/>
        </w:trPr>
        <w:tc>
          <w:tcPr>
            <w:tcW w:w="2560" w:type="pct"/>
            <w:tcBorders>
              <w:bottom w:val="nil"/>
            </w:tcBorders>
            <w:shd w:val="clear" w:color="auto" w:fill="C0504D" w:themeFill="accent2"/>
            <w:noWrap/>
            <w:vAlign w:val="bottom"/>
            <w:hideMark/>
          </w:tcPr>
          <w:p w:rsidR="00366637" w:rsidRPr="00DC19F4" w:rsidRDefault="00366637" w:rsidP="00366637">
            <w:pPr>
              <w:pStyle w:val="TableHeading"/>
              <w:keepLines/>
              <w:outlineLvl w:val="2"/>
              <w:rPr>
                <w:color w:val="FFFFFF" w:themeColor="background1"/>
              </w:rPr>
            </w:pPr>
            <w:r w:rsidRPr="00DC19F4">
              <w:rPr>
                <w:color w:val="FFFFFF" w:themeColor="background1"/>
              </w:rPr>
              <w:t>Types of MEAs</w:t>
            </w:r>
          </w:p>
        </w:tc>
        <w:tc>
          <w:tcPr>
            <w:tcW w:w="1831" w:type="pct"/>
            <w:gridSpan w:val="5"/>
            <w:shd w:val="clear" w:color="auto" w:fill="C0504D" w:themeFill="accent2"/>
            <w:noWrap/>
            <w:vAlign w:val="bottom"/>
            <w:hideMark/>
          </w:tcPr>
          <w:p w:rsidR="00366637" w:rsidRPr="00DC19F4" w:rsidRDefault="00366637" w:rsidP="00366637">
            <w:pPr>
              <w:pStyle w:val="TableHeading"/>
              <w:keepLines/>
              <w:outlineLvl w:val="2"/>
              <w:rPr>
                <w:color w:val="FFFFFF" w:themeColor="background1"/>
              </w:rPr>
            </w:pPr>
            <w:r w:rsidRPr="00DC19F4">
              <w:rPr>
                <w:color w:val="FFFFFF" w:themeColor="background1"/>
              </w:rPr>
              <w:t>Country</w:t>
            </w:r>
          </w:p>
        </w:tc>
        <w:tc>
          <w:tcPr>
            <w:tcW w:w="609" w:type="pct"/>
            <w:tcBorders>
              <w:bottom w:val="nil"/>
            </w:tcBorders>
            <w:shd w:val="clear" w:color="auto" w:fill="C0504D" w:themeFill="accent2"/>
            <w:noWrap/>
            <w:vAlign w:val="bottom"/>
            <w:hideMark/>
          </w:tcPr>
          <w:p w:rsidR="00366637" w:rsidRPr="00DC19F4" w:rsidRDefault="00366637" w:rsidP="00366637">
            <w:pPr>
              <w:pStyle w:val="TableHeading"/>
              <w:keepLines/>
              <w:outlineLvl w:val="2"/>
              <w:rPr>
                <w:color w:val="FFFFFF" w:themeColor="background1"/>
              </w:rPr>
            </w:pPr>
            <w:r w:rsidRPr="00DC19F4">
              <w:rPr>
                <w:color w:val="FFFFFF" w:themeColor="background1"/>
              </w:rPr>
              <w:t xml:space="preserve">Number of </w:t>
            </w:r>
          </w:p>
        </w:tc>
      </w:tr>
      <w:tr w:rsidR="00366637" w:rsidRPr="00F0677C" w:rsidTr="00DC19F4">
        <w:trPr>
          <w:trHeight w:val="300"/>
        </w:trPr>
        <w:tc>
          <w:tcPr>
            <w:tcW w:w="2560" w:type="pct"/>
            <w:tcBorders>
              <w:top w:val="nil"/>
            </w:tcBorders>
            <w:shd w:val="clear" w:color="auto" w:fill="C0504D" w:themeFill="accent2"/>
            <w:noWrap/>
            <w:vAlign w:val="bottom"/>
            <w:hideMark/>
          </w:tcPr>
          <w:p w:rsidR="00366637" w:rsidRPr="00DC19F4" w:rsidRDefault="00366637" w:rsidP="00366637">
            <w:pPr>
              <w:pStyle w:val="TableHeading"/>
              <w:rPr>
                <w:color w:val="FFFFFF" w:themeColor="background1"/>
              </w:rPr>
            </w:pPr>
          </w:p>
        </w:tc>
        <w:tc>
          <w:tcPr>
            <w:tcW w:w="366" w:type="pct"/>
            <w:shd w:val="clear" w:color="auto" w:fill="C0504D" w:themeFill="accent2"/>
            <w:noWrap/>
            <w:vAlign w:val="bottom"/>
            <w:hideMark/>
          </w:tcPr>
          <w:p w:rsidR="00366637" w:rsidRPr="00DC19F4" w:rsidRDefault="00366637" w:rsidP="00366637">
            <w:pPr>
              <w:pStyle w:val="TableHeading"/>
              <w:keepLines/>
              <w:outlineLvl w:val="2"/>
              <w:rPr>
                <w:color w:val="FFFFFF" w:themeColor="background1"/>
              </w:rPr>
            </w:pPr>
            <w:r w:rsidRPr="00DC19F4">
              <w:rPr>
                <w:color w:val="FFFFFF" w:themeColor="background1"/>
              </w:rPr>
              <w:t>B</w:t>
            </w:r>
          </w:p>
        </w:tc>
        <w:tc>
          <w:tcPr>
            <w:tcW w:w="366" w:type="pct"/>
            <w:shd w:val="clear" w:color="auto" w:fill="C0504D" w:themeFill="accent2"/>
            <w:noWrap/>
            <w:vAlign w:val="bottom"/>
            <w:hideMark/>
          </w:tcPr>
          <w:p w:rsidR="00366637" w:rsidRPr="00DC19F4" w:rsidRDefault="00366637" w:rsidP="00366637">
            <w:pPr>
              <w:pStyle w:val="TableHeading"/>
              <w:keepLines/>
              <w:outlineLvl w:val="2"/>
              <w:rPr>
                <w:color w:val="FFFFFF" w:themeColor="background1"/>
              </w:rPr>
            </w:pPr>
            <w:r w:rsidRPr="00DC19F4">
              <w:rPr>
                <w:color w:val="FFFFFF" w:themeColor="background1"/>
              </w:rPr>
              <w:t>E</w:t>
            </w:r>
          </w:p>
        </w:tc>
        <w:tc>
          <w:tcPr>
            <w:tcW w:w="366" w:type="pct"/>
            <w:shd w:val="clear" w:color="auto" w:fill="C0504D" w:themeFill="accent2"/>
            <w:noWrap/>
            <w:vAlign w:val="bottom"/>
            <w:hideMark/>
          </w:tcPr>
          <w:p w:rsidR="00366637" w:rsidRPr="00DC19F4" w:rsidRDefault="00366637" w:rsidP="00366637">
            <w:pPr>
              <w:pStyle w:val="TableHeading"/>
              <w:keepLines/>
              <w:outlineLvl w:val="2"/>
              <w:rPr>
                <w:color w:val="FFFFFF" w:themeColor="background1"/>
              </w:rPr>
            </w:pPr>
            <w:r w:rsidRPr="00DC19F4">
              <w:rPr>
                <w:color w:val="FFFFFF" w:themeColor="background1"/>
              </w:rPr>
              <w:t>I</w:t>
            </w:r>
          </w:p>
        </w:tc>
        <w:tc>
          <w:tcPr>
            <w:tcW w:w="366" w:type="pct"/>
            <w:shd w:val="clear" w:color="auto" w:fill="C0504D" w:themeFill="accent2"/>
            <w:noWrap/>
            <w:vAlign w:val="bottom"/>
            <w:hideMark/>
          </w:tcPr>
          <w:p w:rsidR="00366637" w:rsidRPr="00DC19F4" w:rsidRDefault="00366637" w:rsidP="00366637">
            <w:pPr>
              <w:pStyle w:val="TableHeading"/>
              <w:keepLines/>
              <w:outlineLvl w:val="2"/>
              <w:rPr>
                <w:color w:val="FFFFFF" w:themeColor="background1"/>
              </w:rPr>
            </w:pPr>
            <w:r w:rsidRPr="00DC19F4">
              <w:rPr>
                <w:color w:val="FFFFFF" w:themeColor="background1"/>
              </w:rPr>
              <w:t>NL</w:t>
            </w:r>
          </w:p>
        </w:tc>
        <w:tc>
          <w:tcPr>
            <w:tcW w:w="367" w:type="pct"/>
            <w:tcBorders>
              <w:top w:val="nil"/>
            </w:tcBorders>
            <w:shd w:val="clear" w:color="auto" w:fill="C0504D" w:themeFill="accent2"/>
            <w:noWrap/>
            <w:vAlign w:val="bottom"/>
            <w:hideMark/>
          </w:tcPr>
          <w:p w:rsidR="00366637" w:rsidRPr="00DC19F4" w:rsidRDefault="00366637" w:rsidP="00366637">
            <w:pPr>
              <w:pStyle w:val="TableHeading"/>
              <w:keepLines/>
              <w:outlineLvl w:val="2"/>
              <w:rPr>
                <w:color w:val="FFFFFF" w:themeColor="background1"/>
              </w:rPr>
            </w:pPr>
            <w:r w:rsidRPr="00DC19F4">
              <w:rPr>
                <w:color w:val="FFFFFF" w:themeColor="background1"/>
              </w:rPr>
              <w:t>S</w:t>
            </w:r>
          </w:p>
        </w:tc>
        <w:tc>
          <w:tcPr>
            <w:tcW w:w="609" w:type="pct"/>
            <w:tcBorders>
              <w:top w:val="nil"/>
            </w:tcBorders>
            <w:shd w:val="clear" w:color="auto" w:fill="C0504D" w:themeFill="accent2"/>
            <w:noWrap/>
            <w:vAlign w:val="bottom"/>
            <w:hideMark/>
          </w:tcPr>
          <w:p w:rsidR="00366637" w:rsidRPr="00DC19F4" w:rsidRDefault="00366637" w:rsidP="00366637">
            <w:pPr>
              <w:pStyle w:val="TableHeading"/>
              <w:keepLines/>
              <w:outlineLvl w:val="2"/>
              <w:rPr>
                <w:color w:val="FFFFFF" w:themeColor="background1"/>
              </w:rPr>
            </w:pPr>
            <w:r w:rsidRPr="00DC19F4">
              <w:rPr>
                <w:color w:val="FFFFFF" w:themeColor="background1"/>
              </w:rPr>
              <w:t>MEAs</w:t>
            </w:r>
          </w:p>
        </w:tc>
      </w:tr>
      <w:tr w:rsidR="00366637" w:rsidRPr="00FA1BCF" w:rsidTr="00366637">
        <w:trPr>
          <w:trHeight w:val="300"/>
        </w:trPr>
        <w:tc>
          <w:tcPr>
            <w:tcW w:w="2560" w:type="pct"/>
            <w:shd w:val="clear" w:color="auto" w:fill="auto"/>
            <w:noWrap/>
            <w:vAlign w:val="bottom"/>
            <w:hideMark/>
          </w:tcPr>
          <w:p w:rsidR="00366637" w:rsidRPr="00FA1BCF" w:rsidRDefault="00366637" w:rsidP="00366637">
            <w:pPr>
              <w:pStyle w:val="TableText"/>
            </w:pPr>
            <w:r w:rsidRPr="00FA1BCF">
              <w:t>Performance-based arrangements</w:t>
            </w: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7" w:type="pct"/>
            <w:shd w:val="clear" w:color="auto" w:fill="auto"/>
            <w:noWrap/>
            <w:vAlign w:val="bottom"/>
            <w:hideMark/>
          </w:tcPr>
          <w:p w:rsidR="00366637" w:rsidRPr="00FA1BCF" w:rsidRDefault="00366637" w:rsidP="00366637">
            <w:pPr>
              <w:pStyle w:val="TableText"/>
            </w:pPr>
          </w:p>
        </w:tc>
        <w:tc>
          <w:tcPr>
            <w:tcW w:w="609" w:type="pct"/>
            <w:shd w:val="clear" w:color="auto" w:fill="auto"/>
            <w:noWrap/>
            <w:vAlign w:val="bottom"/>
            <w:hideMark/>
          </w:tcPr>
          <w:p w:rsidR="00366637" w:rsidRPr="00FA1BCF" w:rsidRDefault="00366637" w:rsidP="00366637">
            <w:pPr>
              <w:pStyle w:val="TableText"/>
            </w:pPr>
            <w:r w:rsidRPr="00FA1BCF">
              <w:t>23</w:t>
            </w:r>
          </w:p>
        </w:tc>
      </w:tr>
      <w:tr w:rsidR="00366637" w:rsidRPr="00FA1BCF" w:rsidTr="00366637">
        <w:trPr>
          <w:trHeight w:val="300"/>
        </w:trPr>
        <w:tc>
          <w:tcPr>
            <w:tcW w:w="2560" w:type="pct"/>
            <w:shd w:val="clear" w:color="auto" w:fill="auto"/>
            <w:noWrap/>
            <w:vAlign w:val="bottom"/>
            <w:hideMark/>
          </w:tcPr>
          <w:p w:rsidR="00366637" w:rsidRPr="00FA1BCF" w:rsidRDefault="00366637" w:rsidP="00366637">
            <w:pPr>
              <w:pStyle w:val="TableText"/>
            </w:pPr>
            <w:r w:rsidRPr="00FA1BCF">
              <w:t>Performance-linked reimbursement schemes</w:t>
            </w:r>
          </w:p>
        </w:tc>
        <w:tc>
          <w:tcPr>
            <w:tcW w:w="366" w:type="pct"/>
            <w:shd w:val="clear" w:color="auto" w:fill="auto"/>
            <w:vAlign w:val="bottom"/>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7" w:type="pct"/>
            <w:shd w:val="clear" w:color="auto" w:fill="auto"/>
            <w:noWrap/>
            <w:vAlign w:val="bottom"/>
            <w:hideMark/>
          </w:tcPr>
          <w:p w:rsidR="00366637" w:rsidRPr="00FA1BCF" w:rsidRDefault="00366637" w:rsidP="00366637">
            <w:pPr>
              <w:pStyle w:val="TableText"/>
            </w:pPr>
          </w:p>
        </w:tc>
        <w:tc>
          <w:tcPr>
            <w:tcW w:w="609" w:type="pct"/>
            <w:shd w:val="clear" w:color="auto" w:fill="auto"/>
            <w:noWrap/>
            <w:vAlign w:val="bottom"/>
            <w:hideMark/>
          </w:tcPr>
          <w:p w:rsidR="00366637" w:rsidRPr="00FA1BCF" w:rsidRDefault="00366637" w:rsidP="00366637">
            <w:pPr>
              <w:pStyle w:val="TableText"/>
            </w:pPr>
          </w:p>
        </w:tc>
      </w:tr>
      <w:tr w:rsidR="00366637" w:rsidRPr="00FA1BCF" w:rsidTr="00366637">
        <w:trPr>
          <w:trHeight w:val="300"/>
        </w:trPr>
        <w:tc>
          <w:tcPr>
            <w:tcW w:w="2560" w:type="pct"/>
            <w:shd w:val="clear" w:color="auto" w:fill="auto"/>
            <w:noWrap/>
            <w:vAlign w:val="bottom"/>
            <w:hideMark/>
          </w:tcPr>
          <w:p w:rsidR="00366637" w:rsidRPr="00FA1BCF" w:rsidRDefault="00366637" w:rsidP="00366637">
            <w:pPr>
              <w:pStyle w:val="TableText"/>
            </w:pPr>
            <w:r w:rsidRPr="00FA1BCF">
              <w:t> </w:t>
            </w:r>
            <w:r w:rsidRPr="00FA1BCF">
              <w:t> </w:t>
            </w:r>
            <w:r w:rsidRPr="00FA1BCF">
              <w:rPr>
                <w:rFonts w:ascii="Times New Roman" w:hAnsi="Times New Roman"/>
              </w:rPr>
              <w:t> </w:t>
            </w:r>
            <w:r w:rsidRPr="00FA1BCF">
              <w:t>Money-back guarantees</w:t>
            </w: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r w:rsidRPr="00FA1BCF">
              <w:t>x</w:t>
            </w:r>
          </w:p>
        </w:tc>
        <w:tc>
          <w:tcPr>
            <w:tcW w:w="366" w:type="pct"/>
            <w:shd w:val="clear" w:color="auto" w:fill="auto"/>
            <w:noWrap/>
            <w:vAlign w:val="bottom"/>
            <w:hideMark/>
          </w:tcPr>
          <w:p w:rsidR="00366637" w:rsidRPr="00FA1BCF" w:rsidRDefault="00366637" w:rsidP="00366637">
            <w:pPr>
              <w:pStyle w:val="TableText"/>
            </w:pPr>
          </w:p>
        </w:tc>
        <w:tc>
          <w:tcPr>
            <w:tcW w:w="367" w:type="pct"/>
            <w:shd w:val="clear" w:color="auto" w:fill="auto"/>
            <w:noWrap/>
            <w:vAlign w:val="bottom"/>
            <w:hideMark/>
          </w:tcPr>
          <w:p w:rsidR="00366637" w:rsidRPr="00FA1BCF" w:rsidRDefault="00366637" w:rsidP="00366637">
            <w:pPr>
              <w:pStyle w:val="TableText"/>
            </w:pPr>
          </w:p>
        </w:tc>
        <w:tc>
          <w:tcPr>
            <w:tcW w:w="609" w:type="pct"/>
            <w:shd w:val="clear" w:color="auto" w:fill="auto"/>
            <w:noWrap/>
            <w:vAlign w:val="bottom"/>
            <w:hideMark/>
          </w:tcPr>
          <w:p w:rsidR="00366637" w:rsidRPr="00FA1BCF" w:rsidRDefault="00366637" w:rsidP="00366637">
            <w:pPr>
              <w:pStyle w:val="TableText"/>
            </w:pPr>
            <w:r w:rsidRPr="00FA1BCF">
              <w:t>8</w:t>
            </w:r>
          </w:p>
        </w:tc>
      </w:tr>
      <w:tr w:rsidR="00366637" w:rsidRPr="00FA1BCF" w:rsidTr="00366637">
        <w:trPr>
          <w:trHeight w:val="300"/>
        </w:trPr>
        <w:tc>
          <w:tcPr>
            <w:tcW w:w="2560" w:type="pct"/>
            <w:shd w:val="clear" w:color="auto" w:fill="auto"/>
            <w:noWrap/>
            <w:vAlign w:val="bottom"/>
            <w:hideMark/>
          </w:tcPr>
          <w:p w:rsidR="00366637" w:rsidRPr="00FA1BCF" w:rsidRDefault="00366637" w:rsidP="00366637">
            <w:pPr>
              <w:pStyle w:val="TableText"/>
            </w:pPr>
            <w:r w:rsidRPr="00FA1BCF">
              <w:t>Coverage with evidence development (CED)</w:t>
            </w:r>
          </w:p>
        </w:tc>
        <w:tc>
          <w:tcPr>
            <w:tcW w:w="366" w:type="pct"/>
            <w:shd w:val="clear" w:color="auto" w:fill="auto"/>
            <w:vAlign w:val="bottom"/>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7" w:type="pct"/>
            <w:shd w:val="clear" w:color="auto" w:fill="auto"/>
            <w:noWrap/>
            <w:vAlign w:val="bottom"/>
            <w:hideMark/>
          </w:tcPr>
          <w:p w:rsidR="00366637" w:rsidRPr="00FA1BCF" w:rsidRDefault="00366637" w:rsidP="00366637">
            <w:pPr>
              <w:pStyle w:val="TableText"/>
            </w:pPr>
          </w:p>
        </w:tc>
        <w:tc>
          <w:tcPr>
            <w:tcW w:w="609" w:type="pct"/>
            <w:shd w:val="clear" w:color="auto" w:fill="auto"/>
            <w:noWrap/>
            <w:vAlign w:val="bottom"/>
            <w:hideMark/>
          </w:tcPr>
          <w:p w:rsidR="00366637" w:rsidRPr="00FA1BCF" w:rsidRDefault="00366637" w:rsidP="00366637">
            <w:pPr>
              <w:pStyle w:val="TableText"/>
            </w:pPr>
          </w:p>
        </w:tc>
      </w:tr>
      <w:tr w:rsidR="00366637" w:rsidRPr="00FA1BCF" w:rsidTr="00366637">
        <w:trPr>
          <w:trHeight w:val="300"/>
        </w:trPr>
        <w:tc>
          <w:tcPr>
            <w:tcW w:w="2560" w:type="pct"/>
            <w:shd w:val="clear" w:color="auto" w:fill="auto"/>
            <w:noWrap/>
            <w:vAlign w:val="bottom"/>
            <w:hideMark/>
          </w:tcPr>
          <w:p w:rsidR="00366637" w:rsidRPr="00FA1BCF" w:rsidRDefault="00366637" w:rsidP="00366637">
            <w:pPr>
              <w:pStyle w:val="TableText"/>
            </w:pPr>
            <w:r w:rsidRPr="00FA1BCF">
              <w:t> </w:t>
            </w:r>
            <w:r w:rsidRPr="00FA1BCF">
              <w:t> </w:t>
            </w:r>
            <w:r w:rsidRPr="00FA1BCF">
              <w:rPr>
                <w:rFonts w:ascii="Times New Roman" w:hAnsi="Times New Roman"/>
              </w:rPr>
              <w:t> </w:t>
            </w:r>
            <w:r w:rsidRPr="00FA1BCF">
              <w:t>CED ‘only with research’</w:t>
            </w: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r w:rsidRPr="00FA1BCF">
              <w:t>x</w:t>
            </w:r>
          </w:p>
        </w:tc>
        <w:tc>
          <w:tcPr>
            <w:tcW w:w="367" w:type="pct"/>
            <w:shd w:val="clear" w:color="auto" w:fill="auto"/>
            <w:noWrap/>
            <w:vAlign w:val="bottom"/>
            <w:hideMark/>
          </w:tcPr>
          <w:p w:rsidR="00366637" w:rsidRPr="00FA1BCF" w:rsidRDefault="00366637" w:rsidP="00366637">
            <w:pPr>
              <w:pStyle w:val="TableText"/>
            </w:pPr>
            <w:r w:rsidRPr="00FA1BCF">
              <w:t>x</w:t>
            </w:r>
          </w:p>
        </w:tc>
        <w:tc>
          <w:tcPr>
            <w:tcW w:w="609" w:type="pct"/>
            <w:shd w:val="clear" w:color="auto" w:fill="auto"/>
            <w:noWrap/>
            <w:vAlign w:val="bottom"/>
            <w:hideMark/>
          </w:tcPr>
          <w:p w:rsidR="00366637" w:rsidRPr="00FA1BCF" w:rsidRDefault="00366637" w:rsidP="00366637">
            <w:pPr>
              <w:pStyle w:val="TableText"/>
            </w:pPr>
            <w:r w:rsidRPr="00FA1BCF">
              <w:t>15</w:t>
            </w:r>
          </w:p>
        </w:tc>
      </w:tr>
      <w:tr w:rsidR="00366637" w:rsidRPr="00FA1BCF" w:rsidTr="00366637">
        <w:trPr>
          <w:trHeight w:val="300"/>
        </w:trPr>
        <w:tc>
          <w:tcPr>
            <w:tcW w:w="2560" w:type="pct"/>
            <w:shd w:val="clear" w:color="auto" w:fill="auto"/>
            <w:noWrap/>
            <w:vAlign w:val="bottom"/>
            <w:hideMark/>
          </w:tcPr>
          <w:p w:rsidR="00366637" w:rsidRPr="00FA1BCF" w:rsidRDefault="00366637" w:rsidP="00366637">
            <w:pPr>
              <w:pStyle w:val="TableText"/>
            </w:pPr>
            <w:r w:rsidRPr="00FA1BCF">
              <w:t>Financial-based arrangements</w:t>
            </w: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7" w:type="pct"/>
            <w:shd w:val="clear" w:color="auto" w:fill="auto"/>
            <w:noWrap/>
            <w:vAlign w:val="bottom"/>
            <w:hideMark/>
          </w:tcPr>
          <w:p w:rsidR="00366637" w:rsidRPr="00FA1BCF" w:rsidRDefault="00366637" w:rsidP="00366637">
            <w:pPr>
              <w:pStyle w:val="TableText"/>
            </w:pPr>
          </w:p>
        </w:tc>
        <w:tc>
          <w:tcPr>
            <w:tcW w:w="609" w:type="pct"/>
            <w:shd w:val="clear" w:color="auto" w:fill="auto"/>
            <w:noWrap/>
            <w:vAlign w:val="bottom"/>
            <w:hideMark/>
          </w:tcPr>
          <w:p w:rsidR="00366637" w:rsidRPr="00FA1BCF" w:rsidRDefault="00366637" w:rsidP="00366637">
            <w:pPr>
              <w:pStyle w:val="TableText"/>
            </w:pPr>
            <w:r w:rsidRPr="00FA1BCF">
              <w:t>19</w:t>
            </w:r>
          </w:p>
        </w:tc>
      </w:tr>
      <w:tr w:rsidR="00366637" w:rsidRPr="00FA1BCF" w:rsidTr="00366637">
        <w:trPr>
          <w:trHeight w:val="300"/>
        </w:trPr>
        <w:tc>
          <w:tcPr>
            <w:tcW w:w="2560" w:type="pct"/>
            <w:shd w:val="clear" w:color="auto" w:fill="auto"/>
            <w:noWrap/>
            <w:vAlign w:val="bottom"/>
            <w:hideMark/>
          </w:tcPr>
          <w:p w:rsidR="00366637" w:rsidRPr="00FA1BCF" w:rsidRDefault="00366637" w:rsidP="00366637">
            <w:pPr>
              <w:pStyle w:val="TableText"/>
            </w:pPr>
            <w:r w:rsidRPr="00FA1BCF">
              <w:t>Patient-level financial schemes</w:t>
            </w: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7" w:type="pct"/>
            <w:shd w:val="clear" w:color="auto" w:fill="auto"/>
            <w:noWrap/>
            <w:vAlign w:val="bottom"/>
            <w:hideMark/>
          </w:tcPr>
          <w:p w:rsidR="00366637" w:rsidRPr="00FA1BCF" w:rsidRDefault="00366637" w:rsidP="00366637">
            <w:pPr>
              <w:pStyle w:val="TableText"/>
            </w:pPr>
          </w:p>
        </w:tc>
        <w:tc>
          <w:tcPr>
            <w:tcW w:w="609" w:type="pct"/>
            <w:shd w:val="clear" w:color="auto" w:fill="auto"/>
            <w:noWrap/>
            <w:vAlign w:val="bottom"/>
            <w:hideMark/>
          </w:tcPr>
          <w:p w:rsidR="00366637" w:rsidRPr="00FA1BCF" w:rsidRDefault="00366637" w:rsidP="00366637">
            <w:pPr>
              <w:pStyle w:val="TableText"/>
            </w:pPr>
            <w:r w:rsidRPr="00FA1BCF">
              <w:t>10</w:t>
            </w:r>
          </w:p>
        </w:tc>
      </w:tr>
      <w:tr w:rsidR="00366637" w:rsidRPr="00FA1BCF" w:rsidTr="00366637">
        <w:trPr>
          <w:trHeight w:val="300"/>
        </w:trPr>
        <w:tc>
          <w:tcPr>
            <w:tcW w:w="2560" w:type="pct"/>
            <w:shd w:val="clear" w:color="auto" w:fill="auto"/>
            <w:noWrap/>
            <w:vAlign w:val="bottom"/>
            <w:hideMark/>
          </w:tcPr>
          <w:p w:rsidR="00366637" w:rsidRPr="00FA1BCF" w:rsidRDefault="00366637" w:rsidP="00366637">
            <w:pPr>
              <w:pStyle w:val="TableText"/>
            </w:pPr>
            <w:r w:rsidRPr="00FA1BCF">
              <w:t> </w:t>
            </w:r>
            <w:r w:rsidRPr="00FA1BCF">
              <w:t> </w:t>
            </w:r>
            <w:r w:rsidRPr="00FA1BCF">
              <w:rPr>
                <w:rFonts w:ascii="Times New Roman" w:hAnsi="Times New Roman"/>
              </w:rPr>
              <w:t> </w:t>
            </w:r>
            <w:r w:rsidRPr="00FA1BCF">
              <w:t>Discounted treatment initiation</w:t>
            </w: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r w:rsidRPr="00FA1BCF">
              <w:t>x</w:t>
            </w:r>
          </w:p>
        </w:tc>
        <w:tc>
          <w:tcPr>
            <w:tcW w:w="366" w:type="pct"/>
            <w:shd w:val="clear" w:color="auto" w:fill="auto"/>
            <w:noWrap/>
            <w:vAlign w:val="bottom"/>
            <w:hideMark/>
          </w:tcPr>
          <w:p w:rsidR="00366637" w:rsidRPr="00FA1BCF" w:rsidRDefault="00366637" w:rsidP="00366637">
            <w:pPr>
              <w:pStyle w:val="TableText"/>
            </w:pPr>
          </w:p>
        </w:tc>
        <w:tc>
          <w:tcPr>
            <w:tcW w:w="367" w:type="pct"/>
            <w:shd w:val="clear" w:color="auto" w:fill="auto"/>
            <w:noWrap/>
            <w:vAlign w:val="bottom"/>
            <w:hideMark/>
          </w:tcPr>
          <w:p w:rsidR="00366637" w:rsidRPr="00FA1BCF" w:rsidRDefault="00366637" w:rsidP="00366637">
            <w:pPr>
              <w:pStyle w:val="TableText"/>
            </w:pPr>
          </w:p>
        </w:tc>
        <w:tc>
          <w:tcPr>
            <w:tcW w:w="609" w:type="pct"/>
            <w:shd w:val="clear" w:color="auto" w:fill="auto"/>
            <w:noWrap/>
            <w:vAlign w:val="bottom"/>
            <w:hideMark/>
          </w:tcPr>
          <w:p w:rsidR="00366637" w:rsidRPr="00FA1BCF" w:rsidRDefault="00366637" w:rsidP="00366637">
            <w:pPr>
              <w:pStyle w:val="TableText"/>
            </w:pPr>
            <w:r w:rsidRPr="00FA1BCF">
              <w:t>6</w:t>
            </w:r>
          </w:p>
        </w:tc>
      </w:tr>
      <w:tr w:rsidR="00366637" w:rsidRPr="00FA1BCF" w:rsidTr="00366637">
        <w:trPr>
          <w:trHeight w:val="300"/>
        </w:trPr>
        <w:tc>
          <w:tcPr>
            <w:tcW w:w="2560" w:type="pct"/>
            <w:shd w:val="clear" w:color="auto" w:fill="auto"/>
            <w:noWrap/>
            <w:vAlign w:val="bottom"/>
            <w:hideMark/>
          </w:tcPr>
          <w:p w:rsidR="00366637" w:rsidRPr="00FA1BCF" w:rsidRDefault="00366637" w:rsidP="00366637">
            <w:pPr>
              <w:pStyle w:val="TableText"/>
            </w:pPr>
            <w:r w:rsidRPr="00FA1BCF">
              <w:t> </w:t>
            </w:r>
            <w:r w:rsidRPr="00FA1BCF">
              <w:t> </w:t>
            </w:r>
            <w:r w:rsidRPr="00FA1BCF">
              <w:rPr>
                <w:rFonts w:ascii="Times New Roman" w:hAnsi="Times New Roman"/>
              </w:rPr>
              <w:t> </w:t>
            </w:r>
            <w:r w:rsidRPr="00FA1BCF">
              <w:t>Patient utilisation cap</w:t>
            </w: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r w:rsidRPr="00FA1BCF">
              <w:t>x</w:t>
            </w: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7" w:type="pct"/>
            <w:shd w:val="clear" w:color="auto" w:fill="auto"/>
            <w:noWrap/>
            <w:vAlign w:val="bottom"/>
            <w:hideMark/>
          </w:tcPr>
          <w:p w:rsidR="00366637" w:rsidRPr="00FA1BCF" w:rsidRDefault="00366637" w:rsidP="00366637">
            <w:pPr>
              <w:pStyle w:val="TableText"/>
            </w:pPr>
          </w:p>
        </w:tc>
        <w:tc>
          <w:tcPr>
            <w:tcW w:w="609" w:type="pct"/>
            <w:shd w:val="clear" w:color="auto" w:fill="auto"/>
            <w:noWrap/>
            <w:vAlign w:val="bottom"/>
            <w:hideMark/>
          </w:tcPr>
          <w:p w:rsidR="00366637" w:rsidRPr="00FA1BCF" w:rsidRDefault="00366637" w:rsidP="00366637">
            <w:pPr>
              <w:pStyle w:val="TableText"/>
            </w:pPr>
            <w:r w:rsidRPr="00FA1BCF">
              <w:t>2</w:t>
            </w:r>
          </w:p>
        </w:tc>
      </w:tr>
      <w:tr w:rsidR="00366637" w:rsidRPr="00FA1BCF" w:rsidTr="00366637">
        <w:trPr>
          <w:trHeight w:val="300"/>
        </w:trPr>
        <w:tc>
          <w:tcPr>
            <w:tcW w:w="2560" w:type="pct"/>
            <w:shd w:val="clear" w:color="auto" w:fill="auto"/>
            <w:noWrap/>
            <w:vAlign w:val="bottom"/>
            <w:hideMark/>
          </w:tcPr>
          <w:p w:rsidR="00366637" w:rsidRPr="00FA1BCF" w:rsidRDefault="00366637" w:rsidP="00366637">
            <w:pPr>
              <w:pStyle w:val="TableText"/>
            </w:pPr>
            <w:r w:rsidRPr="00FA1BCF">
              <w:t> </w:t>
            </w:r>
            <w:r w:rsidRPr="00FA1BCF">
              <w:t> </w:t>
            </w:r>
            <w:r w:rsidRPr="00FA1BCF">
              <w:rPr>
                <w:rFonts w:ascii="Times New Roman" w:hAnsi="Times New Roman"/>
              </w:rPr>
              <w:t> </w:t>
            </w:r>
            <w:r w:rsidRPr="00FA1BCF">
              <w:t>Patient cost cap</w:t>
            </w:r>
          </w:p>
        </w:tc>
        <w:tc>
          <w:tcPr>
            <w:tcW w:w="366" w:type="pct"/>
            <w:shd w:val="clear" w:color="auto" w:fill="auto"/>
            <w:noWrap/>
            <w:vAlign w:val="bottom"/>
            <w:hideMark/>
          </w:tcPr>
          <w:p w:rsidR="00366637" w:rsidRPr="00FA1BCF" w:rsidRDefault="00366637" w:rsidP="00366637">
            <w:pPr>
              <w:pStyle w:val="TableText"/>
            </w:pPr>
            <w:r w:rsidRPr="00FA1BCF">
              <w:t>x</w:t>
            </w:r>
          </w:p>
        </w:tc>
        <w:tc>
          <w:tcPr>
            <w:tcW w:w="366" w:type="pct"/>
            <w:shd w:val="clear" w:color="auto" w:fill="auto"/>
            <w:noWrap/>
            <w:vAlign w:val="bottom"/>
            <w:hideMark/>
          </w:tcPr>
          <w:p w:rsidR="00366637" w:rsidRPr="00FA1BCF" w:rsidRDefault="00366637" w:rsidP="00366637">
            <w:pPr>
              <w:pStyle w:val="TableText"/>
            </w:pPr>
            <w:r w:rsidRPr="00FA1BCF">
              <w:t>x</w:t>
            </w: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7" w:type="pct"/>
            <w:shd w:val="clear" w:color="auto" w:fill="auto"/>
            <w:noWrap/>
            <w:vAlign w:val="bottom"/>
            <w:hideMark/>
          </w:tcPr>
          <w:p w:rsidR="00366637" w:rsidRPr="00FA1BCF" w:rsidRDefault="00366637" w:rsidP="00366637">
            <w:pPr>
              <w:pStyle w:val="TableText"/>
            </w:pPr>
          </w:p>
        </w:tc>
        <w:tc>
          <w:tcPr>
            <w:tcW w:w="609" w:type="pct"/>
            <w:shd w:val="clear" w:color="auto" w:fill="auto"/>
            <w:noWrap/>
            <w:vAlign w:val="bottom"/>
            <w:hideMark/>
          </w:tcPr>
          <w:p w:rsidR="00366637" w:rsidRPr="00FA1BCF" w:rsidRDefault="00366637" w:rsidP="00366637">
            <w:pPr>
              <w:pStyle w:val="TableText"/>
            </w:pPr>
            <w:r w:rsidRPr="00FA1BCF">
              <w:t>2</w:t>
            </w:r>
          </w:p>
        </w:tc>
      </w:tr>
      <w:tr w:rsidR="00366637" w:rsidRPr="00FA1BCF" w:rsidTr="00366637">
        <w:trPr>
          <w:trHeight w:val="300"/>
        </w:trPr>
        <w:tc>
          <w:tcPr>
            <w:tcW w:w="2560" w:type="pct"/>
            <w:shd w:val="clear" w:color="auto" w:fill="auto"/>
            <w:noWrap/>
            <w:vAlign w:val="bottom"/>
            <w:hideMark/>
          </w:tcPr>
          <w:p w:rsidR="00366637" w:rsidRPr="00FA1BCF" w:rsidRDefault="00366637" w:rsidP="00366637">
            <w:pPr>
              <w:pStyle w:val="TableText"/>
            </w:pPr>
            <w:r w:rsidRPr="00FA1BCF">
              <w:t>Population-level financial schemes</w:t>
            </w: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7" w:type="pct"/>
            <w:shd w:val="clear" w:color="auto" w:fill="auto"/>
            <w:noWrap/>
            <w:vAlign w:val="bottom"/>
            <w:hideMark/>
          </w:tcPr>
          <w:p w:rsidR="00366637" w:rsidRPr="00FA1BCF" w:rsidRDefault="00366637" w:rsidP="00366637">
            <w:pPr>
              <w:pStyle w:val="TableText"/>
            </w:pPr>
          </w:p>
        </w:tc>
        <w:tc>
          <w:tcPr>
            <w:tcW w:w="609" w:type="pct"/>
            <w:shd w:val="clear" w:color="auto" w:fill="auto"/>
            <w:noWrap/>
            <w:vAlign w:val="bottom"/>
            <w:hideMark/>
          </w:tcPr>
          <w:p w:rsidR="00366637" w:rsidRPr="00FA1BCF" w:rsidRDefault="00366637" w:rsidP="00366637">
            <w:pPr>
              <w:pStyle w:val="TableText"/>
            </w:pPr>
            <w:r w:rsidRPr="00FA1BCF">
              <w:t>9</w:t>
            </w:r>
          </w:p>
        </w:tc>
      </w:tr>
      <w:tr w:rsidR="00366637" w:rsidRPr="00FA1BCF" w:rsidTr="00366637">
        <w:trPr>
          <w:trHeight w:val="300"/>
        </w:trPr>
        <w:tc>
          <w:tcPr>
            <w:tcW w:w="2560" w:type="pct"/>
            <w:shd w:val="clear" w:color="auto" w:fill="auto"/>
            <w:noWrap/>
            <w:vAlign w:val="bottom"/>
            <w:hideMark/>
          </w:tcPr>
          <w:p w:rsidR="00366637" w:rsidRPr="00FA1BCF" w:rsidRDefault="00366637" w:rsidP="00366637">
            <w:pPr>
              <w:pStyle w:val="TableText"/>
            </w:pPr>
            <w:r w:rsidRPr="00FA1BCF">
              <w:t> </w:t>
            </w:r>
            <w:r w:rsidRPr="00FA1BCF">
              <w:t> </w:t>
            </w:r>
            <w:r w:rsidRPr="00FA1BCF">
              <w:rPr>
                <w:rFonts w:ascii="Times New Roman" w:hAnsi="Times New Roman"/>
              </w:rPr>
              <w:t> </w:t>
            </w:r>
            <w:r w:rsidRPr="00FA1BCF">
              <w:t>Discount</w:t>
            </w:r>
          </w:p>
        </w:tc>
        <w:tc>
          <w:tcPr>
            <w:tcW w:w="366" w:type="pct"/>
            <w:shd w:val="clear" w:color="auto" w:fill="auto"/>
            <w:noWrap/>
            <w:vAlign w:val="bottom"/>
            <w:hideMark/>
          </w:tcPr>
          <w:p w:rsidR="00366637" w:rsidRPr="00FA1BCF" w:rsidRDefault="00366637" w:rsidP="00366637">
            <w:pPr>
              <w:pStyle w:val="TableText"/>
            </w:pPr>
            <w:r w:rsidRPr="00FA1BCF">
              <w:t>x</w:t>
            </w:r>
          </w:p>
        </w:tc>
        <w:tc>
          <w:tcPr>
            <w:tcW w:w="366" w:type="pct"/>
            <w:shd w:val="clear" w:color="auto" w:fill="auto"/>
            <w:noWrap/>
            <w:vAlign w:val="bottom"/>
            <w:hideMark/>
          </w:tcPr>
          <w:p w:rsidR="00366637" w:rsidRPr="00FA1BCF" w:rsidRDefault="00366637" w:rsidP="00366637">
            <w:pPr>
              <w:pStyle w:val="TableText"/>
            </w:pPr>
            <w:r w:rsidRPr="00FA1BCF">
              <w:t>x</w:t>
            </w:r>
          </w:p>
        </w:tc>
        <w:tc>
          <w:tcPr>
            <w:tcW w:w="366" w:type="pct"/>
            <w:shd w:val="clear" w:color="auto" w:fill="auto"/>
            <w:noWrap/>
            <w:vAlign w:val="bottom"/>
            <w:hideMark/>
          </w:tcPr>
          <w:p w:rsidR="00366637" w:rsidRPr="00FA1BCF" w:rsidRDefault="00366637" w:rsidP="00366637">
            <w:pPr>
              <w:pStyle w:val="TableText"/>
            </w:pPr>
            <w:r w:rsidRPr="00FA1BCF">
              <w:t>x</w:t>
            </w:r>
          </w:p>
        </w:tc>
        <w:tc>
          <w:tcPr>
            <w:tcW w:w="366" w:type="pct"/>
            <w:shd w:val="clear" w:color="auto" w:fill="auto"/>
            <w:noWrap/>
            <w:vAlign w:val="bottom"/>
            <w:hideMark/>
          </w:tcPr>
          <w:p w:rsidR="00366637" w:rsidRPr="00FA1BCF" w:rsidRDefault="00366637" w:rsidP="00366637">
            <w:pPr>
              <w:pStyle w:val="TableText"/>
            </w:pPr>
          </w:p>
        </w:tc>
        <w:tc>
          <w:tcPr>
            <w:tcW w:w="367" w:type="pct"/>
            <w:shd w:val="clear" w:color="auto" w:fill="auto"/>
            <w:noWrap/>
            <w:vAlign w:val="bottom"/>
            <w:hideMark/>
          </w:tcPr>
          <w:p w:rsidR="00366637" w:rsidRPr="00FA1BCF" w:rsidRDefault="00366637" w:rsidP="00366637">
            <w:pPr>
              <w:pStyle w:val="TableText"/>
            </w:pPr>
          </w:p>
        </w:tc>
        <w:tc>
          <w:tcPr>
            <w:tcW w:w="609" w:type="pct"/>
            <w:shd w:val="clear" w:color="auto" w:fill="auto"/>
            <w:noWrap/>
            <w:vAlign w:val="bottom"/>
            <w:hideMark/>
          </w:tcPr>
          <w:p w:rsidR="00366637" w:rsidRPr="00FA1BCF" w:rsidRDefault="00366637" w:rsidP="00366637">
            <w:pPr>
              <w:pStyle w:val="TableText"/>
            </w:pPr>
            <w:r w:rsidRPr="00FA1BCF">
              <w:t>7</w:t>
            </w:r>
          </w:p>
        </w:tc>
      </w:tr>
      <w:tr w:rsidR="00366637" w:rsidRPr="00FA1BCF" w:rsidTr="00366637">
        <w:trPr>
          <w:trHeight w:val="300"/>
        </w:trPr>
        <w:tc>
          <w:tcPr>
            <w:tcW w:w="2560" w:type="pct"/>
            <w:shd w:val="clear" w:color="auto" w:fill="auto"/>
            <w:noWrap/>
            <w:vAlign w:val="bottom"/>
            <w:hideMark/>
          </w:tcPr>
          <w:p w:rsidR="00366637" w:rsidRPr="00FA1BCF" w:rsidRDefault="00366637" w:rsidP="00366637">
            <w:pPr>
              <w:pStyle w:val="TableText"/>
            </w:pPr>
            <w:r w:rsidRPr="00FA1BCF">
              <w:t> </w:t>
            </w:r>
            <w:r w:rsidRPr="00FA1BCF">
              <w:t> </w:t>
            </w:r>
            <w:r w:rsidRPr="00FA1BCF">
              <w:rPr>
                <w:rFonts w:ascii="Times New Roman" w:hAnsi="Times New Roman"/>
              </w:rPr>
              <w:t> </w:t>
            </w:r>
            <w:r w:rsidRPr="00FA1BCF">
              <w:t>Price-volume agreement with budget cap</w:t>
            </w:r>
          </w:p>
        </w:tc>
        <w:tc>
          <w:tcPr>
            <w:tcW w:w="366" w:type="pct"/>
            <w:shd w:val="clear" w:color="auto" w:fill="auto"/>
            <w:noWrap/>
            <w:vAlign w:val="bottom"/>
            <w:hideMark/>
          </w:tcPr>
          <w:p w:rsidR="00366637" w:rsidRPr="00FA1BCF" w:rsidRDefault="00366637" w:rsidP="00366637">
            <w:pPr>
              <w:pStyle w:val="TableText"/>
            </w:pPr>
            <w:r w:rsidRPr="00FA1BCF">
              <w:t>x</w:t>
            </w: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6" w:type="pct"/>
            <w:shd w:val="clear" w:color="auto" w:fill="auto"/>
            <w:noWrap/>
            <w:vAlign w:val="bottom"/>
            <w:hideMark/>
          </w:tcPr>
          <w:p w:rsidR="00366637" w:rsidRPr="00FA1BCF" w:rsidRDefault="00366637" w:rsidP="00366637">
            <w:pPr>
              <w:pStyle w:val="TableText"/>
            </w:pPr>
          </w:p>
        </w:tc>
        <w:tc>
          <w:tcPr>
            <w:tcW w:w="367" w:type="pct"/>
            <w:shd w:val="clear" w:color="auto" w:fill="auto"/>
            <w:noWrap/>
            <w:vAlign w:val="bottom"/>
            <w:hideMark/>
          </w:tcPr>
          <w:p w:rsidR="00366637" w:rsidRPr="00FA1BCF" w:rsidRDefault="00366637" w:rsidP="00366637">
            <w:pPr>
              <w:pStyle w:val="TableText"/>
            </w:pPr>
          </w:p>
        </w:tc>
        <w:tc>
          <w:tcPr>
            <w:tcW w:w="609" w:type="pct"/>
            <w:shd w:val="clear" w:color="auto" w:fill="auto"/>
            <w:noWrap/>
            <w:vAlign w:val="bottom"/>
            <w:hideMark/>
          </w:tcPr>
          <w:p w:rsidR="00366637" w:rsidRPr="00FA1BCF" w:rsidRDefault="00366637" w:rsidP="00366637">
            <w:pPr>
              <w:pStyle w:val="TableText"/>
            </w:pPr>
            <w:r w:rsidRPr="00FA1BCF">
              <w:t>2</w:t>
            </w:r>
          </w:p>
        </w:tc>
      </w:tr>
      <w:tr w:rsidR="00366637" w:rsidRPr="00FA1BCF" w:rsidTr="00DC19F4">
        <w:trPr>
          <w:trHeight w:val="300"/>
        </w:trPr>
        <w:tc>
          <w:tcPr>
            <w:tcW w:w="2560" w:type="pct"/>
            <w:shd w:val="clear" w:color="auto" w:fill="EAF1DD" w:themeFill="accent3" w:themeFillTint="33"/>
            <w:noWrap/>
            <w:vAlign w:val="bottom"/>
            <w:hideMark/>
          </w:tcPr>
          <w:p w:rsidR="00366637" w:rsidRPr="00FA1BCF" w:rsidRDefault="00366637" w:rsidP="00366637">
            <w:pPr>
              <w:pStyle w:val="TableText"/>
            </w:pPr>
            <w:r w:rsidRPr="00FA1BCF">
              <w:t>Grand total</w:t>
            </w:r>
          </w:p>
        </w:tc>
        <w:tc>
          <w:tcPr>
            <w:tcW w:w="366" w:type="pct"/>
            <w:shd w:val="clear" w:color="auto" w:fill="EAF1DD" w:themeFill="accent3" w:themeFillTint="33"/>
            <w:noWrap/>
            <w:vAlign w:val="bottom"/>
            <w:hideMark/>
          </w:tcPr>
          <w:p w:rsidR="00366637" w:rsidRPr="00FA1BCF" w:rsidRDefault="00366637" w:rsidP="00366637">
            <w:pPr>
              <w:pStyle w:val="TableText"/>
            </w:pPr>
            <w:r w:rsidRPr="00FA1BCF">
              <w:t>4</w:t>
            </w:r>
          </w:p>
        </w:tc>
        <w:tc>
          <w:tcPr>
            <w:tcW w:w="366" w:type="pct"/>
            <w:shd w:val="clear" w:color="auto" w:fill="EAF1DD" w:themeFill="accent3" w:themeFillTint="33"/>
            <w:noWrap/>
            <w:vAlign w:val="bottom"/>
            <w:hideMark/>
          </w:tcPr>
          <w:p w:rsidR="00366637" w:rsidRPr="00FA1BCF" w:rsidRDefault="00366637" w:rsidP="00366637">
            <w:pPr>
              <w:pStyle w:val="TableText"/>
            </w:pPr>
            <w:r w:rsidRPr="00FA1BCF">
              <w:t>8</w:t>
            </w:r>
          </w:p>
        </w:tc>
        <w:tc>
          <w:tcPr>
            <w:tcW w:w="366" w:type="pct"/>
            <w:shd w:val="clear" w:color="auto" w:fill="EAF1DD" w:themeFill="accent3" w:themeFillTint="33"/>
            <w:noWrap/>
            <w:vAlign w:val="bottom"/>
            <w:hideMark/>
          </w:tcPr>
          <w:p w:rsidR="00366637" w:rsidRPr="00FA1BCF" w:rsidRDefault="00366637" w:rsidP="00366637">
            <w:pPr>
              <w:pStyle w:val="TableText"/>
            </w:pPr>
            <w:r w:rsidRPr="00FA1BCF">
              <w:t>15</w:t>
            </w:r>
          </w:p>
        </w:tc>
        <w:tc>
          <w:tcPr>
            <w:tcW w:w="366" w:type="pct"/>
            <w:shd w:val="clear" w:color="auto" w:fill="EAF1DD" w:themeFill="accent3" w:themeFillTint="33"/>
            <w:noWrap/>
            <w:vAlign w:val="bottom"/>
            <w:hideMark/>
          </w:tcPr>
          <w:p w:rsidR="00366637" w:rsidRPr="00FA1BCF" w:rsidRDefault="00366637" w:rsidP="00366637">
            <w:pPr>
              <w:pStyle w:val="TableText"/>
            </w:pPr>
            <w:r w:rsidRPr="00FA1BCF">
              <w:t>10</w:t>
            </w:r>
          </w:p>
        </w:tc>
        <w:tc>
          <w:tcPr>
            <w:tcW w:w="367" w:type="pct"/>
            <w:shd w:val="clear" w:color="auto" w:fill="EAF1DD" w:themeFill="accent3" w:themeFillTint="33"/>
            <w:noWrap/>
            <w:vAlign w:val="bottom"/>
            <w:hideMark/>
          </w:tcPr>
          <w:p w:rsidR="00366637" w:rsidRPr="00FA1BCF" w:rsidRDefault="00366637" w:rsidP="00366637">
            <w:pPr>
              <w:pStyle w:val="TableText"/>
            </w:pPr>
            <w:r w:rsidRPr="00FA1BCF">
              <w:t>5</w:t>
            </w:r>
          </w:p>
        </w:tc>
        <w:tc>
          <w:tcPr>
            <w:tcW w:w="609" w:type="pct"/>
            <w:shd w:val="clear" w:color="auto" w:fill="EAF1DD" w:themeFill="accent3" w:themeFillTint="33"/>
            <w:noWrap/>
            <w:vAlign w:val="bottom"/>
            <w:hideMark/>
          </w:tcPr>
          <w:p w:rsidR="00366637" w:rsidRPr="00FA1BCF" w:rsidRDefault="00366637" w:rsidP="00366637">
            <w:pPr>
              <w:pStyle w:val="TableText"/>
            </w:pPr>
            <w:r w:rsidRPr="00FA1BCF">
              <w:t>42</w:t>
            </w:r>
          </w:p>
        </w:tc>
      </w:tr>
    </w:tbl>
    <w:p w:rsidR="00366637" w:rsidRPr="00FA1BCF" w:rsidRDefault="00366637" w:rsidP="00E436E7">
      <w:pPr>
        <w:pStyle w:val="TableNote"/>
        <w:ind w:left="0" w:firstLine="0"/>
      </w:pPr>
      <w:r w:rsidRPr="00FA1BCF">
        <w:t>B = Belgium; E = England &amp; Wales; I = Italy; NL= Netherlands; S = Sweden; CED = coverage with evidence development; MEA = managed entry arrangement</w:t>
      </w:r>
      <w:r w:rsidR="00897318" w:rsidRPr="00FA1BCF">
        <w:t>.</w:t>
      </w:r>
    </w:p>
    <w:p w:rsidR="00366637" w:rsidRPr="00FA1BCF" w:rsidRDefault="00366637" w:rsidP="00E436E7">
      <w:pPr>
        <w:pStyle w:val="TableNote"/>
        <w:ind w:left="0" w:firstLine="0"/>
      </w:pPr>
      <w:r w:rsidRPr="00FA1BCF">
        <w:rPr>
          <w:lang w:val="fr-FR"/>
        </w:rPr>
        <w:t xml:space="preserve">Source: Morel </w:t>
      </w:r>
      <w:r w:rsidRPr="00E436E7">
        <w:rPr>
          <w:lang w:val="fr-FR"/>
        </w:rPr>
        <w:t xml:space="preserve">et al </w:t>
      </w:r>
      <w:r w:rsidRPr="00FA1BCF">
        <w:rPr>
          <w:lang w:val="fr-FR"/>
        </w:rPr>
        <w:t xml:space="preserve">2013, </w:t>
      </w:r>
      <w:proofErr w:type="spellStart"/>
      <w:r w:rsidRPr="00FA1BCF">
        <w:rPr>
          <w:lang w:val="fr-FR"/>
        </w:rPr>
        <w:t>cited</w:t>
      </w:r>
      <w:proofErr w:type="spellEnd"/>
      <w:r w:rsidRPr="00FA1BCF">
        <w:rPr>
          <w:lang w:val="fr-FR"/>
        </w:rPr>
        <w:t xml:space="preserve"> on</w:t>
      </w:r>
      <w:r w:rsidR="00B56F35" w:rsidRPr="00FA1BCF">
        <w:rPr>
          <w:lang w:val="fr-FR"/>
        </w:rPr>
        <w:t xml:space="preserve"> </w:t>
      </w:r>
      <w:r w:rsidRPr="00FA1BCF">
        <w:rPr>
          <w:lang w:val="fr-FR"/>
        </w:rPr>
        <w:t>p</w:t>
      </w:r>
      <w:r w:rsidR="00441F09" w:rsidRPr="00FA1BCF">
        <w:rPr>
          <w:lang w:val="fr-FR"/>
        </w:rPr>
        <w:t>.</w:t>
      </w:r>
      <w:r w:rsidRPr="00FA1BCF">
        <w:rPr>
          <w:lang w:val="fr-FR"/>
        </w:rPr>
        <w:t xml:space="preserve"> 237 of the </w:t>
      </w:r>
      <w:proofErr w:type="spellStart"/>
      <w:r w:rsidR="0022336E" w:rsidRPr="00FA1BCF">
        <w:rPr>
          <w:lang w:val="fr-FR"/>
        </w:rPr>
        <w:t>e</w:t>
      </w:r>
      <w:r w:rsidRPr="00FA1BCF">
        <w:rPr>
          <w:lang w:val="fr-FR"/>
        </w:rPr>
        <w:t>valuator’s</w:t>
      </w:r>
      <w:proofErr w:type="spellEnd"/>
      <w:r w:rsidRPr="00FA1BCF">
        <w:rPr>
          <w:lang w:val="fr-FR"/>
        </w:rPr>
        <w:t xml:space="preserve"> report, April 2015.</w:t>
      </w:r>
    </w:p>
    <w:p w:rsidR="00CC79FE" w:rsidRPr="00FA1BCF" w:rsidRDefault="00366637" w:rsidP="00E436E7">
      <w:pPr>
        <w:pStyle w:val="Heading3"/>
        <w:rPr>
          <w:lang w:eastAsia="en-AU"/>
        </w:rPr>
      </w:pPr>
      <w:bookmarkStart w:id="47" w:name="_Toc302625603"/>
      <w:r w:rsidRPr="00FA1BCF">
        <w:rPr>
          <w:lang w:eastAsia="en-AU"/>
        </w:rPr>
        <w:t xml:space="preserve">6.5.1 </w:t>
      </w:r>
      <w:r w:rsidR="00CC79FE" w:rsidRPr="00FA1BCF">
        <w:rPr>
          <w:lang w:eastAsia="en-AU"/>
        </w:rPr>
        <w:t>UK National Institute for Health and Care Excellence interim process and methods for assessing highly specialised technology</w:t>
      </w:r>
      <w:bookmarkEnd w:id="47"/>
    </w:p>
    <w:p w:rsidR="00CC79FE" w:rsidRPr="00FA1BCF" w:rsidRDefault="000B6C6B" w:rsidP="00CC79FE">
      <w:pPr>
        <w:jc w:val="both"/>
        <w:rPr>
          <w:szCs w:val="24"/>
        </w:rPr>
      </w:pPr>
      <w:r w:rsidRPr="00FA1BCF">
        <w:rPr>
          <w:szCs w:val="24"/>
        </w:rPr>
        <w:t xml:space="preserve">The </w:t>
      </w:r>
      <w:r w:rsidR="00F11CA5" w:rsidRPr="00FA1BCF">
        <w:rPr>
          <w:szCs w:val="24"/>
        </w:rPr>
        <w:t>reference group</w:t>
      </w:r>
      <w:r w:rsidRPr="00FA1BCF">
        <w:rPr>
          <w:szCs w:val="24"/>
        </w:rPr>
        <w:t xml:space="preserve"> considered the </w:t>
      </w:r>
      <w:r w:rsidR="009101C0" w:rsidRPr="00FA1BCF">
        <w:rPr>
          <w:szCs w:val="24"/>
        </w:rPr>
        <w:t>e</w:t>
      </w:r>
      <w:r w:rsidRPr="00FA1BCF">
        <w:rPr>
          <w:szCs w:val="24"/>
        </w:rPr>
        <w:t xml:space="preserve">valuator’s review of international approaches to the assessment and funding of medicines for rare disease. It noted that the </w:t>
      </w:r>
      <w:r w:rsidR="009101C0" w:rsidRPr="00FA1BCF">
        <w:rPr>
          <w:szCs w:val="24"/>
        </w:rPr>
        <w:t xml:space="preserve">UK </w:t>
      </w:r>
      <w:r w:rsidR="009101C0" w:rsidRPr="00FA1BCF">
        <w:rPr>
          <w:rFonts w:eastAsia="Times New Roman" w:cs="Times New Roman"/>
          <w:szCs w:val="24"/>
          <w:lang w:eastAsia="en-AU"/>
        </w:rPr>
        <w:t>National Institute for Health and Care Excellence (</w:t>
      </w:r>
      <w:r w:rsidRPr="00FA1BCF">
        <w:rPr>
          <w:szCs w:val="24"/>
        </w:rPr>
        <w:t>NICE</w:t>
      </w:r>
      <w:r w:rsidR="009101C0" w:rsidRPr="00FA1BCF">
        <w:rPr>
          <w:szCs w:val="24"/>
        </w:rPr>
        <w:t>)</w:t>
      </w:r>
      <w:r w:rsidRPr="00FA1BCF">
        <w:rPr>
          <w:szCs w:val="24"/>
        </w:rPr>
        <w:t xml:space="preserve"> approach had similarities and differences to the Australian approach that deserved special consideration</w:t>
      </w:r>
      <w:r w:rsidR="009101C0" w:rsidRPr="00FA1BCF">
        <w:rPr>
          <w:szCs w:val="24"/>
        </w:rPr>
        <w:t>,</w:t>
      </w:r>
      <w:r w:rsidRPr="00FA1BCF">
        <w:rPr>
          <w:szCs w:val="24"/>
        </w:rPr>
        <w:t xml:space="preserve"> particularly as it seemed to have relevance to many of the issues raised in submissions. </w:t>
      </w:r>
      <w:r w:rsidR="00CC79FE" w:rsidRPr="00FA1BCF">
        <w:rPr>
          <w:szCs w:val="24"/>
        </w:rPr>
        <w:t xml:space="preserve">Introduced in 2013, the NICE Highly Specialised Technologies Programme incorporates a ‘simple’ MCDA to assess public funding of ultra-rare diseases. The </w:t>
      </w:r>
      <w:r w:rsidR="009101C0" w:rsidRPr="00FA1BCF">
        <w:rPr>
          <w:szCs w:val="24"/>
        </w:rPr>
        <w:t>e</w:t>
      </w:r>
      <w:r w:rsidR="00CC79FE" w:rsidRPr="00FA1BCF">
        <w:rPr>
          <w:szCs w:val="24"/>
        </w:rPr>
        <w:t xml:space="preserve">valuation </w:t>
      </w:r>
      <w:r w:rsidR="009101C0" w:rsidRPr="00FA1BCF">
        <w:rPr>
          <w:szCs w:val="24"/>
        </w:rPr>
        <w:t>c</w:t>
      </w:r>
      <w:r w:rsidR="00CC79FE" w:rsidRPr="00FA1BCF">
        <w:rPr>
          <w:szCs w:val="24"/>
        </w:rPr>
        <w:t xml:space="preserve">ommittee, comprising patient and carer organisations, academics, </w:t>
      </w:r>
      <w:r w:rsidR="009A438D" w:rsidRPr="00FA1BCF">
        <w:rPr>
          <w:szCs w:val="24"/>
        </w:rPr>
        <w:t xml:space="preserve">medicine </w:t>
      </w:r>
      <w:r w:rsidR="00CC79FE" w:rsidRPr="00FA1BCF">
        <w:rPr>
          <w:szCs w:val="24"/>
        </w:rPr>
        <w:t xml:space="preserve">sponsors and members from the </w:t>
      </w:r>
      <w:r w:rsidR="009101C0" w:rsidRPr="00FA1BCF">
        <w:rPr>
          <w:szCs w:val="24"/>
        </w:rPr>
        <w:t>National Health Service (</w:t>
      </w:r>
      <w:r w:rsidR="00CC79FE" w:rsidRPr="00FA1BCF">
        <w:rPr>
          <w:szCs w:val="24"/>
        </w:rPr>
        <w:t>NHS</w:t>
      </w:r>
      <w:r w:rsidR="009101C0" w:rsidRPr="00FA1BCF">
        <w:rPr>
          <w:szCs w:val="24"/>
        </w:rPr>
        <w:t>)</w:t>
      </w:r>
      <w:r w:rsidR="00CC79FE" w:rsidRPr="00FA1BCF">
        <w:rPr>
          <w:szCs w:val="24"/>
        </w:rPr>
        <w:t xml:space="preserve">, advises the NHS Commissioning Board about the benefits and costs of the specialised technology (the drug) after considering each of the criteria listed below. The </w:t>
      </w:r>
      <w:r w:rsidR="009101C0" w:rsidRPr="00FA1BCF">
        <w:rPr>
          <w:szCs w:val="24"/>
        </w:rPr>
        <w:t>e</w:t>
      </w:r>
      <w:r w:rsidR="00CC79FE" w:rsidRPr="00FA1BCF">
        <w:rPr>
          <w:szCs w:val="24"/>
        </w:rPr>
        <w:t xml:space="preserve">valuation </w:t>
      </w:r>
      <w:r w:rsidR="009101C0" w:rsidRPr="00FA1BCF">
        <w:rPr>
          <w:szCs w:val="24"/>
        </w:rPr>
        <w:t>c</w:t>
      </w:r>
      <w:r w:rsidR="00CC79FE" w:rsidRPr="00FA1BCF">
        <w:rPr>
          <w:szCs w:val="24"/>
        </w:rPr>
        <w:t>ommittee may recommend against the use of the technology if the benefits are found to be unproven or</w:t>
      </w:r>
      <w:r w:rsidR="009101C0" w:rsidRPr="00FA1BCF">
        <w:rPr>
          <w:szCs w:val="24"/>
        </w:rPr>
        <w:t xml:space="preserve"> the</w:t>
      </w:r>
      <w:r w:rsidR="00CC79FE" w:rsidRPr="00FA1BCF">
        <w:rPr>
          <w:szCs w:val="24"/>
        </w:rPr>
        <w:t xml:space="preserve"> costs of the technology are unreasonable. </w:t>
      </w:r>
    </w:p>
    <w:p w:rsidR="00CC79FE" w:rsidRPr="00FA1BCF" w:rsidRDefault="00CC79FE" w:rsidP="00CC79FE">
      <w:pPr>
        <w:jc w:val="both"/>
        <w:rPr>
          <w:szCs w:val="24"/>
        </w:rPr>
      </w:pPr>
      <w:r w:rsidRPr="00FA1BCF">
        <w:rPr>
          <w:szCs w:val="24"/>
        </w:rPr>
        <w:lastRenderedPageBreak/>
        <w:t>The core criteria for the MCDA are:</w:t>
      </w:r>
    </w:p>
    <w:p w:rsidR="00CC79FE" w:rsidRPr="00FA1BCF" w:rsidRDefault="00CC79FE" w:rsidP="00CC79FE">
      <w:pPr>
        <w:pStyle w:val="ListParagraph"/>
        <w:numPr>
          <w:ilvl w:val="0"/>
          <w:numId w:val="9"/>
        </w:numPr>
        <w:jc w:val="both"/>
        <w:rPr>
          <w:szCs w:val="24"/>
        </w:rPr>
      </w:pPr>
      <w:r w:rsidRPr="00FA1BCF">
        <w:rPr>
          <w:szCs w:val="24"/>
        </w:rPr>
        <w:t>Nature of the condition</w:t>
      </w:r>
    </w:p>
    <w:p w:rsidR="00CC79FE" w:rsidRPr="00FA1BCF" w:rsidRDefault="00CC79FE" w:rsidP="00CC79FE">
      <w:pPr>
        <w:pStyle w:val="ListParagraph"/>
        <w:numPr>
          <w:ilvl w:val="1"/>
          <w:numId w:val="9"/>
        </w:numPr>
        <w:jc w:val="both"/>
        <w:rPr>
          <w:szCs w:val="24"/>
        </w:rPr>
      </w:pPr>
      <w:r w:rsidRPr="00FA1BCF">
        <w:rPr>
          <w:szCs w:val="24"/>
        </w:rPr>
        <w:t>disease morbidity and patient clinical disability with current standard of care</w:t>
      </w:r>
    </w:p>
    <w:p w:rsidR="00CC79FE" w:rsidRPr="00FA1BCF" w:rsidRDefault="00CC79FE" w:rsidP="00CC79FE">
      <w:pPr>
        <w:pStyle w:val="ListParagraph"/>
        <w:numPr>
          <w:ilvl w:val="1"/>
          <w:numId w:val="9"/>
        </w:numPr>
        <w:jc w:val="both"/>
        <w:rPr>
          <w:szCs w:val="24"/>
        </w:rPr>
      </w:pPr>
      <w:r w:rsidRPr="00FA1BCF">
        <w:rPr>
          <w:szCs w:val="24"/>
        </w:rPr>
        <w:t>impact of the disease on carer’s quality of life</w:t>
      </w:r>
    </w:p>
    <w:p w:rsidR="00CC79FE" w:rsidRPr="00FA1BCF" w:rsidRDefault="00CC79FE" w:rsidP="00CC79FE">
      <w:pPr>
        <w:pStyle w:val="ListParagraph"/>
        <w:numPr>
          <w:ilvl w:val="1"/>
          <w:numId w:val="9"/>
        </w:numPr>
        <w:jc w:val="both"/>
        <w:rPr>
          <w:szCs w:val="24"/>
        </w:rPr>
      </w:pPr>
      <w:r w:rsidRPr="00FA1BCF">
        <w:rPr>
          <w:szCs w:val="24"/>
        </w:rPr>
        <w:t>extent and nature of current treatment options</w:t>
      </w:r>
    </w:p>
    <w:p w:rsidR="00CC79FE" w:rsidRPr="00FA1BCF" w:rsidRDefault="00CC79FE" w:rsidP="00CC79FE">
      <w:pPr>
        <w:pStyle w:val="ListParagraph"/>
        <w:numPr>
          <w:ilvl w:val="0"/>
          <w:numId w:val="9"/>
        </w:numPr>
        <w:jc w:val="both"/>
        <w:rPr>
          <w:szCs w:val="24"/>
        </w:rPr>
      </w:pPr>
      <w:r w:rsidRPr="00FA1BCF">
        <w:rPr>
          <w:szCs w:val="24"/>
        </w:rPr>
        <w:t xml:space="preserve">Impact of the new technology </w:t>
      </w:r>
    </w:p>
    <w:p w:rsidR="00CC79FE" w:rsidRPr="00FA1BCF" w:rsidRDefault="00A12D02" w:rsidP="00CC79FE">
      <w:pPr>
        <w:pStyle w:val="ListParagraph"/>
        <w:numPr>
          <w:ilvl w:val="1"/>
          <w:numId w:val="9"/>
        </w:numPr>
        <w:jc w:val="both"/>
        <w:rPr>
          <w:szCs w:val="24"/>
        </w:rPr>
      </w:pPr>
      <w:r w:rsidRPr="00FA1BCF">
        <w:rPr>
          <w:szCs w:val="24"/>
        </w:rPr>
        <w:t>c</w:t>
      </w:r>
      <w:r w:rsidR="00CC79FE" w:rsidRPr="00FA1BCF">
        <w:rPr>
          <w:szCs w:val="24"/>
        </w:rPr>
        <w:t>linical effectiveness of the technology,</w:t>
      </w:r>
    </w:p>
    <w:p w:rsidR="00CC79FE" w:rsidRPr="00FA1BCF" w:rsidRDefault="00A12D02" w:rsidP="00CC79FE">
      <w:pPr>
        <w:pStyle w:val="ListParagraph"/>
        <w:numPr>
          <w:ilvl w:val="1"/>
          <w:numId w:val="9"/>
        </w:numPr>
        <w:jc w:val="both"/>
        <w:rPr>
          <w:szCs w:val="24"/>
        </w:rPr>
      </w:pPr>
      <w:r w:rsidRPr="00FA1BCF">
        <w:rPr>
          <w:szCs w:val="24"/>
        </w:rPr>
        <w:t>o</w:t>
      </w:r>
      <w:r w:rsidR="00CC79FE" w:rsidRPr="00FA1BCF">
        <w:rPr>
          <w:szCs w:val="24"/>
        </w:rPr>
        <w:t>verall magnitude of health benefits to patients and</w:t>
      </w:r>
      <w:r w:rsidR="0071280A" w:rsidRPr="00FA1BCF">
        <w:rPr>
          <w:szCs w:val="24"/>
        </w:rPr>
        <w:t>,</w:t>
      </w:r>
      <w:r w:rsidR="00CC79FE" w:rsidRPr="00FA1BCF">
        <w:rPr>
          <w:szCs w:val="24"/>
        </w:rPr>
        <w:t xml:space="preserve"> when relevant, carers</w:t>
      </w:r>
    </w:p>
    <w:p w:rsidR="00CC79FE" w:rsidRPr="00FA1BCF" w:rsidRDefault="00A12D02" w:rsidP="00CC79FE">
      <w:pPr>
        <w:pStyle w:val="ListParagraph"/>
        <w:numPr>
          <w:ilvl w:val="1"/>
          <w:numId w:val="9"/>
        </w:numPr>
        <w:jc w:val="both"/>
        <w:rPr>
          <w:szCs w:val="24"/>
        </w:rPr>
      </w:pPr>
      <w:r w:rsidRPr="00FA1BCF">
        <w:rPr>
          <w:szCs w:val="24"/>
        </w:rPr>
        <w:t>h</w:t>
      </w:r>
      <w:r w:rsidR="00CC79FE" w:rsidRPr="00FA1BCF">
        <w:rPr>
          <w:szCs w:val="24"/>
        </w:rPr>
        <w:t>eterogeneity of health benefits within the population,</w:t>
      </w:r>
    </w:p>
    <w:p w:rsidR="00CC79FE" w:rsidRPr="00FA1BCF" w:rsidRDefault="00A12D02" w:rsidP="00CC79FE">
      <w:pPr>
        <w:pStyle w:val="ListParagraph"/>
        <w:numPr>
          <w:ilvl w:val="1"/>
          <w:numId w:val="9"/>
        </w:numPr>
        <w:jc w:val="both"/>
        <w:rPr>
          <w:szCs w:val="24"/>
        </w:rPr>
      </w:pPr>
      <w:r w:rsidRPr="00FA1BCF">
        <w:rPr>
          <w:szCs w:val="24"/>
        </w:rPr>
        <w:t>r</w:t>
      </w:r>
      <w:r w:rsidR="00CC79FE" w:rsidRPr="00FA1BCF">
        <w:rPr>
          <w:szCs w:val="24"/>
        </w:rPr>
        <w:t>obustness of the current evidence and the contribution the guidance might make to strengthen it</w:t>
      </w:r>
    </w:p>
    <w:p w:rsidR="00CC79FE" w:rsidRPr="00FA1BCF" w:rsidRDefault="00A12D02" w:rsidP="00CC79FE">
      <w:pPr>
        <w:pStyle w:val="ListParagraph"/>
        <w:numPr>
          <w:ilvl w:val="1"/>
          <w:numId w:val="9"/>
        </w:numPr>
        <w:jc w:val="both"/>
        <w:rPr>
          <w:szCs w:val="24"/>
        </w:rPr>
      </w:pPr>
      <w:r w:rsidRPr="00FA1BCF">
        <w:rPr>
          <w:szCs w:val="24"/>
        </w:rPr>
        <w:t>t</w:t>
      </w:r>
      <w:r w:rsidR="00CC79FE" w:rsidRPr="00FA1BCF">
        <w:rPr>
          <w:szCs w:val="24"/>
        </w:rPr>
        <w:t>reatment continuation rules</w:t>
      </w:r>
    </w:p>
    <w:p w:rsidR="00CC79FE" w:rsidRPr="00FA1BCF" w:rsidRDefault="00CC79FE" w:rsidP="00CC79FE">
      <w:pPr>
        <w:pStyle w:val="ListParagraph"/>
        <w:numPr>
          <w:ilvl w:val="0"/>
          <w:numId w:val="9"/>
        </w:numPr>
        <w:jc w:val="both"/>
        <w:rPr>
          <w:szCs w:val="24"/>
        </w:rPr>
      </w:pPr>
      <w:r w:rsidRPr="00FA1BCF">
        <w:rPr>
          <w:szCs w:val="24"/>
        </w:rPr>
        <w:t xml:space="preserve">Cost to the NHS and personal social services </w:t>
      </w:r>
    </w:p>
    <w:p w:rsidR="00CC79FE" w:rsidRPr="00FA1BCF" w:rsidRDefault="00CC79FE" w:rsidP="00CC79FE">
      <w:pPr>
        <w:pStyle w:val="ListParagraph"/>
        <w:numPr>
          <w:ilvl w:val="1"/>
          <w:numId w:val="9"/>
        </w:numPr>
        <w:jc w:val="both"/>
        <w:rPr>
          <w:szCs w:val="24"/>
        </w:rPr>
      </w:pPr>
      <w:r w:rsidRPr="00FA1BCF">
        <w:rPr>
          <w:szCs w:val="24"/>
        </w:rPr>
        <w:t xml:space="preserve">budget impact in the NHS and </w:t>
      </w:r>
      <w:r w:rsidR="00B95C43" w:rsidRPr="00FA1BCF">
        <w:rPr>
          <w:szCs w:val="24"/>
        </w:rPr>
        <w:t>personal social services</w:t>
      </w:r>
    </w:p>
    <w:p w:rsidR="00CC79FE" w:rsidRPr="00FA1BCF" w:rsidRDefault="00CC79FE" w:rsidP="00CC79FE">
      <w:pPr>
        <w:pStyle w:val="ListParagraph"/>
        <w:numPr>
          <w:ilvl w:val="1"/>
          <w:numId w:val="9"/>
        </w:numPr>
        <w:jc w:val="both"/>
        <w:rPr>
          <w:szCs w:val="24"/>
        </w:rPr>
      </w:pPr>
      <w:r w:rsidRPr="00FA1BCF">
        <w:rPr>
          <w:szCs w:val="24"/>
        </w:rPr>
        <w:t>robustness of costing and budget impact information</w:t>
      </w:r>
    </w:p>
    <w:p w:rsidR="00CC79FE" w:rsidRPr="00FA1BCF" w:rsidRDefault="00CC79FE" w:rsidP="00CC79FE">
      <w:pPr>
        <w:pStyle w:val="ListParagraph"/>
        <w:numPr>
          <w:ilvl w:val="1"/>
          <w:numId w:val="9"/>
        </w:numPr>
        <w:jc w:val="both"/>
        <w:rPr>
          <w:szCs w:val="24"/>
        </w:rPr>
      </w:pPr>
      <w:r w:rsidRPr="00FA1BCF">
        <w:rPr>
          <w:szCs w:val="24"/>
        </w:rPr>
        <w:t>patient access agreement</w:t>
      </w:r>
    </w:p>
    <w:p w:rsidR="00CC79FE" w:rsidRPr="00FA1BCF" w:rsidRDefault="00CC79FE" w:rsidP="00CC79FE">
      <w:pPr>
        <w:pStyle w:val="ListParagraph"/>
        <w:numPr>
          <w:ilvl w:val="0"/>
          <w:numId w:val="9"/>
        </w:numPr>
        <w:jc w:val="both"/>
        <w:rPr>
          <w:szCs w:val="24"/>
        </w:rPr>
      </w:pPr>
      <w:r w:rsidRPr="00FA1BCF">
        <w:rPr>
          <w:szCs w:val="24"/>
        </w:rPr>
        <w:t xml:space="preserve">Value for money </w:t>
      </w:r>
    </w:p>
    <w:p w:rsidR="00CC79FE" w:rsidRPr="00FA1BCF" w:rsidRDefault="00CC79FE" w:rsidP="00CC79FE">
      <w:pPr>
        <w:pStyle w:val="ListParagraph"/>
        <w:numPr>
          <w:ilvl w:val="1"/>
          <w:numId w:val="9"/>
        </w:numPr>
        <w:jc w:val="both"/>
        <w:rPr>
          <w:szCs w:val="24"/>
        </w:rPr>
      </w:pPr>
      <w:r w:rsidRPr="00FA1BCF">
        <w:rPr>
          <w:szCs w:val="24"/>
        </w:rPr>
        <w:t>technical efficiency (the incremental benefit of the new technology compared to current treatment)</w:t>
      </w:r>
    </w:p>
    <w:p w:rsidR="00CC79FE" w:rsidRPr="00FA1BCF" w:rsidRDefault="00CC79FE" w:rsidP="00CC79FE">
      <w:pPr>
        <w:pStyle w:val="ListParagraph"/>
        <w:numPr>
          <w:ilvl w:val="1"/>
          <w:numId w:val="9"/>
        </w:numPr>
        <w:jc w:val="both"/>
        <w:rPr>
          <w:szCs w:val="24"/>
        </w:rPr>
      </w:pPr>
      <w:r w:rsidRPr="00FA1BCF">
        <w:rPr>
          <w:szCs w:val="24"/>
        </w:rPr>
        <w:t>productive efficiency (the nature and extent of the other resources needed to enable the new technology to be used)</w:t>
      </w:r>
    </w:p>
    <w:p w:rsidR="00CC79FE" w:rsidRPr="00FA1BCF" w:rsidRDefault="00CC79FE" w:rsidP="00CC79FE">
      <w:pPr>
        <w:pStyle w:val="ListParagraph"/>
        <w:numPr>
          <w:ilvl w:val="1"/>
          <w:numId w:val="9"/>
        </w:numPr>
        <w:jc w:val="both"/>
        <w:rPr>
          <w:szCs w:val="24"/>
        </w:rPr>
      </w:pPr>
      <w:r w:rsidRPr="00FA1BCF">
        <w:rPr>
          <w:szCs w:val="24"/>
        </w:rPr>
        <w:t>allocative efficiency (the impact of the new technology on the budget available for specialised commissioning)</w:t>
      </w:r>
    </w:p>
    <w:p w:rsidR="00CC79FE" w:rsidRPr="00FA1BCF" w:rsidRDefault="00CC79FE" w:rsidP="00CC79FE">
      <w:pPr>
        <w:pStyle w:val="ListParagraph"/>
        <w:numPr>
          <w:ilvl w:val="0"/>
          <w:numId w:val="9"/>
        </w:numPr>
        <w:jc w:val="both"/>
        <w:rPr>
          <w:szCs w:val="24"/>
        </w:rPr>
      </w:pPr>
      <w:r w:rsidRPr="00FA1BCF">
        <w:rPr>
          <w:szCs w:val="24"/>
        </w:rPr>
        <w:t xml:space="preserve">Impact of the technology beyond direct health benefits </w:t>
      </w:r>
    </w:p>
    <w:p w:rsidR="00CC79FE" w:rsidRPr="00FA1BCF" w:rsidRDefault="00CC79FE" w:rsidP="00CC79FE">
      <w:pPr>
        <w:pStyle w:val="ListParagraph"/>
        <w:numPr>
          <w:ilvl w:val="1"/>
          <w:numId w:val="9"/>
        </w:numPr>
        <w:jc w:val="both"/>
        <w:rPr>
          <w:szCs w:val="24"/>
        </w:rPr>
      </w:pPr>
      <w:r w:rsidRPr="00FA1BCF">
        <w:rPr>
          <w:szCs w:val="24"/>
        </w:rPr>
        <w:t>whether there are significant benefits other than health</w:t>
      </w:r>
    </w:p>
    <w:p w:rsidR="00CC79FE" w:rsidRPr="00FA1BCF" w:rsidRDefault="00CC79FE" w:rsidP="00CC79FE">
      <w:pPr>
        <w:pStyle w:val="ListParagraph"/>
        <w:numPr>
          <w:ilvl w:val="1"/>
          <w:numId w:val="9"/>
        </w:numPr>
        <w:jc w:val="both"/>
        <w:rPr>
          <w:szCs w:val="24"/>
        </w:rPr>
      </w:pPr>
      <w:r w:rsidRPr="00FA1BCF">
        <w:rPr>
          <w:szCs w:val="24"/>
        </w:rPr>
        <w:t>whether a substantial proportion of the costs (savings) or benefits are incurred outside of the NHS and personal and social services</w:t>
      </w:r>
    </w:p>
    <w:p w:rsidR="00CC79FE" w:rsidRPr="00FA1BCF" w:rsidRDefault="00CC79FE" w:rsidP="00CC79FE">
      <w:pPr>
        <w:pStyle w:val="ListParagraph"/>
        <w:numPr>
          <w:ilvl w:val="1"/>
          <w:numId w:val="9"/>
        </w:numPr>
        <w:jc w:val="both"/>
        <w:rPr>
          <w:szCs w:val="24"/>
        </w:rPr>
      </w:pPr>
      <w:r w:rsidRPr="00FA1BCF">
        <w:rPr>
          <w:szCs w:val="24"/>
        </w:rPr>
        <w:t>the potential for long-term benefits to the NHS of research and innovation</w:t>
      </w:r>
    </w:p>
    <w:p w:rsidR="00CC79FE" w:rsidRPr="00FA1BCF" w:rsidRDefault="00CC79FE" w:rsidP="00CC79FE">
      <w:pPr>
        <w:pStyle w:val="ListParagraph"/>
        <w:numPr>
          <w:ilvl w:val="0"/>
          <w:numId w:val="9"/>
        </w:numPr>
        <w:jc w:val="both"/>
        <w:rPr>
          <w:szCs w:val="24"/>
        </w:rPr>
      </w:pPr>
      <w:r w:rsidRPr="00FA1BCF">
        <w:rPr>
          <w:szCs w:val="24"/>
        </w:rPr>
        <w:t>Impact of the technology on the delivery of the specialised service</w:t>
      </w:r>
    </w:p>
    <w:p w:rsidR="00CC79FE" w:rsidRPr="00E436E7" w:rsidRDefault="00CC79FE" w:rsidP="00E436E7">
      <w:pPr>
        <w:pStyle w:val="ListParagraph"/>
        <w:numPr>
          <w:ilvl w:val="1"/>
          <w:numId w:val="9"/>
        </w:numPr>
        <w:jc w:val="both"/>
        <w:rPr>
          <w:b/>
          <w:szCs w:val="24"/>
          <w:u w:val="single"/>
        </w:rPr>
      </w:pPr>
      <w:proofErr w:type="gramStart"/>
      <w:r w:rsidRPr="00FA1BCF">
        <w:rPr>
          <w:szCs w:val="24"/>
        </w:rPr>
        <w:t>staffing</w:t>
      </w:r>
      <w:proofErr w:type="gramEnd"/>
      <w:r w:rsidRPr="00FA1BCF">
        <w:rPr>
          <w:szCs w:val="24"/>
        </w:rPr>
        <w:t xml:space="preserve"> and infrastructure requirements, including training and planning for expertise.</w:t>
      </w:r>
    </w:p>
    <w:p w:rsidR="00CC79FE" w:rsidRPr="00FA1BCF" w:rsidRDefault="00CC79FE" w:rsidP="00CC79FE">
      <w:pPr>
        <w:jc w:val="both"/>
        <w:rPr>
          <w:szCs w:val="24"/>
        </w:rPr>
      </w:pPr>
      <w:r w:rsidRPr="00FA1BCF">
        <w:rPr>
          <w:szCs w:val="24"/>
        </w:rPr>
        <w:t xml:space="preserve">This MCDA tool is an interim method and will be reviewed through a public consultation process by NICE during 2015. </w:t>
      </w:r>
    </w:p>
    <w:p w:rsidR="00CC79FE" w:rsidRPr="00FA1BCF" w:rsidRDefault="00CC79FE" w:rsidP="00CC79FE">
      <w:pPr>
        <w:jc w:val="both"/>
        <w:rPr>
          <w:b/>
          <w:i/>
          <w:sz w:val="28"/>
          <w:szCs w:val="28"/>
        </w:rPr>
      </w:pPr>
      <w:r w:rsidRPr="00FA1BCF">
        <w:rPr>
          <w:szCs w:val="24"/>
        </w:rPr>
        <w:t xml:space="preserve">Similar to the PBAC, NICE’s </w:t>
      </w:r>
      <w:r w:rsidR="0071280A" w:rsidRPr="00FA1BCF">
        <w:rPr>
          <w:szCs w:val="24"/>
        </w:rPr>
        <w:t>e</w:t>
      </w:r>
      <w:r w:rsidRPr="00FA1BCF">
        <w:rPr>
          <w:szCs w:val="24"/>
        </w:rPr>
        <w:t xml:space="preserve">valuation </w:t>
      </w:r>
      <w:r w:rsidR="0071280A" w:rsidRPr="00FA1BCF">
        <w:rPr>
          <w:szCs w:val="24"/>
        </w:rPr>
        <w:t>c</w:t>
      </w:r>
      <w:r w:rsidRPr="00FA1BCF">
        <w:rPr>
          <w:szCs w:val="24"/>
        </w:rPr>
        <w:t xml:space="preserve">ommittee takes into account the nature and quality of evidence submitted by the </w:t>
      </w:r>
      <w:r w:rsidR="009A438D" w:rsidRPr="00FA1BCF">
        <w:rPr>
          <w:szCs w:val="24"/>
        </w:rPr>
        <w:t xml:space="preserve">medicine </w:t>
      </w:r>
      <w:r w:rsidRPr="00FA1BCF">
        <w:rPr>
          <w:szCs w:val="24"/>
        </w:rPr>
        <w:t xml:space="preserve">sponsor, critique of the </w:t>
      </w:r>
      <w:r w:rsidR="009A438D" w:rsidRPr="00FA1BCF">
        <w:rPr>
          <w:szCs w:val="24"/>
        </w:rPr>
        <w:t xml:space="preserve">medicine </w:t>
      </w:r>
      <w:r w:rsidRPr="00FA1BCF">
        <w:rPr>
          <w:szCs w:val="24"/>
        </w:rPr>
        <w:t xml:space="preserve">submission by independent academics, </w:t>
      </w:r>
      <w:r w:rsidR="0071280A" w:rsidRPr="00FA1BCF">
        <w:rPr>
          <w:szCs w:val="24"/>
        </w:rPr>
        <w:t xml:space="preserve">and </w:t>
      </w:r>
      <w:r w:rsidRPr="00FA1BCF">
        <w:rPr>
          <w:szCs w:val="24"/>
        </w:rPr>
        <w:t>clinical specialists</w:t>
      </w:r>
      <w:r w:rsidR="0071280A" w:rsidRPr="00FA1BCF">
        <w:rPr>
          <w:szCs w:val="24"/>
        </w:rPr>
        <w:t>’</w:t>
      </w:r>
      <w:r w:rsidRPr="00FA1BCF">
        <w:rPr>
          <w:szCs w:val="24"/>
        </w:rPr>
        <w:t>, patients</w:t>
      </w:r>
      <w:r w:rsidR="0071280A" w:rsidRPr="00FA1BCF">
        <w:rPr>
          <w:szCs w:val="24"/>
        </w:rPr>
        <w:t>’</w:t>
      </w:r>
      <w:r w:rsidRPr="00FA1BCF">
        <w:rPr>
          <w:szCs w:val="24"/>
        </w:rPr>
        <w:t xml:space="preserve"> and carers</w:t>
      </w:r>
      <w:r w:rsidR="0071280A" w:rsidRPr="00FA1BCF">
        <w:rPr>
          <w:szCs w:val="24"/>
        </w:rPr>
        <w:t>’</w:t>
      </w:r>
      <w:r w:rsidRPr="00FA1BCF">
        <w:rPr>
          <w:szCs w:val="24"/>
        </w:rPr>
        <w:t xml:space="preserve"> perspectives when assessing </w:t>
      </w:r>
      <w:r w:rsidR="0071280A" w:rsidRPr="00FA1BCF">
        <w:rPr>
          <w:szCs w:val="24"/>
        </w:rPr>
        <w:t xml:space="preserve">the </w:t>
      </w:r>
      <w:r w:rsidRPr="00FA1BCF">
        <w:rPr>
          <w:szCs w:val="24"/>
        </w:rPr>
        <w:t xml:space="preserve">clinical effectiveness of a drug. </w:t>
      </w:r>
      <w:r w:rsidR="0071280A" w:rsidRPr="00FA1BCF">
        <w:rPr>
          <w:szCs w:val="24"/>
        </w:rPr>
        <w:t xml:space="preserve">As in </w:t>
      </w:r>
      <w:r w:rsidRPr="00FA1BCF">
        <w:rPr>
          <w:szCs w:val="24"/>
        </w:rPr>
        <w:t>the PBAC</w:t>
      </w:r>
      <w:r w:rsidR="0071280A" w:rsidRPr="00FA1BCF">
        <w:rPr>
          <w:szCs w:val="24"/>
        </w:rPr>
        <w:t>,</w:t>
      </w:r>
      <w:r w:rsidRPr="00FA1BCF">
        <w:rPr>
          <w:szCs w:val="24"/>
        </w:rPr>
        <w:t xml:space="preserve"> the level of uncertainty between evidence presented and effectiveness in clinical practice, likely benefits delivered to different patient groups, potential health outcomes and side effects of the treatment on the patient compared to alternative treatments</w:t>
      </w:r>
      <w:r w:rsidR="0071280A" w:rsidRPr="00FA1BCF">
        <w:rPr>
          <w:szCs w:val="24"/>
        </w:rPr>
        <w:t>,</w:t>
      </w:r>
      <w:r w:rsidRPr="00FA1BCF">
        <w:rPr>
          <w:szCs w:val="24"/>
        </w:rPr>
        <w:t xml:space="preserve"> if any, are weighed as well. The </w:t>
      </w:r>
      <w:r w:rsidR="0071280A" w:rsidRPr="00FA1BCF">
        <w:rPr>
          <w:szCs w:val="24"/>
        </w:rPr>
        <w:t>c</w:t>
      </w:r>
      <w:r w:rsidRPr="00FA1BCF">
        <w:rPr>
          <w:szCs w:val="24"/>
        </w:rPr>
        <w:t>ommittee may consider alternative treatments</w:t>
      </w:r>
      <w:r w:rsidR="0071280A" w:rsidRPr="00FA1BCF">
        <w:rPr>
          <w:szCs w:val="24"/>
        </w:rPr>
        <w:t>,</w:t>
      </w:r>
      <w:r w:rsidRPr="00FA1BCF">
        <w:rPr>
          <w:szCs w:val="24"/>
        </w:rPr>
        <w:t xml:space="preserve"> </w:t>
      </w:r>
      <w:r w:rsidR="00027882" w:rsidRPr="00FA1BCF">
        <w:rPr>
          <w:szCs w:val="24"/>
        </w:rPr>
        <w:t xml:space="preserve">which </w:t>
      </w:r>
      <w:r w:rsidRPr="00FA1BCF">
        <w:rPr>
          <w:szCs w:val="24"/>
        </w:rPr>
        <w:t xml:space="preserve">may include therapies that do not have marketing authorisation for the indication but </w:t>
      </w:r>
      <w:r w:rsidR="0071280A" w:rsidRPr="00FA1BCF">
        <w:rPr>
          <w:szCs w:val="24"/>
        </w:rPr>
        <w:t>are</w:t>
      </w:r>
      <w:r w:rsidRPr="00FA1BCF">
        <w:rPr>
          <w:szCs w:val="24"/>
        </w:rPr>
        <w:t xml:space="preserve"> accepted as part of established clinical practice for the indication. </w:t>
      </w:r>
    </w:p>
    <w:p w:rsidR="00CC79FE" w:rsidRPr="00FA1BCF" w:rsidRDefault="00CC79FE" w:rsidP="00E436E7">
      <w:pPr>
        <w:pStyle w:val="Heading2"/>
      </w:pPr>
      <w:bookmarkStart w:id="48" w:name="_Toc302625604"/>
      <w:r w:rsidRPr="00FA1BCF">
        <w:lastRenderedPageBreak/>
        <w:t>6.</w:t>
      </w:r>
      <w:r w:rsidR="00AA5E41" w:rsidRPr="00FA1BCF">
        <w:t>6.</w:t>
      </w:r>
      <w:r w:rsidRPr="00FA1BCF">
        <w:t xml:space="preserve"> Australian context</w:t>
      </w:r>
      <w:bookmarkEnd w:id="48"/>
    </w:p>
    <w:p w:rsidR="00897318" w:rsidRPr="00FA1BCF" w:rsidRDefault="00366637" w:rsidP="00E436E7">
      <w:pPr>
        <w:pStyle w:val="Default"/>
        <w:jc w:val="both"/>
      </w:pPr>
      <w:r w:rsidRPr="00FA1BCF">
        <w:rPr>
          <w:rFonts w:asciiTheme="minorHAnsi" w:hAnsiTheme="minorHAnsi" w:cstheme="minorBidi"/>
          <w:color w:val="auto"/>
          <w:szCs w:val="22"/>
        </w:rPr>
        <w:t>Currently Australia does not have a specific evaluation programme for medicines for rare diseases. Sponsors submit their product to the PBAC to evaluate clinical effectiveness and cost-effectiveness. Where applicable the rule of rescue applies</w:t>
      </w:r>
      <w:r w:rsidR="0071280A" w:rsidRPr="00FA1BCF">
        <w:rPr>
          <w:rFonts w:asciiTheme="minorHAnsi" w:hAnsiTheme="minorHAnsi" w:cstheme="minorBidi"/>
          <w:color w:val="auto"/>
          <w:szCs w:val="22"/>
        </w:rPr>
        <w:t>;</w:t>
      </w:r>
      <w:r w:rsidR="00AF5283" w:rsidRPr="00FA1BCF">
        <w:rPr>
          <w:rFonts w:asciiTheme="minorHAnsi" w:hAnsiTheme="minorHAnsi" w:cstheme="minorBidi"/>
          <w:color w:val="auto"/>
          <w:szCs w:val="22"/>
        </w:rPr>
        <w:t xml:space="preserve"> however</w:t>
      </w:r>
      <w:r w:rsidRPr="00FA1BCF">
        <w:rPr>
          <w:rFonts w:asciiTheme="minorHAnsi" w:hAnsiTheme="minorHAnsi" w:cstheme="minorBidi"/>
          <w:color w:val="auto"/>
          <w:szCs w:val="22"/>
        </w:rPr>
        <w:t>, if the rare disease medicine fails to be listed on the PBS because it was deemed to be not cost</w:t>
      </w:r>
      <w:r w:rsidR="0071280A" w:rsidRPr="00FA1BCF">
        <w:rPr>
          <w:rFonts w:asciiTheme="minorHAnsi" w:hAnsiTheme="minorHAnsi" w:cstheme="minorBidi"/>
          <w:color w:val="auto"/>
          <w:szCs w:val="22"/>
        </w:rPr>
        <w:t>-</w:t>
      </w:r>
      <w:r w:rsidRPr="00FA1BCF">
        <w:rPr>
          <w:rFonts w:asciiTheme="minorHAnsi" w:hAnsiTheme="minorHAnsi" w:cstheme="minorBidi"/>
          <w:color w:val="auto"/>
          <w:szCs w:val="22"/>
        </w:rPr>
        <w:t xml:space="preserve">effective, it may be considered for inclusion on the LSDP. </w:t>
      </w:r>
      <w:r w:rsidR="00001CB8">
        <w:rPr>
          <w:rFonts w:asciiTheme="minorHAnsi" w:hAnsiTheme="minorHAnsi" w:cstheme="minorBidi"/>
          <w:color w:val="auto"/>
          <w:szCs w:val="22"/>
        </w:rPr>
        <w:t xml:space="preserve">In </w:t>
      </w:r>
      <w:r w:rsidRPr="00FA1BCF">
        <w:rPr>
          <w:rFonts w:asciiTheme="minorHAnsi" w:hAnsiTheme="minorHAnsi" w:cstheme="minorBidi"/>
          <w:color w:val="auto"/>
          <w:szCs w:val="22"/>
        </w:rPr>
        <w:t>Germany and France</w:t>
      </w:r>
      <w:r w:rsidR="00001CB8">
        <w:rPr>
          <w:rFonts w:asciiTheme="minorHAnsi" w:hAnsiTheme="minorHAnsi" w:cstheme="minorBidi"/>
          <w:color w:val="auto"/>
          <w:szCs w:val="22"/>
        </w:rPr>
        <w:t xml:space="preserve"> </w:t>
      </w:r>
      <w:r w:rsidRPr="00FA1BCF">
        <w:rPr>
          <w:rFonts w:asciiTheme="minorHAnsi" w:hAnsiTheme="minorHAnsi" w:cstheme="minorBidi"/>
          <w:color w:val="auto"/>
          <w:szCs w:val="22"/>
        </w:rPr>
        <w:t>the review processes for medicines targeting rare diseases are also not separate from usual medicine subsidisation processes.</w:t>
      </w:r>
    </w:p>
    <w:p w:rsidR="00366637" w:rsidRPr="00FA1BCF" w:rsidRDefault="00366637" w:rsidP="003209F9">
      <w:r w:rsidRPr="00FA1BCF">
        <w:t>However, many drugs for the treatment of other rare diseases are funded under the general PBS process</w:t>
      </w:r>
      <w:r w:rsidR="0071280A" w:rsidRPr="00FA1BCF">
        <w:t>,</w:t>
      </w:r>
      <w:r w:rsidRPr="00FA1BCF">
        <w:t xml:space="preserve"> including for cystic fibrosis and rare cancers. Specific subsidies are also provided for nutritional products for rare conditions.</w:t>
      </w:r>
      <w:r w:rsidR="00B56F35" w:rsidRPr="00FA1BCF">
        <w:t xml:space="preserve"> </w:t>
      </w:r>
    </w:p>
    <w:p w:rsidR="00CC79FE" w:rsidRPr="00FA1BCF" w:rsidRDefault="00CC79FE" w:rsidP="00CC79FE">
      <w:pPr>
        <w:jc w:val="both"/>
        <w:rPr>
          <w:szCs w:val="24"/>
        </w:rPr>
      </w:pPr>
      <w:r w:rsidRPr="00FA1BCF">
        <w:rPr>
          <w:szCs w:val="24"/>
        </w:rPr>
        <w:t>In the Australian context, NICE’s experience provides useful insight to issues that may reduce the stated outcomes and objectives of the MCDA. It is noteworthy that a full and transparent decision</w:t>
      </w:r>
      <w:r w:rsidR="0071280A" w:rsidRPr="00FA1BCF">
        <w:rPr>
          <w:szCs w:val="24"/>
        </w:rPr>
        <w:t>-</w:t>
      </w:r>
      <w:r w:rsidRPr="00FA1BCF">
        <w:rPr>
          <w:szCs w:val="24"/>
        </w:rPr>
        <w:t xml:space="preserve">making framework requires transparency and cooperation on the part of all stakeholders and this may not be easily achievable. </w:t>
      </w:r>
      <w:r w:rsidR="000B6C6B" w:rsidRPr="00FA1BCF">
        <w:rPr>
          <w:szCs w:val="24"/>
        </w:rPr>
        <w:t xml:space="preserve">Medicine companies are not always willing or able to publically disclose information on pricing arrangements or other information considered commercially sensitive. </w:t>
      </w:r>
    </w:p>
    <w:p w:rsidR="00CC79FE" w:rsidRPr="00FA1BCF" w:rsidRDefault="00CC79FE" w:rsidP="00CC79FE">
      <w:pPr>
        <w:jc w:val="both"/>
        <w:rPr>
          <w:szCs w:val="24"/>
        </w:rPr>
      </w:pPr>
      <w:r w:rsidRPr="00FA1BCF">
        <w:rPr>
          <w:szCs w:val="24"/>
        </w:rPr>
        <w:t xml:space="preserve">Other issues in considering applying MCDA to assessing </w:t>
      </w:r>
      <w:r w:rsidR="00A26B5E" w:rsidRPr="00FA1BCF">
        <w:rPr>
          <w:szCs w:val="24"/>
        </w:rPr>
        <w:t xml:space="preserve">medicines </w:t>
      </w:r>
      <w:r w:rsidRPr="00FA1BCF">
        <w:rPr>
          <w:szCs w:val="24"/>
        </w:rPr>
        <w:t xml:space="preserve">for the LSDP or </w:t>
      </w:r>
      <w:r w:rsidR="00960ECC" w:rsidRPr="00FA1BCF">
        <w:rPr>
          <w:szCs w:val="24"/>
        </w:rPr>
        <w:t>any new</w:t>
      </w:r>
      <w:r w:rsidR="00F879CC" w:rsidRPr="00FA1BCF">
        <w:rPr>
          <w:szCs w:val="24"/>
        </w:rPr>
        <w:t xml:space="preserve"> </w:t>
      </w:r>
      <w:r w:rsidR="00B349D4" w:rsidRPr="00FA1BCF">
        <w:rPr>
          <w:szCs w:val="24"/>
        </w:rPr>
        <w:t>section 100</w:t>
      </w:r>
      <w:r w:rsidR="00F879CC" w:rsidRPr="00FA1BCF">
        <w:rPr>
          <w:szCs w:val="24"/>
        </w:rPr>
        <w:t>/200</w:t>
      </w:r>
      <w:r w:rsidRPr="00FA1BCF">
        <w:rPr>
          <w:szCs w:val="24"/>
        </w:rPr>
        <w:t xml:space="preserve"> </w:t>
      </w:r>
      <w:r w:rsidR="008B29C7" w:rsidRPr="00FA1BCF">
        <w:rPr>
          <w:szCs w:val="24"/>
        </w:rPr>
        <w:t>Medicines for Rare Diseases Programme</w:t>
      </w:r>
      <w:r w:rsidRPr="00FA1BCF">
        <w:rPr>
          <w:szCs w:val="24"/>
        </w:rPr>
        <w:t xml:space="preserve"> include the inequity of applying the MCDA approach to decisions for rare disease </w:t>
      </w:r>
      <w:r w:rsidR="00A26B5E" w:rsidRPr="00FA1BCF">
        <w:rPr>
          <w:szCs w:val="24"/>
        </w:rPr>
        <w:t xml:space="preserve">medicines </w:t>
      </w:r>
      <w:r w:rsidRPr="00FA1BCF">
        <w:rPr>
          <w:szCs w:val="24"/>
        </w:rPr>
        <w:t xml:space="preserve">only. </w:t>
      </w:r>
      <w:proofErr w:type="spellStart"/>
      <w:r w:rsidRPr="00FA1BCF">
        <w:rPr>
          <w:szCs w:val="24"/>
        </w:rPr>
        <w:t>Wailoo</w:t>
      </w:r>
      <w:proofErr w:type="spellEnd"/>
      <w:r w:rsidRPr="00FA1BCF">
        <w:rPr>
          <w:szCs w:val="24"/>
        </w:rPr>
        <w:t>, Tsuchiya &amp; McCabe (2009) described that an integral aspect of any economic decision considers alternatives forgone (opportunity cost) and any additional identification of value in the assessed product, either through equity weights or increased valuation of certain criteria using an MCDA approach (</w:t>
      </w:r>
      <w:r w:rsidR="0071280A" w:rsidRPr="00FA1BCF">
        <w:rPr>
          <w:szCs w:val="24"/>
        </w:rPr>
        <w:t>e</w:t>
      </w:r>
      <w:r w:rsidRPr="00FA1BCF">
        <w:rPr>
          <w:szCs w:val="24"/>
        </w:rPr>
        <w:t>valuator’s report, p</w:t>
      </w:r>
      <w:r w:rsidR="00441F09" w:rsidRPr="00FA1BCF">
        <w:rPr>
          <w:szCs w:val="24"/>
        </w:rPr>
        <w:t>.</w:t>
      </w:r>
      <w:r w:rsidRPr="00FA1BCF">
        <w:rPr>
          <w:szCs w:val="24"/>
        </w:rPr>
        <w:t xml:space="preserve"> 252). Having different mechanisms to evaluate </w:t>
      </w:r>
      <w:r w:rsidR="00A26B5E" w:rsidRPr="00FA1BCF">
        <w:rPr>
          <w:szCs w:val="24"/>
        </w:rPr>
        <w:t xml:space="preserve">medicines </w:t>
      </w:r>
      <w:r w:rsidRPr="00FA1BCF">
        <w:rPr>
          <w:szCs w:val="24"/>
        </w:rPr>
        <w:t xml:space="preserve">using different valuation methods within the same public reimbursement authority could be inconsistent and controversial. </w:t>
      </w:r>
    </w:p>
    <w:p w:rsidR="00CC79FE" w:rsidRPr="00FA1BCF" w:rsidRDefault="00CC79FE" w:rsidP="00CC79FE">
      <w:pPr>
        <w:jc w:val="both"/>
        <w:rPr>
          <w:szCs w:val="24"/>
        </w:rPr>
      </w:pPr>
      <w:r w:rsidRPr="00FA1BCF">
        <w:rPr>
          <w:szCs w:val="24"/>
        </w:rPr>
        <w:t xml:space="preserve">If a more complex MCDA is to be adopted (i.e. weighted multiple criteria through public or patient preferences), there will be a need to develop an agreed set of attribute weights. This could be difficult and would require consultations with diverse groups to obtain wide societal representation and agreement. The </w:t>
      </w:r>
      <w:r w:rsidR="00F11CA5" w:rsidRPr="00FA1BCF">
        <w:rPr>
          <w:szCs w:val="24"/>
        </w:rPr>
        <w:t>reference group</w:t>
      </w:r>
      <w:r w:rsidRPr="00FA1BCF">
        <w:rPr>
          <w:szCs w:val="24"/>
        </w:rPr>
        <w:t xml:space="preserve"> was concerned that there are significant challenges in measuring broader benefits in a systematic and reproducible way. These could hinder rather than assist timely access to the drugs, increase regulatory and administrative burden and potentially drain stretched resources.</w:t>
      </w:r>
    </w:p>
    <w:p w:rsidR="00AF5283" w:rsidRPr="00FA1BCF" w:rsidRDefault="00A36A3C" w:rsidP="00AF5283">
      <w:pPr>
        <w:jc w:val="both"/>
        <w:rPr>
          <w:szCs w:val="24"/>
        </w:rPr>
      </w:pPr>
      <w:r w:rsidRPr="00FA1BCF">
        <w:rPr>
          <w:szCs w:val="24"/>
        </w:rPr>
        <w:t xml:space="preserve">Irrespective of the metric used, there are significant </w:t>
      </w:r>
      <w:r w:rsidR="00CC79FE" w:rsidRPr="00FA1BCF">
        <w:rPr>
          <w:szCs w:val="24"/>
        </w:rPr>
        <w:t xml:space="preserve">limitations of the available evidence to measure the clinical effectiveness of existing </w:t>
      </w:r>
      <w:r w:rsidR="00A26B5E" w:rsidRPr="00FA1BCF">
        <w:rPr>
          <w:szCs w:val="24"/>
        </w:rPr>
        <w:t xml:space="preserve">medicines </w:t>
      </w:r>
      <w:r w:rsidR="00CC79FE" w:rsidRPr="00FA1BCF">
        <w:rPr>
          <w:szCs w:val="24"/>
        </w:rPr>
        <w:t xml:space="preserve">on the LSDP and other </w:t>
      </w:r>
      <w:r w:rsidR="00A26B5E" w:rsidRPr="00FA1BCF">
        <w:rPr>
          <w:szCs w:val="24"/>
        </w:rPr>
        <w:t xml:space="preserve">medicines </w:t>
      </w:r>
      <w:r w:rsidR="00CC79FE" w:rsidRPr="00FA1BCF">
        <w:rPr>
          <w:szCs w:val="24"/>
        </w:rPr>
        <w:t>for rare diseases in general</w:t>
      </w:r>
      <w:r w:rsidRPr="00FA1BCF">
        <w:rPr>
          <w:szCs w:val="24"/>
        </w:rPr>
        <w:t>.</w:t>
      </w:r>
      <w:r w:rsidR="00CC79FE" w:rsidRPr="00FA1BCF">
        <w:rPr>
          <w:szCs w:val="24"/>
        </w:rPr>
        <w:t xml:space="preserve"> </w:t>
      </w:r>
      <w:r w:rsidRPr="00FA1BCF">
        <w:rPr>
          <w:szCs w:val="24"/>
        </w:rPr>
        <w:t xml:space="preserve">There are small numbers of patients with any one disease or condition. The disability and impacts on quality of life may be present from birth or may develop late and progress slowly over many years. Available medicines may only prevent or delay certain aspects of the disease. </w:t>
      </w:r>
      <w:r w:rsidR="00CC79FE" w:rsidRPr="00FA1BCF">
        <w:rPr>
          <w:szCs w:val="24"/>
        </w:rPr>
        <w:t xml:space="preserve">Further </w:t>
      </w:r>
      <w:r w:rsidRPr="00FA1BCF">
        <w:rPr>
          <w:szCs w:val="24"/>
        </w:rPr>
        <w:t>consideration is required to</w:t>
      </w:r>
      <w:r w:rsidR="00CC79FE" w:rsidRPr="00FA1BCF">
        <w:rPr>
          <w:szCs w:val="24"/>
        </w:rPr>
        <w:t xml:space="preserve"> incorporate the level of uncertainty</w:t>
      </w:r>
      <w:r w:rsidRPr="00FA1BCF">
        <w:rPr>
          <w:szCs w:val="24"/>
        </w:rPr>
        <w:t xml:space="preserve"> </w:t>
      </w:r>
      <w:r w:rsidR="00CC79FE" w:rsidRPr="00FA1BCF">
        <w:rPr>
          <w:szCs w:val="24"/>
        </w:rPr>
        <w:t>into an</w:t>
      </w:r>
      <w:r w:rsidRPr="00FA1BCF">
        <w:rPr>
          <w:szCs w:val="24"/>
        </w:rPr>
        <w:t>y</w:t>
      </w:r>
      <w:r w:rsidR="00CC79FE" w:rsidRPr="00FA1BCF">
        <w:rPr>
          <w:szCs w:val="24"/>
        </w:rPr>
        <w:t xml:space="preserve"> alternative value metric. </w:t>
      </w:r>
    </w:p>
    <w:p w:rsidR="00CC79FE" w:rsidRPr="00FA1BCF" w:rsidRDefault="00CC79FE" w:rsidP="00CC79FE">
      <w:pPr>
        <w:jc w:val="both"/>
        <w:rPr>
          <w:szCs w:val="24"/>
        </w:rPr>
      </w:pPr>
      <w:r w:rsidRPr="00FA1BCF">
        <w:rPr>
          <w:szCs w:val="24"/>
        </w:rPr>
        <w:t xml:space="preserve">Table </w:t>
      </w:r>
      <w:r w:rsidR="008F6849" w:rsidRPr="00FA1BCF">
        <w:rPr>
          <w:szCs w:val="24"/>
        </w:rPr>
        <w:t>6</w:t>
      </w:r>
      <w:r w:rsidRPr="00FA1BCF">
        <w:rPr>
          <w:szCs w:val="24"/>
        </w:rPr>
        <w:t xml:space="preserve"> shows a summary of benefits and disadvantages of different value metrics for orphan </w:t>
      </w:r>
      <w:r w:rsidR="00A26B5E" w:rsidRPr="00FA1BCF">
        <w:rPr>
          <w:szCs w:val="24"/>
        </w:rPr>
        <w:t xml:space="preserve">medicines </w:t>
      </w:r>
      <w:r w:rsidRPr="00FA1BCF">
        <w:rPr>
          <w:szCs w:val="24"/>
        </w:rPr>
        <w:t xml:space="preserve">prepared by the </w:t>
      </w:r>
      <w:r w:rsidR="0022336E" w:rsidRPr="00FA1BCF">
        <w:rPr>
          <w:szCs w:val="24"/>
        </w:rPr>
        <w:t>e</w:t>
      </w:r>
      <w:r w:rsidRPr="00FA1BCF">
        <w:rPr>
          <w:szCs w:val="24"/>
        </w:rPr>
        <w:t>valuators.</w:t>
      </w:r>
    </w:p>
    <w:p w:rsidR="00CC79FE" w:rsidRPr="00FA1BCF" w:rsidRDefault="00CC79FE" w:rsidP="003209F9">
      <w:pPr>
        <w:pStyle w:val="Caption"/>
      </w:pPr>
      <w:bookmarkStart w:id="49" w:name="_Ref405841128"/>
      <w:bookmarkStart w:id="50" w:name="_Toc411510504"/>
      <w:bookmarkStart w:id="51" w:name="_Toc415141938"/>
      <w:r w:rsidRPr="00FA1BCF">
        <w:lastRenderedPageBreak/>
        <w:t xml:space="preserve">Table </w:t>
      </w:r>
      <w:bookmarkEnd w:id="49"/>
      <w:r w:rsidR="008F6849" w:rsidRPr="00FA1BCF">
        <w:rPr>
          <w:noProof/>
        </w:rPr>
        <w:t>6</w:t>
      </w:r>
      <w:r w:rsidR="00D40857" w:rsidRPr="00FA1BCF">
        <w:t xml:space="preserve">: </w:t>
      </w:r>
      <w:r w:rsidRPr="00FA1BCF">
        <w:t xml:space="preserve">Advantages and disadvantages of alternative value metrics for the assessment of orphan </w:t>
      </w:r>
      <w:r w:rsidR="00A26B5E" w:rsidRPr="00FA1BCF">
        <w:t xml:space="preserve">medicines </w:t>
      </w:r>
      <w:r w:rsidRPr="00FA1BCF">
        <w:t>for reimbursement decisions</w:t>
      </w:r>
      <w:bookmarkEnd w:id="50"/>
      <w:bookmarkEnd w:id="51"/>
    </w:p>
    <w:tbl>
      <w:tblPr>
        <w:tblStyle w:val="TableGrid3"/>
        <w:tblW w:w="9436" w:type="dxa"/>
        <w:tblCellMar>
          <w:left w:w="57" w:type="dxa"/>
          <w:right w:w="57" w:type="dxa"/>
        </w:tblCellMar>
        <w:tblLook w:val="04A0" w:firstRow="1" w:lastRow="0" w:firstColumn="1" w:lastColumn="0" w:noHBand="0" w:noVBand="1"/>
        <w:tblCaption w:val="Table 106 Advantages and disadvantages of alternative value metrics for the assessment of orphan drugs for reimbursement decisions"/>
      </w:tblPr>
      <w:tblGrid>
        <w:gridCol w:w="2106"/>
        <w:gridCol w:w="3279"/>
        <w:gridCol w:w="4051"/>
      </w:tblGrid>
      <w:tr w:rsidR="00CC79FE" w:rsidRPr="00FA1BCF" w:rsidTr="00DC19F4">
        <w:trPr>
          <w:tblHeader/>
        </w:trPr>
        <w:tc>
          <w:tcPr>
            <w:tcW w:w="2106" w:type="dxa"/>
            <w:shd w:val="clear" w:color="auto" w:fill="C0504D" w:themeFill="accent2"/>
          </w:tcPr>
          <w:p w:rsidR="00CC79FE" w:rsidRPr="00DC19F4" w:rsidRDefault="00EC7D31" w:rsidP="00E622B4">
            <w:pPr>
              <w:keepNext/>
              <w:spacing w:before="40" w:after="40"/>
              <w:rPr>
                <w:rFonts w:ascii="Arial Narrow" w:hAnsi="Arial Narrow"/>
                <w:b/>
                <w:color w:val="FFFFFF" w:themeColor="background1"/>
                <w:lang w:eastAsia="en-AU"/>
              </w:rPr>
            </w:pPr>
            <w:r>
              <w:rPr>
                <w:rFonts w:ascii="Arial Narrow" w:hAnsi="Arial Narrow"/>
                <w:b/>
                <w:color w:val="FFFFFF" w:themeColor="background1"/>
                <w:lang w:eastAsia="en-AU"/>
              </w:rPr>
              <w:t>Metric</w:t>
            </w:r>
          </w:p>
        </w:tc>
        <w:tc>
          <w:tcPr>
            <w:tcW w:w="3279" w:type="dxa"/>
            <w:shd w:val="clear" w:color="auto" w:fill="C0504D" w:themeFill="accent2"/>
          </w:tcPr>
          <w:p w:rsidR="00CC79FE" w:rsidRPr="00DC19F4" w:rsidRDefault="00CC79FE" w:rsidP="003209F9">
            <w:pPr>
              <w:pStyle w:val="TableHeading"/>
              <w:rPr>
                <w:rFonts w:cstheme="minorBidi"/>
                <w:color w:val="FFFFFF" w:themeColor="background1"/>
                <w:sz w:val="24"/>
                <w:szCs w:val="22"/>
                <w:lang w:eastAsia="en-AU"/>
              </w:rPr>
            </w:pPr>
            <w:r w:rsidRPr="00DC19F4">
              <w:rPr>
                <w:color w:val="FFFFFF" w:themeColor="background1"/>
                <w:lang w:eastAsia="en-AU"/>
              </w:rPr>
              <w:t>Advantages</w:t>
            </w:r>
          </w:p>
        </w:tc>
        <w:tc>
          <w:tcPr>
            <w:tcW w:w="4051" w:type="dxa"/>
            <w:shd w:val="clear" w:color="auto" w:fill="C0504D" w:themeFill="accent2"/>
          </w:tcPr>
          <w:p w:rsidR="00CC79FE" w:rsidRPr="00DC19F4" w:rsidRDefault="00CC79FE" w:rsidP="003209F9">
            <w:pPr>
              <w:pStyle w:val="TableHeading"/>
              <w:rPr>
                <w:rFonts w:cstheme="minorBidi"/>
                <w:color w:val="FFFFFF" w:themeColor="background1"/>
                <w:sz w:val="24"/>
                <w:szCs w:val="22"/>
                <w:lang w:eastAsia="en-AU"/>
              </w:rPr>
            </w:pPr>
            <w:r w:rsidRPr="00DC19F4">
              <w:rPr>
                <w:color w:val="FFFFFF" w:themeColor="background1"/>
                <w:lang w:eastAsia="en-AU"/>
              </w:rPr>
              <w:t>Disadvantages</w:t>
            </w:r>
          </w:p>
        </w:tc>
      </w:tr>
      <w:tr w:rsidR="00CC79FE" w:rsidRPr="00FA1BCF" w:rsidTr="00E622B4">
        <w:tc>
          <w:tcPr>
            <w:tcW w:w="2106" w:type="dxa"/>
          </w:tcPr>
          <w:p w:rsidR="00CC79FE" w:rsidRPr="00FA1BCF" w:rsidRDefault="00CC79FE" w:rsidP="003209F9">
            <w:pPr>
              <w:pStyle w:val="TableText"/>
              <w:rPr>
                <w:rFonts w:cstheme="minorBidi"/>
                <w:sz w:val="24"/>
                <w:szCs w:val="22"/>
                <w:lang w:val="en-GB"/>
              </w:rPr>
            </w:pPr>
            <w:r w:rsidRPr="00FA1BCF">
              <w:rPr>
                <w:lang w:val="en-GB"/>
              </w:rPr>
              <w:t>Broadened cost</w:t>
            </w:r>
            <w:r w:rsidR="00F40D3E" w:rsidRPr="00FA1BCF">
              <w:rPr>
                <w:lang w:val="en-GB"/>
              </w:rPr>
              <w:t>–</w:t>
            </w:r>
            <w:r w:rsidRPr="00FA1BCF">
              <w:rPr>
                <w:lang w:val="en-GB"/>
              </w:rPr>
              <w:t>utility</w:t>
            </w:r>
            <w:r w:rsidR="00FF50E2" w:rsidRPr="00FA1BCF">
              <w:rPr>
                <w:lang w:val="en-GB"/>
              </w:rPr>
              <w:t xml:space="preserve"> (CU)</w:t>
            </w:r>
            <w:r w:rsidRPr="00FA1BCF">
              <w:rPr>
                <w:lang w:val="en-GB"/>
              </w:rPr>
              <w:t xml:space="preserve"> perspective</w:t>
            </w:r>
          </w:p>
        </w:tc>
        <w:tc>
          <w:tcPr>
            <w:tcW w:w="3279" w:type="dxa"/>
          </w:tcPr>
          <w:p w:rsidR="00CC79FE" w:rsidRPr="00FA1BCF" w:rsidRDefault="00CC79FE" w:rsidP="003209F9">
            <w:pPr>
              <w:pStyle w:val="TableText"/>
              <w:rPr>
                <w:rFonts w:cstheme="minorBidi"/>
                <w:sz w:val="24"/>
                <w:szCs w:val="22"/>
                <w:lang w:val="en-GB"/>
              </w:rPr>
            </w:pPr>
            <w:r w:rsidRPr="00FA1BCF">
              <w:rPr>
                <w:lang w:val="en-GB"/>
              </w:rPr>
              <w:t xml:space="preserve">The ICER is a more accurate reflection of the complete value a </w:t>
            </w:r>
            <w:r w:rsidR="009A438D" w:rsidRPr="00FA1BCF">
              <w:rPr>
                <w:lang w:val="en-GB"/>
              </w:rPr>
              <w:t xml:space="preserve">medicine </w:t>
            </w:r>
            <w:r w:rsidRPr="00FA1BCF">
              <w:rPr>
                <w:lang w:val="en-GB"/>
              </w:rPr>
              <w:t>may offer to society.</w:t>
            </w:r>
          </w:p>
          <w:p w:rsidR="00CC79FE" w:rsidRPr="00FA1BCF" w:rsidRDefault="00CC79FE" w:rsidP="003209F9">
            <w:pPr>
              <w:pStyle w:val="TableText"/>
              <w:rPr>
                <w:rFonts w:cstheme="minorBidi"/>
                <w:sz w:val="24"/>
                <w:szCs w:val="22"/>
                <w:lang w:val="en-GB"/>
              </w:rPr>
            </w:pPr>
            <w:r w:rsidRPr="00FA1BCF">
              <w:rPr>
                <w:lang w:val="en-GB"/>
              </w:rPr>
              <w:t>Relatively easy to incorporate into existing assessment process.</w:t>
            </w:r>
          </w:p>
          <w:p w:rsidR="00CC79FE" w:rsidRPr="00FA1BCF" w:rsidRDefault="00CC79FE" w:rsidP="003209F9">
            <w:pPr>
              <w:pStyle w:val="TableText"/>
              <w:rPr>
                <w:rFonts w:cstheme="minorBidi"/>
                <w:sz w:val="24"/>
                <w:szCs w:val="22"/>
                <w:lang w:val="en-GB"/>
              </w:rPr>
            </w:pPr>
            <w:r w:rsidRPr="00FA1BCF">
              <w:rPr>
                <w:lang w:val="en-GB"/>
              </w:rPr>
              <w:t>Produces an objective, reproducible value metric.</w:t>
            </w:r>
          </w:p>
        </w:tc>
        <w:tc>
          <w:tcPr>
            <w:tcW w:w="4051" w:type="dxa"/>
          </w:tcPr>
          <w:p w:rsidR="00CC79FE" w:rsidRPr="00FA1BCF" w:rsidRDefault="00CC79FE" w:rsidP="003209F9">
            <w:pPr>
              <w:pStyle w:val="TableText"/>
              <w:rPr>
                <w:rFonts w:cstheme="minorBidi"/>
                <w:sz w:val="24"/>
                <w:szCs w:val="22"/>
                <w:lang w:val="en-GB"/>
              </w:rPr>
            </w:pPr>
            <w:r w:rsidRPr="00FA1BCF">
              <w:rPr>
                <w:lang w:val="en-GB"/>
              </w:rPr>
              <w:t xml:space="preserve">Fails to reflect social preferences where allocation on an equity basis (i.e. non-utilitarian) is preferred. </w:t>
            </w:r>
          </w:p>
          <w:p w:rsidR="00CC79FE" w:rsidRPr="00FA1BCF" w:rsidRDefault="00CC79FE" w:rsidP="003209F9">
            <w:pPr>
              <w:pStyle w:val="TableText"/>
              <w:rPr>
                <w:rFonts w:cstheme="minorBidi"/>
                <w:sz w:val="24"/>
                <w:szCs w:val="22"/>
                <w:lang w:val="en-GB"/>
              </w:rPr>
            </w:pPr>
            <w:r w:rsidRPr="00FA1BCF">
              <w:rPr>
                <w:lang w:val="en-GB"/>
              </w:rPr>
              <w:t>In practice, lack of data may limit the scope and accuracy of the economic model.</w:t>
            </w:r>
          </w:p>
          <w:p w:rsidR="00CC79FE" w:rsidRPr="00FA1BCF" w:rsidRDefault="00CC79FE" w:rsidP="003209F9">
            <w:pPr>
              <w:pStyle w:val="TableText"/>
              <w:rPr>
                <w:rFonts w:cstheme="minorBidi"/>
                <w:sz w:val="24"/>
                <w:szCs w:val="22"/>
                <w:lang w:val="en-GB"/>
              </w:rPr>
            </w:pPr>
            <w:r w:rsidRPr="00FA1BCF">
              <w:rPr>
                <w:lang w:val="en-GB"/>
              </w:rPr>
              <w:t xml:space="preserve">Would generally increase the cost-effectiveness of many </w:t>
            </w:r>
            <w:r w:rsidR="00A26B5E" w:rsidRPr="00FA1BCF">
              <w:rPr>
                <w:lang w:val="en-GB"/>
              </w:rPr>
              <w:t xml:space="preserve">medicines </w:t>
            </w:r>
            <w:r w:rsidRPr="00FA1BCF">
              <w:rPr>
                <w:lang w:val="en-GB"/>
              </w:rPr>
              <w:t>but the magnitude of effect may rarely be decision</w:t>
            </w:r>
            <w:r w:rsidR="00FF50E2" w:rsidRPr="00FA1BCF">
              <w:rPr>
                <w:lang w:val="en-GB"/>
              </w:rPr>
              <w:t xml:space="preserve"> </w:t>
            </w:r>
            <w:r w:rsidRPr="00FA1BCF">
              <w:rPr>
                <w:lang w:val="en-GB"/>
              </w:rPr>
              <w:t>altering.</w:t>
            </w:r>
          </w:p>
        </w:tc>
      </w:tr>
      <w:tr w:rsidR="00CC79FE" w:rsidRPr="00FA1BCF" w:rsidTr="00E622B4">
        <w:tc>
          <w:tcPr>
            <w:tcW w:w="2106" w:type="dxa"/>
          </w:tcPr>
          <w:p w:rsidR="00CC79FE" w:rsidRPr="00FA1BCF" w:rsidRDefault="00CC79FE" w:rsidP="003209F9">
            <w:pPr>
              <w:pStyle w:val="TableText"/>
              <w:rPr>
                <w:rFonts w:cstheme="minorBidi"/>
                <w:sz w:val="24"/>
                <w:szCs w:val="22"/>
                <w:lang w:val="en-GB"/>
              </w:rPr>
            </w:pPr>
            <w:r w:rsidRPr="00FA1BCF">
              <w:rPr>
                <w:lang w:val="en-GB"/>
              </w:rPr>
              <w:t>Equity-weighted CU analysis (equity-adjusted QALYS or ICER threshold)</w:t>
            </w:r>
          </w:p>
          <w:p w:rsidR="00CC79FE" w:rsidRPr="00E436E7" w:rsidRDefault="00FF50E2" w:rsidP="003209F9">
            <w:pPr>
              <w:pStyle w:val="TableText"/>
              <w:rPr>
                <w:lang w:val="en-GB"/>
              </w:rPr>
            </w:pPr>
            <w:r w:rsidRPr="00E436E7">
              <w:rPr>
                <w:lang w:val="en-GB"/>
              </w:rPr>
              <w:t>B</w:t>
            </w:r>
            <w:r w:rsidR="00CC79FE" w:rsidRPr="00E436E7">
              <w:rPr>
                <w:lang w:val="en-GB"/>
              </w:rPr>
              <w:t>road equity criteria</w:t>
            </w:r>
          </w:p>
          <w:p w:rsidR="00CC79FE" w:rsidRPr="00FA1BCF" w:rsidRDefault="00CC79FE" w:rsidP="003209F9">
            <w:pPr>
              <w:pStyle w:val="TableText"/>
              <w:rPr>
                <w:rFonts w:cstheme="minorBidi"/>
                <w:sz w:val="24"/>
                <w:szCs w:val="22"/>
                <w:lang w:val="en-GB"/>
              </w:rPr>
            </w:pPr>
            <w:r w:rsidRPr="00E436E7">
              <w:rPr>
                <w:lang w:val="en-GB"/>
              </w:rPr>
              <w:t>‘</w:t>
            </w:r>
            <w:r w:rsidR="00FF50E2" w:rsidRPr="00E436E7">
              <w:rPr>
                <w:lang w:val="en-GB"/>
              </w:rPr>
              <w:t>R</w:t>
            </w:r>
            <w:r w:rsidRPr="00E436E7">
              <w:rPr>
                <w:lang w:val="en-GB"/>
              </w:rPr>
              <w:t>arity’ as a criteri</w:t>
            </w:r>
            <w:r w:rsidR="00FF50E2" w:rsidRPr="00E436E7">
              <w:rPr>
                <w:lang w:val="en-GB"/>
              </w:rPr>
              <w:t>on</w:t>
            </w:r>
          </w:p>
        </w:tc>
        <w:tc>
          <w:tcPr>
            <w:tcW w:w="3279" w:type="dxa"/>
          </w:tcPr>
          <w:p w:rsidR="00CC79FE" w:rsidRPr="00FA1BCF" w:rsidRDefault="00CC79FE" w:rsidP="003209F9">
            <w:pPr>
              <w:pStyle w:val="TableText"/>
              <w:rPr>
                <w:rFonts w:cstheme="minorBidi"/>
                <w:sz w:val="24"/>
                <w:szCs w:val="22"/>
                <w:lang w:val="en-GB"/>
              </w:rPr>
            </w:pPr>
            <w:r w:rsidRPr="00FA1BCF">
              <w:rPr>
                <w:lang w:val="en-GB"/>
              </w:rPr>
              <w:t>Once criteria are defined and weightings determined, then application to a conventional economic assessment (ICER) or an adjusted benchmark ICER is straightforward and easy to interpret.</w:t>
            </w:r>
          </w:p>
          <w:p w:rsidR="00CC79FE" w:rsidRPr="00FA1BCF" w:rsidRDefault="00CC79FE" w:rsidP="003209F9">
            <w:pPr>
              <w:pStyle w:val="TableText"/>
              <w:rPr>
                <w:rFonts w:cstheme="minorBidi"/>
                <w:sz w:val="24"/>
                <w:szCs w:val="22"/>
                <w:lang w:val="en-GB"/>
              </w:rPr>
            </w:pPr>
            <w:r w:rsidRPr="00FA1BCF">
              <w:rPr>
                <w:lang w:val="en-GB"/>
              </w:rPr>
              <w:t>Weightings favour non-utilitarian social distribution preferences which are not apparent on conventional ICER calculations.</w:t>
            </w:r>
          </w:p>
        </w:tc>
        <w:tc>
          <w:tcPr>
            <w:tcW w:w="4051" w:type="dxa"/>
          </w:tcPr>
          <w:p w:rsidR="00CC79FE" w:rsidRPr="00FA1BCF" w:rsidRDefault="00CC79FE" w:rsidP="003209F9">
            <w:pPr>
              <w:pStyle w:val="TableText"/>
              <w:rPr>
                <w:rFonts w:cstheme="minorBidi"/>
                <w:sz w:val="24"/>
                <w:szCs w:val="22"/>
                <w:lang w:val="en-GB"/>
              </w:rPr>
            </w:pPr>
            <w:r w:rsidRPr="00FA1BCF">
              <w:rPr>
                <w:lang w:val="en-GB"/>
              </w:rPr>
              <w:t>Selection criteria may be contentious.</w:t>
            </w:r>
          </w:p>
          <w:p w:rsidR="00CC79FE" w:rsidRPr="00FA1BCF" w:rsidRDefault="00CC79FE" w:rsidP="003209F9">
            <w:pPr>
              <w:pStyle w:val="TableText"/>
              <w:rPr>
                <w:rFonts w:cstheme="minorBidi"/>
                <w:sz w:val="24"/>
                <w:szCs w:val="22"/>
                <w:lang w:val="en-GB"/>
              </w:rPr>
            </w:pPr>
            <w:r w:rsidRPr="00FA1BCF">
              <w:rPr>
                <w:lang w:val="en-GB"/>
              </w:rPr>
              <w:t>Arbitrarily allocated weightings are subjective and yet mathematically determined weightings are highly variable and would require further social research.</w:t>
            </w:r>
          </w:p>
          <w:p w:rsidR="00CC79FE" w:rsidRPr="00FA1BCF" w:rsidRDefault="00CC79FE" w:rsidP="003209F9">
            <w:pPr>
              <w:pStyle w:val="TableText"/>
              <w:rPr>
                <w:rFonts w:cstheme="minorBidi"/>
                <w:sz w:val="24"/>
                <w:szCs w:val="22"/>
                <w:lang w:val="en-GB"/>
              </w:rPr>
            </w:pPr>
            <w:r w:rsidRPr="00FA1BCF">
              <w:rPr>
                <w:lang w:val="en-GB"/>
              </w:rPr>
              <w:t>Difficult to apply a weighting where the patient population is highly heterogeneous with respect to the weighting factor.</w:t>
            </w:r>
          </w:p>
        </w:tc>
      </w:tr>
      <w:tr w:rsidR="00CC79FE" w:rsidRPr="00FA1BCF" w:rsidTr="00E622B4">
        <w:tc>
          <w:tcPr>
            <w:tcW w:w="2106" w:type="dxa"/>
          </w:tcPr>
          <w:p w:rsidR="00CC79FE" w:rsidRPr="00FA1BCF" w:rsidRDefault="003209F9" w:rsidP="003209F9">
            <w:pPr>
              <w:pStyle w:val="TableText"/>
              <w:rPr>
                <w:rFonts w:cstheme="minorBidi"/>
                <w:sz w:val="24"/>
                <w:szCs w:val="22"/>
                <w:lang w:val="en-GB"/>
              </w:rPr>
            </w:pPr>
            <w:r w:rsidRPr="00FA1BCF">
              <w:rPr>
                <w:lang w:val="en-GB"/>
              </w:rPr>
              <w:t>Multi-criteria decision analysis (MCDA)</w:t>
            </w:r>
          </w:p>
        </w:tc>
        <w:tc>
          <w:tcPr>
            <w:tcW w:w="3279" w:type="dxa"/>
          </w:tcPr>
          <w:p w:rsidR="00CC79FE" w:rsidRPr="00FA1BCF" w:rsidRDefault="00CC79FE" w:rsidP="003209F9">
            <w:pPr>
              <w:pStyle w:val="TableText"/>
              <w:rPr>
                <w:rFonts w:cstheme="minorBidi"/>
                <w:sz w:val="24"/>
                <w:szCs w:val="22"/>
                <w:lang w:val="en-GB"/>
              </w:rPr>
            </w:pPr>
            <w:r w:rsidRPr="00FA1BCF">
              <w:rPr>
                <w:lang w:val="en-GB"/>
              </w:rPr>
              <w:t xml:space="preserve">Can potentially incorporate all identified social concerns and values associated with a </w:t>
            </w:r>
            <w:r w:rsidR="009A438D" w:rsidRPr="00FA1BCF">
              <w:rPr>
                <w:lang w:val="en-GB"/>
              </w:rPr>
              <w:t xml:space="preserve">medicine </w:t>
            </w:r>
            <w:r w:rsidRPr="00FA1BCF">
              <w:rPr>
                <w:lang w:val="en-GB"/>
              </w:rPr>
              <w:t>into a value metric.</w:t>
            </w:r>
          </w:p>
          <w:p w:rsidR="00CC79FE" w:rsidRPr="00FA1BCF" w:rsidRDefault="00CC79FE" w:rsidP="003209F9">
            <w:pPr>
              <w:pStyle w:val="TableText"/>
              <w:rPr>
                <w:rFonts w:cstheme="minorBidi"/>
                <w:sz w:val="24"/>
                <w:szCs w:val="22"/>
                <w:lang w:val="en-GB"/>
              </w:rPr>
            </w:pPr>
            <w:r w:rsidRPr="00FA1BCF">
              <w:rPr>
                <w:lang w:val="en-GB"/>
              </w:rPr>
              <w:t>Can be set</w:t>
            </w:r>
            <w:r w:rsidR="00FF50E2" w:rsidRPr="00FA1BCF">
              <w:rPr>
                <w:lang w:val="en-GB"/>
              </w:rPr>
              <w:t xml:space="preserve"> </w:t>
            </w:r>
            <w:r w:rsidRPr="00FA1BCF">
              <w:rPr>
                <w:lang w:val="en-GB"/>
              </w:rPr>
              <w:t>up with inclusion of fluid or contextual criteria (e.g. ‘current priorities’) allowing for change in health strategy or policy, without change in the process.</w:t>
            </w:r>
          </w:p>
        </w:tc>
        <w:tc>
          <w:tcPr>
            <w:tcW w:w="4051" w:type="dxa"/>
          </w:tcPr>
          <w:p w:rsidR="00CC79FE" w:rsidRPr="00FA1BCF" w:rsidRDefault="00CC79FE" w:rsidP="003209F9">
            <w:pPr>
              <w:pStyle w:val="TableText"/>
              <w:rPr>
                <w:rFonts w:cstheme="minorBidi"/>
                <w:sz w:val="24"/>
                <w:szCs w:val="22"/>
                <w:lang w:val="en-GB"/>
              </w:rPr>
            </w:pPr>
            <w:r w:rsidRPr="00FA1BCF">
              <w:rPr>
                <w:lang w:val="en-GB"/>
              </w:rPr>
              <w:t>Selection criteria may be contentious.</w:t>
            </w:r>
          </w:p>
          <w:p w:rsidR="00CC79FE" w:rsidRPr="00FA1BCF" w:rsidRDefault="00CC79FE" w:rsidP="003209F9">
            <w:pPr>
              <w:pStyle w:val="TableText"/>
              <w:rPr>
                <w:rFonts w:cstheme="minorBidi"/>
                <w:sz w:val="24"/>
                <w:szCs w:val="22"/>
                <w:lang w:val="en-GB"/>
              </w:rPr>
            </w:pPr>
            <w:r w:rsidRPr="00FA1BCF">
              <w:rPr>
                <w:lang w:val="en-GB"/>
              </w:rPr>
              <w:t>Although intended to be transparent, may become highly complex with reduced transparency.</w:t>
            </w:r>
          </w:p>
          <w:p w:rsidR="00CC79FE" w:rsidRPr="00FA1BCF" w:rsidRDefault="00CC79FE" w:rsidP="003209F9">
            <w:pPr>
              <w:pStyle w:val="TableText"/>
              <w:rPr>
                <w:rFonts w:cstheme="minorBidi"/>
                <w:sz w:val="24"/>
                <w:szCs w:val="22"/>
                <w:lang w:val="en-GB"/>
              </w:rPr>
            </w:pPr>
            <w:r w:rsidRPr="00FA1BCF">
              <w:rPr>
                <w:lang w:val="en-GB"/>
              </w:rPr>
              <w:t>May have subjective components.</w:t>
            </w:r>
          </w:p>
          <w:p w:rsidR="00CC79FE" w:rsidRPr="00FA1BCF" w:rsidRDefault="00CC79FE" w:rsidP="003209F9">
            <w:pPr>
              <w:pStyle w:val="TableText"/>
              <w:rPr>
                <w:rFonts w:cstheme="minorBidi"/>
                <w:sz w:val="24"/>
                <w:szCs w:val="22"/>
                <w:lang w:val="en-GB"/>
              </w:rPr>
            </w:pPr>
            <w:r w:rsidRPr="00FA1BCF">
              <w:rPr>
                <w:lang w:val="en-GB"/>
              </w:rPr>
              <w:t>Would require significant planning and set</w:t>
            </w:r>
            <w:r w:rsidR="00FF50E2" w:rsidRPr="00FA1BCF">
              <w:rPr>
                <w:lang w:val="en-GB"/>
              </w:rPr>
              <w:t xml:space="preserve"> </w:t>
            </w:r>
            <w:r w:rsidRPr="00FA1BCF">
              <w:rPr>
                <w:lang w:val="en-GB"/>
              </w:rPr>
              <w:t>up to implement.</w:t>
            </w:r>
          </w:p>
        </w:tc>
      </w:tr>
      <w:tr w:rsidR="00CC79FE" w:rsidRPr="00FA1BCF" w:rsidTr="00E622B4">
        <w:tc>
          <w:tcPr>
            <w:tcW w:w="2106" w:type="dxa"/>
          </w:tcPr>
          <w:p w:rsidR="00CC79FE" w:rsidRPr="00FA1BCF" w:rsidRDefault="00CC79FE" w:rsidP="003209F9">
            <w:pPr>
              <w:pStyle w:val="TableText"/>
              <w:rPr>
                <w:rFonts w:cstheme="minorBidi"/>
                <w:sz w:val="24"/>
                <w:szCs w:val="22"/>
                <w:lang w:val="en-GB"/>
              </w:rPr>
            </w:pPr>
            <w:r w:rsidRPr="00FA1BCF">
              <w:rPr>
                <w:lang w:val="en-GB"/>
              </w:rPr>
              <w:t>Value-based pricing</w:t>
            </w:r>
            <w:r w:rsidR="00DE708C" w:rsidRPr="00FA1BCF">
              <w:rPr>
                <w:lang w:val="en-GB"/>
              </w:rPr>
              <w:t xml:space="preserve"> based on cost</w:t>
            </w:r>
          </w:p>
        </w:tc>
        <w:tc>
          <w:tcPr>
            <w:tcW w:w="3279" w:type="dxa"/>
          </w:tcPr>
          <w:p w:rsidR="00CC79FE" w:rsidRPr="00FA1BCF" w:rsidRDefault="00CC79FE" w:rsidP="003209F9">
            <w:pPr>
              <w:pStyle w:val="TableText"/>
              <w:rPr>
                <w:rFonts w:cstheme="minorBidi"/>
                <w:sz w:val="24"/>
                <w:szCs w:val="22"/>
                <w:lang w:val="en-GB"/>
              </w:rPr>
            </w:pPr>
            <w:r w:rsidRPr="00FA1BCF">
              <w:rPr>
                <w:lang w:val="en-GB"/>
              </w:rPr>
              <w:t>Objective determination of (input) value.</w:t>
            </w:r>
          </w:p>
          <w:p w:rsidR="00CC79FE" w:rsidRPr="00FA1BCF" w:rsidRDefault="00CC79FE" w:rsidP="003209F9">
            <w:pPr>
              <w:pStyle w:val="TableText"/>
              <w:rPr>
                <w:rFonts w:cstheme="minorBidi"/>
                <w:sz w:val="24"/>
                <w:szCs w:val="22"/>
                <w:lang w:val="en-GB"/>
              </w:rPr>
            </w:pPr>
            <w:r w:rsidRPr="00FA1BCF">
              <w:rPr>
                <w:lang w:val="en-GB"/>
              </w:rPr>
              <w:t xml:space="preserve">Potentially provides incentive for research and investment in </w:t>
            </w:r>
            <w:r w:rsidR="00A26B5E" w:rsidRPr="00FA1BCF">
              <w:rPr>
                <w:lang w:val="en-GB"/>
              </w:rPr>
              <w:t xml:space="preserve">medicines </w:t>
            </w:r>
            <w:r w:rsidRPr="00FA1BCF">
              <w:rPr>
                <w:lang w:val="en-GB"/>
              </w:rPr>
              <w:t>for rare diseases with less financial risk to industry.</w:t>
            </w:r>
          </w:p>
        </w:tc>
        <w:tc>
          <w:tcPr>
            <w:tcW w:w="4051" w:type="dxa"/>
          </w:tcPr>
          <w:p w:rsidR="00CC79FE" w:rsidRPr="00FA1BCF" w:rsidRDefault="00CC79FE" w:rsidP="003209F9">
            <w:pPr>
              <w:pStyle w:val="TableText"/>
              <w:rPr>
                <w:rFonts w:cstheme="minorBidi"/>
                <w:sz w:val="24"/>
                <w:szCs w:val="22"/>
                <w:lang w:val="en-GB"/>
              </w:rPr>
            </w:pPr>
            <w:r w:rsidRPr="00FA1BCF">
              <w:rPr>
                <w:lang w:val="en-GB"/>
              </w:rPr>
              <w:t>No consideration of ‘output’ value.</w:t>
            </w:r>
          </w:p>
          <w:p w:rsidR="00CC79FE" w:rsidRPr="00FA1BCF" w:rsidRDefault="00CC79FE" w:rsidP="003209F9">
            <w:pPr>
              <w:pStyle w:val="TableText"/>
              <w:rPr>
                <w:rFonts w:cstheme="minorBidi"/>
                <w:sz w:val="24"/>
                <w:szCs w:val="22"/>
                <w:lang w:val="en-GB"/>
              </w:rPr>
            </w:pPr>
            <w:r w:rsidRPr="00FA1BCF">
              <w:rPr>
                <w:lang w:val="en-GB"/>
              </w:rPr>
              <w:t>Financial risk to funding body.</w:t>
            </w:r>
          </w:p>
          <w:p w:rsidR="00CC79FE" w:rsidRPr="00FA1BCF" w:rsidRDefault="00CC79FE" w:rsidP="003209F9">
            <w:pPr>
              <w:pStyle w:val="TableText"/>
              <w:rPr>
                <w:rFonts w:cstheme="minorBidi"/>
                <w:sz w:val="24"/>
                <w:szCs w:val="22"/>
                <w:lang w:val="en-GB"/>
              </w:rPr>
            </w:pPr>
            <w:r w:rsidRPr="00FA1BCF">
              <w:rPr>
                <w:lang w:val="en-GB"/>
              </w:rPr>
              <w:t>Requires sensitive commercial operating cost information which is difficult to verify.</w:t>
            </w:r>
          </w:p>
          <w:p w:rsidR="00CC79FE" w:rsidRPr="00FA1BCF" w:rsidRDefault="00CC79FE" w:rsidP="003209F9">
            <w:pPr>
              <w:pStyle w:val="TableText"/>
              <w:rPr>
                <w:rFonts w:cstheme="minorBidi"/>
                <w:sz w:val="24"/>
                <w:szCs w:val="22"/>
                <w:lang w:val="en-GB"/>
              </w:rPr>
            </w:pPr>
            <w:r w:rsidRPr="00FA1BCF">
              <w:rPr>
                <w:lang w:val="en-GB"/>
              </w:rPr>
              <w:t>No practical experience.</w:t>
            </w:r>
          </w:p>
        </w:tc>
      </w:tr>
      <w:tr w:rsidR="00CC79FE" w:rsidRPr="00FA1BCF" w:rsidTr="00E622B4">
        <w:tblPrEx>
          <w:tblCellMar>
            <w:left w:w="108" w:type="dxa"/>
            <w:right w:w="108" w:type="dxa"/>
          </w:tblCellMar>
        </w:tblPrEx>
        <w:tc>
          <w:tcPr>
            <w:tcW w:w="2106" w:type="dxa"/>
          </w:tcPr>
          <w:p w:rsidR="00CC79FE" w:rsidRPr="00FA1BCF" w:rsidRDefault="00CC79FE" w:rsidP="003209F9">
            <w:pPr>
              <w:pStyle w:val="TableText"/>
              <w:rPr>
                <w:rFonts w:cstheme="minorBidi"/>
                <w:sz w:val="24"/>
                <w:szCs w:val="22"/>
                <w:lang w:val="en-GB"/>
              </w:rPr>
            </w:pPr>
            <w:r w:rsidRPr="00FA1BCF">
              <w:rPr>
                <w:lang w:val="en-GB"/>
              </w:rPr>
              <w:t>Combined methods</w:t>
            </w:r>
            <w:r w:rsidR="00FF50E2" w:rsidRPr="00FA1BCF">
              <w:rPr>
                <w:lang w:val="en-GB"/>
              </w:rPr>
              <w:t xml:space="preserve"> </w:t>
            </w:r>
            <w:r w:rsidRPr="00FA1BCF">
              <w:rPr>
                <w:lang w:val="en-GB"/>
              </w:rPr>
              <w:t>(broad CU perspective / equity</w:t>
            </w:r>
            <w:r w:rsidR="00FF50E2" w:rsidRPr="00FA1BCF">
              <w:rPr>
                <w:lang w:val="en-GB"/>
              </w:rPr>
              <w:t>-</w:t>
            </w:r>
            <w:r w:rsidRPr="00FA1BCF">
              <w:rPr>
                <w:lang w:val="en-GB"/>
              </w:rPr>
              <w:t>adjusted CU / MCDA)</w:t>
            </w:r>
          </w:p>
        </w:tc>
        <w:tc>
          <w:tcPr>
            <w:tcW w:w="3279" w:type="dxa"/>
          </w:tcPr>
          <w:p w:rsidR="00CC79FE" w:rsidRPr="00FA1BCF" w:rsidRDefault="00CC79FE" w:rsidP="003209F9">
            <w:pPr>
              <w:pStyle w:val="TableText"/>
              <w:rPr>
                <w:rFonts w:cstheme="minorBidi"/>
                <w:sz w:val="24"/>
                <w:szCs w:val="22"/>
                <w:lang w:val="en-GB"/>
              </w:rPr>
            </w:pPr>
            <w:r w:rsidRPr="00FA1BCF">
              <w:rPr>
                <w:lang w:val="en-GB"/>
              </w:rPr>
              <w:t>Likely to capture all aspects of a drug’s potential value to society.</w:t>
            </w:r>
          </w:p>
        </w:tc>
        <w:tc>
          <w:tcPr>
            <w:tcW w:w="4051" w:type="dxa"/>
          </w:tcPr>
          <w:p w:rsidR="00CC79FE" w:rsidRPr="00FA1BCF" w:rsidRDefault="00CC79FE" w:rsidP="003209F9">
            <w:pPr>
              <w:pStyle w:val="TableText"/>
              <w:rPr>
                <w:rFonts w:cstheme="minorBidi"/>
                <w:sz w:val="24"/>
                <w:szCs w:val="22"/>
                <w:lang w:val="en-GB"/>
              </w:rPr>
            </w:pPr>
            <w:r w:rsidRPr="00FA1BCF">
              <w:rPr>
                <w:lang w:val="en-GB"/>
              </w:rPr>
              <w:t>Risk of double-counting value elements</w:t>
            </w:r>
            <w:r w:rsidR="00FF50E2" w:rsidRPr="00FA1BCF">
              <w:rPr>
                <w:lang w:val="en-GB"/>
              </w:rPr>
              <w:t>.</w:t>
            </w:r>
          </w:p>
          <w:p w:rsidR="00CC79FE" w:rsidRPr="00FA1BCF" w:rsidRDefault="00CC79FE" w:rsidP="003209F9">
            <w:pPr>
              <w:pStyle w:val="TableText"/>
              <w:rPr>
                <w:rFonts w:cstheme="minorBidi"/>
                <w:sz w:val="24"/>
                <w:szCs w:val="22"/>
                <w:lang w:val="en-GB"/>
              </w:rPr>
            </w:pPr>
            <w:r w:rsidRPr="00FA1BCF">
              <w:rPr>
                <w:lang w:val="en-GB"/>
              </w:rPr>
              <w:t>High level of complexity</w:t>
            </w:r>
            <w:r w:rsidR="00FF50E2" w:rsidRPr="00FA1BCF">
              <w:rPr>
                <w:lang w:val="en-GB"/>
              </w:rPr>
              <w:t>.</w:t>
            </w:r>
          </w:p>
          <w:p w:rsidR="00CC79FE" w:rsidRPr="00FA1BCF" w:rsidRDefault="00CC79FE" w:rsidP="003209F9">
            <w:pPr>
              <w:pStyle w:val="TableText"/>
              <w:rPr>
                <w:rFonts w:cstheme="minorBidi"/>
                <w:sz w:val="24"/>
                <w:szCs w:val="22"/>
                <w:lang w:val="en-GB"/>
              </w:rPr>
            </w:pPr>
            <w:r w:rsidRPr="00FA1BCF">
              <w:rPr>
                <w:lang w:val="en-GB"/>
              </w:rPr>
              <w:t>Potentially reduced transparency</w:t>
            </w:r>
            <w:r w:rsidR="00FF50E2" w:rsidRPr="00FA1BCF">
              <w:rPr>
                <w:lang w:val="en-GB"/>
              </w:rPr>
              <w:t>.</w:t>
            </w:r>
          </w:p>
        </w:tc>
      </w:tr>
    </w:tbl>
    <w:p w:rsidR="00CC79FE" w:rsidRPr="00FA1BCF" w:rsidRDefault="0022336E" w:rsidP="003209F9">
      <w:pPr>
        <w:pStyle w:val="TableNote"/>
      </w:pPr>
      <w:r w:rsidRPr="00FA1BCF">
        <w:t xml:space="preserve">Source: </w:t>
      </w:r>
      <w:r w:rsidR="00CC79FE" w:rsidRPr="00FA1BCF">
        <w:t xml:space="preserve">Table 141 of the </w:t>
      </w:r>
      <w:r w:rsidRPr="00FA1BCF">
        <w:t>e</w:t>
      </w:r>
      <w:r w:rsidR="00CC79FE" w:rsidRPr="00FA1BCF">
        <w:t>valuator’s report, p</w:t>
      </w:r>
      <w:r w:rsidR="00441F09" w:rsidRPr="00FA1BCF">
        <w:t>.</w:t>
      </w:r>
      <w:r w:rsidR="00CC79FE" w:rsidRPr="00FA1BCF">
        <w:t xml:space="preserve"> 250</w:t>
      </w:r>
      <w:r w:rsidR="00897318" w:rsidRPr="00FA1BCF">
        <w:t>.</w:t>
      </w:r>
    </w:p>
    <w:p w:rsidR="00CC79FE" w:rsidRPr="00FA1BCF" w:rsidRDefault="00CC79FE" w:rsidP="00CC79FE">
      <w:pPr>
        <w:jc w:val="both"/>
        <w:rPr>
          <w:szCs w:val="24"/>
        </w:rPr>
      </w:pPr>
    </w:p>
    <w:p w:rsidR="00B107BD" w:rsidRPr="00FA1BCF" w:rsidRDefault="00B107BD" w:rsidP="00CC79FE">
      <w:pPr>
        <w:jc w:val="both"/>
        <w:rPr>
          <w:rFonts w:eastAsia="Times New Roman" w:cs="Times New Roman"/>
          <w:b/>
          <w:sz w:val="40"/>
          <w:szCs w:val="40"/>
          <w:lang w:eastAsia="en-AU"/>
        </w:rPr>
      </w:pPr>
      <w:r w:rsidRPr="00FA1BCF">
        <w:rPr>
          <w:rFonts w:eastAsia="Times New Roman" w:cs="Times New Roman"/>
          <w:b/>
          <w:sz w:val="40"/>
          <w:szCs w:val="40"/>
          <w:lang w:eastAsia="en-AU"/>
        </w:rPr>
        <w:br w:type="page"/>
      </w:r>
    </w:p>
    <w:p w:rsidR="00CC79FE" w:rsidRPr="00FA1BCF" w:rsidRDefault="00CC79FE" w:rsidP="00CC79FE">
      <w:pPr>
        <w:jc w:val="both"/>
        <w:rPr>
          <w:rFonts w:eastAsia="Times New Roman" w:cs="Times New Roman"/>
          <w:b/>
          <w:sz w:val="40"/>
          <w:szCs w:val="40"/>
          <w:lang w:eastAsia="en-AU"/>
        </w:rPr>
      </w:pPr>
    </w:p>
    <w:p w:rsidR="00CC79FE" w:rsidRPr="00FA1BCF" w:rsidRDefault="00CC79FE" w:rsidP="00E436E7">
      <w:pPr>
        <w:pStyle w:val="Heading1"/>
      </w:pPr>
      <w:bookmarkStart w:id="52" w:name="_Toc302625605"/>
      <w:r w:rsidRPr="00FA1BCF">
        <w:rPr>
          <w:lang w:eastAsia="en-AU"/>
        </w:rPr>
        <w:t xml:space="preserve">Section 7: </w:t>
      </w:r>
      <w:r w:rsidR="00B003BF" w:rsidRPr="00FA1BCF">
        <w:rPr>
          <w:lang w:eastAsia="en-AU"/>
        </w:rPr>
        <w:t xml:space="preserve">Life Saving Drugs Programme </w:t>
      </w:r>
      <w:r w:rsidRPr="00FA1BCF">
        <w:rPr>
          <w:lang w:eastAsia="en-AU"/>
        </w:rPr>
        <w:t xml:space="preserve">Reference Group </w:t>
      </w:r>
      <w:r w:rsidR="00B003BF" w:rsidRPr="00FA1BCF">
        <w:rPr>
          <w:lang w:eastAsia="en-AU"/>
        </w:rPr>
        <w:t>c</w:t>
      </w:r>
      <w:r w:rsidRPr="00FA1BCF">
        <w:rPr>
          <w:lang w:eastAsia="en-AU"/>
        </w:rPr>
        <w:t>onsiderations</w:t>
      </w:r>
      <w:bookmarkEnd w:id="52"/>
    </w:p>
    <w:p w:rsidR="00CC79FE" w:rsidRPr="00FA1BCF" w:rsidRDefault="00CC79FE" w:rsidP="00E436E7">
      <w:pPr>
        <w:pStyle w:val="Heading2"/>
      </w:pPr>
      <w:bookmarkStart w:id="53" w:name="_Toc302625606"/>
      <w:r w:rsidRPr="00FA1BCF">
        <w:t xml:space="preserve">7.1. Definition of </w:t>
      </w:r>
      <w:r w:rsidR="00B003BF" w:rsidRPr="00FA1BCF">
        <w:t>r</w:t>
      </w:r>
      <w:r w:rsidRPr="00FA1BCF">
        <w:t xml:space="preserve">are </w:t>
      </w:r>
      <w:r w:rsidR="00B003BF" w:rsidRPr="00FA1BCF">
        <w:t>d</w:t>
      </w:r>
      <w:r w:rsidRPr="00FA1BCF">
        <w:t>isease</w:t>
      </w:r>
      <w:bookmarkEnd w:id="53"/>
    </w:p>
    <w:p w:rsidR="001B40E7" w:rsidRPr="00FA1BCF" w:rsidRDefault="00AA5E41" w:rsidP="00E436E7">
      <w:pPr>
        <w:widowControl w:val="0"/>
        <w:autoSpaceDE w:val="0"/>
        <w:autoSpaceDN w:val="0"/>
        <w:adjustRightInd w:val="0"/>
        <w:jc w:val="both"/>
        <w:rPr>
          <w:szCs w:val="24"/>
        </w:rPr>
      </w:pPr>
      <w:r w:rsidRPr="00FA1BCF">
        <w:rPr>
          <w:szCs w:val="24"/>
        </w:rPr>
        <w:t xml:space="preserve">The </w:t>
      </w:r>
      <w:r w:rsidR="00F11CA5" w:rsidRPr="00FA1BCF">
        <w:rPr>
          <w:szCs w:val="24"/>
        </w:rPr>
        <w:t>reference group</w:t>
      </w:r>
      <w:r w:rsidRPr="00FA1BCF">
        <w:rPr>
          <w:szCs w:val="24"/>
        </w:rPr>
        <w:t xml:space="preserve"> noted there was substantial variation in how the terms rare disease, orphan disease and orphan medicines were used depending on the context. It noted and was sympathetic to the international movement to develop </w:t>
      </w:r>
      <w:r w:rsidR="00D22298" w:rsidRPr="00FA1BCF">
        <w:rPr>
          <w:szCs w:val="24"/>
        </w:rPr>
        <w:t xml:space="preserve">comprehensive </w:t>
      </w:r>
      <w:r w:rsidRPr="00FA1BCF">
        <w:rPr>
          <w:rFonts w:ascii="Calibri" w:hAnsi="Calibri" w:cs="Calibri"/>
          <w:szCs w:val="24"/>
        </w:rPr>
        <w:t xml:space="preserve">national rare diseases programmes that </w:t>
      </w:r>
      <w:r w:rsidR="00D22298" w:rsidRPr="00FA1BCF">
        <w:rPr>
          <w:rFonts w:ascii="Calibri" w:hAnsi="Calibri" w:cs="Calibri"/>
          <w:szCs w:val="24"/>
        </w:rPr>
        <w:t>provide for elements such as centres of diagnostic and treatment e</w:t>
      </w:r>
      <w:r w:rsidRPr="00FA1BCF">
        <w:rPr>
          <w:rFonts w:ascii="Calibri" w:hAnsi="Calibri" w:cs="Calibri"/>
          <w:szCs w:val="24"/>
        </w:rPr>
        <w:t>xp</w:t>
      </w:r>
      <w:r w:rsidR="00D22298" w:rsidRPr="00FA1BCF">
        <w:rPr>
          <w:rFonts w:ascii="Calibri" w:hAnsi="Calibri" w:cs="Calibri"/>
          <w:szCs w:val="24"/>
        </w:rPr>
        <w:t>ertise, special support services to assist patients with rare d</w:t>
      </w:r>
      <w:r w:rsidRPr="00FA1BCF">
        <w:rPr>
          <w:rFonts w:ascii="Calibri" w:hAnsi="Calibri" w:cs="Calibri"/>
          <w:szCs w:val="24"/>
        </w:rPr>
        <w:t>isorders</w:t>
      </w:r>
      <w:r w:rsidR="00D22298" w:rsidRPr="00FA1BCF">
        <w:rPr>
          <w:rFonts w:ascii="Calibri" w:hAnsi="Calibri" w:cs="Calibri"/>
          <w:szCs w:val="24"/>
        </w:rPr>
        <w:t xml:space="preserve">, and special research funding, in addition to access to medicines. The </w:t>
      </w:r>
      <w:r w:rsidR="00F11CA5" w:rsidRPr="00FA1BCF">
        <w:rPr>
          <w:rFonts w:ascii="Calibri" w:hAnsi="Calibri" w:cs="Calibri"/>
          <w:szCs w:val="24"/>
        </w:rPr>
        <w:t>reference group</w:t>
      </w:r>
      <w:r w:rsidR="00D22298" w:rsidRPr="00FA1BCF">
        <w:rPr>
          <w:rFonts w:ascii="Calibri" w:hAnsi="Calibri" w:cs="Calibri"/>
          <w:szCs w:val="24"/>
        </w:rPr>
        <w:t xml:space="preserve"> acknowledged that at a practical level it needed to recommend a numeric definition of rare disease for the purposes of this program</w:t>
      </w:r>
      <w:r w:rsidR="000B6C6B" w:rsidRPr="00FA1BCF">
        <w:rPr>
          <w:rFonts w:ascii="Calibri" w:hAnsi="Calibri" w:cs="Calibri"/>
          <w:szCs w:val="24"/>
        </w:rPr>
        <w:t xml:space="preserve">. It wanted to be clear </w:t>
      </w:r>
      <w:r w:rsidR="00D22298" w:rsidRPr="00FA1BCF">
        <w:rPr>
          <w:rFonts w:ascii="Calibri" w:hAnsi="Calibri" w:cs="Calibri"/>
          <w:szCs w:val="24"/>
        </w:rPr>
        <w:t>that any definition it proposed needed to be seen as specific to the terms of reference of the review and the specific nature of the program</w:t>
      </w:r>
      <w:r w:rsidR="000B6C6B" w:rsidRPr="00FA1BCF">
        <w:rPr>
          <w:rFonts w:ascii="Calibri" w:hAnsi="Calibri" w:cs="Calibri"/>
          <w:szCs w:val="24"/>
        </w:rPr>
        <w:t>me</w:t>
      </w:r>
      <w:r w:rsidR="00390443" w:rsidRPr="00FA1BCF">
        <w:rPr>
          <w:rFonts w:ascii="Calibri" w:hAnsi="Calibri" w:cs="Calibri"/>
          <w:szCs w:val="24"/>
        </w:rPr>
        <w:t>:</w:t>
      </w:r>
      <w:r w:rsidR="000B6C6B" w:rsidRPr="00FA1BCF">
        <w:rPr>
          <w:rFonts w:ascii="Calibri" w:hAnsi="Calibri" w:cs="Calibri"/>
          <w:szCs w:val="24"/>
        </w:rPr>
        <w:t xml:space="preserve"> that is, subsidy of medicines. </w:t>
      </w:r>
    </w:p>
    <w:p w:rsidR="00CC79FE" w:rsidRPr="00FA1BCF" w:rsidRDefault="00CC79FE" w:rsidP="00E436E7">
      <w:pPr>
        <w:pStyle w:val="Heading3"/>
      </w:pPr>
      <w:bookmarkStart w:id="54" w:name="_Toc302625607"/>
      <w:r w:rsidRPr="00FA1BCF">
        <w:t>7.1.1 Potential implications if the definition of rare disease is expanded</w:t>
      </w:r>
      <w:bookmarkEnd w:id="54"/>
    </w:p>
    <w:p w:rsidR="00CC79FE" w:rsidRPr="00FA1BCF" w:rsidRDefault="00CC79FE" w:rsidP="00CC79FE">
      <w:pPr>
        <w:jc w:val="both"/>
        <w:rPr>
          <w:szCs w:val="24"/>
        </w:rPr>
      </w:pPr>
      <w:r w:rsidRPr="00FA1BCF">
        <w:rPr>
          <w:szCs w:val="24"/>
        </w:rPr>
        <w:t xml:space="preserve">The </w:t>
      </w:r>
      <w:r w:rsidRPr="00E436E7">
        <w:rPr>
          <w:szCs w:val="24"/>
        </w:rPr>
        <w:t>Therapeutic Goods Regulation</w:t>
      </w:r>
      <w:r w:rsidR="008D3B4E" w:rsidRPr="00FA1BCF">
        <w:rPr>
          <w:szCs w:val="24"/>
        </w:rPr>
        <w:t>s</w:t>
      </w:r>
      <w:r w:rsidRPr="00E436E7">
        <w:rPr>
          <w:szCs w:val="24"/>
        </w:rPr>
        <w:t xml:space="preserve"> 1990</w:t>
      </w:r>
      <w:r w:rsidRPr="00FA1BCF">
        <w:rPr>
          <w:i/>
          <w:szCs w:val="24"/>
        </w:rPr>
        <w:t xml:space="preserve"> </w:t>
      </w:r>
      <w:r w:rsidRPr="00FA1BCF">
        <w:rPr>
          <w:szCs w:val="24"/>
        </w:rPr>
        <w:t xml:space="preserve">define rare disease as ‘a disease or condition likely to affect not more than 2,000 individuals in Australia at any one time’. This figure was on the basis of an incidence of 1 in 10,000, in a population of 20 million. The </w:t>
      </w:r>
      <w:r w:rsidR="00390443" w:rsidRPr="00FA1BCF">
        <w:rPr>
          <w:szCs w:val="24"/>
        </w:rPr>
        <w:t>Therapeutic Goods Administration (</w:t>
      </w:r>
      <w:r w:rsidRPr="00FA1BCF">
        <w:rPr>
          <w:szCs w:val="24"/>
        </w:rPr>
        <w:t>TGA</w:t>
      </w:r>
      <w:r w:rsidR="00390443" w:rsidRPr="00FA1BCF">
        <w:rPr>
          <w:szCs w:val="24"/>
        </w:rPr>
        <w:t>)</w:t>
      </w:r>
      <w:r w:rsidRPr="00FA1BCF">
        <w:rPr>
          <w:szCs w:val="24"/>
        </w:rPr>
        <w:t xml:space="preserve"> Orphan Drugs Programme </w:t>
      </w:r>
      <w:r w:rsidR="00B95C43" w:rsidRPr="00FA1BCF">
        <w:rPr>
          <w:szCs w:val="24"/>
        </w:rPr>
        <w:t xml:space="preserve">review </w:t>
      </w:r>
      <w:r w:rsidRPr="00FA1BCF">
        <w:rPr>
          <w:szCs w:val="24"/>
        </w:rPr>
        <w:t>discussion paper</w:t>
      </w:r>
      <w:r w:rsidR="00B95C43" w:rsidRPr="00FA1BCF">
        <w:rPr>
          <w:szCs w:val="24"/>
        </w:rPr>
        <w:t xml:space="preserve"> (TGA 2015)</w:t>
      </w:r>
      <w:r w:rsidRPr="00FA1BCF">
        <w:rPr>
          <w:szCs w:val="24"/>
        </w:rPr>
        <w:t xml:space="preserve"> indicates </w:t>
      </w:r>
      <w:r w:rsidR="00390443" w:rsidRPr="00FA1BCF">
        <w:rPr>
          <w:szCs w:val="24"/>
        </w:rPr>
        <w:t xml:space="preserve">that </w:t>
      </w:r>
      <w:r w:rsidRPr="00FA1BCF">
        <w:rPr>
          <w:szCs w:val="24"/>
        </w:rPr>
        <w:t>the TGA is considering an argument to adjust</w:t>
      </w:r>
      <w:r w:rsidR="00394297" w:rsidRPr="00FA1BCF">
        <w:rPr>
          <w:szCs w:val="24"/>
        </w:rPr>
        <w:t xml:space="preserve"> the</w:t>
      </w:r>
      <w:r w:rsidRPr="00FA1BCF">
        <w:rPr>
          <w:szCs w:val="24"/>
        </w:rPr>
        <w:t xml:space="preserve"> patient threshold now that the Australian population has grown to 23.5 million.</w:t>
      </w:r>
    </w:p>
    <w:p w:rsidR="00CC79FE" w:rsidRPr="00FA1BCF" w:rsidRDefault="00CC79FE" w:rsidP="00CC79FE">
      <w:pPr>
        <w:jc w:val="both"/>
        <w:rPr>
          <w:szCs w:val="24"/>
        </w:rPr>
      </w:pPr>
      <w:r w:rsidRPr="00FA1BCF">
        <w:rPr>
          <w:szCs w:val="24"/>
        </w:rPr>
        <w:t xml:space="preserve">During the LSDP public consultations, industry and patient advocacy groups have suggested aligning the definition of rare disease with that accepted by the European Medicines Agency and the UK </w:t>
      </w:r>
      <w:r w:rsidR="00394297" w:rsidRPr="00FA1BCF">
        <w:rPr>
          <w:szCs w:val="24"/>
        </w:rPr>
        <w:t>National Institute for Health and Care Excellence:</w:t>
      </w:r>
      <w:r w:rsidRPr="00FA1BCF">
        <w:rPr>
          <w:szCs w:val="24"/>
        </w:rPr>
        <w:t xml:space="preserve"> i.e. ‘the disease must be life-threatening or chronically debilitating with a prevalence of fewer than 5 in 10,000’</w:t>
      </w:r>
      <w:r w:rsidR="00394297" w:rsidRPr="00FA1BCF">
        <w:rPr>
          <w:szCs w:val="24"/>
        </w:rPr>
        <w:t>.</w:t>
      </w:r>
      <w:r w:rsidRPr="00FA1BCF">
        <w:rPr>
          <w:szCs w:val="24"/>
        </w:rPr>
        <w:t xml:space="preserve"> One submission</w:t>
      </w:r>
      <w:r w:rsidR="00386552" w:rsidRPr="00FA1BCF">
        <w:rPr>
          <w:szCs w:val="24"/>
        </w:rPr>
        <w:t xml:space="preserve"> n</w:t>
      </w:r>
      <w:r w:rsidRPr="00FA1BCF">
        <w:rPr>
          <w:szCs w:val="24"/>
        </w:rPr>
        <w:t xml:space="preserve">oted that if the definition proposed by the </w:t>
      </w:r>
      <w:r w:rsidR="00F11CA5" w:rsidRPr="00FA1BCF">
        <w:rPr>
          <w:szCs w:val="24"/>
        </w:rPr>
        <w:t>reference group</w:t>
      </w:r>
      <w:r w:rsidRPr="00FA1BCF">
        <w:rPr>
          <w:szCs w:val="24"/>
        </w:rPr>
        <w:t xml:space="preserve"> in the </w:t>
      </w:r>
      <w:r w:rsidR="00394297" w:rsidRPr="00FA1BCF">
        <w:rPr>
          <w:szCs w:val="24"/>
        </w:rPr>
        <w:t>i</w:t>
      </w:r>
      <w:r w:rsidRPr="00FA1BCF">
        <w:rPr>
          <w:szCs w:val="24"/>
        </w:rPr>
        <w:t xml:space="preserve">ssues </w:t>
      </w:r>
      <w:r w:rsidR="00394297" w:rsidRPr="00FA1BCF">
        <w:rPr>
          <w:szCs w:val="24"/>
        </w:rPr>
        <w:t>p</w:t>
      </w:r>
      <w:r w:rsidRPr="00FA1BCF">
        <w:rPr>
          <w:szCs w:val="24"/>
        </w:rPr>
        <w:t xml:space="preserve">aper </w:t>
      </w:r>
      <w:r w:rsidR="00394297" w:rsidRPr="00FA1BCF">
        <w:rPr>
          <w:szCs w:val="24"/>
        </w:rPr>
        <w:t xml:space="preserve">were </w:t>
      </w:r>
      <w:r w:rsidRPr="00FA1BCF">
        <w:rPr>
          <w:szCs w:val="24"/>
        </w:rPr>
        <w:t>to be adopted there would be a ‘profound effect for patients and communities and those people receiving treatments on the LSDP’. The submission goes on to say that ‘in order for Australia to meet the needs of the rare disease community living with life limiting disease, the definition should be mindful of the definitions adopted in similar nations and give due consideration to the principles of fairness and equity for those living with a rare condition</w:t>
      </w:r>
      <w:r w:rsidR="00394297" w:rsidRPr="00FA1BCF">
        <w:rPr>
          <w:szCs w:val="24"/>
        </w:rPr>
        <w:t>’</w:t>
      </w:r>
      <w:r w:rsidRPr="00FA1BCF">
        <w:rPr>
          <w:szCs w:val="24"/>
        </w:rPr>
        <w:t>. It concluded that the most logical definition for Australia to align with was the European</w:t>
      </w:r>
      <w:r w:rsidR="00394297" w:rsidRPr="00FA1BCF">
        <w:rPr>
          <w:szCs w:val="24"/>
        </w:rPr>
        <w:t xml:space="preserve"> Union (EU)</w:t>
      </w:r>
      <w:r w:rsidRPr="00FA1BCF">
        <w:rPr>
          <w:szCs w:val="24"/>
        </w:rPr>
        <w:t xml:space="preserve"> definition. </w:t>
      </w:r>
    </w:p>
    <w:p w:rsidR="00AF5283" w:rsidRPr="00FA1BCF" w:rsidRDefault="00CC79FE" w:rsidP="00CC79FE">
      <w:pPr>
        <w:rPr>
          <w:rFonts w:cs="Arial"/>
          <w:b/>
          <w:sz w:val="28"/>
          <w:szCs w:val="28"/>
        </w:rPr>
      </w:pPr>
      <w:r w:rsidRPr="00FA1BCF">
        <w:rPr>
          <w:szCs w:val="24"/>
        </w:rPr>
        <w:t xml:space="preserve">Table </w:t>
      </w:r>
      <w:r w:rsidR="00FC7E6D" w:rsidRPr="00FA1BCF">
        <w:rPr>
          <w:szCs w:val="24"/>
        </w:rPr>
        <w:t>7</w:t>
      </w:r>
      <w:r w:rsidRPr="00FA1BCF">
        <w:rPr>
          <w:szCs w:val="24"/>
        </w:rPr>
        <w:t xml:space="preserve"> presents examples of diseases that would be described as a rare disease if the definition </w:t>
      </w:r>
      <w:r w:rsidR="00394297" w:rsidRPr="00FA1BCF">
        <w:rPr>
          <w:szCs w:val="24"/>
        </w:rPr>
        <w:t>were</w:t>
      </w:r>
      <w:r w:rsidRPr="00FA1BCF">
        <w:rPr>
          <w:szCs w:val="24"/>
        </w:rPr>
        <w:t xml:space="preserve"> changed to higher disease prevalence. The table also shows the </w:t>
      </w:r>
      <w:r w:rsidR="00394297" w:rsidRPr="00FA1BCF">
        <w:rPr>
          <w:szCs w:val="24"/>
        </w:rPr>
        <w:t>Pharmaceutical Benefits Scheme (PBS)</w:t>
      </w:r>
      <w:r w:rsidRPr="00FA1BCF">
        <w:rPr>
          <w:szCs w:val="24"/>
        </w:rPr>
        <w:t xml:space="preserve"> listed therapies for the diseases.</w:t>
      </w:r>
    </w:p>
    <w:p w:rsidR="00BE2BBB" w:rsidRPr="00FA1BCF" w:rsidRDefault="00BE2BBB">
      <w:pPr>
        <w:spacing w:before="0" w:after="200" w:line="276" w:lineRule="auto"/>
        <w:rPr>
          <w:rFonts w:ascii="Calibri" w:eastAsia="Times New Roman" w:hAnsi="Calibri" w:cs="Times New Roman"/>
          <w:b/>
          <w:bCs/>
          <w:color w:val="1F497D"/>
          <w:sz w:val="28"/>
          <w:szCs w:val="28"/>
        </w:rPr>
      </w:pPr>
      <w:r w:rsidRPr="00FA1BCF">
        <w:br w:type="page"/>
      </w:r>
    </w:p>
    <w:p w:rsidR="00CC79FE" w:rsidRPr="00FA1BCF" w:rsidRDefault="00CC79FE" w:rsidP="00E436E7">
      <w:pPr>
        <w:pStyle w:val="Caption"/>
      </w:pPr>
      <w:r w:rsidRPr="00FA1BCF">
        <w:lastRenderedPageBreak/>
        <w:t xml:space="preserve">Table </w:t>
      </w:r>
      <w:r w:rsidR="00FC7E6D" w:rsidRPr="00FA1BCF">
        <w:t>7</w:t>
      </w:r>
      <w:r w:rsidRPr="00FA1BCF">
        <w:t>: Examples of diseases with a reported incidence or prevalence of 1</w:t>
      </w:r>
      <w:r w:rsidR="00BE2BBB" w:rsidRPr="00FA1BCF">
        <w:t> </w:t>
      </w:r>
      <w:r w:rsidRPr="00FA1BCF">
        <w:t>per</w:t>
      </w:r>
      <w:r w:rsidR="00BE2BBB" w:rsidRPr="00FA1BCF">
        <w:t> </w:t>
      </w:r>
      <w:r w:rsidRPr="00FA1BCF">
        <w:t>10</w:t>
      </w:r>
      <w:r w:rsidR="00BE2BBB" w:rsidRPr="00FA1BCF">
        <w:t>,</w:t>
      </w:r>
      <w:r w:rsidRPr="00FA1BCF">
        <w:t>000 (10 per 100</w:t>
      </w:r>
      <w:r w:rsidR="00BE2BBB" w:rsidRPr="00FA1BCF">
        <w:t>,</w:t>
      </w:r>
      <w:r w:rsidRPr="00FA1BCF">
        <w:t>000), 5 per 10,000 (50 per 100</w:t>
      </w:r>
      <w:r w:rsidR="00BE2BBB" w:rsidRPr="00FA1BCF">
        <w:t>,</w:t>
      </w:r>
      <w:r w:rsidRPr="00FA1BCF">
        <w:t>000) and 1 per 50</w:t>
      </w:r>
      <w:r w:rsidR="00BE2BBB" w:rsidRPr="00FA1BCF">
        <w:t>,</w:t>
      </w:r>
      <w:r w:rsidRPr="00FA1BCF">
        <w:t>000 (2</w:t>
      </w:r>
      <w:r w:rsidR="003B146F" w:rsidRPr="00FA1BCF">
        <w:t>–</w:t>
      </w:r>
      <w:r w:rsidRPr="00FA1BCF">
        <w:t>3 per 100</w:t>
      </w:r>
      <w:r w:rsidR="00BE2BBB" w:rsidRPr="00FA1BCF">
        <w:t>,</w:t>
      </w:r>
      <w:r w:rsidRPr="00FA1BCF">
        <w:t>000)</w:t>
      </w:r>
    </w:p>
    <w:tbl>
      <w:tblPr>
        <w:tblStyle w:val="TableGrid"/>
        <w:tblW w:w="0" w:type="auto"/>
        <w:tblLook w:val="04A0" w:firstRow="1" w:lastRow="0" w:firstColumn="1" w:lastColumn="0" w:noHBand="0" w:noVBand="1"/>
      </w:tblPr>
      <w:tblGrid>
        <w:gridCol w:w="1906"/>
        <w:gridCol w:w="1568"/>
        <w:gridCol w:w="2336"/>
        <w:gridCol w:w="3370"/>
      </w:tblGrid>
      <w:tr w:rsidR="00CC79FE" w:rsidRPr="00FA1BCF" w:rsidTr="00DC19F4">
        <w:tc>
          <w:tcPr>
            <w:tcW w:w="1906" w:type="dxa"/>
            <w:shd w:val="clear" w:color="auto" w:fill="C0504D" w:themeFill="accent2"/>
          </w:tcPr>
          <w:p w:rsidR="00CC79FE" w:rsidRPr="00DC19F4" w:rsidRDefault="00CC79FE" w:rsidP="00E436E7">
            <w:pPr>
              <w:pStyle w:val="TableHeading"/>
              <w:rPr>
                <w:color w:val="FFFFFF" w:themeColor="background1"/>
              </w:rPr>
            </w:pPr>
            <w:r w:rsidRPr="00DC19F4">
              <w:rPr>
                <w:color w:val="FFFFFF" w:themeColor="background1"/>
              </w:rPr>
              <w:t>Example diseases</w:t>
            </w:r>
          </w:p>
        </w:tc>
        <w:tc>
          <w:tcPr>
            <w:tcW w:w="1568" w:type="dxa"/>
            <w:shd w:val="clear" w:color="auto" w:fill="C0504D" w:themeFill="accent2"/>
          </w:tcPr>
          <w:p w:rsidR="00CC79FE" w:rsidRPr="00DC19F4" w:rsidRDefault="00CC79FE" w:rsidP="00E436E7">
            <w:pPr>
              <w:pStyle w:val="TableHeading"/>
              <w:rPr>
                <w:color w:val="FFFFFF" w:themeColor="background1"/>
              </w:rPr>
            </w:pPr>
            <w:r w:rsidRPr="00DC19F4">
              <w:rPr>
                <w:color w:val="FFFFFF" w:themeColor="background1"/>
              </w:rPr>
              <w:t>Number of Australians with the disease</w:t>
            </w:r>
          </w:p>
        </w:tc>
        <w:tc>
          <w:tcPr>
            <w:tcW w:w="2336" w:type="dxa"/>
            <w:shd w:val="clear" w:color="auto" w:fill="C0504D" w:themeFill="accent2"/>
          </w:tcPr>
          <w:p w:rsidR="00CC79FE" w:rsidRPr="00DC19F4" w:rsidRDefault="00CC79FE" w:rsidP="00E436E7">
            <w:pPr>
              <w:pStyle w:val="TableHeading"/>
              <w:rPr>
                <w:color w:val="FFFFFF" w:themeColor="background1"/>
              </w:rPr>
            </w:pPr>
            <w:r w:rsidRPr="00DC19F4">
              <w:rPr>
                <w:color w:val="FFFFFF" w:themeColor="background1"/>
              </w:rPr>
              <w:t>Example therapy for disease on PBS</w:t>
            </w:r>
          </w:p>
        </w:tc>
        <w:tc>
          <w:tcPr>
            <w:tcW w:w="3370" w:type="dxa"/>
            <w:shd w:val="clear" w:color="auto" w:fill="C0504D" w:themeFill="accent2"/>
          </w:tcPr>
          <w:p w:rsidR="00CC79FE" w:rsidRPr="00DC19F4" w:rsidRDefault="00CC79FE" w:rsidP="00E436E7">
            <w:pPr>
              <w:pStyle w:val="TableHeading"/>
              <w:rPr>
                <w:color w:val="FFFFFF" w:themeColor="background1"/>
              </w:rPr>
            </w:pPr>
            <w:r w:rsidRPr="00DC19F4">
              <w:rPr>
                <w:color w:val="FFFFFF" w:themeColor="background1"/>
              </w:rPr>
              <w:t xml:space="preserve">Reported incidence or prevalence </w:t>
            </w:r>
          </w:p>
        </w:tc>
      </w:tr>
      <w:tr w:rsidR="00CC79FE" w:rsidRPr="00FA1BCF" w:rsidTr="00E622B4">
        <w:tc>
          <w:tcPr>
            <w:tcW w:w="1906" w:type="dxa"/>
          </w:tcPr>
          <w:p w:rsidR="00CC79FE" w:rsidRPr="00E436E7" w:rsidRDefault="00CC79FE" w:rsidP="00E436E7">
            <w:pPr>
              <w:pStyle w:val="TableText"/>
            </w:pPr>
            <w:r w:rsidRPr="00E436E7">
              <w:rPr>
                <w:lang w:eastAsia="en-AU"/>
              </w:rPr>
              <w:t xml:space="preserve">Glial </w:t>
            </w:r>
            <w:proofErr w:type="spellStart"/>
            <w:r w:rsidRPr="00E436E7">
              <w:rPr>
                <w:lang w:eastAsia="en-AU"/>
              </w:rPr>
              <w:t>tumour</w:t>
            </w:r>
            <w:r w:rsidRPr="00E436E7">
              <w:rPr>
                <w:vertAlign w:val="superscript"/>
              </w:rPr>
              <w:t>a</w:t>
            </w:r>
            <w:proofErr w:type="spellEnd"/>
          </w:p>
        </w:tc>
        <w:tc>
          <w:tcPr>
            <w:tcW w:w="1568" w:type="dxa"/>
          </w:tcPr>
          <w:p w:rsidR="00CC79FE" w:rsidRPr="00E436E7" w:rsidRDefault="00CC79FE" w:rsidP="00E436E7">
            <w:pPr>
              <w:pStyle w:val="TableText"/>
            </w:pPr>
            <w:r w:rsidRPr="00E436E7">
              <w:t>Around 2,500</w:t>
            </w:r>
            <w:r w:rsidRPr="00E436E7">
              <w:rPr>
                <w:vertAlign w:val="superscript"/>
              </w:rPr>
              <w:t>b</w:t>
            </w:r>
          </w:p>
        </w:tc>
        <w:tc>
          <w:tcPr>
            <w:tcW w:w="2336" w:type="dxa"/>
          </w:tcPr>
          <w:p w:rsidR="00CC79FE" w:rsidRPr="00E436E7" w:rsidRDefault="00CC79FE" w:rsidP="00E436E7">
            <w:pPr>
              <w:pStyle w:val="TableText"/>
            </w:pPr>
            <w:proofErr w:type="spellStart"/>
            <w:r w:rsidRPr="00E436E7">
              <w:t>Temozolomide</w:t>
            </w:r>
            <w:proofErr w:type="spellEnd"/>
            <w:r w:rsidRPr="00E436E7">
              <w:t xml:space="preserve">, </w:t>
            </w:r>
            <w:proofErr w:type="spellStart"/>
            <w:r w:rsidRPr="00E436E7">
              <w:t>carmustine</w:t>
            </w:r>
            <w:proofErr w:type="spellEnd"/>
          </w:p>
        </w:tc>
        <w:tc>
          <w:tcPr>
            <w:tcW w:w="3370" w:type="dxa"/>
          </w:tcPr>
          <w:p w:rsidR="00CC79FE" w:rsidRPr="00E436E7" w:rsidRDefault="00CC79FE" w:rsidP="00E436E7">
            <w:pPr>
              <w:pStyle w:val="TableText"/>
            </w:pPr>
            <w:r w:rsidRPr="00E436E7">
              <w:t>1 per 10</w:t>
            </w:r>
            <w:r w:rsidR="000A62B8" w:rsidRPr="00FA1BCF">
              <w:t>,</w:t>
            </w:r>
            <w:r w:rsidRPr="00E436E7">
              <w:t>000 (10 per 100</w:t>
            </w:r>
            <w:r w:rsidR="000A62B8" w:rsidRPr="00FA1BCF">
              <w:t>,</w:t>
            </w:r>
            <w:r w:rsidRPr="00E436E7">
              <w:t>000)</w:t>
            </w:r>
          </w:p>
        </w:tc>
      </w:tr>
      <w:tr w:rsidR="00CC79FE" w:rsidRPr="00FA1BCF" w:rsidTr="00DC19F4">
        <w:tc>
          <w:tcPr>
            <w:tcW w:w="1906" w:type="dxa"/>
            <w:shd w:val="clear" w:color="auto" w:fill="EAF1DD" w:themeFill="accent3" w:themeFillTint="33"/>
          </w:tcPr>
          <w:p w:rsidR="00CC79FE" w:rsidRPr="00E436E7" w:rsidRDefault="00CC79FE" w:rsidP="00E436E7">
            <w:pPr>
              <w:pStyle w:val="TableText"/>
              <w:rPr>
                <w:lang w:eastAsia="en-AU"/>
              </w:rPr>
            </w:pPr>
            <w:r w:rsidRPr="00E436E7">
              <w:rPr>
                <w:lang w:eastAsia="en-AU"/>
              </w:rPr>
              <w:t>Acute myeloid leukaemia</w:t>
            </w:r>
          </w:p>
        </w:tc>
        <w:tc>
          <w:tcPr>
            <w:tcW w:w="1568" w:type="dxa"/>
            <w:shd w:val="clear" w:color="auto" w:fill="EAF1DD" w:themeFill="accent3" w:themeFillTint="33"/>
          </w:tcPr>
          <w:p w:rsidR="00CC79FE" w:rsidRPr="00E436E7" w:rsidRDefault="00CC79FE" w:rsidP="00E436E7">
            <w:pPr>
              <w:pStyle w:val="TableText"/>
            </w:pPr>
            <w:r w:rsidRPr="00E436E7">
              <w:t>Around 1,400</w:t>
            </w:r>
            <w:r w:rsidRPr="00E436E7">
              <w:rPr>
                <w:vertAlign w:val="superscript"/>
              </w:rPr>
              <w:t>c</w:t>
            </w:r>
          </w:p>
        </w:tc>
        <w:tc>
          <w:tcPr>
            <w:tcW w:w="2336" w:type="dxa"/>
            <w:shd w:val="clear" w:color="auto" w:fill="EAF1DD" w:themeFill="accent3" w:themeFillTint="33"/>
          </w:tcPr>
          <w:p w:rsidR="00CC79FE" w:rsidRPr="00E436E7" w:rsidRDefault="00CC79FE" w:rsidP="00E436E7">
            <w:pPr>
              <w:pStyle w:val="TableText"/>
            </w:pPr>
            <w:proofErr w:type="spellStart"/>
            <w:r w:rsidRPr="00E436E7">
              <w:t>Azacitidine</w:t>
            </w:r>
            <w:proofErr w:type="spellEnd"/>
          </w:p>
        </w:tc>
        <w:tc>
          <w:tcPr>
            <w:tcW w:w="3370" w:type="dxa"/>
            <w:shd w:val="clear" w:color="auto" w:fill="EAF1DD" w:themeFill="accent3" w:themeFillTint="33"/>
          </w:tcPr>
          <w:p w:rsidR="00CC79FE" w:rsidRPr="00E436E7" w:rsidRDefault="00CC79FE" w:rsidP="00E436E7">
            <w:pPr>
              <w:pStyle w:val="TableText"/>
            </w:pPr>
            <w:r w:rsidRPr="00E436E7">
              <w:t>1 per 10</w:t>
            </w:r>
            <w:r w:rsidR="000A62B8" w:rsidRPr="00FA1BCF">
              <w:t>,</w:t>
            </w:r>
            <w:r w:rsidRPr="00E436E7">
              <w:t>000 (10 per 100</w:t>
            </w:r>
            <w:r w:rsidR="000A62B8" w:rsidRPr="00FA1BCF">
              <w:t>,</w:t>
            </w:r>
            <w:r w:rsidRPr="00E436E7">
              <w:t>000)</w:t>
            </w:r>
          </w:p>
        </w:tc>
      </w:tr>
      <w:tr w:rsidR="00CC79FE" w:rsidRPr="00FA1BCF" w:rsidTr="00E622B4">
        <w:tc>
          <w:tcPr>
            <w:tcW w:w="1906" w:type="dxa"/>
          </w:tcPr>
          <w:p w:rsidR="00CC79FE" w:rsidRPr="00E436E7" w:rsidRDefault="00CC79FE" w:rsidP="00E436E7">
            <w:pPr>
              <w:pStyle w:val="TableText"/>
              <w:rPr>
                <w:lang w:eastAsia="en-AU"/>
              </w:rPr>
            </w:pPr>
            <w:r w:rsidRPr="00E436E7">
              <w:rPr>
                <w:lang w:eastAsia="en-AU"/>
              </w:rPr>
              <w:t>Pancreatic cancer</w:t>
            </w:r>
          </w:p>
        </w:tc>
        <w:tc>
          <w:tcPr>
            <w:tcW w:w="1568" w:type="dxa"/>
          </w:tcPr>
          <w:p w:rsidR="00CC79FE" w:rsidRPr="00E436E7" w:rsidRDefault="00CC79FE" w:rsidP="00E436E7">
            <w:pPr>
              <w:pStyle w:val="TableText"/>
            </w:pPr>
            <w:r w:rsidRPr="00E436E7">
              <w:t>Around 2,000</w:t>
            </w:r>
            <w:r w:rsidRPr="00E436E7">
              <w:rPr>
                <w:vertAlign w:val="superscript"/>
              </w:rPr>
              <w:t>d</w:t>
            </w:r>
          </w:p>
        </w:tc>
        <w:tc>
          <w:tcPr>
            <w:tcW w:w="2336" w:type="dxa"/>
          </w:tcPr>
          <w:p w:rsidR="00CC79FE" w:rsidRPr="00E436E7" w:rsidRDefault="00CC79FE" w:rsidP="00E436E7">
            <w:pPr>
              <w:pStyle w:val="TableText"/>
            </w:pPr>
            <w:proofErr w:type="spellStart"/>
            <w:r w:rsidRPr="00E436E7">
              <w:t>Everolimus</w:t>
            </w:r>
            <w:proofErr w:type="spellEnd"/>
            <w:r w:rsidRPr="00E436E7">
              <w:t xml:space="preserve">, </w:t>
            </w:r>
            <w:proofErr w:type="spellStart"/>
            <w:r w:rsidRPr="00E436E7">
              <w:t>sunitinib</w:t>
            </w:r>
            <w:proofErr w:type="spellEnd"/>
          </w:p>
        </w:tc>
        <w:tc>
          <w:tcPr>
            <w:tcW w:w="3370" w:type="dxa"/>
          </w:tcPr>
          <w:p w:rsidR="00CC79FE" w:rsidRPr="00E436E7" w:rsidRDefault="00CC79FE" w:rsidP="00E436E7">
            <w:pPr>
              <w:pStyle w:val="TableText"/>
            </w:pPr>
            <w:r w:rsidRPr="00E436E7">
              <w:t>1 per 10</w:t>
            </w:r>
            <w:r w:rsidR="000A62B8" w:rsidRPr="00FA1BCF">
              <w:t>,</w:t>
            </w:r>
            <w:r w:rsidRPr="00E436E7">
              <w:t>000 (10 per 100</w:t>
            </w:r>
            <w:r w:rsidR="000A62B8" w:rsidRPr="00FA1BCF">
              <w:t>,</w:t>
            </w:r>
            <w:r w:rsidRPr="00E436E7">
              <w:t>000)</w:t>
            </w:r>
          </w:p>
        </w:tc>
      </w:tr>
      <w:tr w:rsidR="00CC79FE" w:rsidRPr="00FA1BCF" w:rsidTr="00DC19F4">
        <w:tc>
          <w:tcPr>
            <w:tcW w:w="1906" w:type="dxa"/>
            <w:shd w:val="clear" w:color="auto" w:fill="EAF1DD" w:themeFill="accent3" w:themeFillTint="33"/>
          </w:tcPr>
          <w:p w:rsidR="00CC79FE" w:rsidRPr="00E436E7" w:rsidRDefault="00CC79FE" w:rsidP="00E436E7">
            <w:pPr>
              <w:pStyle w:val="TableText"/>
            </w:pPr>
            <w:r w:rsidRPr="00E436E7">
              <w:rPr>
                <w:lang w:eastAsia="en-AU"/>
              </w:rPr>
              <w:t>Phenylketonuria</w:t>
            </w:r>
          </w:p>
        </w:tc>
        <w:tc>
          <w:tcPr>
            <w:tcW w:w="1568" w:type="dxa"/>
            <w:shd w:val="clear" w:color="auto" w:fill="EAF1DD" w:themeFill="accent3" w:themeFillTint="33"/>
          </w:tcPr>
          <w:p w:rsidR="00CC79FE" w:rsidRPr="00E436E7" w:rsidRDefault="00CC79FE" w:rsidP="00E436E7">
            <w:pPr>
              <w:pStyle w:val="TableText"/>
            </w:pPr>
            <w:r w:rsidRPr="00E436E7">
              <w:t>Approx. 1 in 10</w:t>
            </w:r>
            <w:r w:rsidR="00BE2BBB" w:rsidRPr="00FA1BCF">
              <w:t>,</w:t>
            </w:r>
            <w:r w:rsidRPr="00E436E7">
              <w:t xml:space="preserve">000 </w:t>
            </w:r>
            <w:proofErr w:type="spellStart"/>
            <w:r w:rsidRPr="00E436E7">
              <w:t>births</w:t>
            </w:r>
            <w:r w:rsidRPr="00E436E7">
              <w:rPr>
                <w:bCs/>
                <w:vertAlign w:val="superscript"/>
                <w:lang w:eastAsia="en-AU"/>
              </w:rPr>
              <w:t>e</w:t>
            </w:r>
            <w:proofErr w:type="spellEnd"/>
          </w:p>
        </w:tc>
        <w:tc>
          <w:tcPr>
            <w:tcW w:w="2336" w:type="dxa"/>
            <w:shd w:val="clear" w:color="auto" w:fill="EAF1DD" w:themeFill="accent3" w:themeFillTint="33"/>
          </w:tcPr>
          <w:p w:rsidR="00CC79FE" w:rsidRPr="00E436E7" w:rsidRDefault="00CC79FE" w:rsidP="00E436E7">
            <w:pPr>
              <w:pStyle w:val="TableText"/>
            </w:pPr>
            <w:r w:rsidRPr="00E436E7">
              <w:t>Amino acid formula with vitamins and minerals without phenylalanine</w:t>
            </w:r>
          </w:p>
        </w:tc>
        <w:tc>
          <w:tcPr>
            <w:tcW w:w="3370" w:type="dxa"/>
            <w:shd w:val="clear" w:color="auto" w:fill="EAF1DD" w:themeFill="accent3" w:themeFillTint="33"/>
          </w:tcPr>
          <w:p w:rsidR="00CC79FE" w:rsidRPr="00E436E7" w:rsidRDefault="00CC79FE" w:rsidP="00E436E7">
            <w:pPr>
              <w:pStyle w:val="TableText"/>
            </w:pPr>
            <w:r w:rsidRPr="00E436E7">
              <w:t>1 per 10</w:t>
            </w:r>
            <w:r w:rsidR="000A62B8" w:rsidRPr="00FA1BCF">
              <w:t>,</w:t>
            </w:r>
            <w:r w:rsidRPr="00E436E7">
              <w:t>000 (10 per 100</w:t>
            </w:r>
            <w:r w:rsidR="000A62B8" w:rsidRPr="00FA1BCF">
              <w:t>,</w:t>
            </w:r>
            <w:r w:rsidRPr="00E436E7">
              <w:t>000)</w:t>
            </w:r>
          </w:p>
        </w:tc>
      </w:tr>
      <w:tr w:rsidR="00CC79FE" w:rsidRPr="00FA1BCF" w:rsidTr="00E622B4">
        <w:tc>
          <w:tcPr>
            <w:tcW w:w="1906" w:type="dxa"/>
          </w:tcPr>
          <w:p w:rsidR="00CC79FE" w:rsidRPr="00E436E7" w:rsidRDefault="00CC79FE" w:rsidP="00E436E7">
            <w:pPr>
              <w:pStyle w:val="TableText"/>
            </w:pPr>
            <w:r w:rsidRPr="00E436E7">
              <w:t>Cystic fibrosis</w:t>
            </w:r>
          </w:p>
        </w:tc>
        <w:tc>
          <w:tcPr>
            <w:tcW w:w="1568" w:type="dxa"/>
          </w:tcPr>
          <w:p w:rsidR="00CC79FE" w:rsidRPr="00E436E7" w:rsidRDefault="00CC79FE" w:rsidP="00E436E7">
            <w:pPr>
              <w:pStyle w:val="TableText"/>
            </w:pPr>
            <w:r w:rsidRPr="00E436E7">
              <w:t>Around 3,500</w:t>
            </w:r>
            <w:r w:rsidRPr="00E436E7">
              <w:rPr>
                <w:color w:val="000000" w:themeColor="text1"/>
                <w:vertAlign w:val="superscript"/>
              </w:rPr>
              <w:t>f</w:t>
            </w:r>
          </w:p>
        </w:tc>
        <w:tc>
          <w:tcPr>
            <w:tcW w:w="2336" w:type="dxa"/>
          </w:tcPr>
          <w:p w:rsidR="00CC79FE" w:rsidRPr="00E436E7" w:rsidRDefault="00CC79FE" w:rsidP="00E436E7">
            <w:pPr>
              <w:pStyle w:val="TableText"/>
            </w:pPr>
            <w:proofErr w:type="spellStart"/>
            <w:r w:rsidRPr="00E436E7">
              <w:t>Dornase</w:t>
            </w:r>
            <w:proofErr w:type="spellEnd"/>
            <w:r w:rsidRPr="00E436E7">
              <w:t xml:space="preserve"> </w:t>
            </w:r>
            <w:proofErr w:type="spellStart"/>
            <w:r w:rsidRPr="00E436E7">
              <w:t>alfa</w:t>
            </w:r>
            <w:proofErr w:type="spellEnd"/>
            <w:r w:rsidRPr="00E436E7">
              <w:t xml:space="preserve">, tobramycin, </w:t>
            </w:r>
            <w:proofErr w:type="spellStart"/>
            <w:r w:rsidRPr="00E436E7">
              <w:t>ivacaftor</w:t>
            </w:r>
            <w:proofErr w:type="spellEnd"/>
          </w:p>
        </w:tc>
        <w:tc>
          <w:tcPr>
            <w:tcW w:w="3370" w:type="dxa"/>
          </w:tcPr>
          <w:p w:rsidR="00CC79FE" w:rsidRPr="00E436E7" w:rsidRDefault="00CC79FE" w:rsidP="00E436E7">
            <w:pPr>
              <w:pStyle w:val="TableText"/>
            </w:pPr>
            <w:r w:rsidRPr="00E436E7">
              <w:t>5 per 10</w:t>
            </w:r>
            <w:r w:rsidR="000A62B8" w:rsidRPr="00FA1BCF">
              <w:t>,</w:t>
            </w:r>
            <w:r w:rsidRPr="00E436E7">
              <w:t>000 (50 per 100</w:t>
            </w:r>
            <w:r w:rsidR="000A62B8" w:rsidRPr="00FA1BCF">
              <w:t>,</w:t>
            </w:r>
            <w:r w:rsidRPr="00E436E7">
              <w:t>000)</w:t>
            </w:r>
          </w:p>
        </w:tc>
      </w:tr>
      <w:tr w:rsidR="00CC79FE" w:rsidRPr="00FA1BCF" w:rsidTr="00DC19F4">
        <w:tc>
          <w:tcPr>
            <w:tcW w:w="1906" w:type="dxa"/>
            <w:shd w:val="clear" w:color="auto" w:fill="EAF1DD" w:themeFill="accent3" w:themeFillTint="33"/>
          </w:tcPr>
          <w:p w:rsidR="00CC79FE" w:rsidRPr="00E436E7" w:rsidRDefault="00CC79FE" w:rsidP="00E436E7">
            <w:pPr>
              <w:pStyle w:val="TableText"/>
            </w:pPr>
            <w:r w:rsidRPr="00E436E7">
              <w:t>Gastric cancer</w:t>
            </w:r>
          </w:p>
        </w:tc>
        <w:tc>
          <w:tcPr>
            <w:tcW w:w="1568" w:type="dxa"/>
            <w:shd w:val="clear" w:color="auto" w:fill="EAF1DD" w:themeFill="accent3" w:themeFillTint="33"/>
          </w:tcPr>
          <w:p w:rsidR="00CC79FE" w:rsidRPr="00E436E7" w:rsidRDefault="00CC79FE" w:rsidP="00E436E7">
            <w:pPr>
              <w:pStyle w:val="TableText"/>
            </w:pPr>
            <w:r w:rsidRPr="00E436E7">
              <w:t>Around 3,600</w:t>
            </w:r>
            <w:r w:rsidRPr="00E436E7">
              <w:rPr>
                <w:color w:val="000000" w:themeColor="text1"/>
                <w:vertAlign w:val="superscript"/>
              </w:rPr>
              <w:t>g</w:t>
            </w:r>
          </w:p>
        </w:tc>
        <w:tc>
          <w:tcPr>
            <w:tcW w:w="2336" w:type="dxa"/>
            <w:shd w:val="clear" w:color="auto" w:fill="EAF1DD" w:themeFill="accent3" w:themeFillTint="33"/>
          </w:tcPr>
          <w:p w:rsidR="00CC79FE" w:rsidRPr="00E436E7" w:rsidRDefault="00CC79FE" w:rsidP="00E436E7">
            <w:pPr>
              <w:pStyle w:val="TableText"/>
            </w:pPr>
            <w:proofErr w:type="spellStart"/>
            <w:r w:rsidRPr="00E436E7">
              <w:t>Docetaxel</w:t>
            </w:r>
            <w:proofErr w:type="spellEnd"/>
            <w:r w:rsidRPr="00E436E7">
              <w:t>, Fluorouracil</w:t>
            </w:r>
          </w:p>
        </w:tc>
        <w:tc>
          <w:tcPr>
            <w:tcW w:w="3370" w:type="dxa"/>
            <w:shd w:val="clear" w:color="auto" w:fill="EAF1DD" w:themeFill="accent3" w:themeFillTint="33"/>
          </w:tcPr>
          <w:p w:rsidR="00CC79FE" w:rsidRPr="00E436E7" w:rsidRDefault="00CC79FE" w:rsidP="00E436E7">
            <w:pPr>
              <w:pStyle w:val="TableText"/>
            </w:pPr>
            <w:r w:rsidRPr="00E436E7">
              <w:t>5 per 10</w:t>
            </w:r>
            <w:r w:rsidR="000A62B8" w:rsidRPr="00FA1BCF">
              <w:t>,</w:t>
            </w:r>
            <w:r w:rsidRPr="00E436E7">
              <w:t>000 (50 per 100</w:t>
            </w:r>
            <w:r w:rsidR="000A62B8" w:rsidRPr="00FA1BCF">
              <w:t>,</w:t>
            </w:r>
            <w:r w:rsidRPr="00E436E7">
              <w:t>000)</w:t>
            </w:r>
          </w:p>
        </w:tc>
      </w:tr>
      <w:tr w:rsidR="00CC79FE" w:rsidRPr="00FA1BCF" w:rsidTr="00E622B4">
        <w:tc>
          <w:tcPr>
            <w:tcW w:w="1906" w:type="dxa"/>
          </w:tcPr>
          <w:p w:rsidR="00CC79FE" w:rsidRPr="00E436E7" w:rsidRDefault="00CC79FE" w:rsidP="00E436E7">
            <w:pPr>
              <w:pStyle w:val="TableText"/>
            </w:pPr>
            <w:r w:rsidRPr="00E436E7">
              <w:rPr>
                <w:lang w:eastAsia="en-AU"/>
              </w:rPr>
              <w:t>Malaria</w:t>
            </w:r>
          </w:p>
        </w:tc>
        <w:tc>
          <w:tcPr>
            <w:tcW w:w="1568" w:type="dxa"/>
          </w:tcPr>
          <w:p w:rsidR="00CC79FE" w:rsidRPr="00E436E7" w:rsidRDefault="00CC79FE" w:rsidP="00E436E7">
            <w:pPr>
              <w:pStyle w:val="TableText"/>
            </w:pPr>
            <w:r w:rsidRPr="00E436E7">
              <w:rPr>
                <w:color w:val="000000" w:themeColor="text1"/>
              </w:rPr>
              <w:t>Around 500</w:t>
            </w:r>
            <w:r w:rsidRPr="00E436E7">
              <w:rPr>
                <w:vertAlign w:val="superscript"/>
              </w:rPr>
              <w:t>h</w:t>
            </w:r>
          </w:p>
        </w:tc>
        <w:tc>
          <w:tcPr>
            <w:tcW w:w="2336" w:type="dxa"/>
          </w:tcPr>
          <w:p w:rsidR="00CC79FE" w:rsidRPr="00E436E7" w:rsidRDefault="00CC79FE" w:rsidP="00E436E7">
            <w:pPr>
              <w:pStyle w:val="TableText"/>
            </w:pPr>
            <w:proofErr w:type="spellStart"/>
            <w:r w:rsidRPr="00E436E7">
              <w:t>Artemether</w:t>
            </w:r>
            <w:proofErr w:type="spellEnd"/>
            <w:r w:rsidRPr="00E436E7">
              <w:t xml:space="preserve"> with </w:t>
            </w:r>
            <w:proofErr w:type="spellStart"/>
            <w:r w:rsidRPr="00E436E7">
              <w:t>lumefantrine</w:t>
            </w:r>
            <w:proofErr w:type="spellEnd"/>
            <w:r w:rsidRPr="00E436E7">
              <w:t xml:space="preserve">, </w:t>
            </w:r>
            <w:proofErr w:type="spellStart"/>
            <w:r w:rsidRPr="00E436E7">
              <w:t>atovaquone</w:t>
            </w:r>
            <w:proofErr w:type="spellEnd"/>
            <w:r w:rsidRPr="00E436E7">
              <w:t xml:space="preserve"> with </w:t>
            </w:r>
            <w:proofErr w:type="spellStart"/>
            <w:r w:rsidRPr="00E436E7">
              <w:t>proguanil</w:t>
            </w:r>
            <w:proofErr w:type="spellEnd"/>
          </w:p>
        </w:tc>
        <w:tc>
          <w:tcPr>
            <w:tcW w:w="3370" w:type="dxa"/>
          </w:tcPr>
          <w:p w:rsidR="00CC79FE" w:rsidRPr="00E436E7" w:rsidRDefault="00CC79FE" w:rsidP="00E436E7">
            <w:pPr>
              <w:pStyle w:val="TableText"/>
            </w:pPr>
            <w:r w:rsidRPr="00E436E7">
              <w:t>1 per 50</w:t>
            </w:r>
            <w:r w:rsidR="000A62B8" w:rsidRPr="00FA1BCF">
              <w:t>,</w:t>
            </w:r>
            <w:r w:rsidRPr="00E436E7">
              <w:t>000 (2</w:t>
            </w:r>
            <w:r w:rsidR="003B146F" w:rsidRPr="00E436E7">
              <w:t>–</w:t>
            </w:r>
            <w:r w:rsidRPr="00E436E7">
              <w:t>3 per 100</w:t>
            </w:r>
            <w:r w:rsidR="000A62B8" w:rsidRPr="00FA1BCF">
              <w:t>,</w:t>
            </w:r>
            <w:r w:rsidRPr="00E436E7">
              <w:t>000)</w:t>
            </w:r>
          </w:p>
        </w:tc>
      </w:tr>
      <w:tr w:rsidR="00CC79FE" w:rsidRPr="00FA1BCF" w:rsidTr="00DC19F4">
        <w:tc>
          <w:tcPr>
            <w:tcW w:w="1906" w:type="dxa"/>
            <w:shd w:val="clear" w:color="auto" w:fill="EAF1DD" w:themeFill="accent3" w:themeFillTint="33"/>
          </w:tcPr>
          <w:p w:rsidR="00CC79FE" w:rsidRPr="00E436E7" w:rsidRDefault="00CC79FE" w:rsidP="00E436E7">
            <w:pPr>
              <w:pStyle w:val="TableText"/>
              <w:rPr>
                <w:lang w:eastAsia="en-AU"/>
              </w:rPr>
            </w:pPr>
            <w:r w:rsidRPr="00E436E7">
              <w:rPr>
                <w:lang w:eastAsia="en-AU"/>
              </w:rPr>
              <w:t>Mesothelioma</w:t>
            </w:r>
          </w:p>
        </w:tc>
        <w:tc>
          <w:tcPr>
            <w:tcW w:w="1568" w:type="dxa"/>
            <w:shd w:val="clear" w:color="auto" w:fill="EAF1DD" w:themeFill="accent3" w:themeFillTint="33"/>
          </w:tcPr>
          <w:p w:rsidR="00CC79FE" w:rsidRPr="00E436E7" w:rsidRDefault="00CC79FE" w:rsidP="00E436E7">
            <w:pPr>
              <w:pStyle w:val="TableText"/>
            </w:pPr>
            <w:r w:rsidRPr="00E436E7">
              <w:t>575</w:t>
            </w:r>
            <w:r w:rsidRPr="00E436E7">
              <w:rPr>
                <w:vertAlign w:val="superscript"/>
              </w:rPr>
              <w:t>i</w:t>
            </w:r>
          </w:p>
        </w:tc>
        <w:tc>
          <w:tcPr>
            <w:tcW w:w="2336" w:type="dxa"/>
            <w:shd w:val="clear" w:color="auto" w:fill="EAF1DD" w:themeFill="accent3" w:themeFillTint="33"/>
          </w:tcPr>
          <w:p w:rsidR="00CC79FE" w:rsidRPr="00E436E7" w:rsidRDefault="00CC79FE" w:rsidP="00E436E7">
            <w:pPr>
              <w:pStyle w:val="TableText"/>
            </w:pPr>
            <w:proofErr w:type="spellStart"/>
            <w:r w:rsidRPr="00E436E7">
              <w:t>Pemetrexed</w:t>
            </w:r>
            <w:proofErr w:type="spellEnd"/>
          </w:p>
        </w:tc>
        <w:tc>
          <w:tcPr>
            <w:tcW w:w="3370" w:type="dxa"/>
            <w:shd w:val="clear" w:color="auto" w:fill="EAF1DD" w:themeFill="accent3" w:themeFillTint="33"/>
          </w:tcPr>
          <w:p w:rsidR="00CC79FE" w:rsidRPr="00E436E7" w:rsidRDefault="00CC79FE" w:rsidP="00E436E7">
            <w:pPr>
              <w:pStyle w:val="TableText"/>
            </w:pPr>
            <w:r w:rsidRPr="00E436E7">
              <w:t>1 per 50</w:t>
            </w:r>
            <w:r w:rsidR="000A62B8" w:rsidRPr="00FA1BCF">
              <w:t>,</w:t>
            </w:r>
            <w:r w:rsidRPr="00E436E7">
              <w:t>000 (2</w:t>
            </w:r>
            <w:r w:rsidR="003B146F" w:rsidRPr="00E436E7">
              <w:t>–</w:t>
            </w:r>
            <w:r w:rsidRPr="00E436E7">
              <w:t>3 per 100</w:t>
            </w:r>
            <w:r w:rsidR="000A62B8" w:rsidRPr="00FA1BCF">
              <w:t>,</w:t>
            </w:r>
            <w:r w:rsidRPr="00E436E7">
              <w:t>000)</w:t>
            </w:r>
          </w:p>
        </w:tc>
      </w:tr>
      <w:tr w:rsidR="00CC79FE" w:rsidRPr="00FA1BCF" w:rsidTr="00E622B4">
        <w:tc>
          <w:tcPr>
            <w:tcW w:w="1906" w:type="dxa"/>
          </w:tcPr>
          <w:p w:rsidR="00CC79FE" w:rsidRPr="00E436E7" w:rsidRDefault="00CC79FE" w:rsidP="00E436E7">
            <w:pPr>
              <w:pStyle w:val="TableText"/>
              <w:rPr>
                <w:lang w:eastAsia="en-AU"/>
              </w:rPr>
            </w:pPr>
            <w:r w:rsidRPr="00E436E7">
              <w:rPr>
                <w:lang w:eastAsia="en-AU"/>
              </w:rPr>
              <w:t>Thalassemia</w:t>
            </w:r>
          </w:p>
        </w:tc>
        <w:tc>
          <w:tcPr>
            <w:tcW w:w="1568" w:type="dxa"/>
          </w:tcPr>
          <w:p w:rsidR="00CC79FE" w:rsidRPr="00E436E7" w:rsidRDefault="00CC79FE" w:rsidP="00E436E7">
            <w:pPr>
              <w:pStyle w:val="TableText"/>
            </w:pPr>
            <w:r w:rsidRPr="00E436E7">
              <w:t>Around 500</w:t>
            </w:r>
          </w:p>
        </w:tc>
        <w:tc>
          <w:tcPr>
            <w:tcW w:w="2336" w:type="dxa"/>
          </w:tcPr>
          <w:p w:rsidR="00CC79FE" w:rsidRPr="00E436E7" w:rsidRDefault="00CC79FE" w:rsidP="00E436E7">
            <w:pPr>
              <w:pStyle w:val="TableText"/>
            </w:pPr>
            <w:proofErr w:type="spellStart"/>
            <w:r w:rsidRPr="00E436E7">
              <w:t>Deferiprone</w:t>
            </w:r>
            <w:proofErr w:type="spellEnd"/>
          </w:p>
        </w:tc>
        <w:tc>
          <w:tcPr>
            <w:tcW w:w="3370" w:type="dxa"/>
          </w:tcPr>
          <w:p w:rsidR="00CC79FE" w:rsidRPr="00E436E7" w:rsidRDefault="00CC79FE" w:rsidP="00E436E7">
            <w:pPr>
              <w:pStyle w:val="TableText"/>
            </w:pPr>
            <w:r w:rsidRPr="00E436E7">
              <w:t>1 per 50</w:t>
            </w:r>
            <w:r w:rsidR="000A62B8" w:rsidRPr="00FA1BCF">
              <w:t>,</w:t>
            </w:r>
            <w:r w:rsidRPr="00E436E7">
              <w:t>000 (2</w:t>
            </w:r>
            <w:r w:rsidR="003B146F" w:rsidRPr="00E436E7">
              <w:t>–</w:t>
            </w:r>
            <w:r w:rsidRPr="00E436E7">
              <w:t>3 per 100</w:t>
            </w:r>
            <w:r w:rsidR="000A62B8" w:rsidRPr="00FA1BCF">
              <w:t>,</w:t>
            </w:r>
            <w:r w:rsidRPr="00E436E7">
              <w:t>000)</w:t>
            </w:r>
          </w:p>
        </w:tc>
      </w:tr>
    </w:tbl>
    <w:p w:rsidR="00CC79FE" w:rsidRPr="00FA1BCF" w:rsidRDefault="00CC79FE" w:rsidP="00E436E7">
      <w:pPr>
        <w:pStyle w:val="TableNote"/>
        <w:rPr>
          <w:color w:val="000000" w:themeColor="text1"/>
          <w:lang w:val="en"/>
        </w:rPr>
      </w:pPr>
      <w:proofErr w:type="gramStart"/>
      <w:r w:rsidRPr="00E436E7">
        <w:rPr>
          <w:b/>
          <w:color w:val="000000" w:themeColor="text1"/>
        </w:rPr>
        <w:t>a</w:t>
      </w:r>
      <w:proofErr w:type="gramEnd"/>
      <w:r w:rsidRPr="00E436E7">
        <w:rPr>
          <w:color w:val="000000" w:themeColor="text1"/>
        </w:rPr>
        <w:t xml:space="preserve"> </w:t>
      </w:r>
      <w:r w:rsidRPr="00FA1BCF">
        <w:rPr>
          <w:color w:val="000000" w:themeColor="text1"/>
          <w:lang w:val="en"/>
        </w:rPr>
        <w:t xml:space="preserve">Including </w:t>
      </w:r>
      <w:hyperlink r:id="rId21" w:tooltip="Astrocytomas" w:history="1">
        <w:proofErr w:type="spellStart"/>
        <w:r w:rsidRPr="00E436E7">
          <w:rPr>
            <w:rStyle w:val="Hyperlink"/>
          </w:rPr>
          <w:t>astrocytomas</w:t>
        </w:r>
        <w:proofErr w:type="spellEnd"/>
      </w:hyperlink>
      <w:r w:rsidRPr="00E436E7">
        <w:t xml:space="preserve">, </w:t>
      </w:r>
      <w:hyperlink r:id="rId22" w:tooltip="Ependymal tumor" w:history="1">
        <w:r w:rsidRPr="00E436E7">
          <w:rPr>
            <w:rStyle w:val="Hyperlink"/>
          </w:rPr>
          <w:t>ependymal tumo</w:t>
        </w:r>
        <w:r w:rsidR="00B2525C">
          <w:rPr>
            <w:rStyle w:val="Hyperlink"/>
          </w:rPr>
          <w:t>u</w:t>
        </w:r>
        <w:r w:rsidRPr="00E436E7">
          <w:rPr>
            <w:rStyle w:val="Hyperlink"/>
          </w:rPr>
          <w:t>rs</w:t>
        </w:r>
      </w:hyperlink>
      <w:r w:rsidRPr="00E436E7">
        <w:t xml:space="preserve">, </w:t>
      </w:r>
      <w:hyperlink r:id="rId23" w:tooltip="Glioblastoma multiforme" w:history="1">
        <w:proofErr w:type="spellStart"/>
        <w:r w:rsidRPr="00E436E7">
          <w:rPr>
            <w:rStyle w:val="Hyperlink"/>
          </w:rPr>
          <w:t>glioblastoma</w:t>
        </w:r>
        <w:proofErr w:type="spellEnd"/>
        <w:r w:rsidRPr="00E436E7">
          <w:rPr>
            <w:rStyle w:val="Hyperlink"/>
          </w:rPr>
          <w:t xml:space="preserve"> </w:t>
        </w:r>
        <w:proofErr w:type="spellStart"/>
        <w:r w:rsidRPr="00E436E7">
          <w:rPr>
            <w:rStyle w:val="Hyperlink"/>
          </w:rPr>
          <w:t>multiforme</w:t>
        </w:r>
        <w:proofErr w:type="spellEnd"/>
      </w:hyperlink>
      <w:r w:rsidRPr="00E436E7">
        <w:t xml:space="preserve">, and </w:t>
      </w:r>
      <w:hyperlink r:id="rId24" w:tooltip="Primitive neuroectodermal tumor" w:history="1">
        <w:r w:rsidRPr="00E436E7">
          <w:rPr>
            <w:rStyle w:val="Hyperlink"/>
          </w:rPr>
          <w:t xml:space="preserve">primitive </w:t>
        </w:r>
        <w:proofErr w:type="spellStart"/>
        <w:r w:rsidRPr="00E436E7">
          <w:rPr>
            <w:rStyle w:val="Hyperlink"/>
          </w:rPr>
          <w:t>neuroectodermal</w:t>
        </w:r>
        <w:proofErr w:type="spellEnd"/>
        <w:r w:rsidRPr="00E436E7">
          <w:t xml:space="preserve"> tumours</w:t>
        </w:r>
      </w:hyperlink>
      <w:r w:rsidRPr="00E436E7">
        <w:t>.</w:t>
      </w:r>
    </w:p>
    <w:p w:rsidR="00CC79FE" w:rsidRPr="00FA1BCF" w:rsidRDefault="00CC79FE" w:rsidP="00E436E7">
      <w:pPr>
        <w:pStyle w:val="TableNote"/>
        <w:rPr>
          <w:color w:val="000000" w:themeColor="text1"/>
        </w:rPr>
      </w:pPr>
      <w:proofErr w:type="gramStart"/>
      <w:r w:rsidRPr="00E436E7">
        <w:rPr>
          <w:b/>
          <w:color w:val="000000" w:themeColor="text1"/>
        </w:rPr>
        <w:t>b</w:t>
      </w:r>
      <w:proofErr w:type="gramEnd"/>
      <w:r w:rsidRPr="00E436E7">
        <w:rPr>
          <w:color w:val="000000" w:themeColor="text1"/>
        </w:rPr>
        <w:t xml:space="preserve"> Source: </w:t>
      </w:r>
      <w:r w:rsidRPr="00FA1BCF">
        <w:t xml:space="preserve">Australian Institute of Health and Welfare 2012. Cancer survival and prevalence in Australia: period estimates from 1982 to 2010. </w:t>
      </w:r>
      <w:proofErr w:type="gramStart"/>
      <w:r w:rsidRPr="00FA1BCF">
        <w:t>Cancer Series no. 69.</w:t>
      </w:r>
      <w:proofErr w:type="gramEnd"/>
      <w:r w:rsidRPr="00FA1BCF">
        <w:t xml:space="preserve"> Cat. </w:t>
      </w:r>
      <w:proofErr w:type="gramStart"/>
      <w:r w:rsidRPr="00FA1BCF">
        <w:t>no</w:t>
      </w:r>
      <w:proofErr w:type="gramEnd"/>
      <w:r w:rsidRPr="00FA1BCF">
        <w:t>. CAN 65. Canberra: AIHW.</w:t>
      </w:r>
      <w:r w:rsidRPr="00FA1BCF">
        <w:rPr>
          <w:color w:val="000000" w:themeColor="text1"/>
        </w:rPr>
        <w:t xml:space="preserve"> </w:t>
      </w:r>
      <w:proofErr w:type="gramStart"/>
      <w:r w:rsidR="000A62B8" w:rsidRPr="00FA1BCF">
        <w:rPr>
          <w:color w:val="000000" w:themeColor="text1"/>
        </w:rPr>
        <w:t xml:space="preserve">p. </w:t>
      </w:r>
      <w:r w:rsidRPr="00FA1BCF">
        <w:rPr>
          <w:color w:val="000000" w:themeColor="text1"/>
        </w:rPr>
        <w:t>43.</w:t>
      </w:r>
      <w:proofErr w:type="gramEnd"/>
      <w:r w:rsidRPr="00FA1BCF">
        <w:rPr>
          <w:color w:val="000000" w:themeColor="text1"/>
        </w:rPr>
        <w:t xml:space="preserve"> Number of people living diagnosed with brain cancer, 5-year prevalence as at 2007.</w:t>
      </w:r>
    </w:p>
    <w:p w:rsidR="00CC79FE" w:rsidRPr="00FA1BCF" w:rsidRDefault="00CC79FE" w:rsidP="00E436E7">
      <w:pPr>
        <w:pStyle w:val="TableNote"/>
        <w:rPr>
          <w:color w:val="000000" w:themeColor="text1"/>
        </w:rPr>
      </w:pPr>
      <w:proofErr w:type="gramStart"/>
      <w:r w:rsidRPr="00E436E7">
        <w:rPr>
          <w:b/>
          <w:color w:val="000000" w:themeColor="text1"/>
        </w:rPr>
        <w:t>c</w:t>
      </w:r>
      <w:proofErr w:type="gramEnd"/>
      <w:r w:rsidRPr="00E436E7">
        <w:rPr>
          <w:b/>
          <w:color w:val="000000" w:themeColor="text1"/>
        </w:rPr>
        <w:t xml:space="preserve"> </w:t>
      </w:r>
      <w:r w:rsidRPr="00FA1BCF">
        <w:rPr>
          <w:color w:val="000000" w:themeColor="text1"/>
        </w:rPr>
        <w:t xml:space="preserve">Source: </w:t>
      </w:r>
      <w:r w:rsidRPr="00FA1BCF">
        <w:t xml:space="preserve">Australian Institute of Health and Welfare 2012. Cancer survival and prevalence in Australia: period estimates from 1982 to 2010. </w:t>
      </w:r>
      <w:proofErr w:type="gramStart"/>
      <w:r w:rsidRPr="00FA1BCF">
        <w:t>Cancer Series no. 69.</w:t>
      </w:r>
      <w:proofErr w:type="gramEnd"/>
      <w:r w:rsidRPr="00FA1BCF">
        <w:t xml:space="preserve"> Cat. </w:t>
      </w:r>
      <w:proofErr w:type="gramStart"/>
      <w:r w:rsidRPr="00FA1BCF">
        <w:t>no</w:t>
      </w:r>
      <w:proofErr w:type="gramEnd"/>
      <w:r w:rsidRPr="00FA1BCF">
        <w:t>. CAN 65. Canberra: AIHW.</w:t>
      </w:r>
      <w:r w:rsidRPr="00FA1BCF">
        <w:rPr>
          <w:color w:val="000000" w:themeColor="text1"/>
        </w:rPr>
        <w:t xml:space="preserve"> </w:t>
      </w:r>
      <w:proofErr w:type="gramStart"/>
      <w:r w:rsidRPr="00FA1BCF">
        <w:rPr>
          <w:color w:val="000000" w:themeColor="text1"/>
        </w:rPr>
        <w:t>p</w:t>
      </w:r>
      <w:r w:rsidR="000A62B8" w:rsidRPr="00FA1BCF">
        <w:rPr>
          <w:color w:val="000000" w:themeColor="text1"/>
        </w:rPr>
        <w:t xml:space="preserve">. </w:t>
      </w:r>
      <w:r w:rsidRPr="00FA1BCF">
        <w:rPr>
          <w:color w:val="000000" w:themeColor="text1"/>
        </w:rPr>
        <w:t>31.</w:t>
      </w:r>
      <w:proofErr w:type="gramEnd"/>
      <w:r w:rsidRPr="00FA1BCF">
        <w:rPr>
          <w:color w:val="000000" w:themeColor="text1"/>
        </w:rPr>
        <w:t xml:space="preserve"> Number of people living diagnosed with acute myeloid leukaemia, 5-year prevalence as at 2007.</w:t>
      </w:r>
    </w:p>
    <w:p w:rsidR="00CC79FE" w:rsidRPr="00FA1BCF" w:rsidRDefault="00CC79FE" w:rsidP="00E436E7">
      <w:pPr>
        <w:pStyle w:val="TableNote"/>
        <w:rPr>
          <w:color w:val="000000" w:themeColor="text1"/>
        </w:rPr>
      </w:pPr>
      <w:proofErr w:type="gramStart"/>
      <w:r w:rsidRPr="00E436E7">
        <w:rPr>
          <w:b/>
          <w:color w:val="000000" w:themeColor="text1"/>
        </w:rPr>
        <w:t>d</w:t>
      </w:r>
      <w:proofErr w:type="gramEnd"/>
      <w:r w:rsidRPr="00E436E7">
        <w:rPr>
          <w:b/>
          <w:color w:val="000000" w:themeColor="text1"/>
        </w:rPr>
        <w:t xml:space="preserve"> </w:t>
      </w:r>
      <w:r w:rsidRPr="00FA1BCF">
        <w:rPr>
          <w:color w:val="000000" w:themeColor="text1"/>
        </w:rPr>
        <w:t xml:space="preserve">Source: </w:t>
      </w:r>
      <w:r w:rsidRPr="00FA1BCF">
        <w:t xml:space="preserve">Australian Institute of Health and Welfare 2012. Cancer survival and prevalence in Australia: period estimates from 1982 to 2010. </w:t>
      </w:r>
      <w:proofErr w:type="gramStart"/>
      <w:r w:rsidRPr="00FA1BCF">
        <w:t>Cancer Series no. 69.</w:t>
      </w:r>
      <w:proofErr w:type="gramEnd"/>
      <w:r w:rsidRPr="00FA1BCF">
        <w:t xml:space="preserve"> Cat. </w:t>
      </w:r>
      <w:proofErr w:type="gramStart"/>
      <w:r w:rsidRPr="00FA1BCF">
        <w:t>no</w:t>
      </w:r>
      <w:proofErr w:type="gramEnd"/>
      <w:r w:rsidRPr="00FA1BCF">
        <w:t>. CAN 65. Canberra: AIHW.</w:t>
      </w:r>
      <w:r w:rsidRPr="00FA1BCF">
        <w:rPr>
          <w:color w:val="000000" w:themeColor="text1"/>
        </w:rPr>
        <w:t xml:space="preserve"> </w:t>
      </w:r>
      <w:proofErr w:type="gramStart"/>
      <w:r w:rsidRPr="00FA1BCF">
        <w:rPr>
          <w:color w:val="000000" w:themeColor="text1"/>
        </w:rPr>
        <w:t>p</w:t>
      </w:r>
      <w:r w:rsidR="000A62B8" w:rsidRPr="00FA1BCF">
        <w:rPr>
          <w:color w:val="000000" w:themeColor="text1"/>
        </w:rPr>
        <w:t xml:space="preserve">. </w:t>
      </w:r>
      <w:r w:rsidRPr="00FA1BCF">
        <w:rPr>
          <w:color w:val="000000" w:themeColor="text1"/>
        </w:rPr>
        <w:t>111.</w:t>
      </w:r>
      <w:proofErr w:type="gramEnd"/>
      <w:r w:rsidRPr="00FA1BCF">
        <w:rPr>
          <w:color w:val="000000" w:themeColor="text1"/>
        </w:rPr>
        <w:t xml:space="preserve"> Number of people living diagnosed with pancreatic cancer, 5-year prevalence as at 2007.</w:t>
      </w:r>
    </w:p>
    <w:p w:rsidR="00CC79FE" w:rsidRPr="00FA1BCF" w:rsidRDefault="00CC79FE" w:rsidP="00E436E7">
      <w:pPr>
        <w:pStyle w:val="TableNote"/>
        <w:rPr>
          <w:color w:val="000000" w:themeColor="text1"/>
        </w:rPr>
      </w:pPr>
      <w:proofErr w:type="gramStart"/>
      <w:r w:rsidRPr="00E436E7">
        <w:rPr>
          <w:b/>
        </w:rPr>
        <w:t>e</w:t>
      </w:r>
      <w:proofErr w:type="gramEnd"/>
      <w:r w:rsidRPr="00E436E7">
        <w:rPr>
          <w:b/>
        </w:rPr>
        <w:t xml:space="preserve"> </w:t>
      </w:r>
      <w:r w:rsidRPr="00FA1BCF">
        <w:rPr>
          <w:color w:val="000000" w:themeColor="text1"/>
        </w:rPr>
        <w:t xml:space="preserve">Williams et al. (2008) Phenylketonuria: </w:t>
      </w:r>
      <w:r w:rsidR="000A62B8" w:rsidRPr="00FA1BCF">
        <w:rPr>
          <w:color w:val="000000" w:themeColor="text1"/>
        </w:rPr>
        <w:t>a</w:t>
      </w:r>
      <w:r w:rsidRPr="00FA1BCF">
        <w:rPr>
          <w:color w:val="000000" w:themeColor="text1"/>
        </w:rPr>
        <w:t xml:space="preserve">n Inborn </w:t>
      </w:r>
      <w:r w:rsidR="000A62B8" w:rsidRPr="00FA1BCF">
        <w:rPr>
          <w:color w:val="000000" w:themeColor="text1"/>
        </w:rPr>
        <w:t>e</w:t>
      </w:r>
      <w:r w:rsidRPr="00FA1BCF">
        <w:rPr>
          <w:color w:val="000000" w:themeColor="text1"/>
        </w:rPr>
        <w:t xml:space="preserve">rror of </w:t>
      </w:r>
      <w:r w:rsidR="000A62B8" w:rsidRPr="00FA1BCF">
        <w:rPr>
          <w:color w:val="000000" w:themeColor="text1"/>
        </w:rPr>
        <w:t>p</w:t>
      </w:r>
      <w:r w:rsidRPr="00FA1BCF">
        <w:rPr>
          <w:color w:val="000000" w:themeColor="text1"/>
        </w:rPr>
        <w:t xml:space="preserve">henylalanine </w:t>
      </w:r>
      <w:r w:rsidR="000A62B8" w:rsidRPr="00FA1BCF">
        <w:rPr>
          <w:color w:val="000000" w:themeColor="text1"/>
        </w:rPr>
        <w:t>m</w:t>
      </w:r>
      <w:r w:rsidRPr="00FA1BCF">
        <w:rPr>
          <w:color w:val="000000" w:themeColor="text1"/>
        </w:rPr>
        <w:t xml:space="preserve">etabolism. </w:t>
      </w:r>
      <w:proofErr w:type="spellStart"/>
      <w:r w:rsidRPr="00FA1BCF">
        <w:rPr>
          <w:color w:val="000000" w:themeColor="text1"/>
        </w:rPr>
        <w:t>Clin</w:t>
      </w:r>
      <w:proofErr w:type="spellEnd"/>
      <w:r w:rsidRPr="00FA1BCF">
        <w:rPr>
          <w:color w:val="000000" w:themeColor="text1"/>
        </w:rPr>
        <w:t xml:space="preserve"> </w:t>
      </w:r>
      <w:proofErr w:type="spellStart"/>
      <w:r w:rsidRPr="00FA1BCF">
        <w:rPr>
          <w:color w:val="000000" w:themeColor="text1"/>
        </w:rPr>
        <w:t>Biochem</w:t>
      </w:r>
      <w:proofErr w:type="spellEnd"/>
      <w:r w:rsidRPr="00FA1BCF">
        <w:rPr>
          <w:color w:val="000000" w:themeColor="text1"/>
        </w:rPr>
        <w:t xml:space="preserve"> Rev. 2008 Feb</w:t>
      </w:r>
      <w:r w:rsidR="000A62B8" w:rsidRPr="00FA1BCF">
        <w:rPr>
          <w:color w:val="000000" w:themeColor="text1"/>
        </w:rPr>
        <w:t>:</w:t>
      </w:r>
      <w:r w:rsidRPr="00FA1BCF">
        <w:rPr>
          <w:color w:val="000000" w:themeColor="text1"/>
        </w:rPr>
        <w:t xml:space="preserve"> 29(1): 31–41. In 2013 there were 308</w:t>
      </w:r>
      <w:r w:rsidR="000A62B8" w:rsidRPr="00FA1BCF">
        <w:rPr>
          <w:color w:val="000000" w:themeColor="text1"/>
        </w:rPr>
        <w:t>,</w:t>
      </w:r>
      <w:r w:rsidRPr="00FA1BCF">
        <w:rPr>
          <w:color w:val="000000" w:themeColor="text1"/>
        </w:rPr>
        <w:t xml:space="preserve">065 registered births in Australia (ABS 3301.0 </w:t>
      </w:r>
      <w:r w:rsidR="003B146F" w:rsidRPr="00FA1BCF">
        <w:rPr>
          <w:color w:val="000000" w:themeColor="text1"/>
        </w:rPr>
        <w:t>–</w:t>
      </w:r>
      <w:r w:rsidRPr="00FA1BCF">
        <w:rPr>
          <w:color w:val="000000" w:themeColor="text1"/>
        </w:rPr>
        <w:t xml:space="preserve"> Births, Australia, 2013).</w:t>
      </w:r>
    </w:p>
    <w:p w:rsidR="00CC79FE" w:rsidRPr="00FA1BCF" w:rsidRDefault="00CC79FE" w:rsidP="00E436E7">
      <w:pPr>
        <w:pStyle w:val="TableNote"/>
      </w:pPr>
      <w:proofErr w:type="gramStart"/>
      <w:r w:rsidRPr="00E436E7">
        <w:rPr>
          <w:b/>
          <w:color w:val="000000" w:themeColor="text1"/>
        </w:rPr>
        <w:t>f</w:t>
      </w:r>
      <w:proofErr w:type="gramEnd"/>
      <w:r w:rsidRPr="00E436E7">
        <w:rPr>
          <w:color w:val="000000" w:themeColor="text1"/>
        </w:rPr>
        <w:t xml:space="preserve"> </w:t>
      </w:r>
      <w:r w:rsidRPr="00FA1BCF">
        <w:rPr>
          <w:color w:val="000000" w:themeColor="text1"/>
          <w:lang w:val="en"/>
        </w:rPr>
        <w:t>Based on 15th Annual Report Australian Cystic Fibrosis Data Registry.</w:t>
      </w:r>
    </w:p>
    <w:p w:rsidR="00CC79FE" w:rsidRPr="00FA1BCF" w:rsidRDefault="00CC79FE" w:rsidP="00E436E7">
      <w:pPr>
        <w:pStyle w:val="TableNote"/>
        <w:rPr>
          <w:color w:val="000000" w:themeColor="text1"/>
        </w:rPr>
      </w:pPr>
      <w:proofErr w:type="gramStart"/>
      <w:r w:rsidRPr="00E436E7">
        <w:rPr>
          <w:b/>
          <w:color w:val="000000" w:themeColor="text1"/>
        </w:rPr>
        <w:t>g</w:t>
      </w:r>
      <w:proofErr w:type="gramEnd"/>
      <w:r w:rsidRPr="00E436E7">
        <w:rPr>
          <w:color w:val="000000" w:themeColor="text1"/>
        </w:rPr>
        <w:t xml:space="preserve"> Source: </w:t>
      </w:r>
      <w:r w:rsidRPr="00FA1BCF">
        <w:t xml:space="preserve">Australian Institute of Health and Welfare 2012. Cancer survival and prevalence in Australia: period estimates from 1982 to 2010. </w:t>
      </w:r>
      <w:proofErr w:type="gramStart"/>
      <w:r w:rsidRPr="00FA1BCF">
        <w:t>Cancer Series no. 69.</w:t>
      </w:r>
      <w:proofErr w:type="gramEnd"/>
      <w:r w:rsidRPr="00FA1BCF">
        <w:t xml:space="preserve"> Cat. </w:t>
      </w:r>
      <w:proofErr w:type="gramStart"/>
      <w:r w:rsidRPr="00FA1BCF">
        <w:t>no</w:t>
      </w:r>
      <w:proofErr w:type="gramEnd"/>
      <w:r w:rsidRPr="00FA1BCF">
        <w:t>. CAN 65. Canberra: AIHW.</w:t>
      </w:r>
      <w:r w:rsidRPr="00FA1BCF">
        <w:rPr>
          <w:color w:val="000000" w:themeColor="text1"/>
        </w:rPr>
        <w:t xml:space="preserve"> </w:t>
      </w:r>
      <w:proofErr w:type="gramStart"/>
      <w:r w:rsidRPr="00FA1BCF">
        <w:rPr>
          <w:color w:val="000000" w:themeColor="text1"/>
        </w:rPr>
        <w:t>p</w:t>
      </w:r>
      <w:r w:rsidR="000A62B8" w:rsidRPr="00FA1BCF">
        <w:rPr>
          <w:color w:val="000000" w:themeColor="text1"/>
        </w:rPr>
        <w:t>. </w:t>
      </w:r>
      <w:r w:rsidRPr="00FA1BCF">
        <w:rPr>
          <w:color w:val="000000" w:themeColor="text1"/>
        </w:rPr>
        <w:t>119.</w:t>
      </w:r>
      <w:proofErr w:type="gramEnd"/>
      <w:r w:rsidRPr="00FA1BCF">
        <w:rPr>
          <w:color w:val="000000" w:themeColor="text1"/>
        </w:rPr>
        <w:t xml:space="preserve"> Number of people living diagnosed with stomach cancer, 5-year prevalence as at 2007.</w:t>
      </w:r>
    </w:p>
    <w:p w:rsidR="00CC79FE" w:rsidRPr="00E436E7" w:rsidRDefault="00CC79FE" w:rsidP="00E436E7">
      <w:pPr>
        <w:pStyle w:val="TableNote"/>
        <w:rPr>
          <w:color w:val="000000" w:themeColor="text1"/>
        </w:rPr>
      </w:pPr>
      <w:proofErr w:type="gramStart"/>
      <w:r w:rsidRPr="00E436E7">
        <w:rPr>
          <w:b/>
          <w:color w:val="000000" w:themeColor="text1"/>
        </w:rPr>
        <w:t>h</w:t>
      </w:r>
      <w:proofErr w:type="gramEnd"/>
      <w:r w:rsidRPr="00E436E7">
        <w:rPr>
          <w:color w:val="000000" w:themeColor="text1"/>
        </w:rPr>
        <w:t xml:space="preserve"> National Arbovirus and Malaria Advisory Committee. </w:t>
      </w:r>
      <w:proofErr w:type="gramStart"/>
      <w:r w:rsidRPr="00E436E7">
        <w:rPr>
          <w:color w:val="000000" w:themeColor="text1"/>
        </w:rPr>
        <w:t>‘</w:t>
      </w:r>
      <w:proofErr w:type="spellStart"/>
      <w:r w:rsidRPr="00E436E7">
        <w:rPr>
          <w:color w:val="000000" w:themeColor="text1"/>
        </w:rPr>
        <w:t>Arboviral</w:t>
      </w:r>
      <w:proofErr w:type="spellEnd"/>
      <w:r w:rsidRPr="00E436E7">
        <w:rPr>
          <w:color w:val="000000" w:themeColor="text1"/>
        </w:rPr>
        <w:t xml:space="preserve"> diseases and malaria in Australia, </w:t>
      </w:r>
      <w:r w:rsidR="000A62B8" w:rsidRPr="00FA1BCF">
        <w:rPr>
          <w:color w:val="000000" w:themeColor="text1"/>
        </w:rPr>
        <w:t>a</w:t>
      </w:r>
      <w:r w:rsidRPr="00FA1BCF">
        <w:rPr>
          <w:color w:val="000000" w:themeColor="text1"/>
        </w:rPr>
        <w:t xml:space="preserve">nnual </w:t>
      </w:r>
      <w:r w:rsidR="000A62B8" w:rsidRPr="00FA1BCF">
        <w:rPr>
          <w:color w:val="000000" w:themeColor="text1"/>
        </w:rPr>
        <w:t>r</w:t>
      </w:r>
      <w:r w:rsidRPr="00FA1BCF">
        <w:rPr>
          <w:color w:val="000000" w:themeColor="text1"/>
        </w:rPr>
        <w:t>eport 2011</w:t>
      </w:r>
      <w:r w:rsidR="003B146F" w:rsidRPr="00FA1BCF">
        <w:rPr>
          <w:color w:val="000000" w:themeColor="text1"/>
        </w:rPr>
        <w:t>–</w:t>
      </w:r>
      <w:r w:rsidRPr="00FA1BCF">
        <w:rPr>
          <w:color w:val="000000" w:themeColor="text1"/>
        </w:rPr>
        <w:t>12’.</w:t>
      </w:r>
      <w:proofErr w:type="gramEnd"/>
      <w:r w:rsidRPr="00FA1BCF">
        <w:rPr>
          <w:color w:val="000000" w:themeColor="text1"/>
        </w:rPr>
        <w:t xml:space="preserve"> </w:t>
      </w:r>
      <w:proofErr w:type="gramStart"/>
      <w:r w:rsidRPr="00FA1BCF">
        <w:rPr>
          <w:color w:val="000000" w:themeColor="text1"/>
          <w:lang w:val="en"/>
        </w:rPr>
        <w:t>Based on 5</w:t>
      </w:r>
      <w:r w:rsidR="000A62B8" w:rsidRPr="00FA1BCF">
        <w:rPr>
          <w:color w:val="000000" w:themeColor="text1"/>
          <w:lang w:val="en"/>
        </w:rPr>
        <w:t>-</w:t>
      </w:r>
      <w:r w:rsidRPr="00FA1BCF">
        <w:rPr>
          <w:color w:val="000000" w:themeColor="text1"/>
          <w:lang w:val="en"/>
        </w:rPr>
        <w:t>year mean cases.</w:t>
      </w:r>
      <w:proofErr w:type="gramEnd"/>
    </w:p>
    <w:p w:rsidR="00CC79FE" w:rsidRPr="00FA1BCF" w:rsidRDefault="00CC79FE" w:rsidP="00E436E7">
      <w:pPr>
        <w:pStyle w:val="TableNote"/>
        <w:rPr>
          <w:szCs w:val="24"/>
        </w:rPr>
      </w:pPr>
      <w:proofErr w:type="spellStart"/>
      <w:proofErr w:type="gramStart"/>
      <w:r w:rsidRPr="00E436E7">
        <w:rPr>
          <w:b/>
          <w:color w:val="000000" w:themeColor="text1"/>
        </w:rPr>
        <w:t>i</w:t>
      </w:r>
      <w:proofErr w:type="spellEnd"/>
      <w:proofErr w:type="gramEnd"/>
      <w:r w:rsidRPr="00E436E7">
        <w:rPr>
          <w:b/>
          <w:color w:val="000000" w:themeColor="text1"/>
        </w:rPr>
        <w:t xml:space="preserve"> </w:t>
      </w:r>
      <w:r w:rsidRPr="00FA1BCF">
        <w:rPr>
          <w:color w:val="000000" w:themeColor="text1"/>
          <w:lang w:val="en"/>
        </w:rPr>
        <w:t xml:space="preserve">Australian Mesothelioma Registry ‘3rd Annual Report Mesothelioma in Australia 2013’. </w:t>
      </w:r>
      <w:proofErr w:type="gramStart"/>
      <w:r w:rsidR="000A62B8" w:rsidRPr="00FA1BCF">
        <w:rPr>
          <w:color w:val="000000" w:themeColor="text1"/>
          <w:lang w:val="en"/>
        </w:rPr>
        <w:t>p</w:t>
      </w:r>
      <w:proofErr w:type="gramEnd"/>
      <w:r w:rsidR="000A62B8" w:rsidRPr="00FA1BCF">
        <w:rPr>
          <w:color w:val="000000" w:themeColor="text1"/>
          <w:lang w:val="en"/>
        </w:rPr>
        <w:t>.</w:t>
      </w:r>
      <w:r w:rsidRPr="00FA1BCF">
        <w:rPr>
          <w:color w:val="000000" w:themeColor="text1"/>
          <w:lang w:val="en"/>
        </w:rPr>
        <w:t xml:space="preserve"> vi, number of newly diagnosed cases in the 2013 calendar year.</w:t>
      </w:r>
    </w:p>
    <w:p w:rsidR="00CC79FE" w:rsidRPr="00FA1BCF" w:rsidRDefault="00CC79FE" w:rsidP="00CC79FE">
      <w:pPr>
        <w:jc w:val="both"/>
        <w:rPr>
          <w:szCs w:val="24"/>
        </w:rPr>
      </w:pPr>
      <w:r w:rsidRPr="00FA1BCF">
        <w:rPr>
          <w:szCs w:val="24"/>
        </w:rPr>
        <w:t xml:space="preserve">The </w:t>
      </w:r>
      <w:r w:rsidR="0022336E" w:rsidRPr="00FA1BCF">
        <w:rPr>
          <w:szCs w:val="24"/>
        </w:rPr>
        <w:t>r</w:t>
      </w:r>
      <w:r w:rsidRPr="00FA1BCF">
        <w:rPr>
          <w:szCs w:val="24"/>
        </w:rPr>
        <w:t xml:space="preserve">eference </w:t>
      </w:r>
      <w:r w:rsidR="0022336E" w:rsidRPr="00FA1BCF">
        <w:rPr>
          <w:szCs w:val="24"/>
        </w:rPr>
        <w:t>g</w:t>
      </w:r>
      <w:r w:rsidRPr="00FA1BCF">
        <w:rPr>
          <w:szCs w:val="24"/>
        </w:rPr>
        <w:t xml:space="preserve">roup </w:t>
      </w:r>
      <w:r w:rsidR="00256C01" w:rsidRPr="00FA1BCF">
        <w:rPr>
          <w:szCs w:val="24"/>
        </w:rPr>
        <w:t xml:space="preserve">explored the implications of different definitions on numbers of patients potentially relevant </w:t>
      </w:r>
      <w:proofErr w:type="gramStart"/>
      <w:r w:rsidR="00256C01" w:rsidRPr="00FA1BCF">
        <w:rPr>
          <w:szCs w:val="24"/>
        </w:rPr>
        <w:t>to a Medicines</w:t>
      </w:r>
      <w:proofErr w:type="gramEnd"/>
      <w:r w:rsidR="00256C01" w:rsidRPr="00FA1BCF">
        <w:rPr>
          <w:szCs w:val="24"/>
        </w:rPr>
        <w:t xml:space="preserve"> for Rare Diseases Programme. For example, it </w:t>
      </w:r>
      <w:r w:rsidRPr="00FA1BCF">
        <w:rPr>
          <w:szCs w:val="24"/>
        </w:rPr>
        <w:t xml:space="preserve">noted </w:t>
      </w:r>
      <w:r w:rsidR="00394297" w:rsidRPr="00FA1BCF">
        <w:rPr>
          <w:szCs w:val="24"/>
        </w:rPr>
        <w:t xml:space="preserve">that </w:t>
      </w:r>
      <w:r w:rsidRPr="00FA1BCF">
        <w:rPr>
          <w:szCs w:val="24"/>
        </w:rPr>
        <w:t xml:space="preserve">if the </w:t>
      </w:r>
      <w:r w:rsidR="009F5B32" w:rsidRPr="00FA1BCF">
        <w:rPr>
          <w:szCs w:val="24"/>
        </w:rPr>
        <w:t>EU</w:t>
      </w:r>
      <w:r w:rsidRPr="00FA1BCF">
        <w:rPr>
          <w:szCs w:val="24"/>
        </w:rPr>
        <w:t xml:space="preserve"> definition (5 in 10, 000) </w:t>
      </w:r>
      <w:r w:rsidR="00394297" w:rsidRPr="00FA1BCF">
        <w:rPr>
          <w:szCs w:val="24"/>
        </w:rPr>
        <w:t xml:space="preserve">were </w:t>
      </w:r>
      <w:r w:rsidRPr="00FA1BCF">
        <w:rPr>
          <w:szCs w:val="24"/>
        </w:rPr>
        <w:t xml:space="preserve">adopted diseases such as gastric cancer </w:t>
      </w:r>
      <w:r w:rsidRPr="00FA1BCF">
        <w:rPr>
          <w:szCs w:val="24"/>
        </w:rPr>
        <w:lastRenderedPageBreak/>
        <w:t xml:space="preserve">and cystic fibrosis would fall within the definition of ‘rare’. </w:t>
      </w:r>
      <w:r w:rsidR="00256C01" w:rsidRPr="00FA1BCF">
        <w:rPr>
          <w:szCs w:val="24"/>
        </w:rPr>
        <w:t>Just these two additions to a</w:t>
      </w:r>
      <w:r w:rsidR="003F1D21" w:rsidRPr="00FA1BCF">
        <w:rPr>
          <w:szCs w:val="24"/>
        </w:rPr>
        <w:t xml:space="preserve"> programme would expand the potential patient population </w:t>
      </w:r>
      <w:r w:rsidR="007170F7" w:rsidRPr="00FA1BCF">
        <w:rPr>
          <w:szCs w:val="24"/>
        </w:rPr>
        <w:t>number</w:t>
      </w:r>
      <w:r w:rsidR="003F1D21" w:rsidRPr="00FA1BCF">
        <w:rPr>
          <w:szCs w:val="24"/>
        </w:rPr>
        <w:t xml:space="preserve"> </w:t>
      </w:r>
      <w:r w:rsidRPr="00FA1BCF">
        <w:rPr>
          <w:szCs w:val="24"/>
        </w:rPr>
        <w:t>fivefold</w:t>
      </w:r>
      <w:r w:rsidR="00394297" w:rsidRPr="00FA1BCF">
        <w:rPr>
          <w:szCs w:val="24"/>
        </w:rPr>
        <w:t xml:space="preserve"> – </w:t>
      </w:r>
      <w:r w:rsidRPr="00FA1BCF">
        <w:rPr>
          <w:szCs w:val="24"/>
        </w:rPr>
        <w:t xml:space="preserve">i.e. from the current 268 patients </w:t>
      </w:r>
      <w:r w:rsidR="00256C01" w:rsidRPr="00FA1BCF">
        <w:rPr>
          <w:szCs w:val="24"/>
        </w:rPr>
        <w:t xml:space="preserve">on the LSDP </w:t>
      </w:r>
      <w:r w:rsidRPr="00FA1BCF">
        <w:rPr>
          <w:szCs w:val="24"/>
        </w:rPr>
        <w:t>to up to 1</w:t>
      </w:r>
      <w:r w:rsidR="009F5B32" w:rsidRPr="00FA1BCF">
        <w:rPr>
          <w:szCs w:val="24"/>
        </w:rPr>
        <w:t>,</w:t>
      </w:r>
      <w:r w:rsidRPr="00FA1BCF">
        <w:rPr>
          <w:szCs w:val="24"/>
        </w:rPr>
        <w:t xml:space="preserve">285 patients. </w:t>
      </w:r>
      <w:r w:rsidR="008C2364" w:rsidRPr="00FA1BCF">
        <w:rPr>
          <w:szCs w:val="24"/>
        </w:rPr>
        <w:t xml:space="preserve">If </w:t>
      </w:r>
      <w:r w:rsidR="00394297" w:rsidRPr="00FA1BCF">
        <w:rPr>
          <w:szCs w:val="24"/>
        </w:rPr>
        <w:t xml:space="preserve">it were </w:t>
      </w:r>
      <w:r w:rsidR="008C2364" w:rsidRPr="00FA1BCF">
        <w:rPr>
          <w:szCs w:val="24"/>
        </w:rPr>
        <w:t xml:space="preserve">applied more broadly </w:t>
      </w:r>
      <w:r w:rsidR="007170F7" w:rsidRPr="00FA1BCF">
        <w:rPr>
          <w:szCs w:val="24"/>
        </w:rPr>
        <w:t xml:space="preserve">for all diseases </w:t>
      </w:r>
      <w:r w:rsidR="008C2364" w:rsidRPr="00FA1BCF">
        <w:rPr>
          <w:szCs w:val="24"/>
        </w:rPr>
        <w:t xml:space="preserve">then </w:t>
      </w:r>
      <w:r w:rsidR="007170F7" w:rsidRPr="00FA1BCF">
        <w:rPr>
          <w:szCs w:val="24"/>
        </w:rPr>
        <w:t xml:space="preserve">the maximum uptake of the 5 in 10,000 in a population of 23.5 million could be </w:t>
      </w:r>
      <w:r w:rsidRPr="00FA1BCF">
        <w:rPr>
          <w:szCs w:val="24"/>
        </w:rPr>
        <w:t xml:space="preserve">up to 11,700 patients. </w:t>
      </w:r>
      <w:r w:rsidR="007170F7" w:rsidRPr="00FA1BCF">
        <w:rPr>
          <w:szCs w:val="24"/>
        </w:rPr>
        <w:t xml:space="preserve">So while each disease/condition group would still meet the numeric definition of rare disease, a programme encompassing those diseases would not be what was originally envisaged in the LSDP. </w:t>
      </w:r>
    </w:p>
    <w:p w:rsidR="001E6170" w:rsidRPr="00FA1BCF" w:rsidRDefault="00CC79FE" w:rsidP="00AF5283">
      <w:pPr>
        <w:jc w:val="both"/>
        <w:rPr>
          <w:szCs w:val="24"/>
        </w:rPr>
      </w:pPr>
      <w:r w:rsidRPr="00FA1BCF">
        <w:rPr>
          <w:szCs w:val="24"/>
        </w:rPr>
        <w:t>As technology continue</w:t>
      </w:r>
      <w:r w:rsidR="009F5B32" w:rsidRPr="00FA1BCF">
        <w:rPr>
          <w:szCs w:val="24"/>
        </w:rPr>
        <w:t>s</w:t>
      </w:r>
      <w:r w:rsidRPr="00FA1BCF">
        <w:rPr>
          <w:szCs w:val="24"/>
        </w:rPr>
        <w:t xml:space="preserve"> to advance</w:t>
      </w:r>
      <w:r w:rsidR="00394297" w:rsidRPr="00FA1BCF">
        <w:rPr>
          <w:szCs w:val="24"/>
        </w:rPr>
        <w:t>,</w:t>
      </w:r>
      <w:r w:rsidRPr="00FA1BCF">
        <w:rPr>
          <w:szCs w:val="24"/>
        </w:rPr>
        <w:t xml:space="preserve"> newer therapies </w:t>
      </w:r>
      <w:r w:rsidR="00F879CC" w:rsidRPr="00FA1BCF">
        <w:rPr>
          <w:szCs w:val="24"/>
        </w:rPr>
        <w:t xml:space="preserve">will be </w:t>
      </w:r>
      <w:r w:rsidRPr="00FA1BCF">
        <w:rPr>
          <w:szCs w:val="24"/>
        </w:rPr>
        <w:t>developed</w:t>
      </w:r>
      <w:r w:rsidR="00F879CC" w:rsidRPr="00FA1BCF">
        <w:rPr>
          <w:szCs w:val="24"/>
        </w:rPr>
        <w:t xml:space="preserve"> for more rare diseases. The </w:t>
      </w:r>
      <w:r w:rsidR="00F11CA5" w:rsidRPr="00FA1BCF">
        <w:rPr>
          <w:szCs w:val="24"/>
        </w:rPr>
        <w:t>reference group</w:t>
      </w:r>
      <w:r w:rsidR="00F879CC" w:rsidRPr="00FA1BCF">
        <w:rPr>
          <w:szCs w:val="24"/>
        </w:rPr>
        <w:t xml:space="preserve"> was concerned that broadening the </w:t>
      </w:r>
      <w:r w:rsidRPr="00FA1BCF">
        <w:rPr>
          <w:szCs w:val="24"/>
        </w:rPr>
        <w:t xml:space="preserve">definition </w:t>
      </w:r>
      <w:r w:rsidR="00F879CC" w:rsidRPr="00FA1BCF">
        <w:rPr>
          <w:szCs w:val="24"/>
        </w:rPr>
        <w:t>of rare disease would effectively change the original intent of the program, which clearly related to very rare diseases</w:t>
      </w:r>
      <w:r w:rsidR="00E725EC" w:rsidRPr="00FA1BCF">
        <w:rPr>
          <w:szCs w:val="24"/>
        </w:rPr>
        <w:t xml:space="preserve"> with a very high lifelong cost burden on individuals and their families</w:t>
      </w:r>
      <w:r w:rsidR="00F879CC" w:rsidRPr="00FA1BCF">
        <w:rPr>
          <w:szCs w:val="24"/>
        </w:rPr>
        <w:t>.</w:t>
      </w:r>
      <w:r w:rsidR="00B56F35" w:rsidRPr="00FA1BCF">
        <w:rPr>
          <w:szCs w:val="24"/>
        </w:rPr>
        <w:t xml:space="preserve"> </w:t>
      </w:r>
      <w:r w:rsidR="00E725EC" w:rsidRPr="00FA1BCF">
        <w:rPr>
          <w:szCs w:val="24"/>
        </w:rPr>
        <w:t xml:space="preserve">The </w:t>
      </w:r>
      <w:r w:rsidR="00F11CA5" w:rsidRPr="00FA1BCF">
        <w:rPr>
          <w:szCs w:val="24"/>
        </w:rPr>
        <w:t>reference group</w:t>
      </w:r>
      <w:r w:rsidR="00E725EC" w:rsidRPr="00FA1BCF">
        <w:rPr>
          <w:szCs w:val="24"/>
        </w:rPr>
        <w:t xml:space="preserve"> noted and was sympathetic to the broader concerns </w:t>
      </w:r>
      <w:r w:rsidR="00394297" w:rsidRPr="00FA1BCF">
        <w:rPr>
          <w:szCs w:val="24"/>
        </w:rPr>
        <w:t>about</w:t>
      </w:r>
      <w:r w:rsidR="00E725EC" w:rsidRPr="00FA1BCF">
        <w:rPr>
          <w:szCs w:val="24"/>
        </w:rPr>
        <w:t xml:space="preserve"> access to </w:t>
      </w:r>
      <w:r w:rsidR="00A26B5E" w:rsidRPr="00FA1BCF">
        <w:rPr>
          <w:szCs w:val="24"/>
        </w:rPr>
        <w:t xml:space="preserve">medicines </w:t>
      </w:r>
      <w:r w:rsidR="00E725EC" w:rsidRPr="00FA1BCF">
        <w:rPr>
          <w:szCs w:val="24"/>
        </w:rPr>
        <w:t>for less rare diseases.</w:t>
      </w:r>
      <w:r w:rsidR="00B56F35" w:rsidRPr="00FA1BCF">
        <w:rPr>
          <w:szCs w:val="24"/>
        </w:rPr>
        <w:t xml:space="preserve"> </w:t>
      </w:r>
      <w:r w:rsidR="00E725EC" w:rsidRPr="00FA1BCF">
        <w:rPr>
          <w:szCs w:val="24"/>
        </w:rPr>
        <w:t>However</w:t>
      </w:r>
      <w:r w:rsidR="00394297" w:rsidRPr="00FA1BCF">
        <w:rPr>
          <w:szCs w:val="24"/>
        </w:rPr>
        <w:t>,</w:t>
      </w:r>
      <w:r w:rsidR="00E725EC" w:rsidRPr="00FA1BCF">
        <w:rPr>
          <w:szCs w:val="24"/>
        </w:rPr>
        <w:t xml:space="preserve"> it was of the view that maintaining the stricter definition of rare disease was in the best interests of ensuring sustained government support for funding for </w:t>
      </w:r>
      <w:r w:rsidR="00A26B5E" w:rsidRPr="00FA1BCF">
        <w:rPr>
          <w:szCs w:val="24"/>
        </w:rPr>
        <w:t xml:space="preserve">medicines </w:t>
      </w:r>
      <w:r w:rsidR="00E725EC" w:rsidRPr="00FA1BCF">
        <w:rPr>
          <w:szCs w:val="24"/>
        </w:rPr>
        <w:t xml:space="preserve">for very rare diseases with associated very high costs. It also sent a clear message to industry to encourage development of new </w:t>
      </w:r>
      <w:r w:rsidR="00A26B5E" w:rsidRPr="00FA1BCF">
        <w:rPr>
          <w:szCs w:val="24"/>
        </w:rPr>
        <w:t xml:space="preserve">medicines </w:t>
      </w:r>
      <w:r w:rsidR="001E6170" w:rsidRPr="00FA1BCF">
        <w:rPr>
          <w:szCs w:val="24"/>
        </w:rPr>
        <w:t>for very rare diseases</w:t>
      </w:r>
      <w:r w:rsidR="00595BF4" w:rsidRPr="00FA1BCF">
        <w:rPr>
          <w:szCs w:val="24"/>
        </w:rPr>
        <w:t>.</w:t>
      </w:r>
    </w:p>
    <w:p w:rsidR="00CC79FE" w:rsidRPr="00FA1BCF" w:rsidRDefault="001E6170" w:rsidP="00310D1D">
      <w:pPr>
        <w:jc w:val="both"/>
        <w:rPr>
          <w:szCs w:val="24"/>
        </w:rPr>
      </w:pPr>
      <w:r w:rsidRPr="00FA1BCF">
        <w:rPr>
          <w:szCs w:val="24"/>
        </w:rPr>
        <w:t xml:space="preserve">The </w:t>
      </w:r>
      <w:r w:rsidR="00F11CA5" w:rsidRPr="00FA1BCF">
        <w:rPr>
          <w:szCs w:val="24"/>
        </w:rPr>
        <w:t>reference group</w:t>
      </w:r>
      <w:r w:rsidRPr="00FA1BCF">
        <w:rPr>
          <w:szCs w:val="24"/>
        </w:rPr>
        <w:t xml:space="preserve"> noted comments that t</w:t>
      </w:r>
      <w:r w:rsidR="00CC79FE" w:rsidRPr="00FA1BCF">
        <w:rPr>
          <w:szCs w:val="24"/>
        </w:rPr>
        <w:t>he impact of rare disease therapies</w:t>
      </w:r>
      <w:r w:rsidR="00E725EC" w:rsidRPr="00FA1BCF">
        <w:rPr>
          <w:szCs w:val="24"/>
        </w:rPr>
        <w:t xml:space="preserve"> is around</w:t>
      </w:r>
      <w:r w:rsidR="00CC79FE" w:rsidRPr="00FA1BCF">
        <w:rPr>
          <w:szCs w:val="24"/>
        </w:rPr>
        <w:t xml:space="preserve"> 0.21</w:t>
      </w:r>
      <w:r w:rsidR="00394297" w:rsidRPr="00FA1BCF">
        <w:rPr>
          <w:szCs w:val="24"/>
        </w:rPr>
        <w:t> per cent</w:t>
      </w:r>
      <w:r w:rsidR="00CC79FE" w:rsidRPr="00FA1BCF">
        <w:rPr>
          <w:szCs w:val="24"/>
        </w:rPr>
        <w:t xml:space="preserve"> of the total Commonwealth spend on healthcare in 2013</w:t>
      </w:r>
      <w:r w:rsidR="003B146F" w:rsidRPr="00FA1BCF">
        <w:rPr>
          <w:szCs w:val="24"/>
        </w:rPr>
        <w:t>–</w:t>
      </w:r>
      <w:r w:rsidR="00CC79FE" w:rsidRPr="00FA1BCF">
        <w:rPr>
          <w:szCs w:val="24"/>
        </w:rPr>
        <w:t>2014 and forecasted to be 0.24</w:t>
      </w:r>
      <w:r w:rsidR="00394297" w:rsidRPr="00FA1BCF">
        <w:rPr>
          <w:szCs w:val="24"/>
        </w:rPr>
        <w:t> per cent</w:t>
      </w:r>
      <w:r w:rsidR="00CC79FE" w:rsidRPr="00FA1BCF">
        <w:rPr>
          <w:szCs w:val="24"/>
        </w:rPr>
        <w:t xml:space="preserve"> between 2013</w:t>
      </w:r>
      <w:r w:rsidR="003B146F" w:rsidRPr="00FA1BCF">
        <w:rPr>
          <w:szCs w:val="24"/>
        </w:rPr>
        <w:t>–</w:t>
      </w:r>
      <w:r w:rsidR="00CC79FE" w:rsidRPr="00FA1BCF">
        <w:rPr>
          <w:szCs w:val="24"/>
        </w:rPr>
        <w:t>2014 and 2017</w:t>
      </w:r>
      <w:r w:rsidR="003B146F" w:rsidRPr="00FA1BCF">
        <w:rPr>
          <w:szCs w:val="24"/>
        </w:rPr>
        <w:t>–</w:t>
      </w:r>
      <w:r w:rsidR="00CC79FE" w:rsidRPr="00FA1BCF">
        <w:rPr>
          <w:szCs w:val="24"/>
        </w:rPr>
        <w:t>2018</w:t>
      </w:r>
      <w:r w:rsidR="00E725EC" w:rsidRPr="00FA1BCF">
        <w:rPr>
          <w:szCs w:val="24"/>
        </w:rPr>
        <w:t>.</w:t>
      </w:r>
      <w:r w:rsidR="00CC79FE" w:rsidRPr="00FA1BCF">
        <w:rPr>
          <w:szCs w:val="24"/>
        </w:rPr>
        <w:t xml:space="preserve"> </w:t>
      </w:r>
      <w:r w:rsidR="00595BF4" w:rsidRPr="00FA1BCF">
        <w:rPr>
          <w:szCs w:val="24"/>
        </w:rPr>
        <w:t>T</w:t>
      </w:r>
      <w:r w:rsidR="00CC79FE" w:rsidRPr="00FA1BCF">
        <w:rPr>
          <w:szCs w:val="24"/>
        </w:rPr>
        <w:t xml:space="preserve">he </w:t>
      </w:r>
      <w:r w:rsidR="00F11CA5" w:rsidRPr="00FA1BCF">
        <w:rPr>
          <w:szCs w:val="24"/>
        </w:rPr>
        <w:t>reference group</w:t>
      </w:r>
      <w:r w:rsidR="00CC79FE" w:rsidRPr="00FA1BCF">
        <w:rPr>
          <w:szCs w:val="24"/>
        </w:rPr>
        <w:t xml:space="preserve"> note</w:t>
      </w:r>
      <w:r w:rsidR="00394297" w:rsidRPr="00FA1BCF">
        <w:rPr>
          <w:szCs w:val="24"/>
        </w:rPr>
        <w:t>d</w:t>
      </w:r>
      <w:r w:rsidR="00CC79FE" w:rsidRPr="00FA1BCF">
        <w:rPr>
          <w:szCs w:val="24"/>
        </w:rPr>
        <w:t xml:space="preserve"> that this was on the basis of the current rate of subsidy and rare disease definition. The cumulative effect</w:t>
      </w:r>
      <w:r w:rsidR="00595BF4" w:rsidRPr="00FA1BCF">
        <w:rPr>
          <w:szCs w:val="24"/>
        </w:rPr>
        <w:t>s</w:t>
      </w:r>
      <w:r w:rsidR="00CC79FE" w:rsidRPr="00FA1BCF">
        <w:rPr>
          <w:szCs w:val="24"/>
        </w:rPr>
        <w:t xml:space="preserve"> of extending the rare disease definition </w:t>
      </w:r>
      <w:r w:rsidR="00595BF4" w:rsidRPr="00FA1BCF">
        <w:rPr>
          <w:szCs w:val="24"/>
        </w:rPr>
        <w:t>c</w:t>
      </w:r>
      <w:r w:rsidR="00CC79FE" w:rsidRPr="00FA1BCF">
        <w:rPr>
          <w:szCs w:val="24"/>
        </w:rPr>
        <w:t xml:space="preserve">ould have </w:t>
      </w:r>
      <w:r w:rsidR="00394297" w:rsidRPr="00FA1BCF">
        <w:rPr>
          <w:szCs w:val="24"/>
        </w:rPr>
        <w:t xml:space="preserve">a </w:t>
      </w:r>
      <w:r w:rsidR="00595BF4" w:rsidRPr="00FA1BCF">
        <w:rPr>
          <w:szCs w:val="24"/>
        </w:rPr>
        <w:t xml:space="preserve">significantly </w:t>
      </w:r>
      <w:r w:rsidR="00CC79FE" w:rsidRPr="00FA1BCF">
        <w:rPr>
          <w:szCs w:val="24"/>
        </w:rPr>
        <w:t xml:space="preserve">larger impact on the </w:t>
      </w:r>
      <w:r w:rsidR="00394297" w:rsidRPr="00FA1BCF">
        <w:rPr>
          <w:szCs w:val="24"/>
        </w:rPr>
        <w:t>f</w:t>
      </w:r>
      <w:r w:rsidR="00CC79FE" w:rsidRPr="00FA1BCF">
        <w:rPr>
          <w:szCs w:val="24"/>
        </w:rPr>
        <w:t xml:space="preserve">ederal health budget. </w:t>
      </w:r>
      <w:r w:rsidR="00595BF4" w:rsidRPr="00FA1BCF">
        <w:rPr>
          <w:szCs w:val="24"/>
        </w:rPr>
        <w:t>For example, if even the 1,285 patients identified above were treated under such scheme at the average current patient drug subsidy cost, the cost of the programme to taxpayers could increase from $77.5 million in 2014</w:t>
      </w:r>
      <w:r w:rsidR="003B146F" w:rsidRPr="00FA1BCF">
        <w:rPr>
          <w:szCs w:val="24"/>
        </w:rPr>
        <w:t>–</w:t>
      </w:r>
      <w:r w:rsidR="00595BF4" w:rsidRPr="00FA1BCF">
        <w:rPr>
          <w:szCs w:val="24"/>
        </w:rPr>
        <w:t>2015 to $387.5 million. If the upper limit of 11,700 patients were to receive subsidy, the cost of the programme could be up to $3.5 billion. While cognisant that this is an extreme case, t</w:t>
      </w:r>
      <w:r w:rsidR="00CC79FE" w:rsidRPr="00FA1BCF">
        <w:rPr>
          <w:szCs w:val="24"/>
        </w:rPr>
        <w:t xml:space="preserve">he </w:t>
      </w:r>
      <w:r w:rsidR="00F11CA5" w:rsidRPr="00FA1BCF">
        <w:rPr>
          <w:szCs w:val="24"/>
        </w:rPr>
        <w:t>reference group</w:t>
      </w:r>
      <w:r w:rsidR="00CC79FE" w:rsidRPr="00FA1BCF">
        <w:rPr>
          <w:szCs w:val="24"/>
        </w:rPr>
        <w:t xml:space="preserve"> </w:t>
      </w:r>
      <w:r w:rsidR="00595BF4" w:rsidRPr="00FA1BCF">
        <w:rPr>
          <w:szCs w:val="24"/>
        </w:rPr>
        <w:t xml:space="preserve">is concerned </w:t>
      </w:r>
      <w:r w:rsidR="00310D1D" w:rsidRPr="00FA1BCF">
        <w:rPr>
          <w:szCs w:val="24"/>
        </w:rPr>
        <w:t xml:space="preserve">that the total cost of the programme would impact on continued Government support for a special program of funding for people with rare diseases. </w:t>
      </w:r>
    </w:p>
    <w:p w:rsidR="00CC79FE" w:rsidRPr="00FA1BCF" w:rsidRDefault="00CC79FE" w:rsidP="00E436E7">
      <w:pPr>
        <w:rPr>
          <w:szCs w:val="24"/>
        </w:rPr>
      </w:pPr>
      <w:r w:rsidRPr="00FA1BCF">
        <w:rPr>
          <w:szCs w:val="24"/>
        </w:rPr>
        <w:t xml:space="preserve"> </w:t>
      </w:r>
      <w:r w:rsidR="00310D1D" w:rsidRPr="00FA1BCF">
        <w:rPr>
          <w:szCs w:val="24"/>
        </w:rPr>
        <w:t xml:space="preserve">It is noteworthy that stakeholders offered a number of approaches </w:t>
      </w:r>
      <w:r w:rsidRPr="00FA1BCF">
        <w:rPr>
          <w:szCs w:val="24"/>
        </w:rPr>
        <w:t>to reduce the costs of the rare disease programme. These include:</w:t>
      </w:r>
    </w:p>
    <w:p w:rsidR="00CC79FE" w:rsidRPr="00FA1BCF" w:rsidRDefault="00394297" w:rsidP="00CC79FE">
      <w:pPr>
        <w:pStyle w:val="ListParagraph"/>
        <w:numPr>
          <w:ilvl w:val="0"/>
          <w:numId w:val="27"/>
        </w:numPr>
        <w:jc w:val="both"/>
        <w:rPr>
          <w:szCs w:val="24"/>
        </w:rPr>
      </w:pPr>
      <w:r w:rsidRPr="00FA1BCF">
        <w:rPr>
          <w:szCs w:val="24"/>
        </w:rPr>
        <w:t>h</w:t>
      </w:r>
      <w:r w:rsidR="00CC79FE" w:rsidRPr="00FA1BCF">
        <w:rPr>
          <w:szCs w:val="24"/>
        </w:rPr>
        <w:t>aving regular reviews of the drug’s efficacy</w:t>
      </w:r>
    </w:p>
    <w:p w:rsidR="00CC79FE" w:rsidRPr="00FA1BCF" w:rsidRDefault="00394297" w:rsidP="00CC79FE">
      <w:pPr>
        <w:pStyle w:val="ListParagraph"/>
        <w:numPr>
          <w:ilvl w:val="0"/>
          <w:numId w:val="27"/>
        </w:numPr>
        <w:jc w:val="both"/>
        <w:rPr>
          <w:szCs w:val="24"/>
        </w:rPr>
      </w:pPr>
      <w:r w:rsidRPr="00FA1BCF">
        <w:rPr>
          <w:szCs w:val="24"/>
        </w:rPr>
        <w:t>i</w:t>
      </w:r>
      <w:r w:rsidR="00CC79FE" w:rsidRPr="00FA1BCF">
        <w:rPr>
          <w:szCs w:val="24"/>
        </w:rPr>
        <w:t>mproving transparency on how companies priced their medicines</w:t>
      </w:r>
    </w:p>
    <w:p w:rsidR="00CC79FE" w:rsidRPr="00FA1BCF" w:rsidRDefault="00394297" w:rsidP="00CC79FE">
      <w:pPr>
        <w:pStyle w:val="ListParagraph"/>
        <w:numPr>
          <w:ilvl w:val="0"/>
          <w:numId w:val="27"/>
        </w:numPr>
        <w:jc w:val="both"/>
        <w:rPr>
          <w:szCs w:val="24"/>
        </w:rPr>
      </w:pPr>
      <w:r w:rsidRPr="00FA1BCF">
        <w:rPr>
          <w:szCs w:val="24"/>
        </w:rPr>
        <w:t>e</w:t>
      </w:r>
      <w:r w:rsidR="00CC79FE" w:rsidRPr="00FA1BCF">
        <w:rPr>
          <w:szCs w:val="24"/>
        </w:rPr>
        <w:t>xamining how existing medicines listed on the PBS might be approved for ‘off-label’ use to treat rare diseases</w:t>
      </w:r>
    </w:p>
    <w:p w:rsidR="00D40857" w:rsidRPr="00FA1BCF" w:rsidRDefault="00FC6DBE" w:rsidP="00E436E7">
      <w:pPr>
        <w:pStyle w:val="ListParagraph"/>
        <w:numPr>
          <w:ilvl w:val="0"/>
          <w:numId w:val="27"/>
        </w:numPr>
        <w:jc w:val="both"/>
      </w:pPr>
      <w:proofErr w:type="gramStart"/>
      <w:r w:rsidRPr="00FA1BCF">
        <w:rPr>
          <w:szCs w:val="24"/>
        </w:rPr>
        <w:t>e</w:t>
      </w:r>
      <w:r w:rsidR="00CC79FE" w:rsidRPr="00FA1BCF">
        <w:rPr>
          <w:szCs w:val="24"/>
        </w:rPr>
        <w:t>nsuring</w:t>
      </w:r>
      <w:proofErr w:type="gramEnd"/>
      <w:r w:rsidR="00CC79FE" w:rsidRPr="00FA1BCF">
        <w:rPr>
          <w:szCs w:val="24"/>
        </w:rPr>
        <w:t xml:space="preserve"> clear definitions both </w:t>
      </w:r>
      <w:r w:rsidRPr="00FA1BCF">
        <w:rPr>
          <w:szCs w:val="24"/>
        </w:rPr>
        <w:t xml:space="preserve">for </w:t>
      </w:r>
      <w:r w:rsidR="00CC79FE" w:rsidRPr="00FA1BCF">
        <w:rPr>
          <w:szCs w:val="24"/>
        </w:rPr>
        <w:t xml:space="preserve">rare disease and </w:t>
      </w:r>
      <w:r w:rsidRPr="00FA1BCF">
        <w:rPr>
          <w:szCs w:val="24"/>
        </w:rPr>
        <w:t xml:space="preserve">for the </w:t>
      </w:r>
      <w:r w:rsidR="00CC79FE" w:rsidRPr="00FA1BCF">
        <w:rPr>
          <w:szCs w:val="24"/>
        </w:rPr>
        <w:t>criteria for the programme.</w:t>
      </w:r>
    </w:p>
    <w:p w:rsidR="00CC79FE" w:rsidRPr="00FA1BCF" w:rsidRDefault="00CC79FE" w:rsidP="00E436E7">
      <w:pPr>
        <w:pStyle w:val="Heading2"/>
      </w:pPr>
      <w:bookmarkStart w:id="55" w:name="_Toc302625608"/>
      <w:r w:rsidRPr="00FA1BCF">
        <w:t>7.2. Access to subsidised drugs</w:t>
      </w:r>
      <w:bookmarkEnd w:id="55"/>
    </w:p>
    <w:p w:rsidR="00CC79FE" w:rsidRPr="00FA1BCF" w:rsidRDefault="00CC79FE" w:rsidP="00E436E7">
      <w:pPr>
        <w:pStyle w:val="Heading3"/>
      </w:pPr>
      <w:bookmarkStart w:id="56" w:name="_Toc302625609"/>
      <w:r w:rsidRPr="00FA1BCF">
        <w:t xml:space="preserve">7.2.1 Continued access to </w:t>
      </w:r>
      <w:r w:rsidR="000250B9" w:rsidRPr="00FA1BCF">
        <w:t>Life Saving Drugs Programme</w:t>
      </w:r>
      <w:r w:rsidR="00B003BF" w:rsidRPr="00FA1BCF">
        <w:t xml:space="preserve"> </w:t>
      </w:r>
      <w:r w:rsidRPr="00FA1BCF">
        <w:t>funded drugs</w:t>
      </w:r>
      <w:bookmarkEnd w:id="56"/>
    </w:p>
    <w:p w:rsidR="00CC79FE" w:rsidRPr="00FA1BCF" w:rsidRDefault="00CC79FE" w:rsidP="00CC79FE">
      <w:pPr>
        <w:jc w:val="both"/>
        <w:rPr>
          <w:szCs w:val="24"/>
        </w:rPr>
      </w:pPr>
      <w:r w:rsidRPr="00FA1BCF">
        <w:rPr>
          <w:szCs w:val="24"/>
        </w:rPr>
        <w:t xml:space="preserve">Stakeholder submissions were focused on themes such as the ability of existing patients to access </w:t>
      </w:r>
      <w:r w:rsidR="00A26B5E" w:rsidRPr="00FA1BCF">
        <w:rPr>
          <w:szCs w:val="24"/>
        </w:rPr>
        <w:t xml:space="preserve">medicines </w:t>
      </w:r>
      <w:r w:rsidRPr="00FA1BCF">
        <w:rPr>
          <w:szCs w:val="24"/>
        </w:rPr>
        <w:t xml:space="preserve">currently listed on the LSDP, future administration </w:t>
      </w:r>
      <w:r w:rsidR="003F43B9" w:rsidRPr="00FA1BCF">
        <w:rPr>
          <w:szCs w:val="24"/>
        </w:rPr>
        <w:t>of the</w:t>
      </w:r>
      <w:r w:rsidRPr="00FA1BCF">
        <w:rPr>
          <w:szCs w:val="24"/>
        </w:rPr>
        <w:t xml:space="preserve"> LSDP, the effect </w:t>
      </w:r>
      <w:r w:rsidRPr="00FA1BCF">
        <w:rPr>
          <w:szCs w:val="24"/>
        </w:rPr>
        <w:lastRenderedPageBreak/>
        <w:t>of a new delivery framework on existing patients, proposed criteria to assess new therapies for listing on the new LSDP administrative framework, and new patient access to the rare disease drugs.</w:t>
      </w:r>
    </w:p>
    <w:p w:rsidR="00CC79FE" w:rsidRPr="00FA1BCF" w:rsidRDefault="00CC79FE" w:rsidP="00CC79FE">
      <w:pPr>
        <w:jc w:val="both"/>
        <w:rPr>
          <w:b/>
          <w:szCs w:val="24"/>
        </w:rPr>
      </w:pPr>
      <w:r w:rsidRPr="00FA1BCF">
        <w:rPr>
          <w:szCs w:val="24"/>
        </w:rPr>
        <w:t xml:space="preserve">For </w:t>
      </w:r>
      <w:r w:rsidR="00A26B5E" w:rsidRPr="00FA1BCF">
        <w:rPr>
          <w:szCs w:val="24"/>
        </w:rPr>
        <w:t xml:space="preserve">medicines </w:t>
      </w:r>
      <w:r w:rsidRPr="00FA1BCF">
        <w:rPr>
          <w:szCs w:val="24"/>
        </w:rPr>
        <w:t>already listed on the LSDP,</w:t>
      </w:r>
      <w:r w:rsidR="00FC6DBE" w:rsidRPr="00FA1BCF">
        <w:rPr>
          <w:szCs w:val="24"/>
        </w:rPr>
        <w:t xml:space="preserve"> the reference group recommended that,</w:t>
      </w:r>
      <w:r w:rsidRPr="00FA1BCF">
        <w:rPr>
          <w:szCs w:val="24"/>
        </w:rPr>
        <w:t xml:space="preserve"> if a new delivery framework such as a </w:t>
      </w:r>
      <w:r w:rsidR="00B349D4" w:rsidRPr="00FA1BCF">
        <w:rPr>
          <w:szCs w:val="24"/>
        </w:rPr>
        <w:t>section 100</w:t>
      </w:r>
      <w:r w:rsidRPr="00FA1BCF">
        <w:rPr>
          <w:szCs w:val="24"/>
        </w:rPr>
        <w:t xml:space="preserve"> </w:t>
      </w:r>
      <w:r w:rsidR="00FC6DBE" w:rsidRPr="00FA1BCF">
        <w:rPr>
          <w:szCs w:val="24"/>
        </w:rPr>
        <w:t>r</w:t>
      </w:r>
      <w:r w:rsidRPr="00FA1BCF">
        <w:rPr>
          <w:szCs w:val="24"/>
        </w:rPr>
        <w:t xml:space="preserve">are </w:t>
      </w:r>
      <w:r w:rsidR="00FC6DBE" w:rsidRPr="00FA1BCF">
        <w:rPr>
          <w:szCs w:val="24"/>
        </w:rPr>
        <w:t>d</w:t>
      </w:r>
      <w:r w:rsidRPr="00FA1BCF">
        <w:rPr>
          <w:szCs w:val="24"/>
        </w:rPr>
        <w:t xml:space="preserve">isease treatment programme </w:t>
      </w:r>
      <w:r w:rsidR="00FC6DBE" w:rsidRPr="00FA1BCF">
        <w:rPr>
          <w:szCs w:val="24"/>
        </w:rPr>
        <w:t>were</w:t>
      </w:r>
      <w:r w:rsidRPr="00FA1BCF">
        <w:rPr>
          <w:szCs w:val="24"/>
        </w:rPr>
        <w:t xml:space="preserve"> adopted, regardless of how a </w:t>
      </w:r>
      <w:r w:rsidR="009A438D" w:rsidRPr="00FA1BCF">
        <w:rPr>
          <w:szCs w:val="24"/>
        </w:rPr>
        <w:t xml:space="preserve">medicine </w:t>
      </w:r>
      <w:r w:rsidRPr="00FA1BCF">
        <w:rPr>
          <w:szCs w:val="24"/>
        </w:rPr>
        <w:t xml:space="preserve">may be assessed in the future, existing patients should not be affected by the new assessment criteria for existing drugs. Treatment would be available to existing patients for the specific indication as long as the existing </w:t>
      </w:r>
      <w:r w:rsidR="009A438D" w:rsidRPr="00FA1BCF">
        <w:rPr>
          <w:szCs w:val="24"/>
        </w:rPr>
        <w:t xml:space="preserve">medicine </w:t>
      </w:r>
      <w:r w:rsidRPr="00FA1BCF">
        <w:rPr>
          <w:szCs w:val="24"/>
        </w:rPr>
        <w:t>is safe and continues to be manufactured for sale.</w:t>
      </w:r>
    </w:p>
    <w:p w:rsidR="00CC79FE" w:rsidRPr="00FA1BCF" w:rsidRDefault="00CC79FE" w:rsidP="00E436E7">
      <w:pPr>
        <w:pStyle w:val="Heading2"/>
      </w:pPr>
      <w:bookmarkStart w:id="57" w:name="_Toc302625610"/>
      <w:r w:rsidRPr="00FA1BCF">
        <w:t xml:space="preserve">7.3. </w:t>
      </w:r>
      <w:r w:rsidR="001E6170" w:rsidRPr="00FA1BCF">
        <w:t xml:space="preserve">Section 100 as an </w:t>
      </w:r>
      <w:r w:rsidR="000250B9" w:rsidRPr="00FA1BCF">
        <w:t>o</w:t>
      </w:r>
      <w:r w:rsidR="001E6170" w:rsidRPr="00FA1BCF">
        <w:t>ption for a</w:t>
      </w:r>
      <w:r w:rsidRPr="00FA1BCF">
        <w:t xml:space="preserve"> </w:t>
      </w:r>
      <w:r w:rsidR="008B29C7" w:rsidRPr="00FA1BCF">
        <w:t>Medicines for Rare Diseases Programme</w:t>
      </w:r>
      <w:bookmarkEnd w:id="57"/>
    </w:p>
    <w:p w:rsidR="00CC79FE" w:rsidRPr="00FA1BCF" w:rsidRDefault="00CC79FE" w:rsidP="00E436E7">
      <w:pPr>
        <w:pStyle w:val="Heading3"/>
      </w:pPr>
      <w:bookmarkStart w:id="58" w:name="_Toc302625611"/>
      <w:r w:rsidRPr="00FA1BCF">
        <w:t>7.3.1 Section 100</w:t>
      </w:r>
      <w:r w:rsidR="00FF4F3B" w:rsidRPr="00FA1BCF">
        <w:t xml:space="preserve"> s</w:t>
      </w:r>
      <w:r w:rsidRPr="00FA1BCF">
        <w:t>pecial arrangements</w:t>
      </w:r>
      <w:bookmarkEnd w:id="58"/>
      <w:r w:rsidRPr="00FA1BCF">
        <w:t xml:space="preserve"> </w:t>
      </w:r>
    </w:p>
    <w:p w:rsidR="00CC79FE" w:rsidRPr="00FA1BCF" w:rsidRDefault="001E6170" w:rsidP="00E436E7">
      <w:pPr>
        <w:jc w:val="both"/>
        <w:rPr>
          <w:szCs w:val="24"/>
        </w:rPr>
      </w:pPr>
      <w:r w:rsidRPr="00FA1BCF">
        <w:rPr>
          <w:szCs w:val="24"/>
        </w:rPr>
        <w:t xml:space="preserve">Most </w:t>
      </w:r>
      <w:r w:rsidR="00A26B5E" w:rsidRPr="00FA1BCF">
        <w:rPr>
          <w:szCs w:val="24"/>
        </w:rPr>
        <w:t xml:space="preserve">medicines </w:t>
      </w:r>
      <w:r w:rsidR="00CC79FE" w:rsidRPr="00FA1BCF">
        <w:rPr>
          <w:szCs w:val="24"/>
        </w:rPr>
        <w:t xml:space="preserve">and medicinal preparations </w:t>
      </w:r>
      <w:r w:rsidRPr="00FA1BCF">
        <w:rPr>
          <w:szCs w:val="24"/>
        </w:rPr>
        <w:t xml:space="preserve">available to the public under the PBS are listed under </w:t>
      </w:r>
      <w:r w:rsidR="00CC79FE" w:rsidRPr="00FA1BCF">
        <w:rPr>
          <w:szCs w:val="24"/>
        </w:rPr>
        <w:t xml:space="preserve">section 85 of the </w:t>
      </w:r>
      <w:r w:rsidR="00CC79FE" w:rsidRPr="00FA1BCF">
        <w:rPr>
          <w:i/>
          <w:szCs w:val="24"/>
        </w:rPr>
        <w:t>National Health Act</w:t>
      </w:r>
      <w:r w:rsidR="00FC6DBE" w:rsidRPr="00FA1BCF">
        <w:rPr>
          <w:i/>
          <w:szCs w:val="24"/>
        </w:rPr>
        <w:t xml:space="preserve"> 1953</w:t>
      </w:r>
      <w:r w:rsidR="00CC79FE" w:rsidRPr="00FA1BCF">
        <w:rPr>
          <w:szCs w:val="24"/>
        </w:rPr>
        <w:t xml:space="preserve">. </w:t>
      </w:r>
      <w:r w:rsidRPr="00FA1BCF">
        <w:rPr>
          <w:szCs w:val="24"/>
        </w:rPr>
        <w:t>However, a</w:t>
      </w:r>
      <w:r w:rsidR="00CC79FE" w:rsidRPr="00FA1BCF">
        <w:rPr>
          <w:szCs w:val="24"/>
        </w:rPr>
        <w:t xml:space="preserve"> smaller number of </w:t>
      </w:r>
      <w:r w:rsidR="00A26B5E" w:rsidRPr="00FA1BCF">
        <w:rPr>
          <w:szCs w:val="24"/>
        </w:rPr>
        <w:t xml:space="preserve">medicines </w:t>
      </w:r>
      <w:r w:rsidR="00CC79FE" w:rsidRPr="00FA1BCF">
        <w:rPr>
          <w:szCs w:val="24"/>
        </w:rPr>
        <w:t xml:space="preserve">are also distributed under alternative arrangements, </w:t>
      </w:r>
      <w:r w:rsidR="00FC6DBE" w:rsidRPr="00FA1BCF">
        <w:rPr>
          <w:szCs w:val="24"/>
        </w:rPr>
        <w:t xml:space="preserve">as provided for in </w:t>
      </w:r>
      <w:r w:rsidR="00B349D4" w:rsidRPr="00FA1BCF">
        <w:rPr>
          <w:szCs w:val="24"/>
        </w:rPr>
        <w:t>section 100</w:t>
      </w:r>
      <w:r w:rsidR="00FC6DBE" w:rsidRPr="00FA1BCF">
        <w:rPr>
          <w:szCs w:val="24"/>
        </w:rPr>
        <w:t xml:space="preserve"> of the Act</w:t>
      </w:r>
      <w:r w:rsidR="00CC79FE" w:rsidRPr="00FA1BCF">
        <w:rPr>
          <w:szCs w:val="24"/>
        </w:rPr>
        <w:t>, where these are considered more appropriate.</w:t>
      </w:r>
    </w:p>
    <w:p w:rsidR="00CC79FE" w:rsidRPr="00FA1BCF" w:rsidRDefault="00CC79FE" w:rsidP="00CC79FE">
      <w:pPr>
        <w:rPr>
          <w:szCs w:val="24"/>
        </w:rPr>
      </w:pPr>
      <w:r w:rsidRPr="00FA1BCF">
        <w:rPr>
          <w:szCs w:val="24"/>
        </w:rPr>
        <w:t>Section 100 of the Act states</w:t>
      </w:r>
      <w:r w:rsidR="00FF4F3B" w:rsidRPr="00FA1BCF">
        <w:rPr>
          <w:szCs w:val="24"/>
        </w:rPr>
        <w:t>:</w:t>
      </w:r>
    </w:p>
    <w:p w:rsidR="00CC79FE" w:rsidRPr="00FA1BCF" w:rsidRDefault="00B56F35" w:rsidP="00E436E7">
      <w:pPr>
        <w:pStyle w:val="Quote"/>
      </w:pPr>
      <w:r w:rsidRPr="00FA1BCF">
        <w:t xml:space="preserve"> </w:t>
      </w:r>
      <w:r w:rsidR="00CC79FE" w:rsidRPr="00FA1BCF">
        <w:t>(1)</w:t>
      </w:r>
      <w:r w:rsidRPr="00FA1BCF">
        <w:t xml:space="preserve"> </w:t>
      </w:r>
      <w:r w:rsidR="00CC79FE" w:rsidRPr="00FA1BCF">
        <w:t xml:space="preserve">The Minister may make special arrangements for, or in relation to, providing that an adequate supply of </w:t>
      </w:r>
      <w:hyperlink r:id="rId25" w:anchor="pharmaceutical_benefit" w:history="1">
        <w:r w:rsidR="00CC79FE" w:rsidRPr="00FA1BCF">
          <w:t>pharmaceutical benefits</w:t>
        </w:r>
      </w:hyperlink>
      <w:r w:rsidR="00CC79FE" w:rsidRPr="00FA1BCF">
        <w:t xml:space="preserve"> will be available to persons: </w:t>
      </w:r>
    </w:p>
    <w:p w:rsidR="00CC79FE" w:rsidRPr="00FA1BCF" w:rsidRDefault="00B56F35" w:rsidP="00E436E7">
      <w:pPr>
        <w:pStyle w:val="Quote"/>
      </w:pPr>
      <w:r w:rsidRPr="00FA1BCF">
        <w:t xml:space="preserve"> </w:t>
      </w:r>
      <w:r w:rsidR="00FC6DBE" w:rsidRPr="00FA1BCF">
        <w:tab/>
        <w:t>…</w:t>
      </w:r>
      <w:r w:rsidR="00FC6DBE" w:rsidRPr="00FA1BCF">
        <w:tab/>
        <w:t>…</w:t>
      </w:r>
      <w:r w:rsidR="00FC6DBE" w:rsidRPr="00FA1BCF">
        <w:tab/>
        <w:t>…</w:t>
      </w:r>
    </w:p>
    <w:p w:rsidR="00CC79FE" w:rsidRPr="00FA1BCF" w:rsidRDefault="00CC79FE" w:rsidP="00E436E7">
      <w:pPr>
        <w:pStyle w:val="Quote"/>
        <w:ind w:left="720"/>
      </w:pPr>
      <w:r w:rsidRPr="00FA1BCF">
        <w:t>(c)</w:t>
      </w:r>
      <w:r w:rsidR="00B56F35" w:rsidRPr="00FA1BCF">
        <w:t xml:space="preserve"> </w:t>
      </w:r>
      <w:proofErr w:type="gramStart"/>
      <w:r w:rsidRPr="00FA1BCF">
        <w:t>if</w:t>
      </w:r>
      <w:proofErr w:type="gramEnd"/>
      <w:r w:rsidRPr="00FA1BCF">
        <w:t xml:space="preserve"> the </w:t>
      </w:r>
      <w:hyperlink r:id="rId26" w:anchor="pharmaceutical_benefit" w:history="1">
        <w:r w:rsidRPr="00FA1BCF">
          <w:t>pharmaceutical benefits</w:t>
        </w:r>
      </w:hyperlink>
      <w:r w:rsidRPr="00FA1BCF">
        <w:t xml:space="preserve"> covered by the arrangements can be more conveniently or efficiently supplied under the arrangements. </w:t>
      </w:r>
    </w:p>
    <w:p w:rsidR="00CC79FE" w:rsidRPr="00FA1BCF" w:rsidRDefault="00B56F35" w:rsidP="00E436E7">
      <w:pPr>
        <w:pStyle w:val="Quote"/>
        <w:ind w:firstLine="720"/>
      </w:pPr>
      <w:r w:rsidRPr="00FA1BCF">
        <w:t xml:space="preserve"> </w:t>
      </w:r>
      <w:r w:rsidR="00FC6DBE" w:rsidRPr="00FA1BCF">
        <w:t>…</w:t>
      </w:r>
      <w:r w:rsidR="00FC6DBE" w:rsidRPr="00FA1BCF">
        <w:tab/>
        <w:t>…</w:t>
      </w:r>
      <w:r w:rsidR="00FC6DBE" w:rsidRPr="00FA1BCF">
        <w:tab/>
        <w:t>…</w:t>
      </w:r>
    </w:p>
    <w:p w:rsidR="00CC79FE" w:rsidRPr="00FA1BCF" w:rsidRDefault="00CC79FE" w:rsidP="00E436E7">
      <w:pPr>
        <w:pStyle w:val="Quote"/>
      </w:pPr>
      <w:r w:rsidRPr="00FA1BCF">
        <w:t>(2)</w:t>
      </w:r>
      <w:r w:rsidR="00B56F35" w:rsidRPr="00FA1BCF">
        <w:t xml:space="preserve"> </w:t>
      </w:r>
      <w:r w:rsidRPr="00FA1BCF">
        <w:t xml:space="preserve">The Minister may vary or revoke a special arrangement made under subsection (1). </w:t>
      </w:r>
    </w:p>
    <w:p w:rsidR="00CC79FE" w:rsidRPr="00FA1BCF" w:rsidRDefault="00B56F35" w:rsidP="00E436E7">
      <w:pPr>
        <w:pStyle w:val="Quote"/>
      </w:pPr>
      <w:r w:rsidRPr="00FA1BCF">
        <w:t xml:space="preserve"> </w:t>
      </w:r>
    </w:p>
    <w:p w:rsidR="00CC79FE" w:rsidRPr="00FA1BCF" w:rsidRDefault="00CC79FE" w:rsidP="00E436E7">
      <w:pPr>
        <w:pStyle w:val="Quote"/>
      </w:pPr>
      <w:r w:rsidRPr="00FA1BCF">
        <w:t>(3)</w:t>
      </w:r>
      <w:r w:rsidR="00B56F35" w:rsidRPr="00FA1BCF">
        <w:t xml:space="preserve"> </w:t>
      </w:r>
      <w:r w:rsidRPr="00FA1BCF">
        <w:t xml:space="preserve">This Part, and regulations or other instruments made for the purposes of this Part, have effect subject to a special arrangement made under subsection (1). </w:t>
      </w:r>
    </w:p>
    <w:p w:rsidR="00CC79FE" w:rsidRPr="00FA1BCF" w:rsidRDefault="00CC79FE" w:rsidP="00E436E7">
      <w:pPr>
        <w:pStyle w:val="Quote"/>
      </w:pPr>
      <w:r w:rsidRPr="00FA1BCF">
        <w:t>Note:</w:t>
      </w:r>
      <w:r w:rsidR="00B56F35" w:rsidRPr="00FA1BCF">
        <w:t xml:space="preserve"> </w:t>
      </w:r>
      <w:r w:rsidRPr="00FA1BCF">
        <w:t xml:space="preserve">For example, for a drug declared under </w:t>
      </w:r>
      <w:hyperlink r:id="rId27" w:history="1">
        <w:r w:rsidRPr="00FA1BCF">
          <w:t>subsection 85(2)</w:t>
        </w:r>
      </w:hyperlink>
      <w:r w:rsidRPr="00FA1BCF">
        <w:t xml:space="preserve">, it does not matter if a special arrangement for its supply is inconsistent with a determination made under </w:t>
      </w:r>
      <w:hyperlink r:id="rId28" w:history="1">
        <w:r w:rsidRPr="00FA1BCF">
          <w:t>subsection 85(3)</w:t>
        </w:r>
      </w:hyperlink>
      <w:r w:rsidRPr="00FA1BCF">
        <w:t xml:space="preserve"> or </w:t>
      </w:r>
      <w:hyperlink r:id="rId29" w:history="1">
        <w:r w:rsidRPr="00FA1BCF">
          <w:t>section 85A</w:t>
        </w:r>
      </w:hyperlink>
      <w:r w:rsidRPr="00FA1BCF">
        <w:t xml:space="preserve"> for the drug. </w:t>
      </w:r>
    </w:p>
    <w:p w:rsidR="00CC79FE" w:rsidRPr="00FA1BCF" w:rsidRDefault="00CC79FE" w:rsidP="00E436E7">
      <w:pPr>
        <w:pStyle w:val="Heading3"/>
      </w:pPr>
      <w:bookmarkStart w:id="59" w:name="_Toc302625612"/>
      <w:r w:rsidRPr="00FA1BCF">
        <w:t>7.3.2 Section 100 special programmes</w:t>
      </w:r>
      <w:bookmarkEnd w:id="59"/>
    </w:p>
    <w:p w:rsidR="00CC79FE" w:rsidRPr="00FA1BCF" w:rsidRDefault="00FC6DBE" w:rsidP="00CC79FE">
      <w:pPr>
        <w:jc w:val="both"/>
        <w:rPr>
          <w:szCs w:val="24"/>
        </w:rPr>
      </w:pPr>
      <w:r w:rsidRPr="00FA1BCF">
        <w:rPr>
          <w:szCs w:val="24"/>
        </w:rPr>
        <w:t>M</w:t>
      </w:r>
      <w:r w:rsidR="00021636" w:rsidRPr="00FA1BCF">
        <w:rPr>
          <w:szCs w:val="24"/>
        </w:rPr>
        <w:t xml:space="preserve">any different </w:t>
      </w:r>
      <w:r w:rsidR="00CC79FE" w:rsidRPr="00FA1BCF">
        <w:rPr>
          <w:szCs w:val="24"/>
        </w:rPr>
        <w:t xml:space="preserve">programmes </w:t>
      </w:r>
      <w:r w:rsidRPr="00FA1BCF">
        <w:rPr>
          <w:szCs w:val="24"/>
        </w:rPr>
        <w:t xml:space="preserve">are </w:t>
      </w:r>
      <w:r w:rsidR="0053742B" w:rsidRPr="00FA1BCF">
        <w:rPr>
          <w:szCs w:val="24"/>
        </w:rPr>
        <w:t xml:space="preserve">already </w:t>
      </w:r>
      <w:r w:rsidR="00CC79FE" w:rsidRPr="00FA1BCF">
        <w:rPr>
          <w:szCs w:val="24"/>
        </w:rPr>
        <w:t xml:space="preserve">administered under this section. These </w:t>
      </w:r>
      <w:r w:rsidR="00021636" w:rsidRPr="00FA1BCF">
        <w:rPr>
          <w:szCs w:val="24"/>
        </w:rPr>
        <w:t>include</w:t>
      </w:r>
      <w:r w:rsidR="00CC79FE" w:rsidRPr="00FA1BCF">
        <w:rPr>
          <w:szCs w:val="24"/>
        </w:rPr>
        <w:t>:</w:t>
      </w:r>
    </w:p>
    <w:p w:rsidR="00CC79FE" w:rsidRPr="00FA1BCF" w:rsidRDefault="00CC79FE" w:rsidP="00CC79FE">
      <w:pPr>
        <w:pStyle w:val="ListParagraph"/>
        <w:numPr>
          <w:ilvl w:val="0"/>
          <w:numId w:val="26"/>
        </w:numPr>
        <w:jc w:val="both"/>
        <w:rPr>
          <w:szCs w:val="24"/>
        </w:rPr>
      </w:pPr>
      <w:r w:rsidRPr="00FA1BCF">
        <w:rPr>
          <w:szCs w:val="24"/>
        </w:rPr>
        <w:t>Highly Specialised Drugs Programme</w:t>
      </w:r>
    </w:p>
    <w:p w:rsidR="00CC79FE" w:rsidRPr="00FA1BCF" w:rsidRDefault="00CC79FE" w:rsidP="00CC79FE">
      <w:pPr>
        <w:pStyle w:val="ListParagraph"/>
        <w:numPr>
          <w:ilvl w:val="0"/>
          <w:numId w:val="26"/>
        </w:numPr>
        <w:jc w:val="both"/>
        <w:rPr>
          <w:szCs w:val="24"/>
        </w:rPr>
      </w:pPr>
      <w:r w:rsidRPr="00FA1BCF">
        <w:rPr>
          <w:szCs w:val="24"/>
        </w:rPr>
        <w:t>Growth Hormone Programme</w:t>
      </w:r>
    </w:p>
    <w:p w:rsidR="00CC79FE" w:rsidRPr="00FA1BCF" w:rsidRDefault="00CC79FE" w:rsidP="00CC79FE">
      <w:pPr>
        <w:pStyle w:val="ListParagraph"/>
        <w:numPr>
          <w:ilvl w:val="0"/>
          <w:numId w:val="26"/>
        </w:numPr>
        <w:jc w:val="both"/>
        <w:rPr>
          <w:szCs w:val="24"/>
        </w:rPr>
      </w:pPr>
      <w:r w:rsidRPr="00FA1BCF">
        <w:rPr>
          <w:szCs w:val="24"/>
        </w:rPr>
        <w:t>Efficient Funding of Chemotherapy</w:t>
      </w:r>
    </w:p>
    <w:p w:rsidR="00CC79FE" w:rsidRPr="00FA1BCF" w:rsidRDefault="00CC79FE" w:rsidP="00CC79FE">
      <w:pPr>
        <w:pStyle w:val="ListParagraph"/>
        <w:numPr>
          <w:ilvl w:val="0"/>
          <w:numId w:val="26"/>
        </w:numPr>
        <w:jc w:val="both"/>
        <w:rPr>
          <w:szCs w:val="24"/>
        </w:rPr>
      </w:pPr>
      <w:r w:rsidRPr="00FA1BCF">
        <w:rPr>
          <w:szCs w:val="24"/>
        </w:rPr>
        <w:t>Botulinum Toxin Programme</w:t>
      </w:r>
    </w:p>
    <w:p w:rsidR="00CC79FE" w:rsidRPr="00FA1BCF" w:rsidRDefault="00CC79FE" w:rsidP="00CC79FE">
      <w:pPr>
        <w:pStyle w:val="ListParagraph"/>
        <w:numPr>
          <w:ilvl w:val="0"/>
          <w:numId w:val="26"/>
        </w:numPr>
        <w:jc w:val="both"/>
        <w:rPr>
          <w:szCs w:val="24"/>
        </w:rPr>
      </w:pPr>
      <w:r w:rsidRPr="00FA1BCF">
        <w:rPr>
          <w:szCs w:val="24"/>
        </w:rPr>
        <w:t>IVF/GIFT Programme</w:t>
      </w:r>
    </w:p>
    <w:p w:rsidR="00CC79FE" w:rsidRPr="00FA1BCF" w:rsidRDefault="00CC79FE" w:rsidP="00E436E7">
      <w:pPr>
        <w:pStyle w:val="ListParagraph"/>
        <w:numPr>
          <w:ilvl w:val="0"/>
          <w:numId w:val="26"/>
        </w:numPr>
        <w:jc w:val="both"/>
        <w:rPr>
          <w:szCs w:val="24"/>
        </w:rPr>
      </w:pPr>
      <w:r w:rsidRPr="00FA1BCF">
        <w:rPr>
          <w:szCs w:val="24"/>
        </w:rPr>
        <w:t>Opiate Dependence Treatment Programme</w:t>
      </w:r>
      <w:r w:rsidR="0022336E" w:rsidRPr="00FA1BCF">
        <w:rPr>
          <w:szCs w:val="24"/>
        </w:rPr>
        <w:t>.</w:t>
      </w:r>
    </w:p>
    <w:p w:rsidR="00CC79FE" w:rsidRPr="00FA1BCF" w:rsidRDefault="00CC79FE" w:rsidP="00E436E7">
      <w:pPr>
        <w:pStyle w:val="Heading3"/>
      </w:pPr>
      <w:bookmarkStart w:id="60" w:name="_Toc302625613"/>
      <w:r w:rsidRPr="00FA1BCF">
        <w:lastRenderedPageBreak/>
        <w:t>7.3.2. 1 Highly Specialised Drugs Programme</w:t>
      </w:r>
      <w:bookmarkEnd w:id="60"/>
    </w:p>
    <w:p w:rsidR="00CC79FE" w:rsidRPr="00FA1BCF" w:rsidRDefault="0053742B" w:rsidP="00AF5283">
      <w:pPr>
        <w:jc w:val="both"/>
        <w:rPr>
          <w:szCs w:val="24"/>
        </w:rPr>
      </w:pPr>
      <w:r w:rsidRPr="00FA1BCF">
        <w:rPr>
          <w:szCs w:val="24"/>
        </w:rPr>
        <w:t xml:space="preserve">The </w:t>
      </w:r>
      <w:r w:rsidR="00CC79FE" w:rsidRPr="00FA1BCF">
        <w:rPr>
          <w:szCs w:val="24"/>
        </w:rPr>
        <w:t xml:space="preserve">Highly Specialised Drugs </w:t>
      </w:r>
      <w:r w:rsidRPr="00FA1BCF">
        <w:rPr>
          <w:szCs w:val="24"/>
        </w:rPr>
        <w:t xml:space="preserve">Programme is one example of the use of </w:t>
      </w:r>
      <w:r w:rsidR="00B349D4" w:rsidRPr="00FA1BCF">
        <w:rPr>
          <w:szCs w:val="24"/>
        </w:rPr>
        <w:t>section 100</w:t>
      </w:r>
      <w:r w:rsidRPr="00FA1BCF">
        <w:rPr>
          <w:szCs w:val="24"/>
        </w:rPr>
        <w:t xml:space="preserve">. </w:t>
      </w:r>
      <w:r w:rsidR="00C94B76" w:rsidRPr="00FA1BCF">
        <w:rPr>
          <w:szCs w:val="24"/>
        </w:rPr>
        <w:t>This program</w:t>
      </w:r>
      <w:r w:rsidR="00C55A5D" w:rsidRPr="00FA1BCF">
        <w:rPr>
          <w:szCs w:val="24"/>
        </w:rPr>
        <w:t>me</w:t>
      </w:r>
      <w:r w:rsidR="00C94B76" w:rsidRPr="00FA1BCF">
        <w:rPr>
          <w:szCs w:val="24"/>
        </w:rPr>
        <w:t xml:space="preserve"> subsidises </w:t>
      </w:r>
      <w:r w:rsidR="00CC79FE" w:rsidRPr="00FA1BCF">
        <w:rPr>
          <w:szCs w:val="24"/>
        </w:rPr>
        <w:t xml:space="preserve">medicines for the treatment of chronic </w:t>
      </w:r>
      <w:r w:rsidR="001E6170" w:rsidRPr="00FA1BCF">
        <w:rPr>
          <w:szCs w:val="24"/>
        </w:rPr>
        <w:t>conditions that</w:t>
      </w:r>
      <w:r w:rsidR="00CC79FE" w:rsidRPr="00FA1BCF">
        <w:rPr>
          <w:szCs w:val="24"/>
        </w:rPr>
        <w:t xml:space="preserve">, because of their clinical use or other special features, are restricted to supply through public and private hospitals that have access to appropriate specialist facilities. Medical practitioners </w:t>
      </w:r>
      <w:r w:rsidR="008A5260" w:rsidRPr="00FA1BCF">
        <w:rPr>
          <w:szCs w:val="24"/>
        </w:rPr>
        <w:t>may be</w:t>
      </w:r>
      <w:r w:rsidR="00CC79FE" w:rsidRPr="00FA1BCF">
        <w:rPr>
          <w:szCs w:val="24"/>
        </w:rPr>
        <w:t xml:space="preserve"> required to be affiliated with these specialist hospital units in order to prescribe these </w:t>
      </w:r>
      <w:r w:rsidR="00A26B5E" w:rsidRPr="00FA1BCF">
        <w:rPr>
          <w:szCs w:val="24"/>
        </w:rPr>
        <w:t xml:space="preserve">medicines </w:t>
      </w:r>
      <w:r w:rsidR="00CC79FE" w:rsidRPr="00FA1BCF">
        <w:rPr>
          <w:szCs w:val="24"/>
        </w:rPr>
        <w:t xml:space="preserve">as </w:t>
      </w:r>
      <w:r w:rsidR="00FC6DBE" w:rsidRPr="00FA1BCF">
        <w:rPr>
          <w:szCs w:val="24"/>
        </w:rPr>
        <w:t>PBS-</w:t>
      </w:r>
      <w:r w:rsidR="00CC79FE" w:rsidRPr="00FA1BCF">
        <w:rPr>
          <w:szCs w:val="24"/>
        </w:rPr>
        <w:t xml:space="preserve">funded items. A general practitioner or non-specialist hospital doctor may only prescribe </w:t>
      </w:r>
      <w:r w:rsidR="00FC6DBE" w:rsidRPr="00FA1BCF">
        <w:rPr>
          <w:szCs w:val="24"/>
        </w:rPr>
        <w:t>h</w:t>
      </w:r>
      <w:r w:rsidR="00CC79FE" w:rsidRPr="00FA1BCF">
        <w:rPr>
          <w:szCs w:val="24"/>
        </w:rPr>
        <w:t xml:space="preserve">ighly </w:t>
      </w:r>
      <w:r w:rsidR="00FC6DBE" w:rsidRPr="00FA1BCF">
        <w:rPr>
          <w:szCs w:val="24"/>
        </w:rPr>
        <w:t>s</w:t>
      </w:r>
      <w:r w:rsidR="00CC79FE" w:rsidRPr="00FA1BCF">
        <w:rPr>
          <w:szCs w:val="24"/>
        </w:rPr>
        <w:t xml:space="preserve">pecialised </w:t>
      </w:r>
      <w:r w:rsidR="00FC6DBE" w:rsidRPr="00FA1BCF">
        <w:rPr>
          <w:szCs w:val="24"/>
        </w:rPr>
        <w:t>d</w:t>
      </w:r>
      <w:r w:rsidR="00CC79FE" w:rsidRPr="00FA1BCF">
        <w:rPr>
          <w:szCs w:val="24"/>
        </w:rPr>
        <w:t xml:space="preserve">rugs to provide maintenance therapy under the guidance of the treating specialist. </w:t>
      </w:r>
    </w:p>
    <w:p w:rsidR="00CC79FE" w:rsidRPr="00FA1BCF" w:rsidRDefault="00CC79FE" w:rsidP="00AF5283">
      <w:pPr>
        <w:pStyle w:val="NormalWeb"/>
        <w:spacing w:after="0" w:afterAutospacing="0" w:line="240" w:lineRule="auto"/>
        <w:jc w:val="both"/>
        <w:rPr>
          <w:rFonts w:asciiTheme="minorHAnsi" w:eastAsiaTheme="minorHAnsi" w:hAnsiTheme="minorHAnsi" w:cstheme="minorBidi"/>
          <w:sz w:val="24"/>
          <w:szCs w:val="24"/>
          <w:lang w:eastAsia="en-US"/>
        </w:rPr>
      </w:pPr>
      <w:r w:rsidRPr="00FA1BCF">
        <w:rPr>
          <w:rFonts w:asciiTheme="minorHAnsi" w:eastAsiaTheme="minorHAnsi" w:hAnsiTheme="minorHAnsi" w:cstheme="minorBidi"/>
          <w:sz w:val="24"/>
          <w:szCs w:val="24"/>
          <w:lang w:eastAsia="en-US"/>
        </w:rPr>
        <w:t xml:space="preserve">PBS benefits are only available for the listed clinical indications and there is no facility for individual patient approval for indications outside those listed. For access to a </w:t>
      </w:r>
      <w:r w:rsidR="009A438D" w:rsidRPr="00FA1BCF">
        <w:rPr>
          <w:rFonts w:asciiTheme="minorHAnsi" w:eastAsiaTheme="minorHAnsi" w:hAnsiTheme="minorHAnsi" w:cstheme="minorBidi"/>
          <w:sz w:val="24"/>
          <w:szCs w:val="24"/>
          <w:lang w:eastAsia="en-US"/>
        </w:rPr>
        <w:t xml:space="preserve">medicine </w:t>
      </w:r>
      <w:r w:rsidRPr="00FA1BCF">
        <w:rPr>
          <w:rFonts w:asciiTheme="minorHAnsi" w:eastAsiaTheme="minorHAnsi" w:hAnsiTheme="minorHAnsi" w:cstheme="minorBidi"/>
          <w:sz w:val="24"/>
          <w:szCs w:val="24"/>
          <w:lang w:eastAsia="en-US"/>
        </w:rPr>
        <w:t xml:space="preserve">funded under this </w:t>
      </w:r>
      <w:r w:rsidR="00FC6DBE" w:rsidRPr="00FA1BCF">
        <w:rPr>
          <w:rFonts w:asciiTheme="minorHAnsi" w:eastAsiaTheme="minorHAnsi" w:hAnsiTheme="minorHAnsi" w:cstheme="minorBidi"/>
          <w:sz w:val="24"/>
          <w:szCs w:val="24"/>
          <w:lang w:eastAsia="en-US"/>
        </w:rPr>
        <w:t>p</w:t>
      </w:r>
      <w:r w:rsidR="008B29C7" w:rsidRPr="00FA1BCF">
        <w:rPr>
          <w:rFonts w:asciiTheme="minorHAnsi" w:eastAsiaTheme="minorHAnsi" w:hAnsiTheme="minorHAnsi" w:cstheme="minorBidi"/>
          <w:sz w:val="24"/>
          <w:szCs w:val="24"/>
          <w:lang w:eastAsia="en-US"/>
        </w:rPr>
        <w:t>rogramme</w:t>
      </w:r>
      <w:r w:rsidRPr="00FA1BCF">
        <w:rPr>
          <w:rFonts w:asciiTheme="minorHAnsi" w:eastAsiaTheme="minorHAnsi" w:hAnsiTheme="minorHAnsi" w:cstheme="minorBidi"/>
          <w:sz w:val="24"/>
          <w:szCs w:val="24"/>
          <w:lang w:eastAsia="en-US"/>
        </w:rPr>
        <w:t>, a patient must meet a number of criteria</w:t>
      </w:r>
      <w:r w:rsidR="008A5260" w:rsidRPr="00FA1BCF">
        <w:rPr>
          <w:rFonts w:asciiTheme="minorHAnsi" w:eastAsiaTheme="minorHAnsi" w:hAnsiTheme="minorHAnsi" w:cstheme="minorBidi"/>
          <w:sz w:val="24"/>
          <w:szCs w:val="24"/>
          <w:lang w:eastAsia="en-US"/>
        </w:rPr>
        <w:t>. The criteria can include that</w:t>
      </w:r>
      <w:r w:rsidR="00FC6DBE" w:rsidRPr="00FA1BCF">
        <w:rPr>
          <w:rFonts w:asciiTheme="minorHAnsi" w:eastAsiaTheme="minorHAnsi" w:hAnsiTheme="minorHAnsi" w:cstheme="minorBidi"/>
          <w:sz w:val="24"/>
          <w:szCs w:val="24"/>
          <w:lang w:eastAsia="en-US"/>
        </w:rPr>
        <w:t xml:space="preserve"> the patient must</w:t>
      </w:r>
      <w:r w:rsidR="008A5260" w:rsidRPr="00FA1BCF">
        <w:rPr>
          <w:rFonts w:asciiTheme="minorHAnsi" w:eastAsiaTheme="minorHAnsi" w:hAnsiTheme="minorHAnsi" w:cstheme="minorBidi"/>
          <w:sz w:val="24"/>
          <w:szCs w:val="24"/>
          <w:lang w:eastAsia="en-US"/>
        </w:rPr>
        <w:t>:</w:t>
      </w:r>
    </w:p>
    <w:p w:rsidR="00CC79FE" w:rsidRPr="00FA1BCF" w:rsidRDefault="00CC79FE" w:rsidP="00CC79FE">
      <w:pPr>
        <w:pStyle w:val="ListParagraph"/>
        <w:numPr>
          <w:ilvl w:val="0"/>
          <w:numId w:val="26"/>
        </w:numPr>
        <w:jc w:val="both"/>
        <w:rPr>
          <w:szCs w:val="24"/>
        </w:rPr>
      </w:pPr>
      <w:r w:rsidRPr="00FA1BCF">
        <w:rPr>
          <w:szCs w:val="24"/>
        </w:rPr>
        <w:t>attend a participating hospital and be a day</w:t>
      </w:r>
      <w:r w:rsidR="00FC6DBE" w:rsidRPr="00FA1BCF">
        <w:rPr>
          <w:szCs w:val="24"/>
        </w:rPr>
        <w:t>-</w:t>
      </w:r>
      <w:r w:rsidRPr="00FA1BCF">
        <w:rPr>
          <w:szCs w:val="24"/>
        </w:rPr>
        <w:t xml:space="preserve">admitted patient, a non-admitted patient or a patient on discharge </w:t>
      </w:r>
    </w:p>
    <w:p w:rsidR="00CC79FE" w:rsidRPr="00FA1BCF" w:rsidRDefault="00CC79FE" w:rsidP="00CC79FE">
      <w:pPr>
        <w:pStyle w:val="ListParagraph"/>
        <w:numPr>
          <w:ilvl w:val="0"/>
          <w:numId w:val="26"/>
        </w:numPr>
        <w:jc w:val="both"/>
        <w:rPr>
          <w:szCs w:val="24"/>
        </w:rPr>
      </w:pPr>
      <w:r w:rsidRPr="00FA1BCF">
        <w:rPr>
          <w:szCs w:val="24"/>
        </w:rPr>
        <w:t xml:space="preserve">be under appropriate specialist medical care </w:t>
      </w:r>
    </w:p>
    <w:p w:rsidR="00CC79FE" w:rsidRPr="00FA1BCF" w:rsidRDefault="00CC79FE" w:rsidP="00CC79FE">
      <w:pPr>
        <w:pStyle w:val="ListParagraph"/>
        <w:numPr>
          <w:ilvl w:val="0"/>
          <w:numId w:val="26"/>
        </w:numPr>
        <w:jc w:val="both"/>
        <w:rPr>
          <w:szCs w:val="24"/>
        </w:rPr>
      </w:pPr>
      <w:r w:rsidRPr="00FA1BCF">
        <w:rPr>
          <w:szCs w:val="24"/>
        </w:rPr>
        <w:t>meet the specific medical criteria</w:t>
      </w:r>
    </w:p>
    <w:p w:rsidR="00CC79FE" w:rsidRPr="00FA1BCF" w:rsidRDefault="00CC79FE" w:rsidP="00CC79FE">
      <w:pPr>
        <w:pStyle w:val="ListParagraph"/>
        <w:numPr>
          <w:ilvl w:val="0"/>
          <w:numId w:val="26"/>
        </w:numPr>
        <w:jc w:val="both"/>
        <w:rPr>
          <w:szCs w:val="24"/>
        </w:rPr>
      </w:pPr>
      <w:proofErr w:type="gramStart"/>
      <w:r w:rsidRPr="00FA1BCF">
        <w:rPr>
          <w:szCs w:val="24"/>
        </w:rPr>
        <w:t>be</w:t>
      </w:r>
      <w:proofErr w:type="gramEnd"/>
      <w:r w:rsidRPr="00FA1BCF">
        <w:rPr>
          <w:szCs w:val="24"/>
        </w:rPr>
        <w:t xml:space="preserve"> an Australian resident in Australia (or other eligible person). </w:t>
      </w:r>
    </w:p>
    <w:p w:rsidR="001B40E7" w:rsidRPr="00FA1BCF" w:rsidRDefault="00CC79FE" w:rsidP="00FC7E6D">
      <w:pPr>
        <w:spacing w:before="100" w:beforeAutospacing="1" w:after="100" w:afterAutospacing="1"/>
      </w:pPr>
      <w:r w:rsidRPr="00FA1BCF">
        <w:rPr>
          <w:szCs w:val="24"/>
        </w:rPr>
        <w:t xml:space="preserve">The patient </w:t>
      </w:r>
      <w:r w:rsidR="00C94B76" w:rsidRPr="00FA1BCF">
        <w:rPr>
          <w:szCs w:val="24"/>
        </w:rPr>
        <w:t>is</w:t>
      </w:r>
      <w:r w:rsidRPr="00FA1BCF">
        <w:rPr>
          <w:szCs w:val="24"/>
        </w:rPr>
        <w:t xml:space="preserve"> required to pay a contribution for each supply of a highly specialised </w:t>
      </w:r>
      <w:r w:rsidR="009A438D" w:rsidRPr="00FA1BCF">
        <w:rPr>
          <w:szCs w:val="24"/>
        </w:rPr>
        <w:t xml:space="preserve">medicine </w:t>
      </w:r>
      <w:r w:rsidRPr="00FA1BCF">
        <w:rPr>
          <w:szCs w:val="24"/>
        </w:rPr>
        <w:t xml:space="preserve">at a similar rate to the </w:t>
      </w:r>
      <w:r w:rsidR="000C3D52" w:rsidRPr="00FA1BCF">
        <w:rPr>
          <w:szCs w:val="24"/>
        </w:rPr>
        <w:t>PBS</w:t>
      </w:r>
      <w:r w:rsidRPr="00FA1BCF">
        <w:rPr>
          <w:szCs w:val="24"/>
        </w:rPr>
        <w:t xml:space="preserve">. Commonwealth subsidy is not available for hospital in-patients. </w:t>
      </w:r>
    </w:p>
    <w:p w:rsidR="00CC79FE" w:rsidRPr="00FA1BCF" w:rsidRDefault="00CC79FE" w:rsidP="00E436E7">
      <w:pPr>
        <w:pStyle w:val="Heading3"/>
      </w:pPr>
      <w:bookmarkStart w:id="61" w:name="_Toc302625614"/>
      <w:r w:rsidRPr="00FA1BCF">
        <w:t>7.3.</w:t>
      </w:r>
      <w:r w:rsidR="000A5595">
        <w:t>3</w:t>
      </w:r>
      <w:r w:rsidRPr="00FA1BCF">
        <w:t xml:space="preserve"> Section 100 </w:t>
      </w:r>
      <w:r w:rsidR="001B40E7" w:rsidRPr="00FA1BCF">
        <w:t>Medicines for Rare Diseases</w:t>
      </w:r>
      <w:r w:rsidRPr="00FA1BCF">
        <w:t xml:space="preserve"> Programme</w:t>
      </w:r>
      <w:bookmarkEnd w:id="61"/>
    </w:p>
    <w:p w:rsidR="00CC79FE" w:rsidRPr="00FA1BCF" w:rsidRDefault="00CC79FE" w:rsidP="00CC79FE">
      <w:pPr>
        <w:jc w:val="both"/>
        <w:rPr>
          <w:szCs w:val="24"/>
        </w:rPr>
      </w:pPr>
      <w:r w:rsidRPr="00FA1BCF">
        <w:rPr>
          <w:szCs w:val="24"/>
        </w:rPr>
        <w:t xml:space="preserve">The </w:t>
      </w:r>
      <w:r w:rsidR="00F11CA5" w:rsidRPr="00FA1BCF">
        <w:rPr>
          <w:szCs w:val="24"/>
        </w:rPr>
        <w:t>reference group</w:t>
      </w:r>
      <w:r w:rsidRPr="00FA1BCF">
        <w:rPr>
          <w:szCs w:val="24"/>
        </w:rPr>
        <w:t xml:space="preserve"> considered the historical origins and objectives of the LSDP, set up through the </w:t>
      </w:r>
      <w:r w:rsidR="00FD50CA">
        <w:rPr>
          <w:szCs w:val="24"/>
        </w:rPr>
        <w:t>A</w:t>
      </w:r>
      <w:r w:rsidRPr="00FA1BCF">
        <w:rPr>
          <w:szCs w:val="24"/>
        </w:rPr>
        <w:t xml:space="preserve">ct of </w:t>
      </w:r>
      <w:r w:rsidR="00FD50CA">
        <w:rPr>
          <w:szCs w:val="24"/>
        </w:rPr>
        <w:t>G</w:t>
      </w:r>
      <w:r w:rsidRPr="00FA1BCF">
        <w:rPr>
          <w:szCs w:val="24"/>
        </w:rPr>
        <w:t xml:space="preserve">race by the Department of Finance and concluded that as it stands, there were no benefits and no extenuating reasons in retaining the LSDP as a standalone programme outside of the PBS. The </w:t>
      </w:r>
      <w:r w:rsidR="00F11CA5" w:rsidRPr="00FA1BCF">
        <w:rPr>
          <w:szCs w:val="24"/>
        </w:rPr>
        <w:t>reference group</w:t>
      </w:r>
      <w:r w:rsidRPr="00FA1BCF">
        <w:rPr>
          <w:szCs w:val="24"/>
        </w:rPr>
        <w:t xml:space="preserve"> noted stakeholders</w:t>
      </w:r>
      <w:r w:rsidR="00B2525C">
        <w:rPr>
          <w:szCs w:val="24"/>
        </w:rPr>
        <w:t>’</w:t>
      </w:r>
      <w:r w:rsidRPr="00FA1BCF">
        <w:rPr>
          <w:szCs w:val="24"/>
        </w:rPr>
        <w:t xml:space="preserve"> </w:t>
      </w:r>
      <w:r w:rsidR="00C94B76" w:rsidRPr="00FA1BCF">
        <w:rPr>
          <w:szCs w:val="24"/>
        </w:rPr>
        <w:t>preference for the continuation of a special programme for funding rare diseases (summarised at section 6.3.9</w:t>
      </w:r>
      <w:r w:rsidR="00B2525C">
        <w:rPr>
          <w:szCs w:val="24"/>
        </w:rPr>
        <w:t>)</w:t>
      </w:r>
      <w:r w:rsidR="00C94B76" w:rsidRPr="00FA1BCF">
        <w:rPr>
          <w:szCs w:val="24"/>
        </w:rPr>
        <w:t>.</w:t>
      </w:r>
      <w:r w:rsidR="00B56F35" w:rsidRPr="00FA1BCF">
        <w:rPr>
          <w:szCs w:val="24"/>
        </w:rPr>
        <w:t xml:space="preserve"> </w:t>
      </w:r>
      <w:r w:rsidR="00C94B76" w:rsidRPr="00FA1BCF">
        <w:rPr>
          <w:szCs w:val="24"/>
        </w:rPr>
        <w:t xml:space="preserve">It noted that there were mixed views about continuing the stand-alone programme or incorporating it under the PBS. </w:t>
      </w:r>
    </w:p>
    <w:p w:rsidR="00CC79FE" w:rsidRPr="00FA1BCF" w:rsidRDefault="00CC79FE" w:rsidP="00CC79FE">
      <w:pPr>
        <w:jc w:val="both"/>
        <w:rPr>
          <w:szCs w:val="24"/>
        </w:rPr>
      </w:pPr>
      <w:r w:rsidRPr="00FA1BCF">
        <w:rPr>
          <w:szCs w:val="24"/>
        </w:rPr>
        <w:t>A number of programme names were suggested including Section 200 Rare and Very Rare Disease Therapies and Special Access Inherited Rare Disease Programme.</w:t>
      </w:r>
      <w:r w:rsidR="00B56F35" w:rsidRPr="00FA1BCF">
        <w:rPr>
          <w:szCs w:val="24"/>
        </w:rPr>
        <w:t xml:space="preserve"> </w:t>
      </w:r>
    </w:p>
    <w:p w:rsidR="00CC79FE" w:rsidRPr="00FA1BCF" w:rsidRDefault="00CC79FE" w:rsidP="00CC79FE">
      <w:pPr>
        <w:jc w:val="both"/>
        <w:rPr>
          <w:szCs w:val="24"/>
        </w:rPr>
      </w:pPr>
      <w:r w:rsidRPr="00FA1BCF">
        <w:rPr>
          <w:szCs w:val="24"/>
        </w:rPr>
        <w:t xml:space="preserve">The </w:t>
      </w:r>
      <w:r w:rsidR="00F11CA5" w:rsidRPr="00FA1BCF">
        <w:rPr>
          <w:szCs w:val="24"/>
        </w:rPr>
        <w:t>reference group</w:t>
      </w:r>
      <w:r w:rsidRPr="00FA1BCF">
        <w:rPr>
          <w:szCs w:val="24"/>
        </w:rPr>
        <w:t xml:space="preserve"> believed integrating the LSDP into a programme established under </w:t>
      </w:r>
      <w:r w:rsidR="00B349D4" w:rsidRPr="00FA1BCF">
        <w:rPr>
          <w:szCs w:val="24"/>
        </w:rPr>
        <w:t>section 100</w:t>
      </w:r>
      <w:r w:rsidRPr="00FA1BCF">
        <w:rPr>
          <w:szCs w:val="24"/>
        </w:rPr>
        <w:t xml:space="preserve"> special arrangements of the </w:t>
      </w:r>
      <w:r w:rsidRPr="00FA1BCF">
        <w:rPr>
          <w:i/>
          <w:szCs w:val="24"/>
        </w:rPr>
        <w:t>National Health Act 1953</w:t>
      </w:r>
      <w:r w:rsidRPr="00FA1BCF">
        <w:rPr>
          <w:szCs w:val="24"/>
        </w:rPr>
        <w:t xml:space="preserve"> was a reasonable and logical option. A new </w:t>
      </w:r>
      <w:r w:rsidR="00B349D4" w:rsidRPr="00FA1BCF">
        <w:rPr>
          <w:szCs w:val="24"/>
        </w:rPr>
        <w:t>section 100</w:t>
      </w:r>
      <w:r w:rsidRPr="00FA1BCF">
        <w:rPr>
          <w:szCs w:val="24"/>
        </w:rPr>
        <w:t xml:space="preserve"> </w:t>
      </w:r>
      <w:r w:rsidR="001B40E7" w:rsidRPr="00FA1BCF">
        <w:rPr>
          <w:szCs w:val="24"/>
        </w:rPr>
        <w:t>Medicines for Rare Disease</w:t>
      </w:r>
      <w:r w:rsidR="000250B9" w:rsidRPr="00FA1BCF">
        <w:rPr>
          <w:szCs w:val="24"/>
        </w:rPr>
        <w:t>s</w:t>
      </w:r>
      <w:r w:rsidRPr="00FA1BCF">
        <w:rPr>
          <w:szCs w:val="24"/>
        </w:rPr>
        <w:t xml:space="preserve"> Programme would simplify and streamline administration of the subsidised rare disease </w:t>
      </w:r>
      <w:r w:rsidR="00A26B5E" w:rsidRPr="00FA1BCF">
        <w:rPr>
          <w:szCs w:val="24"/>
        </w:rPr>
        <w:t xml:space="preserve">medicines </w:t>
      </w:r>
      <w:r w:rsidRPr="00FA1BCF">
        <w:rPr>
          <w:szCs w:val="24"/>
        </w:rPr>
        <w:t xml:space="preserve">as the proposed programme will mirror elements of the section 100 Highly Specialised Drugs Programme and the Growth Hormone Programme. </w:t>
      </w:r>
      <w:r w:rsidR="00DD5653" w:rsidRPr="00FA1BCF">
        <w:rPr>
          <w:szCs w:val="24"/>
        </w:rPr>
        <w:t xml:space="preserve">It considered that there was a strong case for all decisions about subsidies of medicines to be considered under a unified framework while acknowledging the need for special considerations for medicines for rare diseases. </w:t>
      </w:r>
      <w:r w:rsidRPr="00FA1BCF">
        <w:rPr>
          <w:szCs w:val="24"/>
        </w:rPr>
        <w:t xml:space="preserve">The </w:t>
      </w:r>
      <w:r w:rsidR="00F11CA5" w:rsidRPr="00FA1BCF">
        <w:rPr>
          <w:szCs w:val="24"/>
        </w:rPr>
        <w:t>reference group</w:t>
      </w:r>
      <w:r w:rsidRPr="00FA1BCF">
        <w:rPr>
          <w:szCs w:val="24"/>
        </w:rPr>
        <w:t xml:space="preserve"> </w:t>
      </w:r>
      <w:r w:rsidR="00DD5653" w:rsidRPr="00FA1BCF">
        <w:rPr>
          <w:szCs w:val="24"/>
        </w:rPr>
        <w:t xml:space="preserve">therefore </w:t>
      </w:r>
      <w:r w:rsidRPr="00FA1BCF">
        <w:rPr>
          <w:szCs w:val="24"/>
        </w:rPr>
        <w:t xml:space="preserve">recommended that the criteria for eligibility for inclusion to the new </w:t>
      </w:r>
      <w:r w:rsidR="00B349D4" w:rsidRPr="00FA1BCF">
        <w:rPr>
          <w:szCs w:val="24"/>
        </w:rPr>
        <w:t>section 100</w:t>
      </w:r>
      <w:r w:rsidRPr="00FA1BCF">
        <w:rPr>
          <w:szCs w:val="24"/>
        </w:rPr>
        <w:t xml:space="preserve"> </w:t>
      </w:r>
      <w:r w:rsidR="008B29C7" w:rsidRPr="00FA1BCF">
        <w:rPr>
          <w:szCs w:val="24"/>
        </w:rPr>
        <w:t>Medicines for Rare Diseases Programme</w:t>
      </w:r>
      <w:r w:rsidRPr="00FA1BCF">
        <w:rPr>
          <w:szCs w:val="24"/>
        </w:rPr>
        <w:t xml:space="preserve"> should make allowances for issues </w:t>
      </w:r>
      <w:r w:rsidRPr="00FA1BCF">
        <w:rPr>
          <w:szCs w:val="24"/>
        </w:rPr>
        <w:lastRenderedPageBreak/>
        <w:t xml:space="preserve">unique to reimbursing </w:t>
      </w:r>
      <w:r w:rsidR="00A26B5E" w:rsidRPr="00FA1BCF">
        <w:rPr>
          <w:szCs w:val="24"/>
        </w:rPr>
        <w:t xml:space="preserve">medicines </w:t>
      </w:r>
      <w:r w:rsidRPr="00FA1BCF">
        <w:rPr>
          <w:szCs w:val="24"/>
        </w:rPr>
        <w:t>for treatment of rare diseases such as the severity of the disease and rarity.</w:t>
      </w:r>
    </w:p>
    <w:p w:rsidR="00CC79FE" w:rsidRPr="00FA1BCF" w:rsidRDefault="00CC79FE" w:rsidP="00E436E7">
      <w:pPr>
        <w:jc w:val="both"/>
        <w:rPr>
          <w:rFonts w:eastAsia="Times New Roman" w:cs="Times New Roman"/>
          <w:b/>
          <w:i/>
          <w:szCs w:val="24"/>
          <w:lang w:eastAsia="en-AU"/>
        </w:rPr>
      </w:pPr>
      <w:r w:rsidRPr="00FA1BCF">
        <w:rPr>
          <w:szCs w:val="24"/>
        </w:rPr>
        <w:t xml:space="preserve">Appropriate multi-stakeholder consultations should be undertaken to further discuss the new framework and processes. </w:t>
      </w:r>
      <w:r w:rsidR="000C3D52" w:rsidRPr="00FA1BCF">
        <w:rPr>
          <w:szCs w:val="24"/>
        </w:rPr>
        <w:t>S</w:t>
      </w:r>
      <w:r w:rsidRPr="00FA1BCF">
        <w:rPr>
          <w:szCs w:val="24"/>
        </w:rPr>
        <w:t xml:space="preserve">takeholder input to the new framework if adopted, was favoured by patients, clinicians and industry submissions. </w:t>
      </w:r>
    </w:p>
    <w:p w:rsidR="00CC79FE" w:rsidRPr="00FA1BCF" w:rsidRDefault="00CC79FE" w:rsidP="00E436E7">
      <w:pPr>
        <w:pStyle w:val="Heading2"/>
      </w:pPr>
      <w:bookmarkStart w:id="62" w:name="_Toc302625615"/>
      <w:r w:rsidRPr="00FA1BCF">
        <w:t xml:space="preserve">7.4 National Health Act and </w:t>
      </w:r>
      <w:r w:rsidR="00FF4F3B" w:rsidRPr="00FA1BCF">
        <w:t xml:space="preserve">Pharmaceutical Benefits Advisory Committee </w:t>
      </w:r>
      <w:r w:rsidRPr="00FA1BCF">
        <w:t>role</w:t>
      </w:r>
      <w:bookmarkEnd w:id="62"/>
    </w:p>
    <w:p w:rsidR="00CC79FE" w:rsidRPr="00FA1BCF" w:rsidRDefault="00CC79FE" w:rsidP="00E436E7">
      <w:r w:rsidRPr="00FA1BCF">
        <w:t xml:space="preserve">The PBAC is established under the </w:t>
      </w:r>
      <w:r w:rsidR="00180692" w:rsidRPr="00FA1BCF">
        <w:t xml:space="preserve">National Health </w:t>
      </w:r>
      <w:r w:rsidRPr="00FA1BCF">
        <w:t xml:space="preserve">Act. Its primary role is to recommend to the Minister for Health which medicines and medicinal preparations should be subsidised by the Australian Government under the PBS. In doing this, the PBAC is required by the Act to consider both the effectiveness and cost of the proposed medicines and medicinal preparations. </w:t>
      </w:r>
    </w:p>
    <w:p w:rsidR="00CC79FE" w:rsidRPr="00FA1BCF" w:rsidRDefault="00CC79FE" w:rsidP="00CC79FE">
      <w:pPr>
        <w:jc w:val="both"/>
        <w:rPr>
          <w:szCs w:val="24"/>
        </w:rPr>
      </w:pPr>
      <w:r w:rsidRPr="00FA1BCF">
        <w:rPr>
          <w:szCs w:val="24"/>
        </w:rPr>
        <w:t>The PBAC Guidelines explains to sponsors and interested parties how to prepare a submission to list a new medicine or medicinal product on the PBS (i.e. for public funding). The guidelines provide instructions on the type of information required by the PBAC</w:t>
      </w:r>
      <w:r w:rsidR="000C3D52" w:rsidRPr="00FA1BCF">
        <w:rPr>
          <w:szCs w:val="24"/>
        </w:rPr>
        <w:t>,</w:t>
      </w:r>
      <w:r w:rsidRPr="00FA1BCF">
        <w:rPr>
          <w:szCs w:val="24"/>
        </w:rPr>
        <w:t xml:space="preserve"> and </w:t>
      </w:r>
      <w:proofErr w:type="gramStart"/>
      <w:r w:rsidR="000C3D52" w:rsidRPr="00FA1BCF">
        <w:rPr>
          <w:szCs w:val="24"/>
        </w:rPr>
        <w:t>its</w:t>
      </w:r>
      <w:proofErr w:type="gramEnd"/>
      <w:r w:rsidR="000C3D52" w:rsidRPr="00FA1BCF">
        <w:rPr>
          <w:szCs w:val="24"/>
        </w:rPr>
        <w:t xml:space="preserve"> </w:t>
      </w:r>
      <w:r w:rsidRPr="00FA1BCF">
        <w:rPr>
          <w:szCs w:val="24"/>
        </w:rPr>
        <w:t>Economic Sub-Committee (ESC)</w:t>
      </w:r>
      <w:r w:rsidR="000C3D52" w:rsidRPr="00FA1BCF">
        <w:rPr>
          <w:szCs w:val="24"/>
        </w:rPr>
        <w:t>,</w:t>
      </w:r>
      <w:r w:rsidRPr="00FA1BCF">
        <w:rPr>
          <w:szCs w:val="24"/>
        </w:rPr>
        <w:t xml:space="preserve"> to support the proposed new medicine. It also instructs on the most appropriate form of clinical evidence and economic evaluation for specific submissions. </w:t>
      </w:r>
    </w:p>
    <w:p w:rsidR="00CC79FE" w:rsidRPr="00FA1BCF" w:rsidRDefault="00CC79FE" w:rsidP="00CC79FE">
      <w:pPr>
        <w:jc w:val="both"/>
        <w:rPr>
          <w:szCs w:val="24"/>
        </w:rPr>
      </w:pPr>
      <w:r w:rsidRPr="00FA1BCF">
        <w:rPr>
          <w:szCs w:val="24"/>
        </w:rPr>
        <w:t>For some submissions</w:t>
      </w:r>
      <w:r w:rsidR="0074797D" w:rsidRPr="00FA1BCF">
        <w:rPr>
          <w:szCs w:val="24"/>
        </w:rPr>
        <w:t>,</w:t>
      </w:r>
      <w:r w:rsidRPr="00FA1BCF">
        <w:rPr>
          <w:szCs w:val="24"/>
        </w:rPr>
        <w:t xml:space="preserve"> </w:t>
      </w:r>
      <w:r w:rsidR="00A512AA" w:rsidRPr="00FA1BCF">
        <w:rPr>
          <w:szCs w:val="24"/>
        </w:rPr>
        <w:t>options to present additional relevant information in a submission are</w:t>
      </w:r>
      <w:r w:rsidRPr="00FA1BCF">
        <w:rPr>
          <w:szCs w:val="24"/>
        </w:rPr>
        <w:t xml:space="preserve"> important. These factors may include equity principles, ‘rule of rescue’ and other factors that may influence the outcome of the submission. These factors are taken into account by the PBAC. Rare and ultra-rare diseases by their very nature have smaller patient cohorts. Smaller patient numbers in clinical trials will constrain data collection and affect the reliability and sufficiency of the data collected. The PBAC is aware of, and acknowledge</w:t>
      </w:r>
      <w:r w:rsidR="0074797D" w:rsidRPr="00FA1BCF">
        <w:rPr>
          <w:szCs w:val="24"/>
        </w:rPr>
        <w:t>s</w:t>
      </w:r>
      <w:r w:rsidRPr="00FA1BCF">
        <w:rPr>
          <w:szCs w:val="24"/>
        </w:rPr>
        <w:t xml:space="preserve"> the challenges faced by manufacturers of orphan medicines. However, while the PBAC itself does not set a minimum standard for the type and level of evidence or other information that can be included in a submission to PBAC, under the Act, </w:t>
      </w:r>
      <w:r w:rsidR="00180692" w:rsidRPr="00FA1BCF">
        <w:rPr>
          <w:szCs w:val="24"/>
        </w:rPr>
        <w:t xml:space="preserve">the </w:t>
      </w:r>
      <w:r w:rsidRPr="00FA1BCF">
        <w:rPr>
          <w:szCs w:val="24"/>
        </w:rPr>
        <w:t xml:space="preserve">PBAC </w:t>
      </w:r>
      <w:r w:rsidR="00180692" w:rsidRPr="00FA1BCF">
        <w:rPr>
          <w:szCs w:val="24"/>
        </w:rPr>
        <w:t xml:space="preserve">must </w:t>
      </w:r>
      <w:r w:rsidRPr="00FA1BCF">
        <w:rPr>
          <w:szCs w:val="24"/>
        </w:rPr>
        <w:t xml:space="preserve">consider comparative costs and effectiveness when assessing a </w:t>
      </w:r>
      <w:r w:rsidR="009A438D" w:rsidRPr="00FA1BCF">
        <w:rPr>
          <w:szCs w:val="24"/>
        </w:rPr>
        <w:t xml:space="preserve">medicine </w:t>
      </w:r>
      <w:r w:rsidRPr="00FA1BCF">
        <w:rPr>
          <w:szCs w:val="24"/>
        </w:rPr>
        <w:t>for listing on to the PBS.</w:t>
      </w:r>
      <w:r w:rsidR="00180692" w:rsidRPr="00FA1BCF">
        <w:rPr>
          <w:szCs w:val="24"/>
        </w:rPr>
        <w:t xml:space="preserve"> The Act does not state a value for when a medicine would be considered cost-effective.</w:t>
      </w:r>
    </w:p>
    <w:p w:rsidR="00CC79FE" w:rsidRPr="00FA1BCF" w:rsidRDefault="00CC79FE" w:rsidP="00CC79FE">
      <w:pPr>
        <w:jc w:val="both"/>
        <w:rPr>
          <w:szCs w:val="24"/>
        </w:rPr>
      </w:pPr>
      <w:r w:rsidRPr="00FA1BCF">
        <w:rPr>
          <w:szCs w:val="24"/>
        </w:rPr>
        <w:t>Section 101(3A) of the Act states:</w:t>
      </w:r>
    </w:p>
    <w:p w:rsidR="00CC79FE" w:rsidRPr="00FA1BCF" w:rsidRDefault="00CC79FE" w:rsidP="00E436E7">
      <w:pPr>
        <w:pStyle w:val="Quote"/>
        <w:rPr>
          <w:lang w:eastAsia="en-AU"/>
        </w:rPr>
      </w:pPr>
      <w:r w:rsidRPr="00FA1BCF">
        <w:rPr>
          <w:lang w:eastAsia="en-AU"/>
        </w:rPr>
        <w:t xml:space="preserve">For the purpose of deciding whether to recommend to the Minister that a drug or medicinal preparation, or a class of </w:t>
      </w:r>
      <w:r w:rsidR="00A26B5E" w:rsidRPr="00FA1BCF">
        <w:rPr>
          <w:lang w:eastAsia="en-AU"/>
        </w:rPr>
        <w:t xml:space="preserve">medicines </w:t>
      </w:r>
      <w:r w:rsidRPr="00FA1BCF">
        <w:rPr>
          <w:lang w:eastAsia="en-AU"/>
        </w:rPr>
        <w:t xml:space="preserve">and medicinal preparations, be made available as pharmaceutical benefits under this Part, the Committee shall give consideration to the effectiveness and cost of therapy involving the use of the drug, preparation or class, including by comparing the effectiveness and cost of that therapy with that of alternative therapies, whether or not involving the use of other </w:t>
      </w:r>
      <w:r w:rsidR="00A26B5E" w:rsidRPr="00FA1BCF">
        <w:rPr>
          <w:lang w:eastAsia="en-AU"/>
        </w:rPr>
        <w:t xml:space="preserve">medicines </w:t>
      </w:r>
      <w:r w:rsidRPr="00FA1BCF">
        <w:rPr>
          <w:lang w:eastAsia="en-AU"/>
        </w:rPr>
        <w:t>or preparations.</w:t>
      </w:r>
    </w:p>
    <w:p w:rsidR="00CC79FE" w:rsidRPr="00FA1BCF" w:rsidRDefault="00CC79FE" w:rsidP="00E436E7">
      <w:pPr>
        <w:pStyle w:val="Heading3"/>
      </w:pPr>
      <w:bookmarkStart w:id="63" w:name="_Toc302625616"/>
      <w:r w:rsidRPr="00FA1BCF">
        <w:t xml:space="preserve">7.4.1 </w:t>
      </w:r>
      <w:r w:rsidR="00180692" w:rsidRPr="00FA1BCF">
        <w:t xml:space="preserve">Factors influencing </w:t>
      </w:r>
      <w:r w:rsidR="00FF4F3B" w:rsidRPr="00FA1BCF">
        <w:t xml:space="preserve">Pharmaceutical Benefits Advisory Group </w:t>
      </w:r>
      <w:r w:rsidRPr="00FA1BCF">
        <w:t>decision making</w:t>
      </w:r>
      <w:bookmarkEnd w:id="63"/>
    </w:p>
    <w:p w:rsidR="00CC79FE" w:rsidRPr="00FA1BCF" w:rsidRDefault="00CC79FE" w:rsidP="00CC79FE">
      <w:pPr>
        <w:jc w:val="both"/>
        <w:rPr>
          <w:szCs w:val="24"/>
        </w:rPr>
      </w:pPr>
      <w:r w:rsidRPr="00FA1BCF">
        <w:rPr>
          <w:szCs w:val="24"/>
        </w:rPr>
        <w:t xml:space="preserve">A report published in 2008 (Harris et al 2008) analysed all major </w:t>
      </w:r>
      <w:r w:rsidR="009A438D" w:rsidRPr="00FA1BCF">
        <w:rPr>
          <w:szCs w:val="24"/>
        </w:rPr>
        <w:t xml:space="preserve">medicine </w:t>
      </w:r>
      <w:r w:rsidRPr="00FA1BCF">
        <w:rPr>
          <w:szCs w:val="24"/>
        </w:rPr>
        <w:t>submissions to the PBAC</w:t>
      </w:r>
      <w:r w:rsidR="00202A8B" w:rsidRPr="00FA1BCF">
        <w:rPr>
          <w:szCs w:val="24"/>
        </w:rPr>
        <w:t>,</w:t>
      </w:r>
      <w:r w:rsidRPr="00FA1BCF">
        <w:rPr>
          <w:szCs w:val="24"/>
        </w:rPr>
        <w:t xml:space="preserve"> and the corresponding PBAC outcomes, </w:t>
      </w:r>
      <w:r w:rsidR="00202A8B" w:rsidRPr="00FA1BCF">
        <w:rPr>
          <w:szCs w:val="24"/>
        </w:rPr>
        <w:t xml:space="preserve">for the period </w:t>
      </w:r>
      <w:r w:rsidRPr="00FA1BCF">
        <w:rPr>
          <w:szCs w:val="24"/>
        </w:rPr>
        <w:t xml:space="preserve">between February 1994 </w:t>
      </w:r>
      <w:r w:rsidR="00202A8B" w:rsidRPr="00FA1BCF">
        <w:rPr>
          <w:szCs w:val="24"/>
        </w:rPr>
        <w:t xml:space="preserve">and </w:t>
      </w:r>
      <w:r w:rsidRPr="00FA1BCF">
        <w:rPr>
          <w:szCs w:val="24"/>
        </w:rPr>
        <w:t>December 2004.</w:t>
      </w:r>
      <w:r w:rsidR="00B56F35" w:rsidRPr="00FA1BCF">
        <w:rPr>
          <w:szCs w:val="24"/>
        </w:rPr>
        <w:t xml:space="preserve"> </w:t>
      </w:r>
      <w:r w:rsidRPr="00FA1BCF">
        <w:rPr>
          <w:szCs w:val="24"/>
        </w:rPr>
        <w:t xml:space="preserve">This equated to 858 submissions. </w:t>
      </w:r>
    </w:p>
    <w:p w:rsidR="00CC79FE" w:rsidRPr="00FA1BCF" w:rsidRDefault="00CC79FE" w:rsidP="00CC79FE">
      <w:pPr>
        <w:jc w:val="both"/>
        <w:rPr>
          <w:szCs w:val="24"/>
        </w:rPr>
      </w:pPr>
      <w:r w:rsidRPr="00FA1BCF">
        <w:rPr>
          <w:szCs w:val="24"/>
        </w:rPr>
        <w:lastRenderedPageBreak/>
        <w:t xml:space="preserve">The study reported </w:t>
      </w:r>
      <w:r w:rsidR="00202A8B" w:rsidRPr="00FA1BCF">
        <w:rPr>
          <w:szCs w:val="24"/>
        </w:rPr>
        <w:t xml:space="preserve">that </w:t>
      </w:r>
      <w:r w:rsidRPr="00FA1BCF">
        <w:rPr>
          <w:szCs w:val="24"/>
        </w:rPr>
        <w:t>clinical significance, cost</w:t>
      </w:r>
      <w:r w:rsidR="00202A8B" w:rsidRPr="00FA1BCF">
        <w:rPr>
          <w:szCs w:val="24"/>
        </w:rPr>
        <w:t>-</w:t>
      </w:r>
      <w:r w:rsidRPr="00FA1BCF">
        <w:rPr>
          <w:szCs w:val="24"/>
        </w:rPr>
        <w:t xml:space="preserve">effectiveness, cost to government, and severity of disease were significant influences on PBAC decisions. </w:t>
      </w:r>
      <w:r w:rsidR="009E4DB6">
        <w:rPr>
          <w:szCs w:val="24"/>
        </w:rPr>
        <w:t>Compared to the average submission, c</w:t>
      </w:r>
      <w:r w:rsidRPr="00FA1BCF">
        <w:rPr>
          <w:szCs w:val="24"/>
        </w:rPr>
        <w:t>linical significance increased the probability of recommending listing</w:t>
      </w:r>
      <w:r w:rsidR="00475EE3">
        <w:rPr>
          <w:szCs w:val="24"/>
        </w:rPr>
        <w:t>,</w:t>
      </w:r>
      <w:r w:rsidRPr="00FA1BCF">
        <w:rPr>
          <w:szCs w:val="24"/>
        </w:rPr>
        <w:t xml:space="preserve"> by 21</w:t>
      </w:r>
      <w:r w:rsidR="00475EE3">
        <w:rPr>
          <w:szCs w:val="24"/>
        </w:rPr>
        <w:t xml:space="preserve"> percent</w:t>
      </w:r>
      <w:r w:rsidRPr="00FA1BCF">
        <w:rPr>
          <w:szCs w:val="24"/>
        </w:rPr>
        <w:t xml:space="preserve">. The probability of listing the </w:t>
      </w:r>
      <w:r w:rsidR="009A438D" w:rsidRPr="00FA1BCF">
        <w:rPr>
          <w:szCs w:val="24"/>
        </w:rPr>
        <w:t xml:space="preserve">medicine </w:t>
      </w:r>
      <w:r w:rsidRPr="00FA1BCF">
        <w:rPr>
          <w:szCs w:val="24"/>
        </w:rPr>
        <w:t>increased to 38</w:t>
      </w:r>
      <w:r w:rsidR="00475EE3">
        <w:rPr>
          <w:szCs w:val="24"/>
        </w:rPr>
        <w:t xml:space="preserve"> percent,</w:t>
      </w:r>
      <w:r w:rsidR="009E4DB6">
        <w:rPr>
          <w:szCs w:val="24"/>
        </w:rPr>
        <w:t xml:space="preserve"> </w:t>
      </w:r>
      <w:r w:rsidRPr="00FA1BCF">
        <w:rPr>
          <w:szCs w:val="24"/>
        </w:rPr>
        <w:t xml:space="preserve">in cases where the </w:t>
      </w:r>
      <w:r w:rsidR="009A438D" w:rsidRPr="00FA1BCF">
        <w:rPr>
          <w:szCs w:val="24"/>
        </w:rPr>
        <w:t xml:space="preserve">medicine </w:t>
      </w:r>
      <w:r w:rsidRPr="00FA1BCF">
        <w:rPr>
          <w:szCs w:val="24"/>
        </w:rPr>
        <w:t xml:space="preserve">was for life-threatening conditions. Analysis showed </w:t>
      </w:r>
      <w:r w:rsidR="00202A8B" w:rsidRPr="00FA1BCF">
        <w:rPr>
          <w:szCs w:val="24"/>
        </w:rPr>
        <w:t xml:space="preserve">that </w:t>
      </w:r>
      <w:r w:rsidRPr="00FA1BCF">
        <w:rPr>
          <w:szCs w:val="24"/>
        </w:rPr>
        <w:t xml:space="preserve">the PBAC was substantially more likely to recommend subsidy in situations where the </w:t>
      </w:r>
      <w:r w:rsidR="009A438D" w:rsidRPr="00FA1BCF">
        <w:rPr>
          <w:szCs w:val="24"/>
        </w:rPr>
        <w:t xml:space="preserve">medicine </w:t>
      </w:r>
      <w:r w:rsidRPr="00FA1BCF">
        <w:rPr>
          <w:szCs w:val="24"/>
        </w:rPr>
        <w:t xml:space="preserve">treated diseases with a projected survival of less than </w:t>
      </w:r>
      <w:r w:rsidR="0022336E" w:rsidRPr="00FA1BCF">
        <w:rPr>
          <w:szCs w:val="24"/>
        </w:rPr>
        <w:t xml:space="preserve">five </w:t>
      </w:r>
      <w:r w:rsidRPr="00FA1BCF">
        <w:rPr>
          <w:szCs w:val="24"/>
        </w:rPr>
        <w:t xml:space="preserve">years. The availability of alternative treatments did not increase </w:t>
      </w:r>
      <w:r w:rsidR="0074797D" w:rsidRPr="00FA1BCF">
        <w:rPr>
          <w:szCs w:val="24"/>
        </w:rPr>
        <w:t xml:space="preserve">the </w:t>
      </w:r>
      <w:r w:rsidRPr="00FA1BCF">
        <w:rPr>
          <w:szCs w:val="24"/>
        </w:rPr>
        <w:t>likelihood of subsidy. The precision of the effect size estimate, the level of the evidence, and the quality of the studies did not have a significant effect on listing decisions for life</w:t>
      </w:r>
      <w:r w:rsidR="00202A8B" w:rsidRPr="00FA1BCF">
        <w:rPr>
          <w:szCs w:val="24"/>
        </w:rPr>
        <w:t>-</w:t>
      </w:r>
      <w:r w:rsidRPr="00FA1BCF">
        <w:rPr>
          <w:szCs w:val="24"/>
        </w:rPr>
        <w:t xml:space="preserve">threatening conditions, though relevance of the evidence presented was likely to affect the probability of a positive recommendation. </w:t>
      </w:r>
    </w:p>
    <w:p w:rsidR="00CC79FE" w:rsidRPr="00FA1BCF" w:rsidRDefault="00CC79FE" w:rsidP="00CC79FE">
      <w:pPr>
        <w:jc w:val="both"/>
        <w:rPr>
          <w:szCs w:val="24"/>
        </w:rPr>
      </w:pPr>
      <w:r w:rsidRPr="00FA1BCF">
        <w:rPr>
          <w:szCs w:val="24"/>
        </w:rPr>
        <w:t xml:space="preserve">The study concluded that </w:t>
      </w:r>
      <w:r w:rsidR="0074797D" w:rsidRPr="00FA1BCF">
        <w:rPr>
          <w:szCs w:val="24"/>
        </w:rPr>
        <w:t xml:space="preserve">the work of the </w:t>
      </w:r>
      <w:r w:rsidRPr="00FA1BCF">
        <w:rPr>
          <w:szCs w:val="24"/>
        </w:rPr>
        <w:t>PBAC was an example of long</w:t>
      </w:r>
      <w:r w:rsidR="00202A8B" w:rsidRPr="00FA1BCF">
        <w:rPr>
          <w:szCs w:val="24"/>
        </w:rPr>
        <w:t>-</w:t>
      </w:r>
      <w:r w:rsidRPr="00FA1BCF">
        <w:rPr>
          <w:szCs w:val="24"/>
        </w:rPr>
        <w:t>term stability and coherence of evidence</w:t>
      </w:r>
      <w:r w:rsidR="00202A8B" w:rsidRPr="00FA1BCF">
        <w:rPr>
          <w:szCs w:val="24"/>
        </w:rPr>
        <w:t>-</w:t>
      </w:r>
      <w:r w:rsidRPr="00FA1BCF">
        <w:rPr>
          <w:szCs w:val="24"/>
        </w:rPr>
        <w:t>based coverage (subsidies) and pricing decisions. I</w:t>
      </w:r>
      <w:r w:rsidR="00A85B08" w:rsidRPr="00FA1BCF">
        <w:rPr>
          <w:szCs w:val="24"/>
        </w:rPr>
        <w:t>mportant to this review, i</w:t>
      </w:r>
      <w:r w:rsidRPr="00FA1BCF">
        <w:rPr>
          <w:szCs w:val="24"/>
        </w:rPr>
        <w:t xml:space="preserve">t further concluded </w:t>
      </w:r>
      <w:r w:rsidR="0074797D" w:rsidRPr="00FA1BCF">
        <w:rPr>
          <w:szCs w:val="24"/>
        </w:rPr>
        <w:t xml:space="preserve">that the </w:t>
      </w:r>
      <w:r w:rsidRPr="00FA1BCF">
        <w:rPr>
          <w:szCs w:val="24"/>
        </w:rPr>
        <w:t>PBAC</w:t>
      </w:r>
      <w:r w:rsidR="0074797D" w:rsidRPr="00FA1BCF">
        <w:rPr>
          <w:szCs w:val="24"/>
        </w:rPr>
        <w:t>’s</w:t>
      </w:r>
      <w:r w:rsidRPr="00FA1BCF">
        <w:rPr>
          <w:szCs w:val="24"/>
        </w:rPr>
        <w:t xml:space="preserve"> willingness to pay was clearly related to the characteristics of the clinical condition</w:t>
      </w:r>
      <w:r w:rsidR="00202A8B" w:rsidRPr="00FA1BCF">
        <w:rPr>
          <w:szCs w:val="24"/>
        </w:rPr>
        <w:t xml:space="preserve"> and</w:t>
      </w:r>
      <w:r w:rsidRPr="00FA1BCF">
        <w:rPr>
          <w:szCs w:val="24"/>
        </w:rPr>
        <w:t xml:space="preserve"> </w:t>
      </w:r>
      <w:r w:rsidR="00202A8B" w:rsidRPr="00FA1BCF">
        <w:rPr>
          <w:szCs w:val="24"/>
        </w:rPr>
        <w:t xml:space="preserve">to </w:t>
      </w:r>
      <w:r w:rsidRPr="00FA1BCF">
        <w:rPr>
          <w:szCs w:val="24"/>
        </w:rPr>
        <w:t>perceived confidence in the evidence of effectiveness</w:t>
      </w:r>
      <w:r w:rsidR="0074797D" w:rsidRPr="00FA1BCF">
        <w:rPr>
          <w:szCs w:val="24"/>
        </w:rPr>
        <w:t xml:space="preserve"> and</w:t>
      </w:r>
      <w:r w:rsidRPr="00FA1BCF">
        <w:rPr>
          <w:szCs w:val="24"/>
        </w:rPr>
        <w:t xml:space="preserve"> its relevance</w:t>
      </w:r>
      <w:r w:rsidR="0074797D" w:rsidRPr="00FA1BCF">
        <w:rPr>
          <w:szCs w:val="24"/>
        </w:rPr>
        <w:t>,</w:t>
      </w:r>
      <w:r w:rsidRPr="00FA1BCF">
        <w:rPr>
          <w:szCs w:val="24"/>
        </w:rPr>
        <w:t xml:space="preserve"> as well as</w:t>
      </w:r>
      <w:r w:rsidR="00202A8B" w:rsidRPr="00FA1BCF">
        <w:rPr>
          <w:szCs w:val="24"/>
        </w:rPr>
        <w:t xml:space="preserve"> to</w:t>
      </w:r>
      <w:r w:rsidRPr="00FA1BCF">
        <w:rPr>
          <w:szCs w:val="24"/>
        </w:rPr>
        <w:t xml:space="preserve"> total cost to government.</w:t>
      </w:r>
      <w:r w:rsidR="00B56F35" w:rsidRPr="00FA1BCF">
        <w:rPr>
          <w:szCs w:val="24"/>
        </w:rPr>
        <w:t xml:space="preserve"> </w:t>
      </w:r>
    </w:p>
    <w:p w:rsidR="00CC79FE" w:rsidRPr="00FA1BCF" w:rsidRDefault="00CC79FE" w:rsidP="00CC79FE">
      <w:pPr>
        <w:jc w:val="both"/>
        <w:rPr>
          <w:rFonts w:eastAsia="Times New Roman" w:cs="Times New Roman"/>
          <w:b/>
          <w:szCs w:val="24"/>
          <w:lang w:eastAsia="en-AU"/>
        </w:rPr>
      </w:pPr>
      <w:r w:rsidRPr="00FA1BCF">
        <w:rPr>
          <w:szCs w:val="24"/>
        </w:rPr>
        <w:t xml:space="preserve">The results </w:t>
      </w:r>
      <w:r w:rsidR="00001CB8">
        <w:rPr>
          <w:szCs w:val="24"/>
        </w:rPr>
        <w:t>suggest</w:t>
      </w:r>
      <w:r w:rsidRPr="00FA1BCF">
        <w:rPr>
          <w:szCs w:val="24"/>
        </w:rPr>
        <w:t xml:space="preserve"> that decisions by the PBAC had been consistent with its responsibilities as set out in the Act and</w:t>
      </w:r>
      <w:r w:rsidR="00202A8B" w:rsidRPr="00FA1BCF">
        <w:rPr>
          <w:szCs w:val="24"/>
        </w:rPr>
        <w:t xml:space="preserve"> that</w:t>
      </w:r>
      <w:r w:rsidRPr="00FA1BCF">
        <w:rPr>
          <w:szCs w:val="24"/>
        </w:rPr>
        <w:t xml:space="preserve"> other factors beyond cost were regularly taken into account in its decision making.</w:t>
      </w:r>
      <w:r w:rsidR="00B56F35" w:rsidRPr="00FA1BCF">
        <w:rPr>
          <w:szCs w:val="24"/>
        </w:rPr>
        <w:t xml:space="preserve"> </w:t>
      </w:r>
    </w:p>
    <w:p w:rsidR="00CC79FE" w:rsidRPr="00FA1BCF" w:rsidRDefault="00CC79FE" w:rsidP="00E436E7">
      <w:pPr>
        <w:pStyle w:val="Heading2"/>
      </w:pPr>
      <w:bookmarkStart w:id="64" w:name="_Toc302625617"/>
      <w:r w:rsidRPr="00FA1BCF">
        <w:t>7.5. Measuring disease burden</w:t>
      </w:r>
      <w:bookmarkEnd w:id="64"/>
    </w:p>
    <w:p w:rsidR="00CC79FE" w:rsidRPr="00FA1BCF" w:rsidRDefault="00CC79FE" w:rsidP="00E436E7">
      <w:pPr>
        <w:pStyle w:val="Heading3"/>
      </w:pPr>
      <w:bookmarkStart w:id="65" w:name="_Toc302625618"/>
      <w:r w:rsidRPr="00FA1BCF">
        <w:t>7.5.1 Quality</w:t>
      </w:r>
      <w:r w:rsidR="00FF4F3B" w:rsidRPr="00FA1BCF">
        <w:t>-a</w:t>
      </w:r>
      <w:r w:rsidRPr="00FA1BCF">
        <w:t xml:space="preserve">djusted </w:t>
      </w:r>
      <w:r w:rsidR="00FF4F3B" w:rsidRPr="00FA1BCF">
        <w:t>l</w:t>
      </w:r>
      <w:r w:rsidRPr="00FA1BCF">
        <w:t xml:space="preserve">ife </w:t>
      </w:r>
      <w:r w:rsidR="00FF4F3B" w:rsidRPr="00FA1BCF">
        <w:t>y</w:t>
      </w:r>
      <w:r w:rsidRPr="00FA1BCF">
        <w:t>ears</w:t>
      </w:r>
      <w:bookmarkEnd w:id="65"/>
    </w:p>
    <w:p w:rsidR="00CC79FE" w:rsidRPr="00FA1BCF" w:rsidRDefault="00A85B08" w:rsidP="00CC79FE">
      <w:pPr>
        <w:jc w:val="both"/>
        <w:rPr>
          <w:szCs w:val="24"/>
        </w:rPr>
      </w:pPr>
      <w:r w:rsidRPr="00FA1BCF">
        <w:rPr>
          <w:szCs w:val="24"/>
        </w:rPr>
        <w:t>C</w:t>
      </w:r>
      <w:r w:rsidR="00CC79FE" w:rsidRPr="00FA1BCF">
        <w:rPr>
          <w:szCs w:val="24"/>
        </w:rPr>
        <w:t xml:space="preserve">hange in quality of life is </w:t>
      </w:r>
      <w:r w:rsidRPr="00FA1BCF">
        <w:rPr>
          <w:szCs w:val="24"/>
        </w:rPr>
        <w:t>an important outcome considered by PBAC in making its recommendations for subsidisation of medicines. To do this in a standardised way across many different diseases or conditions and patient</w:t>
      </w:r>
      <w:r w:rsidR="004E1741" w:rsidRPr="00FA1BCF">
        <w:rPr>
          <w:szCs w:val="24"/>
        </w:rPr>
        <w:t xml:space="preserve"> populations </w:t>
      </w:r>
      <w:r w:rsidRPr="00FA1BCF">
        <w:rPr>
          <w:szCs w:val="24"/>
        </w:rPr>
        <w:t>requires measures of</w:t>
      </w:r>
      <w:r w:rsidR="00CC79FE" w:rsidRPr="00FA1BCF">
        <w:rPr>
          <w:szCs w:val="24"/>
        </w:rPr>
        <w:t xml:space="preserve"> quality</w:t>
      </w:r>
      <w:r w:rsidR="00202A8B" w:rsidRPr="00FA1BCF">
        <w:rPr>
          <w:szCs w:val="24"/>
        </w:rPr>
        <w:t xml:space="preserve"> </w:t>
      </w:r>
      <w:r w:rsidR="00CC79FE" w:rsidRPr="00FA1BCF">
        <w:rPr>
          <w:szCs w:val="24"/>
        </w:rPr>
        <w:t>of</w:t>
      </w:r>
      <w:r w:rsidR="00202A8B" w:rsidRPr="00FA1BCF">
        <w:rPr>
          <w:szCs w:val="24"/>
        </w:rPr>
        <w:t xml:space="preserve"> </w:t>
      </w:r>
      <w:r w:rsidR="00CC79FE" w:rsidRPr="00FA1BCF">
        <w:rPr>
          <w:szCs w:val="24"/>
        </w:rPr>
        <w:t>life. The most widely used approach for estimating quality of life benefits in economic evaluations is the quality-adjusted life</w:t>
      </w:r>
      <w:r w:rsidR="0022336E" w:rsidRPr="00FA1BCF">
        <w:rPr>
          <w:szCs w:val="24"/>
        </w:rPr>
        <w:t xml:space="preserve"> </w:t>
      </w:r>
      <w:r w:rsidR="00CC79FE" w:rsidRPr="00FA1BCF">
        <w:rPr>
          <w:szCs w:val="24"/>
        </w:rPr>
        <w:t>year (QALY).</w:t>
      </w:r>
    </w:p>
    <w:p w:rsidR="00CC79FE" w:rsidRPr="00FA1BCF" w:rsidRDefault="00CC79FE" w:rsidP="00CC79FE">
      <w:pPr>
        <w:jc w:val="both"/>
        <w:rPr>
          <w:szCs w:val="24"/>
        </w:rPr>
      </w:pPr>
      <w:r w:rsidRPr="00FA1BCF">
        <w:rPr>
          <w:szCs w:val="24"/>
        </w:rPr>
        <w:t xml:space="preserve">The QALY considers both the quantity and quality of life generated by the healthcare intervention. It measures adjusted survival time where the adjustment is by means of weighting health-related quality-of-life preferences for specific health states. Expected survival time in each of the health states is adjusted using the preference weights and then summed across the duration of survival to generate expected QALYs gained. The use of preference weights sets QALYs apart from other quality-of-life measures. </w:t>
      </w:r>
    </w:p>
    <w:p w:rsidR="004E1741" w:rsidRPr="00FA1BCF" w:rsidRDefault="00CC79FE" w:rsidP="00CC79FE">
      <w:pPr>
        <w:jc w:val="both"/>
        <w:rPr>
          <w:szCs w:val="24"/>
        </w:rPr>
      </w:pPr>
      <w:r w:rsidRPr="00FA1BCF">
        <w:rPr>
          <w:szCs w:val="24"/>
        </w:rPr>
        <w:t xml:space="preserve">QALYs are useful tools in resource allocation (public reimbursement) decisions, allowing for more explicit decisions to be made between healthcare interventions and against new technologies and therapies. </w:t>
      </w:r>
      <w:r w:rsidR="004E1741" w:rsidRPr="00FA1BCF">
        <w:rPr>
          <w:szCs w:val="24"/>
        </w:rPr>
        <w:t>With information on the costs and effectiveness of alternative care, an incremental cost</w:t>
      </w:r>
      <w:r w:rsidR="00202A8B" w:rsidRPr="00FA1BCF">
        <w:rPr>
          <w:szCs w:val="24"/>
        </w:rPr>
        <w:t>-</w:t>
      </w:r>
      <w:r w:rsidR="004E1741" w:rsidRPr="00FA1BCF">
        <w:rPr>
          <w:szCs w:val="24"/>
        </w:rPr>
        <w:t>effectiveness ratio (ICER) can be calculated to provide a standard</w:t>
      </w:r>
      <w:r w:rsidR="00B56F35" w:rsidRPr="00FA1BCF">
        <w:rPr>
          <w:szCs w:val="24"/>
        </w:rPr>
        <w:t xml:space="preserve"> </w:t>
      </w:r>
      <w:r w:rsidR="004E1741" w:rsidRPr="00FA1BCF">
        <w:rPr>
          <w:szCs w:val="24"/>
        </w:rPr>
        <w:t>indicator of the additional cost to generate a year of perfect health (one QALY).</w:t>
      </w:r>
      <w:r w:rsidR="00B56F35" w:rsidRPr="00FA1BCF">
        <w:rPr>
          <w:szCs w:val="24"/>
        </w:rPr>
        <w:t xml:space="preserve"> </w:t>
      </w:r>
    </w:p>
    <w:p w:rsidR="0087560D" w:rsidRPr="00FA1BCF" w:rsidRDefault="00CC79FE" w:rsidP="00E436E7">
      <w:pPr>
        <w:jc w:val="both"/>
      </w:pPr>
      <w:r w:rsidRPr="00FA1BCF">
        <w:rPr>
          <w:szCs w:val="24"/>
        </w:rPr>
        <w:t xml:space="preserve">QALYs </w:t>
      </w:r>
      <w:r w:rsidR="00252D60" w:rsidRPr="00FA1BCF">
        <w:rPr>
          <w:szCs w:val="24"/>
        </w:rPr>
        <w:t>as generally measured</w:t>
      </w:r>
      <w:r w:rsidR="00202A8B" w:rsidRPr="00FA1BCF">
        <w:rPr>
          <w:szCs w:val="24"/>
        </w:rPr>
        <w:t>,</w:t>
      </w:r>
      <w:r w:rsidR="00252D60" w:rsidRPr="00FA1BCF">
        <w:rPr>
          <w:szCs w:val="24"/>
        </w:rPr>
        <w:t xml:space="preserve"> </w:t>
      </w:r>
      <w:r w:rsidRPr="00FA1BCF">
        <w:rPr>
          <w:szCs w:val="24"/>
        </w:rPr>
        <w:t>however</w:t>
      </w:r>
      <w:r w:rsidR="00202A8B" w:rsidRPr="00FA1BCF">
        <w:rPr>
          <w:szCs w:val="24"/>
        </w:rPr>
        <w:t>,</w:t>
      </w:r>
      <w:r w:rsidRPr="00FA1BCF">
        <w:rPr>
          <w:szCs w:val="24"/>
        </w:rPr>
        <w:t xml:space="preserve"> may be less sensitive to less severe chronic diseases</w:t>
      </w:r>
      <w:r w:rsidR="00202A8B" w:rsidRPr="00FA1BCF">
        <w:rPr>
          <w:szCs w:val="24"/>
        </w:rPr>
        <w:t>,</w:t>
      </w:r>
      <w:r w:rsidRPr="00FA1BCF">
        <w:rPr>
          <w:szCs w:val="24"/>
        </w:rPr>
        <w:t xml:space="preserve"> and </w:t>
      </w:r>
      <w:r w:rsidR="00DE708C" w:rsidRPr="00FA1BCF">
        <w:rPr>
          <w:szCs w:val="24"/>
        </w:rPr>
        <w:t xml:space="preserve">the most commonly used measures from which QALYs are derived </w:t>
      </w:r>
      <w:r w:rsidRPr="00FA1BCF">
        <w:rPr>
          <w:szCs w:val="24"/>
        </w:rPr>
        <w:t>have been criticised for not weighing emotional and mental health problems adequately. QALYs are also not designed to take into account the impact o</w:t>
      </w:r>
      <w:r w:rsidR="00202A8B" w:rsidRPr="00FA1BCF">
        <w:rPr>
          <w:szCs w:val="24"/>
        </w:rPr>
        <w:t>n</w:t>
      </w:r>
      <w:r w:rsidRPr="00FA1BCF">
        <w:rPr>
          <w:szCs w:val="24"/>
        </w:rPr>
        <w:t xml:space="preserve"> the quality of life of the carer or other family members. </w:t>
      </w:r>
    </w:p>
    <w:p w:rsidR="00CC79FE" w:rsidRPr="00FA1BCF" w:rsidRDefault="00CC79FE" w:rsidP="00E436E7">
      <w:pPr>
        <w:pStyle w:val="Heading3"/>
      </w:pPr>
      <w:bookmarkStart w:id="66" w:name="f5-1"/>
      <w:bookmarkStart w:id="67" w:name="_Toc302625619"/>
      <w:bookmarkEnd w:id="66"/>
      <w:r w:rsidRPr="00FA1BCF">
        <w:lastRenderedPageBreak/>
        <w:t xml:space="preserve">7.5.2 Quality of </w:t>
      </w:r>
      <w:r w:rsidR="00FF4F3B" w:rsidRPr="00FA1BCF">
        <w:t>l</w:t>
      </w:r>
      <w:r w:rsidRPr="00FA1BCF">
        <w:t>ife</w:t>
      </w:r>
      <w:bookmarkEnd w:id="67"/>
    </w:p>
    <w:p w:rsidR="00CC79FE" w:rsidRPr="00FA1BCF" w:rsidRDefault="00CC79FE" w:rsidP="00E436E7">
      <w:pPr>
        <w:pStyle w:val="NormalWeb"/>
        <w:spacing w:before="0" w:beforeAutospacing="0" w:after="0" w:afterAutospacing="0"/>
        <w:jc w:val="both"/>
      </w:pPr>
      <w:r w:rsidRPr="00FA1BCF">
        <w:rPr>
          <w:rFonts w:asciiTheme="minorHAnsi" w:eastAsiaTheme="minorHAnsi" w:hAnsiTheme="minorHAnsi" w:cstheme="minorBidi"/>
          <w:sz w:val="24"/>
          <w:szCs w:val="24"/>
          <w:lang w:eastAsia="en-US"/>
        </w:rPr>
        <w:t xml:space="preserve">The </w:t>
      </w:r>
      <w:r w:rsidR="0022336E" w:rsidRPr="00FA1BCF">
        <w:rPr>
          <w:rFonts w:asciiTheme="minorHAnsi" w:eastAsiaTheme="minorHAnsi" w:hAnsiTheme="minorHAnsi" w:cstheme="minorBidi"/>
          <w:sz w:val="24"/>
          <w:szCs w:val="24"/>
          <w:lang w:eastAsia="en-US"/>
        </w:rPr>
        <w:t>r</w:t>
      </w:r>
      <w:r w:rsidRPr="00FA1BCF">
        <w:rPr>
          <w:rFonts w:asciiTheme="minorHAnsi" w:eastAsiaTheme="minorHAnsi" w:hAnsiTheme="minorHAnsi" w:cstheme="minorBidi"/>
          <w:sz w:val="24"/>
          <w:szCs w:val="24"/>
          <w:lang w:eastAsia="en-US"/>
        </w:rPr>
        <w:t xml:space="preserve">eference </w:t>
      </w:r>
      <w:r w:rsidR="0022336E" w:rsidRPr="00FA1BCF">
        <w:rPr>
          <w:rFonts w:asciiTheme="minorHAnsi" w:eastAsiaTheme="minorHAnsi" w:hAnsiTheme="minorHAnsi" w:cstheme="minorBidi"/>
          <w:sz w:val="24"/>
          <w:szCs w:val="24"/>
          <w:lang w:eastAsia="en-US"/>
        </w:rPr>
        <w:t>g</w:t>
      </w:r>
      <w:r w:rsidRPr="00FA1BCF">
        <w:rPr>
          <w:rFonts w:asciiTheme="minorHAnsi" w:eastAsiaTheme="minorHAnsi" w:hAnsiTheme="minorHAnsi" w:cstheme="minorBidi"/>
          <w:sz w:val="24"/>
          <w:szCs w:val="24"/>
          <w:lang w:eastAsia="en-US"/>
        </w:rPr>
        <w:t xml:space="preserve">roup assessed the evidence presented in the </w:t>
      </w:r>
      <w:r w:rsidR="00202A8B" w:rsidRPr="00FA1BCF">
        <w:rPr>
          <w:rFonts w:asciiTheme="minorHAnsi" w:eastAsiaTheme="minorHAnsi" w:hAnsiTheme="minorHAnsi" w:cstheme="minorBidi"/>
          <w:sz w:val="24"/>
          <w:szCs w:val="24"/>
          <w:lang w:eastAsia="en-US"/>
        </w:rPr>
        <w:t>e</w:t>
      </w:r>
      <w:r w:rsidRPr="00FA1BCF">
        <w:rPr>
          <w:rFonts w:asciiTheme="minorHAnsi" w:eastAsiaTheme="minorHAnsi" w:hAnsiTheme="minorHAnsi" w:cstheme="minorBidi"/>
          <w:sz w:val="24"/>
          <w:szCs w:val="24"/>
          <w:lang w:eastAsia="en-US"/>
        </w:rPr>
        <w:t>valuator’s report and concluded that</w:t>
      </w:r>
      <w:r w:rsidR="00F34970" w:rsidRPr="00FA1BCF">
        <w:rPr>
          <w:rFonts w:asciiTheme="minorHAnsi" w:eastAsiaTheme="minorHAnsi" w:hAnsiTheme="minorHAnsi" w:cstheme="minorBidi"/>
          <w:sz w:val="24"/>
          <w:szCs w:val="24"/>
          <w:lang w:eastAsia="en-US"/>
        </w:rPr>
        <w:t>,</w:t>
      </w:r>
      <w:r w:rsidRPr="00FA1BCF">
        <w:rPr>
          <w:rFonts w:asciiTheme="minorHAnsi" w:eastAsiaTheme="minorHAnsi" w:hAnsiTheme="minorHAnsi" w:cstheme="minorBidi"/>
          <w:sz w:val="24"/>
          <w:szCs w:val="24"/>
          <w:lang w:eastAsia="en-US"/>
        </w:rPr>
        <w:t xml:space="preserve"> in comparison to more conventional/common conditions, there was </w:t>
      </w:r>
      <w:r w:rsidR="001D4BC0" w:rsidRPr="00FA1BCF">
        <w:rPr>
          <w:rFonts w:asciiTheme="minorHAnsi" w:eastAsiaTheme="minorHAnsi" w:hAnsiTheme="minorHAnsi" w:cstheme="minorBidi"/>
          <w:sz w:val="24"/>
          <w:szCs w:val="24"/>
          <w:lang w:eastAsia="en-US"/>
        </w:rPr>
        <w:t xml:space="preserve">still </w:t>
      </w:r>
      <w:r w:rsidRPr="00FA1BCF">
        <w:rPr>
          <w:rFonts w:asciiTheme="minorHAnsi" w:eastAsiaTheme="minorHAnsi" w:hAnsiTheme="minorHAnsi" w:cstheme="minorBidi"/>
          <w:sz w:val="24"/>
          <w:szCs w:val="24"/>
          <w:lang w:eastAsia="en-US"/>
        </w:rPr>
        <w:t xml:space="preserve">limited </w:t>
      </w:r>
      <w:r w:rsidR="001D4BC0" w:rsidRPr="00FA1BCF">
        <w:rPr>
          <w:rFonts w:asciiTheme="minorHAnsi" w:eastAsiaTheme="minorHAnsi" w:hAnsiTheme="minorHAnsi" w:cstheme="minorBidi"/>
          <w:sz w:val="24"/>
          <w:szCs w:val="24"/>
          <w:lang w:eastAsia="en-US"/>
        </w:rPr>
        <w:t xml:space="preserve">formal </w:t>
      </w:r>
      <w:r w:rsidRPr="00FA1BCF">
        <w:rPr>
          <w:rFonts w:asciiTheme="minorHAnsi" w:eastAsiaTheme="minorHAnsi" w:hAnsiTheme="minorHAnsi" w:cstheme="minorBidi"/>
          <w:sz w:val="24"/>
          <w:szCs w:val="24"/>
          <w:lang w:eastAsia="en-US"/>
        </w:rPr>
        <w:t xml:space="preserve">evidence to </w:t>
      </w:r>
      <w:r w:rsidR="001D4BC0" w:rsidRPr="00FA1BCF">
        <w:rPr>
          <w:rFonts w:asciiTheme="minorHAnsi" w:eastAsiaTheme="minorHAnsi" w:hAnsiTheme="minorHAnsi" w:cstheme="minorBidi"/>
          <w:sz w:val="24"/>
          <w:szCs w:val="24"/>
          <w:lang w:eastAsia="en-US"/>
        </w:rPr>
        <w:t xml:space="preserve">demonstrate improvements in quality of life and therefore the comparative </w:t>
      </w:r>
      <w:r w:rsidRPr="00FA1BCF">
        <w:rPr>
          <w:rFonts w:asciiTheme="minorHAnsi" w:eastAsiaTheme="minorHAnsi" w:hAnsiTheme="minorHAnsi" w:cstheme="minorBidi"/>
          <w:sz w:val="24"/>
          <w:szCs w:val="24"/>
          <w:lang w:eastAsia="en-US"/>
        </w:rPr>
        <w:t xml:space="preserve">value for money of medicines subsidised under the LSDP. </w:t>
      </w:r>
      <w:r w:rsidR="001D4BC0" w:rsidRPr="00FA1BCF">
        <w:rPr>
          <w:rFonts w:asciiTheme="minorHAnsi" w:eastAsiaTheme="minorHAnsi" w:hAnsiTheme="minorHAnsi" w:cstheme="minorBidi"/>
          <w:sz w:val="24"/>
          <w:szCs w:val="24"/>
          <w:lang w:eastAsia="en-US"/>
        </w:rPr>
        <w:t xml:space="preserve">The </w:t>
      </w:r>
      <w:r w:rsidR="00F11CA5" w:rsidRPr="00FA1BCF">
        <w:rPr>
          <w:rFonts w:asciiTheme="minorHAnsi" w:eastAsiaTheme="minorHAnsi" w:hAnsiTheme="minorHAnsi" w:cstheme="minorBidi"/>
          <w:sz w:val="24"/>
          <w:szCs w:val="24"/>
          <w:lang w:eastAsia="en-US"/>
        </w:rPr>
        <w:t>reference group</w:t>
      </w:r>
      <w:r w:rsidR="001D4BC0" w:rsidRPr="00FA1BCF">
        <w:rPr>
          <w:rFonts w:asciiTheme="minorHAnsi" w:eastAsiaTheme="minorHAnsi" w:hAnsiTheme="minorHAnsi" w:cstheme="minorBidi"/>
          <w:sz w:val="24"/>
          <w:szCs w:val="24"/>
          <w:lang w:eastAsia="en-US"/>
        </w:rPr>
        <w:t xml:space="preserve"> noted that t</w:t>
      </w:r>
      <w:r w:rsidRPr="00FA1BCF">
        <w:rPr>
          <w:rFonts w:asciiTheme="minorHAnsi" w:eastAsiaTheme="minorHAnsi" w:hAnsiTheme="minorHAnsi" w:cstheme="minorBidi"/>
          <w:sz w:val="24"/>
          <w:szCs w:val="24"/>
          <w:lang w:eastAsia="en-US"/>
        </w:rPr>
        <w:t xml:space="preserve">here is literature to show that the </w:t>
      </w:r>
      <w:r w:rsidR="00A26B5E" w:rsidRPr="00FA1BCF">
        <w:rPr>
          <w:rFonts w:asciiTheme="minorHAnsi" w:eastAsiaTheme="minorHAnsi" w:hAnsiTheme="minorHAnsi" w:cstheme="minorBidi"/>
          <w:sz w:val="24"/>
          <w:szCs w:val="24"/>
          <w:lang w:eastAsia="en-US"/>
        </w:rPr>
        <w:t xml:space="preserve">medicines </w:t>
      </w:r>
      <w:r w:rsidRPr="00FA1BCF">
        <w:rPr>
          <w:rFonts w:asciiTheme="minorHAnsi" w:eastAsiaTheme="minorHAnsi" w:hAnsiTheme="minorHAnsi" w:cstheme="minorBidi"/>
          <w:sz w:val="24"/>
          <w:szCs w:val="24"/>
          <w:lang w:eastAsia="en-US"/>
        </w:rPr>
        <w:t>have in some instances reversed disease progression. Personal accounts received from patients and carers demonstrated clear health benefits and most re</w:t>
      </w:r>
      <w:r w:rsidR="001D4BC0" w:rsidRPr="00FA1BCF">
        <w:rPr>
          <w:rFonts w:asciiTheme="minorHAnsi" w:eastAsiaTheme="minorHAnsi" w:hAnsiTheme="minorHAnsi" w:cstheme="minorBidi"/>
          <w:sz w:val="24"/>
          <w:szCs w:val="24"/>
          <w:lang w:eastAsia="en-US"/>
        </w:rPr>
        <w:t>ported</w:t>
      </w:r>
      <w:r w:rsidRPr="00FA1BCF">
        <w:rPr>
          <w:rFonts w:asciiTheme="minorHAnsi" w:eastAsiaTheme="minorHAnsi" w:hAnsiTheme="minorHAnsi" w:cstheme="minorBidi"/>
          <w:sz w:val="24"/>
          <w:szCs w:val="24"/>
          <w:lang w:eastAsia="en-US"/>
        </w:rPr>
        <w:t xml:space="preserve"> an improved quality of life.</w:t>
      </w:r>
    </w:p>
    <w:p w:rsidR="00D1592C" w:rsidRPr="00FA1BCF" w:rsidRDefault="00CC79FE" w:rsidP="00CC79FE">
      <w:pPr>
        <w:jc w:val="both"/>
        <w:rPr>
          <w:szCs w:val="24"/>
        </w:rPr>
      </w:pPr>
      <w:r w:rsidRPr="00FA1BCF">
        <w:rPr>
          <w:szCs w:val="24"/>
        </w:rPr>
        <w:t>The need to elevate quality of life as a health benefit or health outcome from receiving treatment from a</w:t>
      </w:r>
      <w:r w:rsidR="00F34970" w:rsidRPr="00FA1BCF">
        <w:rPr>
          <w:szCs w:val="24"/>
        </w:rPr>
        <w:t>n</w:t>
      </w:r>
      <w:r w:rsidRPr="00FA1BCF">
        <w:rPr>
          <w:szCs w:val="24"/>
        </w:rPr>
        <w:t xml:space="preserve"> LSDP</w:t>
      </w:r>
      <w:r w:rsidR="00F34970" w:rsidRPr="00FA1BCF">
        <w:rPr>
          <w:szCs w:val="24"/>
        </w:rPr>
        <w:t>-</w:t>
      </w:r>
      <w:r w:rsidRPr="00FA1BCF">
        <w:rPr>
          <w:szCs w:val="24"/>
        </w:rPr>
        <w:t xml:space="preserve">funded </w:t>
      </w:r>
      <w:r w:rsidR="009A438D" w:rsidRPr="00FA1BCF">
        <w:rPr>
          <w:szCs w:val="24"/>
        </w:rPr>
        <w:t xml:space="preserve">medicine </w:t>
      </w:r>
      <w:r w:rsidRPr="00FA1BCF">
        <w:rPr>
          <w:szCs w:val="24"/>
        </w:rPr>
        <w:t>was a central thread in the feedback from stakeholders. Many submissions spoke of greatly improved health states such</w:t>
      </w:r>
      <w:r w:rsidR="00EA6263">
        <w:rPr>
          <w:szCs w:val="24"/>
        </w:rPr>
        <w:t xml:space="preserve"> that</w:t>
      </w:r>
      <w:r w:rsidRPr="00FA1BCF">
        <w:rPr>
          <w:szCs w:val="24"/>
        </w:rPr>
        <w:t xml:space="preserve"> lives </w:t>
      </w:r>
      <w:r w:rsidR="00F34970" w:rsidRPr="00FA1BCF">
        <w:rPr>
          <w:szCs w:val="24"/>
        </w:rPr>
        <w:t xml:space="preserve">being </w:t>
      </w:r>
      <w:r w:rsidRPr="00FA1BCF">
        <w:rPr>
          <w:szCs w:val="24"/>
        </w:rPr>
        <w:t>transformed and patients and</w:t>
      </w:r>
      <w:r w:rsidR="00F34970" w:rsidRPr="00FA1BCF">
        <w:rPr>
          <w:szCs w:val="24"/>
        </w:rPr>
        <w:t>/</w:t>
      </w:r>
      <w:r w:rsidRPr="00FA1BCF">
        <w:rPr>
          <w:szCs w:val="24"/>
        </w:rPr>
        <w:t xml:space="preserve">or </w:t>
      </w:r>
      <w:proofErr w:type="gramStart"/>
      <w:r w:rsidRPr="00FA1BCF">
        <w:rPr>
          <w:szCs w:val="24"/>
        </w:rPr>
        <w:t xml:space="preserve">carers </w:t>
      </w:r>
      <w:r w:rsidR="00F34970" w:rsidRPr="00FA1BCF">
        <w:rPr>
          <w:szCs w:val="24"/>
        </w:rPr>
        <w:t>being</w:t>
      </w:r>
      <w:proofErr w:type="gramEnd"/>
      <w:r w:rsidR="00F34970" w:rsidRPr="00FA1BCF">
        <w:rPr>
          <w:szCs w:val="24"/>
        </w:rPr>
        <w:t xml:space="preserve"> </w:t>
      </w:r>
      <w:r w:rsidRPr="00FA1BCF">
        <w:rPr>
          <w:szCs w:val="24"/>
        </w:rPr>
        <w:t>able to return to relatively normal lives. Quality of life was therefore not insignificant and</w:t>
      </w:r>
      <w:r w:rsidR="00F34970" w:rsidRPr="00FA1BCF">
        <w:rPr>
          <w:szCs w:val="24"/>
        </w:rPr>
        <w:t xml:space="preserve"> it</w:t>
      </w:r>
      <w:r w:rsidRPr="00FA1BCF">
        <w:rPr>
          <w:szCs w:val="24"/>
        </w:rPr>
        <w:t xml:space="preserve"> should be better acknowledged. The stakeholders also urged the </w:t>
      </w:r>
      <w:r w:rsidR="008F624C" w:rsidRPr="00FA1BCF">
        <w:rPr>
          <w:szCs w:val="24"/>
        </w:rPr>
        <w:t>r</w:t>
      </w:r>
      <w:r w:rsidRPr="00FA1BCF">
        <w:rPr>
          <w:szCs w:val="24"/>
        </w:rPr>
        <w:t xml:space="preserve">eference </w:t>
      </w:r>
      <w:r w:rsidR="008F624C" w:rsidRPr="00FA1BCF">
        <w:rPr>
          <w:szCs w:val="24"/>
        </w:rPr>
        <w:t>g</w:t>
      </w:r>
      <w:r w:rsidRPr="00FA1BCF">
        <w:rPr>
          <w:szCs w:val="24"/>
        </w:rPr>
        <w:t>roup to consider more broadly the societal cost borne by those living with rare diseases or those living with patients with rare diseases. These costs may not be adequately accounted for, if at all</w:t>
      </w:r>
      <w:r w:rsidR="00F34970" w:rsidRPr="00FA1BCF">
        <w:rPr>
          <w:szCs w:val="24"/>
        </w:rPr>
        <w:t>,</w:t>
      </w:r>
      <w:r w:rsidRPr="00FA1BCF">
        <w:rPr>
          <w:szCs w:val="24"/>
        </w:rPr>
        <w:t xml:space="preserve"> in </w:t>
      </w:r>
      <w:r w:rsidR="00252D60" w:rsidRPr="00FA1BCF">
        <w:rPr>
          <w:szCs w:val="24"/>
        </w:rPr>
        <w:t xml:space="preserve">health cost per </w:t>
      </w:r>
      <w:r w:rsidRPr="00FA1BCF">
        <w:rPr>
          <w:szCs w:val="24"/>
        </w:rPr>
        <w:t xml:space="preserve">QALY based metrics. </w:t>
      </w:r>
    </w:p>
    <w:p w:rsidR="00CC79FE" w:rsidRPr="00FA1BCF" w:rsidRDefault="00D1592C" w:rsidP="00CC79FE">
      <w:pPr>
        <w:jc w:val="both"/>
        <w:rPr>
          <w:rFonts w:eastAsia="Times New Roman" w:cs="Times New Roman"/>
          <w:b/>
          <w:szCs w:val="24"/>
          <w:lang w:eastAsia="en-AU"/>
        </w:rPr>
      </w:pPr>
      <w:r w:rsidRPr="00FA1BCF">
        <w:rPr>
          <w:szCs w:val="24"/>
        </w:rPr>
        <w:t xml:space="preserve">The </w:t>
      </w:r>
      <w:r w:rsidR="0022336E" w:rsidRPr="00FA1BCF">
        <w:rPr>
          <w:szCs w:val="24"/>
        </w:rPr>
        <w:t>r</w:t>
      </w:r>
      <w:r w:rsidRPr="00FA1BCF">
        <w:rPr>
          <w:szCs w:val="24"/>
        </w:rPr>
        <w:t xml:space="preserve">eference </w:t>
      </w:r>
      <w:r w:rsidR="0022336E" w:rsidRPr="00FA1BCF">
        <w:rPr>
          <w:szCs w:val="24"/>
        </w:rPr>
        <w:t>g</w:t>
      </w:r>
      <w:r w:rsidRPr="00FA1BCF">
        <w:rPr>
          <w:szCs w:val="24"/>
        </w:rPr>
        <w:t>roup agreed that broader considerations of benefit needed to be considered when assessing the value of medicines for rare disease drug</w:t>
      </w:r>
      <w:r w:rsidR="00252D60" w:rsidRPr="00FA1BCF">
        <w:rPr>
          <w:szCs w:val="24"/>
        </w:rPr>
        <w:t>s</w:t>
      </w:r>
      <w:r w:rsidRPr="00FA1BCF">
        <w:rPr>
          <w:szCs w:val="24"/>
        </w:rPr>
        <w:t xml:space="preserve">. </w:t>
      </w:r>
      <w:r w:rsidR="00B7207F" w:rsidRPr="00FA1BCF">
        <w:rPr>
          <w:szCs w:val="24"/>
        </w:rPr>
        <w:t xml:space="preserve">The </w:t>
      </w:r>
      <w:r w:rsidR="0022336E" w:rsidRPr="00FA1BCF">
        <w:rPr>
          <w:szCs w:val="24"/>
        </w:rPr>
        <w:t>r</w:t>
      </w:r>
      <w:r w:rsidR="00B7207F" w:rsidRPr="00FA1BCF">
        <w:rPr>
          <w:szCs w:val="24"/>
        </w:rPr>
        <w:t xml:space="preserve">eference </w:t>
      </w:r>
      <w:r w:rsidR="0022336E" w:rsidRPr="00FA1BCF">
        <w:rPr>
          <w:szCs w:val="24"/>
        </w:rPr>
        <w:t>g</w:t>
      </w:r>
      <w:r w:rsidR="00B7207F" w:rsidRPr="00FA1BCF">
        <w:rPr>
          <w:szCs w:val="24"/>
        </w:rPr>
        <w:t xml:space="preserve">roup noted that the PBAC has accepted </w:t>
      </w:r>
      <w:r w:rsidR="0022336E" w:rsidRPr="00FA1BCF">
        <w:rPr>
          <w:szCs w:val="24"/>
        </w:rPr>
        <w:t>quality-adjusted life years</w:t>
      </w:r>
      <w:r w:rsidR="00B7207F" w:rsidRPr="00FA1BCF">
        <w:rPr>
          <w:szCs w:val="24"/>
        </w:rPr>
        <w:t xml:space="preserve"> as a key (but not singular) measure of benefit in assessing medicines for public subsidy. In principle, this seemed to be consistent with the interests of the stakeholders. However, t</w:t>
      </w:r>
      <w:r w:rsidRPr="00FA1BCF">
        <w:rPr>
          <w:szCs w:val="24"/>
        </w:rPr>
        <w:t xml:space="preserve">he </w:t>
      </w:r>
      <w:r w:rsidR="0022336E" w:rsidRPr="00FA1BCF">
        <w:rPr>
          <w:szCs w:val="24"/>
        </w:rPr>
        <w:t>r</w:t>
      </w:r>
      <w:r w:rsidRPr="00FA1BCF">
        <w:rPr>
          <w:szCs w:val="24"/>
        </w:rPr>
        <w:t xml:space="preserve">eference </w:t>
      </w:r>
      <w:r w:rsidR="0022336E" w:rsidRPr="00FA1BCF">
        <w:rPr>
          <w:szCs w:val="24"/>
        </w:rPr>
        <w:t>g</w:t>
      </w:r>
      <w:r w:rsidRPr="00FA1BCF">
        <w:rPr>
          <w:szCs w:val="24"/>
        </w:rPr>
        <w:t>roup noted that the conditions treated under the LSDP usually resulted not only in shortened life expectancy but</w:t>
      </w:r>
      <w:r w:rsidR="00F34970" w:rsidRPr="00FA1BCF">
        <w:rPr>
          <w:szCs w:val="24"/>
        </w:rPr>
        <w:t xml:space="preserve"> also in</w:t>
      </w:r>
      <w:r w:rsidRPr="00FA1BCF">
        <w:rPr>
          <w:szCs w:val="24"/>
        </w:rPr>
        <w:t xml:space="preserve"> high levels of disability requiring high levels of carer and community service dependency. Consequently i</w:t>
      </w:r>
      <w:r w:rsidR="00F34970" w:rsidRPr="00FA1BCF">
        <w:rPr>
          <w:szCs w:val="24"/>
        </w:rPr>
        <w:t>t</w:t>
      </w:r>
      <w:r w:rsidRPr="00FA1BCF">
        <w:rPr>
          <w:szCs w:val="24"/>
        </w:rPr>
        <w:t xml:space="preserve"> was important to take a broader societal view and greater consideration of the longer</w:t>
      </w:r>
      <w:r w:rsidR="00F34970" w:rsidRPr="00FA1BCF">
        <w:rPr>
          <w:szCs w:val="24"/>
        </w:rPr>
        <w:t xml:space="preserve"> </w:t>
      </w:r>
      <w:r w:rsidRPr="00FA1BCF">
        <w:rPr>
          <w:szCs w:val="24"/>
        </w:rPr>
        <w:t xml:space="preserve">term economic and psychological impact on families and carers. It was noted that while these elements are not inconsistent with the practices of the PBAC </w:t>
      </w:r>
      <w:r w:rsidR="00307626" w:rsidRPr="00FA1BCF">
        <w:rPr>
          <w:szCs w:val="24"/>
        </w:rPr>
        <w:t xml:space="preserve">there would be </w:t>
      </w:r>
      <w:r w:rsidRPr="00FA1BCF">
        <w:rPr>
          <w:szCs w:val="24"/>
        </w:rPr>
        <w:t xml:space="preserve">benefit in </w:t>
      </w:r>
      <w:r w:rsidR="00307626" w:rsidRPr="00FA1BCF">
        <w:rPr>
          <w:szCs w:val="24"/>
        </w:rPr>
        <w:t>giving</w:t>
      </w:r>
      <w:r w:rsidRPr="00FA1BCF">
        <w:rPr>
          <w:szCs w:val="24"/>
        </w:rPr>
        <w:t xml:space="preserve"> greater visibility and weight</w:t>
      </w:r>
      <w:r w:rsidR="00307626" w:rsidRPr="00FA1BCF">
        <w:rPr>
          <w:szCs w:val="24"/>
        </w:rPr>
        <w:t xml:space="preserve"> to these in the decision</w:t>
      </w:r>
      <w:r w:rsidR="00F34970" w:rsidRPr="00FA1BCF">
        <w:rPr>
          <w:szCs w:val="24"/>
        </w:rPr>
        <w:t>-</w:t>
      </w:r>
      <w:r w:rsidR="00307626" w:rsidRPr="00FA1BCF">
        <w:rPr>
          <w:szCs w:val="24"/>
        </w:rPr>
        <w:t>making process</w:t>
      </w:r>
      <w:r w:rsidRPr="00FA1BCF">
        <w:rPr>
          <w:szCs w:val="24"/>
        </w:rPr>
        <w:t>.</w:t>
      </w:r>
    </w:p>
    <w:p w:rsidR="00CC79FE" w:rsidRPr="00FA1BCF" w:rsidRDefault="00CC79FE" w:rsidP="00E436E7">
      <w:pPr>
        <w:pStyle w:val="Heading2"/>
      </w:pPr>
      <w:bookmarkStart w:id="68" w:name="_Toc302625620"/>
      <w:r w:rsidRPr="00FA1BCF">
        <w:t xml:space="preserve">7.6 </w:t>
      </w:r>
      <w:r w:rsidR="00FF4F3B" w:rsidRPr="00FA1BCF">
        <w:t>Pharmaceutical Benefits Advisory Committee</w:t>
      </w:r>
      <w:r w:rsidRPr="00FA1BCF">
        <w:t xml:space="preserve"> </w:t>
      </w:r>
      <w:r w:rsidR="00FF4F3B" w:rsidRPr="00FA1BCF">
        <w:t>r</w:t>
      </w:r>
      <w:r w:rsidRPr="00FA1BCF">
        <w:t xml:space="preserve">ule of </w:t>
      </w:r>
      <w:r w:rsidR="00FF4F3B" w:rsidRPr="00FA1BCF">
        <w:t>r</w:t>
      </w:r>
      <w:r w:rsidRPr="00FA1BCF">
        <w:t xml:space="preserve">escue and </w:t>
      </w:r>
      <w:r w:rsidR="00FF4F3B" w:rsidRPr="00FA1BCF">
        <w:t>Medicine</w:t>
      </w:r>
      <w:r w:rsidR="00F34970" w:rsidRPr="00FA1BCF">
        <w:t>s</w:t>
      </w:r>
      <w:r w:rsidR="00FF4F3B" w:rsidRPr="00FA1BCF">
        <w:t xml:space="preserve"> for Rare Diseases Programme</w:t>
      </w:r>
      <w:r w:rsidRPr="00FA1BCF">
        <w:t xml:space="preserve"> criteria</w:t>
      </w:r>
      <w:bookmarkEnd w:id="68"/>
    </w:p>
    <w:p w:rsidR="00366637" w:rsidRPr="00FA1BCF" w:rsidRDefault="00F61B22" w:rsidP="00CC79FE">
      <w:pPr>
        <w:jc w:val="both"/>
        <w:rPr>
          <w:sz w:val="28"/>
          <w:szCs w:val="28"/>
        </w:rPr>
      </w:pPr>
      <w:r w:rsidRPr="00FA1BCF">
        <w:rPr>
          <w:szCs w:val="24"/>
        </w:rPr>
        <w:t xml:space="preserve">The </w:t>
      </w:r>
      <w:r w:rsidR="00F11CA5" w:rsidRPr="00FA1BCF">
        <w:rPr>
          <w:szCs w:val="24"/>
        </w:rPr>
        <w:t>reference group</w:t>
      </w:r>
      <w:r w:rsidRPr="00FA1BCF">
        <w:rPr>
          <w:szCs w:val="24"/>
        </w:rPr>
        <w:t xml:space="preserve"> and a number of submissions noted the </w:t>
      </w:r>
      <w:r w:rsidR="00AF5283" w:rsidRPr="00FA1BCF">
        <w:rPr>
          <w:szCs w:val="24"/>
        </w:rPr>
        <w:t>overlap</w:t>
      </w:r>
      <w:r w:rsidRPr="00FA1BCF">
        <w:rPr>
          <w:szCs w:val="24"/>
        </w:rPr>
        <w:t xml:space="preserve"> between the criteria used by </w:t>
      </w:r>
      <w:r w:rsidR="001C27B1" w:rsidRPr="00FA1BCF">
        <w:rPr>
          <w:szCs w:val="24"/>
        </w:rPr>
        <w:t xml:space="preserve">the PBAC to consider </w:t>
      </w:r>
      <w:r w:rsidR="00F34970" w:rsidRPr="00FA1BCF">
        <w:rPr>
          <w:szCs w:val="24"/>
        </w:rPr>
        <w:t>r</w:t>
      </w:r>
      <w:r w:rsidR="001C27B1" w:rsidRPr="00FA1BCF">
        <w:rPr>
          <w:szCs w:val="24"/>
        </w:rPr>
        <w:t xml:space="preserve">ule of </w:t>
      </w:r>
      <w:r w:rsidR="00F34970" w:rsidRPr="00FA1BCF">
        <w:rPr>
          <w:szCs w:val="24"/>
        </w:rPr>
        <w:t>r</w:t>
      </w:r>
      <w:r w:rsidR="001C27B1" w:rsidRPr="00FA1BCF">
        <w:rPr>
          <w:szCs w:val="24"/>
        </w:rPr>
        <w:t xml:space="preserve">escue and the criteria for the LSDP. Table </w:t>
      </w:r>
      <w:r w:rsidR="00FC7E6D" w:rsidRPr="00FA1BCF">
        <w:rPr>
          <w:szCs w:val="24"/>
        </w:rPr>
        <w:t>8</w:t>
      </w:r>
      <w:r w:rsidR="001C27B1" w:rsidRPr="00FA1BCF">
        <w:rPr>
          <w:szCs w:val="24"/>
        </w:rPr>
        <w:t xml:space="preserve"> contrasts the criteria for </w:t>
      </w:r>
      <w:r w:rsidR="00F34970" w:rsidRPr="00FA1BCF">
        <w:rPr>
          <w:szCs w:val="24"/>
        </w:rPr>
        <w:t>r</w:t>
      </w:r>
      <w:r w:rsidR="001C27B1" w:rsidRPr="00FA1BCF">
        <w:rPr>
          <w:szCs w:val="24"/>
        </w:rPr>
        <w:t xml:space="preserve">ule of </w:t>
      </w:r>
      <w:r w:rsidR="00F34970" w:rsidRPr="00FA1BCF">
        <w:rPr>
          <w:szCs w:val="24"/>
        </w:rPr>
        <w:t>r</w:t>
      </w:r>
      <w:r w:rsidR="001C27B1" w:rsidRPr="00FA1BCF">
        <w:rPr>
          <w:szCs w:val="24"/>
        </w:rPr>
        <w:t>escue</w:t>
      </w:r>
      <w:r w:rsidR="009A15D7" w:rsidRPr="00FA1BCF">
        <w:rPr>
          <w:szCs w:val="24"/>
        </w:rPr>
        <w:t>, the LSDP criteria</w:t>
      </w:r>
      <w:r w:rsidR="001C27B1" w:rsidRPr="00FA1BCF">
        <w:rPr>
          <w:szCs w:val="24"/>
        </w:rPr>
        <w:t xml:space="preserve"> and the proposed criteria for the </w:t>
      </w:r>
      <w:r w:rsidR="00F34970" w:rsidRPr="00FA1BCF">
        <w:rPr>
          <w:szCs w:val="24"/>
        </w:rPr>
        <w:t>Medicines for Rare Diseases Programme (</w:t>
      </w:r>
      <w:r w:rsidR="001C27B1" w:rsidRPr="00FA1BCF">
        <w:rPr>
          <w:szCs w:val="24"/>
        </w:rPr>
        <w:t>MRDP</w:t>
      </w:r>
      <w:r w:rsidR="00F34970" w:rsidRPr="00FA1BCF">
        <w:rPr>
          <w:szCs w:val="24"/>
        </w:rPr>
        <w:t>)</w:t>
      </w:r>
      <w:r w:rsidR="001C27B1" w:rsidRPr="00FA1BCF">
        <w:rPr>
          <w:szCs w:val="24"/>
        </w:rPr>
        <w:t xml:space="preserve">. </w:t>
      </w:r>
      <w:r w:rsidR="009A3420" w:rsidRPr="00FA1BCF">
        <w:rPr>
          <w:szCs w:val="24"/>
        </w:rPr>
        <w:t xml:space="preserve">There is significant consistency between the principles of the </w:t>
      </w:r>
      <w:r w:rsidR="00F34970" w:rsidRPr="00FA1BCF">
        <w:rPr>
          <w:szCs w:val="24"/>
        </w:rPr>
        <w:t>r</w:t>
      </w:r>
      <w:r w:rsidR="009A3420" w:rsidRPr="00FA1BCF">
        <w:rPr>
          <w:szCs w:val="24"/>
        </w:rPr>
        <w:t xml:space="preserve">ule of </w:t>
      </w:r>
      <w:r w:rsidR="00F34970" w:rsidRPr="00FA1BCF">
        <w:rPr>
          <w:szCs w:val="24"/>
        </w:rPr>
        <w:t>r</w:t>
      </w:r>
      <w:r w:rsidR="009A3420" w:rsidRPr="00FA1BCF">
        <w:rPr>
          <w:szCs w:val="24"/>
        </w:rPr>
        <w:t>escue and the MRDP</w:t>
      </w:r>
      <w:r w:rsidR="00F34970" w:rsidRPr="00FA1BCF">
        <w:rPr>
          <w:szCs w:val="24"/>
        </w:rPr>
        <w:t>,</w:t>
      </w:r>
      <w:r w:rsidR="009A3420" w:rsidRPr="00FA1BCF">
        <w:rPr>
          <w:szCs w:val="24"/>
        </w:rPr>
        <w:t xml:space="preserve"> although </w:t>
      </w:r>
      <w:r w:rsidR="001C27B1" w:rsidRPr="00FA1BCF">
        <w:rPr>
          <w:szCs w:val="24"/>
        </w:rPr>
        <w:t xml:space="preserve">the MRDP criteria are more specific. The notable differences </w:t>
      </w:r>
      <w:r w:rsidR="009A15D7" w:rsidRPr="00FA1BCF">
        <w:rPr>
          <w:szCs w:val="24"/>
        </w:rPr>
        <w:t>are</w:t>
      </w:r>
      <w:r w:rsidR="001C27B1" w:rsidRPr="00FA1BCF">
        <w:rPr>
          <w:szCs w:val="24"/>
        </w:rPr>
        <w:t xml:space="preserve"> the explicit recognition of uncertainty of benefit in the proposed MRDP and the requirement that there </w:t>
      </w:r>
      <w:r w:rsidR="00F34970" w:rsidRPr="00FA1BCF">
        <w:rPr>
          <w:szCs w:val="24"/>
        </w:rPr>
        <w:t>be</w:t>
      </w:r>
      <w:r w:rsidR="001C27B1" w:rsidRPr="00FA1BCF">
        <w:rPr>
          <w:szCs w:val="24"/>
        </w:rPr>
        <w:t xml:space="preserve"> a commitment to address this. Moreover, the </w:t>
      </w:r>
      <w:r w:rsidR="00F34970" w:rsidRPr="00FA1BCF">
        <w:rPr>
          <w:szCs w:val="24"/>
        </w:rPr>
        <w:t>r</w:t>
      </w:r>
      <w:r w:rsidR="001C27B1" w:rsidRPr="00FA1BCF">
        <w:rPr>
          <w:szCs w:val="24"/>
        </w:rPr>
        <w:t xml:space="preserve">ule of </w:t>
      </w:r>
      <w:r w:rsidR="00F34970" w:rsidRPr="00FA1BCF">
        <w:rPr>
          <w:szCs w:val="24"/>
        </w:rPr>
        <w:t>r</w:t>
      </w:r>
      <w:r w:rsidR="001C27B1" w:rsidRPr="00FA1BCF">
        <w:rPr>
          <w:szCs w:val="24"/>
        </w:rPr>
        <w:t>escue makes no mention of quality of life as a consideration.</w:t>
      </w:r>
      <w:r w:rsidR="00B56F35" w:rsidRPr="00FA1BCF">
        <w:rPr>
          <w:szCs w:val="24"/>
        </w:rPr>
        <w:t xml:space="preserve"> </w:t>
      </w:r>
      <w:r w:rsidR="001C27B1" w:rsidRPr="00FA1BCF">
        <w:rPr>
          <w:szCs w:val="24"/>
        </w:rPr>
        <w:t xml:space="preserve">In practice the </w:t>
      </w:r>
      <w:r w:rsidR="00F34970" w:rsidRPr="00FA1BCF">
        <w:rPr>
          <w:szCs w:val="24"/>
        </w:rPr>
        <w:t>r</w:t>
      </w:r>
      <w:r w:rsidR="001C27B1" w:rsidRPr="00FA1BCF">
        <w:rPr>
          <w:szCs w:val="24"/>
        </w:rPr>
        <w:t xml:space="preserve">ule of </w:t>
      </w:r>
      <w:r w:rsidR="00F34970" w:rsidRPr="00FA1BCF">
        <w:rPr>
          <w:szCs w:val="24"/>
        </w:rPr>
        <w:t>r</w:t>
      </w:r>
      <w:r w:rsidR="001C27B1" w:rsidRPr="00FA1BCF">
        <w:rPr>
          <w:szCs w:val="24"/>
        </w:rPr>
        <w:t>escue has only been applied to conditions where the likely survival without treatment is very short, whereas in the case of conditions for which medicines are listed on the LSDP survival may</w:t>
      </w:r>
      <w:r w:rsidR="00F34970" w:rsidRPr="00FA1BCF">
        <w:rPr>
          <w:szCs w:val="24"/>
        </w:rPr>
        <w:t xml:space="preserve"> </w:t>
      </w:r>
      <w:r w:rsidR="001C27B1" w:rsidRPr="00FA1BCF">
        <w:rPr>
          <w:szCs w:val="24"/>
        </w:rPr>
        <w:t xml:space="preserve">be decades even without treatment. </w:t>
      </w:r>
      <w:r w:rsidR="009A15D7" w:rsidRPr="00FA1BCF">
        <w:rPr>
          <w:szCs w:val="24"/>
        </w:rPr>
        <w:t>I</w:t>
      </w:r>
      <w:r w:rsidR="001C27B1" w:rsidRPr="00FA1BCF">
        <w:rPr>
          <w:szCs w:val="24"/>
        </w:rPr>
        <w:t xml:space="preserve">f the revised criteria for the MRDP are adopted, there will be specific consideration of impact on quality of life at least as reflected </w:t>
      </w:r>
      <w:r w:rsidR="001C27B1" w:rsidRPr="00FA1BCF">
        <w:rPr>
          <w:szCs w:val="24"/>
        </w:rPr>
        <w:lastRenderedPageBreak/>
        <w:t>in level of disability.</w:t>
      </w:r>
      <w:r w:rsidR="00B56F35" w:rsidRPr="00FA1BCF">
        <w:rPr>
          <w:szCs w:val="24"/>
        </w:rPr>
        <w:t xml:space="preserve"> </w:t>
      </w:r>
      <w:r w:rsidR="009A3420" w:rsidRPr="00FA1BCF">
        <w:rPr>
          <w:szCs w:val="24"/>
        </w:rPr>
        <w:t xml:space="preserve">The </w:t>
      </w:r>
      <w:r w:rsidR="00F11CA5" w:rsidRPr="00FA1BCF">
        <w:rPr>
          <w:szCs w:val="24"/>
        </w:rPr>
        <w:t>reference group</w:t>
      </w:r>
      <w:r w:rsidR="009A3420" w:rsidRPr="00FA1BCF">
        <w:rPr>
          <w:szCs w:val="24"/>
        </w:rPr>
        <w:t xml:space="preserve"> decided that the </w:t>
      </w:r>
      <w:r w:rsidR="00F34970" w:rsidRPr="00FA1BCF">
        <w:rPr>
          <w:szCs w:val="24"/>
        </w:rPr>
        <w:t>r</w:t>
      </w:r>
      <w:r w:rsidR="009A3420" w:rsidRPr="00FA1BCF">
        <w:rPr>
          <w:szCs w:val="24"/>
        </w:rPr>
        <w:t xml:space="preserve">ule of </w:t>
      </w:r>
      <w:r w:rsidR="00F34970" w:rsidRPr="00FA1BCF">
        <w:rPr>
          <w:szCs w:val="24"/>
        </w:rPr>
        <w:t>r</w:t>
      </w:r>
      <w:r w:rsidR="009A3420" w:rsidRPr="00FA1BCF">
        <w:rPr>
          <w:szCs w:val="24"/>
        </w:rPr>
        <w:t>escue could not subsume the MRDP and</w:t>
      </w:r>
      <w:r w:rsidR="00F34970" w:rsidRPr="00FA1BCF">
        <w:rPr>
          <w:szCs w:val="24"/>
        </w:rPr>
        <w:t xml:space="preserve"> that</w:t>
      </w:r>
      <w:r w:rsidR="009A3420" w:rsidRPr="00FA1BCF">
        <w:rPr>
          <w:szCs w:val="24"/>
        </w:rPr>
        <w:t xml:space="preserve"> the MRDP criteria were necessary. </w:t>
      </w:r>
    </w:p>
    <w:p w:rsidR="00CC79FE" w:rsidRPr="00FA1BCF" w:rsidRDefault="00CC79FE" w:rsidP="00E436E7">
      <w:pPr>
        <w:pStyle w:val="Caption"/>
        <w:rPr>
          <w:szCs w:val="24"/>
        </w:rPr>
      </w:pPr>
      <w:r w:rsidRPr="00FA1BCF">
        <w:t xml:space="preserve">Table </w:t>
      </w:r>
      <w:r w:rsidR="00FC7E6D" w:rsidRPr="00FA1BCF">
        <w:t>8</w:t>
      </w:r>
      <w:r w:rsidR="009A15D7" w:rsidRPr="00FA1BCF">
        <w:t xml:space="preserve">: Comparison of </w:t>
      </w:r>
      <w:r w:rsidR="003F4D69" w:rsidRPr="00FA1BCF">
        <w:t>Pharmaceutical Benefits Advisory Committee</w:t>
      </w:r>
      <w:r w:rsidR="009A15D7" w:rsidRPr="00FA1BCF">
        <w:t xml:space="preserve"> </w:t>
      </w:r>
      <w:r w:rsidR="00FF4324" w:rsidRPr="00FA1BCF">
        <w:t>r</w:t>
      </w:r>
      <w:r w:rsidR="009A15D7" w:rsidRPr="00FA1BCF">
        <w:t xml:space="preserve">ule of </w:t>
      </w:r>
      <w:r w:rsidR="00FF4324" w:rsidRPr="00FA1BCF">
        <w:t>r</w:t>
      </w:r>
      <w:r w:rsidR="009A15D7" w:rsidRPr="00FA1BCF">
        <w:t xml:space="preserve">escue, </w:t>
      </w:r>
      <w:r w:rsidR="003F4D69" w:rsidRPr="00FA1BCF">
        <w:t>Life Saving Drugs Programme</w:t>
      </w:r>
      <w:r w:rsidR="009A15D7" w:rsidRPr="00FA1BCF">
        <w:t xml:space="preserve"> </w:t>
      </w:r>
      <w:r w:rsidR="00FC7E6D" w:rsidRPr="00FA1BCF">
        <w:t>criteria and</w:t>
      </w:r>
      <w:r w:rsidR="009A15D7" w:rsidRPr="00FA1BCF">
        <w:t xml:space="preserve"> proposed </w:t>
      </w:r>
      <w:r w:rsidR="003F4D69" w:rsidRPr="00FA1BCF">
        <w:t xml:space="preserve">Medicines for Rare Diseases Programme </w:t>
      </w:r>
      <w:r w:rsidR="009A15D7" w:rsidRPr="00FA1BCF">
        <w:t>criteria and conditions</w:t>
      </w:r>
    </w:p>
    <w:tbl>
      <w:tblPr>
        <w:tblStyle w:val="TableGrid"/>
        <w:tblW w:w="9214" w:type="dxa"/>
        <w:tblInd w:w="-34" w:type="dxa"/>
        <w:tblLook w:val="04A0" w:firstRow="1" w:lastRow="0" w:firstColumn="1" w:lastColumn="0" w:noHBand="0" w:noVBand="1"/>
      </w:tblPr>
      <w:tblGrid>
        <w:gridCol w:w="3071"/>
        <w:gridCol w:w="3071"/>
        <w:gridCol w:w="3072"/>
      </w:tblGrid>
      <w:tr w:rsidR="009A15D7" w:rsidRPr="00FA1BCF" w:rsidTr="00DC19F4">
        <w:trPr>
          <w:trHeight w:val="315"/>
        </w:trPr>
        <w:tc>
          <w:tcPr>
            <w:tcW w:w="3071" w:type="dxa"/>
            <w:shd w:val="clear" w:color="auto" w:fill="C0504D" w:themeFill="accent2"/>
          </w:tcPr>
          <w:p w:rsidR="009A15D7" w:rsidRPr="00DC19F4" w:rsidRDefault="009A15D7" w:rsidP="00E436E7">
            <w:pPr>
              <w:pStyle w:val="TableHeading"/>
              <w:rPr>
                <w:b w:val="0"/>
                <w:color w:val="FFFFFF" w:themeColor="background1"/>
                <w:lang w:eastAsia="en-AU"/>
              </w:rPr>
            </w:pPr>
            <w:r w:rsidRPr="00DC19F4">
              <w:rPr>
                <w:color w:val="FFFFFF" w:themeColor="background1"/>
                <w:lang w:eastAsia="en-AU"/>
              </w:rPr>
              <w:t xml:space="preserve">Rule of </w:t>
            </w:r>
            <w:r w:rsidR="00FF4324" w:rsidRPr="00DC19F4">
              <w:rPr>
                <w:color w:val="FFFFFF" w:themeColor="background1"/>
                <w:lang w:eastAsia="en-AU"/>
              </w:rPr>
              <w:t>r</w:t>
            </w:r>
            <w:r w:rsidRPr="00DC19F4">
              <w:rPr>
                <w:color w:val="FFFFFF" w:themeColor="background1"/>
                <w:lang w:eastAsia="en-AU"/>
              </w:rPr>
              <w:t xml:space="preserve">escue </w:t>
            </w:r>
            <w:r w:rsidR="00FF4324" w:rsidRPr="00DC19F4">
              <w:rPr>
                <w:color w:val="FFFFFF" w:themeColor="background1"/>
                <w:lang w:eastAsia="en-AU"/>
              </w:rPr>
              <w:t>c</w:t>
            </w:r>
            <w:r w:rsidRPr="00DC19F4">
              <w:rPr>
                <w:color w:val="FFFFFF" w:themeColor="background1"/>
                <w:lang w:eastAsia="en-AU"/>
              </w:rPr>
              <w:t>riteria</w:t>
            </w:r>
          </w:p>
        </w:tc>
        <w:tc>
          <w:tcPr>
            <w:tcW w:w="3071" w:type="dxa"/>
            <w:shd w:val="clear" w:color="auto" w:fill="C0504D" w:themeFill="accent2"/>
          </w:tcPr>
          <w:p w:rsidR="009A15D7" w:rsidRPr="00DC19F4" w:rsidRDefault="009A15D7" w:rsidP="00E436E7">
            <w:pPr>
              <w:pStyle w:val="TableHeading"/>
              <w:rPr>
                <w:b w:val="0"/>
                <w:color w:val="FFFFFF" w:themeColor="background1"/>
                <w:lang w:eastAsia="en-AU"/>
              </w:rPr>
            </w:pPr>
            <w:r w:rsidRPr="00DC19F4">
              <w:rPr>
                <w:color w:val="FFFFFF" w:themeColor="background1"/>
                <w:lang w:eastAsia="en-AU"/>
              </w:rPr>
              <w:t>LSDP criteria and conditions</w:t>
            </w:r>
          </w:p>
        </w:tc>
        <w:tc>
          <w:tcPr>
            <w:tcW w:w="3072" w:type="dxa"/>
            <w:shd w:val="clear" w:color="auto" w:fill="C0504D" w:themeFill="accent2"/>
          </w:tcPr>
          <w:p w:rsidR="009A15D7" w:rsidRPr="00DC19F4" w:rsidRDefault="009A15D7" w:rsidP="00E436E7">
            <w:pPr>
              <w:pStyle w:val="TableHeading"/>
              <w:rPr>
                <w:b w:val="0"/>
                <w:color w:val="FFFFFF" w:themeColor="background1"/>
                <w:lang w:eastAsia="en-AU"/>
              </w:rPr>
            </w:pPr>
            <w:r w:rsidRPr="00DC19F4">
              <w:rPr>
                <w:color w:val="FFFFFF" w:themeColor="background1"/>
                <w:lang w:eastAsia="en-AU"/>
              </w:rPr>
              <w:t>Proposed MRDP criteria and conditions</w:t>
            </w:r>
          </w:p>
        </w:tc>
      </w:tr>
      <w:tr w:rsidR="009A15D7" w:rsidRPr="00FA1BCF" w:rsidTr="00DC19F4">
        <w:trPr>
          <w:trHeight w:val="699"/>
        </w:trPr>
        <w:tc>
          <w:tcPr>
            <w:tcW w:w="3071" w:type="dxa"/>
          </w:tcPr>
          <w:p w:rsidR="009A15D7" w:rsidRPr="00E436E7" w:rsidRDefault="009A15D7" w:rsidP="00E436E7">
            <w:pPr>
              <w:numPr>
                <w:ilvl w:val="0"/>
                <w:numId w:val="4"/>
              </w:numPr>
              <w:spacing w:before="100" w:beforeAutospacing="1" w:after="100" w:afterAutospacing="1"/>
              <w:ind w:left="357" w:hanging="357"/>
              <w:rPr>
                <w:rFonts w:eastAsia="Times New Roman" w:cs="Times New Roman"/>
                <w:sz w:val="20"/>
                <w:szCs w:val="20"/>
                <w:lang w:eastAsia="en-AU"/>
              </w:rPr>
            </w:pPr>
            <w:r w:rsidRPr="00E436E7">
              <w:rPr>
                <w:rFonts w:eastAsia="Times New Roman" w:cs="Times New Roman"/>
                <w:sz w:val="20"/>
                <w:szCs w:val="20"/>
                <w:lang w:eastAsia="en-AU"/>
              </w:rPr>
              <w:t xml:space="preserve">No alternative exists in Australia to treat patients with the specific circumstances of the medical condition meeting the criteria of the restriction. This means that there are no non-pharmacological or pharmacological interventions for these patients. </w:t>
            </w:r>
          </w:p>
          <w:p w:rsidR="009A15D7" w:rsidRPr="00E436E7" w:rsidRDefault="009A15D7" w:rsidP="00E436E7">
            <w:pPr>
              <w:numPr>
                <w:ilvl w:val="0"/>
                <w:numId w:val="4"/>
              </w:numPr>
              <w:spacing w:before="100" w:beforeAutospacing="1" w:after="100" w:afterAutospacing="1"/>
              <w:ind w:left="357" w:hanging="357"/>
              <w:rPr>
                <w:rFonts w:eastAsia="Times New Roman" w:cs="Times New Roman"/>
                <w:sz w:val="20"/>
                <w:szCs w:val="20"/>
                <w:lang w:eastAsia="en-AU"/>
              </w:rPr>
            </w:pPr>
            <w:r w:rsidRPr="00E436E7">
              <w:rPr>
                <w:rFonts w:eastAsia="Times New Roman" w:cs="Times New Roman"/>
                <w:sz w:val="20"/>
                <w:szCs w:val="20"/>
                <w:lang w:eastAsia="en-AU"/>
              </w:rPr>
              <w:t xml:space="preserve">The medical condition defined by the requested restriction is severe, progressive and expected to lead to premature death. The more severe the condition, or the younger the age at which a person with the condition might die, or the closer a person with the condition is to death, the more influential the rule of rescue might be in the consideration by PBAC. </w:t>
            </w:r>
          </w:p>
          <w:p w:rsidR="009A15D7" w:rsidRPr="00E436E7" w:rsidRDefault="009A15D7" w:rsidP="00E436E7">
            <w:pPr>
              <w:numPr>
                <w:ilvl w:val="0"/>
                <w:numId w:val="4"/>
              </w:numPr>
              <w:spacing w:before="100" w:beforeAutospacing="1" w:after="100" w:afterAutospacing="1"/>
              <w:ind w:left="357" w:hanging="357"/>
              <w:rPr>
                <w:rFonts w:eastAsia="Times New Roman" w:cs="Times New Roman"/>
                <w:sz w:val="20"/>
                <w:szCs w:val="20"/>
                <w:lang w:eastAsia="en-AU"/>
              </w:rPr>
            </w:pPr>
            <w:r w:rsidRPr="00E436E7">
              <w:rPr>
                <w:rFonts w:eastAsia="Times New Roman" w:cs="Times New Roman"/>
                <w:sz w:val="20"/>
                <w:szCs w:val="20"/>
                <w:lang w:eastAsia="en-AU"/>
              </w:rPr>
              <w:t xml:space="preserve">The medical condition defined by the requested restriction applies to only a very small number of patients. Again, the fewer the patients, the more influential the rule of rescue might be in the consideration by PBAC. However, PBAC is also mindful that the PBS is a community-based scheme and cannot cater for individual circumstances. </w:t>
            </w:r>
          </w:p>
          <w:p w:rsidR="009A15D7" w:rsidRPr="00E436E7" w:rsidRDefault="009A15D7" w:rsidP="00E436E7">
            <w:pPr>
              <w:numPr>
                <w:ilvl w:val="0"/>
                <w:numId w:val="4"/>
              </w:numPr>
              <w:spacing w:before="100" w:beforeAutospacing="1" w:after="100" w:afterAutospacing="1"/>
              <w:ind w:left="357" w:hanging="357"/>
              <w:rPr>
                <w:rFonts w:eastAsia="Times New Roman" w:cs="Times New Roman"/>
                <w:sz w:val="20"/>
                <w:szCs w:val="20"/>
                <w:lang w:eastAsia="en-AU"/>
              </w:rPr>
            </w:pPr>
            <w:r w:rsidRPr="00E436E7">
              <w:rPr>
                <w:rFonts w:eastAsia="Times New Roman" w:cs="Times New Roman"/>
                <w:sz w:val="20"/>
                <w:szCs w:val="20"/>
                <w:lang w:eastAsia="en-AU"/>
              </w:rPr>
              <w:t xml:space="preserve">The proposed medicine provides a worthwhile clinical improvement sufficient to qualify as a rescue from the medical condition. The greater the rescue, the more influential the rule of rescue might be in the consideration by PBAC. </w:t>
            </w:r>
          </w:p>
          <w:p w:rsidR="009A15D7" w:rsidRPr="00E436E7" w:rsidRDefault="009A15D7" w:rsidP="00E436E7">
            <w:pPr>
              <w:spacing w:before="100" w:beforeAutospacing="1" w:after="100" w:afterAutospacing="1"/>
              <w:ind w:left="357" w:hanging="357"/>
              <w:rPr>
                <w:rFonts w:eastAsia="Times New Roman" w:cs="Times New Roman"/>
                <w:b/>
                <w:sz w:val="20"/>
                <w:szCs w:val="20"/>
                <w:lang w:eastAsia="en-AU"/>
              </w:rPr>
            </w:pPr>
          </w:p>
        </w:tc>
        <w:tc>
          <w:tcPr>
            <w:tcW w:w="3071" w:type="dxa"/>
          </w:tcPr>
          <w:p w:rsidR="009A15D7" w:rsidRPr="00E436E7" w:rsidRDefault="009A15D7" w:rsidP="00E436E7">
            <w:pPr>
              <w:spacing w:before="100" w:beforeAutospacing="1" w:after="100" w:afterAutospacing="1"/>
              <w:ind w:left="357" w:hanging="357"/>
              <w:rPr>
                <w:rFonts w:eastAsia="Times New Roman" w:cs="Times New Roman"/>
                <w:sz w:val="20"/>
                <w:szCs w:val="20"/>
                <w:lang w:eastAsia="en-AU"/>
              </w:rPr>
            </w:pPr>
            <w:r w:rsidRPr="00E436E7">
              <w:rPr>
                <w:rFonts w:eastAsia="Times New Roman" w:cs="Times New Roman"/>
                <w:b/>
                <w:sz w:val="20"/>
                <w:szCs w:val="20"/>
                <w:lang w:eastAsia="en-AU"/>
              </w:rPr>
              <w:t xml:space="preserve">A) </w:t>
            </w:r>
            <w:r w:rsidR="003F4D69" w:rsidRPr="00FA1BCF">
              <w:rPr>
                <w:rFonts w:eastAsia="Times New Roman" w:cs="Times New Roman"/>
                <w:b/>
                <w:sz w:val="20"/>
                <w:szCs w:val="20"/>
                <w:lang w:eastAsia="en-AU"/>
              </w:rPr>
              <w:t xml:space="preserve">  </w:t>
            </w:r>
            <w:r w:rsidRPr="00E436E7">
              <w:rPr>
                <w:rFonts w:eastAsia="Times New Roman" w:cs="Times New Roman"/>
                <w:sz w:val="20"/>
                <w:szCs w:val="20"/>
                <w:lang w:eastAsia="en-AU"/>
              </w:rPr>
              <w:t>The drug must be found to meet each of the following criteria:</w:t>
            </w:r>
          </w:p>
          <w:p w:rsidR="009A15D7" w:rsidRPr="00E436E7" w:rsidRDefault="009A15D7" w:rsidP="00E436E7">
            <w:pPr>
              <w:pStyle w:val="ListParagraph"/>
              <w:numPr>
                <w:ilvl w:val="0"/>
                <w:numId w:val="45"/>
              </w:numPr>
              <w:spacing w:before="100" w:beforeAutospacing="1" w:after="100" w:afterAutospacing="1"/>
              <w:ind w:left="357" w:hanging="357"/>
              <w:contextualSpacing w:val="0"/>
              <w:rPr>
                <w:rFonts w:eastAsia="Times New Roman" w:cs="Times New Roman"/>
                <w:sz w:val="20"/>
                <w:szCs w:val="20"/>
                <w:lang w:eastAsia="en-AU"/>
              </w:rPr>
            </w:pPr>
            <w:r w:rsidRPr="00E436E7">
              <w:rPr>
                <w:rFonts w:eastAsia="Times New Roman" w:cs="Times New Roman"/>
                <w:sz w:val="20"/>
                <w:szCs w:val="20"/>
                <w:lang w:eastAsia="en-AU"/>
              </w:rPr>
              <w:t>There is a rare but clinically definable disease for which the drug is regarded as a proven therapeutic modality, i.e. approved for that indication by the Therapeutic Goods Administration.</w:t>
            </w:r>
          </w:p>
          <w:p w:rsidR="009A15D7" w:rsidRPr="00E436E7" w:rsidRDefault="009A15D7" w:rsidP="00E436E7">
            <w:pPr>
              <w:pStyle w:val="ListParagraph"/>
              <w:numPr>
                <w:ilvl w:val="0"/>
                <w:numId w:val="45"/>
              </w:numPr>
              <w:spacing w:before="100" w:beforeAutospacing="1" w:after="100" w:afterAutospacing="1"/>
              <w:ind w:left="357" w:hanging="357"/>
              <w:contextualSpacing w:val="0"/>
              <w:rPr>
                <w:rFonts w:eastAsia="Times New Roman" w:cs="Times New Roman"/>
                <w:sz w:val="20"/>
                <w:szCs w:val="20"/>
                <w:lang w:eastAsia="en-AU"/>
              </w:rPr>
            </w:pPr>
            <w:r w:rsidRPr="00E436E7">
              <w:rPr>
                <w:rFonts w:eastAsia="Times New Roman" w:cs="Times New Roman"/>
                <w:sz w:val="20"/>
                <w:szCs w:val="20"/>
                <w:lang w:eastAsia="en-AU"/>
              </w:rPr>
              <w:t>The disease is identifiable with reasonable diagnostic precision.</w:t>
            </w:r>
          </w:p>
          <w:p w:rsidR="009A15D7" w:rsidRPr="00E436E7" w:rsidRDefault="009A15D7" w:rsidP="00E436E7">
            <w:pPr>
              <w:pStyle w:val="ListParagraph"/>
              <w:numPr>
                <w:ilvl w:val="0"/>
                <w:numId w:val="45"/>
              </w:numPr>
              <w:spacing w:before="100" w:beforeAutospacing="1" w:after="100" w:afterAutospacing="1"/>
              <w:ind w:left="357" w:hanging="357"/>
              <w:contextualSpacing w:val="0"/>
              <w:rPr>
                <w:rFonts w:eastAsia="Times New Roman" w:cs="Times New Roman"/>
                <w:sz w:val="20"/>
                <w:szCs w:val="20"/>
                <w:lang w:eastAsia="en-AU"/>
              </w:rPr>
            </w:pPr>
            <w:r w:rsidRPr="00E436E7">
              <w:rPr>
                <w:rFonts w:eastAsia="Times New Roman" w:cs="Times New Roman"/>
                <w:sz w:val="20"/>
                <w:szCs w:val="20"/>
                <w:lang w:eastAsia="en-AU"/>
              </w:rPr>
              <w:t>Epidemiological and other studies provide evidence acceptable to the PBAC that the disease causes a significant reduction in age-specific life expectancy for those suffering from the disease.</w:t>
            </w:r>
          </w:p>
          <w:p w:rsidR="009A15D7" w:rsidRPr="00E436E7" w:rsidRDefault="009A15D7" w:rsidP="00E436E7">
            <w:pPr>
              <w:pStyle w:val="ListParagraph"/>
              <w:numPr>
                <w:ilvl w:val="0"/>
                <w:numId w:val="45"/>
              </w:numPr>
              <w:spacing w:before="100" w:beforeAutospacing="1" w:after="100" w:afterAutospacing="1"/>
              <w:ind w:left="357" w:hanging="357"/>
              <w:contextualSpacing w:val="0"/>
              <w:rPr>
                <w:rFonts w:eastAsia="Times New Roman" w:cs="Times New Roman"/>
                <w:sz w:val="20"/>
                <w:szCs w:val="20"/>
                <w:lang w:eastAsia="en-AU"/>
              </w:rPr>
            </w:pPr>
            <w:r w:rsidRPr="00E436E7">
              <w:rPr>
                <w:rFonts w:eastAsia="Times New Roman" w:cs="Times New Roman"/>
                <w:sz w:val="20"/>
                <w:szCs w:val="20"/>
                <w:lang w:eastAsia="en-AU"/>
              </w:rPr>
              <w:t>There is evidence acceptable to the PBAC to predict that a patient’s lifespan will be substantially extended as a direct consequence of the use of the drug.</w:t>
            </w:r>
          </w:p>
          <w:p w:rsidR="009A15D7" w:rsidRPr="00E436E7" w:rsidRDefault="009A15D7" w:rsidP="00E436E7">
            <w:pPr>
              <w:pStyle w:val="ListParagraph"/>
              <w:numPr>
                <w:ilvl w:val="0"/>
                <w:numId w:val="45"/>
              </w:numPr>
              <w:spacing w:before="100" w:beforeAutospacing="1" w:after="100" w:afterAutospacing="1"/>
              <w:ind w:left="357" w:hanging="357"/>
              <w:contextualSpacing w:val="0"/>
              <w:rPr>
                <w:rFonts w:eastAsia="Times New Roman" w:cs="Times New Roman"/>
                <w:sz w:val="20"/>
                <w:szCs w:val="20"/>
                <w:lang w:eastAsia="en-AU"/>
              </w:rPr>
            </w:pPr>
            <w:r w:rsidRPr="00E436E7">
              <w:rPr>
                <w:rFonts w:eastAsia="Times New Roman" w:cs="Times New Roman"/>
                <w:sz w:val="20"/>
                <w:szCs w:val="20"/>
                <w:lang w:eastAsia="en-AU"/>
              </w:rPr>
              <w:t>The drug must be accepted as clinically effective, but rejected for Pharmaceutical Benefits Scheme (PBS) listing because it fails to meet the required cost</w:t>
            </w:r>
            <w:r w:rsidR="00270598" w:rsidRPr="00FA1BCF">
              <w:rPr>
                <w:rFonts w:eastAsia="Times New Roman" w:cs="Times New Roman"/>
                <w:sz w:val="20"/>
                <w:szCs w:val="20"/>
                <w:lang w:eastAsia="en-AU"/>
              </w:rPr>
              <w:t>-</w:t>
            </w:r>
            <w:r w:rsidRPr="00E436E7">
              <w:rPr>
                <w:rFonts w:eastAsia="Times New Roman" w:cs="Times New Roman"/>
                <w:sz w:val="20"/>
                <w:szCs w:val="20"/>
                <w:lang w:eastAsia="en-AU"/>
              </w:rPr>
              <w:t>effectiveness criteria.</w:t>
            </w:r>
          </w:p>
          <w:p w:rsidR="009A15D7" w:rsidRPr="00E436E7" w:rsidRDefault="009A15D7" w:rsidP="00E436E7">
            <w:pPr>
              <w:pStyle w:val="ListParagraph"/>
              <w:numPr>
                <w:ilvl w:val="0"/>
                <w:numId w:val="45"/>
              </w:numPr>
              <w:spacing w:before="100" w:beforeAutospacing="1" w:after="100" w:afterAutospacing="1"/>
              <w:ind w:left="357" w:hanging="357"/>
              <w:contextualSpacing w:val="0"/>
              <w:rPr>
                <w:rFonts w:eastAsia="Times New Roman" w:cs="Times New Roman"/>
                <w:sz w:val="20"/>
                <w:szCs w:val="20"/>
                <w:lang w:eastAsia="en-AU"/>
              </w:rPr>
            </w:pPr>
            <w:r w:rsidRPr="00E436E7">
              <w:rPr>
                <w:rFonts w:eastAsia="Times New Roman" w:cs="Times New Roman"/>
                <w:sz w:val="20"/>
                <w:szCs w:val="20"/>
                <w:lang w:eastAsia="en-AU"/>
              </w:rPr>
              <w:t>There is no alternative drug listed on the PBS or available for public hospital in-patients which can be used as life</w:t>
            </w:r>
            <w:r w:rsidR="00270598" w:rsidRPr="00FA1BCF">
              <w:rPr>
                <w:rFonts w:eastAsia="Times New Roman" w:cs="Times New Roman"/>
                <w:sz w:val="20"/>
                <w:szCs w:val="20"/>
                <w:lang w:eastAsia="en-AU"/>
              </w:rPr>
              <w:t>-</w:t>
            </w:r>
            <w:r w:rsidRPr="00E436E7">
              <w:rPr>
                <w:rFonts w:eastAsia="Times New Roman" w:cs="Times New Roman"/>
                <w:sz w:val="20"/>
                <w:szCs w:val="20"/>
                <w:lang w:eastAsia="en-AU"/>
              </w:rPr>
              <w:t>saving treatment for the disease. However, the availability of an alternative drug under the LSDP does not disqualify the proposed drug from consideration for the LSDP.</w:t>
            </w:r>
          </w:p>
          <w:p w:rsidR="009A15D7" w:rsidRPr="00E436E7" w:rsidRDefault="009A15D7" w:rsidP="00E436E7">
            <w:pPr>
              <w:pStyle w:val="ListParagraph"/>
              <w:numPr>
                <w:ilvl w:val="0"/>
                <w:numId w:val="45"/>
              </w:numPr>
              <w:spacing w:before="100" w:beforeAutospacing="1" w:after="100" w:afterAutospacing="1"/>
              <w:ind w:left="357" w:hanging="357"/>
              <w:contextualSpacing w:val="0"/>
              <w:rPr>
                <w:rFonts w:eastAsia="Times New Roman" w:cs="Times New Roman"/>
                <w:sz w:val="20"/>
                <w:szCs w:val="20"/>
                <w:lang w:eastAsia="en-AU"/>
              </w:rPr>
            </w:pPr>
            <w:r w:rsidRPr="00E436E7">
              <w:rPr>
                <w:rFonts w:eastAsia="Times New Roman" w:cs="Times New Roman"/>
                <w:sz w:val="20"/>
                <w:szCs w:val="20"/>
                <w:lang w:eastAsia="en-AU"/>
              </w:rPr>
              <w:lastRenderedPageBreak/>
              <w:t xml:space="preserve">There is no alternative non-drug therapeutic modality (e.g. </w:t>
            </w:r>
            <w:r w:rsidR="003F4D69" w:rsidRPr="00FA1BCF">
              <w:rPr>
                <w:rFonts w:eastAsia="Times New Roman" w:cs="Times New Roman"/>
                <w:sz w:val="20"/>
                <w:szCs w:val="20"/>
                <w:lang w:eastAsia="en-AU"/>
              </w:rPr>
              <w:t>s</w:t>
            </w:r>
            <w:r w:rsidRPr="00E436E7">
              <w:rPr>
                <w:rFonts w:eastAsia="Times New Roman" w:cs="Times New Roman"/>
                <w:sz w:val="20"/>
                <w:szCs w:val="20"/>
                <w:lang w:eastAsia="en-AU"/>
              </w:rPr>
              <w:t>urgery, radiotherapy) which is recognised by medical authorities as a suitable and cost</w:t>
            </w:r>
            <w:r w:rsidR="003F4D69" w:rsidRPr="00FA1BCF">
              <w:rPr>
                <w:rFonts w:eastAsia="Times New Roman" w:cs="Times New Roman"/>
                <w:sz w:val="20"/>
                <w:szCs w:val="20"/>
                <w:lang w:eastAsia="en-AU"/>
              </w:rPr>
              <w:t>-</w:t>
            </w:r>
            <w:r w:rsidRPr="00E436E7">
              <w:rPr>
                <w:rFonts w:eastAsia="Times New Roman" w:cs="Times New Roman"/>
                <w:sz w:val="20"/>
                <w:szCs w:val="20"/>
                <w:lang w:eastAsia="en-AU"/>
              </w:rPr>
              <w:t>effective treatment for this condition.</w:t>
            </w:r>
          </w:p>
          <w:p w:rsidR="009A15D7" w:rsidRPr="00E436E7" w:rsidRDefault="009A15D7" w:rsidP="00E436E7">
            <w:pPr>
              <w:pStyle w:val="ListParagraph"/>
              <w:numPr>
                <w:ilvl w:val="0"/>
                <w:numId w:val="45"/>
              </w:numPr>
              <w:spacing w:before="100" w:beforeAutospacing="1" w:after="100" w:afterAutospacing="1"/>
              <w:ind w:left="357" w:hanging="357"/>
              <w:contextualSpacing w:val="0"/>
              <w:rPr>
                <w:rFonts w:eastAsia="Times New Roman" w:cs="Times New Roman"/>
                <w:sz w:val="20"/>
                <w:szCs w:val="20"/>
                <w:lang w:eastAsia="en-AU"/>
              </w:rPr>
            </w:pPr>
            <w:r w:rsidRPr="00E436E7">
              <w:rPr>
                <w:rFonts w:eastAsia="Times New Roman" w:cs="Times New Roman"/>
                <w:sz w:val="20"/>
                <w:szCs w:val="20"/>
                <w:lang w:eastAsia="en-AU"/>
              </w:rPr>
              <w:t>The cost of the drug</w:t>
            </w:r>
            <w:r w:rsidR="00270598" w:rsidRPr="00FA1BCF">
              <w:rPr>
                <w:rFonts w:eastAsia="Times New Roman" w:cs="Times New Roman"/>
                <w:sz w:val="20"/>
                <w:szCs w:val="20"/>
                <w:lang w:eastAsia="en-AU"/>
              </w:rPr>
              <w:t>,</w:t>
            </w:r>
            <w:r w:rsidRPr="00E436E7">
              <w:rPr>
                <w:rFonts w:eastAsia="Times New Roman" w:cs="Times New Roman"/>
                <w:sz w:val="20"/>
                <w:szCs w:val="20"/>
                <w:lang w:eastAsia="en-AU"/>
              </w:rPr>
              <w:t xml:space="preserve"> defined as the cost per dose multiplied by the expected number </w:t>
            </w:r>
            <w:r w:rsidR="00270598" w:rsidRPr="00FA1BCF">
              <w:rPr>
                <w:rFonts w:eastAsia="Times New Roman" w:cs="Times New Roman"/>
                <w:sz w:val="20"/>
                <w:szCs w:val="20"/>
                <w:lang w:eastAsia="en-AU"/>
              </w:rPr>
              <w:t>o</w:t>
            </w:r>
            <w:r w:rsidRPr="00E436E7">
              <w:rPr>
                <w:rFonts w:eastAsia="Times New Roman" w:cs="Times New Roman"/>
                <w:sz w:val="20"/>
                <w:szCs w:val="20"/>
                <w:lang w:eastAsia="en-AU"/>
              </w:rPr>
              <w:t>f doses in one year for the patient, would constitute an unreasonable financial burden on the patient or his/her guardian.</w:t>
            </w:r>
          </w:p>
          <w:p w:rsidR="009A15D7" w:rsidRPr="00E436E7" w:rsidRDefault="009A15D7" w:rsidP="00E436E7">
            <w:pPr>
              <w:spacing w:before="100" w:beforeAutospacing="1" w:after="100" w:afterAutospacing="1"/>
              <w:ind w:left="357" w:hanging="357"/>
              <w:rPr>
                <w:rFonts w:eastAsia="Times New Roman" w:cs="Times New Roman"/>
                <w:sz w:val="20"/>
                <w:szCs w:val="20"/>
                <w:lang w:eastAsia="en-AU"/>
              </w:rPr>
            </w:pPr>
            <w:r w:rsidRPr="00E436E7">
              <w:rPr>
                <w:rFonts w:eastAsia="Times New Roman" w:cs="Times New Roman"/>
                <w:b/>
                <w:sz w:val="20"/>
                <w:szCs w:val="20"/>
                <w:lang w:eastAsia="en-AU"/>
              </w:rPr>
              <w:t xml:space="preserve">B) </w:t>
            </w:r>
            <w:r w:rsidR="003F4D69" w:rsidRPr="00FA1BCF">
              <w:rPr>
                <w:rFonts w:eastAsia="Times New Roman" w:cs="Times New Roman"/>
                <w:b/>
                <w:sz w:val="20"/>
                <w:szCs w:val="20"/>
                <w:lang w:eastAsia="en-AU"/>
              </w:rPr>
              <w:t xml:space="preserve">  </w:t>
            </w:r>
            <w:r w:rsidRPr="00E436E7">
              <w:rPr>
                <w:rFonts w:eastAsia="Times New Roman" w:cs="Times New Roman"/>
                <w:sz w:val="20"/>
                <w:szCs w:val="20"/>
                <w:lang w:eastAsia="en-AU"/>
              </w:rPr>
              <w:t xml:space="preserve">Consideration and advice will also be provided by the </w:t>
            </w:r>
            <w:r w:rsidR="00270598" w:rsidRPr="00FA1BCF">
              <w:rPr>
                <w:rFonts w:eastAsia="Times New Roman" w:cs="Times New Roman"/>
                <w:sz w:val="20"/>
                <w:szCs w:val="20"/>
                <w:lang w:eastAsia="en-AU"/>
              </w:rPr>
              <w:t>PBAC</w:t>
            </w:r>
            <w:r w:rsidRPr="00E436E7">
              <w:rPr>
                <w:rFonts w:eastAsia="Times New Roman" w:cs="Times New Roman"/>
                <w:sz w:val="20"/>
                <w:szCs w:val="20"/>
                <w:lang w:eastAsia="en-AU"/>
              </w:rPr>
              <w:t xml:space="preserve">, if applicable, on: </w:t>
            </w:r>
          </w:p>
          <w:p w:rsidR="003F4D69" w:rsidRPr="00E436E7" w:rsidRDefault="009A15D7" w:rsidP="00E436E7">
            <w:pPr>
              <w:pStyle w:val="ListParagraph"/>
              <w:numPr>
                <w:ilvl w:val="0"/>
                <w:numId w:val="47"/>
              </w:numPr>
              <w:spacing w:before="100" w:beforeAutospacing="1" w:after="100" w:afterAutospacing="1"/>
              <w:contextualSpacing w:val="0"/>
              <w:rPr>
                <w:rFonts w:eastAsia="Times New Roman" w:cs="Times New Roman"/>
                <w:sz w:val="20"/>
                <w:szCs w:val="20"/>
                <w:lang w:eastAsia="en-AU"/>
              </w:rPr>
            </w:pPr>
            <w:r w:rsidRPr="00E436E7">
              <w:rPr>
                <w:rFonts w:eastAsia="Times New Roman" w:cs="Times New Roman"/>
                <w:sz w:val="20"/>
                <w:szCs w:val="20"/>
                <w:lang w:eastAsia="en-AU"/>
              </w:rPr>
              <w:t xml:space="preserve">The proposed price of the drug compared with the effective price of the drug in comparable overseas markets. </w:t>
            </w:r>
          </w:p>
          <w:p w:rsidR="009A15D7" w:rsidRPr="00E436E7" w:rsidRDefault="009A15D7" w:rsidP="00E436E7">
            <w:pPr>
              <w:pStyle w:val="ListParagraph"/>
              <w:numPr>
                <w:ilvl w:val="0"/>
                <w:numId w:val="47"/>
              </w:numPr>
              <w:spacing w:before="100" w:beforeAutospacing="1" w:after="100" w:afterAutospacing="1"/>
              <w:contextualSpacing w:val="0"/>
              <w:rPr>
                <w:rFonts w:eastAsia="Times New Roman" w:cs="Times New Roman"/>
                <w:b/>
                <w:sz w:val="20"/>
                <w:szCs w:val="20"/>
                <w:lang w:eastAsia="en-AU"/>
              </w:rPr>
            </w:pPr>
            <w:r w:rsidRPr="00E436E7">
              <w:rPr>
                <w:rFonts w:eastAsia="Times New Roman" w:cs="Times New Roman"/>
                <w:sz w:val="20"/>
                <w:szCs w:val="20"/>
                <w:lang w:eastAsia="en-AU"/>
              </w:rPr>
              <w:t>The proposed cost of the drug compared with the cost of comparable drugs, if any, that are already funded through the LSDP.</w:t>
            </w:r>
          </w:p>
        </w:tc>
        <w:tc>
          <w:tcPr>
            <w:tcW w:w="3072" w:type="dxa"/>
          </w:tcPr>
          <w:p w:rsidR="009A15D7" w:rsidRPr="00E436E7" w:rsidRDefault="009A15D7" w:rsidP="00270598">
            <w:pPr>
              <w:rPr>
                <w:rFonts w:eastAsia="Times New Roman" w:cs="Times New Roman"/>
                <w:sz w:val="20"/>
                <w:szCs w:val="20"/>
                <w:lang w:eastAsia="en-AU"/>
              </w:rPr>
            </w:pPr>
            <w:r w:rsidRPr="00E436E7">
              <w:rPr>
                <w:rFonts w:eastAsia="Times New Roman" w:cs="Times New Roman"/>
                <w:sz w:val="20"/>
                <w:szCs w:val="20"/>
                <w:lang w:eastAsia="en-AU"/>
              </w:rPr>
              <w:lastRenderedPageBreak/>
              <w:t xml:space="preserve">The drug must be found to meet </w:t>
            </w:r>
            <w:r w:rsidRPr="00FA1BCF">
              <w:rPr>
                <w:rFonts w:eastAsia="Times New Roman" w:cs="Times New Roman"/>
                <w:szCs w:val="24"/>
                <w:lang w:eastAsia="en-AU"/>
              </w:rPr>
              <w:t xml:space="preserve">each </w:t>
            </w:r>
            <w:r w:rsidRPr="00E436E7">
              <w:rPr>
                <w:rFonts w:eastAsia="Times New Roman" w:cs="Times New Roman"/>
                <w:sz w:val="20"/>
                <w:szCs w:val="20"/>
                <w:lang w:eastAsia="en-AU"/>
              </w:rPr>
              <w:t>of the following criteria:</w:t>
            </w:r>
          </w:p>
          <w:p w:rsidR="009A15D7" w:rsidRPr="00E436E7" w:rsidRDefault="009A15D7" w:rsidP="00E436E7">
            <w:pPr>
              <w:pStyle w:val="ListParagraph"/>
              <w:numPr>
                <w:ilvl w:val="0"/>
                <w:numId w:val="42"/>
              </w:numPr>
              <w:spacing w:before="100" w:beforeAutospacing="1" w:after="100" w:afterAutospacing="1"/>
              <w:ind w:left="357" w:hanging="357"/>
              <w:contextualSpacing w:val="0"/>
              <w:rPr>
                <w:rFonts w:eastAsia="Times New Roman" w:cs="Times New Roman"/>
                <w:sz w:val="20"/>
                <w:szCs w:val="20"/>
                <w:lang w:eastAsia="en-AU"/>
              </w:rPr>
            </w:pPr>
            <w:r w:rsidRPr="00E436E7">
              <w:rPr>
                <w:rFonts w:eastAsia="Times New Roman" w:cs="Times New Roman"/>
                <w:sz w:val="20"/>
                <w:szCs w:val="20"/>
                <w:lang w:eastAsia="en-AU"/>
              </w:rPr>
              <w:t xml:space="preserve">There is a rare but clinically definable chronic progressive disease for which the medicine is </w:t>
            </w:r>
            <w:r w:rsidR="00D72030">
              <w:rPr>
                <w:rFonts w:eastAsia="Times New Roman" w:cs="Times New Roman"/>
                <w:sz w:val="20"/>
                <w:szCs w:val="20"/>
                <w:lang w:eastAsia="en-AU"/>
              </w:rPr>
              <w:t>register</w:t>
            </w:r>
            <w:r w:rsidRPr="00E436E7">
              <w:rPr>
                <w:rFonts w:eastAsia="Times New Roman" w:cs="Times New Roman"/>
                <w:sz w:val="20"/>
                <w:szCs w:val="20"/>
                <w:lang w:eastAsia="en-AU"/>
              </w:rPr>
              <w:t>ed for that indication by the Therapeutic Goods Administration</w:t>
            </w:r>
            <w:r w:rsidR="00270598" w:rsidRPr="00FA1BCF">
              <w:rPr>
                <w:rFonts w:eastAsia="Times New Roman" w:cs="Times New Roman"/>
                <w:sz w:val="20"/>
                <w:szCs w:val="20"/>
                <w:lang w:eastAsia="en-AU"/>
              </w:rPr>
              <w:t>.</w:t>
            </w:r>
          </w:p>
          <w:p w:rsidR="009A15D7" w:rsidRPr="00E436E7" w:rsidRDefault="009A15D7" w:rsidP="00E436E7">
            <w:pPr>
              <w:pStyle w:val="ListParagraph"/>
              <w:numPr>
                <w:ilvl w:val="0"/>
                <w:numId w:val="42"/>
              </w:numPr>
              <w:spacing w:before="100" w:beforeAutospacing="1" w:after="100" w:afterAutospacing="1"/>
              <w:ind w:left="357" w:hanging="357"/>
              <w:contextualSpacing w:val="0"/>
              <w:rPr>
                <w:rFonts w:eastAsia="Times New Roman" w:cs="Times New Roman"/>
                <w:sz w:val="20"/>
                <w:szCs w:val="20"/>
                <w:lang w:eastAsia="en-AU"/>
              </w:rPr>
            </w:pPr>
            <w:r w:rsidRPr="00E436E7">
              <w:rPr>
                <w:rFonts w:eastAsia="Times New Roman" w:cs="Times New Roman"/>
                <w:sz w:val="20"/>
                <w:szCs w:val="20"/>
                <w:lang w:eastAsia="en-AU"/>
              </w:rPr>
              <w:t>The disease is identifiable with reasonable diagnostic precision</w:t>
            </w:r>
            <w:r w:rsidR="00270598" w:rsidRPr="00FA1BCF">
              <w:rPr>
                <w:rFonts w:eastAsia="Times New Roman" w:cs="Times New Roman"/>
                <w:sz w:val="20"/>
                <w:szCs w:val="20"/>
                <w:lang w:eastAsia="en-AU"/>
              </w:rPr>
              <w:t>.</w:t>
            </w:r>
          </w:p>
          <w:p w:rsidR="009A15D7" w:rsidRPr="00E436E7" w:rsidRDefault="009A15D7" w:rsidP="00E436E7">
            <w:pPr>
              <w:pStyle w:val="ListParagraph"/>
              <w:numPr>
                <w:ilvl w:val="0"/>
                <w:numId w:val="42"/>
              </w:numPr>
              <w:spacing w:before="100" w:beforeAutospacing="1" w:after="100" w:afterAutospacing="1"/>
              <w:ind w:left="357" w:hanging="357"/>
              <w:contextualSpacing w:val="0"/>
              <w:rPr>
                <w:rFonts w:eastAsia="Times New Roman" w:cs="Times New Roman"/>
                <w:sz w:val="20"/>
                <w:szCs w:val="20"/>
                <w:lang w:eastAsia="en-AU"/>
              </w:rPr>
            </w:pPr>
            <w:r w:rsidRPr="00E436E7">
              <w:rPr>
                <w:rFonts w:eastAsia="Times New Roman" w:cs="Times New Roman"/>
                <w:sz w:val="20"/>
                <w:szCs w:val="20"/>
                <w:lang w:eastAsia="en-AU"/>
              </w:rPr>
              <w:t xml:space="preserve">Epidemiological and other studies provide sound scientific evidence that the disease causes a significant reduction in age-specific life expectancy for those suffering from the disease </w:t>
            </w:r>
            <w:r w:rsidRPr="00E436E7">
              <w:rPr>
                <w:i/>
                <w:sz w:val="20"/>
                <w:szCs w:val="20"/>
              </w:rPr>
              <w:t xml:space="preserve">or significant ongoing disability </w:t>
            </w:r>
            <w:r w:rsidRPr="00E436E7">
              <w:rPr>
                <w:sz w:val="20"/>
                <w:szCs w:val="20"/>
              </w:rPr>
              <w:t>such that the patient would not live independently once the disease was fully manifest</w:t>
            </w:r>
            <w:r w:rsidR="00270598" w:rsidRPr="00FA1BCF">
              <w:rPr>
                <w:sz w:val="20"/>
                <w:szCs w:val="20"/>
              </w:rPr>
              <w:t>.</w:t>
            </w:r>
          </w:p>
          <w:p w:rsidR="009A15D7" w:rsidRPr="00E436E7" w:rsidRDefault="009A15D7" w:rsidP="00E436E7">
            <w:pPr>
              <w:pStyle w:val="ListParagraph"/>
              <w:numPr>
                <w:ilvl w:val="0"/>
                <w:numId w:val="42"/>
              </w:numPr>
              <w:spacing w:before="100" w:beforeAutospacing="1" w:after="100" w:afterAutospacing="1"/>
              <w:ind w:left="357" w:hanging="357"/>
              <w:contextualSpacing w:val="0"/>
              <w:rPr>
                <w:rFonts w:eastAsia="Times New Roman" w:cs="Times New Roman"/>
                <w:sz w:val="20"/>
                <w:szCs w:val="20"/>
                <w:lang w:eastAsia="en-AU"/>
              </w:rPr>
            </w:pPr>
            <w:r w:rsidRPr="00E436E7">
              <w:rPr>
                <w:rFonts w:eastAsia="Times New Roman" w:cs="Times New Roman"/>
                <w:sz w:val="20"/>
                <w:szCs w:val="20"/>
                <w:lang w:eastAsia="en-AU"/>
              </w:rPr>
              <w:t>The PBAC considers that based on sound scientific evidence it is more likely than not that a patient’s lifespan will be substantially extended or the level and duration of disability substantially reduced as a direct consequence of the use of the drug</w:t>
            </w:r>
            <w:r w:rsidR="00270598" w:rsidRPr="00FA1BCF">
              <w:rPr>
                <w:rFonts w:eastAsia="Times New Roman" w:cs="Times New Roman"/>
                <w:sz w:val="20"/>
                <w:szCs w:val="20"/>
                <w:lang w:eastAsia="en-AU"/>
              </w:rPr>
              <w:t>.</w:t>
            </w:r>
          </w:p>
          <w:p w:rsidR="009A15D7" w:rsidRPr="00E436E7" w:rsidRDefault="009A15D7" w:rsidP="00E436E7">
            <w:pPr>
              <w:pStyle w:val="ListParagraph"/>
              <w:numPr>
                <w:ilvl w:val="0"/>
                <w:numId w:val="42"/>
              </w:numPr>
              <w:spacing w:before="100" w:beforeAutospacing="1" w:after="100" w:afterAutospacing="1"/>
              <w:ind w:left="357" w:hanging="357"/>
              <w:contextualSpacing w:val="0"/>
              <w:rPr>
                <w:sz w:val="20"/>
                <w:szCs w:val="20"/>
              </w:rPr>
            </w:pPr>
            <w:r w:rsidRPr="00E436E7">
              <w:rPr>
                <w:sz w:val="20"/>
                <w:szCs w:val="20"/>
              </w:rPr>
              <w:t>That it would not be practical to confirm this through further studies within 5 years because of the rarity and rate of progression of the disease</w:t>
            </w:r>
            <w:r w:rsidR="00270598" w:rsidRPr="00FA1BCF">
              <w:rPr>
                <w:rFonts w:eastAsia="Times New Roman" w:cs="Times New Roman"/>
                <w:sz w:val="20"/>
                <w:szCs w:val="20"/>
                <w:lang w:eastAsia="en-AU"/>
              </w:rPr>
              <w:t>.</w:t>
            </w:r>
          </w:p>
          <w:p w:rsidR="009A15D7" w:rsidRPr="00E436E7" w:rsidRDefault="009A15D7" w:rsidP="00E436E7">
            <w:pPr>
              <w:pStyle w:val="ListParagraph"/>
              <w:numPr>
                <w:ilvl w:val="0"/>
                <w:numId w:val="42"/>
              </w:numPr>
              <w:spacing w:before="100" w:beforeAutospacing="1" w:after="100" w:afterAutospacing="1"/>
              <w:ind w:left="357" w:hanging="357"/>
              <w:contextualSpacing w:val="0"/>
              <w:rPr>
                <w:rFonts w:eastAsia="Times New Roman" w:cs="Times New Roman"/>
                <w:sz w:val="20"/>
                <w:szCs w:val="20"/>
                <w:lang w:eastAsia="en-AU"/>
              </w:rPr>
            </w:pPr>
            <w:r w:rsidRPr="00E436E7">
              <w:rPr>
                <w:rFonts w:eastAsia="Times New Roman" w:cs="Times New Roman"/>
                <w:sz w:val="20"/>
                <w:szCs w:val="20"/>
                <w:lang w:eastAsia="en-AU"/>
              </w:rPr>
              <w:t xml:space="preserve">There is no alternative medicine listed on the PBS or available for public hospital in-patients which can be used as effective treatment for the disease. However, the availability of an alternative medicine under the MRDP </w:t>
            </w:r>
            <w:r w:rsidRPr="00E436E7">
              <w:rPr>
                <w:rFonts w:eastAsia="Times New Roman" w:cs="Times New Roman"/>
                <w:sz w:val="20"/>
                <w:szCs w:val="20"/>
                <w:lang w:eastAsia="en-AU"/>
              </w:rPr>
              <w:lastRenderedPageBreak/>
              <w:t>does not disqualify the proposed medicine from consideration for the MRDP</w:t>
            </w:r>
            <w:r w:rsidR="00270598" w:rsidRPr="00FA1BCF">
              <w:rPr>
                <w:rFonts w:eastAsia="Times New Roman" w:cs="Times New Roman"/>
                <w:sz w:val="20"/>
                <w:szCs w:val="20"/>
                <w:lang w:eastAsia="en-AU"/>
              </w:rPr>
              <w:t>.</w:t>
            </w:r>
          </w:p>
          <w:p w:rsidR="009A15D7" w:rsidRPr="00E436E7" w:rsidRDefault="009A15D7" w:rsidP="00E436E7">
            <w:pPr>
              <w:pStyle w:val="ListParagraph"/>
              <w:numPr>
                <w:ilvl w:val="0"/>
                <w:numId w:val="42"/>
              </w:numPr>
              <w:spacing w:before="100" w:beforeAutospacing="1" w:after="100" w:afterAutospacing="1"/>
              <w:ind w:left="357" w:hanging="357"/>
              <w:contextualSpacing w:val="0"/>
              <w:rPr>
                <w:rFonts w:eastAsia="Times New Roman" w:cs="Times New Roman"/>
                <w:sz w:val="20"/>
                <w:szCs w:val="20"/>
                <w:lang w:eastAsia="en-AU"/>
              </w:rPr>
            </w:pPr>
            <w:r w:rsidRPr="00E436E7">
              <w:rPr>
                <w:rFonts w:eastAsia="Times New Roman" w:cs="Times New Roman"/>
                <w:sz w:val="20"/>
                <w:szCs w:val="20"/>
                <w:lang w:eastAsia="en-AU"/>
              </w:rPr>
              <w:t>There is no alternative non-medicine therapeutic modality (e.g. surgery, radiotherapy) which is recognised by medical authorities as a suitable and cost</w:t>
            </w:r>
            <w:r w:rsidR="00270598" w:rsidRPr="00FA1BCF">
              <w:rPr>
                <w:rFonts w:eastAsia="Times New Roman" w:cs="Times New Roman"/>
                <w:sz w:val="20"/>
                <w:szCs w:val="20"/>
                <w:lang w:eastAsia="en-AU"/>
              </w:rPr>
              <w:t>-</w:t>
            </w:r>
            <w:r w:rsidRPr="00E436E7">
              <w:rPr>
                <w:rFonts w:eastAsia="Times New Roman" w:cs="Times New Roman"/>
                <w:sz w:val="20"/>
                <w:szCs w:val="20"/>
                <w:lang w:eastAsia="en-AU"/>
              </w:rPr>
              <w:t>effective treatment for this condition</w:t>
            </w:r>
            <w:r w:rsidR="00270598" w:rsidRPr="00FA1BCF">
              <w:rPr>
                <w:rFonts w:eastAsia="Times New Roman" w:cs="Times New Roman"/>
                <w:sz w:val="20"/>
                <w:szCs w:val="20"/>
                <w:lang w:eastAsia="en-AU"/>
              </w:rPr>
              <w:t>.</w:t>
            </w:r>
          </w:p>
          <w:p w:rsidR="009A15D7" w:rsidRPr="00E436E7" w:rsidRDefault="009A15D7" w:rsidP="00E436E7">
            <w:pPr>
              <w:pStyle w:val="ListParagraph"/>
              <w:numPr>
                <w:ilvl w:val="0"/>
                <w:numId w:val="42"/>
              </w:numPr>
              <w:spacing w:before="100" w:beforeAutospacing="1" w:after="100" w:afterAutospacing="1"/>
              <w:ind w:left="357" w:hanging="357"/>
              <w:contextualSpacing w:val="0"/>
              <w:rPr>
                <w:rFonts w:eastAsia="Times New Roman" w:cs="Times New Roman"/>
                <w:sz w:val="20"/>
                <w:szCs w:val="20"/>
                <w:lang w:eastAsia="en-AU"/>
              </w:rPr>
            </w:pPr>
            <w:r w:rsidRPr="00E436E7">
              <w:rPr>
                <w:rFonts w:eastAsia="Times New Roman" w:cs="Times New Roman"/>
                <w:sz w:val="20"/>
                <w:szCs w:val="20"/>
                <w:lang w:eastAsia="en-AU"/>
              </w:rPr>
              <w:t>The cost of the medicine</w:t>
            </w:r>
            <w:r w:rsidR="00270598" w:rsidRPr="00FA1BCF">
              <w:rPr>
                <w:rFonts w:eastAsia="Times New Roman" w:cs="Times New Roman"/>
                <w:sz w:val="20"/>
                <w:szCs w:val="20"/>
                <w:lang w:eastAsia="en-AU"/>
              </w:rPr>
              <w:t>,</w:t>
            </w:r>
            <w:r w:rsidRPr="00E436E7">
              <w:rPr>
                <w:rFonts w:eastAsia="Times New Roman" w:cs="Times New Roman"/>
                <w:sz w:val="20"/>
                <w:szCs w:val="20"/>
                <w:lang w:eastAsia="en-AU"/>
              </w:rPr>
              <w:t xml:space="preserve"> defined as the cost per dose multiplied by the expected number of doses in one year for the patient, would constitute an unreasonable financial burden on the patient or his/her guardian</w:t>
            </w:r>
            <w:r w:rsidR="00270598" w:rsidRPr="00FA1BCF">
              <w:rPr>
                <w:rFonts w:eastAsia="Times New Roman" w:cs="Times New Roman"/>
                <w:sz w:val="20"/>
                <w:szCs w:val="20"/>
                <w:lang w:eastAsia="en-AU"/>
              </w:rPr>
              <w:t>.</w:t>
            </w:r>
          </w:p>
          <w:p w:rsidR="009A15D7" w:rsidRPr="00E436E7" w:rsidRDefault="009A15D7" w:rsidP="00E436E7">
            <w:pPr>
              <w:pStyle w:val="ListParagraph"/>
              <w:numPr>
                <w:ilvl w:val="0"/>
                <w:numId w:val="42"/>
              </w:numPr>
              <w:spacing w:before="100" w:beforeAutospacing="1" w:after="100" w:afterAutospacing="1"/>
              <w:ind w:left="357" w:hanging="357"/>
              <w:contextualSpacing w:val="0"/>
              <w:rPr>
                <w:rFonts w:eastAsia="Times New Roman" w:cs="Times New Roman"/>
                <w:sz w:val="20"/>
                <w:szCs w:val="20"/>
                <w:lang w:eastAsia="en-AU"/>
              </w:rPr>
            </w:pPr>
            <w:r w:rsidRPr="00E436E7">
              <w:rPr>
                <w:rFonts w:eastAsia="Times New Roman" w:cs="Times New Roman"/>
                <w:sz w:val="20"/>
                <w:szCs w:val="20"/>
                <w:lang w:eastAsia="en-AU"/>
              </w:rPr>
              <w:t xml:space="preserve">The sponsoring company demonstrates it is undertaking an ongoing </w:t>
            </w:r>
            <w:r w:rsidR="00270598" w:rsidRPr="00FA1BCF">
              <w:rPr>
                <w:rFonts w:eastAsia="Times New Roman" w:cs="Times New Roman"/>
                <w:sz w:val="20"/>
                <w:szCs w:val="20"/>
                <w:lang w:eastAsia="en-AU"/>
              </w:rPr>
              <w:t>p</w:t>
            </w:r>
            <w:r w:rsidRPr="00E436E7">
              <w:rPr>
                <w:rFonts w:eastAsia="Times New Roman" w:cs="Times New Roman"/>
                <w:sz w:val="20"/>
                <w:szCs w:val="20"/>
                <w:lang w:eastAsia="en-AU"/>
              </w:rPr>
              <w:t>rogramme to clarify the clinical benefits or agrees to actively participate in and financially support such a program</w:t>
            </w:r>
            <w:r w:rsidR="00270598" w:rsidRPr="00FA1BCF">
              <w:rPr>
                <w:rFonts w:eastAsia="Times New Roman" w:cs="Times New Roman"/>
                <w:sz w:val="20"/>
                <w:szCs w:val="20"/>
                <w:lang w:eastAsia="en-AU"/>
              </w:rPr>
              <w:t>me.</w:t>
            </w:r>
          </w:p>
        </w:tc>
      </w:tr>
    </w:tbl>
    <w:p w:rsidR="00D40857" w:rsidRPr="00FA1BCF" w:rsidRDefault="00D40857" w:rsidP="00CC79FE">
      <w:pPr>
        <w:jc w:val="both"/>
        <w:rPr>
          <w:rFonts w:eastAsia="Times New Roman" w:cs="Times New Roman"/>
          <w:b/>
          <w:szCs w:val="24"/>
          <w:lang w:eastAsia="en-AU"/>
        </w:rPr>
      </w:pPr>
    </w:p>
    <w:p w:rsidR="00CC79FE" w:rsidRPr="00FA1BCF" w:rsidRDefault="00CC79FE" w:rsidP="00E436E7">
      <w:pPr>
        <w:pStyle w:val="Heading2"/>
      </w:pPr>
      <w:bookmarkStart w:id="69" w:name="_Toc302625621"/>
      <w:r w:rsidRPr="00FA1BCF">
        <w:t>7.7 Data collection framework</w:t>
      </w:r>
      <w:bookmarkEnd w:id="69"/>
    </w:p>
    <w:p w:rsidR="00CC79FE" w:rsidRPr="00FA1BCF" w:rsidRDefault="00CC79FE" w:rsidP="00E436E7">
      <w:pPr>
        <w:pStyle w:val="Heading3"/>
      </w:pPr>
      <w:bookmarkStart w:id="70" w:name="_Toc302625622"/>
      <w:r w:rsidRPr="00FA1BCF">
        <w:t>7.7.1 Need for data collection</w:t>
      </w:r>
      <w:bookmarkEnd w:id="70"/>
    </w:p>
    <w:p w:rsidR="00CC79FE" w:rsidRPr="00FA1BCF" w:rsidRDefault="003F43B9" w:rsidP="00CC79FE">
      <w:pPr>
        <w:jc w:val="both"/>
        <w:rPr>
          <w:rFonts w:eastAsia="Times New Roman" w:cs="Times New Roman"/>
          <w:szCs w:val="24"/>
          <w:lang w:eastAsia="en-AU"/>
        </w:rPr>
      </w:pPr>
      <w:r w:rsidRPr="00FA1BCF">
        <w:rPr>
          <w:rFonts w:eastAsia="Times New Roman" w:cs="Times New Roman"/>
          <w:szCs w:val="24"/>
          <w:lang w:eastAsia="en-AU"/>
        </w:rPr>
        <w:t>All parties acknowledged that r</w:t>
      </w:r>
      <w:r w:rsidR="00CC79FE" w:rsidRPr="00FA1BCF">
        <w:rPr>
          <w:rFonts w:eastAsia="Times New Roman" w:cs="Times New Roman"/>
          <w:szCs w:val="24"/>
          <w:lang w:eastAsia="en-AU"/>
        </w:rPr>
        <w:t>are diseases are plagued with lack of information</w:t>
      </w:r>
      <w:r w:rsidR="00386D8F" w:rsidRPr="00FA1BCF">
        <w:rPr>
          <w:rFonts w:eastAsia="Times New Roman" w:cs="Times New Roman"/>
          <w:szCs w:val="24"/>
          <w:lang w:eastAsia="en-AU"/>
        </w:rPr>
        <w:t>,</w:t>
      </w:r>
      <w:r w:rsidR="00CC79FE" w:rsidRPr="00FA1BCF">
        <w:rPr>
          <w:rFonts w:eastAsia="Times New Roman" w:cs="Times New Roman"/>
          <w:szCs w:val="24"/>
          <w:lang w:eastAsia="en-AU"/>
        </w:rPr>
        <w:t xml:space="preserve"> whether </w:t>
      </w:r>
      <w:r w:rsidR="00390443" w:rsidRPr="00FA1BCF">
        <w:rPr>
          <w:rFonts w:eastAsia="Times New Roman" w:cs="Times New Roman"/>
          <w:szCs w:val="24"/>
          <w:lang w:eastAsia="en-AU"/>
        </w:rPr>
        <w:t xml:space="preserve">about </w:t>
      </w:r>
      <w:r w:rsidR="00CC79FE" w:rsidRPr="00FA1BCF">
        <w:rPr>
          <w:rFonts w:eastAsia="Times New Roman" w:cs="Times New Roman"/>
          <w:szCs w:val="24"/>
          <w:lang w:eastAsia="en-AU"/>
        </w:rPr>
        <w:t xml:space="preserve">the natural history of the disease, the clinical evidence, </w:t>
      </w:r>
      <w:proofErr w:type="gramStart"/>
      <w:r w:rsidR="00CC79FE" w:rsidRPr="00FA1BCF">
        <w:rPr>
          <w:rFonts w:eastAsia="Times New Roman" w:cs="Times New Roman"/>
          <w:szCs w:val="24"/>
          <w:lang w:eastAsia="en-AU"/>
        </w:rPr>
        <w:t>the</w:t>
      </w:r>
      <w:proofErr w:type="gramEnd"/>
      <w:r w:rsidR="00CC79FE" w:rsidRPr="00FA1BCF">
        <w:rPr>
          <w:rFonts w:eastAsia="Times New Roman" w:cs="Times New Roman"/>
          <w:szCs w:val="24"/>
          <w:lang w:eastAsia="en-AU"/>
        </w:rPr>
        <w:t xml:space="preserve"> possibility of dose variation</w:t>
      </w:r>
      <w:r w:rsidR="00390443" w:rsidRPr="00FA1BCF">
        <w:rPr>
          <w:rFonts w:eastAsia="Times New Roman" w:cs="Times New Roman"/>
          <w:szCs w:val="24"/>
          <w:lang w:eastAsia="en-AU"/>
        </w:rPr>
        <w:t xml:space="preserve"> or some </w:t>
      </w:r>
      <w:r w:rsidR="00CC79FE" w:rsidRPr="00FA1BCF">
        <w:rPr>
          <w:rFonts w:eastAsia="Times New Roman" w:cs="Times New Roman"/>
          <w:szCs w:val="24"/>
          <w:lang w:eastAsia="en-AU"/>
        </w:rPr>
        <w:t>other</w:t>
      </w:r>
      <w:r w:rsidR="00390443" w:rsidRPr="00FA1BCF">
        <w:rPr>
          <w:rFonts w:eastAsia="Times New Roman" w:cs="Times New Roman"/>
          <w:szCs w:val="24"/>
          <w:lang w:eastAsia="en-AU"/>
        </w:rPr>
        <w:t xml:space="preserve"> element</w:t>
      </w:r>
      <w:r w:rsidR="00CC79FE" w:rsidRPr="00FA1BCF">
        <w:rPr>
          <w:rFonts w:eastAsia="Times New Roman" w:cs="Times New Roman"/>
          <w:szCs w:val="24"/>
          <w:lang w:eastAsia="en-AU"/>
        </w:rPr>
        <w:t xml:space="preserve">. </w:t>
      </w:r>
      <w:r w:rsidRPr="00FA1BCF">
        <w:rPr>
          <w:rFonts w:eastAsia="Times New Roman" w:cs="Times New Roman"/>
          <w:szCs w:val="24"/>
          <w:lang w:eastAsia="en-AU"/>
        </w:rPr>
        <w:t>There was a general consensus that more s</w:t>
      </w:r>
      <w:r w:rsidR="00CC79FE" w:rsidRPr="00FA1BCF">
        <w:rPr>
          <w:rFonts w:eastAsia="Times New Roman" w:cs="Times New Roman"/>
          <w:szCs w:val="24"/>
          <w:lang w:eastAsia="en-AU"/>
        </w:rPr>
        <w:t xml:space="preserve">ystematic collection of data would assist in this area. Increased information would assist in managing the costs of the </w:t>
      </w:r>
      <w:r w:rsidR="00A26B5E" w:rsidRPr="00FA1BCF">
        <w:rPr>
          <w:rFonts w:eastAsia="Times New Roman" w:cs="Times New Roman"/>
          <w:szCs w:val="24"/>
          <w:lang w:eastAsia="en-AU"/>
        </w:rPr>
        <w:t xml:space="preserve">medicines </w:t>
      </w:r>
      <w:r w:rsidR="00CC79FE" w:rsidRPr="00FA1BCF">
        <w:rPr>
          <w:rFonts w:eastAsia="Times New Roman" w:cs="Times New Roman"/>
          <w:szCs w:val="24"/>
          <w:lang w:eastAsia="en-AU"/>
        </w:rPr>
        <w:t>and add information</w:t>
      </w:r>
      <w:r w:rsidR="00390443" w:rsidRPr="00FA1BCF">
        <w:rPr>
          <w:rFonts w:eastAsia="Times New Roman" w:cs="Times New Roman"/>
          <w:szCs w:val="24"/>
          <w:lang w:eastAsia="en-AU"/>
        </w:rPr>
        <w:t xml:space="preserve"> and evidence</w:t>
      </w:r>
      <w:r w:rsidR="00CC79FE" w:rsidRPr="00FA1BCF">
        <w:rPr>
          <w:rFonts w:eastAsia="Times New Roman" w:cs="Times New Roman"/>
          <w:szCs w:val="24"/>
          <w:lang w:eastAsia="en-AU"/>
        </w:rPr>
        <w:t xml:space="preserve"> about health benefits, the need and frequency of administrating the treatment, dosing by body weight, the therapeutic equivalence where more than one medicine in the same class is available, and clarification of when patients are not responding to treatment. </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 xml:space="preserve">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sought views from the public on how clinicians and/or companies may be encouraged to fill in the information gaps and to what extent public subsidy of the </w:t>
      </w:r>
      <w:r w:rsidR="009A438D" w:rsidRPr="00FA1BCF">
        <w:rPr>
          <w:rFonts w:eastAsia="Times New Roman" w:cs="Times New Roman"/>
          <w:szCs w:val="24"/>
          <w:lang w:eastAsia="en-AU"/>
        </w:rPr>
        <w:t>medicine</w:t>
      </w:r>
      <w:r w:rsidR="00390443" w:rsidRPr="00FA1BCF">
        <w:rPr>
          <w:rFonts w:eastAsia="Times New Roman" w:cs="Times New Roman"/>
          <w:szCs w:val="24"/>
          <w:lang w:eastAsia="en-AU"/>
        </w:rPr>
        <w:t xml:space="preserve"> should</w:t>
      </w:r>
      <w:r w:rsidR="009A438D" w:rsidRPr="00FA1BCF">
        <w:rPr>
          <w:rFonts w:eastAsia="Times New Roman" w:cs="Times New Roman"/>
          <w:szCs w:val="24"/>
          <w:lang w:eastAsia="en-AU"/>
        </w:rPr>
        <w:t xml:space="preserve"> </w:t>
      </w:r>
      <w:r w:rsidRPr="00FA1BCF">
        <w:rPr>
          <w:rFonts w:eastAsia="Times New Roman" w:cs="Times New Roman"/>
          <w:szCs w:val="24"/>
          <w:lang w:eastAsia="en-AU"/>
        </w:rPr>
        <w:t xml:space="preserve">be tied to companies and/or clinicians undertaking the research. </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 xml:space="preserve">Public submissions received and separate stakeholder comments at the </w:t>
      </w:r>
      <w:r w:rsidR="000009B8" w:rsidRPr="00FA1BCF">
        <w:t>Consumers Health Forum of Australia</w:t>
      </w:r>
      <w:r w:rsidR="00CA0894">
        <w:rPr>
          <w:rFonts w:eastAsia="Times New Roman" w:cs="Times New Roman"/>
          <w:szCs w:val="24"/>
          <w:lang w:eastAsia="en-AU"/>
        </w:rPr>
        <w:t xml:space="preserve"> </w:t>
      </w:r>
      <w:r w:rsidR="000009B8" w:rsidRPr="00FA1BCF">
        <w:rPr>
          <w:rFonts w:eastAsia="Times New Roman" w:cs="Times New Roman"/>
          <w:szCs w:val="24"/>
          <w:lang w:eastAsia="en-AU"/>
        </w:rPr>
        <w:t>(</w:t>
      </w:r>
      <w:r w:rsidR="00BE3373" w:rsidRPr="00FA1BCF">
        <w:rPr>
          <w:rFonts w:eastAsia="Times New Roman" w:cs="Times New Roman"/>
          <w:szCs w:val="24"/>
          <w:lang w:eastAsia="en-AU"/>
        </w:rPr>
        <w:t>CHF</w:t>
      </w:r>
      <w:r w:rsidR="000009B8" w:rsidRPr="00FA1BCF">
        <w:rPr>
          <w:rFonts w:eastAsia="Times New Roman" w:cs="Times New Roman"/>
          <w:szCs w:val="24"/>
          <w:lang w:eastAsia="en-AU"/>
        </w:rPr>
        <w:t xml:space="preserve">) </w:t>
      </w:r>
      <w:r w:rsidRPr="00FA1BCF">
        <w:rPr>
          <w:rFonts w:eastAsia="Times New Roman" w:cs="Times New Roman"/>
          <w:szCs w:val="24"/>
          <w:lang w:eastAsia="en-AU"/>
        </w:rPr>
        <w:t xml:space="preserve">facilitated workshops indicated broad support for collecting data on rare disease. This was also substantiated in the </w:t>
      </w:r>
      <w:r w:rsidR="00BE3373" w:rsidRPr="00FA1BCF">
        <w:rPr>
          <w:rFonts w:eastAsia="Times New Roman" w:cs="Times New Roman"/>
          <w:szCs w:val="24"/>
          <w:lang w:eastAsia="en-AU"/>
        </w:rPr>
        <w:t>CHF-</w:t>
      </w:r>
      <w:r w:rsidRPr="00FA1BCF">
        <w:rPr>
          <w:rFonts w:eastAsia="Times New Roman" w:cs="Times New Roman"/>
          <w:szCs w:val="24"/>
          <w:lang w:eastAsia="en-AU"/>
        </w:rPr>
        <w:t>led online survey.</w:t>
      </w:r>
      <w:r w:rsidR="00B56F35" w:rsidRPr="00FA1BCF">
        <w:rPr>
          <w:rFonts w:eastAsia="Times New Roman" w:cs="Times New Roman"/>
          <w:szCs w:val="24"/>
          <w:lang w:eastAsia="en-AU"/>
        </w:rPr>
        <w:t xml:space="preserve"> </w:t>
      </w:r>
      <w:r w:rsidRPr="00FA1BCF">
        <w:rPr>
          <w:rFonts w:eastAsia="Times New Roman" w:cs="Times New Roman"/>
          <w:szCs w:val="24"/>
          <w:lang w:eastAsia="en-AU"/>
        </w:rPr>
        <w:t xml:space="preserve">The </w:t>
      </w:r>
      <w:r w:rsidR="00BE3373" w:rsidRPr="00FA1BCF">
        <w:rPr>
          <w:rFonts w:eastAsia="Times New Roman" w:cs="Times New Roman"/>
          <w:szCs w:val="24"/>
          <w:lang w:eastAsia="en-AU"/>
        </w:rPr>
        <w:t xml:space="preserve">CHF </w:t>
      </w:r>
      <w:r w:rsidRPr="00FA1BCF">
        <w:rPr>
          <w:rFonts w:eastAsia="Times New Roman" w:cs="Times New Roman"/>
          <w:szCs w:val="24"/>
          <w:lang w:eastAsia="en-AU"/>
        </w:rPr>
        <w:t xml:space="preserve">report on </w:t>
      </w:r>
      <w:r w:rsidRPr="00FA1BCF">
        <w:rPr>
          <w:rFonts w:eastAsia="Times New Roman" w:cs="Times New Roman"/>
          <w:szCs w:val="24"/>
          <w:lang w:eastAsia="en-AU"/>
        </w:rPr>
        <w:lastRenderedPageBreak/>
        <w:t xml:space="preserve">terms of reference 4 and 7 is available at </w:t>
      </w:r>
      <w:r w:rsidRPr="00FA1BCF">
        <w:rPr>
          <w:rFonts w:eastAsia="Times New Roman" w:cs="Times New Roman"/>
          <w:b/>
          <w:szCs w:val="24"/>
          <w:lang w:eastAsia="en-AU"/>
        </w:rPr>
        <w:t xml:space="preserve">Appendix </w:t>
      </w:r>
      <w:r w:rsidR="00FC7E6D" w:rsidRPr="00FA1BCF">
        <w:rPr>
          <w:rFonts w:eastAsia="Times New Roman" w:cs="Times New Roman"/>
          <w:b/>
          <w:szCs w:val="24"/>
          <w:lang w:eastAsia="en-AU"/>
        </w:rPr>
        <w:t>B</w:t>
      </w:r>
      <w:r w:rsidRPr="00FA1BCF">
        <w:rPr>
          <w:rFonts w:eastAsia="Times New Roman" w:cs="Times New Roman"/>
          <w:szCs w:val="24"/>
          <w:lang w:eastAsia="en-AU"/>
        </w:rPr>
        <w:t>. Stakeholder sentiments on data collection are also discussed at item 6.</w:t>
      </w:r>
      <w:r w:rsidR="00FC7E6D" w:rsidRPr="00FA1BCF">
        <w:rPr>
          <w:rFonts w:eastAsia="Times New Roman" w:cs="Times New Roman"/>
          <w:szCs w:val="24"/>
          <w:lang w:eastAsia="en-AU"/>
        </w:rPr>
        <w:t>3</w:t>
      </w:r>
      <w:r w:rsidRPr="00FA1BCF">
        <w:rPr>
          <w:rFonts w:eastAsia="Times New Roman" w:cs="Times New Roman"/>
          <w:szCs w:val="24"/>
          <w:lang w:eastAsia="en-AU"/>
        </w:rPr>
        <w:t>.10 of this report.</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There was support to obligate persons receiving treatment to contribute to the data collection registry</w:t>
      </w:r>
      <w:r w:rsidR="00270598" w:rsidRPr="00FA1BCF">
        <w:rPr>
          <w:rFonts w:eastAsia="Times New Roman" w:cs="Times New Roman"/>
          <w:szCs w:val="24"/>
          <w:lang w:eastAsia="en-AU"/>
        </w:rPr>
        <w:t>,</w:t>
      </w:r>
      <w:r w:rsidRPr="00FA1BCF">
        <w:rPr>
          <w:rFonts w:eastAsia="Times New Roman" w:cs="Times New Roman"/>
          <w:szCs w:val="24"/>
          <w:lang w:eastAsia="en-AU"/>
        </w:rPr>
        <w:t xml:space="preserve"> but stakeholders noted that this would not absolve the custodians of the registry from prior informed consent and safeguarding the patients’ privacy.</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Clinicians were generally overcommitted, time poor and/or already doing research in their specialist field. Adequate resourcing was an impediment to having and maintaining data registries that are robust, hold accurate and up</w:t>
      </w:r>
      <w:r w:rsidR="00270598" w:rsidRPr="00FA1BCF">
        <w:rPr>
          <w:rFonts w:eastAsia="Times New Roman" w:cs="Times New Roman"/>
          <w:szCs w:val="24"/>
          <w:lang w:eastAsia="en-AU"/>
        </w:rPr>
        <w:t>-</w:t>
      </w:r>
      <w:r w:rsidRPr="00FA1BCF">
        <w:rPr>
          <w:rFonts w:eastAsia="Times New Roman" w:cs="Times New Roman"/>
          <w:szCs w:val="24"/>
          <w:lang w:eastAsia="en-AU"/>
        </w:rPr>
        <w:t>to date</w:t>
      </w:r>
      <w:r w:rsidR="00270598" w:rsidRPr="00FA1BCF">
        <w:rPr>
          <w:rFonts w:eastAsia="Times New Roman" w:cs="Times New Roman"/>
          <w:szCs w:val="24"/>
          <w:lang w:eastAsia="en-AU"/>
        </w:rPr>
        <w:t>-</w:t>
      </w:r>
      <w:r w:rsidRPr="00FA1BCF">
        <w:rPr>
          <w:rFonts w:eastAsia="Times New Roman" w:cs="Times New Roman"/>
          <w:szCs w:val="24"/>
          <w:lang w:eastAsia="en-AU"/>
        </w:rPr>
        <w:t xml:space="preserve">information and are consistent across all jurisdictions. Consumers were in favour of sponsors partnering with </w:t>
      </w:r>
      <w:r w:rsidR="00270598" w:rsidRPr="00FA1BCF">
        <w:rPr>
          <w:rFonts w:eastAsia="Times New Roman" w:cs="Times New Roman"/>
          <w:szCs w:val="24"/>
          <w:lang w:eastAsia="en-AU"/>
        </w:rPr>
        <w:t>g</w:t>
      </w:r>
      <w:r w:rsidRPr="00FA1BCF">
        <w:rPr>
          <w:rFonts w:eastAsia="Times New Roman" w:cs="Times New Roman"/>
          <w:szCs w:val="24"/>
          <w:lang w:eastAsia="en-AU"/>
        </w:rPr>
        <w:t xml:space="preserve">overnment to resource and collect data. This may come in the form of a levy or part of a managed entry scheme for the drug. Data entry personnel to shift the burden from clinicians or nurses could be included as part of the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entry/subs</w:t>
      </w:r>
      <w:r w:rsidR="00BE3373" w:rsidRPr="00FA1BCF">
        <w:rPr>
          <w:rFonts w:eastAsia="Times New Roman" w:cs="Times New Roman"/>
          <w:szCs w:val="24"/>
          <w:lang w:eastAsia="en-AU"/>
        </w:rPr>
        <w:t>i</w:t>
      </w:r>
      <w:r w:rsidRPr="00FA1BCF">
        <w:rPr>
          <w:rFonts w:eastAsia="Times New Roman" w:cs="Times New Roman"/>
          <w:szCs w:val="24"/>
          <w:lang w:eastAsia="en-AU"/>
        </w:rPr>
        <w:t xml:space="preserve">dy package. Tripartite partnerships between </w:t>
      </w:r>
      <w:r w:rsidR="00270598" w:rsidRPr="00FA1BCF">
        <w:rPr>
          <w:rFonts w:eastAsia="Times New Roman" w:cs="Times New Roman"/>
          <w:szCs w:val="24"/>
          <w:lang w:eastAsia="en-AU"/>
        </w:rPr>
        <w:t>g</w:t>
      </w:r>
      <w:r w:rsidRPr="00FA1BCF">
        <w:rPr>
          <w:rFonts w:eastAsia="Times New Roman" w:cs="Times New Roman"/>
          <w:szCs w:val="24"/>
          <w:lang w:eastAsia="en-AU"/>
        </w:rPr>
        <w:t>overnments</w:t>
      </w:r>
      <w:r w:rsidR="00270598" w:rsidRPr="00FA1BCF">
        <w:rPr>
          <w:rFonts w:eastAsia="Times New Roman" w:cs="Times New Roman"/>
          <w:szCs w:val="24"/>
          <w:lang w:eastAsia="en-AU"/>
        </w:rPr>
        <w:t xml:space="preserve"> and</w:t>
      </w:r>
      <w:r w:rsidRPr="00FA1BCF">
        <w:rPr>
          <w:rFonts w:eastAsia="Times New Roman" w:cs="Times New Roman"/>
          <w:szCs w:val="24"/>
          <w:lang w:eastAsia="en-AU"/>
        </w:rPr>
        <w:t xml:space="preserve"> private or non-government entities were also suggested</w:t>
      </w:r>
      <w:r w:rsidR="00270598" w:rsidRPr="00FA1BCF">
        <w:rPr>
          <w:rFonts w:eastAsia="Times New Roman" w:cs="Times New Roman"/>
          <w:szCs w:val="24"/>
          <w:lang w:eastAsia="en-AU"/>
        </w:rPr>
        <w:t>,</w:t>
      </w:r>
      <w:r w:rsidRPr="00FA1BCF">
        <w:rPr>
          <w:rFonts w:eastAsia="Times New Roman" w:cs="Times New Roman"/>
          <w:szCs w:val="24"/>
          <w:lang w:eastAsia="en-AU"/>
        </w:rPr>
        <w:t xml:space="preserve"> though consumers had no agreement on who might be suited to make up</w:t>
      </w:r>
      <w:r w:rsidR="00270598" w:rsidRPr="00FA1BCF">
        <w:rPr>
          <w:rFonts w:eastAsia="Times New Roman" w:cs="Times New Roman"/>
          <w:szCs w:val="24"/>
          <w:lang w:eastAsia="en-AU"/>
        </w:rPr>
        <w:t>-</w:t>
      </w:r>
      <w:r w:rsidRPr="00FA1BCF">
        <w:rPr>
          <w:rFonts w:eastAsia="Times New Roman" w:cs="Times New Roman"/>
          <w:szCs w:val="24"/>
          <w:lang w:eastAsia="en-AU"/>
        </w:rPr>
        <w:t xml:space="preserve">front investment or maintain the registries once established. </w:t>
      </w:r>
    </w:p>
    <w:p w:rsidR="00CC79FE" w:rsidRPr="00FA1BCF" w:rsidRDefault="00CC79FE" w:rsidP="00E436E7">
      <w:pPr>
        <w:jc w:val="both"/>
        <w:rPr>
          <w:rFonts w:eastAsia="Times New Roman" w:cs="Times New Roman"/>
          <w:b/>
          <w:i/>
          <w:sz w:val="28"/>
          <w:szCs w:val="28"/>
          <w:lang w:eastAsia="en-AU"/>
        </w:rPr>
      </w:pPr>
      <w:r w:rsidRPr="00FA1BCF">
        <w:rPr>
          <w:rFonts w:eastAsia="Times New Roman" w:cs="Times New Roman"/>
          <w:szCs w:val="24"/>
          <w:lang w:eastAsia="en-AU"/>
        </w:rPr>
        <w:t xml:space="preserve">Consumers were wary of entrusting commercially focused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sponsors or other private entities with personal data and other information held in registries. Legal implications about private ownership of pharmaceutical company held information and reluctance to share what may be proprietary data were issues of concern. </w:t>
      </w:r>
    </w:p>
    <w:p w:rsidR="00CC79FE" w:rsidRPr="00FA1BCF" w:rsidRDefault="00CC79FE" w:rsidP="00E436E7">
      <w:pPr>
        <w:pStyle w:val="Heading3"/>
        <w:rPr>
          <w:lang w:eastAsia="en-AU"/>
        </w:rPr>
      </w:pPr>
      <w:bookmarkStart w:id="71" w:name="_Toc302625623"/>
      <w:r w:rsidRPr="00FA1BCF">
        <w:rPr>
          <w:lang w:eastAsia="en-AU"/>
        </w:rPr>
        <w:t>7.7.2 Drug surveillance registry or rare diseases registry</w:t>
      </w:r>
      <w:bookmarkEnd w:id="71"/>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 xml:space="preserve">Chapter 7 of the </w:t>
      </w:r>
      <w:r w:rsidR="00270598" w:rsidRPr="00FA1BCF">
        <w:rPr>
          <w:rFonts w:eastAsia="Times New Roman" w:cs="Times New Roman"/>
          <w:szCs w:val="24"/>
          <w:lang w:eastAsia="en-AU"/>
        </w:rPr>
        <w:t>e</w:t>
      </w:r>
      <w:r w:rsidRPr="00FA1BCF">
        <w:rPr>
          <w:rFonts w:eastAsia="Times New Roman" w:cs="Times New Roman"/>
          <w:szCs w:val="24"/>
          <w:lang w:eastAsia="en-AU"/>
        </w:rPr>
        <w:t>valuator’s report provides a high</w:t>
      </w:r>
      <w:r w:rsidR="00270598" w:rsidRPr="00FA1BCF">
        <w:rPr>
          <w:rFonts w:eastAsia="Times New Roman" w:cs="Times New Roman"/>
          <w:szCs w:val="24"/>
          <w:lang w:eastAsia="en-AU"/>
        </w:rPr>
        <w:t>-</w:t>
      </w:r>
      <w:r w:rsidRPr="00FA1BCF">
        <w:rPr>
          <w:rFonts w:eastAsia="Times New Roman" w:cs="Times New Roman"/>
          <w:szCs w:val="24"/>
          <w:lang w:eastAsia="en-AU"/>
        </w:rPr>
        <w:t xml:space="preserve">level summary of key concepts for collecting data for rare diseases in Australia. According to </w:t>
      </w:r>
      <w:proofErr w:type="spellStart"/>
      <w:r w:rsidRPr="00FA1BCF">
        <w:rPr>
          <w:rFonts w:eastAsia="Times New Roman" w:cs="Times New Roman"/>
          <w:szCs w:val="24"/>
          <w:lang w:eastAsia="en-AU"/>
        </w:rPr>
        <w:t>Gliklich</w:t>
      </w:r>
      <w:proofErr w:type="spellEnd"/>
      <w:r w:rsidRPr="00FA1BCF">
        <w:rPr>
          <w:rFonts w:eastAsia="Times New Roman" w:cs="Times New Roman"/>
          <w:szCs w:val="24"/>
          <w:lang w:eastAsia="en-AU"/>
        </w:rPr>
        <w:t xml:space="preserve"> et al </w:t>
      </w:r>
      <w:r w:rsidR="00935C92" w:rsidRPr="00FA1BCF">
        <w:rPr>
          <w:rFonts w:eastAsia="Times New Roman" w:cs="Times New Roman"/>
          <w:szCs w:val="24"/>
          <w:lang w:eastAsia="en-AU"/>
        </w:rPr>
        <w:t>(</w:t>
      </w:r>
      <w:r w:rsidRPr="00FA1BCF">
        <w:rPr>
          <w:rFonts w:eastAsia="Times New Roman" w:cs="Times New Roman"/>
          <w:szCs w:val="24"/>
          <w:lang w:eastAsia="en-AU"/>
        </w:rPr>
        <w:t>2014</w:t>
      </w:r>
      <w:r w:rsidR="00935C92" w:rsidRPr="00FA1BCF">
        <w:rPr>
          <w:rFonts w:eastAsia="Times New Roman" w:cs="Times New Roman"/>
          <w:szCs w:val="24"/>
          <w:lang w:eastAsia="en-AU"/>
        </w:rPr>
        <w:t>)</w:t>
      </w:r>
      <w:r w:rsidRPr="00FA1BCF">
        <w:rPr>
          <w:rFonts w:eastAsia="Times New Roman" w:cs="Times New Roman"/>
          <w:szCs w:val="24"/>
          <w:lang w:eastAsia="en-AU"/>
        </w:rPr>
        <w:t xml:space="preserve"> there are four key purposes of a rare diseases registry:</w:t>
      </w:r>
    </w:p>
    <w:p w:rsidR="00CC79FE" w:rsidRPr="00FA1BCF" w:rsidRDefault="00CC79FE" w:rsidP="00CC79FE">
      <w:pPr>
        <w:pStyle w:val="ListParagraph"/>
        <w:numPr>
          <w:ilvl w:val="0"/>
          <w:numId w:val="31"/>
        </w:numPr>
        <w:jc w:val="both"/>
        <w:rPr>
          <w:szCs w:val="24"/>
        </w:rPr>
      </w:pPr>
      <w:r w:rsidRPr="00FA1BCF">
        <w:rPr>
          <w:szCs w:val="24"/>
        </w:rPr>
        <w:t>connect affected patients, families and clinicians</w:t>
      </w:r>
    </w:p>
    <w:p w:rsidR="00CC79FE" w:rsidRPr="00FA1BCF" w:rsidRDefault="00CC79FE" w:rsidP="00CC79FE">
      <w:pPr>
        <w:pStyle w:val="ListParagraph"/>
        <w:widowControl w:val="0"/>
        <w:numPr>
          <w:ilvl w:val="0"/>
          <w:numId w:val="31"/>
        </w:numPr>
        <w:jc w:val="both"/>
        <w:rPr>
          <w:szCs w:val="24"/>
        </w:rPr>
      </w:pPr>
      <w:r w:rsidRPr="00FA1BCF">
        <w:rPr>
          <w:szCs w:val="24"/>
        </w:rPr>
        <w:t xml:space="preserve">study the natural history of a disease </w:t>
      </w:r>
    </w:p>
    <w:p w:rsidR="00CC79FE" w:rsidRPr="00FA1BCF" w:rsidRDefault="00CC79FE" w:rsidP="00CC79FE">
      <w:pPr>
        <w:pStyle w:val="ListParagraph"/>
        <w:widowControl w:val="0"/>
        <w:numPr>
          <w:ilvl w:val="0"/>
          <w:numId w:val="31"/>
        </w:numPr>
        <w:jc w:val="both"/>
        <w:rPr>
          <w:szCs w:val="24"/>
        </w:rPr>
      </w:pPr>
      <w:r w:rsidRPr="00FA1BCF">
        <w:rPr>
          <w:szCs w:val="24"/>
        </w:rPr>
        <w:t>support research</w:t>
      </w:r>
    </w:p>
    <w:p w:rsidR="00CC79FE" w:rsidRPr="00E436E7" w:rsidRDefault="00CC79FE" w:rsidP="00E436E7">
      <w:pPr>
        <w:pStyle w:val="ListParagraph"/>
        <w:widowControl w:val="0"/>
        <w:numPr>
          <w:ilvl w:val="0"/>
          <w:numId w:val="31"/>
        </w:numPr>
        <w:jc w:val="both"/>
        <w:rPr>
          <w:rFonts w:eastAsia="Times New Roman" w:cs="Times New Roman"/>
          <w:szCs w:val="24"/>
          <w:lang w:eastAsia="en-AU"/>
        </w:rPr>
      </w:pPr>
      <w:proofErr w:type="gramStart"/>
      <w:r w:rsidRPr="00FA1BCF">
        <w:rPr>
          <w:szCs w:val="24"/>
        </w:rPr>
        <w:t>establish</w:t>
      </w:r>
      <w:proofErr w:type="gramEnd"/>
      <w:r w:rsidRPr="00FA1BCF">
        <w:rPr>
          <w:szCs w:val="24"/>
        </w:rPr>
        <w:t xml:space="preserve"> a patient base for evaluating drugs.</w:t>
      </w:r>
      <w:r w:rsidR="00B56F35" w:rsidRPr="00FA1BCF">
        <w:rPr>
          <w:szCs w:val="24"/>
        </w:rPr>
        <w:t xml:space="preserve"> </w:t>
      </w:r>
    </w:p>
    <w:p w:rsidR="00CC79FE"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The objectives of a drug surveillance registry, on the other hand</w:t>
      </w:r>
      <w:r w:rsidR="00270598" w:rsidRPr="00FA1BCF">
        <w:rPr>
          <w:rFonts w:eastAsia="Times New Roman" w:cs="Times New Roman"/>
          <w:szCs w:val="24"/>
          <w:lang w:eastAsia="en-AU"/>
        </w:rPr>
        <w:t>,</w:t>
      </w:r>
      <w:r w:rsidRPr="00FA1BCF">
        <w:rPr>
          <w:rFonts w:eastAsia="Times New Roman" w:cs="Times New Roman"/>
          <w:szCs w:val="24"/>
          <w:lang w:eastAsia="en-AU"/>
        </w:rPr>
        <w:t xml:space="preserve"> are to:</w:t>
      </w:r>
    </w:p>
    <w:p w:rsidR="00CC79FE" w:rsidRPr="00FA1BCF" w:rsidRDefault="00CC79FE" w:rsidP="00CC79FE">
      <w:pPr>
        <w:pStyle w:val="ListParagraph"/>
        <w:numPr>
          <w:ilvl w:val="0"/>
          <w:numId w:val="31"/>
        </w:numPr>
        <w:jc w:val="both"/>
        <w:rPr>
          <w:szCs w:val="24"/>
        </w:rPr>
      </w:pPr>
      <w:r w:rsidRPr="00FA1BCF">
        <w:rPr>
          <w:szCs w:val="24"/>
        </w:rPr>
        <w:t xml:space="preserve">verify the initial and ongoing eligibility of patients receiving subsidised </w:t>
      </w:r>
      <w:r w:rsidR="00A26B5E" w:rsidRPr="00FA1BCF">
        <w:rPr>
          <w:szCs w:val="24"/>
        </w:rPr>
        <w:t xml:space="preserve">medicines </w:t>
      </w:r>
      <w:r w:rsidRPr="00FA1BCF">
        <w:rPr>
          <w:szCs w:val="24"/>
        </w:rPr>
        <w:t>against the eligibility criteria proposed for the subsidisation</w:t>
      </w:r>
    </w:p>
    <w:p w:rsidR="00CC79FE" w:rsidRPr="00FA1BCF" w:rsidRDefault="00CC79FE" w:rsidP="00CC79FE">
      <w:pPr>
        <w:pStyle w:val="ListParagraph"/>
        <w:numPr>
          <w:ilvl w:val="0"/>
          <w:numId w:val="31"/>
        </w:numPr>
        <w:jc w:val="both"/>
        <w:rPr>
          <w:szCs w:val="24"/>
        </w:rPr>
      </w:pPr>
      <w:r w:rsidRPr="00FA1BCF">
        <w:rPr>
          <w:szCs w:val="24"/>
        </w:rPr>
        <w:t xml:space="preserve">measure the costs of the drug, as well as the management of the </w:t>
      </w:r>
      <w:r w:rsidR="009A438D" w:rsidRPr="00FA1BCF">
        <w:rPr>
          <w:szCs w:val="24"/>
        </w:rPr>
        <w:t xml:space="preserve">medicine </w:t>
      </w:r>
      <w:r w:rsidRPr="00FA1BCF">
        <w:rPr>
          <w:szCs w:val="24"/>
        </w:rPr>
        <w:t>subsidy program</w:t>
      </w:r>
    </w:p>
    <w:p w:rsidR="00CC79FE" w:rsidRPr="00FA1BCF" w:rsidRDefault="00CC79FE" w:rsidP="00CC79FE">
      <w:pPr>
        <w:pStyle w:val="ListParagraph"/>
        <w:numPr>
          <w:ilvl w:val="0"/>
          <w:numId w:val="31"/>
        </w:numPr>
        <w:jc w:val="both"/>
        <w:rPr>
          <w:szCs w:val="24"/>
        </w:rPr>
      </w:pPr>
      <w:r w:rsidRPr="00FA1BCF">
        <w:rPr>
          <w:szCs w:val="24"/>
        </w:rPr>
        <w:t xml:space="preserve">evaluate the safety and effectiveness of a drug, particularly against the claims that were made during the process by which the </w:t>
      </w:r>
      <w:r w:rsidR="009A438D" w:rsidRPr="00FA1BCF">
        <w:rPr>
          <w:szCs w:val="24"/>
        </w:rPr>
        <w:t xml:space="preserve">medicine </w:t>
      </w:r>
      <w:r w:rsidRPr="00FA1BCF">
        <w:rPr>
          <w:szCs w:val="24"/>
        </w:rPr>
        <w:t>was initially approved for subsidisation</w:t>
      </w:r>
    </w:p>
    <w:p w:rsidR="00CC79FE" w:rsidRPr="00E436E7" w:rsidRDefault="00CC79FE" w:rsidP="00E436E7">
      <w:pPr>
        <w:pStyle w:val="ListParagraph"/>
        <w:numPr>
          <w:ilvl w:val="0"/>
          <w:numId w:val="31"/>
        </w:numPr>
        <w:jc w:val="both"/>
        <w:rPr>
          <w:rFonts w:eastAsia="Times New Roman" w:cs="Times New Roman"/>
          <w:szCs w:val="24"/>
          <w:lang w:eastAsia="en-AU"/>
        </w:rPr>
      </w:pPr>
      <w:proofErr w:type="gramStart"/>
      <w:r w:rsidRPr="00FA1BCF">
        <w:rPr>
          <w:szCs w:val="24"/>
        </w:rPr>
        <w:t>use</w:t>
      </w:r>
      <w:proofErr w:type="gramEnd"/>
      <w:r w:rsidRPr="00FA1BCF">
        <w:rPr>
          <w:szCs w:val="24"/>
        </w:rPr>
        <w:t xml:space="preserve"> cost, and measures of safety and effectiveness, to provide mechanisms to support outcome-based risk-share arrangements between sponsors and </w:t>
      </w:r>
      <w:r w:rsidR="00980905" w:rsidRPr="00FA1BCF">
        <w:rPr>
          <w:szCs w:val="24"/>
        </w:rPr>
        <w:t>g</w:t>
      </w:r>
      <w:r w:rsidRPr="00FA1BCF">
        <w:rPr>
          <w:szCs w:val="24"/>
        </w:rPr>
        <w:t xml:space="preserve">overnment that may facilitate the reimbursement of </w:t>
      </w:r>
      <w:r w:rsidR="00A26B5E" w:rsidRPr="00FA1BCF">
        <w:rPr>
          <w:szCs w:val="24"/>
        </w:rPr>
        <w:t xml:space="preserve">medicines </w:t>
      </w:r>
      <w:r w:rsidRPr="00FA1BCF">
        <w:rPr>
          <w:szCs w:val="24"/>
        </w:rPr>
        <w:t>when precise estimates of value are unavailable at the time of ‘listing’.</w:t>
      </w:r>
    </w:p>
    <w:p w:rsidR="006318C8" w:rsidRPr="00FA1BCF" w:rsidRDefault="00CC79FE" w:rsidP="00CC79FE">
      <w:pPr>
        <w:jc w:val="both"/>
        <w:rPr>
          <w:rFonts w:eastAsia="Times New Roman" w:cs="Times New Roman"/>
          <w:szCs w:val="24"/>
          <w:lang w:eastAsia="en-AU"/>
        </w:rPr>
      </w:pPr>
      <w:r w:rsidRPr="00FA1BCF">
        <w:rPr>
          <w:rFonts w:eastAsia="Times New Roman" w:cs="Times New Roman"/>
          <w:szCs w:val="24"/>
          <w:lang w:eastAsia="en-AU"/>
        </w:rPr>
        <w:t>It is important to be purposive about the data collected</w:t>
      </w:r>
      <w:r w:rsidR="00980905" w:rsidRPr="00FA1BCF">
        <w:rPr>
          <w:rFonts w:eastAsia="Times New Roman" w:cs="Times New Roman"/>
          <w:szCs w:val="24"/>
          <w:lang w:eastAsia="en-AU"/>
        </w:rPr>
        <w:t>,</w:t>
      </w:r>
      <w:r w:rsidRPr="00FA1BCF">
        <w:rPr>
          <w:rFonts w:eastAsia="Times New Roman" w:cs="Times New Roman"/>
          <w:szCs w:val="24"/>
          <w:lang w:eastAsia="en-AU"/>
        </w:rPr>
        <w:t xml:space="preserve"> as the purpose of the registry would affect how, what, and when the information is collected. In cases where there are uncertainties regarding aspects of the safety, clinical effectiveness and cost</w:t>
      </w:r>
      <w:r w:rsidR="00980905" w:rsidRPr="00FA1BCF">
        <w:rPr>
          <w:rFonts w:eastAsia="Times New Roman" w:cs="Times New Roman"/>
          <w:szCs w:val="24"/>
          <w:lang w:eastAsia="en-AU"/>
        </w:rPr>
        <w:t xml:space="preserve"> </w:t>
      </w:r>
      <w:r w:rsidRPr="00FA1BCF">
        <w:rPr>
          <w:rFonts w:eastAsia="Times New Roman" w:cs="Times New Roman"/>
          <w:szCs w:val="24"/>
          <w:lang w:eastAsia="en-AU"/>
        </w:rPr>
        <w:t xml:space="preserve">offsets of the </w:t>
      </w:r>
      <w:r w:rsidR="00A26B5E" w:rsidRPr="00FA1BCF">
        <w:rPr>
          <w:rFonts w:eastAsia="Times New Roman" w:cs="Times New Roman"/>
          <w:szCs w:val="24"/>
          <w:lang w:eastAsia="en-AU"/>
        </w:rPr>
        <w:lastRenderedPageBreak/>
        <w:t xml:space="preserve">medicines </w:t>
      </w:r>
      <w:r w:rsidRPr="00FA1BCF">
        <w:rPr>
          <w:rFonts w:eastAsia="Times New Roman" w:cs="Times New Roman"/>
          <w:szCs w:val="24"/>
          <w:lang w:eastAsia="en-AU"/>
        </w:rPr>
        <w:t>considered eligible for the LSDP, the development of a drug surveillance registry tailored to address these uncertainties would be valuable. This type of data collection would support managed entry or performance-based risk</w:t>
      </w:r>
      <w:r w:rsidR="00980905" w:rsidRPr="00FA1BCF">
        <w:rPr>
          <w:rFonts w:eastAsia="Times New Roman" w:cs="Times New Roman"/>
          <w:szCs w:val="24"/>
          <w:lang w:eastAsia="en-AU"/>
        </w:rPr>
        <w:t>-</w:t>
      </w:r>
      <w:r w:rsidRPr="00FA1BCF">
        <w:rPr>
          <w:rFonts w:eastAsia="Times New Roman" w:cs="Times New Roman"/>
          <w:szCs w:val="24"/>
          <w:lang w:eastAsia="en-AU"/>
        </w:rPr>
        <w:t xml:space="preserve">share arrangements. Claims that are made with regard to the safety and clinical effectiveness of the </w:t>
      </w:r>
      <w:r w:rsidR="00A26B5E" w:rsidRPr="00FA1BCF">
        <w:rPr>
          <w:rFonts w:eastAsia="Times New Roman" w:cs="Times New Roman"/>
          <w:szCs w:val="24"/>
          <w:lang w:eastAsia="en-AU"/>
        </w:rPr>
        <w:t xml:space="preserve">medicines </w:t>
      </w:r>
      <w:r w:rsidRPr="00FA1BCF">
        <w:rPr>
          <w:rFonts w:eastAsia="Times New Roman" w:cs="Times New Roman"/>
          <w:szCs w:val="24"/>
          <w:lang w:eastAsia="en-AU"/>
        </w:rPr>
        <w:t>in terms of individual patients’ responses to the treatment, at the time of seeking reimbursement, could be verified. To some extent eHealth records may provide a cost</w:t>
      </w:r>
      <w:r w:rsidR="00980905" w:rsidRPr="00FA1BCF">
        <w:rPr>
          <w:rFonts w:eastAsia="Times New Roman" w:cs="Times New Roman"/>
          <w:szCs w:val="24"/>
          <w:lang w:eastAsia="en-AU"/>
        </w:rPr>
        <w:t>-</w:t>
      </w:r>
      <w:r w:rsidRPr="00FA1BCF">
        <w:rPr>
          <w:rFonts w:eastAsia="Times New Roman" w:cs="Times New Roman"/>
          <w:szCs w:val="24"/>
          <w:lang w:eastAsia="en-AU"/>
        </w:rPr>
        <w:t xml:space="preserve">effective and accessible solution to rare disease data management. </w:t>
      </w:r>
    </w:p>
    <w:p w:rsidR="008A2813" w:rsidRPr="00FA1BCF" w:rsidRDefault="00CC79FE" w:rsidP="009E6420">
      <w:pPr>
        <w:jc w:val="both"/>
      </w:pPr>
      <w:r w:rsidRPr="00FA1BCF">
        <w:rPr>
          <w:rFonts w:eastAsia="Times New Roman" w:cs="Times New Roman"/>
          <w:szCs w:val="24"/>
          <w:lang w:eastAsia="en-AU"/>
        </w:rPr>
        <w:t xml:space="preserve">Table </w:t>
      </w:r>
      <w:r w:rsidR="00FC7E6D" w:rsidRPr="00FA1BCF">
        <w:rPr>
          <w:rFonts w:eastAsia="Times New Roman" w:cs="Times New Roman"/>
          <w:szCs w:val="24"/>
          <w:lang w:eastAsia="en-AU"/>
        </w:rPr>
        <w:t>9</w:t>
      </w:r>
      <w:r w:rsidRPr="00FA1BCF">
        <w:rPr>
          <w:rFonts w:eastAsia="Times New Roman" w:cs="Times New Roman"/>
          <w:szCs w:val="24"/>
          <w:lang w:eastAsia="en-AU"/>
        </w:rPr>
        <w:t xml:space="preserve"> </w:t>
      </w:r>
      <w:r w:rsidR="00D40857" w:rsidRPr="00FA1BCF">
        <w:rPr>
          <w:rFonts w:eastAsia="Times New Roman" w:cs="Times New Roman"/>
          <w:szCs w:val="24"/>
          <w:lang w:eastAsia="en-AU"/>
        </w:rPr>
        <w:t xml:space="preserve">below </w:t>
      </w:r>
      <w:r w:rsidRPr="00FA1BCF">
        <w:rPr>
          <w:rFonts w:eastAsia="Times New Roman" w:cs="Times New Roman"/>
          <w:szCs w:val="24"/>
          <w:lang w:eastAsia="en-AU"/>
        </w:rPr>
        <w:t>lists data collection elements for a drug surveillance register.</w:t>
      </w:r>
      <w:bookmarkStart w:id="72" w:name="_Ref405812429"/>
      <w:bookmarkStart w:id="73" w:name="_Toc411510512"/>
      <w:bookmarkStart w:id="74" w:name="_Toc415141947"/>
    </w:p>
    <w:p w:rsidR="009A15D7" w:rsidRPr="00FA1BCF" w:rsidRDefault="009A15D7" w:rsidP="00E436E7">
      <w:pPr>
        <w:pStyle w:val="Caption"/>
      </w:pPr>
      <w:r w:rsidRPr="00FA1BCF">
        <w:lastRenderedPageBreak/>
        <w:t xml:space="preserve">Table </w:t>
      </w:r>
      <w:r w:rsidR="00FC7E6D" w:rsidRPr="00FA1BCF">
        <w:t>9</w:t>
      </w:r>
      <w:r w:rsidR="00D40857" w:rsidRPr="00FA1BCF">
        <w:t xml:space="preserve">: </w:t>
      </w:r>
      <w:r w:rsidRPr="00FA1BCF">
        <w:t>Proposed data elements for a drug surveillance register</w:t>
      </w:r>
    </w:p>
    <w:tbl>
      <w:tblPr>
        <w:tblStyle w:val="TableGrid"/>
        <w:tblW w:w="0" w:type="auto"/>
        <w:tblLook w:val="04A0" w:firstRow="1" w:lastRow="0" w:firstColumn="1" w:lastColumn="0" w:noHBand="0" w:noVBand="1"/>
        <w:tblCaption w:val="Table 114 Proposed data elements for a drug surveillance register"/>
      </w:tblPr>
      <w:tblGrid>
        <w:gridCol w:w="1756"/>
        <w:gridCol w:w="4732"/>
        <w:gridCol w:w="2754"/>
      </w:tblGrid>
      <w:tr w:rsidR="009A15D7" w:rsidRPr="00FA1BCF" w:rsidTr="00DC19F4">
        <w:trPr>
          <w:tblHeader/>
        </w:trPr>
        <w:tc>
          <w:tcPr>
            <w:tcW w:w="1756" w:type="dxa"/>
            <w:shd w:val="clear" w:color="auto" w:fill="C0504D" w:themeFill="accent2"/>
          </w:tcPr>
          <w:p w:rsidR="009A15D7" w:rsidRPr="00DC19F4" w:rsidRDefault="009A15D7" w:rsidP="00E436E7">
            <w:pPr>
              <w:pStyle w:val="TableHeading"/>
              <w:keepLines/>
              <w:outlineLvl w:val="2"/>
              <w:rPr>
                <w:color w:val="FFFFFF" w:themeColor="background1"/>
              </w:rPr>
            </w:pPr>
            <w:r w:rsidRPr="00DC19F4">
              <w:rPr>
                <w:color w:val="FFFFFF" w:themeColor="background1"/>
              </w:rPr>
              <w:t>Data category</w:t>
            </w:r>
          </w:p>
        </w:tc>
        <w:tc>
          <w:tcPr>
            <w:tcW w:w="4732" w:type="dxa"/>
            <w:shd w:val="clear" w:color="auto" w:fill="C0504D" w:themeFill="accent2"/>
          </w:tcPr>
          <w:p w:rsidR="009A15D7" w:rsidRPr="00DC19F4" w:rsidRDefault="009A15D7" w:rsidP="00E436E7">
            <w:pPr>
              <w:pStyle w:val="TableHeading"/>
              <w:keepLines/>
              <w:outlineLvl w:val="2"/>
              <w:rPr>
                <w:color w:val="FFFFFF" w:themeColor="background1"/>
              </w:rPr>
            </w:pPr>
            <w:r w:rsidRPr="00DC19F4">
              <w:rPr>
                <w:color w:val="FFFFFF" w:themeColor="background1"/>
              </w:rPr>
              <w:t>When it should be collected</w:t>
            </w:r>
          </w:p>
        </w:tc>
        <w:tc>
          <w:tcPr>
            <w:tcW w:w="0" w:type="auto"/>
            <w:shd w:val="clear" w:color="auto" w:fill="C0504D" w:themeFill="accent2"/>
          </w:tcPr>
          <w:p w:rsidR="009A15D7" w:rsidRPr="00DC19F4" w:rsidRDefault="009A15D7" w:rsidP="00E436E7">
            <w:pPr>
              <w:pStyle w:val="TableHeading"/>
              <w:keepLines/>
              <w:outlineLvl w:val="2"/>
              <w:rPr>
                <w:color w:val="FFFFFF" w:themeColor="background1"/>
              </w:rPr>
            </w:pPr>
            <w:r w:rsidRPr="00DC19F4">
              <w:rPr>
                <w:color w:val="FFFFFF" w:themeColor="background1"/>
              </w:rPr>
              <w:t>When not necessary</w:t>
            </w:r>
          </w:p>
        </w:tc>
      </w:tr>
      <w:tr w:rsidR="009A15D7" w:rsidRPr="00FA1BCF" w:rsidTr="00E436E7">
        <w:tc>
          <w:tcPr>
            <w:tcW w:w="1756" w:type="dxa"/>
          </w:tcPr>
          <w:p w:rsidR="009A15D7" w:rsidRPr="00FA1BCF" w:rsidRDefault="009A15D7">
            <w:pPr>
              <w:pStyle w:val="TableText"/>
            </w:pPr>
            <w:r w:rsidRPr="00FA1BCF">
              <w:t>Patient/guardian consent</w:t>
            </w:r>
          </w:p>
        </w:tc>
        <w:tc>
          <w:tcPr>
            <w:tcW w:w="4732" w:type="dxa"/>
          </w:tcPr>
          <w:p w:rsidR="009A15D7" w:rsidRPr="00FA1BCF" w:rsidRDefault="009A15D7">
            <w:pPr>
              <w:pStyle w:val="TableText"/>
            </w:pPr>
            <w:r w:rsidRPr="00FA1BCF">
              <w:t>Always.</w:t>
            </w:r>
            <w:r w:rsidR="00B56F35" w:rsidRPr="00FA1BCF">
              <w:t xml:space="preserve"> </w:t>
            </w:r>
            <w:r w:rsidRPr="00FA1BCF">
              <w:t>The extent of the consent (whether the patient/guardian opted out of any data collection) and the currency of the consent (a history of all of the versions of consent forms that have been signed) should be stored.</w:t>
            </w:r>
          </w:p>
        </w:tc>
        <w:tc>
          <w:tcPr>
            <w:tcW w:w="0" w:type="auto"/>
          </w:tcPr>
          <w:p w:rsidR="009A15D7" w:rsidRPr="00FA1BCF" w:rsidRDefault="009A15D7">
            <w:pPr>
              <w:pStyle w:val="TableText"/>
            </w:pPr>
            <w:r w:rsidRPr="00FA1BCF">
              <w:t>Ongoing consent forms may not be necessary if data collection ceases after initial eligibility or the nature of the data collection or use of the data remains unchanged.</w:t>
            </w:r>
          </w:p>
        </w:tc>
      </w:tr>
      <w:tr w:rsidR="009A15D7" w:rsidRPr="00FA1BCF" w:rsidTr="00DC19F4">
        <w:tc>
          <w:tcPr>
            <w:tcW w:w="1756" w:type="dxa"/>
            <w:shd w:val="clear" w:color="auto" w:fill="EAF1DD" w:themeFill="accent3" w:themeFillTint="33"/>
          </w:tcPr>
          <w:p w:rsidR="009A15D7" w:rsidRPr="00FA1BCF" w:rsidRDefault="009A15D7">
            <w:pPr>
              <w:pStyle w:val="TableText"/>
            </w:pPr>
            <w:r w:rsidRPr="00FA1BCF">
              <w:t>Initial eligibility</w:t>
            </w:r>
          </w:p>
        </w:tc>
        <w:tc>
          <w:tcPr>
            <w:tcW w:w="4732" w:type="dxa"/>
            <w:shd w:val="clear" w:color="auto" w:fill="EAF1DD" w:themeFill="accent3" w:themeFillTint="33"/>
          </w:tcPr>
          <w:p w:rsidR="009A15D7" w:rsidRPr="00FA1BCF" w:rsidRDefault="009A15D7">
            <w:pPr>
              <w:pStyle w:val="TableText"/>
            </w:pPr>
            <w:r w:rsidRPr="00FA1BCF">
              <w:t>Initial eligibility should always be ascertained for each patient at application.</w:t>
            </w:r>
            <w:r w:rsidR="00B56F35" w:rsidRPr="00FA1BCF">
              <w:t xml:space="preserve"> </w:t>
            </w:r>
            <w:r w:rsidRPr="00FA1BCF">
              <w:t>Supporting documentation should be provided</w:t>
            </w:r>
            <w:r w:rsidR="00FF50E2" w:rsidRPr="00FA1BCF">
              <w:t>;</w:t>
            </w:r>
            <w:r w:rsidRPr="00FA1BCF">
              <w:t xml:space="preserve"> however</w:t>
            </w:r>
            <w:r w:rsidR="00FF50E2" w:rsidRPr="00FA1BCF">
              <w:t>,</w:t>
            </w:r>
            <w:r w:rsidRPr="00FA1BCF">
              <w:t xml:space="preserve"> the collection of specific data points will only be necessary if required to establish ongoing eligibility or the effect of the drug.</w:t>
            </w:r>
          </w:p>
        </w:tc>
        <w:tc>
          <w:tcPr>
            <w:tcW w:w="0" w:type="auto"/>
            <w:shd w:val="clear" w:color="auto" w:fill="EAF1DD" w:themeFill="accent3" w:themeFillTint="33"/>
          </w:tcPr>
          <w:p w:rsidR="009A15D7" w:rsidRPr="00FA1BCF" w:rsidRDefault="003B146F">
            <w:pPr>
              <w:pStyle w:val="TableText"/>
            </w:pPr>
            <w:r w:rsidRPr="00FA1BCF">
              <w:t>–</w:t>
            </w:r>
          </w:p>
        </w:tc>
      </w:tr>
      <w:tr w:rsidR="009A15D7" w:rsidRPr="00FA1BCF" w:rsidTr="00E436E7">
        <w:tc>
          <w:tcPr>
            <w:tcW w:w="1756" w:type="dxa"/>
          </w:tcPr>
          <w:p w:rsidR="009A15D7" w:rsidRPr="00FA1BCF" w:rsidRDefault="009A15D7">
            <w:pPr>
              <w:pStyle w:val="TableText"/>
            </w:pPr>
            <w:r w:rsidRPr="00FA1BCF">
              <w:t>Ongoing eligibility</w:t>
            </w:r>
          </w:p>
        </w:tc>
        <w:tc>
          <w:tcPr>
            <w:tcW w:w="4732" w:type="dxa"/>
          </w:tcPr>
          <w:p w:rsidR="009A15D7" w:rsidRPr="00FA1BCF" w:rsidRDefault="009A15D7">
            <w:pPr>
              <w:pStyle w:val="TableText"/>
            </w:pPr>
            <w:r w:rsidRPr="00FA1BCF">
              <w:t>The disease can progress to a point where treatment is no longer effective or there is no evidence or clinical plausibility for ongoing benefit. Supporting documentation may be required to establish that the disease has not progressed to a ‘no treatment’ stage.</w:t>
            </w:r>
            <w:r w:rsidR="00B56F35" w:rsidRPr="00FA1BCF">
              <w:t xml:space="preserve"> </w:t>
            </w:r>
            <w:r w:rsidRPr="00FA1BCF">
              <w:t>Ongoing eligibility must always be captured if there is a risk that the disease could progress such that the treatment has a negative benefit</w:t>
            </w:r>
            <w:r w:rsidR="00FF50E2" w:rsidRPr="00FA1BCF">
              <w:t>–</w:t>
            </w:r>
            <w:r w:rsidRPr="00FA1BCF">
              <w:t>risk balance.</w:t>
            </w:r>
          </w:p>
        </w:tc>
        <w:tc>
          <w:tcPr>
            <w:tcW w:w="0" w:type="auto"/>
          </w:tcPr>
          <w:p w:rsidR="009A15D7" w:rsidRPr="00FA1BCF" w:rsidRDefault="009A15D7">
            <w:pPr>
              <w:pStyle w:val="TableText"/>
            </w:pPr>
            <w:r w:rsidRPr="00FA1BCF">
              <w:t>The drug has established adequate efficacy regardless of stage of disease.</w:t>
            </w:r>
          </w:p>
          <w:p w:rsidR="009A15D7" w:rsidRPr="00FA1BCF" w:rsidRDefault="009A15D7">
            <w:pPr>
              <w:pStyle w:val="TableText"/>
            </w:pPr>
            <w:r w:rsidRPr="00FA1BCF">
              <w:t>Negotiations with the sponsor have resulted in a price commensurate with the drop in efficacy in patients who progress.</w:t>
            </w:r>
          </w:p>
        </w:tc>
      </w:tr>
      <w:tr w:rsidR="009A15D7" w:rsidRPr="00FA1BCF" w:rsidTr="00DC19F4">
        <w:tc>
          <w:tcPr>
            <w:tcW w:w="1756" w:type="dxa"/>
            <w:shd w:val="clear" w:color="auto" w:fill="EAF1DD" w:themeFill="accent3" w:themeFillTint="33"/>
          </w:tcPr>
          <w:p w:rsidR="009A15D7" w:rsidRPr="00FA1BCF" w:rsidRDefault="009A15D7">
            <w:pPr>
              <w:pStyle w:val="TableText"/>
            </w:pPr>
            <w:r w:rsidRPr="00FA1BCF">
              <w:t>Baseline and follow</w:t>
            </w:r>
            <w:r w:rsidR="00294F13" w:rsidRPr="00FA1BCF">
              <w:t>-</w:t>
            </w:r>
            <w:r w:rsidRPr="00FA1BCF">
              <w:t>up surrogate measures of effectiveness/ safety</w:t>
            </w:r>
          </w:p>
        </w:tc>
        <w:tc>
          <w:tcPr>
            <w:tcW w:w="4732" w:type="dxa"/>
            <w:shd w:val="clear" w:color="auto" w:fill="EAF1DD" w:themeFill="accent3" w:themeFillTint="33"/>
          </w:tcPr>
          <w:p w:rsidR="009A15D7" w:rsidRPr="00FA1BCF" w:rsidRDefault="009A15D7">
            <w:pPr>
              <w:pStyle w:val="TableText"/>
            </w:pPr>
            <w:r w:rsidRPr="00FA1BCF">
              <w:t>Disease improvement or stability is determined by comparing with baseline markers (</w:t>
            </w:r>
            <w:r w:rsidR="00FF50E2" w:rsidRPr="00FA1BCF">
              <w:t>e.g.</w:t>
            </w:r>
            <w:r w:rsidRPr="00FA1BCF">
              <w:t xml:space="preserve"> haematological, biochemical, organ size, neurological function).</w:t>
            </w:r>
          </w:p>
          <w:p w:rsidR="009A15D7" w:rsidRPr="00FA1BCF" w:rsidRDefault="009A15D7">
            <w:pPr>
              <w:pStyle w:val="TableText"/>
            </w:pPr>
            <w:r w:rsidRPr="00FA1BCF">
              <w:t>The agreed price of a drug is linked to outcomes achieved in patients taking the drug through a managed entry arrangement.</w:t>
            </w:r>
          </w:p>
        </w:tc>
        <w:tc>
          <w:tcPr>
            <w:tcW w:w="0" w:type="auto"/>
            <w:shd w:val="clear" w:color="auto" w:fill="EAF1DD" w:themeFill="accent3" w:themeFillTint="33"/>
          </w:tcPr>
          <w:p w:rsidR="009A15D7" w:rsidRPr="00FA1BCF" w:rsidRDefault="009A15D7">
            <w:pPr>
              <w:pStyle w:val="TableText"/>
            </w:pPr>
            <w:r w:rsidRPr="00FA1BCF">
              <w:t>No ongoing eligibility criteria are required and no managed entry scheme requiring the measurement of effectiveness has been entered into.</w:t>
            </w:r>
          </w:p>
        </w:tc>
      </w:tr>
      <w:tr w:rsidR="009A15D7" w:rsidRPr="00FA1BCF" w:rsidTr="00E436E7">
        <w:tc>
          <w:tcPr>
            <w:tcW w:w="1756" w:type="dxa"/>
          </w:tcPr>
          <w:p w:rsidR="009A15D7" w:rsidRPr="00FA1BCF" w:rsidRDefault="009A15D7">
            <w:pPr>
              <w:pStyle w:val="TableText"/>
            </w:pPr>
            <w:r w:rsidRPr="00FA1BCF">
              <w:t>Dose and frequency</w:t>
            </w:r>
          </w:p>
        </w:tc>
        <w:tc>
          <w:tcPr>
            <w:tcW w:w="4732" w:type="dxa"/>
          </w:tcPr>
          <w:p w:rsidR="009A15D7" w:rsidRPr="00FA1BCF" w:rsidRDefault="009A15D7">
            <w:pPr>
              <w:pStyle w:val="TableText"/>
            </w:pPr>
            <w:r w:rsidRPr="00FA1BCF">
              <w:t>This should routinely be provided by the treating clinician for all patients who require any other data to be collected.</w:t>
            </w:r>
          </w:p>
          <w:p w:rsidR="009A15D7" w:rsidRPr="00FA1BCF" w:rsidRDefault="009A15D7">
            <w:pPr>
              <w:pStyle w:val="TableText"/>
            </w:pPr>
            <w:r w:rsidRPr="00FA1BCF">
              <w:t>If no other data is captured, dose and frequency could be sought from another source.</w:t>
            </w:r>
          </w:p>
        </w:tc>
        <w:tc>
          <w:tcPr>
            <w:tcW w:w="0" w:type="auto"/>
          </w:tcPr>
          <w:p w:rsidR="009A15D7" w:rsidRPr="00FA1BCF" w:rsidRDefault="003B146F">
            <w:pPr>
              <w:pStyle w:val="TableText"/>
            </w:pPr>
            <w:r w:rsidRPr="00FA1BCF">
              <w:t>–</w:t>
            </w:r>
          </w:p>
        </w:tc>
      </w:tr>
      <w:tr w:rsidR="009A15D7" w:rsidRPr="00FA1BCF" w:rsidTr="00DC19F4">
        <w:tc>
          <w:tcPr>
            <w:tcW w:w="1756" w:type="dxa"/>
            <w:shd w:val="clear" w:color="auto" w:fill="EAF1DD" w:themeFill="accent3" w:themeFillTint="33"/>
          </w:tcPr>
          <w:p w:rsidR="009A15D7" w:rsidRPr="00FA1BCF" w:rsidRDefault="009A15D7">
            <w:pPr>
              <w:pStyle w:val="TableText"/>
            </w:pPr>
            <w:r w:rsidRPr="00FA1BCF">
              <w:t>Monitoring and major intervention costs</w:t>
            </w:r>
          </w:p>
        </w:tc>
        <w:tc>
          <w:tcPr>
            <w:tcW w:w="4732" w:type="dxa"/>
            <w:shd w:val="clear" w:color="auto" w:fill="EAF1DD" w:themeFill="accent3" w:themeFillTint="33"/>
          </w:tcPr>
          <w:p w:rsidR="009A15D7" w:rsidRPr="00FA1BCF" w:rsidRDefault="009A15D7" w:rsidP="00294F13">
            <w:pPr>
              <w:pStyle w:val="TableText"/>
            </w:pPr>
            <w:r w:rsidRPr="00FA1BCF">
              <w:t>The cost of monitoring patients (i.e. scans, biopsies, specialist visits) receiving the drug is expected to be high (relative to the cost of the drug)</w:t>
            </w:r>
            <w:r w:rsidR="00294F13" w:rsidRPr="00FA1BCF">
              <w:t>.</w:t>
            </w:r>
            <w:r w:rsidRPr="00FA1BCF">
              <w:t xml:space="preserve"> </w:t>
            </w:r>
            <w:r w:rsidR="00294F13" w:rsidRPr="00FA1BCF">
              <w:t>T</w:t>
            </w:r>
            <w:r w:rsidRPr="00FA1BCF">
              <w:t>hese additional costs are unknown or not accounted for at the time of the decision to reimburse the drug</w:t>
            </w:r>
            <w:r w:rsidR="00294F13" w:rsidRPr="00FA1BCF">
              <w:t>.</w:t>
            </w:r>
            <w:r w:rsidRPr="00FA1BCF">
              <w:t xml:space="preserve"> </w:t>
            </w:r>
            <w:r w:rsidR="00294F13" w:rsidRPr="00FA1BCF">
              <w:t>T</w:t>
            </w:r>
            <w:r w:rsidRPr="00FA1BCF">
              <w:t>he Department</w:t>
            </w:r>
            <w:r w:rsidR="0015613E" w:rsidRPr="00FA1BCF">
              <w:t xml:space="preserve"> of Health</w:t>
            </w:r>
            <w:r w:rsidRPr="00FA1BCF">
              <w:t xml:space="preserve"> would seek to renegotiate with the drug sponsor if these costs </w:t>
            </w:r>
            <w:r w:rsidR="00294F13" w:rsidRPr="00FA1BCF">
              <w:t>were</w:t>
            </w:r>
            <w:r w:rsidRPr="00FA1BCF">
              <w:t xml:space="preserve"> greater than expected.</w:t>
            </w:r>
            <w:r w:rsidR="00B56F35" w:rsidRPr="00FA1BCF">
              <w:t xml:space="preserve"> </w:t>
            </w:r>
            <w:r w:rsidRPr="00FA1BCF">
              <w:t>This may form part of a managed entry arrangement.</w:t>
            </w:r>
          </w:p>
          <w:p w:rsidR="009A15D7" w:rsidRPr="00FA1BCF" w:rsidRDefault="009A15D7" w:rsidP="00294F13">
            <w:pPr>
              <w:pStyle w:val="TableText"/>
            </w:pPr>
            <w:r w:rsidRPr="00FA1BCF">
              <w:t>Interventions (hospitalisation, transfusions, organ transplants, medications) are expected to be avoided or reduce</w:t>
            </w:r>
            <w:r w:rsidR="00294F13" w:rsidRPr="00FA1BCF">
              <w:t>d</w:t>
            </w:r>
            <w:r w:rsidRPr="00FA1BCF">
              <w:t xml:space="preserve"> in frequency while on the drug</w:t>
            </w:r>
            <w:r w:rsidR="00294F13" w:rsidRPr="00FA1BCF">
              <w:t>.</w:t>
            </w:r>
            <w:r w:rsidRPr="00FA1BCF">
              <w:t xml:space="preserve"> </w:t>
            </w:r>
            <w:r w:rsidR="00294F13" w:rsidRPr="00FA1BCF">
              <w:t>T</w:t>
            </w:r>
            <w:r w:rsidRPr="00FA1BCF">
              <w:t xml:space="preserve">he Department would seek to renegotiate if costs associated with these interventions </w:t>
            </w:r>
            <w:r w:rsidR="00294F13" w:rsidRPr="00FA1BCF">
              <w:t>were</w:t>
            </w:r>
            <w:r w:rsidRPr="00FA1BCF">
              <w:t xml:space="preserve"> greater than expected.</w:t>
            </w:r>
            <w:r w:rsidR="00B56F35" w:rsidRPr="00FA1BCF">
              <w:t xml:space="preserve"> </w:t>
            </w:r>
            <w:r w:rsidRPr="00FA1BCF">
              <w:t>This may form part of a managed entry arrangement.</w:t>
            </w:r>
          </w:p>
        </w:tc>
        <w:tc>
          <w:tcPr>
            <w:tcW w:w="0" w:type="auto"/>
            <w:shd w:val="clear" w:color="auto" w:fill="EAF1DD" w:themeFill="accent3" w:themeFillTint="33"/>
          </w:tcPr>
          <w:p w:rsidR="009A15D7" w:rsidRPr="00FA1BCF" w:rsidRDefault="009A15D7">
            <w:pPr>
              <w:pStyle w:val="TableText"/>
            </w:pPr>
            <w:r w:rsidRPr="00FA1BCF">
              <w:t>The cost of monitoring the use of the drug is unlikely to be substantial.</w:t>
            </w:r>
          </w:p>
          <w:p w:rsidR="009A15D7" w:rsidRPr="00FA1BCF" w:rsidRDefault="009A15D7">
            <w:pPr>
              <w:pStyle w:val="TableText"/>
            </w:pPr>
            <w:r w:rsidRPr="00FA1BCF">
              <w:t>The reduction in interventions claimed at the time of the decision to reimburse the drug is likely to be met, or unlikely to impact on the overall cost of treatment.</w:t>
            </w:r>
          </w:p>
          <w:p w:rsidR="009A15D7" w:rsidRPr="00FA1BCF" w:rsidRDefault="009A15D7">
            <w:pPr>
              <w:pStyle w:val="TableText"/>
            </w:pPr>
            <w:r w:rsidRPr="00FA1BCF">
              <w:t xml:space="preserve">The ongoing price of the drug to the Government is not linked to other costs or will not be renegotiated on this basis. </w:t>
            </w:r>
          </w:p>
        </w:tc>
      </w:tr>
      <w:tr w:rsidR="009A15D7" w:rsidRPr="00FA1BCF" w:rsidTr="00DC19F4">
        <w:trPr>
          <w:cantSplit/>
        </w:trPr>
        <w:tc>
          <w:tcPr>
            <w:tcW w:w="1756" w:type="dxa"/>
          </w:tcPr>
          <w:p w:rsidR="009A15D7" w:rsidRPr="00FA1BCF" w:rsidRDefault="009A15D7" w:rsidP="00EB29AC">
            <w:pPr>
              <w:pStyle w:val="TableText"/>
            </w:pPr>
            <w:r w:rsidRPr="00FA1BCF">
              <w:lastRenderedPageBreak/>
              <w:t>Baseline and follow</w:t>
            </w:r>
            <w:r w:rsidR="00294F13" w:rsidRPr="00FA1BCF">
              <w:t>-</w:t>
            </w:r>
            <w:r w:rsidRPr="00FA1BCF">
              <w:t>up patient/carer reported wellbeing</w:t>
            </w:r>
          </w:p>
        </w:tc>
        <w:tc>
          <w:tcPr>
            <w:tcW w:w="4732" w:type="dxa"/>
          </w:tcPr>
          <w:p w:rsidR="009A15D7" w:rsidRPr="00FA1BCF" w:rsidRDefault="009A15D7" w:rsidP="00EB29AC">
            <w:pPr>
              <w:pStyle w:val="TableText"/>
            </w:pPr>
            <w:r w:rsidRPr="00FA1BCF">
              <w:t>Improvement of quality of life or pain is an important outcome for the drug, and the agreed price of the drug is linked to a stabilisation or improvement in these outcomes.</w:t>
            </w:r>
          </w:p>
        </w:tc>
        <w:tc>
          <w:tcPr>
            <w:tcW w:w="0" w:type="auto"/>
          </w:tcPr>
          <w:p w:rsidR="009A15D7" w:rsidRPr="00FA1BCF" w:rsidRDefault="009A15D7" w:rsidP="00EB29AC">
            <w:pPr>
              <w:pStyle w:val="TableText"/>
            </w:pPr>
            <w:r w:rsidRPr="00FA1BCF">
              <w:t>Patient</w:t>
            </w:r>
            <w:r w:rsidR="00294F13" w:rsidRPr="00FA1BCF">
              <w:t>-</w:t>
            </w:r>
            <w:r w:rsidRPr="00FA1BCF">
              <w:t>reported outcomes do not make up the claim of effectiveness for the drug. Price is not linked to establishing an improvement or stabilisation for this outcome.</w:t>
            </w:r>
          </w:p>
        </w:tc>
      </w:tr>
      <w:tr w:rsidR="009A15D7" w:rsidRPr="00FA1BCF" w:rsidTr="00DC19F4">
        <w:tc>
          <w:tcPr>
            <w:tcW w:w="1756" w:type="dxa"/>
            <w:shd w:val="clear" w:color="auto" w:fill="EAF1DD" w:themeFill="accent3" w:themeFillTint="33"/>
          </w:tcPr>
          <w:p w:rsidR="009A15D7" w:rsidRPr="00FA1BCF" w:rsidRDefault="009A15D7" w:rsidP="00EB29AC">
            <w:pPr>
              <w:pStyle w:val="TableText"/>
            </w:pPr>
            <w:r w:rsidRPr="00FA1BCF">
              <w:t>Death</w:t>
            </w:r>
          </w:p>
        </w:tc>
        <w:tc>
          <w:tcPr>
            <w:tcW w:w="4732" w:type="dxa"/>
            <w:shd w:val="clear" w:color="auto" w:fill="EAF1DD" w:themeFill="accent3" w:themeFillTint="33"/>
          </w:tcPr>
          <w:p w:rsidR="009A15D7" w:rsidRPr="00FA1BCF" w:rsidRDefault="009A15D7" w:rsidP="00EB29AC">
            <w:pPr>
              <w:pStyle w:val="TableText"/>
            </w:pPr>
            <w:r w:rsidRPr="00FA1BCF">
              <w:t xml:space="preserve">This should be sought for all patients. However, while </w:t>
            </w:r>
            <w:r w:rsidR="00294F13" w:rsidRPr="00FA1BCF">
              <w:t>it</w:t>
            </w:r>
            <w:r w:rsidRPr="00FA1BCF">
              <w:t xml:space="preserve"> may be requested from the data provider, </w:t>
            </w:r>
            <w:r w:rsidR="00294F13" w:rsidRPr="00FA1BCF">
              <w:t>it</w:t>
            </w:r>
            <w:r w:rsidRPr="00FA1BCF">
              <w:t xml:space="preserve"> may prove difficult to capture reliably.</w:t>
            </w:r>
            <w:r w:rsidR="00B56F35" w:rsidRPr="00FA1BCF">
              <w:t xml:space="preserve"> </w:t>
            </w:r>
            <w:r w:rsidRPr="00FA1BCF">
              <w:t>Alternative sources for date and cause of death should be sought.</w:t>
            </w:r>
          </w:p>
        </w:tc>
        <w:tc>
          <w:tcPr>
            <w:tcW w:w="0" w:type="auto"/>
            <w:shd w:val="clear" w:color="auto" w:fill="EAF1DD" w:themeFill="accent3" w:themeFillTint="33"/>
          </w:tcPr>
          <w:p w:rsidR="009A15D7" w:rsidRPr="00FA1BCF" w:rsidRDefault="003B146F" w:rsidP="00EB29AC">
            <w:pPr>
              <w:pStyle w:val="TableText"/>
            </w:pPr>
            <w:r w:rsidRPr="00FA1BCF">
              <w:t>–</w:t>
            </w:r>
          </w:p>
        </w:tc>
      </w:tr>
    </w:tbl>
    <w:bookmarkEnd w:id="72"/>
    <w:bookmarkEnd w:id="73"/>
    <w:bookmarkEnd w:id="74"/>
    <w:p w:rsidR="00CC79FE" w:rsidRPr="00FA1BCF" w:rsidRDefault="00CC79FE" w:rsidP="00E436E7">
      <w:pPr>
        <w:pStyle w:val="TableNote"/>
        <w:rPr>
          <w:szCs w:val="24"/>
        </w:rPr>
      </w:pPr>
      <w:r w:rsidRPr="00FA1BCF">
        <w:t>Table 150</w:t>
      </w:r>
      <w:r w:rsidR="00FF4324" w:rsidRPr="00FA1BCF">
        <w:t>,</w:t>
      </w:r>
      <w:r w:rsidRPr="00FA1BCF">
        <w:t xml:space="preserve"> </w:t>
      </w:r>
      <w:r w:rsidR="00FF4324" w:rsidRPr="00FA1BCF">
        <w:t>c</w:t>
      </w:r>
      <w:r w:rsidRPr="00FA1BCF">
        <w:t>ited on p</w:t>
      </w:r>
      <w:r w:rsidR="00441F09" w:rsidRPr="00FA1BCF">
        <w:t>.</w:t>
      </w:r>
      <w:r w:rsidRPr="00FA1BCF">
        <w:t xml:space="preserve"> 28</w:t>
      </w:r>
      <w:r w:rsidR="00CA0894">
        <w:t>3</w:t>
      </w:r>
      <w:r w:rsidRPr="00FA1BCF">
        <w:t xml:space="preserve"> of the </w:t>
      </w:r>
      <w:r w:rsidR="00FF4324" w:rsidRPr="00FA1BCF">
        <w:t>e</w:t>
      </w:r>
      <w:r w:rsidRPr="00FA1BCF">
        <w:t>valuator’s report</w:t>
      </w:r>
      <w:r w:rsidR="003F4D69" w:rsidRPr="00FA1BCF">
        <w:t>.</w:t>
      </w:r>
    </w:p>
    <w:p w:rsidR="00CC79FE" w:rsidRPr="00FA1BCF" w:rsidRDefault="00CC79FE" w:rsidP="00CC79FE">
      <w:pPr>
        <w:jc w:val="both"/>
      </w:pPr>
      <w:r w:rsidRPr="00FA1BCF">
        <w:rPr>
          <w:rFonts w:eastAsia="Times New Roman" w:cs="Times New Roman"/>
          <w:szCs w:val="24"/>
          <w:lang w:eastAsia="en-AU"/>
        </w:rPr>
        <w:t xml:space="preserve">As described above, the objectives of a rare disease registry data </w:t>
      </w:r>
      <w:r w:rsidR="00252D60" w:rsidRPr="00FA1BCF">
        <w:rPr>
          <w:rFonts w:eastAsia="Times New Roman" w:cs="Times New Roman"/>
          <w:szCs w:val="24"/>
          <w:lang w:eastAsia="en-AU"/>
        </w:rPr>
        <w:t>are</w:t>
      </w:r>
      <w:r w:rsidRPr="00FA1BCF">
        <w:rPr>
          <w:rFonts w:eastAsia="Times New Roman" w:cs="Times New Roman"/>
          <w:szCs w:val="24"/>
          <w:lang w:eastAsia="en-AU"/>
        </w:rPr>
        <w:t xml:space="preserve"> different</w:t>
      </w:r>
      <w:r w:rsidR="00980905" w:rsidRPr="00FA1BCF">
        <w:rPr>
          <w:rFonts w:eastAsia="Times New Roman" w:cs="Times New Roman"/>
          <w:szCs w:val="24"/>
          <w:lang w:eastAsia="en-AU"/>
        </w:rPr>
        <w:t>,</w:t>
      </w:r>
      <w:r w:rsidRPr="00FA1BCF">
        <w:rPr>
          <w:rFonts w:eastAsia="Times New Roman" w:cs="Times New Roman"/>
          <w:szCs w:val="24"/>
          <w:lang w:eastAsia="en-AU"/>
        </w:rPr>
        <w:t xml:space="preserve"> and therefore data collected may not be suitable for determining the comparative clinical effectiveness of different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treatments</w:t>
      </w:r>
      <w:r w:rsidR="00980905" w:rsidRPr="00FA1BCF">
        <w:rPr>
          <w:rFonts w:eastAsia="Times New Roman" w:cs="Times New Roman"/>
          <w:szCs w:val="24"/>
          <w:lang w:eastAsia="en-AU"/>
        </w:rPr>
        <w:t>.</w:t>
      </w:r>
      <w:r w:rsidRPr="00FA1BCF">
        <w:rPr>
          <w:rFonts w:eastAsia="Times New Roman" w:cs="Times New Roman"/>
          <w:szCs w:val="24"/>
          <w:lang w:eastAsia="en-AU"/>
        </w:rPr>
        <w:t xml:space="preserve"> </w:t>
      </w:r>
      <w:r w:rsidR="00980905" w:rsidRPr="00FA1BCF">
        <w:rPr>
          <w:rFonts w:eastAsia="Times New Roman" w:cs="Times New Roman"/>
          <w:szCs w:val="24"/>
          <w:lang w:eastAsia="en-AU"/>
        </w:rPr>
        <w:t>T</w:t>
      </w:r>
      <w:r w:rsidRPr="00FA1BCF">
        <w:rPr>
          <w:rFonts w:eastAsia="Times New Roman" w:cs="Times New Roman"/>
          <w:szCs w:val="24"/>
          <w:lang w:eastAsia="en-AU"/>
        </w:rPr>
        <w:t xml:space="preserve">hat is the role of randomised controlled trials. However, in cases where there are no alternative treatments that improve patient survival and where there is good information on the natural history of the condition, a drug surveillance registry may be a viable option for confirming the safety and clinical effectiveness of a subsidised </w:t>
      </w:r>
      <w:r w:rsidR="009A438D" w:rsidRPr="00FA1BCF">
        <w:rPr>
          <w:rFonts w:eastAsia="Times New Roman" w:cs="Times New Roman"/>
          <w:szCs w:val="24"/>
          <w:lang w:eastAsia="en-AU"/>
        </w:rPr>
        <w:t xml:space="preserve">medicine </w:t>
      </w:r>
      <w:r w:rsidRPr="00FA1BCF">
        <w:rPr>
          <w:rFonts w:eastAsia="Times New Roman" w:cs="Times New Roman"/>
          <w:szCs w:val="24"/>
          <w:lang w:eastAsia="en-AU"/>
        </w:rPr>
        <w:t xml:space="preserve">treatment. It would be important to ensure that the drug surveillance </w:t>
      </w:r>
      <w:proofErr w:type="gramStart"/>
      <w:r w:rsidRPr="00FA1BCF">
        <w:rPr>
          <w:rFonts w:eastAsia="Times New Roman" w:cs="Times New Roman"/>
          <w:szCs w:val="24"/>
          <w:lang w:eastAsia="en-AU"/>
        </w:rPr>
        <w:t xml:space="preserve">registry </w:t>
      </w:r>
      <w:r w:rsidR="00980905" w:rsidRPr="00FA1BCF">
        <w:rPr>
          <w:rFonts w:eastAsia="Times New Roman" w:cs="Times New Roman"/>
          <w:szCs w:val="24"/>
          <w:lang w:eastAsia="en-AU"/>
        </w:rPr>
        <w:t>were</w:t>
      </w:r>
      <w:proofErr w:type="gramEnd"/>
      <w:r w:rsidRPr="00FA1BCF">
        <w:rPr>
          <w:rFonts w:eastAsia="Times New Roman" w:cs="Times New Roman"/>
          <w:szCs w:val="24"/>
          <w:lang w:eastAsia="en-AU"/>
        </w:rPr>
        <w:t xml:space="preserve"> developed to answer specific questions and that the appropriate governance, technical arrangements and resourcing are in place before commencing data collection. Any registry should be able to tap into evidence generated overseas. Hence it would be important to agree upon standards to ensure consistency and accuracy. </w:t>
      </w:r>
    </w:p>
    <w:p w:rsidR="00272193" w:rsidRPr="00FA1BCF" w:rsidRDefault="00CC79FE" w:rsidP="00CC79FE">
      <w:pPr>
        <w:jc w:val="both"/>
      </w:pPr>
      <w:r w:rsidRPr="00FA1BCF">
        <w:t>Overall</w:t>
      </w:r>
      <w:r w:rsidR="00294F13" w:rsidRPr="00FA1BCF">
        <w:t>,</w:t>
      </w:r>
      <w:r w:rsidRPr="00FA1BCF">
        <w:t xml:space="preserve"> as summed</w:t>
      </w:r>
      <w:r w:rsidR="00294F13" w:rsidRPr="00FA1BCF">
        <w:t xml:space="preserve"> up</w:t>
      </w:r>
      <w:r w:rsidRPr="00FA1BCF">
        <w:t xml:space="preserve"> in one submission, rare diseases that require highly expensive </w:t>
      </w:r>
      <w:r w:rsidR="00A26B5E" w:rsidRPr="00FA1BCF">
        <w:t xml:space="preserve">medicines </w:t>
      </w:r>
      <w:r w:rsidRPr="00FA1BCF">
        <w:t>should require clinical justification for Commonwealth funding for commencement of treatment and</w:t>
      </w:r>
      <w:r w:rsidR="00294F13" w:rsidRPr="00FA1BCF">
        <w:t xml:space="preserve">, </w:t>
      </w:r>
      <w:r w:rsidRPr="00FA1BCF">
        <w:t xml:space="preserve">following regular evaluation of therapy outcome, ongoing funding. </w:t>
      </w:r>
    </w:p>
    <w:p w:rsidR="00D40857" w:rsidRPr="00FA1BCF" w:rsidRDefault="00272193" w:rsidP="00CC79FE">
      <w:pPr>
        <w:jc w:val="both"/>
        <w:rPr>
          <w:rFonts w:eastAsia="Times New Roman" w:cs="Times New Roman"/>
          <w:b/>
          <w:sz w:val="40"/>
          <w:szCs w:val="40"/>
          <w:lang w:eastAsia="en-AU"/>
        </w:rPr>
      </w:pPr>
      <w:r w:rsidRPr="00FA1BCF">
        <w:t xml:space="preserve">The </w:t>
      </w:r>
      <w:r w:rsidR="00F11CA5" w:rsidRPr="00FA1BCF">
        <w:t>reference group</w:t>
      </w:r>
      <w:r w:rsidRPr="00FA1BCF">
        <w:t xml:space="preserve"> noted that there are many registries in Australia and internationally for patients with rare diseases. Indeed in some cases there </w:t>
      </w:r>
      <w:r w:rsidR="00AF5283" w:rsidRPr="00FA1BCF">
        <w:t>is</w:t>
      </w:r>
      <w:r w:rsidRPr="00FA1BCF">
        <w:t xml:space="preserve"> more than one registry for the same disease. The </w:t>
      </w:r>
      <w:r w:rsidR="00F11CA5" w:rsidRPr="00FA1BCF">
        <w:t>reference group</w:t>
      </w:r>
      <w:r w:rsidRPr="00FA1BCF">
        <w:t xml:space="preserve"> noted the work on </w:t>
      </w:r>
      <w:r w:rsidR="009A3420" w:rsidRPr="00FA1BCF">
        <w:t xml:space="preserve">the development of </w:t>
      </w:r>
      <w:r w:rsidR="006318C8" w:rsidRPr="00FA1BCF">
        <w:t xml:space="preserve">registry </w:t>
      </w:r>
      <w:r w:rsidR="009A3420" w:rsidRPr="00FA1BCF">
        <w:t xml:space="preserve">software </w:t>
      </w:r>
      <w:r w:rsidR="006318C8" w:rsidRPr="00FA1BCF">
        <w:t>framework that facilitates the development of separate registries with common features (</w:t>
      </w:r>
      <w:proofErr w:type="spellStart"/>
      <w:r w:rsidR="006318C8" w:rsidRPr="00FA1BCF">
        <w:t>Bellgard</w:t>
      </w:r>
      <w:proofErr w:type="spellEnd"/>
      <w:r w:rsidR="006318C8" w:rsidRPr="00FA1BCF">
        <w:t xml:space="preserve"> MI, </w:t>
      </w:r>
      <w:proofErr w:type="spellStart"/>
      <w:r w:rsidR="006318C8" w:rsidRPr="00FA1BCF">
        <w:t>Rendon</w:t>
      </w:r>
      <w:proofErr w:type="spellEnd"/>
      <w:r w:rsidR="006318C8" w:rsidRPr="00FA1BCF">
        <w:t xml:space="preserve"> L, </w:t>
      </w:r>
      <w:proofErr w:type="spellStart"/>
      <w:r w:rsidR="006318C8" w:rsidRPr="00FA1BCF">
        <w:t>Radochowski</w:t>
      </w:r>
      <w:proofErr w:type="spellEnd"/>
      <w:r w:rsidR="006318C8" w:rsidRPr="00FA1BCF">
        <w:t xml:space="preserve"> M, Hunter A</w:t>
      </w:r>
      <w:r w:rsidR="00294F13" w:rsidRPr="00FA1BCF">
        <w:t>,</w:t>
      </w:r>
      <w:r w:rsidR="006318C8" w:rsidRPr="00FA1BCF">
        <w:t xml:space="preserve"> </w:t>
      </w:r>
      <w:r w:rsidR="00294F13" w:rsidRPr="00FA1BCF">
        <w:t>‘</w:t>
      </w:r>
      <w:r w:rsidR="006318C8" w:rsidRPr="00FA1BCF">
        <w:t xml:space="preserve">Second </w:t>
      </w:r>
      <w:r w:rsidR="00294F13" w:rsidRPr="00FA1BCF">
        <w:t>g</w:t>
      </w:r>
      <w:r w:rsidR="006318C8" w:rsidRPr="00FA1BCF">
        <w:t xml:space="preserve">eneration </w:t>
      </w:r>
      <w:r w:rsidR="00294F13" w:rsidRPr="00FA1BCF">
        <w:t>r</w:t>
      </w:r>
      <w:r w:rsidR="006318C8" w:rsidRPr="00FA1BCF">
        <w:t xml:space="preserve">egistry </w:t>
      </w:r>
      <w:r w:rsidR="00294F13" w:rsidRPr="00FA1BCF">
        <w:t>f</w:t>
      </w:r>
      <w:r w:rsidR="006318C8" w:rsidRPr="00FA1BCF">
        <w:t>ramework</w:t>
      </w:r>
      <w:r w:rsidR="00294F13" w:rsidRPr="00FA1BCF">
        <w:t>’</w:t>
      </w:r>
      <w:r w:rsidR="006318C8" w:rsidRPr="00FA1BCF">
        <w:t xml:space="preserve"> </w:t>
      </w:r>
      <w:r w:rsidR="006318C8" w:rsidRPr="00E436E7">
        <w:rPr>
          <w:i/>
        </w:rPr>
        <w:t>Source Code for Biology and Medicine</w:t>
      </w:r>
      <w:r w:rsidR="006318C8" w:rsidRPr="00FA1BCF">
        <w:t xml:space="preserve"> 2014</w:t>
      </w:r>
      <w:r w:rsidR="00294F13" w:rsidRPr="00FA1BCF">
        <w:t>:</w:t>
      </w:r>
      <w:r w:rsidR="006318C8" w:rsidRPr="00FA1BCF">
        <w:t xml:space="preserve">9:14). Such registries can then be readily </w:t>
      </w:r>
      <w:r w:rsidR="009A3420" w:rsidRPr="00FA1BCF">
        <w:t xml:space="preserve">networked such that patients can agree to be listed on multiple registries seamlessly. This </w:t>
      </w:r>
      <w:r w:rsidR="006318C8" w:rsidRPr="00FA1BCF">
        <w:t xml:space="preserve">framework has been </w:t>
      </w:r>
      <w:r w:rsidR="009A3420" w:rsidRPr="00FA1BCF">
        <w:t>has been deployed by WA Health</w:t>
      </w:r>
      <w:r w:rsidR="00294F13" w:rsidRPr="00FA1BCF">
        <w:t>,</w:t>
      </w:r>
      <w:r w:rsidR="009A3420" w:rsidRPr="00FA1BCF">
        <w:t xml:space="preserve"> alth</w:t>
      </w:r>
      <w:r w:rsidR="006318C8" w:rsidRPr="00FA1BCF">
        <w:t>ough</w:t>
      </w:r>
      <w:r w:rsidR="00294F13" w:rsidRPr="00FA1BCF">
        <w:t xml:space="preserve"> it</w:t>
      </w:r>
      <w:r w:rsidR="006318C8" w:rsidRPr="00FA1BCF">
        <w:t xml:space="preserve"> is still a work in progres</w:t>
      </w:r>
      <w:r w:rsidR="009A3420" w:rsidRPr="00FA1BCF">
        <w:t xml:space="preserve">s. </w:t>
      </w:r>
    </w:p>
    <w:p w:rsidR="00FF4324" w:rsidRPr="00FA1BCF" w:rsidRDefault="00FF4324">
      <w:pPr>
        <w:spacing w:after="200" w:line="276" w:lineRule="auto"/>
        <w:rPr>
          <w:rFonts w:eastAsia="Times New Roman" w:cs="Times New Roman"/>
          <w:b/>
          <w:sz w:val="40"/>
          <w:szCs w:val="40"/>
          <w:lang w:eastAsia="en-AU"/>
        </w:rPr>
      </w:pPr>
      <w:r w:rsidRPr="00FA1BCF">
        <w:rPr>
          <w:rFonts w:eastAsia="Times New Roman" w:cs="Times New Roman"/>
          <w:b/>
          <w:sz w:val="40"/>
          <w:szCs w:val="40"/>
          <w:lang w:eastAsia="en-AU"/>
        </w:rPr>
        <w:br w:type="page"/>
      </w:r>
    </w:p>
    <w:p w:rsidR="00CC79FE" w:rsidRPr="00FA1BCF" w:rsidRDefault="00CC79FE" w:rsidP="00E436E7">
      <w:pPr>
        <w:pStyle w:val="Heading1"/>
        <w:rPr>
          <w:lang w:eastAsia="en-AU"/>
        </w:rPr>
      </w:pPr>
      <w:bookmarkStart w:id="75" w:name="_Toc302625624"/>
      <w:r w:rsidRPr="00FA1BCF">
        <w:rPr>
          <w:lang w:eastAsia="en-AU"/>
        </w:rPr>
        <w:lastRenderedPageBreak/>
        <w:t xml:space="preserve">Section 8: Proposed </w:t>
      </w:r>
      <w:r w:rsidR="00FF4324" w:rsidRPr="00FA1BCF">
        <w:rPr>
          <w:lang w:eastAsia="en-AU"/>
        </w:rPr>
        <w:t>a</w:t>
      </w:r>
      <w:r w:rsidRPr="00FA1BCF">
        <w:rPr>
          <w:lang w:eastAsia="en-AU"/>
        </w:rPr>
        <w:t xml:space="preserve">dministration of the </w:t>
      </w:r>
      <w:r w:rsidR="00FF4324" w:rsidRPr="00FA1BCF">
        <w:rPr>
          <w:lang w:eastAsia="en-AU"/>
        </w:rPr>
        <w:t>Life Saving Drugs Programme</w:t>
      </w:r>
      <w:bookmarkEnd w:id="75"/>
      <w:r w:rsidR="00FF4324" w:rsidRPr="00FA1BCF">
        <w:rPr>
          <w:lang w:eastAsia="en-AU"/>
        </w:rPr>
        <w:t xml:space="preserve"> </w:t>
      </w:r>
    </w:p>
    <w:p w:rsidR="006318C8" w:rsidRPr="00FA1BCF" w:rsidRDefault="00CC79FE" w:rsidP="00E436E7">
      <w:pPr>
        <w:widowControl w:val="0"/>
        <w:tabs>
          <w:tab w:val="left" w:pos="220"/>
          <w:tab w:val="left" w:pos="720"/>
        </w:tabs>
        <w:autoSpaceDE w:val="0"/>
        <w:autoSpaceDN w:val="0"/>
        <w:adjustRightInd w:val="0"/>
        <w:jc w:val="both"/>
        <w:rPr>
          <w:rFonts w:eastAsia="Times New Roman" w:cs="Times New Roman"/>
          <w:b/>
          <w:szCs w:val="24"/>
          <w:lang w:eastAsia="en-AU"/>
        </w:rPr>
      </w:pPr>
      <w:r w:rsidRPr="00FA1BCF">
        <w:rPr>
          <w:rFonts w:cs="Arial"/>
          <w:szCs w:val="24"/>
        </w:rPr>
        <w:t xml:space="preserve">The administrative arrangements for the LSDP rely heavily on the direct involvement of Canberra-based Commonwealth public servants who otherwise have no involvement in patient care. The </w:t>
      </w:r>
      <w:r w:rsidR="00F11CA5" w:rsidRPr="00FA1BCF">
        <w:rPr>
          <w:rFonts w:cs="Arial"/>
          <w:szCs w:val="24"/>
        </w:rPr>
        <w:t>reference group</w:t>
      </w:r>
      <w:r w:rsidRPr="00FA1BCF">
        <w:rPr>
          <w:rFonts w:cs="Arial"/>
          <w:szCs w:val="24"/>
        </w:rPr>
        <w:t xml:space="preserve"> noted that this is not consistent with good clinical care management. It is also inconsistent with the division of responsibilities between the Commonwealth and the </w:t>
      </w:r>
      <w:r w:rsidR="00F11CA5" w:rsidRPr="00FA1BCF">
        <w:rPr>
          <w:rFonts w:cs="Arial"/>
          <w:szCs w:val="24"/>
        </w:rPr>
        <w:t>s</w:t>
      </w:r>
      <w:r w:rsidRPr="00FA1BCF">
        <w:rPr>
          <w:rFonts w:cs="Arial"/>
          <w:szCs w:val="24"/>
        </w:rPr>
        <w:t xml:space="preserve">tates and </w:t>
      </w:r>
      <w:r w:rsidR="00F11CA5" w:rsidRPr="00FA1BCF">
        <w:rPr>
          <w:rFonts w:cs="Arial"/>
          <w:szCs w:val="24"/>
        </w:rPr>
        <w:t>t</w:t>
      </w:r>
      <w:r w:rsidRPr="00FA1BCF">
        <w:rPr>
          <w:rFonts w:cs="Arial"/>
          <w:szCs w:val="24"/>
        </w:rPr>
        <w:t>erritories for health service delivery</w:t>
      </w:r>
      <w:r w:rsidR="00F11CA5" w:rsidRPr="00FA1BCF">
        <w:rPr>
          <w:rFonts w:cs="Arial"/>
          <w:szCs w:val="24"/>
        </w:rPr>
        <w:t>,</w:t>
      </w:r>
      <w:r w:rsidRPr="00FA1BCF">
        <w:rPr>
          <w:rFonts w:cs="Arial"/>
          <w:szCs w:val="24"/>
        </w:rPr>
        <w:t xml:space="preserve"> given</w:t>
      </w:r>
      <w:r w:rsidR="00F11CA5" w:rsidRPr="00FA1BCF">
        <w:rPr>
          <w:rFonts w:cs="Arial"/>
          <w:szCs w:val="24"/>
        </w:rPr>
        <w:t xml:space="preserve"> that</w:t>
      </w:r>
      <w:r w:rsidRPr="00FA1BCF">
        <w:rPr>
          <w:rFonts w:cs="Arial"/>
          <w:szCs w:val="24"/>
        </w:rPr>
        <w:t xml:space="preserve"> the majority of these patients are seen in public sector services. </w:t>
      </w:r>
    </w:p>
    <w:p w:rsidR="00CC79FE" w:rsidRPr="00FA1BCF" w:rsidRDefault="00CC79FE" w:rsidP="00CC79FE">
      <w:pPr>
        <w:widowControl w:val="0"/>
        <w:tabs>
          <w:tab w:val="left" w:pos="220"/>
          <w:tab w:val="left" w:pos="720"/>
        </w:tabs>
        <w:autoSpaceDE w:val="0"/>
        <w:autoSpaceDN w:val="0"/>
        <w:adjustRightInd w:val="0"/>
        <w:jc w:val="both"/>
        <w:rPr>
          <w:rFonts w:cs="Arial"/>
          <w:szCs w:val="24"/>
        </w:rPr>
      </w:pPr>
      <w:r w:rsidRPr="00FA1BCF">
        <w:rPr>
          <w:rFonts w:cs="Arial"/>
          <w:szCs w:val="24"/>
        </w:rPr>
        <w:t xml:space="preserve">The </w:t>
      </w:r>
      <w:r w:rsidR="00F11CA5" w:rsidRPr="00FA1BCF">
        <w:rPr>
          <w:rFonts w:cs="Arial"/>
          <w:szCs w:val="24"/>
        </w:rPr>
        <w:t>reference group</w:t>
      </w:r>
      <w:r w:rsidRPr="00FA1BCF">
        <w:rPr>
          <w:rFonts w:cs="Arial"/>
          <w:szCs w:val="24"/>
        </w:rPr>
        <w:t xml:space="preserve"> noted the wide support for the re-establishment of the </w:t>
      </w:r>
      <w:r w:rsidR="00F11CA5" w:rsidRPr="00FA1BCF">
        <w:rPr>
          <w:rFonts w:cs="Arial"/>
          <w:szCs w:val="24"/>
        </w:rPr>
        <w:t>d</w:t>
      </w:r>
      <w:r w:rsidRPr="00FA1BCF">
        <w:rPr>
          <w:rFonts w:cs="Arial"/>
          <w:szCs w:val="24"/>
        </w:rPr>
        <w:t xml:space="preserve">isease </w:t>
      </w:r>
      <w:r w:rsidR="00F11CA5" w:rsidRPr="00FA1BCF">
        <w:rPr>
          <w:rFonts w:cs="Arial"/>
          <w:szCs w:val="24"/>
        </w:rPr>
        <w:t>a</w:t>
      </w:r>
      <w:r w:rsidRPr="00FA1BCF">
        <w:rPr>
          <w:rFonts w:cs="Arial"/>
          <w:szCs w:val="24"/>
        </w:rPr>
        <w:t xml:space="preserve">dvisory </w:t>
      </w:r>
      <w:r w:rsidR="00F11CA5" w:rsidRPr="00FA1BCF">
        <w:rPr>
          <w:rFonts w:cs="Arial"/>
          <w:szCs w:val="24"/>
        </w:rPr>
        <w:t>c</w:t>
      </w:r>
      <w:r w:rsidRPr="00FA1BCF">
        <w:rPr>
          <w:rFonts w:cs="Arial"/>
          <w:szCs w:val="24"/>
        </w:rPr>
        <w:t xml:space="preserve">ommittees but also noted that these </w:t>
      </w:r>
      <w:r w:rsidR="00F11CA5" w:rsidRPr="00FA1BCF">
        <w:rPr>
          <w:rFonts w:cs="Arial"/>
          <w:szCs w:val="24"/>
        </w:rPr>
        <w:t>c</w:t>
      </w:r>
      <w:r w:rsidRPr="00FA1BCF">
        <w:rPr>
          <w:rFonts w:cs="Arial"/>
          <w:szCs w:val="24"/>
        </w:rPr>
        <w:t>ommittees convened on a national basis and</w:t>
      </w:r>
      <w:r w:rsidR="00F11CA5" w:rsidRPr="00FA1BCF">
        <w:rPr>
          <w:rFonts w:cs="Arial"/>
          <w:szCs w:val="24"/>
        </w:rPr>
        <w:t xml:space="preserve"> that</w:t>
      </w:r>
      <w:r w:rsidRPr="00FA1BCF">
        <w:rPr>
          <w:rFonts w:cs="Arial"/>
          <w:szCs w:val="24"/>
        </w:rPr>
        <w:t xml:space="preserve">, while </w:t>
      </w:r>
      <w:r w:rsidR="00F11CA5" w:rsidRPr="00FA1BCF">
        <w:rPr>
          <w:rFonts w:cs="Arial"/>
          <w:szCs w:val="24"/>
        </w:rPr>
        <w:t xml:space="preserve">they were </w:t>
      </w:r>
      <w:r w:rsidRPr="00FA1BCF">
        <w:rPr>
          <w:rFonts w:cs="Arial"/>
          <w:szCs w:val="24"/>
        </w:rPr>
        <w:t xml:space="preserve">disease specific, membership substantially overlapped. Given the potential for a growing number of diseases and treatments seeking public funding, the </w:t>
      </w:r>
      <w:r w:rsidR="00F11CA5" w:rsidRPr="00FA1BCF">
        <w:rPr>
          <w:rFonts w:cs="Arial"/>
          <w:szCs w:val="24"/>
        </w:rPr>
        <w:t>reference group</w:t>
      </w:r>
      <w:r w:rsidRPr="00FA1BCF">
        <w:rPr>
          <w:rFonts w:cs="Arial"/>
          <w:szCs w:val="24"/>
        </w:rPr>
        <w:t xml:space="preserve"> did not consider </w:t>
      </w:r>
      <w:r w:rsidR="00F11CA5" w:rsidRPr="00FA1BCF">
        <w:rPr>
          <w:rFonts w:cs="Arial"/>
          <w:szCs w:val="24"/>
        </w:rPr>
        <w:t xml:space="preserve">that </w:t>
      </w:r>
      <w:r w:rsidRPr="00FA1BCF">
        <w:rPr>
          <w:rFonts w:cs="Arial"/>
          <w:szCs w:val="24"/>
        </w:rPr>
        <w:t xml:space="preserve">this approach would be sustainable. However, the </w:t>
      </w:r>
      <w:r w:rsidR="00F11CA5" w:rsidRPr="00FA1BCF">
        <w:rPr>
          <w:rFonts w:cs="Arial"/>
          <w:szCs w:val="24"/>
        </w:rPr>
        <w:t>reference group</w:t>
      </w:r>
      <w:r w:rsidRPr="00FA1BCF">
        <w:rPr>
          <w:rFonts w:cs="Arial"/>
          <w:szCs w:val="24"/>
        </w:rPr>
        <w:t xml:space="preserve"> </w:t>
      </w:r>
      <w:r w:rsidR="00F11CA5" w:rsidRPr="00FA1BCF">
        <w:rPr>
          <w:rFonts w:cs="Arial"/>
          <w:szCs w:val="24"/>
        </w:rPr>
        <w:t xml:space="preserve">contended </w:t>
      </w:r>
      <w:r w:rsidRPr="00FA1BCF">
        <w:rPr>
          <w:rFonts w:cs="Arial"/>
          <w:szCs w:val="24"/>
        </w:rPr>
        <w:t xml:space="preserve">that clinical oversight in all decisions related to patient care is essential, more particularly for borderline cases. This may be provided through the responsible clinician with advice as appropriate from relevant subject matter experts. </w:t>
      </w:r>
    </w:p>
    <w:p w:rsidR="00CC79FE" w:rsidRPr="00FA1BCF" w:rsidRDefault="00CC79FE" w:rsidP="00CC79FE">
      <w:pPr>
        <w:widowControl w:val="0"/>
        <w:tabs>
          <w:tab w:val="left" w:pos="220"/>
          <w:tab w:val="left" w:pos="720"/>
        </w:tabs>
        <w:autoSpaceDE w:val="0"/>
        <w:autoSpaceDN w:val="0"/>
        <w:adjustRightInd w:val="0"/>
        <w:jc w:val="both"/>
        <w:rPr>
          <w:rFonts w:cs="Arial"/>
          <w:szCs w:val="24"/>
        </w:rPr>
      </w:pPr>
      <w:r w:rsidRPr="00FA1BCF">
        <w:rPr>
          <w:rFonts w:cs="Arial"/>
          <w:szCs w:val="24"/>
        </w:rPr>
        <w:t xml:space="preserve">The </w:t>
      </w:r>
      <w:r w:rsidR="00F11CA5" w:rsidRPr="00FA1BCF">
        <w:rPr>
          <w:rFonts w:cs="Arial"/>
          <w:szCs w:val="24"/>
        </w:rPr>
        <w:t>reference group</w:t>
      </w:r>
      <w:r w:rsidRPr="00FA1BCF">
        <w:rPr>
          <w:rFonts w:cs="Arial"/>
          <w:szCs w:val="24"/>
        </w:rPr>
        <w:t xml:space="preserve"> recommended a closer look at the establishment of a small number of </w:t>
      </w:r>
      <w:r w:rsidR="00F11CA5" w:rsidRPr="00FA1BCF">
        <w:rPr>
          <w:rFonts w:cs="Arial"/>
          <w:szCs w:val="24"/>
        </w:rPr>
        <w:t>c</w:t>
      </w:r>
      <w:r w:rsidRPr="00FA1BCF">
        <w:rPr>
          <w:rFonts w:cs="Arial"/>
          <w:szCs w:val="24"/>
        </w:rPr>
        <w:t xml:space="preserve">entres of </w:t>
      </w:r>
      <w:r w:rsidR="00F11CA5" w:rsidRPr="00FA1BCF">
        <w:rPr>
          <w:rFonts w:cs="Arial"/>
          <w:szCs w:val="24"/>
        </w:rPr>
        <w:t>c</w:t>
      </w:r>
      <w:r w:rsidRPr="00FA1BCF">
        <w:rPr>
          <w:rFonts w:cs="Arial"/>
          <w:szCs w:val="24"/>
        </w:rPr>
        <w:t xml:space="preserve">linical </w:t>
      </w:r>
      <w:r w:rsidR="00F11CA5" w:rsidRPr="00FA1BCF">
        <w:rPr>
          <w:rFonts w:cs="Arial"/>
          <w:szCs w:val="24"/>
        </w:rPr>
        <w:t>e</w:t>
      </w:r>
      <w:r w:rsidRPr="00FA1BCF">
        <w:rPr>
          <w:rFonts w:cs="Arial"/>
          <w:szCs w:val="24"/>
        </w:rPr>
        <w:t>xpertise</w:t>
      </w:r>
      <w:r w:rsidR="00F11CA5" w:rsidRPr="00FA1BCF">
        <w:rPr>
          <w:rFonts w:cs="Arial"/>
          <w:szCs w:val="24"/>
        </w:rPr>
        <w:t xml:space="preserve"> (</w:t>
      </w:r>
      <w:proofErr w:type="spellStart"/>
      <w:r w:rsidR="00F11CA5" w:rsidRPr="00FA1BCF">
        <w:rPr>
          <w:rFonts w:cs="Arial"/>
          <w:szCs w:val="24"/>
        </w:rPr>
        <w:t>CoEs</w:t>
      </w:r>
      <w:proofErr w:type="spellEnd"/>
      <w:r w:rsidR="00F11CA5" w:rsidRPr="00FA1BCF">
        <w:rPr>
          <w:rFonts w:cs="Arial"/>
          <w:szCs w:val="24"/>
        </w:rPr>
        <w:t>)</w:t>
      </w:r>
      <w:r w:rsidRPr="00FA1BCF">
        <w:rPr>
          <w:rFonts w:cs="Arial"/>
          <w:szCs w:val="24"/>
        </w:rPr>
        <w:t xml:space="preserve"> in rare diseases</w:t>
      </w:r>
      <w:r w:rsidR="00F11CA5" w:rsidRPr="00FA1BCF">
        <w:rPr>
          <w:rFonts w:cs="Arial"/>
          <w:szCs w:val="24"/>
        </w:rPr>
        <w:t>,</w:t>
      </w:r>
      <w:r w:rsidRPr="00FA1BCF">
        <w:rPr>
          <w:rFonts w:cs="Arial"/>
          <w:szCs w:val="24"/>
        </w:rPr>
        <w:t xml:space="preserve"> where the larger states network with smaller states or territories for clinical visits. Such an approach could also form the basis for more effective disease registries, where different centres might take responsibility for one or more different diseases. Such </w:t>
      </w:r>
      <w:proofErr w:type="spellStart"/>
      <w:r w:rsidR="00EF6EF3" w:rsidRPr="00FA1BCF">
        <w:rPr>
          <w:rFonts w:cs="Arial"/>
          <w:szCs w:val="24"/>
        </w:rPr>
        <w:t>Co</w:t>
      </w:r>
      <w:r w:rsidR="001F6C7F" w:rsidRPr="00FA1BCF">
        <w:rPr>
          <w:rFonts w:cs="Arial"/>
          <w:szCs w:val="24"/>
        </w:rPr>
        <w:t>Es</w:t>
      </w:r>
      <w:proofErr w:type="spellEnd"/>
      <w:r w:rsidRPr="00FA1BCF">
        <w:rPr>
          <w:rFonts w:cs="Arial"/>
          <w:szCs w:val="24"/>
        </w:rPr>
        <w:t xml:space="preserve"> are expected to build upon existing state hospital structures similar to that for inborn errors of metabolism. A registration process for physicians attached to the </w:t>
      </w:r>
      <w:proofErr w:type="spellStart"/>
      <w:r w:rsidR="00EF6EF3" w:rsidRPr="00FA1BCF">
        <w:rPr>
          <w:rFonts w:cs="Arial"/>
          <w:szCs w:val="24"/>
        </w:rPr>
        <w:t>Co</w:t>
      </w:r>
      <w:r w:rsidR="001F6C7F" w:rsidRPr="00FA1BCF">
        <w:rPr>
          <w:rFonts w:cs="Arial"/>
          <w:szCs w:val="24"/>
        </w:rPr>
        <w:t>E</w:t>
      </w:r>
      <w:proofErr w:type="spellEnd"/>
      <w:r w:rsidR="001F6C7F" w:rsidRPr="00FA1BCF">
        <w:rPr>
          <w:rFonts w:cs="Arial"/>
          <w:szCs w:val="24"/>
        </w:rPr>
        <w:t>,</w:t>
      </w:r>
      <w:r w:rsidRPr="00FA1BCF">
        <w:rPr>
          <w:rFonts w:cs="Arial"/>
          <w:szCs w:val="24"/>
        </w:rPr>
        <w:t xml:space="preserve"> similar to that for the </w:t>
      </w:r>
      <w:r w:rsidR="001F6C7F" w:rsidRPr="00FA1BCF">
        <w:rPr>
          <w:rFonts w:cs="Arial"/>
          <w:szCs w:val="24"/>
        </w:rPr>
        <w:t>a</w:t>
      </w:r>
      <w:r w:rsidRPr="00FA1BCF">
        <w:rPr>
          <w:rFonts w:cs="Arial"/>
          <w:szCs w:val="24"/>
        </w:rPr>
        <w:t xml:space="preserve">pproved </w:t>
      </w:r>
      <w:r w:rsidR="001F6C7F" w:rsidRPr="00FA1BCF">
        <w:rPr>
          <w:rFonts w:cs="Arial"/>
          <w:szCs w:val="24"/>
        </w:rPr>
        <w:t>m</w:t>
      </w:r>
      <w:r w:rsidRPr="00FA1BCF">
        <w:rPr>
          <w:rFonts w:cs="Arial"/>
          <w:szCs w:val="24"/>
        </w:rPr>
        <w:t xml:space="preserve">etabolic </w:t>
      </w:r>
      <w:r w:rsidR="001F6C7F" w:rsidRPr="00FA1BCF">
        <w:rPr>
          <w:rFonts w:cs="Arial"/>
          <w:szCs w:val="24"/>
        </w:rPr>
        <w:t>s</w:t>
      </w:r>
      <w:r w:rsidRPr="00FA1BCF">
        <w:rPr>
          <w:rFonts w:cs="Arial"/>
          <w:szCs w:val="24"/>
        </w:rPr>
        <w:t xml:space="preserve">pecialists for the Inborn Errors of Metabolism Programme could be examined. </w:t>
      </w:r>
      <w:r w:rsidR="00611164" w:rsidRPr="00FA1BCF">
        <w:rPr>
          <w:rFonts w:cs="Arial"/>
          <w:szCs w:val="24"/>
        </w:rPr>
        <w:t xml:space="preserve">As noted in a number of submissions, such </w:t>
      </w:r>
      <w:proofErr w:type="spellStart"/>
      <w:r w:rsidR="00EF6EF3" w:rsidRPr="00FA1BCF">
        <w:rPr>
          <w:rFonts w:cs="Arial"/>
          <w:szCs w:val="24"/>
        </w:rPr>
        <w:t>Co</w:t>
      </w:r>
      <w:r w:rsidR="001F6C7F" w:rsidRPr="00FA1BCF">
        <w:rPr>
          <w:rFonts w:cs="Arial"/>
          <w:szCs w:val="24"/>
        </w:rPr>
        <w:t>Es</w:t>
      </w:r>
      <w:proofErr w:type="spellEnd"/>
      <w:r w:rsidR="00611164" w:rsidRPr="00FA1BCF">
        <w:rPr>
          <w:rFonts w:cs="Arial"/>
          <w:szCs w:val="24"/>
        </w:rPr>
        <w:t xml:space="preserve"> already exist in de</w:t>
      </w:r>
      <w:r w:rsidR="00806285" w:rsidRPr="00FA1BCF">
        <w:rPr>
          <w:rFonts w:cs="Arial"/>
          <w:szCs w:val="24"/>
        </w:rPr>
        <w:t xml:space="preserve"> </w:t>
      </w:r>
      <w:r w:rsidR="00611164" w:rsidRPr="00FA1BCF">
        <w:rPr>
          <w:rFonts w:cs="Arial"/>
          <w:szCs w:val="24"/>
        </w:rPr>
        <w:t xml:space="preserve">facto form, as care of most people with rare diseases is limited to a small number of centres and clinicians, usually based in one of the large children’s hospitals. Designation as </w:t>
      </w:r>
      <w:proofErr w:type="spellStart"/>
      <w:r w:rsidR="00EF6EF3" w:rsidRPr="00FA1BCF">
        <w:rPr>
          <w:rFonts w:cs="Arial"/>
          <w:szCs w:val="24"/>
        </w:rPr>
        <w:t>Co</w:t>
      </w:r>
      <w:r w:rsidR="001F6C7F" w:rsidRPr="00FA1BCF">
        <w:rPr>
          <w:rFonts w:cs="Arial"/>
          <w:szCs w:val="24"/>
        </w:rPr>
        <w:t>Es</w:t>
      </w:r>
      <w:proofErr w:type="spellEnd"/>
      <w:r w:rsidR="00611164" w:rsidRPr="00FA1BCF">
        <w:rPr>
          <w:rFonts w:cs="Arial"/>
          <w:szCs w:val="24"/>
        </w:rPr>
        <w:t xml:space="preserve"> would be a recognition of this important role.</w:t>
      </w:r>
    </w:p>
    <w:p w:rsidR="00CC79FE" w:rsidRPr="00FA1BCF" w:rsidRDefault="00CC79FE" w:rsidP="00CC79FE">
      <w:pPr>
        <w:widowControl w:val="0"/>
        <w:tabs>
          <w:tab w:val="left" w:pos="220"/>
          <w:tab w:val="left" w:pos="720"/>
        </w:tabs>
        <w:autoSpaceDE w:val="0"/>
        <w:autoSpaceDN w:val="0"/>
        <w:adjustRightInd w:val="0"/>
        <w:jc w:val="both"/>
        <w:rPr>
          <w:rFonts w:cs="Arial"/>
          <w:szCs w:val="24"/>
        </w:rPr>
      </w:pPr>
      <w:r w:rsidRPr="00FA1BCF">
        <w:rPr>
          <w:rFonts w:cs="Arial"/>
          <w:szCs w:val="24"/>
        </w:rPr>
        <w:t xml:space="preserve">Additionally there is benefit in having multi-stakeholder discussions prior to former evaluation of the </w:t>
      </w:r>
      <w:r w:rsidR="009A438D" w:rsidRPr="00FA1BCF">
        <w:rPr>
          <w:rFonts w:cs="Arial"/>
          <w:szCs w:val="24"/>
        </w:rPr>
        <w:t xml:space="preserve">medicine </w:t>
      </w:r>
      <w:r w:rsidRPr="00FA1BCF">
        <w:rPr>
          <w:rFonts w:cs="Arial"/>
          <w:szCs w:val="24"/>
        </w:rPr>
        <w:t xml:space="preserve">for funding to assist in the submission. These discussions would be used to discuss whether the </w:t>
      </w:r>
      <w:r w:rsidR="009A438D" w:rsidRPr="00FA1BCF">
        <w:rPr>
          <w:rFonts w:cs="Arial"/>
          <w:szCs w:val="24"/>
        </w:rPr>
        <w:t xml:space="preserve">medicine </w:t>
      </w:r>
      <w:r w:rsidRPr="00FA1BCF">
        <w:rPr>
          <w:rFonts w:cs="Arial"/>
          <w:szCs w:val="24"/>
        </w:rPr>
        <w:t>meets the requirements for a rare disease therapy subsidy</w:t>
      </w:r>
      <w:r w:rsidR="00611164" w:rsidRPr="00FA1BCF">
        <w:rPr>
          <w:rFonts w:cs="Arial"/>
          <w:szCs w:val="24"/>
        </w:rPr>
        <w:t>, clarify</w:t>
      </w:r>
      <w:r w:rsidRPr="00FA1BCF">
        <w:rPr>
          <w:rFonts w:cs="Arial"/>
          <w:szCs w:val="24"/>
        </w:rPr>
        <w:t xml:space="preserve"> evidentiary requirements, determine appropriate initiating or continuation treatment rules, and identify appropriate patient population or to provide the patients’ testimony or impact statement of the health outcomes. This represents the first </w:t>
      </w:r>
      <w:r w:rsidR="00E3141F" w:rsidRPr="00FA1BCF">
        <w:rPr>
          <w:rFonts w:cs="Arial"/>
          <w:szCs w:val="24"/>
        </w:rPr>
        <w:t xml:space="preserve">additional </w:t>
      </w:r>
      <w:r w:rsidRPr="00FA1BCF">
        <w:rPr>
          <w:rFonts w:cs="Arial"/>
          <w:szCs w:val="24"/>
        </w:rPr>
        <w:t xml:space="preserve">stage of a two-step assessment process proposed by stakeholders. </w:t>
      </w:r>
    </w:p>
    <w:p w:rsidR="00E3141F" w:rsidRPr="00FA1BCF" w:rsidRDefault="00CC79FE" w:rsidP="00CC79FE">
      <w:pPr>
        <w:widowControl w:val="0"/>
        <w:tabs>
          <w:tab w:val="left" w:pos="220"/>
          <w:tab w:val="left" w:pos="720"/>
        </w:tabs>
        <w:autoSpaceDE w:val="0"/>
        <w:autoSpaceDN w:val="0"/>
        <w:adjustRightInd w:val="0"/>
        <w:jc w:val="both"/>
        <w:rPr>
          <w:rFonts w:cs="Arial"/>
          <w:szCs w:val="24"/>
        </w:rPr>
      </w:pPr>
      <w:r w:rsidRPr="00FA1BCF">
        <w:rPr>
          <w:rFonts w:cs="Arial"/>
          <w:szCs w:val="24"/>
        </w:rPr>
        <w:t xml:space="preserve">The </w:t>
      </w:r>
      <w:r w:rsidR="00F11CA5" w:rsidRPr="00FA1BCF">
        <w:rPr>
          <w:rFonts w:cs="Arial"/>
          <w:szCs w:val="24"/>
        </w:rPr>
        <w:t>reference group</w:t>
      </w:r>
      <w:r w:rsidRPr="00FA1BCF">
        <w:rPr>
          <w:rFonts w:cs="Arial"/>
          <w:szCs w:val="24"/>
        </w:rPr>
        <w:t xml:space="preserve"> also recommends that</w:t>
      </w:r>
      <w:r w:rsidR="00C95C5C" w:rsidRPr="00FA1BCF">
        <w:rPr>
          <w:rFonts w:cs="Arial"/>
          <w:szCs w:val="24"/>
        </w:rPr>
        <w:t xml:space="preserve">, </w:t>
      </w:r>
      <w:r w:rsidR="00E3141F" w:rsidRPr="00FA1BCF">
        <w:rPr>
          <w:rFonts w:cs="Arial"/>
          <w:szCs w:val="24"/>
        </w:rPr>
        <w:t xml:space="preserve">as part of the usual </w:t>
      </w:r>
      <w:r w:rsidR="001F6C7F" w:rsidRPr="00FA1BCF">
        <w:rPr>
          <w:rFonts w:cs="Arial"/>
          <w:szCs w:val="24"/>
        </w:rPr>
        <w:t>Pharmaceutical Benefits Advisory Committee (</w:t>
      </w:r>
      <w:r w:rsidR="00E3141F" w:rsidRPr="00FA1BCF">
        <w:rPr>
          <w:rFonts w:cs="Arial"/>
          <w:szCs w:val="24"/>
        </w:rPr>
        <w:t>PBAC</w:t>
      </w:r>
      <w:r w:rsidR="001F6C7F" w:rsidRPr="00FA1BCF">
        <w:rPr>
          <w:rFonts w:cs="Arial"/>
          <w:szCs w:val="24"/>
        </w:rPr>
        <w:t>)</w:t>
      </w:r>
      <w:r w:rsidR="00E3141F" w:rsidRPr="00FA1BCF">
        <w:rPr>
          <w:rFonts w:cs="Arial"/>
          <w:szCs w:val="24"/>
        </w:rPr>
        <w:t xml:space="preserve"> assessment process, </w:t>
      </w:r>
      <w:r w:rsidR="00C95C5C" w:rsidRPr="00FA1BCF">
        <w:rPr>
          <w:rFonts w:cs="Arial"/>
          <w:szCs w:val="24"/>
        </w:rPr>
        <w:t xml:space="preserve">when </w:t>
      </w:r>
      <w:r w:rsidR="00E3141F" w:rsidRPr="00FA1BCF">
        <w:rPr>
          <w:rFonts w:cs="Arial"/>
          <w:szCs w:val="24"/>
        </w:rPr>
        <w:t xml:space="preserve">a medicine is to be considered under the </w:t>
      </w:r>
      <w:r w:rsidR="001F6C7F" w:rsidRPr="00FA1BCF">
        <w:rPr>
          <w:rFonts w:cs="Arial"/>
          <w:szCs w:val="24"/>
        </w:rPr>
        <w:t>Medicines for Rare Diseases Programme (</w:t>
      </w:r>
      <w:r w:rsidR="00E3141F" w:rsidRPr="00FA1BCF">
        <w:rPr>
          <w:rFonts w:cs="Arial"/>
          <w:szCs w:val="24"/>
        </w:rPr>
        <w:t>MRDP</w:t>
      </w:r>
      <w:r w:rsidR="001F6C7F" w:rsidRPr="00FA1BCF">
        <w:rPr>
          <w:rFonts w:cs="Arial"/>
          <w:szCs w:val="24"/>
        </w:rPr>
        <w:t>)</w:t>
      </w:r>
      <w:r w:rsidR="00E3141F" w:rsidRPr="00FA1BCF">
        <w:rPr>
          <w:rFonts w:cs="Arial"/>
          <w:szCs w:val="24"/>
        </w:rPr>
        <w:t>, the current</w:t>
      </w:r>
      <w:r w:rsidR="00C95C5C" w:rsidRPr="00FA1BCF">
        <w:rPr>
          <w:rFonts w:cs="Arial"/>
          <w:szCs w:val="24"/>
        </w:rPr>
        <w:t xml:space="preserve"> E</w:t>
      </w:r>
      <w:r w:rsidR="00E3141F" w:rsidRPr="00FA1BCF">
        <w:rPr>
          <w:rFonts w:cs="Arial"/>
          <w:szCs w:val="24"/>
        </w:rPr>
        <w:t>conomic Sub-Committee</w:t>
      </w:r>
      <w:r w:rsidR="001F6C7F" w:rsidRPr="00FA1BCF">
        <w:rPr>
          <w:rFonts w:cs="Arial"/>
          <w:szCs w:val="24"/>
        </w:rPr>
        <w:t xml:space="preserve"> (ESC)</w:t>
      </w:r>
      <w:r w:rsidR="00E3141F" w:rsidRPr="00FA1BCF">
        <w:rPr>
          <w:rFonts w:cs="Arial"/>
          <w:szCs w:val="24"/>
        </w:rPr>
        <w:t xml:space="preserve"> would be </w:t>
      </w:r>
      <w:r w:rsidRPr="00FA1BCF">
        <w:rPr>
          <w:rFonts w:cs="Arial"/>
          <w:szCs w:val="24"/>
        </w:rPr>
        <w:t xml:space="preserve">supplemented </w:t>
      </w:r>
      <w:r w:rsidR="00C95C5C" w:rsidRPr="00FA1BCF">
        <w:rPr>
          <w:rFonts w:cs="Arial"/>
          <w:szCs w:val="24"/>
        </w:rPr>
        <w:t xml:space="preserve">by </w:t>
      </w:r>
      <w:r w:rsidRPr="00FA1BCF">
        <w:rPr>
          <w:rFonts w:cs="Arial"/>
          <w:szCs w:val="24"/>
        </w:rPr>
        <w:t>relevant clinical specialists (i.e. an expanded Economics Sub-Committee</w:t>
      </w:r>
      <w:r w:rsidR="00785B99" w:rsidRPr="00FA1BCF">
        <w:rPr>
          <w:rFonts w:cs="Arial"/>
          <w:szCs w:val="24"/>
        </w:rPr>
        <w:t>, ESC</w:t>
      </w:r>
      <w:r w:rsidR="00C95C5C" w:rsidRPr="00FA1BCF">
        <w:rPr>
          <w:rFonts w:cs="Arial"/>
          <w:szCs w:val="24"/>
        </w:rPr>
        <w:t>+</w:t>
      </w:r>
      <w:r w:rsidRPr="00FA1BCF">
        <w:rPr>
          <w:rFonts w:cs="Arial"/>
          <w:szCs w:val="24"/>
        </w:rPr>
        <w:t xml:space="preserve">) </w:t>
      </w:r>
      <w:r w:rsidR="00E3141F" w:rsidRPr="00FA1BCF">
        <w:rPr>
          <w:rFonts w:cs="Arial"/>
          <w:szCs w:val="24"/>
        </w:rPr>
        <w:t xml:space="preserve">for consideration of that medicine to assist in framing advice </w:t>
      </w:r>
      <w:r w:rsidRPr="00FA1BCF">
        <w:rPr>
          <w:rFonts w:cs="Arial"/>
          <w:szCs w:val="24"/>
        </w:rPr>
        <w:t xml:space="preserve">to the PBAC. This represents the second </w:t>
      </w:r>
      <w:r w:rsidR="00E3141F" w:rsidRPr="00FA1BCF">
        <w:rPr>
          <w:rFonts w:cs="Arial"/>
          <w:szCs w:val="24"/>
        </w:rPr>
        <w:t xml:space="preserve">additional </w:t>
      </w:r>
      <w:r w:rsidRPr="00FA1BCF">
        <w:rPr>
          <w:rFonts w:cs="Arial"/>
          <w:szCs w:val="24"/>
        </w:rPr>
        <w:t xml:space="preserve">step of the </w:t>
      </w:r>
      <w:r w:rsidR="009A438D" w:rsidRPr="00FA1BCF">
        <w:rPr>
          <w:rFonts w:cs="Arial"/>
          <w:szCs w:val="24"/>
        </w:rPr>
        <w:t xml:space="preserve">medicine </w:t>
      </w:r>
      <w:r w:rsidRPr="00FA1BCF">
        <w:rPr>
          <w:rFonts w:cs="Arial"/>
          <w:szCs w:val="24"/>
        </w:rPr>
        <w:t>evaluation process.</w:t>
      </w:r>
      <w:r w:rsidR="00B56F35" w:rsidRPr="00FA1BCF">
        <w:rPr>
          <w:rFonts w:cs="Arial"/>
          <w:szCs w:val="24"/>
        </w:rPr>
        <w:t xml:space="preserve"> </w:t>
      </w:r>
      <w:r w:rsidRPr="00FA1BCF">
        <w:rPr>
          <w:rFonts w:cs="Arial"/>
          <w:szCs w:val="24"/>
        </w:rPr>
        <w:t xml:space="preserve">Similar to ESC and </w:t>
      </w:r>
      <w:r w:rsidR="00785B99" w:rsidRPr="00FA1BCF">
        <w:rPr>
          <w:rFonts w:cs="Arial"/>
          <w:szCs w:val="24"/>
        </w:rPr>
        <w:t>the Drug Utilisation Sub-Committee</w:t>
      </w:r>
      <w:r w:rsidR="001F6C7F" w:rsidRPr="00FA1BCF">
        <w:rPr>
          <w:rFonts w:cs="Arial"/>
          <w:szCs w:val="24"/>
        </w:rPr>
        <w:t>,</w:t>
      </w:r>
      <w:r w:rsidR="00785B99" w:rsidRPr="00FA1BCF">
        <w:rPr>
          <w:rFonts w:cs="Arial"/>
          <w:szCs w:val="24"/>
        </w:rPr>
        <w:t xml:space="preserve"> </w:t>
      </w:r>
      <w:r w:rsidRPr="00FA1BCF">
        <w:rPr>
          <w:rFonts w:cs="Arial"/>
          <w:szCs w:val="24"/>
        </w:rPr>
        <w:t xml:space="preserve">this </w:t>
      </w:r>
      <w:r w:rsidR="001F6C7F" w:rsidRPr="00FA1BCF">
        <w:rPr>
          <w:rFonts w:cs="Arial"/>
          <w:szCs w:val="24"/>
        </w:rPr>
        <w:t>c</w:t>
      </w:r>
      <w:r w:rsidRPr="00FA1BCF">
        <w:rPr>
          <w:rFonts w:cs="Arial"/>
          <w:szCs w:val="24"/>
        </w:rPr>
        <w:t>ommittee would not have voting rights on the funding decision. Its primary role would be to advi</w:t>
      </w:r>
      <w:r w:rsidR="001F6C7F" w:rsidRPr="00FA1BCF">
        <w:rPr>
          <w:rFonts w:cs="Arial"/>
          <w:szCs w:val="24"/>
        </w:rPr>
        <w:t>s</w:t>
      </w:r>
      <w:r w:rsidRPr="00FA1BCF">
        <w:rPr>
          <w:rFonts w:cs="Arial"/>
          <w:szCs w:val="24"/>
        </w:rPr>
        <w:t xml:space="preserve">e on appropriate levels of </w:t>
      </w:r>
      <w:r w:rsidRPr="00FA1BCF">
        <w:rPr>
          <w:rFonts w:cs="Arial"/>
          <w:szCs w:val="24"/>
        </w:rPr>
        <w:lastRenderedPageBreak/>
        <w:t>evidence, funding options, future likely treatments and potential impacts on the health system</w:t>
      </w:r>
      <w:r w:rsidR="001F6C7F" w:rsidRPr="00FA1BCF">
        <w:rPr>
          <w:rFonts w:cs="Arial"/>
          <w:szCs w:val="24"/>
        </w:rPr>
        <w:t>,</w:t>
      </w:r>
      <w:r w:rsidRPr="00FA1BCF">
        <w:rPr>
          <w:rFonts w:cs="Arial"/>
          <w:szCs w:val="24"/>
        </w:rPr>
        <w:t xml:space="preserve"> and also recommendations on agreed levels of evidence acceptable in advance of clinical tri</w:t>
      </w:r>
      <w:r w:rsidR="00DA3DC7" w:rsidRPr="00FA1BCF">
        <w:rPr>
          <w:rFonts w:cs="Arial"/>
          <w:szCs w:val="24"/>
        </w:rPr>
        <w:t xml:space="preserve">als. </w:t>
      </w:r>
    </w:p>
    <w:p w:rsidR="00CC79FE" w:rsidRPr="00FA1BCF" w:rsidRDefault="00CC79FE" w:rsidP="00E436E7">
      <w:pPr>
        <w:widowControl w:val="0"/>
        <w:tabs>
          <w:tab w:val="left" w:pos="220"/>
          <w:tab w:val="left" w:pos="720"/>
        </w:tabs>
        <w:autoSpaceDE w:val="0"/>
        <w:autoSpaceDN w:val="0"/>
        <w:adjustRightInd w:val="0"/>
        <w:jc w:val="both"/>
        <w:rPr>
          <w:rFonts w:cs="Arial"/>
          <w:szCs w:val="24"/>
        </w:rPr>
      </w:pPr>
      <w:r w:rsidRPr="00FA1BCF">
        <w:rPr>
          <w:rFonts w:cs="Arial"/>
          <w:szCs w:val="24"/>
        </w:rPr>
        <w:t>The PBAC would retain responsibility for recommending appropriate indication and target population</w:t>
      </w:r>
      <w:r w:rsidR="001F6C7F" w:rsidRPr="00FA1BCF">
        <w:rPr>
          <w:rFonts w:cs="Arial"/>
          <w:szCs w:val="24"/>
        </w:rPr>
        <w:t>s</w:t>
      </w:r>
      <w:r w:rsidRPr="00FA1BCF">
        <w:rPr>
          <w:rFonts w:cs="Arial"/>
          <w:szCs w:val="24"/>
        </w:rPr>
        <w:t xml:space="preserve"> for the </w:t>
      </w:r>
      <w:r w:rsidR="009A438D" w:rsidRPr="00FA1BCF">
        <w:rPr>
          <w:rFonts w:cs="Arial"/>
          <w:szCs w:val="24"/>
        </w:rPr>
        <w:t xml:space="preserve">medicine </w:t>
      </w:r>
      <w:r w:rsidRPr="00FA1BCF">
        <w:rPr>
          <w:rFonts w:cs="Arial"/>
          <w:szCs w:val="24"/>
        </w:rPr>
        <w:t xml:space="preserve">in question to the Minister. Mirroring section 100 </w:t>
      </w:r>
      <w:r w:rsidR="00A26B5E" w:rsidRPr="00FA1BCF">
        <w:rPr>
          <w:rFonts w:cs="Arial"/>
          <w:szCs w:val="24"/>
        </w:rPr>
        <w:t xml:space="preserve">medicines </w:t>
      </w:r>
      <w:r w:rsidRPr="00FA1BCF">
        <w:rPr>
          <w:rFonts w:cs="Arial"/>
          <w:szCs w:val="24"/>
        </w:rPr>
        <w:t>listed on the PBS, administration of the intentions of the PBAC decisions would be the responsibility of the Department of Human Services (Medicare).</w:t>
      </w:r>
    </w:p>
    <w:p w:rsidR="00324DA8" w:rsidRPr="00FA1BCF" w:rsidRDefault="0098589E" w:rsidP="00E436E7">
      <w:pPr>
        <w:pStyle w:val="Heading2"/>
        <w:rPr>
          <w:szCs w:val="24"/>
          <w:lang w:eastAsia="en-AU"/>
        </w:rPr>
      </w:pPr>
      <w:bookmarkStart w:id="76" w:name="_Toc302625625"/>
      <w:r w:rsidRPr="00FA1BCF">
        <w:t>8.1</w:t>
      </w:r>
      <w:r w:rsidRPr="00FA1BCF">
        <w:rPr>
          <w:lang w:eastAsia="en-AU"/>
        </w:rPr>
        <w:t xml:space="preserve">. </w:t>
      </w:r>
      <w:r w:rsidR="00324DA8" w:rsidRPr="00FA1BCF">
        <w:rPr>
          <w:lang w:eastAsia="en-AU"/>
        </w:rPr>
        <w:t xml:space="preserve">Steps to </w:t>
      </w:r>
      <w:r w:rsidR="00FF4324" w:rsidRPr="00FA1BCF">
        <w:rPr>
          <w:lang w:eastAsia="en-AU"/>
        </w:rPr>
        <w:t>t</w:t>
      </w:r>
      <w:r w:rsidR="00324DA8" w:rsidRPr="00FA1BCF">
        <w:rPr>
          <w:lang w:eastAsia="en-AU"/>
        </w:rPr>
        <w:t xml:space="preserve">ransforming the </w:t>
      </w:r>
      <w:r w:rsidR="00FF4324" w:rsidRPr="00FA1BCF">
        <w:rPr>
          <w:lang w:eastAsia="en-AU"/>
        </w:rPr>
        <w:t xml:space="preserve">Life Saving Drugs Programme </w:t>
      </w:r>
      <w:r w:rsidR="00324DA8" w:rsidRPr="00FA1BCF">
        <w:rPr>
          <w:lang w:eastAsia="en-AU"/>
        </w:rPr>
        <w:t xml:space="preserve">into </w:t>
      </w:r>
      <w:r w:rsidR="00B349D4" w:rsidRPr="00FA1BCF">
        <w:rPr>
          <w:lang w:eastAsia="en-AU"/>
        </w:rPr>
        <w:t>a s</w:t>
      </w:r>
      <w:r w:rsidR="00324DA8" w:rsidRPr="00FA1BCF">
        <w:rPr>
          <w:lang w:eastAsia="en-AU"/>
        </w:rPr>
        <w:t>ection 100 Medicines for Rare Disease</w:t>
      </w:r>
      <w:r w:rsidR="00FF4324" w:rsidRPr="00FA1BCF">
        <w:rPr>
          <w:lang w:eastAsia="en-AU"/>
        </w:rPr>
        <w:t>s</w:t>
      </w:r>
      <w:r w:rsidR="00324DA8" w:rsidRPr="00FA1BCF">
        <w:rPr>
          <w:lang w:eastAsia="en-AU"/>
        </w:rPr>
        <w:t xml:space="preserve"> Program</w:t>
      </w:r>
      <w:r w:rsidR="00FF4324" w:rsidRPr="00FA1BCF">
        <w:rPr>
          <w:lang w:eastAsia="en-AU"/>
        </w:rPr>
        <w:t>me</w:t>
      </w:r>
      <w:bookmarkEnd w:id="76"/>
      <w:r w:rsidR="00B56F35" w:rsidRPr="00FA1BCF">
        <w:rPr>
          <w:lang w:eastAsia="en-AU"/>
        </w:rPr>
        <w:t xml:space="preserve"> </w:t>
      </w:r>
    </w:p>
    <w:p w:rsidR="00611164" w:rsidRPr="00FA1BCF" w:rsidRDefault="00611164" w:rsidP="00083595">
      <w:pPr>
        <w:jc w:val="both"/>
        <w:rPr>
          <w:rFonts w:eastAsia="Times New Roman" w:cs="Times New Roman"/>
          <w:szCs w:val="24"/>
          <w:lang w:eastAsia="en-AU"/>
        </w:rPr>
      </w:pPr>
      <w:r w:rsidRPr="00FA1BCF">
        <w:rPr>
          <w:rFonts w:eastAsia="Times New Roman" w:cs="Times New Roman"/>
          <w:szCs w:val="24"/>
          <w:lang w:eastAsia="en-AU"/>
        </w:rPr>
        <w:t xml:space="preserve">The </w:t>
      </w:r>
      <w:r w:rsidR="00F11CA5" w:rsidRPr="00FA1BCF">
        <w:rPr>
          <w:rFonts w:eastAsia="Times New Roman" w:cs="Times New Roman"/>
          <w:szCs w:val="24"/>
          <w:lang w:eastAsia="en-AU"/>
        </w:rPr>
        <w:t>reference group</w:t>
      </w:r>
      <w:r w:rsidRPr="00FA1BCF">
        <w:rPr>
          <w:rFonts w:eastAsia="Times New Roman" w:cs="Times New Roman"/>
          <w:szCs w:val="24"/>
          <w:lang w:eastAsia="en-AU"/>
        </w:rPr>
        <w:t xml:space="preserve"> noted that, if the decision </w:t>
      </w:r>
      <w:r w:rsidR="00B349D4" w:rsidRPr="00FA1BCF">
        <w:rPr>
          <w:rFonts w:eastAsia="Times New Roman" w:cs="Times New Roman"/>
          <w:szCs w:val="24"/>
          <w:lang w:eastAsia="en-AU"/>
        </w:rPr>
        <w:t xml:space="preserve">is </w:t>
      </w:r>
      <w:r w:rsidRPr="00FA1BCF">
        <w:rPr>
          <w:rFonts w:eastAsia="Times New Roman" w:cs="Times New Roman"/>
          <w:szCs w:val="24"/>
          <w:lang w:eastAsia="en-AU"/>
        </w:rPr>
        <w:t xml:space="preserve">made to create a </w:t>
      </w:r>
      <w:r w:rsidR="00B349D4" w:rsidRPr="00FA1BCF">
        <w:rPr>
          <w:rFonts w:eastAsia="Times New Roman" w:cs="Times New Roman"/>
          <w:szCs w:val="24"/>
          <w:lang w:eastAsia="en-AU"/>
        </w:rPr>
        <w:t>section 100</w:t>
      </w:r>
      <w:r w:rsidRPr="00FA1BCF">
        <w:rPr>
          <w:rFonts w:eastAsia="Times New Roman" w:cs="Times New Roman"/>
          <w:szCs w:val="24"/>
          <w:lang w:eastAsia="en-AU"/>
        </w:rPr>
        <w:t xml:space="preserve"> MRDP, it </w:t>
      </w:r>
      <w:r w:rsidR="00B349D4" w:rsidRPr="00FA1BCF">
        <w:rPr>
          <w:rFonts w:eastAsia="Times New Roman" w:cs="Times New Roman"/>
          <w:szCs w:val="24"/>
          <w:lang w:eastAsia="en-AU"/>
        </w:rPr>
        <w:t xml:space="preserve">will be </w:t>
      </w:r>
      <w:r w:rsidRPr="00FA1BCF">
        <w:rPr>
          <w:rFonts w:eastAsia="Times New Roman" w:cs="Times New Roman"/>
          <w:szCs w:val="24"/>
          <w:lang w:eastAsia="en-AU"/>
        </w:rPr>
        <w:t>important to ensure that</w:t>
      </w:r>
      <w:r w:rsidR="00B349D4" w:rsidRPr="00FA1BCF">
        <w:rPr>
          <w:rFonts w:eastAsia="Times New Roman" w:cs="Times New Roman"/>
          <w:szCs w:val="24"/>
          <w:lang w:eastAsia="en-AU"/>
        </w:rPr>
        <w:t>,</w:t>
      </w:r>
      <w:r w:rsidRPr="00FA1BCF">
        <w:rPr>
          <w:rFonts w:eastAsia="Times New Roman" w:cs="Times New Roman"/>
          <w:szCs w:val="24"/>
          <w:lang w:eastAsia="en-AU"/>
        </w:rPr>
        <w:t xml:space="preserve"> prior to cessation of the LSDP</w:t>
      </w:r>
      <w:r w:rsidR="00B349D4" w:rsidRPr="00FA1BCF">
        <w:rPr>
          <w:rFonts w:eastAsia="Times New Roman" w:cs="Times New Roman"/>
          <w:szCs w:val="24"/>
          <w:lang w:eastAsia="en-AU"/>
        </w:rPr>
        <w:t>,</w:t>
      </w:r>
      <w:r w:rsidRPr="00FA1BCF">
        <w:rPr>
          <w:rFonts w:eastAsia="Times New Roman" w:cs="Times New Roman"/>
          <w:szCs w:val="24"/>
          <w:lang w:eastAsia="en-AU"/>
        </w:rPr>
        <w:t xml:space="preserve"> arrangements </w:t>
      </w:r>
      <w:r w:rsidR="00B349D4" w:rsidRPr="00FA1BCF">
        <w:rPr>
          <w:rFonts w:eastAsia="Times New Roman" w:cs="Times New Roman"/>
          <w:szCs w:val="24"/>
          <w:lang w:eastAsia="en-AU"/>
        </w:rPr>
        <w:t>are</w:t>
      </w:r>
      <w:r w:rsidRPr="00FA1BCF">
        <w:rPr>
          <w:rFonts w:eastAsia="Times New Roman" w:cs="Times New Roman"/>
          <w:szCs w:val="24"/>
          <w:lang w:eastAsia="en-AU"/>
        </w:rPr>
        <w:t xml:space="preserve"> in place to ensure: </w:t>
      </w:r>
    </w:p>
    <w:p w:rsidR="00611164" w:rsidRPr="00FA1BCF" w:rsidRDefault="00B349D4" w:rsidP="00611164">
      <w:pPr>
        <w:pStyle w:val="ListParagraph"/>
        <w:numPr>
          <w:ilvl w:val="0"/>
          <w:numId w:val="43"/>
        </w:numPr>
        <w:jc w:val="both"/>
        <w:rPr>
          <w:rFonts w:eastAsia="Times New Roman" w:cs="Times New Roman"/>
          <w:szCs w:val="24"/>
          <w:lang w:eastAsia="en-AU"/>
        </w:rPr>
      </w:pPr>
      <w:r w:rsidRPr="00FA1BCF">
        <w:rPr>
          <w:rFonts w:eastAsia="Times New Roman" w:cs="Times New Roman"/>
          <w:szCs w:val="24"/>
          <w:lang w:eastAsia="en-AU"/>
        </w:rPr>
        <w:t xml:space="preserve">there is </w:t>
      </w:r>
      <w:r w:rsidR="00611164" w:rsidRPr="00FA1BCF">
        <w:rPr>
          <w:rFonts w:eastAsia="Times New Roman" w:cs="Times New Roman"/>
          <w:szCs w:val="24"/>
          <w:lang w:eastAsia="en-AU"/>
        </w:rPr>
        <w:t xml:space="preserve">no disruption in supply to patients of the currently subsidised medicines for rare diseases </w:t>
      </w:r>
    </w:p>
    <w:p w:rsidR="00611164" w:rsidRPr="00FA1BCF" w:rsidRDefault="00611164" w:rsidP="00BA5153">
      <w:pPr>
        <w:pStyle w:val="ListParagraph"/>
        <w:numPr>
          <w:ilvl w:val="0"/>
          <w:numId w:val="43"/>
        </w:numPr>
        <w:jc w:val="both"/>
        <w:rPr>
          <w:rFonts w:eastAsia="Times New Roman" w:cs="Times New Roman"/>
          <w:szCs w:val="24"/>
          <w:lang w:eastAsia="en-AU"/>
        </w:rPr>
      </w:pPr>
      <w:r w:rsidRPr="00FA1BCF">
        <w:rPr>
          <w:rFonts w:eastAsia="Times New Roman" w:cs="Times New Roman"/>
          <w:szCs w:val="24"/>
          <w:lang w:eastAsia="en-AU"/>
        </w:rPr>
        <w:t xml:space="preserve">existing patients, their </w:t>
      </w:r>
      <w:proofErr w:type="spellStart"/>
      <w:r w:rsidRPr="00FA1BCF">
        <w:rPr>
          <w:rFonts w:eastAsia="Times New Roman" w:cs="Times New Roman"/>
          <w:szCs w:val="24"/>
          <w:lang w:eastAsia="en-AU"/>
        </w:rPr>
        <w:t>carers</w:t>
      </w:r>
      <w:proofErr w:type="spellEnd"/>
      <w:r w:rsidRPr="00FA1BCF">
        <w:rPr>
          <w:rFonts w:eastAsia="Times New Roman" w:cs="Times New Roman"/>
          <w:szCs w:val="24"/>
          <w:lang w:eastAsia="en-AU"/>
        </w:rPr>
        <w:t xml:space="preserve"> and their clinicians </w:t>
      </w:r>
      <w:r w:rsidR="00B349D4" w:rsidRPr="00FA1BCF">
        <w:rPr>
          <w:rFonts w:eastAsia="Times New Roman" w:cs="Times New Roman"/>
          <w:szCs w:val="24"/>
          <w:lang w:eastAsia="en-AU"/>
        </w:rPr>
        <w:t>are</w:t>
      </w:r>
      <w:r w:rsidRPr="00FA1BCF">
        <w:rPr>
          <w:rFonts w:eastAsia="Times New Roman" w:cs="Times New Roman"/>
          <w:szCs w:val="24"/>
          <w:lang w:eastAsia="en-AU"/>
        </w:rPr>
        <w:t xml:space="preserve"> made aware of the proposed changes and reassured that access </w:t>
      </w:r>
      <w:r w:rsidR="00B349D4" w:rsidRPr="00FA1BCF">
        <w:rPr>
          <w:rFonts w:eastAsia="Times New Roman" w:cs="Times New Roman"/>
          <w:szCs w:val="24"/>
          <w:lang w:eastAsia="en-AU"/>
        </w:rPr>
        <w:t xml:space="preserve">will </w:t>
      </w:r>
      <w:r w:rsidRPr="00FA1BCF">
        <w:rPr>
          <w:rFonts w:eastAsia="Times New Roman" w:cs="Times New Roman"/>
          <w:szCs w:val="24"/>
          <w:lang w:eastAsia="en-AU"/>
        </w:rPr>
        <w:t>continue</w:t>
      </w:r>
    </w:p>
    <w:p w:rsidR="00324DA8" w:rsidRPr="00E436E7" w:rsidRDefault="00B349D4" w:rsidP="00E436E7">
      <w:pPr>
        <w:pStyle w:val="ListParagraph"/>
        <w:numPr>
          <w:ilvl w:val="0"/>
          <w:numId w:val="43"/>
        </w:numPr>
        <w:jc w:val="both"/>
        <w:rPr>
          <w:rFonts w:eastAsia="Times New Roman" w:cs="Times New Roman"/>
          <w:b/>
          <w:szCs w:val="24"/>
          <w:lang w:eastAsia="en-AU"/>
        </w:rPr>
      </w:pPr>
      <w:proofErr w:type="gramStart"/>
      <w:r w:rsidRPr="00FA1BCF">
        <w:rPr>
          <w:rFonts w:eastAsia="Times New Roman" w:cs="Times New Roman"/>
          <w:szCs w:val="24"/>
          <w:lang w:eastAsia="en-AU"/>
        </w:rPr>
        <w:t>t</w:t>
      </w:r>
      <w:r w:rsidR="00611164" w:rsidRPr="00FA1BCF">
        <w:rPr>
          <w:rFonts w:eastAsia="Times New Roman" w:cs="Times New Roman"/>
          <w:szCs w:val="24"/>
          <w:lang w:eastAsia="en-AU"/>
        </w:rPr>
        <w:t>he</w:t>
      </w:r>
      <w:proofErr w:type="gramEnd"/>
      <w:r w:rsidR="00611164" w:rsidRPr="00FA1BCF">
        <w:rPr>
          <w:rFonts w:eastAsia="Times New Roman" w:cs="Times New Roman"/>
          <w:szCs w:val="24"/>
          <w:lang w:eastAsia="en-AU"/>
        </w:rPr>
        <w:t xml:space="preserve"> rare diseases community more broadly </w:t>
      </w:r>
      <w:r w:rsidRPr="00FA1BCF">
        <w:rPr>
          <w:rFonts w:eastAsia="Times New Roman" w:cs="Times New Roman"/>
          <w:szCs w:val="24"/>
          <w:lang w:eastAsia="en-AU"/>
        </w:rPr>
        <w:t xml:space="preserve">is </w:t>
      </w:r>
      <w:r w:rsidR="00611164" w:rsidRPr="00FA1BCF">
        <w:rPr>
          <w:rFonts w:eastAsia="Times New Roman" w:cs="Times New Roman"/>
          <w:szCs w:val="24"/>
          <w:lang w:eastAsia="en-AU"/>
        </w:rPr>
        <w:t>informed of the changes.</w:t>
      </w:r>
    </w:p>
    <w:p w:rsidR="00CC79FE" w:rsidRPr="00FA1BCF" w:rsidRDefault="00324DA8" w:rsidP="00E436E7">
      <w:pPr>
        <w:pStyle w:val="Heading2"/>
        <w:rPr>
          <w:lang w:eastAsia="en-AU"/>
        </w:rPr>
      </w:pPr>
      <w:bookmarkStart w:id="77" w:name="_Toc302625626"/>
      <w:r w:rsidRPr="00FA1BCF">
        <w:rPr>
          <w:lang w:eastAsia="en-AU"/>
        </w:rPr>
        <w:t xml:space="preserve">8.2. Integrating the </w:t>
      </w:r>
      <w:r w:rsidR="00B349D4" w:rsidRPr="00FA1BCF">
        <w:rPr>
          <w:lang w:eastAsia="en-AU"/>
        </w:rPr>
        <w:t>section 100</w:t>
      </w:r>
      <w:r w:rsidRPr="00FA1BCF">
        <w:rPr>
          <w:lang w:eastAsia="en-AU"/>
        </w:rPr>
        <w:t xml:space="preserve"> Medicines for Rare Disease</w:t>
      </w:r>
      <w:r w:rsidR="000250B9" w:rsidRPr="00FA1BCF">
        <w:rPr>
          <w:lang w:eastAsia="en-AU"/>
        </w:rPr>
        <w:t>s</w:t>
      </w:r>
      <w:r w:rsidRPr="00FA1BCF">
        <w:rPr>
          <w:lang w:eastAsia="en-AU"/>
        </w:rPr>
        <w:t xml:space="preserve"> Program</w:t>
      </w:r>
      <w:r w:rsidR="00C57AD1" w:rsidRPr="00FA1BCF">
        <w:rPr>
          <w:lang w:eastAsia="en-AU"/>
        </w:rPr>
        <w:t>me</w:t>
      </w:r>
      <w:r w:rsidR="00CC79FE" w:rsidRPr="00FA1BCF">
        <w:rPr>
          <w:lang w:eastAsia="en-AU"/>
        </w:rPr>
        <w:t xml:space="preserve"> into the </w:t>
      </w:r>
      <w:r w:rsidR="00FF4324" w:rsidRPr="00FA1BCF">
        <w:rPr>
          <w:lang w:eastAsia="en-AU"/>
        </w:rPr>
        <w:t xml:space="preserve">Pharmaceutical Benefits Advisory Committee </w:t>
      </w:r>
      <w:r w:rsidR="00CC79FE" w:rsidRPr="00FA1BCF">
        <w:rPr>
          <w:lang w:eastAsia="en-AU"/>
        </w:rPr>
        <w:t>process</w:t>
      </w:r>
      <w:bookmarkEnd w:id="77"/>
    </w:p>
    <w:p w:rsidR="00852D89" w:rsidRPr="00FA1BCF" w:rsidRDefault="0098589E" w:rsidP="00083595">
      <w:pPr>
        <w:jc w:val="both"/>
        <w:rPr>
          <w:rFonts w:eastAsia="Times New Roman" w:cs="Times New Roman"/>
          <w:b/>
          <w:szCs w:val="24"/>
          <w:lang w:eastAsia="en-AU"/>
        </w:rPr>
      </w:pPr>
      <w:r w:rsidRPr="00FA1BCF">
        <w:rPr>
          <w:rFonts w:eastAsia="Times New Roman" w:cs="Times New Roman"/>
          <w:szCs w:val="24"/>
          <w:lang w:eastAsia="en-AU"/>
        </w:rPr>
        <w:t>The proposed process for application under the new PBS Medicines for Rare Disease</w:t>
      </w:r>
      <w:r w:rsidR="000250B9" w:rsidRPr="00FA1BCF">
        <w:rPr>
          <w:rFonts w:eastAsia="Times New Roman" w:cs="Times New Roman"/>
          <w:szCs w:val="24"/>
          <w:lang w:eastAsia="en-AU"/>
        </w:rPr>
        <w:t>s</w:t>
      </w:r>
      <w:r w:rsidRPr="00FA1BCF">
        <w:rPr>
          <w:rFonts w:eastAsia="Times New Roman" w:cs="Times New Roman"/>
          <w:szCs w:val="24"/>
          <w:lang w:eastAsia="en-AU"/>
        </w:rPr>
        <w:t xml:space="preserve"> Programme would be aligned to the existing </w:t>
      </w:r>
      <w:r w:rsidR="00852D89" w:rsidRPr="00FA1BCF">
        <w:rPr>
          <w:rFonts w:eastAsia="Times New Roman" w:cs="Times New Roman"/>
          <w:szCs w:val="24"/>
          <w:lang w:eastAsia="en-AU"/>
        </w:rPr>
        <w:t xml:space="preserve">PBAC cycle with the following steps. </w:t>
      </w:r>
    </w:p>
    <w:p w:rsidR="00324DA8" w:rsidRPr="00FA1BCF" w:rsidRDefault="00324DA8" w:rsidP="00C57AD1">
      <w:pPr>
        <w:pStyle w:val="ListParagraph"/>
        <w:numPr>
          <w:ilvl w:val="0"/>
          <w:numId w:val="38"/>
        </w:numPr>
        <w:jc w:val="both"/>
        <w:rPr>
          <w:rFonts w:eastAsia="Times New Roman" w:cs="Times New Roman"/>
          <w:szCs w:val="24"/>
          <w:lang w:eastAsia="en-AU"/>
        </w:rPr>
      </w:pPr>
      <w:r w:rsidRPr="00FA1BCF">
        <w:rPr>
          <w:rFonts w:eastAsia="Times New Roman" w:cs="Times New Roman"/>
          <w:szCs w:val="24"/>
          <w:lang w:eastAsia="en-AU"/>
        </w:rPr>
        <w:t>Pre-</w:t>
      </w:r>
      <w:r w:rsidR="00B349D4" w:rsidRPr="00FA1BCF">
        <w:rPr>
          <w:rFonts w:eastAsia="Times New Roman" w:cs="Times New Roman"/>
          <w:szCs w:val="24"/>
          <w:lang w:eastAsia="en-AU"/>
        </w:rPr>
        <w:t>s</w:t>
      </w:r>
      <w:r w:rsidRPr="00FA1BCF">
        <w:rPr>
          <w:rFonts w:eastAsia="Times New Roman" w:cs="Times New Roman"/>
          <w:szCs w:val="24"/>
          <w:lang w:eastAsia="en-AU"/>
        </w:rPr>
        <w:t xml:space="preserve">ubmission </w:t>
      </w:r>
      <w:r w:rsidR="006439BE" w:rsidRPr="00FA1BCF">
        <w:rPr>
          <w:rFonts w:eastAsia="Times New Roman" w:cs="Times New Roman"/>
          <w:szCs w:val="24"/>
          <w:lang w:eastAsia="en-AU"/>
        </w:rPr>
        <w:t>discussion</w:t>
      </w:r>
      <w:r w:rsidRPr="00FA1BCF">
        <w:rPr>
          <w:rFonts w:eastAsia="Times New Roman" w:cs="Times New Roman"/>
          <w:szCs w:val="24"/>
          <w:lang w:eastAsia="en-AU"/>
        </w:rPr>
        <w:t xml:space="preserve"> </w:t>
      </w:r>
      <w:r w:rsidR="00C57AD1" w:rsidRPr="00FA1BCF">
        <w:rPr>
          <w:rFonts w:eastAsia="Times New Roman" w:cs="Times New Roman"/>
          <w:szCs w:val="24"/>
          <w:lang w:eastAsia="en-AU"/>
        </w:rPr>
        <w:t xml:space="preserve">between </w:t>
      </w:r>
      <w:r w:rsidR="00B349D4" w:rsidRPr="00FA1BCF">
        <w:rPr>
          <w:rFonts w:eastAsia="Times New Roman" w:cs="Times New Roman"/>
          <w:szCs w:val="24"/>
          <w:lang w:eastAsia="en-AU"/>
        </w:rPr>
        <w:t xml:space="preserve">the </w:t>
      </w:r>
      <w:r w:rsidR="00C57AD1" w:rsidRPr="00FA1BCF">
        <w:rPr>
          <w:rFonts w:eastAsia="Times New Roman" w:cs="Times New Roman"/>
          <w:szCs w:val="24"/>
          <w:lang w:eastAsia="en-AU"/>
        </w:rPr>
        <w:t xml:space="preserve">company and </w:t>
      </w:r>
      <w:r w:rsidR="00B349D4" w:rsidRPr="00FA1BCF">
        <w:rPr>
          <w:rFonts w:eastAsia="Times New Roman" w:cs="Times New Roman"/>
          <w:szCs w:val="24"/>
          <w:lang w:eastAsia="en-AU"/>
        </w:rPr>
        <w:t>the Pharmaceutical Evaluation Branch (</w:t>
      </w:r>
      <w:r w:rsidRPr="00FA1BCF">
        <w:rPr>
          <w:rFonts w:eastAsia="Times New Roman" w:cs="Times New Roman"/>
          <w:szCs w:val="24"/>
          <w:lang w:eastAsia="en-AU"/>
        </w:rPr>
        <w:t>PEB</w:t>
      </w:r>
      <w:r w:rsidR="00B349D4" w:rsidRPr="00FA1BCF">
        <w:rPr>
          <w:rFonts w:eastAsia="Times New Roman" w:cs="Times New Roman"/>
          <w:szCs w:val="24"/>
          <w:lang w:eastAsia="en-AU"/>
        </w:rPr>
        <w:t>)</w:t>
      </w:r>
      <w:r w:rsidR="006439BE" w:rsidRPr="00FA1BCF">
        <w:rPr>
          <w:rFonts w:eastAsia="Times New Roman" w:cs="Times New Roman"/>
          <w:szCs w:val="24"/>
          <w:lang w:eastAsia="en-AU"/>
        </w:rPr>
        <w:t>.</w:t>
      </w:r>
      <w:r w:rsidR="00C57AD1" w:rsidRPr="00FA1BCF">
        <w:rPr>
          <w:rFonts w:eastAsia="Times New Roman" w:cs="Times New Roman"/>
          <w:szCs w:val="24"/>
          <w:lang w:eastAsia="en-AU"/>
        </w:rPr>
        <w:t xml:space="preserve"> </w:t>
      </w:r>
      <w:r w:rsidR="00B349D4" w:rsidRPr="00FA1BCF">
        <w:rPr>
          <w:rFonts w:eastAsia="Times New Roman" w:cs="Times New Roman"/>
          <w:szCs w:val="24"/>
          <w:lang w:eastAsia="en-AU"/>
        </w:rPr>
        <w:t xml:space="preserve">As </w:t>
      </w:r>
      <w:r w:rsidR="00C57AD1" w:rsidRPr="00FA1BCF">
        <w:rPr>
          <w:rFonts w:eastAsia="Times New Roman" w:cs="Times New Roman"/>
          <w:szCs w:val="24"/>
          <w:lang w:eastAsia="en-AU"/>
        </w:rPr>
        <w:t>distinct</w:t>
      </w:r>
      <w:r w:rsidR="00B349D4" w:rsidRPr="00FA1BCF">
        <w:rPr>
          <w:rFonts w:eastAsia="Times New Roman" w:cs="Times New Roman"/>
          <w:szCs w:val="24"/>
          <w:lang w:eastAsia="en-AU"/>
        </w:rPr>
        <w:t xml:space="preserve"> from</w:t>
      </w:r>
      <w:r w:rsidR="00C57AD1" w:rsidRPr="00FA1BCF">
        <w:rPr>
          <w:rFonts w:eastAsia="Times New Roman" w:cs="Times New Roman"/>
          <w:szCs w:val="24"/>
          <w:lang w:eastAsia="en-AU"/>
        </w:rPr>
        <w:t xml:space="preserve"> the usual PBAC process</w:t>
      </w:r>
      <w:r w:rsidR="00E3141F" w:rsidRPr="00FA1BCF">
        <w:rPr>
          <w:rFonts w:eastAsia="Times New Roman" w:cs="Times New Roman"/>
          <w:szCs w:val="24"/>
          <w:lang w:eastAsia="en-AU"/>
        </w:rPr>
        <w:t>,</w:t>
      </w:r>
      <w:r w:rsidR="00C57AD1" w:rsidRPr="00FA1BCF">
        <w:rPr>
          <w:rFonts w:eastAsia="Times New Roman" w:cs="Times New Roman"/>
          <w:szCs w:val="24"/>
          <w:lang w:eastAsia="en-AU"/>
        </w:rPr>
        <w:t xml:space="preserve"> this would be a mandatory step. </w:t>
      </w:r>
    </w:p>
    <w:p w:rsidR="0098589E" w:rsidRPr="00FA1BCF" w:rsidRDefault="006439BE" w:rsidP="00C57AD1">
      <w:pPr>
        <w:pStyle w:val="ListParagraph"/>
        <w:numPr>
          <w:ilvl w:val="0"/>
          <w:numId w:val="38"/>
        </w:numPr>
        <w:jc w:val="both"/>
        <w:rPr>
          <w:rFonts w:eastAsia="Times New Roman" w:cs="Times New Roman"/>
          <w:szCs w:val="24"/>
          <w:lang w:eastAsia="en-AU"/>
        </w:rPr>
      </w:pPr>
      <w:r w:rsidRPr="00FA1BCF">
        <w:rPr>
          <w:rFonts w:eastAsia="Times New Roman" w:cs="Times New Roman"/>
          <w:szCs w:val="24"/>
          <w:lang w:eastAsia="en-AU"/>
        </w:rPr>
        <w:t>Pre-submission stakeholder meeting organised by</w:t>
      </w:r>
      <w:r w:rsidR="002B2B3D" w:rsidRPr="00FA1BCF">
        <w:rPr>
          <w:rFonts w:eastAsia="Times New Roman" w:cs="Times New Roman"/>
          <w:szCs w:val="24"/>
          <w:lang w:eastAsia="en-AU"/>
        </w:rPr>
        <w:t xml:space="preserve"> the</w:t>
      </w:r>
      <w:r w:rsidRPr="00FA1BCF">
        <w:rPr>
          <w:rFonts w:eastAsia="Times New Roman" w:cs="Times New Roman"/>
          <w:szCs w:val="24"/>
          <w:lang w:eastAsia="en-AU"/>
        </w:rPr>
        <w:t xml:space="preserve"> PE</w:t>
      </w:r>
      <w:r w:rsidR="002B2B3D" w:rsidRPr="00FA1BCF">
        <w:rPr>
          <w:rFonts w:eastAsia="Times New Roman" w:cs="Times New Roman"/>
          <w:szCs w:val="24"/>
          <w:lang w:eastAsia="en-AU"/>
        </w:rPr>
        <w:t>B,</w:t>
      </w:r>
      <w:r w:rsidRPr="00FA1BCF">
        <w:rPr>
          <w:rFonts w:eastAsia="Times New Roman" w:cs="Times New Roman"/>
          <w:szCs w:val="24"/>
          <w:lang w:eastAsia="en-AU"/>
        </w:rPr>
        <w:t xml:space="preserve"> including relevant clinical experts.</w:t>
      </w:r>
      <w:r w:rsidR="00B56F35" w:rsidRPr="00FA1BCF">
        <w:rPr>
          <w:rFonts w:eastAsia="Times New Roman" w:cs="Times New Roman"/>
          <w:szCs w:val="24"/>
          <w:lang w:eastAsia="en-AU"/>
        </w:rPr>
        <w:t xml:space="preserve"> </w:t>
      </w:r>
      <w:r w:rsidR="00C57AD1" w:rsidRPr="00FA1BCF">
        <w:rPr>
          <w:rFonts w:eastAsia="Times New Roman" w:cs="Times New Roman"/>
          <w:szCs w:val="24"/>
          <w:lang w:eastAsia="en-AU"/>
        </w:rPr>
        <w:t xml:space="preserve">This meeting would clarify treatment guidelines from </w:t>
      </w:r>
      <w:r w:rsidR="002B2B3D" w:rsidRPr="00FA1BCF">
        <w:rPr>
          <w:rFonts w:eastAsia="Times New Roman" w:cs="Times New Roman"/>
          <w:szCs w:val="24"/>
          <w:lang w:eastAsia="en-AU"/>
        </w:rPr>
        <w:t xml:space="preserve">a </w:t>
      </w:r>
      <w:r w:rsidR="00C57AD1" w:rsidRPr="00FA1BCF">
        <w:rPr>
          <w:rFonts w:eastAsia="Times New Roman" w:cs="Times New Roman"/>
          <w:szCs w:val="24"/>
          <w:lang w:eastAsia="en-AU"/>
        </w:rPr>
        <w:t>PBAC perspective including specific diagnostic criteria, eligibility requirements, dosing and other therapeutic considerations and</w:t>
      </w:r>
      <w:r w:rsidR="002B2B3D" w:rsidRPr="00FA1BCF">
        <w:rPr>
          <w:rFonts w:eastAsia="Times New Roman" w:cs="Times New Roman"/>
          <w:szCs w:val="24"/>
          <w:lang w:eastAsia="en-AU"/>
        </w:rPr>
        <w:t>,</w:t>
      </w:r>
      <w:r w:rsidR="00C57AD1" w:rsidRPr="00FA1BCF">
        <w:rPr>
          <w:rFonts w:eastAsia="Times New Roman" w:cs="Times New Roman"/>
          <w:szCs w:val="24"/>
          <w:lang w:eastAsia="en-AU"/>
        </w:rPr>
        <w:t xml:space="preserve"> where relevant</w:t>
      </w:r>
      <w:r w:rsidR="002B2B3D" w:rsidRPr="00FA1BCF">
        <w:rPr>
          <w:rFonts w:eastAsia="Times New Roman" w:cs="Times New Roman"/>
          <w:szCs w:val="24"/>
          <w:lang w:eastAsia="en-AU"/>
        </w:rPr>
        <w:t>,</w:t>
      </w:r>
      <w:r w:rsidR="00C57AD1" w:rsidRPr="00FA1BCF">
        <w:rPr>
          <w:rFonts w:eastAsia="Times New Roman" w:cs="Times New Roman"/>
          <w:szCs w:val="24"/>
          <w:lang w:eastAsia="en-AU"/>
        </w:rPr>
        <w:t xml:space="preserve"> stopping rules. Patients, carers and families would have an opportunity to present their perspective. This would also provide an opportunity for patients, carers and families to be fully informed of the benefits and limitations of medications.</w:t>
      </w:r>
    </w:p>
    <w:p w:rsidR="00C95C5C" w:rsidRPr="00FA1BCF" w:rsidRDefault="006439BE" w:rsidP="00E3141F">
      <w:pPr>
        <w:pStyle w:val="ListParagraph"/>
        <w:numPr>
          <w:ilvl w:val="0"/>
          <w:numId w:val="38"/>
        </w:numPr>
        <w:jc w:val="both"/>
        <w:rPr>
          <w:rFonts w:eastAsia="Times New Roman" w:cs="Times New Roman"/>
          <w:szCs w:val="24"/>
          <w:lang w:eastAsia="en-AU"/>
        </w:rPr>
      </w:pPr>
      <w:r w:rsidRPr="00FA1BCF">
        <w:rPr>
          <w:rFonts w:eastAsia="Times New Roman" w:cs="Times New Roman"/>
          <w:szCs w:val="24"/>
          <w:lang w:eastAsia="en-AU"/>
        </w:rPr>
        <w:t xml:space="preserve">Approval to submit under </w:t>
      </w:r>
      <w:r w:rsidR="002B2B3D" w:rsidRPr="00FA1BCF">
        <w:rPr>
          <w:rFonts w:eastAsia="Times New Roman" w:cs="Times New Roman"/>
          <w:szCs w:val="24"/>
          <w:lang w:eastAsia="en-AU"/>
        </w:rPr>
        <w:t xml:space="preserve">the </w:t>
      </w:r>
      <w:r w:rsidR="00B349D4" w:rsidRPr="00FA1BCF">
        <w:rPr>
          <w:rFonts w:eastAsia="Times New Roman" w:cs="Times New Roman"/>
          <w:szCs w:val="24"/>
          <w:lang w:eastAsia="en-AU"/>
        </w:rPr>
        <w:t>section 100</w:t>
      </w:r>
      <w:r w:rsidRPr="00FA1BCF">
        <w:rPr>
          <w:rFonts w:eastAsia="Times New Roman" w:cs="Times New Roman"/>
          <w:szCs w:val="24"/>
          <w:lang w:eastAsia="en-AU"/>
        </w:rPr>
        <w:t xml:space="preserve"> Medicines for Rare Diseases Program</w:t>
      </w:r>
      <w:r w:rsidR="002B2B3D" w:rsidRPr="00FA1BCF">
        <w:rPr>
          <w:rFonts w:eastAsia="Times New Roman" w:cs="Times New Roman"/>
          <w:szCs w:val="24"/>
          <w:lang w:eastAsia="en-AU"/>
        </w:rPr>
        <w:t>me</w:t>
      </w:r>
      <w:r w:rsidRPr="00FA1BCF">
        <w:rPr>
          <w:rFonts w:eastAsia="Times New Roman" w:cs="Times New Roman"/>
          <w:szCs w:val="24"/>
          <w:lang w:eastAsia="en-AU"/>
        </w:rPr>
        <w:t xml:space="preserve"> (</w:t>
      </w:r>
      <w:r w:rsidR="00806285" w:rsidRPr="00FA1BCF">
        <w:rPr>
          <w:rFonts w:eastAsia="Times New Roman" w:cs="Times New Roman"/>
          <w:szCs w:val="24"/>
          <w:lang w:eastAsia="en-AU"/>
        </w:rPr>
        <w:t>i.e.</w:t>
      </w:r>
      <w:r w:rsidRPr="00FA1BCF">
        <w:rPr>
          <w:rFonts w:eastAsia="Times New Roman" w:cs="Times New Roman"/>
          <w:szCs w:val="24"/>
          <w:lang w:eastAsia="en-AU"/>
        </w:rPr>
        <w:t xml:space="preserve"> the condition and medicine meet the programme eligibility criteria) agreed </w:t>
      </w:r>
      <w:proofErr w:type="gramStart"/>
      <w:r w:rsidR="00D72030" w:rsidRPr="00FA1BCF">
        <w:rPr>
          <w:rFonts w:eastAsia="Times New Roman" w:cs="Times New Roman"/>
          <w:szCs w:val="24"/>
          <w:lang w:eastAsia="en-AU"/>
        </w:rPr>
        <w:t xml:space="preserve">by </w:t>
      </w:r>
      <w:r w:rsidR="00D72030">
        <w:rPr>
          <w:rFonts w:eastAsia="Times New Roman" w:cs="Times New Roman"/>
          <w:szCs w:val="24"/>
          <w:lang w:eastAsia="en-AU"/>
        </w:rPr>
        <w:t xml:space="preserve"> the</w:t>
      </w:r>
      <w:proofErr w:type="gramEnd"/>
      <w:r w:rsidR="00D72030">
        <w:rPr>
          <w:rFonts w:eastAsia="Times New Roman" w:cs="Times New Roman"/>
          <w:szCs w:val="24"/>
          <w:lang w:eastAsia="en-AU"/>
        </w:rPr>
        <w:t xml:space="preserve"> </w:t>
      </w:r>
      <w:r w:rsidR="00D72030" w:rsidRPr="00BA5836">
        <w:rPr>
          <w:rFonts w:eastAsia="Times New Roman" w:cs="Times New Roman"/>
          <w:szCs w:val="24"/>
          <w:lang w:eastAsia="en-AU"/>
        </w:rPr>
        <w:t>Pharmaceutical Benefits</w:t>
      </w:r>
      <w:r w:rsidR="0015613E" w:rsidRPr="00BA5836">
        <w:rPr>
          <w:rFonts w:eastAsia="Times New Roman" w:cs="Times New Roman"/>
          <w:szCs w:val="24"/>
          <w:lang w:eastAsia="en-AU"/>
        </w:rPr>
        <w:t xml:space="preserve"> Advisory Committee</w:t>
      </w:r>
      <w:r w:rsidR="0015613E" w:rsidRPr="00FA1BCF">
        <w:rPr>
          <w:rFonts w:eastAsia="Times New Roman" w:cs="Times New Roman"/>
          <w:szCs w:val="24"/>
          <w:lang w:eastAsia="en-AU"/>
        </w:rPr>
        <w:t xml:space="preserve"> </w:t>
      </w:r>
      <w:r w:rsidR="002B2B3D" w:rsidRPr="00FA1BCF">
        <w:rPr>
          <w:rFonts w:eastAsia="Times New Roman" w:cs="Times New Roman"/>
          <w:szCs w:val="24"/>
          <w:lang w:eastAsia="en-AU"/>
        </w:rPr>
        <w:t>e</w:t>
      </w:r>
      <w:r w:rsidRPr="00FA1BCF">
        <w:rPr>
          <w:rFonts w:eastAsia="Times New Roman" w:cs="Times New Roman"/>
          <w:szCs w:val="24"/>
          <w:lang w:eastAsia="en-AU"/>
        </w:rPr>
        <w:t>xecutive.</w:t>
      </w:r>
    </w:p>
    <w:p w:rsidR="00E3141F" w:rsidRPr="00FA1BCF" w:rsidRDefault="006439BE" w:rsidP="00C57AD1">
      <w:pPr>
        <w:pStyle w:val="ListParagraph"/>
        <w:numPr>
          <w:ilvl w:val="0"/>
          <w:numId w:val="38"/>
        </w:numPr>
        <w:jc w:val="both"/>
        <w:rPr>
          <w:rFonts w:eastAsia="Times New Roman" w:cs="Times New Roman"/>
          <w:szCs w:val="24"/>
          <w:lang w:eastAsia="en-AU"/>
        </w:rPr>
      </w:pPr>
      <w:r w:rsidRPr="00FA1BCF">
        <w:rPr>
          <w:rFonts w:eastAsia="Times New Roman" w:cs="Times New Roman"/>
          <w:szCs w:val="24"/>
          <w:lang w:eastAsia="en-AU"/>
        </w:rPr>
        <w:t xml:space="preserve">Formal </w:t>
      </w:r>
      <w:r w:rsidR="002B2B3D" w:rsidRPr="00FA1BCF">
        <w:rPr>
          <w:rFonts w:eastAsia="Times New Roman" w:cs="Times New Roman"/>
          <w:szCs w:val="24"/>
          <w:lang w:eastAsia="en-AU"/>
        </w:rPr>
        <w:t>s</w:t>
      </w:r>
      <w:r w:rsidRPr="00FA1BCF">
        <w:rPr>
          <w:rFonts w:eastAsia="Times New Roman" w:cs="Times New Roman"/>
          <w:szCs w:val="24"/>
          <w:lang w:eastAsia="en-AU"/>
        </w:rPr>
        <w:t>ubmission to PBAC</w:t>
      </w:r>
      <w:r w:rsidR="002B2B3D" w:rsidRPr="00FA1BCF">
        <w:rPr>
          <w:rFonts w:eastAsia="Times New Roman" w:cs="Times New Roman"/>
          <w:szCs w:val="24"/>
          <w:lang w:eastAsia="en-AU"/>
        </w:rPr>
        <w:t>, followed by the</w:t>
      </w:r>
      <w:r w:rsidRPr="00FA1BCF">
        <w:rPr>
          <w:rFonts w:eastAsia="Times New Roman" w:cs="Times New Roman"/>
          <w:szCs w:val="24"/>
          <w:lang w:eastAsia="en-AU"/>
        </w:rPr>
        <w:t xml:space="preserve"> usual cycle</w:t>
      </w:r>
      <w:r w:rsidR="00A92341">
        <w:rPr>
          <w:rFonts w:eastAsia="Times New Roman" w:cs="Times New Roman"/>
          <w:szCs w:val="24"/>
          <w:lang w:eastAsia="en-AU"/>
        </w:rPr>
        <w:t>.</w:t>
      </w:r>
      <w:r w:rsidR="00E3141F" w:rsidRPr="00FA1BCF">
        <w:rPr>
          <w:rFonts w:eastAsia="Times New Roman" w:cs="Times New Roman"/>
          <w:szCs w:val="24"/>
          <w:lang w:eastAsia="en-AU"/>
        </w:rPr>
        <w:t xml:space="preserve"> </w:t>
      </w:r>
    </w:p>
    <w:p w:rsidR="00EC3D92" w:rsidRPr="00FA1BCF" w:rsidRDefault="00E3141F" w:rsidP="00C57AD1">
      <w:pPr>
        <w:pStyle w:val="ListParagraph"/>
        <w:numPr>
          <w:ilvl w:val="0"/>
          <w:numId w:val="38"/>
        </w:numPr>
        <w:jc w:val="both"/>
        <w:rPr>
          <w:rFonts w:eastAsia="Times New Roman" w:cs="Times New Roman"/>
          <w:szCs w:val="24"/>
          <w:lang w:eastAsia="en-AU"/>
        </w:rPr>
      </w:pPr>
      <w:r w:rsidRPr="00FA1BCF">
        <w:rPr>
          <w:rFonts w:eastAsia="Times New Roman" w:cs="Times New Roman"/>
          <w:szCs w:val="24"/>
          <w:lang w:eastAsia="en-AU"/>
        </w:rPr>
        <w:t xml:space="preserve">ESC+ meeting considers </w:t>
      </w:r>
      <w:r w:rsidR="002B2B3D" w:rsidRPr="00FA1BCF">
        <w:rPr>
          <w:rFonts w:eastAsia="Times New Roman" w:cs="Times New Roman"/>
          <w:szCs w:val="24"/>
          <w:lang w:eastAsia="en-AU"/>
        </w:rPr>
        <w:t xml:space="preserve">the </w:t>
      </w:r>
      <w:r w:rsidRPr="00FA1BCF">
        <w:rPr>
          <w:rFonts w:eastAsia="Times New Roman" w:cs="Times New Roman"/>
          <w:szCs w:val="24"/>
          <w:lang w:eastAsia="en-AU"/>
        </w:rPr>
        <w:t xml:space="preserve">application as part of </w:t>
      </w:r>
      <w:r w:rsidR="002B2B3D" w:rsidRPr="00FA1BCF">
        <w:rPr>
          <w:rFonts w:eastAsia="Times New Roman" w:cs="Times New Roman"/>
          <w:szCs w:val="24"/>
          <w:lang w:eastAsia="en-AU"/>
        </w:rPr>
        <w:t xml:space="preserve">the </w:t>
      </w:r>
      <w:r w:rsidRPr="00FA1BCF">
        <w:rPr>
          <w:rFonts w:eastAsia="Times New Roman" w:cs="Times New Roman"/>
          <w:szCs w:val="24"/>
          <w:lang w:eastAsia="en-AU"/>
        </w:rPr>
        <w:t>usual cycle.</w:t>
      </w:r>
    </w:p>
    <w:p w:rsidR="006473EC" w:rsidRPr="00FA1BCF" w:rsidRDefault="00C57AD1">
      <w:pPr>
        <w:spacing w:after="200" w:line="276" w:lineRule="auto"/>
        <w:rPr>
          <w:rFonts w:eastAsia="Times New Roman" w:cs="Times New Roman"/>
          <w:b/>
          <w:sz w:val="40"/>
          <w:szCs w:val="40"/>
          <w:lang w:eastAsia="en-AU"/>
        </w:rPr>
      </w:pPr>
      <w:r w:rsidRPr="00FA1BCF">
        <w:rPr>
          <w:rFonts w:eastAsia="Times New Roman" w:cs="Times New Roman"/>
          <w:szCs w:val="24"/>
          <w:lang w:eastAsia="en-AU"/>
        </w:rPr>
        <w:t xml:space="preserve">In considering the application, the PBAC would need to resolve that the </w:t>
      </w:r>
      <w:r w:rsidR="00C95C5C" w:rsidRPr="00FA1BCF">
        <w:rPr>
          <w:rFonts w:eastAsia="Times New Roman" w:cs="Times New Roman"/>
          <w:szCs w:val="24"/>
          <w:lang w:eastAsia="en-AU"/>
        </w:rPr>
        <w:t xml:space="preserve">condition and medicine met the requirements of the MRDP and </w:t>
      </w:r>
      <w:r w:rsidR="002B2B3D" w:rsidRPr="00FA1BCF">
        <w:rPr>
          <w:rFonts w:eastAsia="Times New Roman" w:cs="Times New Roman"/>
          <w:szCs w:val="24"/>
          <w:lang w:eastAsia="en-AU"/>
        </w:rPr>
        <w:t>were</w:t>
      </w:r>
      <w:r w:rsidR="00C95C5C" w:rsidRPr="00FA1BCF">
        <w:rPr>
          <w:rFonts w:eastAsia="Times New Roman" w:cs="Times New Roman"/>
          <w:szCs w:val="24"/>
          <w:lang w:eastAsia="en-AU"/>
        </w:rPr>
        <w:t xml:space="preserve"> not more appropriately subsidised under another program</w:t>
      </w:r>
      <w:r w:rsidR="00183992">
        <w:rPr>
          <w:rFonts w:eastAsia="Times New Roman" w:cs="Times New Roman"/>
          <w:szCs w:val="24"/>
          <w:lang w:eastAsia="en-AU"/>
        </w:rPr>
        <w:t>me</w:t>
      </w:r>
      <w:r w:rsidR="00C95C5C" w:rsidRPr="00FA1BCF">
        <w:rPr>
          <w:rFonts w:eastAsia="Times New Roman" w:cs="Times New Roman"/>
          <w:szCs w:val="24"/>
          <w:lang w:eastAsia="en-AU"/>
        </w:rPr>
        <w:t>, and</w:t>
      </w:r>
      <w:r w:rsidR="002B2B3D" w:rsidRPr="00FA1BCF">
        <w:rPr>
          <w:rFonts w:eastAsia="Times New Roman" w:cs="Times New Roman"/>
          <w:szCs w:val="24"/>
          <w:lang w:eastAsia="en-AU"/>
        </w:rPr>
        <w:t xml:space="preserve"> that</w:t>
      </w:r>
      <w:r w:rsidR="00C95C5C" w:rsidRPr="00FA1BCF">
        <w:rPr>
          <w:rFonts w:eastAsia="Times New Roman" w:cs="Times New Roman"/>
          <w:szCs w:val="24"/>
          <w:lang w:eastAsia="en-AU"/>
        </w:rPr>
        <w:t>, in the broader context</w:t>
      </w:r>
      <w:r w:rsidR="002B2B3D" w:rsidRPr="00FA1BCF">
        <w:rPr>
          <w:rFonts w:eastAsia="Times New Roman" w:cs="Times New Roman"/>
          <w:szCs w:val="24"/>
          <w:lang w:eastAsia="en-AU"/>
        </w:rPr>
        <w:t>,</w:t>
      </w:r>
      <w:r w:rsidR="00C95C5C" w:rsidRPr="00FA1BCF">
        <w:rPr>
          <w:rFonts w:eastAsia="Times New Roman" w:cs="Times New Roman"/>
          <w:szCs w:val="24"/>
          <w:lang w:eastAsia="en-AU"/>
        </w:rPr>
        <w:t xml:space="preserve"> the PBS was affordable.</w:t>
      </w:r>
      <w:r w:rsidR="00B56F35" w:rsidRPr="00FA1BCF">
        <w:rPr>
          <w:rFonts w:eastAsia="Times New Roman" w:cs="Times New Roman"/>
          <w:szCs w:val="24"/>
          <w:lang w:eastAsia="en-AU"/>
        </w:rPr>
        <w:t xml:space="preserve"> </w:t>
      </w:r>
      <w:r w:rsidR="006473EC" w:rsidRPr="00FA1BCF">
        <w:rPr>
          <w:rFonts w:eastAsia="Times New Roman" w:cs="Times New Roman"/>
          <w:b/>
          <w:sz w:val="40"/>
          <w:szCs w:val="40"/>
          <w:lang w:eastAsia="en-AU"/>
        </w:rPr>
        <w:br w:type="page"/>
      </w:r>
    </w:p>
    <w:p w:rsidR="00F560EC" w:rsidRPr="00FA1BCF" w:rsidRDefault="00F560EC" w:rsidP="00E436E7">
      <w:pPr>
        <w:pStyle w:val="Heading1"/>
        <w:rPr>
          <w:lang w:eastAsia="en-AU"/>
        </w:rPr>
      </w:pPr>
      <w:bookmarkStart w:id="78" w:name="_Toc302625627"/>
      <w:r w:rsidRPr="00FA1BCF">
        <w:rPr>
          <w:lang w:eastAsia="en-AU"/>
        </w:rPr>
        <w:lastRenderedPageBreak/>
        <w:t>Appendices</w:t>
      </w:r>
      <w:bookmarkEnd w:id="78"/>
    </w:p>
    <w:p w:rsidR="00F560EC" w:rsidRPr="00FA1BCF" w:rsidRDefault="00F560EC" w:rsidP="00F560EC">
      <w:pPr>
        <w:rPr>
          <w:rFonts w:eastAsia="Times New Roman" w:cs="Times New Roman"/>
          <w:b/>
          <w:szCs w:val="24"/>
          <w:lang w:eastAsia="en-AU"/>
        </w:rPr>
      </w:pPr>
      <w:r w:rsidRPr="00FA1BCF">
        <w:rPr>
          <w:rFonts w:eastAsia="Times New Roman" w:cs="Times New Roman"/>
          <w:b/>
          <w:szCs w:val="24"/>
          <w:lang w:eastAsia="en-AU"/>
        </w:rPr>
        <w:t xml:space="preserve">Appendix A </w:t>
      </w:r>
      <w:r w:rsidR="00FF4324" w:rsidRPr="00FA1BCF">
        <w:rPr>
          <w:rFonts w:eastAsia="Times New Roman" w:cs="Times New Roman"/>
          <w:b/>
          <w:szCs w:val="24"/>
          <w:lang w:eastAsia="en-AU"/>
        </w:rPr>
        <w:t>Life Saving Drugs Programme</w:t>
      </w:r>
      <w:r w:rsidRPr="00FA1BCF">
        <w:rPr>
          <w:rFonts w:eastAsia="Times New Roman" w:cs="Times New Roman"/>
          <w:b/>
          <w:szCs w:val="24"/>
          <w:lang w:eastAsia="en-AU"/>
        </w:rPr>
        <w:t xml:space="preserve"> </w:t>
      </w:r>
      <w:r w:rsidR="002746EA">
        <w:rPr>
          <w:rFonts w:eastAsia="Times New Roman" w:cs="Times New Roman"/>
          <w:b/>
          <w:szCs w:val="24"/>
          <w:lang w:eastAsia="en-AU"/>
        </w:rPr>
        <w:t xml:space="preserve">Reference Group </w:t>
      </w:r>
      <w:r w:rsidR="00FF4324" w:rsidRPr="00FA1BCF">
        <w:rPr>
          <w:rFonts w:eastAsia="Times New Roman" w:cs="Times New Roman"/>
          <w:b/>
          <w:szCs w:val="24"/>
          <w:lang w:eastAsia="en-AU"/>
        </w:rPr>
        <w:t>i</w:t>
      </w:r>
      <w:r w:rsidRPr="00FA1BCF">
        <w:rPr>
          <w:rFonts w:eastAsia="Times New Roman" w:cs="Times New Roman"/>
          <w:b/>
          <w:szCs w:val="24"/>
          <w:lang w:eastAsia="en-AU"/>
        </w:rPr>
        <w:t xml:space="preserve">ssues </w:t>
      </w:r>
      <w:r w:rsidR="00FF4324" w:rsidRPr="00FA1BCF">
        <w:rPr>
          <w:rFonts w:eastAsia="Times New Roman" w:cs="Times New Roman"/>
          <w:b/>
          <w:szCs w:val="24"/>
          <w:lang w:eastAsia="en-AU"/>
        </w:rPr>
        <w:t>p</w:t>
      </w:r>
      <w:r w:rsidRPr="00FA1BCF">
        <w:rPr>
          <w:rFonts w:eastAsia="Times New Roman" w:cs="Times New Roman"/>
          <w:b/>
          <w:szCs w:val="24"/>
          <w:lang w:eastAsia="en-AU"/>
        </w:rPr>
        <w:t>aper</w:t>
      </w:r>
    </w:p>
    <w:p w:rsidR="00F560EC" w:rsidRPr="00FA1BCF" w:rsidRDefault="00F560EC" w:rsidP="00F560EC">
      <w:pPr>
        <w:rPr>
          <w:rFonts w:eastAsia="Times New Roman" w:cs="Times New Roman"/>
          <w:b/>
          <w:szCs w:val="24"/>
          <w:lang w:eastAsia="en-AU"/>
        </w:rPr>
      </w:pPr>
      <w:r w:rsidRPr="00FA1BCF">
        <w:rPr>
          <w:rFonts w:eastAsia="Times New Roman" w:cs="Times New Roman"/>
          <w:b/>
          <w:szCs w:val="24"/>
          <w:lang w:eastAsia="en-AU"/>
        </w:rPr>
        <w:t xml:space="preserve">Appendix B </w:t>
      </w:r>
      <w:r w:rsidR="00FF4324" w:rsidRPr="00FA1BCF">
        <w:rPr>
          <w:rFonts w:eastAsia="Times New Roman" w:cs="Times New Roman"/>
          <w:b/>
          <w:szCs w:val="24"/>
          <w:lang w:eastAsia="en-AU"/>
        </w:rPr>
        <w:t xml:space="preserve">Consumers Health </w:t>
      </w:r>
      <w:r w:rsidR="00183992" w:rsidRPr="00FA1BCF">
        <w:rPr>
          <w:rFonts w:eastAsia="Times New Roman" w:cs="Times New Roman"/>
          <w:b/>
          <w:szCs w:val="24"/>
          <w:lang w:eastAsia="en-AU"/>
        </w:rPr>
        <w:t>Forum report</w:t>
      </w:r>
    </w:p>
    <w:p w:rsidR="00F560EC" w:rsidRPr="00FA1BCF" w:rsidRDefault="00F560EC" w:rsidP="00F560EC">
      <w:pPr>
        <w:rPr>
          <w:rFonts w:eastAsia="Times New Roman" w:cs="Times New Roman"/>
          <w:b/>
          <w:szCs w:val="24"/>
          <w:lang w:eastAsia="en-AU"/>
        </w:rPr>
      </w:pPr>
      <w:r w:rsidRPr="00FA1BCF">
        <w:rPr>
          <w:rFonts w:eastAsia="Times New Roman" w:cs="Times New Roman"/>
          <w:b/>
          <w:szCs w:val="24"/>
          <w:lang w:eastAsia="en-AU"/>
        </w:rPr>
        <w:t xml:space="preserve">Appendix C </w:t>
      </w:r>
      <w:r w:rsidR="00FF4324" w:rsidRPr="00FA1BCF">
        <w:rPr>
          <w:rFonts w:eastAsia="Times New Roman" w:cs="Times New Roman"/>
          <w:b/>
          <w:szCs w:val="24"/>
          <w:lang w:eastAsia="en-AU"/>
        </w:rPr>
        <w:t>Adelaide Health Technology Assessment</w:t>
      </w:r>
      <w:r w:rsidRPr="00FA1BCF">
        <w:rPr>
          <w:rFonts w:eastAsia="Times New Roman" w:cs="Times New Roman"/>
          <w:b/>
          <w:szCs w:val="24"/>
          <w:lang w:eastAsia="en-AU"/>
        </w:rPr>
        <w:t xml:space="preserve"> report</w:t>
      </w:r>
    </w:p>
    <w:p w:rsidR="00FF4324" w:rsidRPr="00FA1BCF" w:rsidRDefault="00FF4324" w:rsidP="00F560EC">
      <w:pPr>
        <w:rPr>
          <w:rFonts w:eastAsia="Times New Roman" w:cs="Times New Roman"/>
          <w:b/>
          <w:szCs w:val="24"/>
          <w:lang w:eastAsia="en-AU"/>
        </w:rPr>
      </w:pPr>
      <w:r w:rsidRPr="00FA1BCF">
        <w:rPr>
          <w:rFonts w:eastAsia="Times New Roman" w:cs="Times New Roman"/>
          <w:b/>
          <w:szCs w:val="24"/>
          <w:lang w:eastAsia="en-AU"/>
        </w:rPr>
        <w:t xml:space="preserve">Appendix D </w:t>
      </w:r>
      <w:r w:rsidR="00183992" w:rsidRPr="00FA1BCF">
        <w:rPr>
          <w:rFonts w:eastAsia="Times New Roman" w:cs="Times New Roman"/>
          <w:b/>
          <w:szCs w:val="24"/>
          <w:lang w:eastAsia="en-AU"/>
        </w:rPr>
        <w:t>Summary of the 2014 public consultations</w:t>
      </w:r>
      <w:r w:rsidR="00183992" w:rsidRPr="00FA1BCF" w:rsidDel="00183992">
        <w:rPr>
          <w:rFonts w:eastAsia="Times New Roman" w:cs="Times New Roman"/>
          <w:b/>
          <w:szCs w:val="24"/>
          <w:lang w:eastAsia="en-AU"/>
        </w:rPr>
        <w:t xml:space="preserve"> </w:t>
      </w:r>
    </w:p>
    <w:p w:rsidR="00FF4324" w:rsidRPr="00FA1BCF" w:rsidRDefault="00FF4324">
      <w:pPr>
        <w:spacing w:after="200" w:line="276" w:lineRule="auto"/>
        <w:rPr>
          <w:rFonts w:eastAsia="Times New Roman" w:cs="Times New Roman"/>
          <w:b/>
          <w:sz w:val="40"/>
          <w:szCs w:val="40"/>
          <w:lang w:eastAsia="en-AU"/>
        </w:rPr>
      </w:pPr>
      <w:r w:rsidRPr="00FA1BCF">
        <w:rPr>
          <w:rFonts w:eastAsia="Times New Roman" w:cs="Times New Roman"/>
          <w:b/>
          <w:sz w:val="40"/>
          <w:szCs w:val="40"/>
          <w:lang w:eastAsia="en-AU"/>
        </w:rPr>
        <w:br w:type="page"/>
      </w:r>
    </w:p>
    <w:p w:rsidR="00E4502E" w:rsidRPr="00FA1BCF" w:rsidRDefault="00E4502E" w:rsidP="00E436E7">
      <w:pPr>
        <w:pStyle w:val="Heading1"/>
        <w:rPr>
          <w:lang w:eastAsia="en-AU"/>
        </w:rPr>
      </w:pPr>
      <w:bookmarkStart w:id="79" w:name="_Toc302625628"/>
      <w:r w:rsidRPr="00FA1BCF">
        <w:rPr>
          <w:lang w:eastAsia="en-AU"/>
        </w:rPr>
        <w:lastRenderedPageBreak/>
        <w:t>References</w:t>
      </w:r>
      <w:bookmarkEnd w:id="79"/>
    </w:p>
    <w:p w:rsidR="00E4502E" w:rsidRPr="00FA1BCF" w:rsidRDefault="00E4502E" w:rsidP="00DC19F4">
      <w:pPr>
        <w:pStyle w:val="EndNoteBibliography"/>
        <w:spacing w:after="0"/>
        <w:jc w:val="left"/>
      </w:pPr>
      <w:r w:rsidRPr="00FA1BCF">
        <w:t xml:space="preserve">Alberta Health and Wellness 2008, 'Alberta Rare Diseases Drug Program: Fact Sheet', p. 1, viewed 3 July 2014, </w:t>
      </w:r>
      <w:hyperlink r:id="rId30" w:history="1">
        <w:r w:rsidRPr="00FA1BCF">
          <w:rPr>
            <w:rStyle w:val="Hyperlink"/>
          </w:rPr>
          <w:t>http://www.health.alberta.ca/documents/Pharma-Strategy-2008-rare-disease.pdf</w:t>
        </w:r>
      </w:hyperlink>
      <w:r w:rsidRPr="00FA1BCF">
        <w:t>.</w:t>
      </w:r>
    </w:p>
    <w:p w:rsidR="00E4502E" w:rsidRPr="00FA1BCF" w:rsidRDefault="00E4502E">
      <w:pPr>
        <w:pStyle w:val="EndNoteBibliography"/>
        <w:spacing w:after="0"/>
        <w:jc w:val="left"/>
      </w:pPr>
      <w:r w:rsidRPr="00FA1BCF">
        <w:t>Canadian Agency for Drugs and Technologies in Health 2013, 'Drugs for rare diseases: evolving trends in regulatory and health technology assessment perspectives', pp. 1</w:t>
      </w:r>
      <w:r w:rsidR="003B146F" w:rsidRPr="00FA1BCF">
        <w:t>–</w:t>
      </w:r>
      <w:r w:rsidRPr="00FA1BCF">
        <w:t xml:space="preserve">40, viewed 3 July 2014, </w:t>
      </w:r>
      <w:hyperlink r:id="rId31" w:history="1">
        <w:r w:rsidRPr="00FA1BCF">
          <w:rPr>
            <w:rStyle w:val="Hyperlink"/>
          </w:rPr>
          <w:t>http://www.cadth.ca/products/environmental-scanning/environmental-scans/environmental-scan-42</w:t>
        </w:r>
      </w:hyperlink>
      <w:r w:rsidRPr="00FA1BCF">
        <w:t>.</w:t>
      </w:r>
    </w:p>
    <w:p w:rsidR="00E4502E" w:rsidRPr="00FA1BCF" w:rsidRDefault="00E4502E" w:rsidP="00DC19F4">
      <w:pPr>
        <w:pStyle w:val="EndNoteBibliography"/>
        <w:jc w:val="left"/>
      </w:pPr>
      <w:r w:rsidRPr="00FA1BCF">
        <w:t xml:space="preserve">Chien, YH, Lee, NC, Thurberg, BL, Chiang, SC, Zhang, XK, Keutzer, J, Huang, AC, Wu, MH, Huang, PH, Tsai, FJ, Chen, YT &amp; Hwu, WL 2009, </w:t>
      </w:r>
      <w:r w:rsidR="00FF4324" w:rsidRPr="00FA1BCF">
        <w:t>‘</w:t>
      </w:r>
      <w:r w:rsidRPr="00FA1BCF">
        <w:t>Pompe disease in infants: improving the prognosis by newborn screening and early treatment</w:t>
      </w:r>
      <w:r w:rsidR="00FF4324" w:rsidRPr="00FA1BCF">
        <w:t>’</w:t>
      </w:r>
      <w:r w:rsidRPr="00FA1BCF">
        <w:t xml:space="preserve">, </w:t>
      </w:r>
      <w:r w:rsidRPr="00FA1BCF">
        <w:rPr>
          <w:i/>
        </w:rPr>
        <w:t>Pediatrics</w:t>
      </w:r>
      <w:r w:rsidRPr="00FA1BCF">
        <w:t>, vol. 124, no. 6, Dec</w:t>
      </w:r>
      <w:r w:rsidR="00FB147C" w:rsidRPr="00FA1BCF">
        <w:t>ember</w:t>
      </w:r>
      <w:r w:rsidRPr="00FA1BCF">
        <w:t>, pp.</w:t>
      </w:r>
      <w:r w:rsidR="00FF4324" w:rsidRPr="00FA1BCF">
        <w:t> </w:t>
      </w:r>
      <w:r w:rsidRPr="00FA1BCF">
        <w:t>e1116</w:t>
      </w:r>
      <w:r w:rsidR="003B146F" w:rsidRPr="00FA1BCF">
        <w:t>–</w:t>
      </w:r>
      <w:r w:rsidRPr="00FA1BCF">
        <w:t>1125.</w:t>
      </w:r>
    </w:p>
    <w:p w:rsidR="00E4502E" w:rsidRPr="00FA1BCF" w:rsidRDefault="00E4502E" w:rsidP="00DC19F4">
      <w:pPr>
        <w:pStyle w:val="EndNoteBibliography"/>
        <w:spacing w:after="0"/>
        <w:jc w:val="left"/>
      </w:pPr>
      <w:bookmarkStart w:id="80" w:name="_ENREF_67"/>
      <w:r w:rsidRPr="00FA1BCF">
        <w:t xml:space="preserve">Denis, A, Mergaert, L, Fostier, C, Cleemput, I, Hulstaert, F &amp; Simoens, S 2011, </w:t>
      </w:r>
      <w:r w:rsidR="00FF4324" w:rsidRPr="00FA1BCF">
        <w:t>‘</w:t>
      </w:r>
      <w:r w:rsidRPr="00FA1BCF">
        <w:t>Critical assessment of Belgian reimbursement dossiers of orphan drugs</w:t>
      </w:r>
      <w:r w:rsidR="00FF4324" w:rsidRPr="00FA1BCF">
        <w:t>’</w:t>
      </w:r>
      <w:r w:rsidRPr="00FA1BCF">
        <w:t xml:space="preserve">, </w:t>
      </w:r>
      <w:r w:rsidRPr="00FA1BCF">
        <w:rPr>
          <w:i/>
        </w:rPr>
        <w:t>PharmacoEconomics</w:t>
      </w:r>
      <w:r w:rsidRPr="00FA1BCF">
        <w:t>, vol.</w:t>
      </w:r>
      <w:r w:rsidR="00FF4324" w:rsidRPr="00FA1BCF">
        <w:t> </w:t>
      </w:r>
      <w:r w:rsidRPr="00FA1BCF">
        <w:t>29, no. 10, pp. 883</w:t>
      </w:r>
      <w:r w:rsidR="003B146F" w:rsidRPr="00FA1BCF">
        <w:t>–</w:t>
      </w:r>
      <w:r w:rsidRPr="00FA1BCF">
        <w:t>893.</w:t>
      </w:r>
      <w:bookmarkEnd w:id="80"/>
    </w:p>
    <w:p w:rsidR="00E4502E" w:rsidRPr="00FA1BCF" w:rsidRDefault="00E4502E">
      <w:pPr>
        <w:pStyle w:val="EndNoteBibliography"/>
        <w:spacing w:after="0"/>
        <w:jc w:val="left"/>
      </w:pPr>
      <w:r w:rsidRPr="00FA1BCF">
        <w:t xml:space="preserve">Devlin, NJ and Sussex, J (2011) </w:t>
      </w:r>
      <w:r w:rsidRPr="00FA1BCF">
        <w:rPr>
          <w:i/>
        </w:rPr>
        <w:t xml:space="preserve">Incorporating </w:t>
      </w:r>
      <w:r w:rsidR="00FF4324" w:rsidRPr="00FA1BCF">
        <w:rPr>
          <w:i/>
        </w:rPr>
        <w:t>m</w:t>
      </w:r>
      <w:r w:rsidRPr="00FA1BCF">
        <w:rPr>
          <w:i/>
        </w:rPr>
        <w:t xml:space="preserve">ultiple </w:t>
      </w:r>
      <w:r w:rsidR="00FF4324" w:rsidRPr="00FA1BCF">
        <w:rPr>
          <w:i/>
        </w:rPr>
        <w:t>c</w:t>
      </w:r>
      <w:r w:rsidRPr="00FA1BCF">
        <w:rPr>
          <w:i/>
        </w:rPr>
        <w:t xml:space="preserve">riteria in HTA: </w:t>
      </w:r>
      <w:r w:rsidR="00FF4324" w:rsidRPr="00FA1BCF">
        <w:rPr>
          <w:i/>
        </w:rPr>
        <w:t>m</w:t>
      </w:r>
      <w:r w:rsidRPr="00FA1BCF">
        <w:rPr>
          <w:i/>
        </w:rPr>
        <w:t xml:space="preserve">ethods and </w:t>
      </w:r>
      <w:r w:rsidR="00FF4324" w:rsidRPr="00FA1BCF">
        <w:rPr>
          <w:i/>
        </w:rPr>
        <w:t>p</w:t>
      </w:r>
      <w:r w:rsidRPr="00FA1BCF">
        <w:rPr>
          <w:i/>
        </w:rPr>
        <w:t>rocesses</w:t>
      </w:r>
      <w:r w:rsidRPr="00FA1BCF">
        <w:t>, Office of Health Economics</w:t>
      </w:r>
      <w:r w:rsidR="00FF4324" w:rsidRPr="00FA1BCF">
        <w:t>,</w:t>
      </w:r>
      <w:r w:rsidRPr="00FA1BCF">
        <w:t xml:space="preserve"> London</w:t>
      </w:r>
      <w:r w:rsidR="00FF4324" w:rsidRPr="00FA1BCF">
        <w:t>,</w:t>
      </w:r>
      <w:r w:rsidR="007244AE" w:rsidRPr="00FA1BCF">
        <w:t xml:space="preserve"> </w:t>
      </w:r>
      <w:hyperlink r:id="rId32" w:history="1">
        <w:r w:rsidR="00FB147C" w:rsidRPr="00FA1BCF">
          <w:rPr>
            <w:rStyle w:val="Hyperlink"/>
          </w:rPr>
          <w:t>https://www.ohe.org/publications/incorporating-multiple-criteria-hta-methods-and-processes</w:t>
        </w:r>
      </w:hyperlink>
      <w:r w:rsidR="00FB147C" w:rsidRPr="00FA1BCF">
        <w:t>.</w:t>
      </w:r>
    </w:p>
    <w:p w:rsidR="00E4502E" w:rsidRPr="00FA1BCF" w:rsidRDefault="00E4502E" w:rsidP="00DC19F4">
      <w:pPr>
        <w:pStyle w:val="EndNoteBibliography"/>
        <w:spacing w:after="0"/>
        <w:jc w:val="left"/>
      </w:pPr>
      <w:r w:rsidRPr="00FA1BCF">
        <w:t xml:space="preserve">Elstein, D, Dweck, A, Attias, D, Hadas-Halpern, I, Zevin, S, Altarescu, G, Aerts, JF, van, W &amp; Zimran, A 2007, </w:t>
      </w:r>
      <w:r w:rsidR="00FB147C" w:rsidRPr="00FA1BCF">
        <w:t>‘</w:t>
      </w:r>
      <w:r w:rsidRPr="00FA1BCF">
        <w:t>Oral maintenance clinical trial with miglustat for type I Gaucher disease: switch from or combination with intravenous enzyme replacement</w:t>
      </w:r>
      <w:r w:rsidR="00FB147C" w:rsidRPr="00FA1BCF">
        <w:t>’</w:t>
      </w:r>
      <w:r w:rsidRPr="00FA1BCF">
        <w:t xml:space="preserve">, </w:t>
      </w:r>
      <w:r w:rsidRPr="00FA1BCF">
        <w:rPr>
          <w:i/>
        </w:rPr>
        <w:t>Blood</w:t>
      </w:r>
      <w:r w:rsidRPr="00FA1BCF">
        <w:t>, vol. 110, pp.</w:t>
      </w:r>
      <w:r w:rsidR="00FB147C" w:rsidRPr="00FA1BCF">
        <w:t> </w:t>
      </w:r>
      <w:r w:rsidRPr="00FA1BCF">
        <w:t>2296</w:t>
      </w:r>
      <w:r w:rsidR="003B146F" w:rsidRPr="00FA1BCF">
        <w:t>–</w:t>
      </w:r>
      <w:r w:rsidRPr="00FA1BCF">
        <w:t>2301.</w:t>
      </w:r>
    </w:p>
    <w:p w:rsidR="00E4502E" w:rsidRPr="00FA1BCF" w:rsidRDefault="00E4502E" w:rsidP="00DC19F4">
      <w:pPr>
        <w:pStyle w:val="EndNoteBibliography"/>
        <w:spacing w:after="0"/>
        <w:jc w:val="left"/>
      </w:pPr>
      <w:r w:rsidRPr="00FA1BCF">
        <w:t xml:space="preserve">Gao, JJ, Song, PP &amp; Tang, W 2013, </w:t>
      </w:r>
      <w:r w:rsidR="00FB147C" w:rsidRPr="00FA1BCF">
        <w:t>‘</w:t>
      </w:r>
      <w:r w:rsidRPr="00FA1BCF">
        <w:t>Rare disease patients in China anticipate the sunlight of legislation</w:t>
      </w:r>
      <w:r w:rsidR="00FB147C" w:rsidRPr="00FA1BCF">
        <w:t>’</w:t>
      </w:r>
      <w:r w:rsidRPr="00FA1BCF">
        <w:t xml:space="preserve">, </w:t>
      </w:r>
      <w:r w:rsidRPr="00FA1BCF">
        <w:rPr>
          <w:i/>
        </w:rPr>
        <w:t>Drug Discov Ther</w:t>
      </w:r>
      <w:r w:rsidRPr="00FA1BCF">
        <w:t>, vol. 7, no. 3, Jun</w:t>
      </w:r>
      <w:r w:rsidR="00FB147C" w:rsidRPr="00FA1BCF">
        <w:t>e</w:t>
      </w:r>
      <w:r w:rsidRPr="00FA1BCF">
        <w:t>, pp. 126</w:t>
      </w:r>
      <w:r w:rsidR="003B146F" w:rsidRPr="00FA1BCF">
        <w:t>–</w:t>
      </w:r>
      <w:r w:rsidRPr="00FA1BCF">
        <w:t>128.</w:t>
      </w:r>
    </w:p>
    <w:p w:rsidR="00E4502E" w:rsidRPr="00FA1BCF" w:rsidRDefault="00E4502E" w:rsidP="00DC19F4">
      <w:pPr>
        <w:pStyle w:val="EndNoteBibliography"/>
        <w:spacing w:after="0"/>
        <w:jc w:val="left"/>
      </w:pPr>
      <w:bookmarkStart w:id="81" w:name="_ENREF_100"/>
      <w:r w:rsidRPr="00FA1BCF">
        <w:t xml:space="preserve">Garau, M &amp; Mestre-Ferrandiz, J 2009, </w:t>
      </w:r>
      <w:r w:rsidR="00FB147C" w:rsidRPr="00FA1BCF">
        <w:t>‘</w:t>
      </w:r>
      <w:r w:rsidRPr="00FA1BCF">
        <w:t xml:space="preserve">Access mechanisms for orphan drugs: </w:t>
      </w:r>
      <w:r w:rsidR="00FB147C" w:rsidRPr="00FA1BCF">
        <w:t>a</w:t>
      </w:r>
      <w:r w:rsidRPr="00FA1BCF">
        <w:t xml:space="preserve"> comparative study of selected European countries</w:t>
      </w:r>
      <w:r w:rsidR="00FB147C" w:rsidRPr="00FA1BCF">
        <w:t>’</w:t>
      </w:r>
      <w:r w:rsidRPr="00FA1BCF">
        <w:t>, pp. 1</w:t>
      </w:r>
      <w:r w:rsidR="003B146F" w:rsidRPr="00FA1BCF">
        <w:t>–</w:t>
      </w:r>
      <w:r w:rsidRPr="00FA1BCF">
        <w:t xml:space="preserve">32, viewed 3 October 2014, </w:t>
      </w:r>
      <w:hyperlink r:id="rId33" w:history="1">
        <w:r w:rsidR="00FB147C" w:rsidRPr="00FA1BCF">
          <w:rPr>
            <w:rStyle w:val="Hyperlink"/>
          </w:rPr>
          <w:t>www.raredisease.org.uk/documents/OHEBriefingOrphanDrugs.pdf</w:t>
        </w:r>
      </w:hyperlink>
      <w:r w:rsidRPr="00FA1BCF">
        <w:t>.</w:t>
      </w:r>
      <w:bookmarkEnd w:id="81"/>
    </w:p>
    <w:p w:rsidR="00E4502E" w:rsidRPr="00E436E7" w:rsidRDefault="00E4502E" w:rsidP="00DC19F4">
      <w:pPr>
        <w:pStyle w:val="EndNoteBibliography"/>
        <w:jc w:val="left"/>
        <w:rPr>
          <w:rFonts w:eastAsiaTheme="minorHAnsi" w:cstheme="minorBidi"/>
          <w:noProof w:val="0"/>
          <w:lang w:val="en-AU"/>
        </w:rPr>
      </w:pPr>
      <w:r w:rsidRPr="00FA1BCF">
        <w:t>Gliklich, RE, Dreyer, NA &amp; Leavy, MB</w:t>
      </w:r>
      <w:r w:rsidR="00FB147C" w:rsidRPr="00FA1BCF">
        <w:t xml:space="preserve"> (eds)</w:t>
      </w:r>
      <w:r w:rsidRPr="00FA1BCF">
        <w:t xml:space="preserve"> 2014</w:t>
      </w:r>
      <w:r w:rsidR="00FB147C" w:rsidRPr="00FA1BCF">
        <w:t>,</w:t>
      </w:r>
      <w:r w:rsidRPr="00E436E7">
        <w:rPr>
          <w:lang w:val="en-AU"/>
        </w:rPr>
        <w:t xml:space="preserve"> </w:t>
      </w:r>
      <w:r w:rsidR="00FB147C" w:rsidRPr="00FA1BCF">
        <w:t>‘</w:t>
      </w:r>
      <w:r w:rsidRPr="00FA1BCF">
        <w:t xml:space="preserve">Rare </w:t>
      </w:r>
      <w:r w:rsidR="00FB147C" w:rsidRPr="00FA1BCF">
        <w:t>d</w:t>
      </w:r>
      <w:r w:rsidRPr="00FA1BCF">
        <w:t xml:space="preserve">isease </w:t>
      </w:r>
      <w:r w:rsidR="00FB147C" w:rsidRPr="00FA1BCF">
        <w:t>r</w:t>
      </w:r>
      <w:r w:rsidRPr="00FA1BCF">
        <w:t>egistries</w:t>
      </w:r>
      <w:r w:rsidR="00FB147C" w:rsidRPr="00FA1BCF">
        <w:t>’, April 20,</w:t>
      </w:r>
      <w:r w:rsidRPr="00FA1BCF">
        <w:t xml:space="preserve"> in </w:t>
      </w:r>
      <w:r w:rsidRPr="00E436E7">
        <w:rPr>
          <w:rFonts w:eastAsiaTheme="minorHAnsi" w:cstheme="minorBidi"/>
          <w:i/>
          <w:noProof w:val="0"/>
          <w:lang w:val="en-AU"/>
        </w:rPr>
        <w:t>Registries for Evaluating Patient Outcomes: A User's Guide</w:t>
      </w:r>
      <w:r w:rsidR="00FB147C" w:rsidRPr="00FA1BCF">
        <w:t xml:space="preserve"> (online),</w:t>
      </w:r>
      <w:r w:rsidRPr="00E436E7">
        <w:rPr>
          <w:rFonts w:eastAsiaTheme="minorHAnsi" w:cstheme="minorBidi"/>
          <w:noProof w:val="0"/>
          <w:lang w:val="en-AU"/>
        </w:rPr>
        <w:t xml:space="preserve"> 3rd edition</w:t>
      </w:r>
      <w:r w:rsidR="00FB147C" w:rsidRPr="00FA1BCF">
        <w:t xml:space="preserve">, Rockville (MD), </w:t>
      </w:r>
      <w:hyperlink r:id="rId34" w:history="1">
        <w:r w:rsidR="00FB147C" w:rsidRPr="00FA1BCF">
          <w:t>Agency for Healthcare Research and Quality (US)</w:t>
        </w:r>
      </w:hyperlink>
      <w:r w:rsidR="00FB147C" w:rsidRPr="00FA1BCF">
        <w:t>.</w:t>
      </w:r>
    </w:p>
    <w:p w:rsidR="00E4502E" w:rsidRPr="00FA1BCF" w:rsidRDefault="00FB147C" w:rsidP="00DC19F4">
      <w:pPr>
        <w:pStyle w:val="EndNoteBibliography"/>
        <w:jc w:val="left"/>
        <w:rPr>
          <w:rFonts w:ascii="Times New Roman" w:hAnsi="Times New Roman"/>
          <w:b/>
          <w:bCs/>
          <w:color w:val="000000"/>
          <w:sz w:val="36"/>
          <w:szCs w:val="36"/>
          <w:lang w:val="en" w:eastAsia="en-AU"/>
        </w:rPr>
      </w:pPr>
      <w:r w:rsidRPr="00FA1BCF">
        <w:t>‘</w:t>
      </w:r>
      <w:r w:rsidR="00E4502E" w:rsidRPr="00FA1BCF">
        <w:t>Guidelines for preparing submissions to the Pharmaceutical Benefits Advisory Committee</w:t>
      </w:r>
      <w:r w:rsidRPr="00FA1BCF">
        <w:t>’,</w:t>
      </w:r>
      <w:r w:rsidR="00E4502E" w:rsidRPr="00FA1BCF">
        <w:t xml:space="preserve"> F.</w:t>
      </w:r>
      <w:r w:rsidRPr="00FA1BCF">
        <w:t>3</w:t>
      </w:r>
      <w:r w:rsidR="00E4502E" w:rsidRPr="00FA1BCF">
        <w:t xml:space="preserve"> </w:t>
      </w:r>
      <w:r w:rsidR="00B62AE0" w:rsidRPr="00FA1BCF">
        <w:t>‘</w:t>
      </w:r>
      <w:r w:rsidR="00E4502E" w:rsidRPr="00FA1BCF">
        <w:t>Other relevant factors</w:t>
      </w:r>
      <w:r w:rsidR="00B62AE0" w:rsidRPr="00FA1BCF">
        <w:t>’,</w:t>
      </w:r>
      <w:r w:rsidR="00B56F35" w:rsidRPr="00FA1BCF">
        <w:t xml:space="preserve"> </w:t>
      </w:r>
      <w:hyperlink r:id="rId35" w:history="1">
        <w:r w:rsidR="00E4502E" w:rsidRPr="00FA1BCF">
          <w:rPr>
            <w:rStyle w:val="Hyperlink"/>
          </w:rPr>
          <w:t>http://www.pbac.pbs.gov.au/section-f/f3-other-relevant-factors.html</w:t>
        </w:r>
      </w:hyperlink>
      <w:r w:rsidR="00B62AE0" w:rsidRPr="00FA1BCF">
        <w:t xml:space="preserve">, </w:t>
      </w:r>
      <w:r w:rsidR="00E4502E" w:rsidRPr="00FA1BCF">
        <w:t>version 4.4</w:t>
      </w:r>
      <w:r w:rsidR="00B62AE0" w:rsidRPr="00FA1BCF">
        <w:t>.</w:t>
      </w:r>
    </w:p>
    <w:p w:rsidR="00E4502E" w:rsidRPr="00FA1BCF" w:rsidRDefault="00E4502E" w:rsidP="00DC19F4">
      <w:pPr>
        <w:pStyle w:val="EndNoteBibliography"/>
        <w:jc w:val="left"/>
      </w:pPr>
      <w:r w:rsidRPr="00FA1BCF">
        <w:t xml:space="preserve">Harris, AH, Hill SR et al 2008, ‘The </w:t>
      </w:r>
      <w:r w:rsidR="00B62AE0" w:rsidRPr="00FA1BCF">
        <w:t>r</w:t>
      </w:r>
      <w:r w:rsidRPr="00FA1BCF">
        <w:t xml:space="preserve">ole of </w:t>
      </w:r>
      <w:r w:rsidR="00B62AE0" w:rsidRPr="00FA1BCF">
        <w:t>v</w:t>
      </w:r>
      <w:r w:rsidRPr="00FA1BCF">
        <w:t xml:space="preserve">alue for </w:t>
      </w:r>
      <w:r w:rsidR="00B62AE0" w:rsidRPr="00FA1BCF">
        <w:t>m</w:t>
      </w:r>
      <w:r w:rsidRPr="00FA1BCF">
        <w:t xml:space="preserve">oney in </w:t>
      </w:r>
      <w:r w:rsidR="00B62AE0" w:rsidRPr="00FA1BCF">
        <w:t>p</w:t>
      </w:r>
      <w:r w:rsidRPr="00FA1BCF">
        <w:t xml:space="preserve">ublic </w:t>
      </w:r>
      <w:r w:rsidR="00B62AE0" w:rsidRPr="00FA1BCF">
        <w:t>i</w:t>
      </w:r>
      <w:r w:rsidRPr="00FA1BCF">
        <w:t xml:space="preserve">nsurance </w:t>
      </w:r>
      <w:r w:rsidR="00B62AE0" w:rsidRPr="00FA1BCF">
        <w:t>c</w:t>
      </w:r>
      <w:r w:rsidRPr="00FA1BCF">
        <w:t xml:space="preserve">overage </w:t>
      </w:r>
      <w:r w:rsidR="00B62AE0" w:rsidRPr="00FA1BCF">
        <w:t>d</w:t>
      </w:r>
      <w:r w:rsidRPr="00FA1BCF">
        <w:t xml:space="preserve">ecisions for </w:t>
      </w:r>
      <w:r w:rsidR="00B62AE0" w:rsidRPr="00FA1BCF">
        <w:t>d</w:t>
      </w:r>
      <w:r w:rsidRPr="00FA1BCF">
        <w:t xml:space="preserve">rugs in Australia: </w:t>
      </w:r>
      <w:r w:rsidR="00B62AE0" w:rsidRPr="00FA1BCF">
        <w:t>a</w:t>
      </w:r>
      <w:r w:rsidRPr="00FA1BCF">
        <w:t xml:space="preserve"> </w:t>
      </w:r>
      <w:r w:rsidR="00B62AE0" w:rsidRPr="00FA1BCF">
        <w:t>r</w:t>
      </w:r>
      <w:r w:rsidRPr="00FA1BCF">
        <w:t xml:space="preserve">etrospective </w:t>
      </w:r>
      <w:r w:rsidR="00B62AE0" w:rsidRPr="00FA1BCF">
        <w:t>a</w:t>
      </w:r>
      <w:r w:rsidRPr="00FA1BCF">
        <w:t>nalysis 1994</w:t>
      </w:r>
      <w:r w:rsidR="003B146F" w:rsidRPr="00FA1BCF">
        <w:t>–</w:t>
      </w:r>
      <w:r w:rsidRPr="00FA1BCF">
        <w:t xml:space="preserve">2004’, </w:t>
      </w:r>
      <w:r w:rsidRPr="00FA1BCF">
        <w:rPr>
          <w:i/>
        </w:rPr>
        <w:t>Medical Decision Making</w:t>
      </w:r>
      <w:r w:rsidRPr="00FA1BCF">
        <w:t>, Sep</w:t>
      </w:r>
      <w:r w:rsidR="00B62AE0" w:rsidRPr="00FA1BCF">
        <w:t>tember</w:t>
      </w:r>
      <w:r w:rsidR="003B146F" w:rsidRPr="00FA1BCF">
        <w:t>–</w:t>
      </w:r>
      <w:r w:rsidRPr="00FA1BCF">
        <w:t>Oct</w:t>
      </w:r>
      <w:r w:rsidR="00B62AE0" w:rsidRPr="00FA1BCF">
        <w:t>ober</w:t>
      </w:r>
      <w:r w:rsidRPr="00FA1BCF">
        <w:t xml:space="preserve"> 713</w:t>
      </w:r>
      <w:r w:rsidR="003B146F" w:rsidRPr="00FA1BCF">
        <w:t>–</w:t>
      </w:r>
      <w:r w:rsidRPr="00FA1BCF">
        <w:t>722</w:t>
      </w:r>
      <w:r w:rsidR="00B62AE0" w:rsidRPr="00FA1BCF">
        <w:t>,</w:t>
      </w:r>
      <w:r w:rsidR="00B56F35" w:rsidRPr="00FA1BCF">
        <w:t xml:space="preserve"> </w:t>
      </w:r>
      <w:hyperlink r:id="rId36" w:history="1">
        <w:r w:rsidRPr="00FA1BCF">
          <w:rPr>
            <w:rStyle w:val="Hyperlink"/>
          </w:rPr>
          <w:t>http://mdm,sagepub.com</w:t>
        </w:r>
      </w:hyperlink>
      <w:r w:rsidR="00B62AE0" w:rsidRPr="00E436E7">
        <w:t>.</w:t>
      </w:r>
    </w:p>
    <w:p w:rsidR="00E4502E" w:rsidRPr="00FA1BCF" w:rsidRDefault="00E4502E" w:rsidP="00DC19F4">
      <w:pPr>
        <w:pStyle w:val="EndNoteBibliography"/>
        <w:jc w:val="left"/>
      </w:pPr>
      <w:r w:rsidRPr="00FA1BCF">
        <w:t xml:space="preserve">Kishnani, PS, DiRocco, M, Kaplan, P, Mehta, A, Pastores, GM, Smith, SE, Puga, AC, Lemay, RM &amp; Weinreb, NJ 2009, </w:t>
      </w:r>
      <w:r w:rsidR="00B62AE0" w:rsidRPr="00FA1BCF">
        <w:t>‘</w:t>
      </w:r>
      <w:r w:rsidRPr="00FA1BCF">
        <w:t>A randomized trial comparing the efficacy and safety of imiglucerase (Cerezyme) infusions every 4 weeks versus every 2 weeks in the maintenance therapy of adult patients with Gaucher disease type 1</w:t>
      </w:r>
      <w:r w:rsidR="00B62AE0" w:rsidRPr="00FA1BCF">
        <w:t>’</w:t>
      </w:r>
      <w:r w:rsidRPr="00FA1BCF">
        <w:t xml:space="preserve">, </w:t>
      </w:r>
      <w:r w:rsidRPr="00FA1BCF">
        <w:rPr>
          <w:i/>
        </w:rPr>
        <w:t>Mol Genet Metab</w:t>
      </w:r>
      <w:r w:rsidRPr="00E436E7">
        <w:t>, vol. 96,</w:t>
      </w:r>
      <w:r w:rsidRPr="00FA1BCF">
        <w:t xml:space="preserve"> pp. 164</w:t>
      </w:r>
      <w:r w:rsidR="003B146F" w:rsidRPr="00FA1BCF">
        <w:t>–</w:t>
      </w:r>
      <w:r w:rsidRPr="00FA1BCF">
        <w:t>170.</w:t>
      </w:r>
    </w:p>
    <w:p w:rsidR="00B62AE0" w:rsidRPr="00FA1BCF" w:rsidRDefault="00E4502E" w:rsidP="00DC19F4">
      <w:pPr>
        <w:pStyle w:val="EndNoteBibliography"/>
        <w:jc w:val="left"/>
      </w:pPr>
      <w:r w:rsidRPr="00FA1BCF">
        <w:t xml:space="preserve">Luzzatto, L et al 2015, ‘Rare diseases </w:t>
      </w:r>
      <w:r w:rsidRPr="00FA1BCF">
        <w:rPr>
          <w:rFonts w:hint="eastAsia"/>
        </w:rPr>
        <w:t>and effective treatments: are we delivering?</w:t>
      </w:r>
      <w:r w:rsidR="00B62AE0" w:rsidRPr="00FA1BCF">
        <w:t xml:space="preserve">’, </w:t>
      </w:r>
      <w:r w:rsidR="00B62AE0" w:rsidRPr="00FA1BCF">
        <w:rPr>
          <w:i/>
        </w:rPr>
        <w:t>Lancet</w:t>
      </w:r>
      <w:r w:rsidR="00B62AE0" w:rsidRPr="00FA1BCF">
        <w:t xml:space="preserve">, </w:t>
      </w:r>
      <w:r w:rsidRPr="00FA1BCF">
        <w:t xml:space="preserve"> Feb</w:t>
      </w:r>
      <w:r w:rsidR="00B62AE0" w:rsidRPr="00FA1BCF">
        <w:t>ruary</w:t>
      </w:r>
      <w:r w:rsidRPr="00FA1BCF">
        <w:t xml:space="preserve"> 28</w:t>
      </w:r>
      <w:r w:rsidR="00B62AE0" w:rsidRPr="00FA1BCF">
        <w:t>:</w:t>
      </w:r>
      <w:r w:rsidRPr="00FA1BCF">
        <w:t>385(9970):750</w:t>
      </w:r>
      <w:r w:rsidR="003B146F" w:rsidRPr="00FA1BCF">
        <w:t>–</w:t>
      </w:r>
      <w:r w:rsidRPr="00FA1BCF">
        <w:t>2</w:t>
      </w:r>
      <w:r w:rsidR="00B62AE0" w:rsidRPr="00FA1BCF">
        <w:t>,</w:t>
      </w:r>
      <w:r w:rsidR="00B56F35" w:rsidRPr="00FA1BCF">
        <w:t xml:space="preserve"> </w:t>
      </w:r>
      <w:hyperlink r:id="rId37" w:tgtFrame="doilink" w:history="1">
        <w:r w:rsidRPr="00E436E7">
          <w:rPr>
            <w:rStyle w:val="Hyperlink"/>
            <w:rFonts w:eastAsiaTheme="minorHAnsi"/>
            <w:sz w:val="24"/>
          </w:rPr>
          <w:t>doi:10.1016/S0140-6736(15)60297-5</w:t>
        </w:r>
      </w:hyperlink>
      <w:r w:rsidR="00B62AE0" w:rsidRPr="00E436E7">
        <w:t>.</w:t>
      </w:r>
    </w:p>
    <w:p w:rsidR="00E4502E" w:rsidRPr="00FA1BCF" w:rsidRDefault="00E4502E" w:rsidP="00DC19F4">
      <w:pPr>
        <w:pStyle w:val="EndNoteBibliography"/>
        <w:jc w:val="left"/>
      </w:pPr>
      <w:r w:rsidRPr="00FA1BCF">
        <w:t xml:space="preserve">Ma, D, Li, D, Zhang, X &amp; He, L 2011, </w:t>
      </w:r>
      <w:r w:rsidR="00B62AE0" w:rsidRPr="00FA1BCF">
        <w:t>‘</w:t>
      </w:r>
      <w:r w:rsidRPr="00FA1BCF">
        <w:t>Opportunities and challenges of rare diseases treatments in China</w:t>
      </w:r>
      <w:r w:rsidR="00B62AE0" w:rsidRPr="00FA1BCF">
        <w:t>’</w:t>
      </w:r>
      <w:r w:rsidRPr="00FA1BCF">
        <w:t xml:space="preserve">, </w:t>
      </w:r>
      <w:r w:rsidRPr="00FA1BCF">
        <w:rPr>
          <w:i/>
        </w:rPr>
        <w:t>Chin J Evid Based Pediatr</w:t>
      </w:r>
      <w:r w:rsidRPr="00FA1BCF">
        <w:t>, vol. 6, no. 2, pp. 81</w:t>
      </w:r>
      <w:r w:rsidR="003B146F" w:rsidRPr="00FA1BCF">
        <w:t>–</w:t>
      </w:r>
      <w:r w:rsidRPr="00FA1BCF">
        <w:t>82.</w:t>
      </w:r>
    </w:p>
    <w:p w:rsidR="00E4502E" w:rsidRPr="00FA1BCF" w:rsidRDefault="00E4502E" w:rsidP="00DC19F4">
      <w:pPr>
        <w:pStyle w:val="EndNoteBibliography"/>
        <w:jc w:val="left"/>
      </w:pPr>
      <w:r w:rsidRPr="00FA1BCF">
        <w:t>McKell Institute submission to the Life Saving Drugs Programme</w:t>
      </w:r>
      <w:r w:rsidR="00B56F35" w:rsidRPr="00FA1BCF">
        <w:t xml:space="preserve"> </w:t>
      </w:r>
      <w:r w:rsidR="00B62AE0" w:rsidRPr="00FA1BCF">
        <w:t xml:space="preserve">Post Market Review, </w:t>
      </w:r>
      <w:hyperlink r:id="rId38" w:history="1">
        <w:r w:rsidRPr="00FA1BCF">
          <w:rPr>
            <w:rStyle w:val="Hyperlink"/>
            <w:rFonts w:eastAsiaTheme="majorEastAsia"/>
          </w:rPr>
          <w:t>http://www.pbs.gov.au/reviews/lsdp-files/23-the-mckell-institute.pdf</w:t>
        </w:r>
      </w:hyperlink>
      <w:r w:rsidR="00B62AE0" w:rsidRPr="00E436E7">
        <w:t>.</w:t>
      </w:r>
    </w:p>
    <w:p w:rsidR="00E4502E" w:rsidRPr="00FA1BCF" w:rsidRDefault="00E4502E" w:rsidP="00DC19F4">
      <w:pPr>
        <w:pStyle w:val="EndNoteBibliography"/>
        <w:jc w:val="left"/>
      </w:pPr>
      <w:bookmarkStart w:id="82" w:name="_ENREF_199"/>
      <w:r w:rsidRPr="00FA1BCF">
        <w:lastRenderedPageBreak/>
        <w:t xml:space="preserve">Merlin, T, Weston, A &amp; Tooher, R 2009, </w:t>
      </w:r>
      <w:r w:rsidR="00B62AE0" w:rsidRPr="00FA1BCF">
        <w:t>‘</w:t>
      </w:r>
      <w:r w:rsidRPr="00FA1BCF">
        <w:t xml:space="preserve">Extending an evidence hierarchy to include topics other than treatment: revising the Australian </w:t>
      </w:r>
      <w:r w:rsidR="00B62AE0" w:rsidRPr="00FA1BCF">
        <w:t>“</w:t>
      </w:r>
      <w:r w:rsidRPr="00FA1BCF">
        <w:t>levels of evidence</w:t>
      </w:r>
      <w:r w:rsidR="00B62AE0" w:rsidRPr="00FA1BCF">
        <w:t>”’</w:t>
      </w:r>
      <w:r w:rsidRPr="00FA1BCF">
        <w:t xml:space="preserve">, </w:t>
      </w:r>
      <w:r w:rsidRPr="00FA1BCF">
        <w:rPr>
          <w:i/>
        </w:rPr>
        <w:t>BMC Med Res Methodol</w:t>
      </w:r>
      <w:r w:rsidRPr="00FA1BCF">
        <w:t>, vol. 9, p. 34.</w:t>
      </w:r>
    </w:p>
    <w:p w:rsidR="00E4502E" w:rsidRPr="00FA1BCF" w:rsidRDefault="00E4502E" w:rsidP="00DC19F4">
      <w:pPr>
        <w:pStyle w:val="EndNoteBibliography"/>
        <w:jc w:val="left"/>
      </w:pPr>
      <w:bookmarkStart w:id="83" w:name="_ENREF_205"/>
      <w:r w:rsidRPr="00FA1BCF">
        <w:t xml:space="preserve">Morel, T, Arickx, F, Befrits, G, Siviero, P, van der Meijden, C, Xoxi, E &amp; Simoens, S 2013, </w:t>
      </w:r>
      <w:r w:rsidR="00B62AE0" w:rsidRPr="00FA1BCF">
        <w:t>‘</w:t>
      </w:r>
      <w:r w:rsidRPr="00FA1BCF">
        <w:t>Reconciling uncertainty of costs and outcomes with the need for access to orphan medicinal products: a comparative study of managed entry agreements across seven European countries</w:t>
      </w:r>
      <w:r w:rsidR="00B62AE0" w:rsidRPr="00FA1BCF">
        <w:t>’</w:t>
      </w:r>
      <w:r w:rsidRPr="00FA1BCF">
        <w:t xml:space="preserve">, </w:t>
      </w:r>
      <w:r w:rsidRPr="00FA1BCF">
        <w:rPr>
          <w:i/>
        </w:rPr>
        <w:t>Orphanet J Rare Dis</w:t>
      </w:r>
      <w:r w:rsidRPr="00FA1BCF">
        <w:t>, vol. 8, p. 198.</w:t>
      </w:r>
      <w:bookmarkEnd w:id="82"/>
      <w:bookmarkEnd w:id="83"/>
    </w:p>
    <w:p w:rsidR="00E4502E" w:rsidRPr="00FA1BCF" w:rsidRDefault="00E4502E" w:rsidP="00DC19F4">
      <w:pPr>
        <w:pStyle w:val="EndNoteBibliography"/>
        <w:jc w:val="left"/>
      </w:pPr>
      <w:r w:rsidRPr="00FA1BCF">
        <w:t>Nicolino, M, Byrne, B, Wraith, JE, Leslie, N, Mandel, H, Freyer, DR, Arnold, GL, Pivnick, EK, Ottinger, CJ, Robinson, PH, Loo, JC, Smitka, M, Jardine, P, Tat</w:t>
      </w:r>
      <w:r w:rsidR="00B62AE0" w:rsidRPr="00FA1BCF">
        <w:t>e</w:t>
      </w:r>
      <w:r w:rsidRPr="00FA1BCF">
        <w:t xml:space="preserve">, L, Chabrol, B, McCandless, S, Kimura, S, Mehta, L, Bali, D, Skrinar, A, Morgan, C, Rangachari, L, Corzo, D &amp; Kishnani, PS 2009, </w:t>
      </w:r>
      <w:r w:rsidR="00B62AE0" w:rsidRPr="00FA1BCF">
        <w:t>‘</w:t>
      </w:r>
      <w:r w:rsidRPr="00FA1BCF">
        <w:t>Clinical outcomes after long-term treatment with alglucosidase alfa in infants and children with advanced Pompe disease</w:t>
      </w:r>
      <w:r w:rsidR="00B62AE0" w:rsidRPr="00FA1BCF">
        <w:t>’</w:t>
      </w:r>
      <w:r w:rsidRPr="00FA1BCF">
        <w:t xml:space="preserve">, </w:t>
      </w:r>
      <w:r w:rsidRPr="00FA1BCF">
        <w:rPr>
          <w:i/>
        </w:rPr>
        <w:t>Genet Med</w:t>
      </w:r>
      <w:r w:rsidRPr="00FA1BCF">
        <w:t>, vol. 11, no. 3, Mar</w:t>
      </w:r>
      <w:r w:rsidR="00B62AE0" w:rsidRPr="00FA1BCF">
        <w:t>ch</w:t>
      </w:r>
      <w:r w:rsidRPr="00FA1BCF">
        <w:t>, pp. 210</w:t>
      </w:r>
      <w:r w:rsidR="003B146F" w:rsidRPr="00FA1BCF">
        <w:t>–</w:t>
      </w:r>
      <w:r w:rsidRPr="00FA1BCF">
        <w:t xml:space="preserve">219. </w:t>
      </w:r>
    </w:p>
    <w:p w:rsidR="00B62AE0" w:rsidRPr="00FA1BCF" w:rsidRDefault="00E4502E" w:rsidP="00DC19F4">
      <w:pPr>
        <w:pStyle w:val="EndNoteBibliography"/>
        <w:jc w:val="left"/>
      </w:pPr>
      <w:r w:rsidRPr="00FA1BCF">
        <w:rPr>
          <w:lang w:eastAsia="en-AU"/>
        </w:rPr>
        <w:t xml:space="preserve">Pharmalot, </w:t>
      </w:r>
      <w:r w:rsidRPr="00E436E7">
        <w:rPr>
          <w:i/>
          <w:lang w:eastAsia="en-AU"/>
        </w:rPr>
        <w:t>Wall Street Journal</w:t>
      </w:r>
      <w:r w:rsidRPr="00FA1BCF">
        <w:rPr>
          <w:lang w:eastAsia="en-AU"/>
        </w:rPr>
        <w:t xml:space="preserve"> 29 May 2015, accessed 3 June 2015 </w:t>
      </w:r>
      <w:hyperlink r:id="rId39" w:history="1">
        <w:r w:rsidRPr="00FA1BCF">
          <w:rPr>
            <w:rStyle w:val="Hyperlink"/>
            <w:lang w:eastAsia="en-AU"/>
          </w:rPr>
          <w:t>http://blogs.wsj.com/pharmalot/2015/05/29/heres-why-orphan-drugs-will-remain-attractive-ma-targets/</w:t>
        </w:r>
      </w:hyperlink>
      <w:r w:rsidR="00B62AE0" w:rsidRPr="00FA1BCF">
        <w:rPr>
          <w:lang w:eastAsia="en-AU"/>
        </w:rPr>
        <w:t>.</w:t>
      </w:r>
    </w:p>
    <w:p w:rsidR="00E4502E" w:rsidRPr="00FA1BCF" w:rsidRDefault="00E4502E" w:rsidP="00DC19F4">
      <w:pPr>
        <w:pStyle w:val="EndNoteBibliography"/>
        <w:jc w:val="left"/>
      </w:pPr>
      <w:r w:rsidRPr="00FA1BCF">
        <w:t xml:space="preserve">Picavet, E, Cassiman, D &amp; Simoens, S 2013, </w:t>
      </w:r>
      <w:r w:rsidR="00B62AE0" w:rsidRPr="00FA1BCF">
        <w:t>‘</w:t>
      </w:r>
      <w:r w:rsidRPr="00FA1BCF">
        <w:t>Do ultra-orphan medicinal products warrant ultra-high prices? A review</w:t>
      </w:r>
      <w:r w:rsidR="00B62AE0" w:rsidRPr="00FA1BCF">
        <w:t>’</w:t>
      </w:r>
      <w:r w:rsidRPr="00FA1BCF">
        <w:t xml:space="preserve">, </w:t>
      </w:r>
      <w:r w:rsidRPr="00FA1BCF">
        <w:rPr>
          <w:i/>
        </w:rPr>
        <w:t>Orphan Drugs: Research and Reviews</w:t>
      </w:r>
      <w:r w:rsidRPr="00FA1BCF">
        <w:t>, vol. 3, pp. 23</w:t>
      </w:r>
      <w:r w:rsidR="003B146F" w:rsidRPr="00FA1BCF">
        <w:t>–</w:t>
      </w:r>
      <w:r w:rsidRPr="00FA1BCF">
        <w:t>31.</w:t>
      </w:r>
    </w:p>
    <w:p w:rsidR="00E4502E" w:rsidRPr="00FA1BCF" w:rsidRDefault="00E4502E" w:rsidP="00DC19F4">
      <w:pPr>
        <w:pStyle w:val="EndNoteBibliography"/>
        <w:jc w:val="left"/>
      </w:pPr>
      <w:r w:rsidRPr="00FA1BCF">
        <w:t xml:space="preserve">Song, P, Gao, J, Inagaki, Y, Kokudo, N &amp; Tang, W 2012, </w:t>
      </w:r>
      <w:r w:rsidR="00B62AE0" w:rsidRPr="00FA1BCF">
        <w:t>‘</w:t>
      </w:r>
      <w:r w:rsidRPr="00FA1BCF">
        <w:t>Intractable and rare diseases research in Asia</w:t>
      </w:r>
      <w:r w:rsidR="00B62AE0" w:rsidRPr="00FA1BCF">
        <w:t>’</w:t>
      </w:r>
      <w:r w:rsidRPr="00FA1BCF">
        <w:t xml:space="preserve">, </w:t>
      </w:r>
      <w:r w:rsidRPr="00FA1BCF">
        <w:rPr>
          <w:i/>
        </w:rPr>
        <w:t>Biosci Trends</w:t>
      </w:r>
      <w:r w:rsidRPr="00FA1BCF">
        <w:t>, vol. 6, no. 2, Apr</w:t>
      </w:r>
      <w:r w:rsidR="00B62AE0" w:rsidRPr="00FA1BCF">
        <w:t>il</w:t>
      </w:r>
      <w:r w:rsidRPr="00FA1BCF">
        <w:t>, pp. 48</w:t>
      </w:r>
      <w:r w:rsidR="003B146F" w:rsidRPr="00FA1BCF">
        <w:t>–</w:t>
      </w:r>
      <w:r w:rsidRPr="00FA1BCF">
        <w:t>51.</w:t>
      </w:r>
    </w:p>
    <w:p w:rsidR="00E4502E" w:rsidRPr="00FA1BCF" w:rsidRDefault="00E4502E" w:rsidP="00DC19F4">
      <w:pPr>
        <w:pStyle w:val="EndNoteBibliography"/>
        <w:jc w:val="left"/>
      </w:pPr>
      <w:r w:rsidRPr="00FA1BCF">
        <w:t>The National Institute for Health and Care Excellence</w:t>
      </w:r>
      <w:r w:rsidR="00B62AE0" w:rsidRPr="00FA1BCF">
        <w:t>,</w:t>
      </w:r>
      <w:r w:rsidRPr="00FA1BCF">
        <w:t xml:space="preserve"> </w:t>
      </w:r>
      <w:r w:rsidR="00B62AE0" w:rsidRPr="00FA1BCF">
        <w:t>‘</w:t>
      </w:r>
      <w:r w:rsidRPr="00FA1BCF">
        <w:t xml:space="preserve">Highly </w:t>
      </w:r>
      <w:r w:rsidR="00B62AE0" w:rsidRPr="00FA1BCF">
        <w:t>s</w:t>
      </w:r>
      <w:r w:rsidRPr="00FA1BCF">
        <w:t xml:space="preserve">pecialised </w:t>
      </w:r>
      <w:r w:rsidR="00B62AE0" w:rsidRPr="00FA1BCF">
        <w:t>t</w:t>
      </w:r>
      <w:r w:rsidRPr="00FA1BCF">
        <w:t xml:space="preserve">echnologies </w:t>
      </w:r>
      <w:r w:rsidR="00B62AE0" w:rsidRPr="00FA1BCF">
        <w:t>g</w:t>
      </w:r>
      <w:r w:rsidRPr="00FA1BCF">
        <w:t>uidance</w:t>
      </w:r>
      <w:r w:rsidR="00B62AE0" w:rsidRPr="00FA1BCF">
        <w:t>’,</w:t>
      </w:r>
      <w:r w:rsidRPr="00FA1BCF">
        <w:t xml:space="preserve"> </w:t>
      </w:r>
      <w:hyperlink r:id="rId40" w:history="1">
        <w:r w:rsidRPr="00FA1BCF">
          <w:rPr>
            <w:rStyle w:val="Hyperlink"/>
            <w:rFonts w:eastAsiaTheme="majorEastAsia"/>
          </w:rPr>
          <w:t>https://www.nice.org.uk/Media/Default/About/what-we-do/NICE-guidance/NICE-highly-specialised-technologies-guidance/Highly-Specialised-Technologies-Interim-methods-and-process-statements.pdf</w:t>
        </w:r>
      </w:hyperlink>
      <w:r w:rsidR="00B62AE0" w:rsidRPr="00E436E7">
        <w:t>.</w:t>
      </w:r>
    </w:p>
    <w:p w:rsidR="00E4502E" w:rsidRDefault="00E4502E" w:rsidP="00DC19F4">
      <w:pPr>
        <w:pStyle w:val="EndNoteBibliography"/>
        <w:jc w:val="left"/>
      </w:pPr>
      <w:r w:rsidRPr="00FA1BCF">
        <w:t>The National Institute for Health and Care Excellence</w:t>
      </w:r>
      <w:r w:rsidR="00B62AE0" w:rsidRPr="00FA1BCF">
        <w:t>,</w:t>
      </w:r>
      <w:r w:rsidRPr="00FA1BCF">
        <w:t xml:space="preserve"> </w:t>
      </w:r>
      <w:r w:rsidR="00B62AE0" w:rsidRPr="00FA1BCF">
        <w:t>‘</w:t>
      </w:r>
      <w:r w:rsidRPr="00FA1BCF">
        <w:t>Highly specialised technology guidance</w:t>
      </w:r>
      <w:r w:rsidR="00B62AE0" w:rsidRPr="00FA1BCF">
        <w:t xml:space="preserve"> </w:t>
      </w:r>
      <w:r w:rsidR="003B146F" w:rsidRPr="00FA1BCF">
        <w:t>–</w:t>
      </w:r>
      <w:r w:rsidRPr="00FA1BCF">
        <w:t xml:space="preserve"> Eculizumab for treating atypical haemolytic uraemic syndrome</w:t>
      </w:r>
      <w:r w:rsidR="00B62AE0" w:rsidRPr="00FA1BCF">
        <w:t>’,</w:t>
      </w:r>
      <w:r w:rsidRPr="00FA1BCF">
        <w:t xml:space="preserve"> 28 January 2015</w:t>
      </w:r>
      <w:r w:rsidR="007D1843" w:rsidRPr="00FA1BCF">
        <w:t>,</w:t>
      </w:r>
      <w:r w:rsidR="00B56F35" w:rsidRPr="00FA1BCF">
        <w:t xml:space="preserve"> </w:t>
      </w:r>
      <w:hyperlink r:id="rId41" w:history="1">
        <w:r w:rsidR="007D1843" w:rsidRPr="00FA1BCF">
          <w:rPr>
            <w:rStyle w:val="Hyperlink"/>
          </w:rPr>
          <w:t>https://www.nice.org.uk/guidance/hst1</w:t>
        </w:r>
      </w:hyperlink>
      <w:r w:rsidR="007D1843" w:rsidRPr="00FA1BCF">
        <w:t>.</w:t>
      </w:r>
    </w:p>
    <w:p w:rsidR="002746EA" w:rsidRPr="00FA1BCF" w:rsidRDefault="002746EA" w:rsidP="00DC19F4">
      <w:pPr>
        <w:pStyle w:val="EndNoteBibliography"/>
        <w:jc w:val="left"/>
        <w:rPr>
          <w:lang w:eastAsia="en-AU"/>
        </w:rPr>
      </w:pPr>
      <w:r>
        <w:t>Therapeutic Goods Administration</w:t>
      </w:r>
      <w:r w:rsidR="00BA5153">
        <w:t>,</w:t>
      </w:r>
      <w:r>
        <w:t xml:space="preserve"> May 2015</w:t>
      </w:r>
      <w:r w:rsidR="00BA5153">
        <w:t>,</w:t>
      </w:r>
      <w:r>
        <w:t xml:space="preserve"> </w:t>
      </w:r>
      <w:r w:rsidR="00BA5153">
        <w:t>‘</w:t>
      </w:r>
      <w:r>
        <w:rPr>
          <w:lang w:eastAsia="en-AU"/>
        </w:rPr>
        <w:t xml:space="preserve">Orphan Drugs Program </w:t>
      </w:r>
      <w:r w:rsidR="00BA5153">
        <w:rPr>
          <w:lang w:eastAsia="en-AU"/>
        </w:rPr>
        <w:t>d</w:t>
      </w:r>
      <w:r>
        <w:rPr>
          <w:lang w:eastAsia="en-AU"/>
        </w:rPr>
        <w:t xml:space="preserve">iscussion </w:t>
      </w:r>
      <w:r w:rsidR="00BA5153">
        <w:rPr>
          <w:lang w:eastAsia="en-AU"/>
        </w:rPr>
        <w:t>p</w:t>
      </w:r>
      <w:r>
        <w:rPr>
          <w:lang w:eastAsia="en-AU"/>
        </w:rPr>
        <w:t>aper</w:t>
      </w:r>
      <w:r w:rsidR="00BA5153">
        <w:rPr>
          <w:lang w:eastAsia="en-AU"/>
        </w:rPr>
        <w:t>’,</w:t>
      </w:r>
      <w:r>
        <w:rPr>
          <w:lang w:eastAsia="en-AU"/>
        </w:rPr>
        <w:t xml:space="preserve">  </w:t>
      </w:r>
      <w:hyperlink r:id="rId42" w:history="1">
        <w:r w:rsidRPr="00BA5153">
          <w:rPr>
            <w:rStyle w:val="Hyperlink"/>
          </w:rPr>
          <w:t>https://www.tga.gov.au/sites/default/files/consultation-orphan-drugs-program.pdf</w:t>
        </w:r>
      </w:hyperlink>
      <w:r w:rsidR="00BA5153">
        <w:t>.</w:t>
      </w:r>
    </w:p>
    <w:p w:rsidR="00E4502E" w:rsidRPr="00FA1BCF" w:rsidRDefault="00E4502E" w:rsidP="00DC19F4">
      <w:pPr>
        <w:pStyle w:val="EndNoteBibliography"/>
        <w:jc w:val="left"/>
      </w:pPr>
      <w:r w:rsidRPr="00FA1BCF">
        <w:t xml:space="preserve">Tordup et al. 2014, </w:t>
      </w:r>
      <w:r w:rsidR="007D1843" w:rsidRPr="00FA1BCF">
        <w:t>‘</w:t>
      </w:r>
      <w:r w:rsidRPr="00FA1BCF">
        <w:t xml:space="preserve">Rare </w:t>
      </w:r>
      <w:r w:rsidR="003B146F" w:rsidRPr="00FA1BCF">
        <w:t>d</w:t>
      </w:r>
      <w:r w:rsidRPr="00FA1BCF">
        <w:t xml:space="preserve">iseases and </w:t>
      </w:r>
      <w:r w:rsidR="003B146F" w:rsidRPr="00FA1BCF">
        <w:t>o</w:t>
      </w:r>
      <w:r w:rsidRPr="00FA1BCF">
        <w:t xml:space="preserve">rphan </w:t>
      </w:r>
      <w:r w:rsidR="003B146F" w:rsidRPr="00FA1BCF">
        <w:t>d</w:t>
      </w:r>
      <w:r w:rsidRPr="00FA1BCF">
        <w:t>rugs</w:t>
      </w:r>
      <w:r w:rsidR="007D1843" w:rsidRPr="00FA1BCF">
        <w:t>’</w:t>
      </w:r>
      <w:r w:rsidR="003B146F" w:rsidRPr="00FA1BCF">
        <w:t>,</w:t>
      </w:r>
      <w:r w:rsidRPr="00FA1BCF">
        <w:t xml:space="preserve"> </w:t>
      </w:r>
      <w:r w:rsidRPr="00FA1BCF">
        <w:rPr>
          <w:i/>
        </w:rPr>
        <w:t>An International Journal of Public Health</w:t>
      </w:r>
      <w:r w:rsidRPr="00FA1BCF">
        <w:t>, 1(3)</w:t>
      </w:r>
      <w:r w:rsidR="003B146F" w:rsidRPr="00FA1BCF">
        <w:t xml:space="preserve">, </w:t>
      </w:r>
      <w:r w:rsidRPr="00FA1BCF">
        <w:t>pp</w:t>
      </w:r>
      <w:r w:rsidR="003B146F" w:rsidRPr="00FA1BCF">
        <w:t xml:space="preserve">. </w:t>
      </w:r>
      <w:r w:rsidRPr="00FA1BCF">
        <w:t>86</w:t>
      </w:r>
      <w:r w:rsidR="003B146F" w:rsidRPr="00FA1BCF">
        <w:t>–</w:t>
      </w:r>
      <w:r w:rsidRPr="00FA1BCF">
        <w:t>97</w:t>
      </w:r>
      <w:r w:rsidR="007D1843" w:rsidRPr="00FA1BCF">
        <w:t>.</w:t>
      </w:r>
    </w:p>
    <w:p w:rsidR="00E4502E" w:rsidRPr="00FA1BCF" w:rsidRDefault="00E4502E" w:rsidP="00DC19F4">
      <w:pPr>
        <w:pStyle w:val="EndNoteBibliography"/>
        <w:jc w:val="left"/>
      </w:pPr>
      <w:r w:rsidRPr="00FA1BCF">
        <w:t xml:space="preserve">Vedder, AC, Linthorst, GE, Houge, G, Groener, JEM, Ormel, EE, Bouma, BJ, Aerts, JMFG, Hirth, A &amp; Hollak, CEM 2007, </w:t>
      </w:r>
      <w:r w:rsidR="007D1843" w:rsidRPr="00FA1BCF">
        <w:t>‘</w:t>
      </w:r>
      <w:r w:rsidRPr="00FA1BCF">
        <w:t xml:space="preserve">Treatment of </w:t>
      </w:r>
      <w:r w:rsidR="00A92341">
        <w:t>F</w:t>
      </w:r>
      <w:r w:rsidRPr="00FA1BCF">
        <w:t xml:space="preserve">abry disease: </w:t>
      </w:r>
      <w:r w:rsidR="003B146F" w:rsidRPr="00FA1BCF">
        <w:t>o</w:t>
      </w:r>
      <w:r w:rsidRPr="00FA1BCF">
        <w:t>utcome of a comparative trial with agalsidase alfa or beta at a dose of 0.2 mg/kg</w:t>
      </w:r>
      <w:r w:rsidR="007D1843" w:rsidRPr="00FA1BCF">
        <w:t>’</w:t>
      </w:r>
      <w:r w:rsidRPr="00FA1BCF">
        <w:t xml:space="preserve">, </w:t>
      </w:r>
      <w:r w:rsidRPr="00FA1BCF">
        <w:rPr>
          <w:i/>
        </w:rPr>
        <w:t>PLoS ONE</w:t>
      </w:r>
      <w:r w:rsidRPr="00FA1BCF">
        <w:t>, vol. 2, no. 7.</w:t>
      </w:r>
    </w:p>
    <w:p w:rsidR="00E4502E" w:rsidRPr="00FA1BCF" w:rsidRDefault="00E4502E" w:rsidP="00DC19F4">
      <w:pPr>
        <w:pStyle w:val="EndNoteBibliography"/>
        <w:spacing w:after="0"/>
        <w:jc w:val="left"/>
      </w:pPr>
      <w:bookmarkStart w:id="84" w:name="_ENREF_307"/>
      <w:r w:rsidRPr="00FA1BCF">
        <w:t xml:space="preserve">Vegter, S, Rozenbaum, MH, Postema, R, Tolley, K &amp; Postma, MJ 2010, </w:t>
      </w:r>
      <w:r w:rsidR="007D1843" w:rsidRPr="00FA1BCF">
        <w:t>‘</w:t>
      </w:r>
      <w:r w:rsidRPr="00FA1BCF">
        <w:t xml:space="preserve">Review of regulatory recommendations for orphan drug submissions in the </w:t>
      </w:r>
      <w:r w:rsidR="003B146F" w:rsidRPr="00FA1BCF">
        <w:t>N</w:t>
      </w:r>
      <w:r w:rsidRPr="00FA1BCF">
        <w:t xml:space="preserve">etherlands and </w:t>
      </w:r>
      <w:r w:rsidR="003B146F" w:rsidRPr="00FA1BCF">
        <w:t>S</w:t>
      </w:r>
      <w:r w:rsidRPr="00FA1BCF">
        <w:t xml:space="preserve">cotland: </w:t>
      </w:r>
      <w:r w:rsidR="003B146F" w:rsidRPr="00FA1BCF">
        <w:t>f</w:t>
      </w:r>
      <w:r w:rsidRPr="00FA1BCF">
        <w:t>ocus on the underlying pharmacoeconomic evaluations</w:t>
      </w:r>
      <w:r w:rsidR="007D1843" w:rsidRPr="00FA1BCF">
        <w:t>’</w:t>
      </w:r>
      <w:r w:rsidRPr="00FA1BCF">
        <w:t xml:space="preserve">, </w:t>
      </w:r>
      <w:r w:rsidRPr="00FA1BCF">
        <w:rPr>
          <w:i/>
        </w:rPr>
        <w:t>Clinical Therapeutics</w:t>
      </w:r>
      <w:r w:rsidRPr="00FA1BCF">
        <w:t>, vol. 32, no. 9, pp.</w:t>
      </w:r>
      <w:r w:rsidR="003B146F" w:rsidRPr="00FA1BCF">
        <w:t> </w:t>
      </w:r>
      <w:r w:rsidRPr="00FA1BCF">
        <w:t>1651</w:t>
      </w:r>
      <w:r w:rsidR="003B146F" w:rsidRPr="00FA1BCF">
        <w:t>–</w:t>
      </w:r>
      <w:r w:rsidRPr="00FA1BCF">
        <w:t>1661.</w:t>
      </w:r>
      <w:bookmarkEnd w:id="84"/>
    </w:p>
    <w:p w:rsidR="00E4502E" w:rsidRPr="00FA1BCF" w:rsidRDefault="00E4502E" w:rsidP="00DC19F4">
      <w:pPr>
        <w:pStyle w:val="EndNoteBibliography"/>
        <w:spacing w:after="0"/>
        <w:jc w:val="left"/>
      </w:pPr>
      <w:r w:rsidRPr="00FA1BCF">
        <w:t xml:space="preserve">Visschers, RGJ, van Gemert, WG &amp; Olde Damink, SWM 2011, </w:t>
      </w:r>
      <w:r w:rsidR="007D1843" w:rsidRPr="00FA1BCF">
        <w:t>‘</w:t>
      </w:r>
      <w:r w:rsidRPr="00FA1BCF">
        <w:t xml:space="preserve">Orphan diseases neglected: </w:t>
      </w:r>
      <w:r w:rsidR="007B5733" w:rsidRPr="00FA1BCF">
        <w:t>t</w:t>
      </w:r>
      <w:r w:rsidRPr="00FA1BCF">
        <w:t>he faith of intestinal failure</w:t>
      </w:r>
      <w:r w:rsidR="007D1843" w:rsidRPr="00FA1BCF">
        <w:t>’</w:t>
      </w:r>
      <w:r w:rsidRPr="00FA1BCF">
        <w:t xml:space="preserve">, </w:t>
      </w:r>
      <w:r w:rsidRPr="00FA1BCF">
        <w:rPr>
          <w:i/>
        </w:rPr>
        <w:t>e-SPEN</w:t>
      </w:r>
      <w:r w:rsidRPr="00FA1BCF">
        <w:t>, vol. 6, no. 5, pp. e232</w:t>
      </w:r>
      <w:r w:rsidR="003B146F" w:rsidRPr="00FA1BCF">
        <w:t>–</w:t>
      </w:r>
      <w:r w:rsidRPr="00FA1BCF">
        <w:t>e234.</w:t>
      </w:r>
    </w:p>
    <w:p w:rsidR="00E4502E" w:rsidRPr="00FA1BCF" w:rsidRDefault="00E4502E" w:rsidP="00E4502E">
      <w:pPr>
        <w:rPr>
          <w:rFonts w:eastAsia="Times New Roman" w:cs="Times New Roman"/>
          <w:noProof/>
          <w:szCs w:val="24"/>
          <w:lang w:val="en-US"/>
        </w:rPr>
      </w:pPr>
      <w:r w:rsidRPr="00FA1BCF">
        <w:br w:type="page"/>
      </w:r>
    </w:p>
    <w:p w:rsidR="00E4502E" w:rsidRPr="00FA1BCF" w:rsidRDefault="00E4502E">
      <w:pPr>
        <w:pStyle w:val="Heading1"/>
        <w:rPr>
          <w:lang w:eastAsia="en-AU"/>
        </w:rPr>
      </w:pPr>
      <w:bookmarkStart w:id="85" w:name="_Toc382906695"/>
      <w:bookmarkStart w:id="86" w:name="_Toc397947692"/>
      <w:bookmarkStart w:id="87" w:name="_Toc403399533"/>
      <w:bookmarkStart w:id="88" w:name="_Toc302625629"/>
      <w:r w:rsidRPr="00FA1BCF">
        <w:rPr>
          <w:lang w:eastAsia="en-AU"/>
        </w:rPr>
        <w:lastRenderedPageBreak/>
        <w:t>Abbreviations</w:t>
      </w:r>
      <w:bookmarkEnd w:id="85"/>
      <w:bookmarkEnd w:id="86"/>
      <w:bookmarkEnd w:id="87"/>
      <w:bookmarkEnd w:id="88"/>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68"/>
        <w:gridCol w:w="6663"/>
      </w:tblGrid>
      <w:tr w:rsidR="00E4502E" w:rsidRPr="00FA1BCF" w:rsidTr="002259E3">
        <w:tc>
          <w:tcPr>
            <w:tcW w:w="2268" w:type="dxa"/>
            <w:shd w:val="clear" w:color="auto" w:fill="auto"/>
          </w:tcPr>
          <w:p w:rsidR="00E4502E" w:rsidRPr="00FA1BCF" w:rsidRDefault="00E4502E" w:rsidP="002259E3">
            <w:r w:rsidRPr="00FA1BCF">
              <w:t>AHTA</w:t>
            </w:r>
          </w:p>
        </w:tc>
        <w:tc>
          <w:tcPr>
            <w:tcW w:w="6663" w:type="dxa"/>
            <w:shd w:val="clear" w:color="auto" w:fill="auto"/>
          </w:tcPr>
          <w:p w:rsidR="00E4502E" w:rsidRPr="00FA1BCF" w:rsidRDefault="00E4502E" w:rsidP="002259E3">
            <w:r w:rsidRPr="00FA1BCF">
              <w:t xml:space="preserve">Adelaide Health Technology Assessment </w:t>
            </w:r>
          </w:p>
        </w:tc>
      </w:tr>
      <w:tr w:rsidR="00E4502E" w:rsidRPr="00FA1BCF" w:rsidTr="002259E3">
        <w:tc>
          <w:tcPr>
            <w:tcW w:w="2268" w:type="dxa"/>
            <w:shd w:val="clear" w:color="auto" w:fill="auto"/>
          </w:tcPr>
          <w:p w:rsidR="00E4502E" w:rsidRPr="00FA1BCF" w:rsidRDefault="00E4502E" w:rsidP="002259E3">
            <w:r w:rsidRPr="00FA1BCF">
              <w:t>CHF</w:t>
            </w:r>
          </w:p>
        </w:tc>
        <w:tc>
          <w:tcPr>
            <w:tcW w:w="6663" w:type="dxa"/>
            <w:shd w:val="clear" w:color="auto" w:fill="auto"/>
          </w:tcPr>
          <w:p w:rsidR="00E4502E" w:rsidRPr="00FA1BCF" w:rsidRDefault="00E4502E" w:rsidP="002259E3">
            <w:pPr>
              <w:rPr>
                <w:rFonts w:cs="Arial"/>
              </w:rPr>
            </w:pPr>
            <w:r w:rsidRPr="00FA1BCF">
              <w:t>Consumers Health Forum of Australia</w:t>
            </w:r>
          </w:p>
        </w:tc>
      </w:tr>
      <w:tr w:rsidR="00E4502E" w:rsidRPr="00FA1BCF" w:rsidTr="002259E3">
        <w:tc>
          <w:tcPr>
            <w:tcW w:w="2268" w:type="dxa"/>
            <w:shd w:val="clear" w:color="auto" w:fill="auto"/>
          </w:tcPr>
          <w:p w:rsidR="00E4502E" w:rsidRPr="00FA1BCF" w:rsidRDefault="00112BDD" w:rsidP="002259E3">
            <w:proofErr w:type="spellStart"/>
            <w:r w:rsidRPr="00FA1BCF">
              <w:t>CoE</w:t>
            </w:r>
            <w:proofErr w:type="spellEnd"/>
          </w:p>
        </w:tc>
        <w:tc>
          <w:tcPr>
            <w:tcW w:w="6663" w:type="dxa"/>
            <w:shd w:val="clear" w:color="auto" w:fill="auto"/>
          </w:tcPr>
          <w:p w:rsidR="00E4502E" w:rsidRPr="00FA1BCF" w:rsidRDefault="00EF6EF3" w:rsidP="002259E3">
            <w:r w:rsidRPr="00FA1BCF">
              <w:t>c</w:t>
            </w:r>
            <w:r w:rsidR="00AB7C0F" w:rsidRPr="00FA1BCF">
              <w:t>entre</w:t>
            </w:r>
            <w:r w:rsidR="00112BDD" w:rsidRPr="00FA1BCF">
              <w:t xml:space="preserve"> of </w:t>
            </w:r>
            <w:r w:rsidR="00C07057">
              <w:t xml:space="preserve">rare disease </w:t>
            </w:r>
            <w:r w:rsidRPr="00FA1BCF">
              <w:t>e</w:t>
            </w:r>
            <w:r w:rsidR="00112BDD" w:rsidRPr="00FA1BCF">
              <w:t>xpertise</w:t>
            </w:r>
          </w:p>
        </w:tc>
      </w:tr>
      <w:tr w:rsidR="00112BDD" w:rsidRPr="00FA1BCF" w:rsidTr="002259E3">
        <w:tc>
          <w:tcPr>
            <w:tcW w:w="2268" w:type="dxa"/>
            <w:shd w:val="clear" w:color="auto" w:fill="auto"/>
          </w:tcPr>
          <w:p w:rsidR="00112BDD" w:rsidRPr="00FA1BCF" w:rsidRDefault="00112BDD" w:rsidP="002259E3">
            <w:r w:rsidRPr="00FA1BCF">
              <w:t>DAC</w:t>
            </w:r>
            <w:r w:rsidR="00FF4324" w:rsidRPr="00FA1BCF">
              <w:t>s</w:t>
            </w:r>
          </w:p>
        </w:tc>
        <w:tc>
          <w:tcPr>
            <w:tcW w:w="6663" w:type="dxa"/>
            <w:shd w:val="clear" w:color="auto" w:fill="auto"/>
          </w:tcPr>
          <w:p w:rsidR="00112BDD" w:rsidRPr="00FA1BCF" w:rsidRDefault="00F11CA5" w:rsidP="002259E3">
            <w:r w:rsidRPr="00FA1BCF">
              <w:t>d</w:t>
            </w:r>
            <w:r w:rsidR="00112BDD" w:rsidRPr="00FA1BCF">
              <w:t xml:space="preserve">isease </w:t>
            </w:r>
            <w:r w:rsidRPr="00FA1BCF">
              <w:t>a</w:t>
            </w:r>
            <w:r w:rsidR="00112BDD" w:rsidRPr="00FA1BCF">
              <w:t xml:space="preserve">dvisory </w:t>
            </w:r>
            <w:r w:rsidRPr="00FA1BCF">
              <w:t>c</w:t>
            </w:r>
            <w:r w:rsidR="00112BDD" w:rsidRPr="00FA1BCF">
              <w:t>ommittee</w:t>
            </w:r>
            <w:r w:rsidR="00FF4324" w:rsidRPr="00FA1BCF">
              <w:t>s</w:t>
            </w:r>
          </w:p>
        </w:tc>
      </w:tr>
      <w:tr w:rsidR="00112BDD" w:rsidRPr="00FA1BCF" w:rsidTr="002259E3">
        <w:tc>
          <w:tcPr>
            <w:tcW w:w="2268" w:type="dxa"/>
            <w:shd w:val="clear" w:color="auto" w:fill="auto"/>
          </w:tcPr>
          <w:p w:rsidR="00112BDD" w:rsidRPr="00FA1BCF" w:rsidRDefault="00112BDD" w:rsidP="002259E3">
            <w:r w:rsidRPr="00FA1BCF">
              <w:t>DUSC</w:t>
            </w:r>
          </w:p>
        </w:tc>
        <w:tc>
          <w:tcPr>
            <w:tcW w:w="6663" w:type="dxa"/>
            <w:shd w:val="clear" w:color="auto" w:fill="auto"/>
          </w:tcPr>
          <w:p w:rsidR="00112BDD" w:rsidRPr="00FA1BCF" w:rsidRDefault="00112BDD" w:rsidP="002259E3">
            <w:r w:rsidRPr="00FA1BCF">
              <w:t>Drug Utilisation Sub-Committee</w:t>
            </w:r>
          </w:p>
        </w:tc>
      </w:tr>
      <w:tr w:rsidR="00112BDD" w:rsidRPr="00FA1BCF" w:rsidTr="002259E3">
        <w:trPr>
          <w:trHeight w:val="320"/>
        </w:trPr>
        <w:tc>
          <w:tcPr>
            <w:tcW w:w="2268" w:type="dxa"/>
            <w:shd w:val="clear" w:color="auto" w:fill="auto"/>
          </w:tcPr>
          <w:p w:rsidR="00112BDD" w:rsidRPr="00FA1BCF" w:rsidRDefault="00112BDD" w:rsidP="002259E3">
            <w:r w:rsidRPr="00FA1BCF">
              <w:t>ESC</w:t>
            </w:r>
          </w:p>
        </w:tc>
        <w:tc>
          <w:tcPr>
            <w:tcW w:w="6663" w:type="dxa"/>
            <w:shd w:val="clear" w:color="auto" w:fill="auto"/>
          </w:tcPr>
          <w:p w:rsidR="00112BDD" w:rsidRPr="00FA1BCF" w:rsidRDefault="00112BDD" w:rsidP="002259E3">
            <w:r w:rsidRPr="00FA1BCF">
              <w:t>Economics Sub-Committee</w:t>
            </w:r>
          </w:p>
        </w:tc>
      </w:tr>
      <w:tr w:rsidR="00112BDD" w:rsidRPr="00FA1BCF" w:rsidTr="002259E3">
        <w:trPr>
          <w:trHeight w:val="320"/>
        </w:trPr>
        <w:tc>
          <w:tcPr>
            <w:tcW w:w="2268" w:type="dxa"/>
            <w:shd w:val="clear" w:color="auto" w:fill="auto"/>
          </w:tcPr>
          <w:p w:rsidR="00112BDD" w:rsidRPr="00FA1BCF" w:rsidRDefault="00112BDD" w:rsidP="002259E3">
            <w:r w:rsidRPr="00FA1BCF">
              <w:t>HSD</w:t>
            </w:r>
            <w:r w:rsidR="00BA1112" w:rsidRPr="00FA1BCF">
              <w:t>P</w:t>
            </w:r>
          </w:p>
        </w:tc>
        <w:tc>
          <w:tcPr>
            <w:tcW w:w="6663" w:type="dxa"/>
            <w:shd w:val="clear" w:color="auto" w:fill="auto"/>
          </w:tcPr>
          <w:p w:rsidR="00112BDD" w:rsidRPr="00FA1BCF" w:rsidRDefault="00112BDD" w:rsidP="002259E3">
            <w:r w:rsidRPr="00FA1BCF">
              <w:t>Highly Specialised Drugs</w:t>
            </w:r>
            <w:r w:rsidR="00BA1112" w:rsidRPr="00FA1BCF">
              <w:t xml:space="preserve"> Programme</w:t>
            </w:r>
          </w:p>
        </w:tc>
      </w:tr>
      <w:tr w:rsidR="00112BDD" w:rsidRPr="00FA1BCF" w:rsidTr="002259E3">
        <w:tc>
          <w:tcPr>
            <w:tcW w:w="2268" w:type="dxa"/>
            <w:shd w:val="clear" w:color="auto" w:fill="auto"/>
          </w:tcPr>
          <w:p w:rsidR="00112BDD" w:rsidRPr="00FA1BCF" w:rsidRDefault="00112BDD" w:rsidP="002259E3">
            <w:r w:rsidRPr="00FA1BCF">
              <w:t>LSDP</w:t>
            </w:r>
          </w:p>
        </w:tc>
        <w:tc>
          <w:tcPr>
            <w:tcW w:w="6663" w:type="dxa"/>
            <w:shd w:val="clear" w:color="auto" w:fill="auto"/>
          </w:tcPr>
          <w:p w:rsidR="00112BDD" w:rsidRPr="00FA1BCF" w:rsidRDefault="00112BDD" w:rsidP="002259E3">
            <w:pPr>
              <w:rPr>
                <w:rFonts w:cs="Arial"/>
              </w:rPr>
            </w:pPr>
            <w:r w:rsidRPr="00FA1BCF">
              <w:t>Life Saving Drugs Programme</w:t>
            </w:r>
          </w:p>
        </w:tc>
      </w:tr>
      <w:tr w:rsidR="00112BDD" w:rsidRPr="00FA1BCF" w:rsidTr="002259E3">
        <w:tc>
          <w:tcPr>
            <w:tcW w:w="2268" w:type="dxa"/>
            <w:shd w:val="clear" w:color="auto" w:fill="auto"/>
          </w:tcPr>
          <w:p w:rsidR="00112BDD" w:rsidRPr="00FA1BCF" w:rsidRDefault="00112BDD" w:rsidP="002259E3">
            <w:r w:rsidRPr="00FA1BCF">
              <w:t>MCDA</w:t>
            </w:r>
          </w:p>
        </w:tc>
        <w:tc>
          <w:tcPr>
            <w:tcW w:w="6663" w:type="dxa"/>
            <w:shd w:val="clear" w:color="auto" w:fill="auto"/>
          </w:tcPr>
          <w:p w:rsidR="00112BDD" w:rsidRPr="00FA1BCF" w:rsidRDefault="00F40D3E" w:rsidP="002259E3">
            <w:r w:rsidRPr="00FA1BCF">
              <w:t>m</w:t>
            </w:r>
            <w:r w:rsidR="00112BDD" w:rsidRPr="00FA1BCF">
              <w:t>ulti-</w:t>
            </w:r>
            <w:r w:rsidRPr="00FA1BCF">
              <w:t>c</w:t>
            </w:r>
            <w:r w:rsidR="00112BDD" w:rsidRPr="00FA1BCF">
              <w:t xml:space="preserve">riteria </w:t>
            </w:r>
            <w:r w:rsidRPr="00FA1BCF">
              <w:t>d</w:t>
            </w:r>
            <w:r w:rsidR="00112BDD" w:rsidRPr="00FA1BCF">
              <w:t xml:space="preserve">ecision </w:t>
            </w:r>
            <w:r w:rsidRPr="00FA1BCF">
              <w:t>a</w:t>
            </w:r>
            <w:r w:rsidR="00112BDD" w:rsidRPr="00FA1BCF">
              <w:t>nalysis</w:t>
            </w:r>
          </w:p>
        </w:tc>
      </w:tr>
      <w:tr w:rsidR="00112BDD" w:rsidRPr="00FA1BCF" w:rsidTr="002259E3">
        <w:tc>
          <w:tcPr>
            <w:tcW w:w="2268" w:type="dxa"/>
            <w:shd w:val="clear" w:color="auto" w:fill="auto"/>
          </w:tcPr>
          <w:p w:rsidR="00112BDD" w:rsidRPr="00FA1BCF" w:rsidRDefault="00E775E8" w:rsidP="002259E3">
            <w:r w:rsidRPr="00FA1BCF">
              <w:t>MRDP</w:t>
            </w:r>
          </w:p>
        </w:tc>
        <w:tc>
          <w:tcPr>
            <w:tcW w:w="6663" w:type="dxa"/>
            <w:shd w:val="clear" w:color="auto" w:fill="auto"/>
          </w:tcPr>
          <w:p w:rsidR="00112BDD" w:rsidRPr="00FA1BCF" w:rsidRDefault="00E775E8" w:rsidP="002259E3">
            <w:r w:rsidRPr="00FA1BCF">
              <w:t>Medicines for Rare Disease</w:t>
            </w:r>
            <w:r w:rsidR="000250B9" w:rsidRPr="00FA1BCF">
              <w:t>s</w:t>
            </w:r>
            <w:r w:rsidRPr="00FA1BCF">
              <w:t xml:space="preserve"> Programme</w:t>
            </w:r>
          </w:p>
        </w:tc>
      </w:tr>
      <w:tr w:rsidR="00E775E8" w:rsidRPr="00FA1BCF" w:rsidTr="002259E3">
        <w:tc>
          <w:tcPr>
            <w:tcW w:w="2268" w:type="dxa"/>
            <w:shd w:val="clear" w:color="auto" w:fill="auto"/>
          </w:tcPr>
          <w:p w:rsidR="00E775E8" w:rsidRPr="00FA1BCF" w:rsidRDefault="00E775E8" w:rsidP="002259E3">
            <w:r w:rsidRPr="00FA1BCF">
              <w:t>NICE</w:t>
            </w:r>
          </w:p>
        </w:tc>
        <w:tc>
          <w:tcPr>
            <w:tcW w:w="6663" w:type="dxa"/>
            <w:shd w:val="clear" w:color="auto" w:fill="auto"/>
          </w:tcPr>
          <w:p w:rsidR="00E775E8" w:rsidRPr="00FA1BCF" w:rsidRDefault="00E775E8" w:rsidP="002259E3">
            <w:r w:rsidRPr="00FA1BCF">
              <w:t>National Institute for Health and Care Excellence</w:t>
            </w:r>
            <w:r w:rsidR="00BA1112" w:rsidRPr="00FA1BCF">
              <w:t xml:space="preserve"> (UK)</w:t>
            </w:r>
          </w:p>
        </w:tc>
      </w:tr>
      <w:tr w:rsidR="00E775E8" w:rsidRPr="00FA1BCF" w:rsidTr="002259E3">
        <w:tc>
          <w:tcPr>
            <w:tcW w:w="2268" w:type="dxa"/>
            <w:shd w:val="clear" w:color="auto" w:fill="auto"/>
          </w:tcPr>
          <w:p w:rsidR="00E775E8" w:rsidRPr="00FA1BCF" w:rsidRDefault="00E775E8" w:rsidP="002259E3">
            <w:r w:rsidRPr="00FA1BCF">
              <w:t>PBAC</w:t>
            </w:r>
          </w:p>
        </w:tc>
        <w:tc>
          <w:tcPr>
            <w:tcW w:w="6663" w:type="dxa"/>
            <w:shd w:val="clear" w:color="auto" w:fill="auto"/>
          </w:tcPr>
          <w:p w:rsidR="00E775E8" w:rsidRPr="00FA1BCF" w:rsidRDefault="00E775E8" w:rsidP="002259E3">
            <w:r w:rsidRPr="00FA1BCF">
              <w:t>Pharmaceutical Benefits Advisory Committee</w:t>
            </w:r>
          </w:p>
        </w:tc>
      </w:tr>
      <w:tr w:rsidR="00E775E8" w:rsidRPr="00FA1BCF" w:rsidTr="002259E3">
        <w:tc>
          <w:tcPr>
            <w:tcW w:w="2268" w:type="dxa"/>
            <w:shd w:val="clear" w:color="auto" w:fill="auto"/>
          </w:tcPr>
          <w:p w:rsidR="00E775E8" w:rsidRPr="00FA1BCF" w:rsidRDefault="00E775E8" w:rsidP="002259E3">
            <w:r w:rsidRPr="00FA1BCF">
              <w:t>PBS</w:t>
            </w:r>
          </w:p>
        </w:tc>
        <w:tc>
          <w:tcPr>
            <w:tcW w:w="6663" w:type="dxa"/>
            <w:shd w:val="clear" w:color="auto" w:fill="auto"/>
          </w:tcPr>
          <w:p w:rsidR="00E775E8" w:rsidRPr="00FA1BCF" w:rsidRDefault="00E775E8" w:rsidP="002259E3">
            <w:r w:rsidRPr="00FA1BCF">
              <w:t>Pharmaceutical Benefits Scheme</w:t>
            </w:r>
          </w:p>
        </w:tc>
      </w:tr>
      <w:tr w:rsidR="00E775E8" w:rsidRPr="00FA1BCF" w:rsidTr="002259E3">
        <w:tc>
          <w:tcPr>
            <w:tcW w:w="2268" w:type="dxa"/>
            <w:shd w:val="clear" w:color="auto" w:fill="auto"/>
          </w:tcPr>
          <w:p w:rsidR="00E775E8" w:rsidRPr="00FA1BCF" w:rsidRDefault="00E775E8" w:rsidP="002259E3">
            <w:r w:rsidRPr="00FA1BCF">
              <w:t>QALY</w:t>
            </w:r>
          </w:p>
        </w:tc>
        <w:tc>
          <w:tcPr>
            <w:tcW w:w="6663" w:type="dxa"/>
            <w:shd w:val="clear" w:color="auto" w:fill="auto"/>
          </w:tcPr>
          <w:p w:rsidR="00E775E8" w:rsidRPr="00FA1BCF" w:rsidRDefault="00A339D2">
            <w:r w:rsidRPr="00FA1BCF">
              <w:t>q</w:t>
            </w:r>
            <w:r w:rsidR="00E775E8" w:rsidRPr="00FA1BCF">
              <w:t>uality</w:t>
            </w:r>
            <w:r w:rsidRPr="00FA1BCF">
              <w:t>-a</w:t>
            </w:r>
            <w:r w:rsidR="00E775E8" w:rsidRPr="00FA1BCF">
              <w:t xml:space="preserve">djusted </w:t>
            </w:r>
            <w:r w:rsidRPr="00FA1BCF">
              <w:t>l</w:t>
            </w:r>
            <w:r w:rsidR="00E775E8" w:rsidRPr="00FA1BCF">
              <w:t xml:space="preserve">ife </w:t>
            </w:r>
            <w:r w:rsidRPr="00FA1BCF">
              <w:t>y</w:t>
            </w:r>
            <w:r w:rsidR="00E775E8" w:rsidRPr="00FA1BCF">
              <w:t>ears</w:t>
            </w:r>
          </w:p>
        </w:tc>
      </w:tr>
      <w:tr w:rsidR="00E775E8" w:rsidRPr="00A53E3C" w:rsidTr="002259E3">
        <w:tc>
          <w:tcPr>
            <w:tcW w:w="2268" w:type="dxa"/>
            <w:shd w:val="clear" w:color="auto" w:fill="auto"/>
          </w:tcPr>
          <w:p w:rsidR="00E775E8" w:rsidRPr="00FA1BCF" w:rsidRDefault="00E775E8" w:rsidP="002259E3">
            <w:r w:rsidRPr="00FA1BCF">
              <w:t>TGA</w:t>
            </w:r>
          </w:p>
        </w:tc>
        <w:tc>
          <w:tcPr>
            <w:tcW w:w="6663" w:type="dxa"/>
            <w:shd w:val="clear" w:color="auto" w:fill="auto"/>
          </w:tcPr>
          <w:p w:rsidR="00E775E8" w:rsidRDefault="00E775E8" w:rsidP="002259E3">
            <w:r w:rsidRPr="00FA1BCF">
              <w:t>Therapeutic Goods Administration</w:t>
            </w:r>
          </w:p>
        </w:tc>
      </w:tr>
    </w:tbl>
    <w:p w:rsidR="00310D1D" w:rsidRDefault="00310D1D" w:rsidP="00785B99"/>
    <w:sectPr w:rsidR="00310D1D" w:rsidSect="00E622B4">
      <w:headerReference w:type="default" r:id="rId43"/>
      <w:footerReference w:type="default" r:id="rId4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125" w:rsidRDefault="007D0125">
      <w:r>
        <w:separator/>
      </w:r>
    </w:p>
  </w:endnote>
  <w:endnote w:type="continuationSeparator" w:id="0">
    <w:p w:rsidR="007D0125" w:rsidRDefault="007D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088288"/>
      <w:docPartObj>
        <w:docPartGallery w:val="Page Numbers (Bottom of Page)"/>
        <w:docPartUnique/>
      </w:docPartObj>
    </w:sdtPr>
    <w:sdtEndPr>
      <w:rPr>
        <w:noProof/>
      </w:rPr>
    </w:sdtEndPr>
    <w:sdtContent>
      <w:p w:rsidR="000A2910" w:rsidRDefault="000A2910">
        <w:pPr>
          <w:pStyle w:val="Footer"/>
          <w:jc w:val="right"/>
        </w:pPr>
        <w:r>
          <w:fldChar w:fldCharType="begin"/>
        </w:r>
        <w:r>
          <w:instrText xml:space="preserve"> PAGE   \* MERGEFORMAT </w:instrText>
        </w:r>
        <w:r>
          <w:fldChar w:fldCharType="separate"/>
        </w:r>
        <w:r w:rsidR="00B853DD">
          <w:rPr>
            <w:noProof/>
          </w:rPr>
          <w:t>1</w:t>
        </w:r>
        <w:r>
          <w:rPr>
            <w:noProof/>
          </w:rPr>
          <w:fldChar w:fldCharType="end"/>
        </w:r>
      </w:p>
    </w:sdtContent>
  </w:sdt>
  <w:p w:rsidR="000A2910" w:rsidRDefault="000A2910" w:rsidP="00611164">
    <w:pPr>
      <w:pStyle w:val="Footer"/>
      <w:tabs>
        <w:tab w:val="clear" w:pos="4513"/>
        <w:tab w:val="clear" w:pos="9026"/>
        <w:tab w:val="left" w:pos="14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125" w:rsidRDefault="007D0125">
      <w:r>
        <w:separator/>
      </w:r>
    </w:p>
  </w:footnote>
  <w:footnote w:type="continuationSeparator" w:id="0">
    <w:p w:rsidR="007D0125" w:rsidRDefault="007D0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910" w:rsidRDefault="000A2910" w:rsidP="008A2ED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CB2"/>
    <w:multiLevelType w:val="hybridMultilevel"/>
    <w:tmpl w:val="B024CC4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701142"/>
    <w:multiLevelType w:val="hybridMultilevel"/>
    <w:tmpl w:val="6EECDF04"/>
    <w:lvl w:ilvl="0" w:tplc="ED66E73E">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5151DED"/>
    <w:multiLevelType w:val="hybridMultilevel"/>
    <w:tmpl w:val="FF0C2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43C53"/>
    <w:multiLevelType w:val="multilevel"/>
    <w:tmpl w:val="E08A9394"/>
    <w:lvl w:ilvl="0">
      <w:start w:val="1"/>
      <w:numFmt w:val="decimal"/>
      <w:lvlText w:val="%1."/>
      <w:lvlJc w:val="left"/>
      <w:pPr>
        <w:ind w:left="360" w:hanging="360"/>
      </w:pPr>
    </w:lvl>
    <w:lvl w:ilvl="1">
      <w:start w:val="1"/>
      <w:numFmt w:val="decimal"/>
      <w:isLgl/>
      <w:lvlText w:val="%1.%2"/>
      <w:lvlJc w:val="left"/>
      <w:pPr>
        <w:ind w:left="735" w:hanging="735"/>
      </w:pPr>
      <w:rPr>
        <w:rFonts w:hint="default"/>
      </w:rPr>
    </w:lvl>
    <w:lvl w:ilvl="2">
      <w:start w:val="1"/>
      <w:numFmt w:val="decimal"/>
      <w:isLgl/>
      <w:lvlText w:val="%1.%2.%3"/>
      <w:lvlJc w:val="left"/>
      <w:pPr>
        <w:ind w:left="735" w:hanging="735"/>
      </w:pPr>
      <w:rPr>
        <w:rFonts w:hint="default"/>
      </w:rPr>
    </w:lvl>
    <w:lvl w:ilvl="3">
      <w:start w:val="1"/>
      <w:numFmt w:val="decimal"/>
      <w:isLgl/>
      <w:lvlText w:val="%1.%2.%3.%4"/>
      <w:lvlJc w:val="left"/>
      <w:pPr>
        <w:ind w:left="735" w:hanging="73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9885F39"/>
    <w:multiLevelType w:val="hybridMultilevel"/>
    <w:tmpl w:val="9D240A00"/>
    <w:lvl w:ilvl="0" w:tplc="04090001">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C2A6960"/>
    <w:multiLevelType w:val="hybridMultilevel"/>
    <w:tmpl w:val="B002D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DAF11D5"/>
    <w:multiLevelType w:val="hybridMultilevel"/>
    <w:tmpl w:val="10DE7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0EE47B96"/>
    <w:multiLevelType w:val="hybridMultilevel"/>
    <w:tmpl w:val="8078EA0E"/>
    <w:lvl w:ilvl="0" w:tplc="BE68113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2A61E82"/>
    <w:multiLevelType w:val="hybridMultilevel"/>
    <w:tmpl w:val="17963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2BF5AF9"/>
    <w:multiLevelType w:val="hybridMultilevel"/>
    <w:tmpl w:val="8DEC34D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7C75470"/>
    <w:multiLevelType w:val="hybridMultilevel"/>
    <w:tmpl w:val="285C9578"/>
    <w:lvl w:ilvl="0" w:tplc="AA4A6BCE">
      <w:start w:val="1"/>
      <w:numFmt w:val="bullet"/>
      <w:lvlText w:val=""/>
      <w:lvlJc w:val="left"/>
      <w:pPr>
        <w:ind w:left="780" w:hanging="360"/>
      </w:pPr>
      <w:rPr>
        <w:rFonts w:ascii="Symbol" w:hAnsi="Symbol" w:hint="default"/>
        <w:sz w:val="20"/>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19AA3DE1"/>
    <w:multiLevelType w:val="hybridMultilevel"/>
    <w:tmpl w:val="176C07AE"/>
    <w:lvl w:ilvl="0" w:tplc="088681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AE04673"/>
    <w:multiLevelType w:val="hybridMultilevel"/>
    <w:tmpl w:val="BA8C2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C5761EA"/>
    <w:multiLevelType w:val="hybridMultilevel"/>
    <w:tmpl w:val="301ABF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630312E"/>
    <w:multiLevelType w:val="hybridMultilevel"/>
    <w:tmpl w:val="75023DCC"/>
    <w:lvl w:ilvl="0" w:tplc="BE68113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9A7D81"/>
    <w:multiLevelType w:val="hybridMultilevel"/>
    <w:tmpl w:val="363E4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8895440"/>
    <w:multiLevelType w:val="hybridMultilevel"/>
    <w:tmpl w:val="C3FA097A"/>
    <w:lvl w:ilvl="0" w:tplc="0C090001">
      <w:start w:val="1"/>
      <w:numFmt w:val="bullet"/>
      <w:lvlText w:val=""/>
      <w:lvlJc w:val="left"/>
      <w:pPr>
        <w:ind w:left="5400" w:hanging="360"/>
      </w:pPr>
      <w:rPr>
        <w:rFonts w:ascii="Symbol" w:hAnsi="Symbol" w:hint="default"/>
      </w:rPr>
    </w:lvl>
    <w:lvl w:ilvl="1" w:tplc="0C090003" w:tentative="1">
      <w:start w:val="1"/>
      <w:numFmt w:val="bullet"/>
      <w:lvlText w:val="o"/>
      <w:lvlJc w:val="left"/>
      <w:pPr>
        <w:ind w:left="6120" w:hanging="360"/>
      </w:pPr>
      <w:rPr>
        <w:rFonts w:ascii="Courier New" w:hAnsi="Courier New" w:cs="Courier New" w:hint="default"/>
      </w:rPr>
    </w:lvl>
    <w:lvl w:ilvl="2" w:tplc="0C090005" w:tentative="1">
      <w:start w:val="1"/>
      <w:numFmt w:val="bullet"/>
      <w:lvlText w:val=""/>
      <w:lvlJc w:val="left"/>
      <w:pPr>
        <w:ind w:left="6840" w:hanging="360"/>
      </w:pPr>
      <w:rPr>
        <w:rFonts w:ascii="Wingdings" w:hAnsi="Wingdings" w:hint="default"/>
      </w:rPr>
    </w:lvl>
    <w:lvl w:ilvl="3" w:tplc="0C090001" w:tentative="1">
      <w:start w:val="1"/>
      <w:numFmt w:val="bullet"/>
      <w:lvlText w:val=""/>
      <w:lvlJc w:val="left"/>
      <w:pPr>
        <w:ind w:left="7560" w:hanging="360"/>
      </w:pPr>
      <w:rPr>
        <w:rFonts w:ascii="Symbol" w:hAnsi="Symbol" w:hint="default"/>
      </w:rPr>
    </w:lvl>
    <w:lvl w:ilvl="4" w:tplc="0C090003" w:tentative="1">
      <w:start w:val="1"/>
      <w:numFmt w:val="bullet"/>
      <w:lvlText w:val="o"/>
      <w:lvlJc w:val="left"/>
      <w:pPr>
        <w:ind w:left="8280" w:hanging="360"/>
      </w:pPr>
      <w:rPr>
        <w:rFonts w:ascii="Courier New" w:hAnsi="Courier New" w:cs="Courier New" w:hint="default"/>
      </w:rPr>
    </w:lvl>
    <w:lvl w:ilvl="5" w:tplc="0C090005" w:tentative="1">
      <w:start w:val="1"/>
      <w:numFmt w:val="bullet"/>
      <w:lvlText w:val=""/>
      <w:lvlJc w:val="left"/>
      <w:pPr>
        <w:ind w:left="9000" w:hanging="360"/>
      </w:pPr>
      <w:rPr>
        <w:rFonts w:ascii="Wingdings" w:hAnsi="Wingdings" w:hint="default"/>
      </w:rPr>
    </w:lvl>
    <w:lvl w:ilvl="6" w:tplc="0C090001" w:tentative="1">
      <w:start w:val="1"/>
      <w:numFmt w:val="bullet"/>
      <w:lvlText w:val=""/>
      <w:lvlJc w:val="left"/>
      <w:pPr>
        <w:ind w:left="9720" w:hanging="360"/>
      </w:pPr>
      <w:rPr>
        <w:rFonts w:ascii="Symbol" w:hAnsi="Symbol" w:hint="default"/>
      </w:rPr>
    </w:lvl>
    <w:lvl w:ilvl="7" w:tplc="0C090003" w:tentative="1">
      <w:start w:val="1"/>
      <w:numFmt w:val="bullet"/>
      <w:lvlText w:val="o"/>
      <w:lvlJc w:val="left"/>
      <w:pPr>
        <w:ind w:left="10440" w:hanging="360"/>
      </w:pPr>
      <w:rPr>
        <w:rFonts w:ascii="Courier New" w:hAnsi="Courier New" w:cs="Courier New" w:hint="default"/>
      </w:rPr>
    </w:lvl>
    <w:lvl w:ilvl="8" w:tplc="0C090005" w:tentative="1">
      <w:start w:val="1"/>
      <w:numFmt w:val="bullet"/>
      <w:lvlText w:val=""/>
      <w:lvlJc w:val="left"/>
      <w:pPr>
        <w:ind w:left="11160" w:hanging="360"/>
      </w:pPr>
      <w:rPr>
        <w:rFonts w:ascii="Wingdings" w:hAnsi="Wingdings" w:hint="default"/>
      </w:rPr>
    </w:lvl>
  </w:abstractNum>
  <w:abstractNum w:abstractNumId="17">
    <w:nsid w:val="290E3181"/>
    <w:multiLevelType w:val="hybridMultilevel"/>
    <w:tmpl w:val="2CBA3098"/>
    <w:lvl w:ilvl="0" w:tplc="0A0017AA">
      <w:start w:val="1"/>
      <w:numFmt w:val="decimal"/>
      <w:lvlText w:val="%1."/>
      <w:lvlJc w:val="left"/>
      <w:pPr>
        <w:ind w:left="409" w:hanging="360"/>
      </w:pPr>
      <w:rPr>
        <w:rFonts w:hint="default"/>
      </w:rPr>
    </w:lvl>
    <w:lvl w:ilvl="1" w:tplc="0C090019" w:tentative="1">
      <w:start w:val="1"/>
      <w:numFmt w:val="lowerLetter"/>
      <w:lvlText w:val="%2."/>
      <w:lvlJc w:val="left"/>
      <w:pPr>
        <w:ind w:left="1129" w:hanging="360"/>
      </w:pPr>
    </w:lvl>
    <w:lvl w:ilvl="2" w:tplc="0C09001B" w:tentative="1">
      <w:start w:val="1"/>
      <w:numFmt w:val="lowerRoman"/>
      <w:lvlText w:val="%3."/>
      <w:lvlJc w:val="right"/>
      <w:pPr>
        <w:ind w:left="1849" w:hanging="180"/>
      </w:pPr>
    </w:lvl>
    <w:lvl w:ilvl="3" w:tplc="0C09000F" w:tentative="1">
      <w:start w:val="1"/>
      <w:numFmt w:val="decimal"/>
      <w:lvlText w:val="%4."/>
      <w:lvlJc w:val="left"/>
      <w:pPr>
        <w:ind w:left="2569" w:hanging="360"/>
      </w:pPr>
    </w:lvl>
    <w:lvl w:ilvl="4" w:tplc="0C090019" w:tentative="1">
      <w:start w:val="1"/>
      <w:numFmt w:val="lowerLetter"/>
      <w:lvlText w:val="%5."/>
      <w:lvlJc w:val="left"/>
      <w:pPr>
        <w:ind w:left="3289" w:hanging="360"/>
      </w:pPr>
    </w:lvl>
    <w:lvl w:ilvl="5" w:tplc="0C09001B" w:tentative="1">
      <w:start w:val="1"/>
      <w:numFmt w:val="lowerRoman"/>
      <w:lvlText w:val="%6."/>
      <w:lvlJc w:val="right"/>
      <w:pPr>
        <w:ind w:left="4009" w:hanging="180"/>
      </w:pPr>
    </w:lvl>
    <w:lvl w:ilvl="6" w:tplc="0C09000F" w:tentative="1">
      <w:start w:val="1"/>
      <w:numFmt w:val="decimal"/>
      <w:lvlText w:val="%7."/>
      <w:lvlJc w:val="left"/>
      <w:pPr>
        <w:ind w:left="4729" w:hanging="360"/>
      </w:pPr>
    </w:lvl>
    <w:lvl w:ilvl="7" w:tplc="0C090019" w:tentative="1">
      <w:start w:val="1"/>
      <w:numFmt w:val="lowerLetter"/>
      <w:lvlText w:val="%8."/>
      <w:lvlJc w:val="left"/>
      <w:pPr>
        <w:ind w:left="5449" w:hanging="360"/>
      </w:pPr>
    </w:lvl>
    <w:lvl w:ilvl="8" w:tplc="0C09001B" w:tentative="1">
      <w:start w:val="1"/>
      <w:numFmt w:val="lowerRoman"/>
      <w:lvlText w:val="%9."/>
      <w:lvlJc w:val="right"/>
      <w:pPr>
        <w:ind w:left="6169" w:hanging="180"/>
      </w:pPr>
    </w:lvl>
  </w:abstractNum>
  <w:abstractNum w:abstractNumId="18">
    <w:nsid w:val="2BCF7145"/>
    <w:multiLevelType w:val="hybridMultilevel"/>
    <w:tmpl w:val="D146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7C1736"/>
    <w:multiLevelType w:val="hybridMultilevel"/>
    <w:tmpl w:val="3D7AF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5B21CAF"/>
    <w:multiLevelType w:val="hybridMultilevel"/>
    <w:tmpl w:val="25CC72F2"/>
    <w:lvl w:ilvl="0" w:tplc="04090001">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B7D7066"/>
    <w:multiLevelType w:val="hybridMultilevel"/>
    <w:tmpl w:val="1616C2CA"/>
    <w:lvl w:ilvl="0" w:tplc="7E68DB4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C2105CE"/>
    <w:multiLevelType w:val="hybridMultilevel"/>
    <w:tmpl w:val="DF36ACA0"/>
    <w:lvl w:ilvl="0" w:tplc="D004E6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DF478F7"/>
    <w:multiLevelType w:val="hybridMultilevel"/>
    <w:tmpl w:val="2F3EC0C4"/>
    <w:lvl w:ilvl="0" w:tplc="7E68DB4C">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41121DAC"/>
    <w:multiLevelType w:val="hybridMultilevel"/>
    <w:tmpl w:val="2662CC16"/>
    <w:lvl w:ilvl="0" w:tplc="7E68DB4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15474A0"/>
    <w:multiLevelType w:val="hybridMultilevel"/>
    <w:tmpl w:val="E05843F8"/>
    <w:lvl w:ilvl="0" w:tplc="7E68DB4C">
      <w:numFmt w:val="bullet"/>
      <w:lvlText w:val="•"/>
      <w:lvlJc w:val="left"/>
      <w:pPr>
        <w:ind w:left="938" w:hanging="360"/>
      </w:pPr>
      <w:rPr>
        <w:rFonts w:ascii="Calibri" w:eastAsiaTheme="minorHAnsi" w:hAnsi="Calibri" w:cstheme="minorBidi" w:hint="default"/>
      </w:rPr>
    </w:lvl>
    <w:lvl w:ilvl="1" w:tplc="0C090003" w:tentative="1">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abstractNum w:abstractNumId="26">
    <w:nsid w:val="41E65B01"/>
    <w:multiLevelType w:val="hybridMultilevel"/>
    <w:tmpl w:val="11429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C090001">
      <w:start w:val="1"/>
      <w:numFmt w:val="bullet"/>
      <w:lvlText w:val=""/>
      <w:lvlJc w:val="left"/>
      <w:pPr>
        <w:ind w:left="107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3BD710F"/>
    <w:multiLevelType w:val="hybridMultilevel"/>
    <w:tmpl w:val="2CBA3098"/>
    <w:lvl w:ilvl="0" w:tplc="0A0017AA">
      <w:start w:val="1"/>
      <w:numFmt w:val="decimal"/>
      <w:lvlText w:val="%1."/>
      <w:lvlJc w:val="left"/>
      <w:pPr>
        <w:ind w:left="409" w:hanging="360"/>
      </w:pPr>
      <w:rPr>
        <w:rFonts w:hint="default"/>
      </w:rPr>
    </w:lvl>
    <w:lvl w:ilvl="1" w:tplc="0C090019" w:tentative="1">
      <w:start w:val="1"/>
      <w:numFmt w:val="lowerLetter"/>
      <w:lvlText w:val="%2."/>
      <w:lvlJc w:val="left"/>
      <w:pPr>
        <w:ind w:left="1129" w:hanging="360"/>
      </w:pPr>
    </w:lvl>
    <w:lvl w:ilvl="2" w:tplc="0C09001B" w:tentative="1">
      <w:start w:val="1"/>
      <w:numFmt w:val="lowerRoman"/>
      <w:lvlText w:val="%3."/>
      <w:lvlJc w:val="right"/>
      <w:pPr>
        <w:ind w:left="1849" w:hanging="180"/>
      </w:pPr>
    </w:lvl>
    <w:lvl w:ilvl="3" w:tplc="0C09000F" w:tentative="1">
      <w:start w:val="1"/>
      <w:numFmt w:val="decimal"/>
      <w:lvlText w:val="%4."/>
      <w:lvlJc w:val="left"/>
      <w:pPr>
        <w:ind w:left="2569" w:hanging="360"/>
      </w:pPr>
    </w:lvl>
    <w:lvl w:ilvl="4" w:tplc="0C090019" w:tentative="1">
      <w:start w:val="1"/>
      <w:numFmt w:val="lowerLetter"/>
      <w:lvlText w:val="%5."/>
      <w:lvlJc w:val="left"/>
      <w:pPr>
        <w:ind w:left="3289" w:hanging="360"/>
      </w:pPr>
    </w:lvl>
    <w:lvl w:ilvl="5" w:tplc="0C09001B" w:tentative="1">
      <w:start w:val="1"/>
      <w:numFmt w:val="lowerRoman"/>
      <w:lvlText w:val="%6."/>
      <w:lvlJc w:val="right"/>
      <w:pPr>
        <w:ind w:left="4009" w:hanging="180"/>
      </w:pPr>
    </w:lvl>
    <w:lvl w:ilvl="6" w:tplc="0C09000F" w:tentative="1">
      <w:start w:val="1"/>
      <w:numFmt w:val="decimal"/>
      <w:lvlText w:val="%7."/>
      <w:lvlJc w:val="left"/>
      <w:pPr>
        <w:ind w:left="4729" w:hanging="360"/>
      </w:pPr>
    </w:lvl>
    <w:lvl w:ilvl="7" w:tplc="0C090019" w:tentative="1">
      <w:start w:val="1"/>
      <w:numFmt w:val="lowerLetter"/>
      <w:lvlText w:val="%8."/>
      <w:lvlJc w:val="left"/>
      <w:pPr>
        <w:ind w:left="5449" w:hanging="360"/>
      </w:pPr>
    </w:lvl>
    <w:lvl w:ilvl="8" w:tplc="0C09001B" w:tentative="1">
      <w:start w:val="1"/>
      <w:numFmt w:val="lowerRoman"/>
      <w:lvlText w:val="%9."/>
      <w:lvlJc w:val="right"/>
      <w:pPr>
        <w:ind w:left="6169" w:hanging="180"/>
      </w:pPr>
    </w:lvl>
  </w:abstractNum>
  <w:abstractNum w:abstractNumId="28">
    <w:nsid w:val="43EC685B"/>
    <w:multiLevelType w:val="hybridMultilevel"/>
    <w:tmpl w:val="5284F002"/>
    <w:lvl w:ilvl="0" w:tplc="AA4A6BCE">
      <w:start w:val="1"/>
      <w:numFmt w:val="bullet"/>
      <w:lvlText w:val=""/>
      <w:lvlJc w:val="left"/>
      <w:pPr>
        <w:ind w:left="360" w:hanging="360"/>
      </w:pPr>
      <w:rPr>
        <w:rFonts w:ascii="Symbol" w:hAnsi="Symbol" w:hint="default"/>
        <w:sz w:val="2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49061F47"/>
    <w:multiLevelType w:val="hybridMultilevel"/>
    <w:tmpl w:val="3EFA4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BC21E57"/>
    <w:multiLevelType w:val="multilevel"/>
    <w:tmpl w:val="0F0CC106"/>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1950346"/>
    <w:multiLevelType w:val="hybridMultilevel"/>
    <w:tmpl w:val="DF36ACA0"/>
    <w:lvl w:ilvl="0" w:tplc="D004E6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443634F"/>
    <w:multiLevelType w:val="hybridMultilevel"/>
    <w:tmpl w:val="DF36ACA0"/>
    <w:lvl w:ilvl="0" w:tplc="D004E6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A7632D7"/>
    <w:multiLevelType w:val="hybridMultilevel"/>
    <w:tmpl w:val="2A2E99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D903835"/>
    <w:multiLevelType w:val="singleLevel"/>
    <w:tmpl w:val="48C4148A"/>
    <w:lvl w:ilvl="0">
      <w:numFmt w:val="bullet"/>
      <w:pStyle w:val="Bullet"/>
      <w:lvlText w:val=""/>
      <w:lvlJc w:val="left"/>
      <w:pPr>
        <w:tabs>
          <w:tab w:val="num" w:pos="1440"/>
        </w:tabs>
        <w:ind w:left="1440" w:hanging="720"/>
      </w:pPr>
      <w:rPr>
        <w:rFonts w:ascii="Symbol" w:hAnsi="Symbol" w:hint="default"/>
        <w:sz w:val="22"/>
      </w:rPr>
    </w:lvl>
  </w:abstractNum>
  <w:abstractNum w:abstractNumId="35">
    <w:nsid w:val="5EF772C5"/>
    <w:multiLevelType w:val="hybridMultilevel"/>
    <w:tmpl w:val="79006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2CD1C82"/>
    <w:multiLevelType w:val="hybridMultilevel"/>
    <w:tmpl w:val="BACC9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5FA670A"/>
    <w:multiLevelType w:val="hybridMultilevel"/>
    <w:tmpl w:val="5C243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6115BC9"/>
    <w:multiLevelType w:val="hybridMultilevel"/>
    <w:tmpl w:val="12DA94EC"/>
    <w:lvl w:ilvl="0" w:tplc="7E68DB4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88D3B49"/>
    <w:multiLevelType w:val="hybridMultilevel"/>
    <w:tmpl w:val="EA1A96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9DB4F51"/>
    <w:multiLevelType w:val="hybridMultilevel"/>
    <w:tmpl w:val="0B7AC64A"/>
    <w:lvl w:ilvl="0" w:tplc="7E68DB4C">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6F4A37B5"/>
    <w:multiLevelType w:val="hybridMultilevel"/>
    <w:tmpl w:val="CB3A2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0955AC5"/>
    <w:multiLevelType w:val="hybridMultilevel"/>
    <w:tmpl w:val="F4C01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15A5D45"/>
    <w:multiLevelType w:val="hybridMultilevel"/>
    <w:tmpl w:val="E042D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3CE0689"/>
    <w:multiLevelType w:val="hybridMultilevel"/>
    <w:tmpl w:val="B67074EA"/>
    <w:lvl w:ilvl="0" w:tplc="7E68DB4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7AF4194"/>
    <w:multiLevelType w:val="hybridMultilevel"/>
    <w:tmpl w:val="07C8C1F0"/>
    <w:lvl w:ilvl="0" w:tplc="7E68DB4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nsid w:val="77F66D1D"/>
    <w:multiLevelType w:val="multilevel"/>
    <w:tmpl w:val="62F2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0A395E"/>
    <w:multiLevelType w:val="hybridMultilevel"/>
    <w:tmpl w:val="75023DCC"/>
    <w:lvl w:ilvl="0" w:tplc="BE68113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A22212"/>
    <w:multiLevelType w:val="hybridMultilevel"/>
    <w:tmpl w:val="A928F382"/>
    <w:lvl w:ilvl="0" w:tplc="AA4A6BCE">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39"/>
  </w:num>
  <w:num w:numId="4">
    <w:abstractNumId w:val="46"/>
  </w:num>
  <w:num w:numId="5">
    <w:abstractNumId w:val="34"/>
  </w:num>
  <w:num w:numId="6">
    <w:abstractNumId w:val="6"/>
  </w:num>
  <w:num w:numId="7">
    <w:abstractNumId w:val="1"/>
  </w:num>
  <w:num w:numId="8">
    <w:abstractNumId w:val="10"/>
  </w:num>
  <w:num w:numId="9">
    <w:abstractNumId w:val="28"/>
  </w:num>
  <w:num w:numId="10">
    <w:abstractNumId w:val="5"/>
  </w:num>
  <w:num w:numId="11">
    <w:abstractNumId w:val="12"/>
  </w:num>
  <w:num w:numId="12">
    <w:abstractNumId w:val="26"/>
  </w:num>
  <w:num w:numId="13">
    <w:abstractNumId w:val="0"/>
  </w:num>
  <w:num w:numId="14">
    <w:abstractNumId w:val="19"/>
  </w:num>
  <w:num w:numId="15">
    <w:abstractNumId w:val="25"/>
  </w:num>
  <w:num w:numId="16">
    <w:abstractNumId w:val="3"/>
  </w:num>
  <w:num w:numId="17">
    <w:abstractNumId w:val="48"/>
  </w:num>
  <w:num w:numId="18">
    <w:abstractNumId w:val="13"/>
  </w:num>
  <w:num w:numId="19">
    <w:abstractNumId w:val="38"/>
  </w:num>
  <w:num w:numId="20">
    <w:abstractNumId w:val="24"/>
  </w:num>
  <w:num w:numId="21">
    <w:abstractNumId w:val="21"/>
  </w:num>
  <w:num w:numId="22">
    <w:abstractNumId w:val="23"/>
  </w:num>
  <w:num w:numId="23">
    <w:abstractNumId w:val="40"/>
  </w:num>
  <w:num w:numId="24">
    <w:abstractNumId w:val="44"/>
  </w:num>
  <w:num w:numId="25">
    <w:abstractNumId w:val="45"/>
  </w:num>
  <w:num w:numId="26">
    <w:abstractNumId w:val="43"/>
  </w:num>
  <w:num w:numId="27">
    <w:abstractNumId w:val="42"/>
  </w:num>
  <w:num w:numId="28">
    <w:abstractNumId w:val="11"/>
  </w:num>
  <w:num w:numId="29">
    <w:abstractNumId w:val="33"/>
  </w:num>
  <w:num w:numId="30">
    <w:abstractNumId w:val="35"/>
  </w:num>
  <w:num w:numId="31">
    <w:abstractNumId w:val="37"/>
  </w:num>
  <w:num w:numId="32">
    <w:abstractNumId w:val="8"/>
  </w:num>
  <w:num w:numId="33">
    <w:abstractNumId w:val="29"/>
  </w:num>
  <w:num w:numId="34">
    <w:abstractNumId w:val="30"/>
  </w:num>
  <w:num w:numId="35">
    <w:abstractNumId w:val="36"/>
  </w:num>
  <w:num w:numId="36">
    <w:abstractNumId w:val="15"/>
  </w:num>
  <w:num w:numId="37">
    <w:abstractNumId w:val="9"/>
  </w:num>
  <w:num w:numId="38">
    <w:abstractNumId w:val="18"/>
  </w:num>
  <w:num w:numId="39">
    <w:abstractNumId w:val="2"/>
  </w:num>
  <w:num w:numId="40">
    <w:abstractNumId w:val="20"/>
  </w:num>
  <w:num w:numId="41">
    <w:abstractNumId w:val="4"/>
  </w:num>
  <w:num w:numId="42">
    <w:abstractNumId w:val="31"/>
  </w:num>
  <w:num w:numId="43">
    <w:abstractNumId w:val="41"/>
  </w:num>
  <w:num w:numId="44">
    <w:abstractNumId w:val="32"/>
  </w:num>
  <w:num w:numId="45">
    <w:abstractNumId w:val="22"/>
  </w:num>
  <w:num w:numId="46">
    <w:abstractNumId w:val="17"/>
  </w:num>
  <w:num w:numId="47">
    <w:abstractNumId w:val="7"/>
  </w:num>
  <w:num w:numId="48">
    <w:abstractNumId w:val="14"/>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9FE"/>
    <w:rsid w:val="000009B8"/>
    <w:rsid w:val="0000121B"/>
    <w:rsid w:val="00001CB8"/>
    <w:rsid w:val="00010E07"/>
    <w:rsid w:val="00021636"/>
    <w:rsid w:val="000250B9"/>
    <w:rsid w:val="00027882"/>
    <w:rsid w:val="00033DA1"/>
    <w:rsid w:val="000436B0"/>
    <w:rsid w:val="0006003A"/>
    <w:rsid w:val="00061B1C"/>
    <w:rsid w:val="00076886"/>
    <w:rsid w:val="00077553"/>
    <w:rsid w:val="00081406"/>
    <w:rsid w:val="000833C6"/>
    <w:rsid w:val="00083595"/>
    <w:rsid w:val="00084B72"/>
    <w:rsid w:val="00090196"/>
    <w:rsid w:val="00092BD1"/>
    <w:rsid w:val="000A2910"/>
    <w:rsid w:val="000A4370"/>
    <w:rsid w:val="000A5595"/>
    <w:rsid w:val="000A62B8"/>
    <w:rsid w:val="000B127C"/>
    <w:rsid w:val="000B3DE1"/>
    <w:rsid w:val="000B6C6B"/>
    <w:rsid w:val="000C3D52"/>
    <w:rsid w:val="000C5719"/>
    <w:rsid w:val="000E0402"/>
    <w:rsid w:val="000F1D82"/>
    <w:rsid w:val="00102D5E"/>
    <w:rsid w:val="0011136C"/>
    <w:rsid w:val="00112BDD"/>
    <w:rsid w:val="00123BB2"/>
    <w:rsid w:val="001317F7"/>
    <w:rsid w:val="00131DFD"/>
    <w:rsid w:val="0015029C"/>
    <w:rsid w:val="00152FA8"/>
    <w:rsid w:val="001531A8"/>
    <w:rsid w:val="0015576E"/>
    <w:rsid w:val="0015613E"/>
    <w:rsid w:val="00161EAA"/>
    <w:rsid w:val="00172161"/>
    <w:rsid w:val="00173F90"/>
    <w:rsid w:val="00180692"/>
    <w:rsid w:val="00182FAC"/>
    <w:rsid w:val="00183992"/>
    <w:rsid w:val="00191369"/>
    <w:rsid w:val="001929D8"/>
    <w:rsid w:val="0019572B"/>
    <w:rsid w:val="00196787"/>
    <w:rsid w:val="001B1DD8"/>
    <w:rsid w:val="001B31D8"/>
    <w:rsid w:val="001B40E7"/>
    <w:rsid w:val="001C09CC"/>
    <w:rsid w:val="001C27B1"/>
    <w:rsid w:val="001D4BC0"/>
    <w:rsid w:val="001E6170"/>
    <w:rsid w:val="001F2A2D"/>
    <w:rsid w:val="001F6C7F"/>
    <w:rsid w:val="00202A8B"/>
    <w:rsid w:val="00211BE4"/>
    <w:rsid w:val="002209E8"/>
    <w:rsid w:val="0022336E"/>
    <w:rsid w:val="002248DA"/>
    <w:rsid w:val="00225083"/>
    <w:rsid w:val="002259E3"/>
    <w:rsid w:val="002376BE"/>
    <w:rsid w:val="00252D60"/>
    <w:rsid w:val="00253FEB"/>
    <w:rsid w:val="00256C01"/>
    <w:rsid w:val="002628DE"/>
    <w:rsid w:val="00270598"/>
    <w:rsid w:val="00272193"/>
    <w:rsid w:val="0027265B"/>
    <w:rsid w:val="002745B1"/>
    <w:rsid w:val="002746EA"/>
    <w:rsid w:val="00274DF0"/>
    <w:rsid w:val="00282335"/>
    <w:rsid w:val="00284050"/>
    <w:rsid w:val="00294F13"/>
    <w:rsid w:val="002959E7"/>
    <w:rsid w:val="002A02A7"/>
    <w:rsid w:val="002A2354"/>
    <w:rsid w:val="002B2B3D"/>
    <w:rsid w:val="002B342F"/>
    <w:rsid w:val="002B62C2"/>
    <w:rsid w:val="002C5566"/>
    <w:rsid w:val="002E75C7"/>
    <w:rsid w:val="002E7FBB"/>
    <w:rsid w:val="002F5830"/>
    <w:rsid w:val="00302C6E"/>
    <w:rsid w:val="00303051"/>
    <w:rsid w:val="00307626"/>
    <w:rsid w:val="00310D1D"/>
    <w:rsid w:val="0031288A"/>
    <w:rsid w:val="00317AB5"/>
    <w:rsid w:val="003209F9"/>
    <w:rsid w:val="00320A52"/>
    <w:rsid w:val="00324DA8"/>
    <w:rsid w:val="00326FA5"/>
    <w:rsid w:val="003273B7"/>
    <w:rsid w:val="00334B2D"/>
    <w:rsid w:val="00335B4B"/>
    <w:rsid w:val="003517E0"/>
    <w:rsid w:val="00351816"/>
    <w:rsid w:val="003529E1"/>
    <w:rsid w:val="00353551"/>
    <w:rsid w:val="00366159"/>
    <w:rsid w:val="00366637"/>
    <w:rsid w:val="00372AA8"/>
    <w:rsid w:val="003753AF"/>
    <w:rsid w:val="00380F26"/>
    <w:rsid w:val="00386552"/>
    <w:rsid w:val="00386D8F"/>
    <w:rsid w:val="00390443"/>
    <w:rsid w:val="00394297"/>
    <w:rsid w:val="003A06A0"/>
    <w:rsid w:val="003A15FA"/>
    <w:rsid w:val="003B146F"/>
    <w:rsid w:val="003B1A1E"/>
    <w:rsid w:val="003B7D80"/>
    <w:rsid w:val="003C6E02"/>
    <w:rsid w:val="003E0B96"/>
    <w:rsid w:val="003F1D21"/>
    <w:rsid w:val="003F43B9"/>
    <w:rsid w:val="003F4D69"/>
    <w:rsid w:val="00401516"/>
    <w:rsid w:val="00403B14"/>
    <w:rsid w:val="00426426"/>
    <w:rsid w:val="00431DFE"/>
    <w:rsid w:val="00431E18"/>
    <w:rsid w:val="0043259F"/>
    <w:rsid w:val="004347BD"/>
    <w:rsid w:val="0044178F"/>
    <w:rsid w:val="00441F09"/>
    <w:rsid w:val="004474F1"/>
    <w:rsid w:val="00465A11"/>
    <w:rsid w:val="00467533"/>
    <w:rsid w:val="004703B2"/>
    <w:rsid w:val="00475EE3"/>
    <w:rsid w:val="004837BE"/>
    <w:rsid w:val="00484FDA"/>
    <w:rsid w:val="00491886"/>
    <w:rsid w:val="004A67FD"/>
    <w:rsid w:val="004B06C6"/>
    <w:rsid w:val="004B454B"/>
    <w:rsid w:val="004E1741"/>
    <w:rsid w:val="005012B9"/>
    <w:rsid w:val="00510EE1"/>
    <w:rsid w:val="00515970"/>
    <w:rsid w:val="00527FE3"/>
    <w:rsid w:val="00536487"/>
    <w:rsid w:val="0053742B"/>
    <w:rsid w:val="0054315F"/>
    <w:rsid w:val="00551A40"/>
    <w:rsid w:val="005624C1"/>
    <w:rsid w:val="005635FA"/>
    <w:rsid w:val="00564EAE"/>
    <w:rsid w:val="00573375"/>
    <w:rsid w:val="005817DF"/>
    <w:rsid w:val="005832BD"/>
    <w:rsid w:val="00595BF4"/>
    <w:rsid w:val="005B2053"/>
    <w:rsid w:val="005D28AC"/>
    <w:rsid w:val="005D5B2D"/>
    <w:rsid w:val="005E29DD"/>
    <w:rsid w:val="0060153C"/>
    <w:rsid w:val="00602974"/>
    <w:rsid w:val="00602AA4"/>
    <w:rsid w:val="00611164"/>
    <w:rsid w:val="00614E22"/>
    <w:rsid w:val="0061683A"/>
    <w:rsid w:val="00624208"/>
    <w:rsid w:val="00625893"/>
    <w:rsid w:val="00627F30"/>
    <w:rsid w:val="006318C8"/>
    <w:rsid w:val="0063525E"/>
    <w:rsid w:val="00635BC6"/>
    <w:rsid w:val="006439BE"/>
    <w:rsid w:val="006473EC"/>
    <w:rsid w:val="00652916"/>
    <w:rsid w:val="006620FA"/>
    <w:rsid w:val="0066290C"/>
    <w:rsid w:val="00673E9A"/>
    <w:rsid w:val="00684A13"/>
    <w:rsid w:val="006905BA"/>
    <w:rsid w:val="006909B1"/>
    <w:rsid w:val="0069641E"/>
    <w:rsid w:val="006A44B7"/>
    <w:rsid w:val="006C699D"/>
    <w:rsid w:val="006E0F94"/>
    <w:rsid w:val="006F63D6"/>
    <w:rsid w:val="0071280A"/>
    <w:rsid w:val="007170F7"/>
    <w:rsid w:val="007244AE"/>
    <w:rsid w:val="00725C33"/>
    <w:rsid w:val="00726688"/>
    <w:rsid w:val="007312AB"/>
    <w:rsid w:val="00732A31"/>
    <w:rsid w:val="007349DC"/>
    <w:rsid w:val="0074546B"/>
    <w:rsid w:val="0074797D"/>
    <w:rsid w:val="0076232F"/>
    <w:rsid w:val="00765B6E"/>
    <w:rsid w:val="00765CCD"/>
    <w:rsid w:val="00771939"/>
    <w:rsid w:val="00777876"/>
    <w:rsid w:val="00785B99"/>
    <w:rsid w:val="00794C86"/>
    <w:rsid w:val="007A31BA"/>
    <w:rsid w:val="007B1C20"/>
    <w:rsid w:val="007B5733"/>
    <w:rsid w:val="007B578B"/>
    <w:rsid w:val="007B6A18"/>
    <w:rsid w:val="007D0125"/>
    <w:rsid w:val="007D1843"/>
    <w:rsid w:val="007E2F90"/>
    <w:rsid w:val="007E3A1B"/>
    <w:rsid w:val="007E3D93"/>
    <w:rsid w:val="007E5894"/>
    <w:rsid w:val="007F4E20"/>
    <w:rsid w:val="00806285"/>
    <w:rsid w:val="00813427"/>
    <w:rsid w:val="00814DFD"/>
    <w:rsid w:val="00827425"/>
    <w:rsid w:val="00832838"/>
    <w:rsid w:val="00832EC0"/>
    <w:rsid w:val="008377F0"/>
    <w:rsid w:val="00837C14"/>
    <w:rsid w:val="008431F9"/>
    <w:rsid w:val="0084370F"/>
    <w:rsid w:val="0084415A"/>
    <w:rsid w:val="00852D89"/>
    <w:rsid w:val="00860AD5"/>
    <w:rsid w:val="008616F2"/>
    <w:rsid w:val="00861CF5"/>
    <w:rsid w:val="00866E7A"/>
    <w:rsid w:val="00870839"/>
    <w:rsid w:val="0087560D"/>
    <w:rsid w:val="00880D52"/>
    <w:rsid w:val="008837F7"/>
    <w:rsid w:val="00884FAD"/>
    <w:rsid w:val="008878BB"/>
    <w:rsid w:val="00891F01"/>
    <w:rsid w:val="00897318"/>
    <w:rsid w:val="008A247C"/>
    <w:rsid w:val="008A2813"/>
    <w:rsid w:val="008A2EDD"/>
    <w:rsid w:val="008A5260"/>
    <w:rsid w:val="008A5619"/>
    <w:rsid w:val="008B29C7"/>
    <w:rsid w:val="008B70EE"/>
    <w:rsid w:val="008C2364"/>
    <w:rsid w:val="008D2266"/>
    <w:rsid w:val="008D3B4E"/>
    <w:rsid w:val="008E1CA0"/>
    <w:rsid w:val="008E53AB"/>
    <w:rsid w:val="008F02E1"/>
    <w:rsid w:val="008F624C"/>
    <w:rsid w:val="008F6849"/>
    <w:rsid w:val="008F78A5"/>
    <w:rsid w:val="0090324B"/>
    <w:rsid w:val="00907DE3"/>
    <w:rsid w:val="009101C0"/>
    <w:rsid w:val="00910D6B"/>
    <w:rsid w:val="00932D7B"/>
    <w:rsid w:val="00935C92"/>
    <w:rsid w:val="00946EC1"/>
    <w:rsid w:val="00960ECC"/>
    <w:rsid w:val="009620F3"/>
    <w:rsid w:val="00963730"/>
    <w:rsid w:val="00972F31"/>
    <w:rsid w:val="00975F2D"/>
    <w:rsid w:val="00980905"/>
    <w:rsid w:val="00982D9E"/>
    <w:rsid w:val="00982EC5"/>
    <w:rsid w:val="00985303"/>
    <w:rsid w:val="0098589E"/>
    <w:rsid w:val="00990079"/>
    <w:rsid w:val="00990F0A"/>
    <w:rsid w:val="009915FE"/>
    <w:rsid w:val="00992873"/>
    <w:rsid w:val="009A05ED"/>
    <w:rsid w:val="009A15D7"/>
    <w:rsid w:val="009A3420"/>
    <w:rsid w:val="009A438D"/>
    <w:rsid w:val="009A6BB4"/>
    <w:rsid w:val="009C0A82"/>
    <w:rsid w:val="009C5649"/>
    <w:rsid w:val="009C72D6"/>
    <w:rsid w:val="009E4DB6"/>
    <w:rsid w:val="009E6420"/>
    <w:rsid w:val="009F221D"/>
    <w:rsid w:val="009F3049"/>
    <w:rsid w:val="009F568B"/>
    <w:rsid w:val="009F5B32"/>
    <w:rsid w:val="009F6484"/>
    <w:rsid w:val="00A12D02"/>
    <w:rsid w:val="00A14688"/>
    <w:rsid w:val="00A15238"/>
    <w:rsid w:val="00A23598"/>
    <w:rsid w:val="00A24F89"/>
    <w:rsid w:val="00A26B5E"/>
    <w:rsid w:val="00A327AC"/>
    <w:rsid w:val="00A339D2"/>
    <w:rsid w:val="00A363A5"/>
    <w:rsid w:val="00A36A3C"/>
    <w:rsid w:val="00A512AA"/>
    <w:rsid w:val="00A60479"/>
    <w:rsid w:val="00A6099E"/>
    <w:rsid w:val="00A8124A"/>
    <w:rsid w:val="00A85B08"/>
    <w:rsid w:val="00A871D5"/>
    <w:rsid w:val="00A92341"/>
    <w:rsid w:val="00A94861"/>
    <w:rsid w:val="00A96B8E"/>
    <w:rsid w:val="00AA01C4"/>
    <w:rsid w:val="00AA5E41"/>
    <w:rsid w:val="00AB7C0F"/>
    <w:rsid w:val="00AD1131"/>
    <w:rsid w:val="00AE41CE"/>
    <w:rsid w:val="00AE7468"/>
    <w:rsid w:val="00AF5283"/>
    <w:rsid w:val="00AF6B50"/>
    <w:rsid w:val="00B003BF"/>
    <w:rsid w:val="00B005F8"/>
    <w:rsid w:val="00B03A92"/>
    <w:rsid w:val="00B107BD"/>
    <w:rsid w:val="00B16EC2"/>
    <w:rsid w:val="00B22AF4"/>
    <w:rsid w:val="00B2525C"/>
    <w:rsid w:val="00B31576"/>
    <w:rsid w:val="00B349D4"/>
    <w:rsid w:val="00B44297"/>
    <w:rsid w:val="00B45ED2"/>
    <w:rsid w:val="00B53D49"/>
    <w:rsid w:val="00B56F35"/>
    <w:rsid w:val="00B62AE0"/>
    <w:rsid w:val="00B63748"/>
    <w:rsid w:val="00B7207F"/>
    <w:rsid w:val="00B853DD"/>
    <w:rsid w:val="00B95C43"/>
    <w:rsid w:val="00BA1112"/>
    <w:rsid w:val="00BA5153"/>
    <w:rsid w:val="00BA5836"/>
    <w:rsid w:val="00BA7C3A"/>
    <w:rsid w:val="00BB789B"/>
    <w:rsid w:val="00BC6C1D"/>
    <w:rsid w:val="00BE1DFB"/>
    <w:rsid w:val="00BE2BBB"/>
    <w:rsid w:val="00BE3373"/>
    <w:rsid w:val="00BE340D"/>
    <w:rsid w:val="00BE41BC"/>
    <w:rsid w:val="00BE6B72"/>
    <w:rsid w:val="00C02368"/>
    <w:rsid w:val="00C07057"/>
    <w:rsid w:val="00C14249"/>
    <w:rsid w:val="00C16EDB"/>
    <w:rsid w:val="00C24513"/>
    <w:rsid w:val="00C24691"/>
    <w:rsid w:val="00C26026"/>
    <w:rsid w:val="00C26CBA"/>
    <w:rsid w:val="00C34365"/>
    <w:rsid w:val="00C37B60"/>
    <w:rsid w:val="00C52647"/>
    <w:rsid w:val="00C5438A"/>
    <w:rsid w:val="00C55A5D"/>
    <w:rsid w:val="00C57AD1"/>
    <w:rsid w:val="00C7459C"/>
    <w:rsid w:val="00C746BE"/>
    <w:rsid w:val="00C85418"/>
    <w:rsid w:val="00C94B76"/>
    <w:rsid w:val="00C94E0E"/>
    <w:rsid w:val="00C95C5C"/>
    <w:rsid w:val="00CA0894"/>
    <w:rsid w:val="00CB4E7E"/>
    <w:rsid w:val="00CC611B"/>
    <w:rsid w:val="00CC6A69"/>
    <w:rsid w:val="00CC79FE"/>
    <w:rsid w:val="00CD70D5"/>
    <w:rsid w:val="00D062C4"/>
    <w:rsid w:val="00D1592C"/>
    <w:rsid w:val="00D22298"/>
    <w:rsid w:val="00D25DA2"/>
    <w:rsid w:val="00D3280A"/>
    <w:rsid w:val="00D40857"/>
    <w:rsid w:val="00D42BF7"/>
    <w:rsid w:val="00D43670"/>
    <w:rsid w:val="00D44FB3"/>
    <w:rsid w:val="00D45004"/>
    <w:rsid w:val="00D5728B"/>
    <w:rsid w:val="00D572DA"/>
    <w:rsid w:val="00D6583F"/>
    <w:rsid w:val="00D71657"/>
    <w:rsid w:val="00D72030"/>
    <w:rsid w:val="00D742C9"/>
    <w:rsid w:val="00D76301"/>
    <w:rsid w:val="00D81393"/>
    <w:rsid w:val="00DA3DC7"/>
    <w:rsid w:val="00DB57D2"/>
    <w:rsid w:val="00DC19F4"/>
    <w:rsid w:val="00DC785D"/>
    <w:rsid w:val="00DD5653"/>
    <w:rsid w:val="00DE0C4A"/>
    <w:rsid w:val="00DE11C8"/>
    <w:rsid w:val="00DE41ED"/>
    <w:rsid w:val="00DE5953"/>
    <w:rsid w:val="00DE5B02"/>
    <w:rsid w:val="00DE708C"/>
    <w:rsid w:val="00DF6470"/>
    <w:rsid w:val="00E02948"/>
    <w:rsid w:val="00E02EEF"/>
    <w:rsid w:val="00E3141F"/>
    <w:rsid w:val="00E31C6F"/>
    <w:rsid w:val="00E4169E"/>
    <w:rsid w:val="00E436E7"/>
    <w:rsid w:val="00E4502E"/>
    <w:rsid w:val="00E622B4"/>
    <w:rsid w:val="00E718AB"/>
    <w:rsid w:val="00E725EC"/>
    <w:rsid w:val="00E75239"/>
    <w:rsid w:val="00E76A9D"/>
    <w:rsid w:val="00E775E8"/>
    <w:rsid w:val="00E80FAA"/>
    <w:rsid w:val="00E82180"/>
    <w:rsid w:val="00E9387D"/>
    <w:rsid w:val="00E93888"/>
    <w:rsid w:val="00EA00B2"/>
    <w:rsid w:val="00EA28FF"/>
    <w:rsid w:val="00EA4BDC"/>
    <w:rsid w:val="00EA6263"/>
    <w:rsid w:val="00EA7FD5"/>
    <w:rsid w:val="00EB219B"/>
    <w:rsid w:val="00EB29AC"/>
    <w:rsid w:val="00EB2F2C"/>
    <w:rsid w:val="00EC3D92"/>
    <w:rsid w:val="00EC7D31"/>
    <w:rsid w:val="00EE3564"/>
    <w:rsid w:val="00EE3B14"/>
    <w:rsid w:val="00EE7B82"/>
    <w:rsid w:val="00EF265E"/>
    <w:rsid w:val="00EF6EF3"/>
    <w:rsid w:val="00F0245C"/>
    <w:rsid w:val="00F0427B"/>
    <w:rsid w:val="00F0677C"/>
    <w:rsid w:val="00F07D2E"/>
    <w:rsid w:val="00F11B2B"/>
    <w:rsid w:val="00F11CA5"/>
    <w:rsid w:val="00F13BE6"/>
    <w:rsid w:val="00F2500B"/>
    <w:rsid w:val="00F325AE"/>
    <w:rsid w:val="00F34970"/>
    <w:rsid w:val="00F40D3E"/>
    <w:rsid w:val="00F442B9"/>
    <w:rsid w:val="00F4697E"/>
    <w:rsid w:val="00F52169"/>
    <w:rsid w:val="00F52E76"/>
    <w:rsid w:val="00F52F5C"/>
    <w:rsid w:val="00F560EC"/>
    <w:rsid w:val="00F61B22"/>
    <w:rsid w:val="00F718AB"/>
    <w:rsid w:val="00F722BD"/>
    <w:rsid w:val="00F81224"/>
    <w:rsid w:val="00F81FC5"/>
    <w:rsid w:val="00F8378B"/>
    <w:rsid w:val="00F841FB"/>
    <w:rsid w:val="00F879CC"/>
    <w:rsid w:val="00F97883"/>
    <w:rsid w:val="00FA1BCF"/>
    <w:rsid w:val="00FA33D4"/>
    <w:rsid w:val="00FB010E"/>
    <w:rsid w:val="00FB0966"/>
    <w:rsid w:val="00FB147C"/>
    <w:rsid w:val="00FB61AC"/>
    <w:rsid w:val="00FC0C56"/>
    <w:rsid w:val="00FC3005"/>
    <w:rsid w:val="00FC6DBE"/>
    <w:rsid w:val="00FC7E6D"/>
    <w:rsid w:val="00FD1172"/>
    <w:rsid w:val="00FD1F5B"/>
    <w:rsid w:val="00FD4772"/>
    <w:rsid w:val="00FD50CA"/>
    <w:rsid w:val="00FE34DF"/>
    <w:rsid w:val="00FE6F81"/>
    <w:rsid w:val="00FF4324"/>
    <w:rsid w:val="00FF4F3B"/>
    <w:rsid w:val="00FF50E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5E"/>
    <w:pPr>
      <w:spacing w:before="120" w:after="120" w:line="240" w:lineRule="auto"/>
    </w:pPr>
    <w:rPr>
      <w:rFonts w:asciiTheme="minorHAnsi" w:hAnsiTheme="minorHAnsi"/>
    </w:rPr>
  </w:style>
  <w:style w:type="paragraph" w:styleId="Heading1">
    <w:name w:val="heading 1"/>
    <w:basedOn w:val="Normal"/>
    <w:next w:val="Normal"/>
    <w:link w:val="Heading1Char"/>
    <w:uiPriority w:val="9"/>
    <w:qFormat/>
    <w:rsid w:val="008837F7"/>
    <w:pPr>
      <w:keepNext/>
      <w:keepLines/>
      <w:outlineLvl w:val="0"/>
    </w:pPr>
    <w:rPr>
      <w:rFonts w:eastAsiaTheme="majorEastAsia" w:cstheme="majorBidi"/>
      <w:b/>
      <w:bCs/>
      <w:color w:val="365F91" w:themeColor="accent1" w:themeShade="BF"/>
      <w:sz w:val="52"/>
      <w:szCs w:val="28"/>
    </w:rPr>
  </w:style>
  <w:style w:type="paragraph" w:styleId="Heading2">
    <w:name w:val="heading 2"/>
    <w:basedOn w:val="Normal"/>
    <w:next w:val="Normal"/>
    <w:link w:val="Heading2Char"/>
    <w:uiPriority w:val="9"/>
    <w:unhideWhenUsed/>
    <w:qFormat/>
    <w:rsid w:val="008837F7"/>
    <w:pPr>
      <w:keepNext/>
      <w:keepLines/>
      <w:spacing w:before="240"/>
      <w:outlineLvl w:val="1"/>
    </w:pPr>
    <w:rPr>
      <w:rFonts w:eastAsiaTheme="majorEastAsia" w:cstheme="majorBidi"/>
      <w:b/>
      <w:bCs/>
      <w:i/>
      <w:sz w:val="36"/>
      <w:szCs w:val="26"/>
    </w:rPr>
  </w:style>
  <w:style w:type="paragraph" w:styleId="Heading3">
    <w:name w:val="heading 3"/>
    <w:basedOn w:val="Normal"/>
    <w:next w:val="Normal"/>
    <w:link w:val="Heading3Char"/>
    <w:uiPriority w:val="9"/>
    <w:unhideWhenUsed/>
    <w:qFormat/>
    <w:rsid w:val="008837F7"/>
    <w:pPr>
      <w:keepNext/>
      <w:keepLines/>
      <w:spacing w:before="200"/>
      <w:outlineLvl w:val="2"/>
    </w:pPr>
    <w:rPr>
      <w:rFonts w:eastAsiaTheme="majorEastAsia" w:cstheme="majorBidi"/>
      <w:b/>
      <w:bCs/>
      <w:i/>
      <w:sz w:val="28"/>
    </w:rPr>
  </w:style>
  <w:style w:type="paragraph" w:styleId="Heading4">
    <w:name w:val="heading 4"/>
    <w:basedOn w:val="Normal"/>
    <w:next w:val="Normal"/>
    <w:link w:val="Heading4Char"/>
    <w:uiPriority w:val="9"/>
    <w:unhideWhenUsed/>
    <w:qFormat/>
    <w:rsid w:val="00CC79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F7"/>
    <w:rPr>
      <w:rFonts w:asciiTheme="minorHAnsi" w:eastAsiaTheme="majorEastAsia" w:hAnsiTheme="minorHAnsi" w:cstheme="majorBidi"/>
      <w:b/>
      <w:bCs/>
      <w:color w:val="365F91" w:themeColor="accent1" w:themeShade="BF"/>
      <w:sz w:val="52"/>
      <w:szCs w:val="28"/>
    </w:rPr>
  </w:style>
  <w:style w:type="character" w:customStyle="1" w:styleId="Heading2Char">
    <w:name w:val="Heading 2 Char"/>
    <w:basedOn w:val="DefaultParagraphFont"/>
    <w:link w:val="Heading2"/>
    <w:uiPriority w:val="9"/>
    <w:rsid w:val="008837F7"/>
    <w:rPr>
      <w:rFonts w:asciiTheme="minorHAnsi" w:eastAsiaTheme="majorEastAsia" w:hAnsiTheme="minorHAnsi" w:cstheme="majorBidi"/>
      <w:b/>
      <w:bCs/>
      <w:i/>
      <w:sz w:val="36"/>
      <w:szCs w:val="26"/>
    </w:rPr>
  </w:style>
  <w:style w:type="character" w:customStyle="1" w:styleId="Heading3Char">
    <w:name w:val="Heading 3 Char"/>
    <w:basedOn w:val="DefaultParagraphFont"/>
    <w:link w:val="Heading3"/>
    <w:uiPriority w:val="9"/>
    <w:rsid w:val="008837F7"/>
    <w:rPr>
      <w:rFonts w:asciiTheme="minorHAnsi" w:eastAsiaTheme="majorEastAsia" w:hAnsiTheme="minorHAnsi" w:cstheme="majorBidi"/>
      <w:b/>
      <w:bCs/>
      <w:i/>
      <w:sz w:val="28"/>
    </w:rPr>
  </w:style>
  <w:style w:type="character" w:customStyle="1" w:styleId="Heading4Char">
    <w:name w:val="Heading 4 Char"/>
    <w:basedOn w:val="DefaultParagraphFont"/>
    <w:link w:val="Heading4"/>
    <w:uiPriority w:val="9"/>
    <w:rsid w:val="00CC79F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CC79FE"/>
    <w:pPr>
      <w:ind w:left="720"/>
      <w:contextualSpacing/>
    </w:pPr>
  </w:style>
  <w:style w:type="paragraph" w:styleId="Header">
    <w:name w:val="header"/>
    <w:basedOn w:val="Normal"/>
    <w:link w:val="HeaderChar"/>
    <w:uiPriority w:val="99"/>
    <w:unhideWhenUsed/>
    <w:rsid w:val="00CC79FE"/>
    <w:pPr>
      <w:tabs>
        <w:tab w:val="center" w:pos="4513"/>
        <w:tab w:val="right" w:pos="9026"/>
      </w:tabs>
      <w:spacing w:after="0"/>
    </w:pPr>
  </w:style>
  <w:style w:type="character" w:customStyle="1" w:styleId="HeaderChar">
    <w:name w:val="Header Char"/>
    <w:basedOn w:val="DefaultParagraphFont"/>
    <w:link w:val="Header"/>
    <w:uiPriority w:val="99"/>
    <w:rsid w:val="00CC79FE"/>
    <w:rPr>
      <w:rFonts w:asciiTheme="minorHAnsi" w:hAnsiTheme="minorHAnsi"/>
      <w:sz w:val="22"/>
    </w:rPr>
  </w:style>
  <w:style w:type="paragraph" w:styleId="Footer">
    <w:name w:val="footer"/>
    <w:basedOn w:val="Normal"/>
    <w:link w:val="FooterChar"/>
    <w:uiPriority w:val="99"/>
    <w:unhideWhenUsed/>
    <w:rsid w:val="00CC79FE"/>
    <w:pPr>
      <w:tabs>
        <w:tab w:val="center" w:pos="4513"/>
        <w:tab w:val="right" w:pos="9026"/>
      </w:tabs>
      <w:spacing w:after="0"/>
    </w:pPr>
  </w:style>
  <w:style w:type="character" w:customStyle="1" w:styleId="FooterChar">
    <w:name w:val="Footer Char"/>
    <w:basedOn w:val="DefaultParagraphFont"/>
    <w:link w:val="Footer"/>
    <w:uiPriority w:val="99"/>
    <w:rsid w:val="00CC79FE"/>
    <w:rPr>
      <w:rFonts w:asciiTheme="minorHAnsi" w:hAnsiTheme="minorHAnsi"/>
      <w:sz w:val="22"/>
    </w:rPr>
  </w:style>
  <w:style w:type="character" w:styleId="Hyperlink">
    <w:name w:val="Hyperlink"/>
    <w:basedOn w:val="DefaultParagraphFont"/>
    <w:unhideWhenUsed/>
    <w:rsid w:val="00CC79FE"/>
    <w:rPr>
      <w:color w:val="0000FF" w:themeColor="hyperlink"/>
      <w:u w:val="single"/>
    </w:rPr>
  </w:style>
  <w:style w:type="character" w:customStyle="1" w:styleId="TableHeadingChar">
    <w:name w:val="TableHeading Char"/>
    <w:basedOn w:val="DefaultParagraphFont"/>
    <w:link w:val="TableHeading"/>
    <w:locked/>
    <w:rsid w:val="003A06A0"/>
    <w:rPr>
      <w:rFonts w:asciiTheme="minorHAnsi" w:hAnsiTheme="minorHAnsi"/>
      <w:b/>
      <w:bCs/>
      <w:sz w:val="20"/>
    </w:rPr>
  </w:style>
  <w:style w:type="paragraph" w:customStyle="1" w:styleId="TableHeading">
    <w:name w:val="TableHeading"/>
    <w:basedOn w:val="Normal"/>
    <w:link w:val="TableHeadingChar"/>
    <w:qFormat/>
    <w:rsid w:val="003A06A0"/>
    <w:pPr>
      <w:keepNext/>
      <w:spacing w:before="40" w:after="40"/>
    </w:pPr>
    <w:rPr>
      <w:b/>
      <w:bCs/>
      <w:sz w:val="20"/>
    </w:rPr>
  </w:style>
  <w:style w:type="character" w:customStyle="1" w:styleId="TableTextChar">
    <w:name w:val="Table Text Char"/>
    <w:basedOn w:val="DefaultParagraphFont"/>
    <w:link w:val="TableText"/>
    <w:locked/>
    <w:rsid w:val="007244AE"/>
    <w:rPr>
      <w:rFonts w:asciiTheme="minorHAnsi" w:hAnsiTheme="minorHAnsi"/>
      <w:sz w:val="20"/>
    </w:rPr>
  </w:style>
  <w:style w:type="paragraph" w:customStyle="1" w:styleId="TableText">
    <w:name w:val="Table Text"/>
    <w:basedOn w:val="Normal"/>
    <w:link w:val="TableTextChar"/>
    <w:qFormat/>
    <w:rsid w:val="007244AE"/>
    <w:pPr>
      <w:keepNext/>
      <w:spacing w:before="60" w:after="60"/>
    </w:pPr>
    <w:rPr>
      <w:sz w:val="20"/>
    </w:rPr>
  </w:style>
  <w:style w:type="paragraph" w:customStyle="1" w:styleId="Default">
    <w:name w:val="Default"/>
    <w:rsid w:val="00CC79FE"/>
    <w:pPr>
      <w:autoSpaceDE w:val="0"/>
      <w:autoSpaceDN w:val="0"/>
      <w:adjustRightInd w:val="0"/>
      <w:spacing w:after="0" w:line="240" w:lineRule="auto"/>
    </w:pPr>
    <w:rPr>
      <w:rFonts w:ascii="Arial" w:hAnsi="Arial" w:cs="Arial"/>
      <w:color w:val="000000"/>
      <w:szCs w:val="24"/>
    </w:rPr>
  </w:style>
  <w:style w:type="table" w:styleId="TableGrid">
    <w:name w:val="Table Grid"/>
    <w:basedOn w:val="TableNormal"/>
    <w:rsid w:val="00CC79FE"/>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C79FE"/>
    <w:pPr>
      <w:spacing w:before="100" w:beforeAutospacing="1" w:after="100" w:afterAutospacing="1" w:line="255" w:lineRule="atLeast"/>
    </w:pPr>
    <w:rPr>
      <w:rFonts w:ascii="Times New Roman" w:eastAsia="Times New Roman" w:hAnsi="Times New Roman" w:cs="Times New Roman"/>
      <w:sz w:val="21"/>
      <w:szCs w:val="21"/>
      <w:lang w:eastAsia="en-AU"/>
    </w:rPr>
  </w:style>
  <w:style w:type="paragraph" w:styleId="BalloonText">
    <w:name w:val="Balloon Text"/>
    <w:basedOn w:val="Normal"/>
    <w:link w:val="BalloonTextChar"/>
    <w:uiPriority w:val="99"/>
    <w:semiHidden/>
    <w:unhideWhenUsed/>
    <w:rsid w:val="00CC79F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9FE"/>
    <w:rPr>
      <w:rFonts w:ascii="Tahoma" w:hAnsi="Tahoma" w:cs="Tahoma"/>
      <w:sz w:val="16"/>
      <w:szCs w:val="16"/>
    </w:rPr>
  </w:style>
  <w:style w:type="paragraph" w:customStyle="1" w:styleId="Bullet">
    <w:name w:val="Bullet"/>
    <w:basedOn w:val="Normal"/>
    <w:qFormat/>
    <w:rsid w:val="00CC79FE"/>
    <w:pPr>
      <w:numPr>
        <w:numId w:val="5"/>
      </w:numPr>
      <w:spacing w:after="240"/>
      <w:jc w:val="both"/>
    </w:pPr>
    <w:rPr>
      <w:rFonts w:ascii="Garamond" w:eastAsia="Times New Roman" w:hAnsi="Garamond" w:cs="Times New Roman"/>
      <w:szCs w:val="20"/>
      <w:lang w:eastAsia="en-AU"/>
    </w:rPr>
  </w:style>
  <w:style w:type="character" w:styleId="CommentReference">
    <w:name w:val="annotation reference"/>
    <w:basedOn w:val="DefaultParagraphFont"/>
    <w:uiPriority w:val="99"/>
    <w:semiHidden/>
    <w:unhideWhenUsed/>
    <w:rsid w:val="00CC79FE"/>
    <w:rPr>
      <w:sz w:val="16"/>
      <w:szCs w:val="16"/>
    </w:rPr>
  </w:style>
  <w:style w:type="paragraph" w:styleId="CommentText">
    <w:name w:val="annotation text"/>
    <w:basedOn w:val="Normal"/>
    <w:link w:val="CommentTextChar"/>
    <w:uiPriority w:val="99"/>
    <w:semiHidden/>
    <w:unhideWhenUsed/>
    <w:rsid w:val="00CC79FE"/>
    <w:rPr>
      <w:sz w:val="20"/>
      <w:szCs w:val="20"/>
    </w:rPr>
  </w:style>
  <w:style w:type="character" w:customStyle="1" w:styleId="CommentTextChar">
    <w:name w:val="Comment Text Char"/>
    <w:basedOn w:val="DefaultParagraphFont"/>
    <w:link w:val="CommentText"/>
    <w:uiPriority w:val="99"/>
    <w:semiHidden/>
    <w:rsid w:val="00CC79F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C79FE"/>
    <w:rPr>
      <w:b/>
      <w:bCs/>
    </w:rPr>
  </w:style>
  <w:style w:type="character" w:customStyle="1" w:styleId="CommentSubjectChar">
    <w:name w:val="Comment Subject Char"/>
    <w:basedOn w:val="CommentTextChar"/>
    <w:link w:val="CommentSubject"/>
    <w:uiPriority w:val="99"/>
    <w:semiHidden/>
    <w:rsid w:val="00CC79FE"/>
    <w:rPr>
      <w:rFonts w:asciiTheme="minorHAnsi" w:hAnsiTheme="minorHAnsi"/>
      <w:b/>
      <w:bCs/>
      <w:sz w:val="20"/>
      <w:szCs w:val="20"/>
    </w:rPr>
  </w:style>
  <w:style w:type="paragraph" w:customStyle="1" w:styleId="subsection">
    <w:name w:val="subsection"/>
    <w:basedOn w:val="Normal"/>
    <w:rsid w:val="00CC79FE"/>
    <w:pPr>
      <w:spacing w:before="100" w:beforeAutospacing="1" w:after="100" w:afterAutospacing="1"/>
    </w:pPr>
    <w:rPr>
      <w:rFonts w:ascii="Times New Roman" w:eastAsia="Times New Roman" w:hAnsi="Times New Roman" w:cs="Times New Roman"/>
      <w:szCs w:val="24"/>
      <w:lang w:eastAsia="en-AU"/>
    </w:rPr>
  </w:style>
  <w:style w:type="paragraph" w:customStyle="1" w:styleId="paragraph">
    <w:name w:val="paragraph"/>
    <w:basedOn w:val="Normal"/>
    <w:rsid w:val="00CC79FE"/>
    <w:pPr>
      <w:spacing w:before="100" w:beforeAutospacing="1" w:after="100" w:afterAutospacing="1"/>
    </w:pPr>
    <w:rPr>
      <w:rFonts w:ascii="Times New Roman" w:eastAsia="Times New Roman" w:hAnsi="Times New Roman" w:cs="Times New Roman"/>
      <w:szCs w:val="24"/>
      <w:lang w:eastAsia="en-AU"/>
    </w:rPr>
  </w:style>
  <w:style w:type="paragraph" w:customStyle="1" w:styleId="notetext">
    <w:name w:val="notetext"/>
    <w:basedOn w:val="Normal"/>
    <w:rsid w:val="00CC79FE"/>
    <w:pPr>
      <w:spacing w:before="100" w:beforeAutospacing="1" w:after="100" w:afterAutospacing="1"/>
    </w:pPr>
    <w:rPr>
      <w:rFonts w:ascii="Times New Roman" w:eastAsia="Times New Roman" w:hAnsi="Times New Roman" w:cs="Times New Roman"/>
      <w:szCs w:val="24"/>
      <w:lang w:eastAsia="en-AU"/>
    </w:rPr>
  </w:style>
  <w:style w:type="paragraph" w:styleId="Caption">
    <w:name w:val="caption"/>
    <w:aliases w:val="Table and Figure"/>
    <w:basedOn w:val="Normal"/>
    <w:next w:val="Normal"/>
    <w:link w:val="CaptionChar"/>
    <w:qFormat/>
    <w:rsid w:val="00FF4324"/>
    <w:pPr>
      <w:keepNext/>
    </w:pPr>
    <w:rPr>
      <w:rFonts w:ascii="Calibri" w:eastAsia="Times New Roman" w:hAnsi="Calibri" w:cs="Times New Roman"/>
      <w:b/>
      <w:bCs/>
      <w:color w:val="1F497D"/>
      <w:sz w:val="28"/>
      <w:szCs w:val="28"/>
    </w:rPr>
  </w:style>
  <w:style w:type="character" w:customStyle="1" w:styleId="CaptionChar">
    <w:name w:val="Caption Char"/>
    <w:aliases w:val="Table and Figure Char"/>
    <w:basedOn w:val="DefaultParagraphFont"/>
    <w:link w:val="Caption"/>
    <w:rsid w:val="00FF4324"/>
    <w:rPr>
      <w:rFonts w:ascii="Calibri" w:eastAsia="Times New Roman" w:hAnsi="Calibri" w:cs="Times New Roman"/>
      <w:b/>
      <w:bCs/>
      <w:color w:val="1F497D"/>
      <w:sz w:val="28"/>
      <w:szCs w:val="28"/>
    </w:rPr>
  </w:style>
  <w:style w:type="table" w:customStyle="1" w:styleId="TableGrid3">
    <w:name w:val="Table Grid3"/>
    <w:basedOn w:val="TableNormal"/>
    <w:next w:val="TableGrid"/>
    <w:rsid w:val="00CC79F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8F624C"/>
    <w:pPr>
      <w:jc w:val="both"/>
    </w:pPr>
    <w:rPr>
      <w:rFonts w:eastAsia="Times New Roman" w:cs="Times New Roman"/>
      <w:noProof/>
      <w:sz w:val="22"/>
      <w:szCs w:val="24"/>
      <w:lang w:val="en-US"/>
    </w:rPr>
  </w:style>
  <w:style w:type="character" w:customStyle="1" w:styleId="EndNoteBibliographyChar">
    <w:name w:val="EndNote Bibliography Char"/>
    <w:basedOn w:val="DefaultParagraphFont"/>
    <w:link w:val="EndNoteBibliography"/>
    <w:rsid w:val="008F624C"/>
    <w:rPr>
      <w:rFonts w:asciiTheme="minorHAnsi" w:eastAsia="Times New Roman" w:hAnsiTheme="minorHAnsi" w:cs="Times New Roman"/>
      <w:noProof/>
      <w:sz w:val="22"/>
      <w:szCs w:val="24"/>
      <w:lang w:val="en-US"/>
    </w:rPr>
  </w:style>
  <w:style w:type="paragraph" w:customStyle="1" w:styleId="TableNote">
    <w:name w:val="Table Note"/>
    <w:basedOn w:val="Normal"/>
    <w:link w:val="TableNoteChar"/>
    <w:qFormat/>
    <w:rsid w:val="007244AE"/>
    <w:pPr>
      <w:keepNext/>
      <w:spacing w:before="60"/>
      <w:ind w:left="130" w:hanging="130"/>
      <w:jc w:val="both"/>
    </w:pPr>
    <w:rPr>
      <w:rFonts w:eastAsia="Times New Roman" w:cs="Times New Roman"/>
      <w:sz w:val="18"/>
      <w:szCs w:val="18"/>
      <w:lang w:eastAsia="en-AU"/>
    </w:rPr>
  </w:style>
  <w:style w:type="character" w:customStyle="1" w:styleId="TableNoteChar">
    <w:name w:val="Table Note Char"/>
    <w:basedOn w:val="DefaultParagraphFont"/>
    <w:link w:val="TableNote"/>
    <w:rsid w:val="007244AE"/>
    <w:rPr>
      <w:rFonts w:asciiTheme="minorHAnsi" w:eastAsia="Times New Roman" w:hAnsiTheme="minorHAnsi" w:cs="Times New Roman"/>
      <w:sz w:val="18"/>
      <w:szCs w:val="18"/>
      <w:lang w:eastAsia="en-AU"/>
    </w:rPr>
  </w:style>
  <w:style w:type="character" w:styleId="IntenseReference">
    <w:name w:val="Intense Reference"/>
    <w:basedOn w:val="DefaultParagraphFont"/>
    <w:uiPriority w:val="32"/>
    <w:qFormat/>
    <w:rsid w:val="00CC79FE"/>
    <w:rPr>
      <w:b/>
      <w:bCs/>
      <w:i/>
      <w:smallCaps/>
      <w:color w:val="C0504D" w:themeColor="accent2"/>
      <w:spacing w:val="5"/>
      <w:u w:val="none"/>
    </w:rPr>
  </w:style>
  <w:style w:type="paragraph" w:styleId="Revision">
    <w:name w:val="Revision"/>
    <w:hidden/>
    <w:uiPriority w:val="99"/>
    <w:semiHidden/>
    <w:rsid w:val="00152FA8"/>
    <w:pPr>
      <w:spacing w:after="0" w:line="240" w:lineRule="auto"/>
    </w:pPr>
    <w:rPr>
      <w:rFonts w:asciiTheme="minorHAnsi" w:hAnsiTheme="minorHAnsi"/>
      <w:sz w:val="22"/>
    </w:rPr>
  </w:style>
  <w:style w:type="paragraph" w:customStyle="1" w:styleId="LegalCopy">
    <w:name w:val="Legal Copy"/>
    <w:basedOn w:val="Footer"/>
    <w:rsid w:val="000B3DE1"/>
    <w:pPr>
      <w:spacing w:after="180"/>
    </w:pPr>
    <w:rPr>
      <w:rFonts w:ascii="Cambria" w:eastAsia="Cambria" w:hAnsi="Cambria" w:cs="Times New Roman"/>
      <w:sz w:val="17"/>
      <w:szCs w:val="20"/>
    </w:rPr>
  </w:style>
  <w:style w:type="paragraph" w:customStyle="1" w:styleId="LegalSubheading">
    <w:name w:val="Legal Subheading"/>
    <w:basedOn w:val="Footer"/>
    <w:rsid w:val="000B3DE1"/>
    <w:rPr>
      <w:rFonts w:ascii="Cambria" w:eastAsia="Cambria" w:hAnsi="Cambria" w:cs="Times New Roman"/>
      <w:b/>
      <w:sz w:val="17"/>
      <w:szCs w:val="20"/>
    </w:rPr>
  </w:style>
  <w:style w:type="character" w:styleId="FollowedHyperlink">
    <w:name w:val="FollowedHyperlink"/>
    <w:basedOn w:val="DefaultParagraphFont"/>
    <w:uiPriority w:val="99"/>
    <w:semiHidden/>
    <w:unhideWhenUsed/>
    <w:rsid w:val="00B62AE0"/>
    <w:rPr>
      <w:color w:val="800080" w:themeColor="followedHyperlink"/>
      <w:u w:val="single"/>
    </w:rPr>
  </w:style>
  <w:style w:type="paragraph" w:styleId="Quote">
    <w:name w:val="Quote"/>
    <w:basedOn w:val="Normal"/>
    <w:next w:val="Normal"/>
    <w:link w:val="QuoteChar"/>
    <w:uiPriority w:val="29"/>
    <w:qFormat/>
    <w:rsid w:val="00FC6DBE"/>
    <w:rPr>
      <w:i/>
      <w:iCs/>
      <w:color w:val="000000" w:themeColor="text1"/>
    </w:rPr>
  </w:style>
  <w:style w:type="character" w:customStyle="1" w:styleId="QuoteChar">
    <w:name w:val="Quote Char"/>
    <w:basedOn w:val="DefaultParagraphFont"/>
    <w:link w:val="Quote"/>
    <w:uiPriority w:val="29"/>
    <w:rsid w:val="00FC6DBE"/>
    <w:rPr>
      <w:rFonts w:asciiTheme="minorHAnsi" w:hAnsiTheme="minorHAnsi"/>
      <w:i/>
      <w:iCs/>
      <w:color w:val="000000" w:themeColor="text1"/>
    </w:rPr>
  </w:style>
  <w:style w:type="paragraph" w:styleId="TOC1">
    <w:name w:val="toc 1"/>
    <w:basedOn w:val="Normal"/>
    <w:next w:val="Normal"/>
    <w:autoRedefine/>
    <w:uiPriority w:val="39"/>
    <w:unhideWhenUsed/>
    <w:rsid w:val="00777876"/>
  </w:style>
  <w:style w:type="paragraph" w:styleId="TOC2">
    <w:name w:val="toc 2"/>
    <w:basedOn w:val="Normal"/>
    <w:next w:val="Normal"/>
    <w:autoRedefine/>
    <w:uiPriority w:val="39"/>
    <w:unhideWhenUsed/>
    <w:rsid w:val="00777876"/>
    <w:pPr>
      <w:ind w:left="240"/>
    </w:pPr>
  </w:style>
  <w:style w:type="paragraph" w:styleId="TOC3">
    <w:name w:val="toc 3"/>
    <w:basedOn w:val="Normal"/>
    <w:next w:val="Normal"/>
    <w:autoRedefine/>
    <w:uiPriority w:val="39"/>
    <w:unhideWhenUsed/>
    <w:rsid w:val="00DE11C8"/>
    <w:pPr>
      <w:ind w:left="238"/>
    </w:pPr>
  </w:style>
  <w:style w:type="paragraph" w:styleId="TOC4">
    <w:name w:val="toc 4"/>
    <w:basedOn w:val="Normal"/>
    <w:next w:val="Normal"/>
    <w:autoRedefine/>
    <w:uiPriority w:val="39"/>
    <w:unhideWhenUsed/>
    <w:rsid w:val="00777876"/>
    <w:pPr>
      <w:ind w:left="720"/>
    </w:pPr>
  </w:style>
  <w:style w:type="paragraph" w:styleId="TOC5">
    <w:name w:val="toc 5"/>
    <w:basedOn w:val="Normal"/>
    <w:next w:val="Normal"/>
    <w:autoRedefine/>
    <w:uiPriority w:val="39"/>
    <w:unhideWhenUsed/>
    <w:rsid w:val="00777876"/>
    <w:pPr>
      <w:ind w:left="960"/>
    </w:pPr>
  </w:style>
  <w:style w:type="paragraph" w:styleId="TOC6">
    <w:name w:val="toc 6"/>
    <w:basedOn w:val="Normal"/>
    <w:next w:val="Normal"/>
    <w:autoRedefine/>
    <w:uiPriority w:val="39"/>
    <w:unhideWhenUsed/>
    <w:rsid w:val="00777876"/>
    <w:pPr>
      <w:ind w:left="1200"/>
    </w:pPr>
  </w:style>
  <w:style w:type="paragraph" w:styleId="TOC7">
    <w:name w:val="toc 7"/>
    <w:basedOn w:val="Normal"/>
    <w:next w:val="Normal"/>
    <w:autoRedefine/>
    <w:uiPriority w:val="39"/>
    <w:unhideWhenUsed/>
    <w:rsid w:val="00777876"/>
    <w:pPr>
      <w:ind w:left="1440"/>
    </w:pPr>
  </w:style>
  <w:style w:type="paragraph" w:styleId="TOC8">
    <w:name w:val="toc 8"/>
    <w:basedOn w:val="Normal"/>
    <w:next w:val="Normal"/>
    <w:autoRedefine/>
    <w:uiPriority w:val="39"/>
    <w:unhideWhenUsed/>
    <w:rsid w:val="00777876"/>
    <w:pPr>
      <w:ind w:left="1680"/>
    </w:pPr>
  </w:style>
  <w:style w:type="paragraph" w:styleId="TOC9">
    <w:name w:val="toc 9"/>
    <w:basedOn w:val="Normal"/>
    <w:next w:val="Normal"/>
    <w:autoRedefine/>
    <w:uiPriority w:val="39"/>
    <w:unhideWhenUsed/>
    <w:rsid w:val="00777876"/>
    <w:pPr>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5E"/>
    <w:pPr>
      <w:spacing w:before="120" w:after="120" w:line="240" w:lineRule="auto"/>
    </w:pPr>
    <w:rPr>
      <w:rFonts w:asciiTheme="minorHAnsi" w:hAnsiTheme="minorHAnsi"/>
    </w:rPr>
  </w:style>
  <w:style w:type="paragraph" w:styleId="Heading1">
    <w:name w:val="heading 1"/>
    <w:basedOn w:val="Normal"/>
    <w:next w:val="Normal"/>
    <w:link w:val="Heading1Char"/>
    <w:uiPriority w:val="9"/>
    <w:qFormat/>
    <w:rsid w:val="008837F7"/>
    <w:pPr>
      <w:keepNext/>
      <w:keepLines/>
      <w:outlineLvl w:val="0"/>
    </w:pPr>
    <w:rPr>
      <w:rFonts w:eastAsiaTheme="majorEastAsia" w:cstheme="majorBidi"/>
      <w:b/>
      <w:bCs/>
      <w:color w:val="365F91" w:themeColor="accent1" w:themeShade="BF"/>
      <w:sz w:val="52"/>
      <w:szCs w:val="28"/>
    </w:rPr>
  </w:style>
  <w:style w:type="paragraph" w:styleId="Heading2">
    <w:name w:val="heading 2"/>
    <w:basedOn w:val="Normal"/>
    <w:next w:val="Normal"/>
    <w:link w:val="Heading2Char"/>
    <w:uiPriority w:val="9"/>
    <w:unhideWhenUsed/>
    <w:qFormat/>
    <w:rsid w:val="008837F7"/>
    <w:pPr>
      <w:keepNext/>
      <w:keepLines/>
      <w:spacing w:before="240"/>
      <w:outlineLvl w:val="1"/>
    </w:pPr>
    <w:rPr>
      <w:rFonts w:eastAsiaTheme="majorEastAsia" w:cstheme="majorBidi"/>
      <w:b/>
      <w:bCs/>
      <w:i/>
      <w:sz w:val="36"/>
      <w:szCs w:val="26"/>
    </w:rPr>
  </w:style>
  <w:style w:type="paragraph" w:styleId="Heading3">
    <w:name w:val="heading 3"/>
    <w:basedOn w:val="Normal"/>
    <w:next w:val="Normal"/>
    <w:link w:val="Heading3Char"/>
    <w:uiPriority w:val="9"/>
    <w:unhideWhenUsed/>
    <w:qFormat/>
    <w:rsid w:val="008837F7"/>
    <w:pPr>
      <w:keepNext/>
      <w:keepLines/>
      <w:spacing w:before="200"/>
      <w:outlineLvl w:val="2"/>
    </w:pPr>
    <w:rPr>
      <w:rFonts w:eastAsiaTheme="majorEastAsia" w:cstheme="majorBidi"/>
      <w:b/>
      <w:bCs/>
      <w:i/>
      <w:sz w:val="28"/>
    </w:rPr>
  </w:style>
  <w:style w:type="paragraph" w:styleId="Heading4">
    <w:name w:val="heading 4"/>
    <w:basedOn w:val="Normal"/>
    <w:next w:val="Normal"/>
    <w:link w:val="Heading4Char"/>
    <w:uiPriority w:val="9"/>
    <w:unhideWhenUsed/>
    <w:qFormat/>
    <w:rsid w:val="00CC79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F7"/>
    <w:rPr>
      <w:rFonts w:asciiTheme="minorHAnsi" w:eastAsiaTheme="majorEastAsia" w:hAnsiTheme="minorHAnsi" w:cstheme="majorBidi"/>
      <w:b/>
      <w:bCs/>
      <w:color w:val="365F91" w:themeColor="accent1" w:themeShade="BF"/>
      <w:sz w:val="52"/>
      <w:szCs w:val="28"/>
    </w:rPr>
  </w:style>
  <w:style w:type="character" w:customStyle="1" w:styleId="Heading2Char">
    <w:name w:val="Heading 2 Char"/>
    <w:basedOn w:val="DefaultParagraphFont"/>
    <w:link w:val="Heading2"/>
    <w:uiPriority w:val="9"/>
    <w:rsid w:val="008837F7"/>
    <w:rPr>
      <w:rFonts w:asciiTheme="minorHAnsi" w:eastAsiaTheme="majorEastAsia" w:hAnsiTheme="minorHAnsi" w:cstheme="majorBidi"/>
      <w:b/>
      <w:bCs/>
      <w:i/>
      <w:sz w:val="36"/>
      <w:szCs w:val="26"/>
    </w:rPr>
  </w:style>
  <w:style w:type="character" w:customStyle="1" w:styleId="Heading3Char">
    <w:name w:val="Heading 3 Char"/>
    <w:basedOn w:val="DefaultParagraphFont"/>
    <w:link w:val="Heading3"/>
    <w:uiPriority w:val="9"/>
    <w:rsid w:val="008837F7"/>
    <w:rPr>
      <w:rFonts w:asciiTheme="minorHAnsi" w:eastAsiaTheme="majorEastAsia" w:hAnsiTheme="minorHAnsi" w:cstheme="majorBidi"/>
      <w:b/>
      <w:bCs/>
      <w:i/>
      <w:sz w:val="28"/>
    </w:rPr>
  </w:style>
  <w:style w:type="character" w:customStyle="1" w:styleId="Heading4Char">
    <w:name w:val="Heading 4 Char"/>
    <w:basedOn w:val="DefaultParagraphFont"/>
    <w:link w:val="Heading4"/>
    <w:uiPriority w:val="9"/>
    <w:rsid w:val="00CC79F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CC79FE"/>
    <w:pPr>
      <w:ind w:left="720"/>
      <w:contextualSpacing/>
    </w:pPr>
  </w:style>
  <w:style w:type="paragraph" w:styleId="Header">
    <w:name w:val="header"/>
    <w:basedOn w:val="Normal"/>
    <w:link w:val="HeaderChar"/>
    <w:uiPriority w:val="99"/>
    <w:unhideWhenUsed/>
    <w:rsid w:val="00CC79FE"/>
    <w:pPr>
      <w:tabs>
        <w:tab w:val="center" w:pos="4513"/>
        <w:tab w:val="right" w:pos="9026"/>
      </w:tabs>
      <w:spacing w:after="0"/>
    </w:pPr>
  </w:style>
  <w:style w:type="character" w:customStyle="1" w:styleId="HeaderChar">
    <w:name w:val="Header Char"/>
    <w:basedOn w:val="DefaultParagraphFont"/>
    <w:link w:val="Header"/>
    <w:uiPriority w:val="99"/>
    <w:rsid w:val="00CC79FE"/>
    <w:rPr>
      <w:rFonts w:asciiTheme="minorHAnsi" w:hAnsiTheme="minorHAnsi"/>
      <w:sz w:val="22"/>
    </w:rPr>
  </w:style>
  <w:style w:type="paragraph" w:styleId="Footer">
    <w:name w:val="footer"/>
    <w:basedOn w:val="Normal"/>
    <w:link w:val="FooterChar"/>
    <w:uiPriority w:val="99"/>
    <w:unhideWhenUsed/>
    <w:rsid w:val="00CC79FE"/>
    <w:pPr>
      <w:tabs>
        <w:tab w:val="center" w:pos="4513"/>
        <w:tab w:val="right" w:pos="9026"/>
      </w:tabs>
      <w:spacing w:after="0"/>
    </w:pPr>
  </w:style>
  <w:style w:type="character" w:customStyle="1" w:styleId="FooterChar">
    <w:name w:val="Footer Char"/>
    <w:basedOn w:val="DefaultParagraphFont"/>
    <w:link w:val="Footer"/>
    <w:uiPriority w:val="99"/>
    <w:rsid w:val="00CC79FE"/>
    <w:rPr>
      <w:rFonts w:asciiTheme="minorHAnsi" w:hAnsiTheme="minorHAnsi"/>
      <w:sz w:val="22"/>
    </w:rPr>
  </w:style>
  <w:style w:type="character" w:styleId="Hyperlink">
    <w:name w:val="Hyperlink"/>
    <w:basedOn w:val="DefaultParagraphFont"/>
    <w:unhideWhenUsed/>
    <w:rsid w:val="00CC79FE"/>
    <w:rPr>
      <w:color w:val="0000FF" w:themeColor="hyperlink"/>
      <w:u w:val="single"/>
    </w:rPr>
  </w:style>
  <w:style w:type="character" w:customStyle="1" w:styleId="TableHeadingChar">
    <w:name w:val="TableHeading Char"/>
    <w:basedOn w:val="DefaultParagraphFont"/>
    <w:link w:val="TableHeading"/>
    <w:locked/>
    <w:rsid w:val="003A06A0"/>
    <w:rPr>
      <w:rFonts w:asciiTheme="minorHAnsi" w:hAnsiTheme="minorHAnsi"/>
      <w:b/>
      <w:bCs/>
      <w:sz w:val="20"/>
    </w:rPr>
  </w:style>
  <w:style w:type="paragraph" w:customStyle="1" w:styleId="TableHeading">
    <w:name w:val="TableHeading"/>
    <w:basedOn w:val="Normal"/>
    <w:link w:val="TableHeadingChar"/>
    <w:qFormat/>
    <w:rsid w:val="003A06A0"/>
    <w:pPr>
      <w:keepNext/>
      <w:spacing w:before="40" w:after="40"/>
    </w:pPr>
    <w:rPr>
      <w:b/>
      <w:bCs/>
      <w:sz w:val="20"/>
    </w:rPr>
  </w:style>
  <w:style w:type="character" w:customStyle="1" w:styleId="TableTextChar">
    <w:name w:val="Table Text Char"/>
    <w:basedOn w:val="DefaultParagraphFont"/>
    <w:link w:val="TableText"/>
    <w:locked/>
    <w:rsid w:val="007244AE"/>
    <w:rPr>
      <w:rFonts w:asciiTheme="minorHAnsi" w:hAnsiTheme="minorHAnsi"/>
      <w:sz w:val="20"/>
    </w:rPr>
  </w:style>
  <w:style w:type="paragraph" w:customStyle="1" w:styleId="TableText">
    <w:name w:val="Table Text"/>
    <w:basedOn w:val="Normal"/>
    <w:link w:val="TableTextChar"/>
    <w:qFormat/>
    <w:rsid w:val="007244AE"/>
    <w:pPr>
      <w:keepNext/>
      <w:spacing w:before="60" w:after="60"/>
    </w:pPr>
    <w:rPr>
      <w:sz w:val="20"/>
    </w:rPr>
  </w:style>
  <w:style w:type="paragraph" w:customStyle="1" w:styleId="Default">
    <w:name w:val="Default"/>
    <w:rsid w:val="00CC79FE"/>
    <w:pPr>
      <w:autoSpaceDE w:val="0"/>
      <w:autoSpaceDN w:val="0"/>
      <w:adjustRightInd w:val="0"/>
      <w:spacing w:after="0" w:line="240" w:lineRule="auto"/>
    </w:pPr>
    <w:rPr>
      <w:rFonts w:ascii="Arial" w:hAnsi="Arial" w:cs="Arial"/>
      <w:color w:val="000000"/>
      <w:szCs w:val="24"/>
    </w:rPr>
  </w:style>
  <w:style w:type="table" w:styleId="TableGrid">
    <w:name w:val="Table Grid"/>
    <w:basedOn w:val="TableNormal"/>
    <w:rsid w:val="00CC79FE"/>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C79FE"/>
    <w:pPr>
      <w:spacing w:before="100" w:beforeAutospacing="1" w:after="100" w:afterAutospacing="1" w:line="255" w:lineRule="atLeast"/>
    </w:pPr>
    <w:rPr>
      <w:rFonts w:ascii="Times New Roman" w:eastAsia="Times New Roman" w:hAnsi="Times New Roman" w:cs="Times New Roman"/>
      <w:sz w:val="21"/>
      <w:szCs w:val="21"/>
      <w:lang w:eastAsia="en-AU"/>
    </w:rPr>
  </w:style>
  <w:style w:type="paragraph" w:styleId="BalloonText">
    <w:name w:val="Balloon Text"/>
    <w:basedOn w:val="Normal"/>
    <w:link w:val="BalloonTextChar"/>
    <w:uiPriority w:val="99"/>
    <w:semiHidden/>
    <w:unhideWhenUsed/>
    <w:rsid w:val="00CC79F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9FE"/>
    <w:rPr>
      <w:rFonts w:ascii="Tahoma" w:hAnsi="Tahoma" w:cs="Tahoma"/>
      <w:sz w:val="16"/>
      <w:szCs w:val="16"/>
    </w:rPr>
  </w:style>
  <w:style w:type="paragraph" w:customStyle="1" w:styleId="Bullet">
    <w:name w:val="Bullet"/>
    <w:basedOn w:val="Normal"/>
    <w:qFormat/>
    <w:rsid w:val="00CC79FE"/>
    <w:pPr>
      <w:numPr>
        <w:numId w:val="5"/>
      </w:numPr>
      <w:spacing w:after="240"/>
      <w:jc w:val="both"/>
    </w:pPr>
    <w:rPr>
      <w:rFonts w:ascii="Garamond" w:eastAsia="Times New Roman" w:hAnsi="Garamond" w:cs="Times New Roman"/>
      <w:szCs w:val="20"/>
      <w:lang w:eastAsia="en-AU"/>
    </w:rPr>
  </w:style>
  <w:style w:type="character" w:styleId="CommentReference">
    <w:name w:val="annotation reference"/>
    <w:basedOn w:val="DefaultParagraphFont"/>
    <w:uiPriority w:val="99"/>
    <w:semiHidden/>
    <w:unhideWhenUsed/>
    <w:rsid w:val="00CC79FE"/>
    <w:rPr>
      <w:sz w:val="16"/>
      <w:szCs w:val="16"/>
    </w:rPr>
  </w:style>
  <w:style w:type="paragraph" w:styleId="CommentText">
    <w:name w:val="annotation text"/>
    <w:basedOn w:val="Normal"/>
    <w:link w:val="CommentTextChar"/>
    <w:uiPriority w:val="99"/>
    <w:semiHidden/>
    <w:unhideWhenUsed/>
    <w:rsid w:val="00CC79FE"/>
    <w:rPr>
      <w:sz w:val="20"/>
      <w:szCs w:val="20"/>
    </w:rPr>
  </w:style>
  <w:style w:type="character" w:customStyle="1" w:styleId="CommentTextChar">
    <w:name w:val="Comment Text Char"/>
    <w:basedOn w:val="DefaultParagraphFont"/>
    <w:link w:val="CommentText"/>
    <w:uiPriority w:val="99"/>
    <w:semiHidden/>
    <w:rsid w:val="00CC79F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C79FE"/>
    <w:rPr>
      <w:b/>
      <w:bCs/>
    </w:rPr>
  </w:style>
  <w:style w:type="character" w:customStyle="1" w:styleId="CommentSubjectChar">
    <w:name w:val="Comment Subject Char"/>
    <w:basedOn w:val="CommentTextChar"/>
    <w:link w:val="CommentSubject"/>
    <w:uiPriority w:val="99"/>
    <w:semiHidden/>
    <w:rsid w:val="00CC79FE"/>
    <w:rPr>
      <w:rFonts w:asciiTheme="minorHAnsi" w:hAnsiTheme="minorHAnsi"/>
      <w:b/>
      <w:bCs/>
      <w:sz w:val="20"/>
      <w:szCs w:val="20"/>
    </w:rPr>
  </w:style>
  <w:style w:type="paragraph" w:customStyle="1" w:styleId="subsection">
    <w:name w:val="subsection"/>
    <w:basedOn w:val="Normal"/>
    <w:rsid w:val="00CC79FE"/>
    <w:pPr>
      <w:spacing w:before="100" w:beforeAutospacing="1" w:after="100" w:afterAutospacing="1"/>
    </w:pPr>
    <w:rPr>
      <w:rFonts w:ascii="Times New Roman" w:eastAsia="Times New Roman" w:hAnsi="Times New Roman" w:cs="Times New Roman"/>
      <w:szCs w:val="24"/>
      <w:lang w:eastAsia="en-AU"/>
    </w:rPr>
  </w:style>
  <w:style w:type="paragraph" w:customStyle="1" w:styleId="paragraph">
    <w:name w:val="paragraph"/>
    <w:basedOn w:val="Normal"/>
    <w:rsid w:val="00CC79FE"/>
    <w:pPr>
      <w:spacing w:before="100" w:beforeAutospacing="1" w:after="100" w:afterAutospacing="1"/>
    </w:pPr>
    <w:rPr>
      <w:rFonts w:ascii="Times New Roman" w:eastAsia="Times New Roman" w:hAnsi="Times New Roman" w:cs="Times New Roman"/>
      <w:szCs w:val="24"/>
      <w:lang w:eastAsia="en-AU"/>
    </w:rPr>
  </w:style>
  <w:style w:type="paragraph" w:customStyle="1" w:styleId="notetext">
    <w:name w:val="notetext"/>
    <w:basedOn w:val="Normal"/>
    <w:rsid w:val="00CC79FE"/>
    <w:pPr>
      <w:spacing w:before="100" w:beforeAutospacing="1" w:after="100" w:afterAutospacing="1"/>
    </w:pPr>
    <w:rPr>
      <w:rFonts w:ascii="Times New Roman" w:eastAsia="Times New Roman" w:hAnsi="Times New Roman" w:cs="Times New Roman"/>
      <w:szCs w:val="24"/>
      <w:lang w:eastAsia="en-AU"/>
    </w:rPr>
  </w:style>
  <w:style w:type="paragraph" w:styleId="Caption">
    <w:name w:val="caption"/>
    <w:aliases w:val="Table and Figure"/>
    <w:basedOn w:val="Normal"/>
    <w:next w:val="Normal"/>
    <w:link w:val="CaptionChar"/>
    <w:qFormat/>
    <w:rsid w:val="00FF4324"/>
    <w:pPr>
      <w:keepNext/>
    </w:pPr>
    <w:rPr>
      <w:rFonts w:ascii="Calibri" w:eastAsia="Times New Roman" w:hAnsi="Calibri" w:cs="Times New Roman"/>
      <w:b/>
      <w:bCs/>
      <w:color w:val="1F497D"/>
      <w:sz w:val="28"/>
      <w:szCs w:val="28"/>
    </w:rPr>
  </w:style>
  <w:style w:type="character" w:customStyle="1" w:styleId="CaptionChar">
    <w:name w:val="Caption Char"/>
    <w:aliases w:val="Table and Figure Char"/>
    <w:basedOn w:val="DefaultParagraphFont"/>
    <w:link w:val="Caption"/>
    <w:rsid w:val="00FF4324"/>
    <w:rPr>
      <w:rFonts w:ascii="Calibri" w:eastAsia="Times New Roman" w:hAnsi="Calibri" w:cs="Times New Roman"/>
      <w:b/>
      <w:bCs/>
      <w:color w:val="1F497D"/>
      <w:sz w:val="28"/>
      <w:szCs w:val="28"/>
    </w:rPr>
  </w:style>
  <w:style w:type="table" w:customStyle="1" w:styleId="TableGrid3">
    <w:name w:val="Table Grid3"/>
    <w:basedOn w:val="TableNormal"/>
    <w:next w:val="TableGrid"/>
    <w:rsid w:val="00CC79F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8F624C"/>
    <w:pPr>
      <w:jc w:val="both"/>
    </w:pPr>
    <w:rPr>
      <w:rFonts w:eastAsia="Times New Roman" w:cs="Times New Roman"/>
      <w:noProof/>
      <w:sz w:val="22"/>
      <w:szCs w:val="24"/>
      <w:lang w:val="en-US"/>
    </w:rPr>
  </w:style>
  <w:style w:type="character" w:customStyle="1" w:styleId="EndNoteBibliographyChar">
    <w:name w:val="EndNote Bibliography Char"/>
    <w:basedOn w:val="DefaultParagraphFont"/>
    <w:link w:val="EndNoteBibliography"/>
    <w:rsid w:val="008F624C"/>
    <w:rPr>
      <w:rFonts w:asciiTheme="minorHAnsi" w:eastAsia="Times New Roman" w:hAnsiTheme="minorHAnsi" w:cs="Times New Roman"/>
      <w:noProof/>
      <w:sz w:val="22"/>
      <w:szCs w:val="24"/>
      <w:lang w:val="en-US"/>
    </w:rPr>
  </w:style>
  <w:style w:type="paragraph" w:customStyle="1" w:styleId="TableNote">
    <w:name w:val="Table Note"/>
    <w:basedOn w:val="Normal"/>
    <w:link w:val="TableNoteChar"/>
    <w:qFormat/>
    <w:rsid w:val="007244AE"/>
    <w:pPr>
      <w:keepNext/>
      <w:spacing w:before="60"/>
      <w:ind w:left="130" w:hanging="130"/>
      <w:jc w:val="both"/>
    </w:pPr>
    <w:rPr>
      <w:rFonts w:eastAsia="Times New Roman" w:cs="Times New Roman"/>
      <w:sz w:val="18"/>
      <w:szCs w:val="18"/>
      <w:lang w:eastAsia="en-AU"/>
    </w:rPr>
  </w:style>
  <w:style w:type="character" w:customStyle="1" w:styleId="TableNoteChar">
    <w:name w:val="Table Note Char"/>
    <w:basedOn w:val="DefaultParagraphFont"/>
    <w:link w:val="TableNote"/>
    <w:rsid w:val="007244AE"/>
    <w:rPr>
      <w:rFonts w:asciiTheme="minorHAnsi" w:eastAsia="Times New Roman" w:hAnsiTheme="minorHAnsi" w:cs="Times New Roman"/>
      <w:sz w:val="18"/>
      <w:szCs w:val="18"/>
      <w:lang w:eastAsia="en-AU"/>
    </w:rPr>
  </w:style>
  <w:style w:type="character" w:styleId="IntenseReference">
    <w:name w:val="Intense Reference"/>
    <w:basedOn w:val="DefaultParagraphFont"/>
    <w:uiPriority w:val="32"/>
    <w:qFormat/>
    <w:rsid w:val="00CC79FE"/>
    <w:rPr>
      <w:b/>
      <w:bCs/>
      <w:i/>
      <w:smallCaps/>
      <w:color w:val="C0504D" w:themeColor="accent2"/>
      <w:spacing w:val="5"/>
      <w:u w:val="none"/>
    </w:rPr>
  </w:style>
  <w:style w:type="paragraph" w:styleId="Revision">
    <w:name w:val="Revision"/>
    <w:hidden/>
    <w:uiPriority w:val="99"/>
    <w:semiHidden/>
    <w:rsid w:val="00152FA8"/>
    <w:pPr>
      <w:spacing w:after="0" w:line="240" w:lineRule="auto"/>
    </w:pPr>
    <w:rPr>
      <w:rFonts w:asciiTheme="minorHAnsi" w:hAnsiTheme="minorHAnsi"/>
      <w:sz w:val="22"/>
    </w:rPr>
  </w:style>
  <w:style w:type="paragraph" w:customStyle="1" w:styleId="LegalCopy">
    <w:name w:val="Legal Copy"/>
    <w:basedOn w:val="Footer"/>
    <w:rsid w:val="000B3DE1"/>
    <w:pPr>
      <w:spacing w:after="180"/>
    </w:pPr>
    <w:rPr>
      <w:rFonts w:ascii="Cambria" w:eastAsia="Cambria" w:hAnsi="Cambria" w:cs="Times New Roman"/>
      <w:sz w:val="17"/>
      <w:szCs w:val="20"/>
    </w:rPr>
  </w:style>
  <w:style w:type="paragraph" w:customStyle="1" w:styleId="LegalSubheading">
    <w:name w:val="Legal Subheading"/>
    <w:basedOn w:val="Footer"/>
    <w:rsid w:val="000B3DE1"/>
    <w:rPr>
      <w:rFonts w:ascii="Cambria" w:eastAsia="Cambria" w:hAnsi="Cambria" w:cs="Times New Roman"/>
      <w:b/>
      <w:sz w:val="17"/>
      <w:szCs w:val="20"/>
    </w:rPr>
  </w:style>
  <w:style w:type="character" w:styleId="FollowedHyperlink">
    <w:name w:val="FollowedHyperlink"/>
    <w:basedOn w:val="DefaultParagraphFont"/>
    <w:uiPriority w:val="99"/>
    <w:semiHidden/>
    <w:unhideWhenUsed/>
    <w:rsid w:val="00B62AE0"/>
    <w:rPr>
      <w:color w:val="800080" w:themeColor="followedHyperlink"/>
      <w:u w:val="single"/>
    </w:rPr>
  </w:style>
  <w:style w:type="paragraph" w:styleId="Quote">
    <w:name w:val="Quote"/>
    <w:basedOn w:val="Normal"/>
    <w:next w:val="Normal"/>
    <w:link w:val="QuoteChar"/>
    <w:uiPriority w:val="29"/>
    <w:qFormat/>
    <w:rsid w:val="00FC6DBE"/>
    <w:rPr>
      <w:i/>
      <w:iCs/>
      <w:color w:val="000000" w:themeColor="text1"/>
    </w:rPr>
  </w:style>
  <w:style w:type="character" w:customStyle="1" w:styleId="QuoteChar">
    <w:name w:val="Quote Char"/>
    <w:basedOn w:val="DefaultParagraphFont"/>
    <w:link w:val="Quote"/>
    <w:uiPriority w:val="29"/>
    <w:rsid w:val="00FC6DBE"/>
    <w:rPr>
      <w:rFonts w:asciiTheme="minorHAnsi" w:hAnsiTheme="minorHAnsi"/>
      <w:i/>
      <w:iCs/>
      <w:color w:val="000000" w:themeColor="text1"/>
    </w:rPr>
  </w:style>
  <w:style w:type="paragraph" w:styleId="TOC1">
    <w:name w:val="toc 1"/>
    <w:basedOn w:val="Normal"/>
    <w:next w:val="Normal"/>
    <w:autoRedefine/>
    <w:uiPriority w:val="39"/>
    <w:unhideWhenUsed/>
    <w:rsid w:val="00777876"/>
  </w:style>
  <w:style w:type="paragraph" w:styleId="TOC2">
    <w:name w:val="toc 2"/>
    <w:basedOn w:val="Normal"/>
    <w:next w:val="Normal"/>
    <w:autoRedefine/>
    <w:uiPriority w:val="39"/>
    <w:unhideWhenUsed/>
    <w:rsid w:val="00777876"/>
    <w:pPr>
      <w:ind w:left="240"/>
    </w:pPr>
  </w:style>
  <w:style w:type="paragraph" w:styleId="TOC3">
    <w:name w:val="toc 3"/>
    <w:basedOn w:val="Normal"/>
    <w:next w:val="Normal"/>
    <w:autoRedefine/>
    <w:uiPriority w:val="39"/>
    <w:unhideWhenUsed/>
    <w:rsid w:val="00DE11C8"/>
    <w:pPr>
      <w:ind w:left="238"/>
    </w:pPr>
  </w:style>
  <w:style w:type="paragraph" w:styleId="TOC4">
    <w:name w:val="toc 4"/>
    <w:basedOn w:val="Normal"/>
    <w:next w:val="Normal"/>
    <w:autoRedefine/>
    <w:uiPriority w:val="39"/>
    <w:unhideWhenUsed/>
    <w:rsid w:val="00777876"/>
    <w:pPr>
      <w:ind w:left="720"/>
    </w:pPr>
  </w:style>
  <w:style w:type="paragraph" w:styleId="TOC5">
    <w:name w:val="toc 5"/>
    <w:basedOn w:val="Normal"/>
    <w:next w:val="Normal"/>
    <w:autoRedefine/>
    <w:uiPriority w:val="39"/>
    <w:unhideWhenUsed/>
    <w:rsid w:val="00777876"/>
    <w:pPr>
      <w:ind w:left="960"/>
    </w:pPr>
  </w:style>
  <w:style w:type="paragraph" w:styleId="TOC6">
    <w:name w:val="toc 6"/>
    <w:basedOn w:val="Normal"/>
    <w:next w:val="Normal"/>
    <w:autoRedefine/>
    <w:uiPriority w:val="39"/>
    <w:unhideWhenUsed/>
    <w:rsid w:val="00777876"/>
    <w:pPr>
      <w:ind w:left="1200"/>
    </w:pPr>
  </w:style>
  <w:style w:type="paragraph" w:styleId="TOC7">
    <w:name w:val="toc 7"/>
    <w:basedOn w:val="Normal"/>
    <w:next w:val="Normal"/>
    <w:autoRedefine/>
    <w:uiPriority w:val="39"/>
    <w:unhideWhenUsed/>
    <w:rsid w:val="00777876"/>
    <w:pPr>
      <w:ind w:left="1440"/>
    </w:pPr>
  </w:style>
  <w:style w:type="paragraph" w:styleId="TOC8">
    <w:name w:val="toc 8"/>
    <w:basedOn w:val="Normal"/>
    <w:next w:val="Normal"/>
    <w:autoRedefine/>
    <w:uiPriority w:val="39"/>
    <w:unhideWhenUsed/>
    <w:rsid w:val="00777876"/>
    <w:pPr>
      <w:ind w:left="1680"/>
    </w:pPr>
  </w:style>
  <w:style w:type="paragraph" w:styleId="TOC9">
    <w:name w:val="toc 9"/>
    <w:basedOn w:val="Normal"/>
    <w:next w:val="Normal"/>
    <w:autoRedefine/>
    <w:uiPriority w:val="39"/>
    <w:unhideWhenUsed/>
    <w:rsid w:val="00777876"/>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80991">
      <w:bodyDiv w:val="1"/>
      <w:marLeft w:val="0"/>
      <w:marRight w:val="0"/>
      <w:marTop w:val="0"/>
      <w:marBottom w:val="0"/>
      <w:divBdr>
        <w:top w:val="none" w:sz="0" w:space="0" w:color="auto"/>
        <w:left w:val="none" w:sz="0" w:space="0" w:color="auto"/>
        <w:bottom w:val="none" w:sz="0" w:space="0" w:color="auto"/>
        <w:right w:val="none" w:sz="0" w:space="0" w:color="auto"/>
      </w:divBdr>
    </w:div>
    <w:div w:id="156490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lsdp" TargetMode="External"/><Relationship Id="rId18" Type="http://schemas.openxmlformats.org/officeDocument/2006/relationships/hyperlink" Target="http://www.wsj.com/articles/alexion-to-buy-synageva-in-8-4-billion-biotech-deal-1430911447" TargetMode="External"/><Relationship Id="rId26" Type="http://schemas.openxmlformats.org/officeDocument/2006/relationships/hyperlink" Target="http://www.austlii.edu.au/au/legis/cth/consol_act/nha1953147/s84.html" TargetMode="External"/><Relationship Id="rId39" Type="http://schemas.openxmlformats.org/officeDocument/2006/relationships/hyperlink" Target="http://blogs.wsj.com/pharmalot/2015/05/29/heres-why-orphan-drugs-will-remain-attractive-ma-targets/" TargetMode="External"/><Relationship Id="rId3" Type="http://schemas.openxmlformats.org/officeDocument/2006/relationships/styles" Target="styles.xml"/><Relationship Id="rId21" Type="http://schemas.openxmlformats.org/officeDocument/2006/relationships/hyperlink" Target="http://en.wikipedia.org/wiki/Astrocytomas" TargetMode="External"/><Relationship Id="rId34" Type="http://schemas.openxmlformats.org/officeDocument/2006/relationships/hyperlink" Target="http://www.ahrq.gov/" TargetMode="External"/><Relationship Id="rId42" Type="http://schemas.openxmlformats.org/officeDocument/2006/relationships/hyperlink" Target="https://www.tga.gov.au/sites/default/files/consultation-orphan-drugs-program.pdf" TargetMode="External"/><Relationship Id="rId7" Type="http://schemas.openxmlformats.org/officeDocument/2006/relationships/footnotes" Target="footnotes.xml"/><Relationship Id="rId12" Type="http://schemas.openxmlformats.org/officeDocument/2006/relationships/hyperlink" Target="http://www.health.gov.au/lsdp" TargetMode="External"/><Relationship Id="rId17" Type="http://schemas.openxmlformats.org/officeDocument/2006/relationships/hyperlink" Target="http://www.health.gov.au/lsdp" TargetMode="External"/><Relationship Id="rId25" Type="http://schemas.openxmlformats.org/officeDocument/2006/relationships/hyperlink" Target="http://www.austlii.edu.au/au/legis/cth/consol_act/nha1953147/s84.html" TargetMode="External"/><Relationship Id="rId33" Type="http://schemas.openxmlformats.org/officeDocument/2006/relationships/hyperlink" Target="http://www.raredisease.org.uk/documents/OHEBriefingOrphanDrugs.pdf" TargetMode="External"/><Relationship Id="rId38" Type="http://schemas.openxmlformats.org/officeDocument/2006/relationships/hyperlink" Target="http://www.pbs.gov.au/reviews/lsdp-files/23-the-mckell-institute.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ealth.gov.au/lsdp" TargetMode="External"/><Relationship Id="rId20" Type="http://schemas.openxmlformats.org/officeDocument/2006/relationships/hyperlink" Target="http://www.pbac.pbs.gov.au/section-f/f3-other-relevant-factors.html" TargetMode="External"/><Relationship Id="rId29" Type="http://schemas.openxmlformats.org/officeDocument/2006/relationships/hyperlink" Target="http://www.austlii.edu.au/au/legis/cth/consol_act/nha1953147/s85a.html" TargetMode="External"/><Relationship Id="rId41" Type="http://schemas.openxmlformats.org/officeDocument/2006/relationships/hyperlink" Target="https://www.nice.org.uk/guidance/hst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gov.au/lsdp" TargetMode="External"/><Relationship Id="rId24" Type="http://schemas.openxmlformats.org/officeDocument/2006/relationships/hyperlink" Target="http://en.wikipedia.org/wiki/Primitive_neuroectodermal_tumor" TargetMode="External"/><Relationship Id="rId32" Type="http://schemas.openxmlformats.org/officeDocument/2006/relationships/hyperlink" Target="https://www.ohe.org/publications/incorporating-multiple-criteria-hta-methods-and-processes" TargetMode="External"/><Relationship Id="rId37" Type="http://schemas.openxmlformats.org/officeDocument/2006/relationships/hyperlink" Target="http://dx.doi.org/10.1016/S0140-6736(15)60297-5" TargetMode="External"/><Relationship Id="rId40" Type="http://schemas.openxmlformats.org/officeDocument/2006/relationships/hyperlink" Target="https://www.nice.org.uk/Media/Default/About/what-we-do/NICE-guidance/NICE-highly-specialised-technologies-guidance/Highly-Specialised-Technologies-Interim-methods-and-process-statements.pdf"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lsdp" TargetMode="External"/><Relationship Id="rId23" Type="http://schemas.openxmlformats.org/officeDocument/2006/relationships/hyperlink" Target="http://en.wikipedia.org/wiki/Glioblastoma_multiforme" TargetMode="External"/><Relationship Id="rId28" Type="http://schemas.openxmlformats.org/officeDocument/2006/relationships/hyperlink" Target="http://www.austlii.edu.au/au/legis/cth/consol_act/nha1953147/s85.html" TargetMode="External"/><Relationship Id="rId36" Type="http://schemas.openxmlformats.org/officeDocument/2006/relationships/hyperlink" Target="http://mdm,sagepub.com" TargetMode="External"/><Relationship Id="rId10" Type="http://schemas.openxmlformats.org/officeDocument/2006/relationships/hyperlink" Target="mailto:copyright@health.gov.au" TargetMode="External"/><Relationship Id="rId19" Type="http://schemas.openxmlformats.org/officeDocument/2006/relationships/hyperlink" Target="http://blogs.wsj.com/pharmalot/2015/05/29/heres-why-orphan-drugs-will-remain-attractive-ma-targets/" TargetMode="External"/><Relationship Id="rId31" Type="http://schemas.openxmlformats.org/officeDocument/2006/relationships/hyperlink" Target="http://www.cadth.ca/products/environmental-scanning/environmental-scans/environmental-scan-42%3e"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health.gov.au/lsdp" TargetMode="External"/><Relationship Id="rId22" Type="http://schemas.openxmlformats.org/officeDocument/2006/relationships/hyperlink" Target="http://en.wikipedia.org/wiki/Ependymal_tumor" TargetMode="External"/><Relationship Id="rId27" Type="http://schemas.openxmlformats.org/officeDocument/2006/relationships/hyperlink" Target="http://www.austlii.edu.au/au/legis/cth/consol_act/nha1953147/s85.html" TargetMode="External"/><Relationship Id="rId30" Type="http://schemas.openxmlformats.org/officeDocument/2006/relationships/hyperlink" Target="http://www.health.alberta.ca/documents/Pharma-Strategy-2008-rare-disease.pdf%3e" TargetMode="External"/><Relationship Id="rId35" Type="http://schemas.openxmlformats.org/officeDocument/2006/relationships/hyperlink" Target="http://www.pbac.pbs.gov.au/section-f/f3-other-relevant-factors.html"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716A3-D6B6-4794-84A8-86611C54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25258</Words>
  <Characters>143975</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2015-10-09T02:54:00Z</cp:lastPrinted>
  <dcterms:created xsi:type="dcterms:W3CDTF">2016-12-05T06:18:00Z</dcterms:created>
  <dcterms:modified xsi:type="dcterms:W3CDTF">2016-12-05T06:18:00Z</dcterms:modified>
</cp:coreProperties>
</file>