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2668" w14:textId="1D91E0E1" w:rsidR="00347654" w:rsidRPr="00347654" w:rsidRDefault="00A1464D" w:rsidP="00347654">
      <w:r>
        <w:rPr>
          <w:rFonts w:eastAsia="Times New Roman" w:cs="Arial"/>
          <w:b/>
          <w:sz w:val="36"/>
          <w:szCs w:val="36"/>
        </w:rPr>
        <w:t>6</w:t>
      </w:r>
      <w:r w:rsidR="002276D7" w:rsidRPr="0003177D">
        <w:rPr>
          <w:rFonts w:eastAsia="Times New Roman" w:cs="Arial"/>
          <w:b/>
          <w:sz w:val="36"/>
          <w:szCs w:val="36"/>
        </w:rPr>
        <w:t>.</w:t>
      </w:r>
      <w:r w:rsidR="00EE5044">
        <w:rPr>
          <w:rFonts w:eastAsia="Times New Roman" w:cs="Arial"/>
          <w:b/>
          <w:sz w:val="36"/>
          <w:szCs w:val="36"/>
        </w:rPr>
        <w:t>09</w:t>
      </w:r>
      <w:r w:rsidR="008D025D" w:rsidRPr="008D025D">
        <w:rPr>
          <w:rFonts w:eastAsia="Times New Roman" w:cs="Arial"/>
          <w:b/>
          <w:sz w:val="36"/>
          <w:szCs w:val="36"/>
        </w:rPr>
        <w:t xml:space="preserve"> </w:t>
      </w:r>
      <w:r w:rsidR="001B30D7">
        <w:rPr>
          <w:rFonts w:eastAsia="Times New Roman" w:cs="Arial"/>
          <w:b/>
          <w:bCs/>
          <w:sz w:val="36"/>
          <w:szCs w:val="36"/>
        </w:rPr>
        <w:t>Lamotrigine for bipolar disorder</w:t>
      </w:r>
      <w:bookmarkStart w:id="0" w:name="_Hlk139886047"/>
    </w:p>
    <w:p w14:paraId="7A426A72" w14:textId="6A9C4991" w:rsidR="008D025D" w:rsidRPr="00F31393" w:rsidRDefault="008D025D" w:rsidP="00AA5AE1">
      <w:pPr>
        <w:pStyle w:val="2-SectionHeading"/>
      </w:pPr>
      <w:r w:rsidRPr="008D025D">
        <w:t>Purpose of item</w:t>
      </w:r>
    </w:p>
    <w:bookmarkEnd w:id="0"/>
    <w:p w14:paraId="60FA9451" w14:textId="4065C230" w:rsidR="008D025D" w:rsidRPr="008D025D" w:rsidRDefault="008D025D" w:rsidP="007C18E3">
      <w:pPr>
        <w:spacing w:after="120" w:line="240" w:lineRule="auto"/>
        <w:ind w:left="720"/>
        <w:jc w:val="both"/>
        <w:rPr>
          <w:sz w:val="24"/>
          <w:szCs w:val="24"/>
        </w:rPr>
      </w:pPr>
      <w:r w:rsidRPr="008D025D">
        <w:rPr>
          <w:sz w:val="24"/>
          <w:szCs w:val="24"/>
        </w:rPr>
        <w:t xml:space="preserve">That the </w:t>
      </w:r>
      <w:r w:rsidR="00A1464D">
        <w:rPr>
          <w:sz w:val="24"/>
          <w:szCs w:val="24"/>
        </w:rPr>
        <w:t>Pharmaceutical Benefits Advisory Committee</w:t>
      </w:r>
      <w:r w:rsidRPr="008D025D">
        <w:rPr>
          <w:sz w:val="24"/>
          <w:szCs w:val="24"/>
        </w:rPr>
        <w:t xml:space="preserve"> (</w:t>
      </w:r>
      <w:r w:rsidR="00A1464D">
        <w:rPr>
          <w:sz w:val="24"/>
          <w:szCs w:val="24"/>
        </w:rPr>
        <w:t>PBAC</w:t>
      </w:r>
      <w:r w:rsidRPr="008D025D">
        <w:rPr>
          <w:sz w:val="24"/>
          <w:szCs w:val="24"/>
        </w:rPr>
        <w:t xml:space="preserve">): </w:t>
      </w:r>
    </w:p>
    <w:p w14:paraId="17200054" w14:textId="6E87C998" w:rsidR="00732A14" w:rsidRPr="001A14A1" w:rsidRDefault="00E77C08" w:rsidP="008F5EC9">
      <w:pPr>
        <w:numPr>
          <w:ilvl w:val="1"/>
          <w:numId w:val="1"/>
        </w:numPr>
        <w:spacing w:after="120" w:line="240" w:lineRule="auto"/>
        <w:jc w:val="both"/>
        <w:rPr>
          <w:rFonts w:ascii="Calibri" w:eastAsia="Times New Roman" w:hAnsi="Calibri" w:cs="Calibri"/>
          <w:bCs/>
          <w:snapToGrid w:val="0"/>
          <w:sz w:val="24"/>
          <w:szCs w:val="24"/>
        </w:rPr>
      </w:pPr>
      <w:bookmarkStart w:id="1" w:name="_Hlk139384447"/>
      <w:bookmarkStart w:id="2" w:name="_Hlk99363399"/>
      <w:r>
        <w:rPr>
          <w:rFonts w:ascii="Calibri" w:eastAsia="Times New Roman" w:hAnsi="Calibri" w:cs="Calibri"/>
          <w:b/>
          <w:snapToGrid w:val="0"/>
          <w:sz w:val="24"/>
          <w:szCs w:val="24"/>
        </w:rPr>
        <w:t xml:space="preserve">Provide advice </w:t>
      </w:r>
      <w:r w:rsidR="00FB73BB">
        <w:rPr>
          <w:rFonts w:ascii="Calibri" w:eastAsia="Times New Roman" w:hAnsi="Calibri" w:cs="Calibri"/>
          <w:bCs/>
          <w:snapToGrid w:val="0"/>
          <w:sz w:val="24"/>
          <w:szCs w:val="24"/>
        </w:rPr>
        <w:t xml:space="preserve">on the cost estimates </w:t>
      </w:r>
      <w:r w:rsidR="008049BF">
        <w:rPr>
          <w:rFonts w:ascii="Calibri" w:eastAsia="Times New Roman" w:hAnsi="Calibri" w:cs="Calibri"/>
          <w:bCs/>
          <w:snapToGrid w:val="0"/>
          <w:sz w:val="24"/>
          <w:szCs w:val="24"/>
        </w:rPr>
        <w:t xml:space="preserve">to the Pharmaceutical Benefits Scheme (PBS) </w:t>
      </w:r>
      <w:r w:rsidR="003C40C1">
        <w:rPr>
          <w:rFonts w:ascii="Calibri" w:eastAsia="Times New Roman" w:hAnsi="Calibri" w:cs="Calibri"/>
          <w:bCs/>
          <w:snapToGrid w:val="0"/>
          <w:sz w:val="24"/>
          <w:szCs w:val="24"/>
        </w:rPr>
        <w:t>of</w:t>
      </w:r>
      <w:r w:rsidR="00AF2B9B">
        <w:rPr>
          <w:rFonts w:ascii="Calibri" w:eastAsia="Times New Roman" w:hAnsi="Calibri" w:cs="Calibri"/>
          <w:bCs/>
          <w:snapToGrid w:val="0"/>
          <w:sz w:val="24"/>
          <w:szCs w:val="24"/>
        </w:rPr>
        <w:t xml:space="preserve"> </w:t>
      </w:r>
      <w:r w:rsidR="00500250">
        <w:rPr>
          <w:rFonts w:ascii="Calibri" w:eastAsia="Times New Roman" w:hAnsi="Calibri" w:cs="Calibri"/>
          <w:bCs/>
          <w:snapToGrid w:val="0"/>
          <w:sz w:val="24"/>
          <w:szCs w:val="24"/>
        </w:rPr>
        <w:t xml:space="preserve">a </w:t>
      </w:r>
      <w:r w:rsidR="00C5292B">
        <w:rPr>
          <w:rFonts w:ascii="Calibri" w:eastAsia="Times New Roman" w:hAnsi="Calibri" w:cs="Calibri"/>
          <w:bCs/>
          <w:snapToGrid w:val="0"/>
          <w:sz w:val="24"/>
          <w:szCs w:val="24"/>
        </w:rPr>
        <w:t>new</w:t>
      </w:r>
      <w:r w:rsidR="00500250">
        <w:rPr>
          <w:rFonts w:ascii="Calibri" w:eastAsia="Times New Roman" w:hAnsi="Calibri" w:cs="Calibri"/>
          <w:bCs/>
          <w:snapToGrid w:val="0"/>
          <w:sz w:val="24"/>
          <w:szCs w:val="24"/>
        </w:rPr>
        <w:t xml:space="preserve"> </w:t>
      </w:r>
      <w:r w:rsidR="00500250" w:rsidRPr="003D7034">
        <w:rPr>
          <w:rFonts w:ascii="Calibri" w:eastAsia="Times New Roman" w:hAnsi="Calibri" w:cs="Calibri"/>
          <w:bCs/>
          <w:snapToGrid w:val="0"/>
          <w:sz w:val="24"/>
          <w:szCs w:val="24"/>
        </w:rPr>
        <w:t xml:space="preserve">Restricted Benefit listing for </w:t>
      </w:r>
      <w:r w:rsidR="001A14A1">
        <w:rPr>
          <w:rFonts w:ascii="Calibri" w:eastAsia="Times New Roman" w:hAnsi="Calibri" w:cs="Calibri"/>
          <w:bCs/>
          <w:snapToGrid w:val="0"/>
          <w:sz w:val="24"/>
          <w:szCs w:val="24"/>
        </w:rPr>
        <w:t>lamotrigine (</w:t>
      </w:r>
      <w:r w:rsidR="00500250" w:rsidRPr="003D7034">
        <w:rPr>
          <w:rFonts w:ascii="Calibri" w:eastAsia="Times New Roman" w:hAnsi="Calibri" w:cs="Calibri"/>
          <w:bCs/>
          <w:snapToGrid w:val="0"/>
          <w:sz w:val="24"/>
          <w:szCs w:val="24"/>
        </w:rPr>
        <w:t>LTG</w:t>
      </w:r>
      <w:r w:rsidR="001A14A1">
        <w:rPr>
          <w:rFonts w:ascii="Calibri" w:eastAsia="Times New Roman" w:hAnsi="Calibri" w:cs="Calibri"/>
          <w:bCs/>
          <w:snapToGrid w:val="0"/>
          <w:sz w:val="24"/>
          <w:szCs w:val="24"/>
        </w:rPr>
        <w:t>)</w:t>
      </w:r>
      <w:r w:rsidR="00500250" w:rsidRPr="003D7034">
        <w:rPr>
          <w:rFonts w:ascii="Calibri" w:eastAsia="Times New Roman" w:hAnsi="Calibri" w:cs="Calibri"/>
          <w:bCs/>
          <w:snapToGrid w:val="0"/>
          <w:sz w:val="24"/>
          <w:szCs w:val="24"/>
        </w:rPr>
        <w:t xml:space="preserve"> for bipolar disord</w:t>
      </w:r>
      <w:r w:rsidR="00C000A8">
        <w:rPr>
          <w:rFonts w:ascii="Calibri" w:eastAsia="Times New Roman" w:hAnsi="Calibri" w:cs="Calibri"/>
          <w:bCs/>
          <w:snapToGrid w:val="0"/>
          <w:sz w:val="24"/>
          <w:szCs w:val="24"/>
        </w:rPr>
        <w:t xml:space="preserve">er </w:t>
      </w:r>
      <w:r w:rsidR="00370943" w:rsidRPr="001A14A1">
        <w:rPr>
          <w:rFonts w:ascii="Calibri" w:eastAsia="Times New Roman" w:hAnsi="Calibri" w:cs="Calibri"/>
          <w:bCs/>
          <w:snapToGrid w:val="0"/>
          <w:sz w:val="24"/>
          <w:szCs w:val="24"/>
        </w:rPr>
        <w:t>(</w:t>
      </w:r>
      <w:r w:rsidR="00A91D2F" w:rsidRPr="001A14A1">
        <w:rPr>
          <w:rFonts w:ascii="Calibri" w:eastAsia="Times New Roman" w:hAnsi="Calibri" w:cs="Calibri"/>
          <w:bCs/>
          <w:snapToGrid w:val="0"/>
          <w:sz w:val="24"/>
          <w:szCs w:val="24"/>
        </w:rPr>
        <w:t>the “proposed listing”)</w:t>
      </w:r>
      <w:bookmarkEnd w:id="1"/>
      <w:r w:rsidR="00462673">
        <w:rPr>
          <w:rFonts w:ascii="Calibri" w:eastAsia="Times New Roman" w:hAnsi="Calibri" w:cs="Calibri"/>
          <w:bCs/>
          <w:snapToGrid w:val="0"/>
          <w:sz w:val="24"/>
          <w:szCs w:val="24"/>
        </w:rPr>
        <w:t>.</w:t>
      </w:r>
    </w:p>
    <w:p w14:paraId="210D3E0E" w14:textId="52292BD8" w:rsidR="001C53BF" w:rsidRDefault="00E77C08" w:rsidP="008F5EC9">
      <w:pPr>
        <w:numPr>
          <w:ilvl w:val="1"/>
          <w:numId w:val="1"/>
        </w:numPr>
        <w:spacing w:after="120" w:line="240" w:lineRule="auto"/>
        <w:jc w:val="both"/>
        <w:rPr>
          <w:rFonts w:ascii="Calibri" w:eastAsia="Times New Roman" w:hAnsi="Calibri" w:cs="Calibri"/>
          <w:bCs/>
          <w:snapToGrid w:val="0"/>
          <w:sz w:val="24"/>
          <w:szCs w:val="24"/>
        </w:rPr>
      </w:pPr>
      <w:r>
        <w:rPr>
          <w:rFonts w:ascii="Calibri" w:eastAsia="Times New Roman" w:hAnsi="Calibri" w:cs="Calibri"/>
          <w:b/>
          <w:snapToGrid w:val="0"/>
          <w:sz w:val="24"/>
          <w:szCs w:val="24"/>
        </w:rPr>
        <w:t>Provide advice</w:t>
      </w:r>
      <w:r w:rsidR="001C53BF">
        <w:rPr>
          <w:rFonts w:ascii="Calibri" w:eastAsia="Times New Roman" w:hAnsi="Calibri" w:cs="Calibri"/>
          <w:bCs/>
          <w:snapToGrid w:val="0"/>
          <w:sz w:val="24"/>
          <w:szCs w:val="24"/>
        </w:rPr>
        <w:t xml:space="preserve"> </w:t>
      </w:r>
      <w:r w:rsidR="00402C8D">
        <w:rPr>
          <w:rFonts w:ascii="Calibri" w:eastAsia="Times New Roman" w:hAnsi="Calibri" w:cs="Calibri"/>
          <w:bCs/>
          <w:snapToGrid w:val="0"/>
          <w:sz w:val="24"/>
          <w:szCs w:val="24"/>
        </w:rPr>
        <w:t xml:space="preserve">on </w:t>
      </w:r>
      <w:r w:rsidR="001C53BF">
        <w:rPr>
          <w:rFonts w:ascii="Calibri" w:eastAsia="Times New Roman" w:hAnsi="Calibri" w:cs="Calibri"/>
          <w:bCs/>
          <w:snapToGrid w:val="0"/>
          <w:sz w:val="24"/>
          <w:szCs w:val="24"/>
        </w:rPr>
        <w:t xml:space="preserve">the </w:t>
      </w:r>
      <w:r w:rsidR="004C54CD">
        <w:rPr>
          <w:rFonts w:ascii="Calibri" w:eastAsia="Times New Roman" w:hAnsi="Calibri" w:cs="Calibri"/>
          <w:bCs/>
          <w:snapToGrid w:val="0"/>
          <w:sz w:val="24"/>
          <w:szCs w:val="24"/>
        </w:rPr>
        <w:t>PBS restriction for the proposed listing</w:t>
      </w:r>
      <w:r w:rsidR="000B6125">
        <w:rPr>
          <w:rFonts w:ascii="Calibri" w:eastAsia="Times New Roman" w:hAnsi="Calibri" w:cs="Calibri"/>
          <w:bCs/>
          <w:snapToGrid w:val="0"/>
          <w:sz w:val="24"/>
          <w:szCs w:val="24"/>
        </w:rPr>
        <w:t>.</w:t>
      </w:r>
    </w:p>
    <w:p w14:paraId="274D05B3" w14:textId="14177B26" w:rsidR="00186E43" w:rsidRPr="00E94E2A" w:rsidRDefault="00E94E2A" w:rsidP="008F5EC9">
      <w:pPr>
        <w:numPr>
          <w:ilvl w:val="1"/>
          <w:numId w:val="1"/>
        </w:numPr>
        <w:spacing w:after="120" w:line="240" w:lineRule="auto"/>
        <w:jc w:val="both"/>
        <w:rPr>
          <w:rFonts w:ascii="Calibri" w:eastAsia="Times New Roman" w:hAnsi="Calibri" w:cs="Calibri"/>
          <w:b/>
          <w:snapToGrid w:val="0"/>
          <w:sz w:val="24"/>
          <w:szCs w:val="24"/>
        </w:rPr>
      </w:pPr>
      <w:r w:rsidRPr="00E94E2A">
        <w:rPr>
          <w:rFonts w:ascii="Calibri" w:eastAsia="Times New Roman" w:hAnsi="Calibri" w:cs="Calibri"/>
          <w:b/>
          <w:snapToGrid w:val="0"/>
          <w:sz w:val="24"/>
          <w:szCs w:val="24"/>
        </w:rPr>
        <w:t xml:space="preserve">Note </w:t>
      </w:r>
      <w:r w:rsidRPr="00E94E2A">
        <w:rPr>
          <w:rFonts w:ascii="Calibri" w:eastAsia="Times New Roman" w:hAnsi="Calibri" w:cs="Calibri"/>
          <w:bCs/>
          <w:snapToGrid w:val="0"/>
          <w:sz w:val="24"/>
          <w:szCs w:val="24"/>
        </w:rPr>
        <w:t>the pre</w:t>
      </w:r>
      <w:r>
        <w:rPr>
          <w:rFonts w:ascii="Calibri" w:eastAsia="Times New Roman" w:hAnsi="Calibri" w:cs="Calibri"/>
          <w:bCs/>
          <w:snapToGrid w:val="0"/>
          <w:sz w:val="24"/>
          <w:szCs w:val="24"/>
        </w:rPr>
        <w:t>-PBAC responses.</w:t>
      </w:r>
    </w:p>
    <w:p w14:paraId="6D23B1C3" w14:textId="77777777" w:rsidR="008D025D" w:rsidRPr="00F31393" w:rsidRDefault="008D025D" w:rsidP="008F5EC9">
      <w:pPr>
        <w:pStyle w:val="2-SectionHeading"/>
      </w:pPr>
      <w:bookmarkStart w:id="3" w:name="_Hlk99358051"/>
      <w:bookmarkStart w:id="4" w:name="_Hlk139384707"/>
      <w:bookmarkEnd w:id="2"/>
      <w:r w:rsidRPr="008D025D">
        <w:t>Background</w:t>
      </w:r>
      <w:bookmarkEnd w:id="3"/>
    </w:p>
    <w:bookmarkEnd w:id="4"/>
    <w:p w14:paraId="04A82D94" w14:textId="4A18CCC9" w:rsidR="00A9204E" w:rsidRPr="00AA5AE1" w:rsidRDefault="00A9204E" w:rsidP="007C18E3">
      <w:pPr>
        <w:pStyle w:val="3-BodyText"/>
        <w:spacing w:after="120" w:line="240" w:lineRule="auto"/>
        <w:jc w:val="both"/>
        <w:rPr>
          <w:rFonts w:ascii="Calibri" w:hAnsi="Calibri" w:cs="Calibri"/>
          <w:snapToGrid w:val="0"/>
          <w:sz w:val="24"/>
          <w:szCs w:val="24"/>
        </w:rPr>
      </w:pPr>
      <w:r w:rsidRPr="00AA5AE1">
        <w:rPr>
          <w:rFonts w:ascii="Calibri" w:hAnsi="Calibri" w:cs="Calibri"/>
          <w:snapToGrid w:val="0"/>
          <w:sz w:val="24"/>
          <w:szCs w:val="24"/>
        </w:rPr>
        <w:t>At its September 2020 meeting, the PBAC recommended amending the PBS restrictions to allow for the first</w:t>
      </w:r>
      <w:r w:rsidRPr="00AA5AE1">
        <w:rPr>
          <w:rFonts w:ascii="Cambria Math" w:hAnsi="Cambria Math" w:cs="Cambria Math"/>
          <w:snapToGrid w:val="0"/>
          <w:sz w:val="24"/>
          <w:szCs w:val="24"/>
        </w:rPr>
        <w:t>‑</w:t>
      </w:r>
      <w:r w:rsidRPr="00AA5AE1">
        <w:rPr>
          <w:rFonts w:ascii="Calibri" w:hAnsi="Calibri" w:cs="Calibri"/>
          <w:snapToGrid w:val="0"/>
          <w:sz w:val="24"/>
          <w:szCs w:val="24"/>
        </w:rPr>
        <w:t>line use of</w:t>
      </w:r>
      <w:r w:rsidR="00D92D5C" w:rsidRPr="00AA5AE1">
        <w:rPr>
          <w:rFonts w:ascii="Calibri" w:hAnsi="Calibri" w:cs="Calibri"/>
          <w:snapToGrid w:val="0"/>
          <w:sz w:val="24"/>
          <w:szCs w:val="24"/>
        </w:rPr>
        <w:t xml:space="preserve"> levetiracetam</w:t>
      </w:r>
      <w:r w:rsidR="00951228" w:rsidRPr="00AA5AE1">
        <w:rPr>
          <w:rFonts w:ascii="Calibri" w:hAnsi="Calibri" w:cs="Calibri"/>
          <w:snapToGrid w:val="0"/>
          <w:sz w:val="24"/>
          <w:szCs w:val="24"/>
        </w:rPr>
        <w:t xml:space="preserve"> </w:t>
      </w:r>
      <w:r w:rsidR="00D92D5C" w:rsidRPr="00AA5AE1">
        <w:rPr>
          <w:rFonts w:ascii="Calibri" w:hAnsi="Calibri" w:cs="Calibri"/>
          <w:snapToGrid w:val="0"/>
          <w:sz w:val="24"/>
          <w:szCs w:val="24"/>
        </w:rPr>
        <w:t>(</w:t>
      </w:r>
      <w:r w:rsidRPr="00AA5AE1">
        <w:rPr>
          <w:rFonts w:ascii="Calibri" w:hAnsi="Calibri" w:cs="Calibri"/>
          <w:snapToGrid w:val="0"/>
          <w:sz w:val="24"/>
          <w:szCs w:val="24"/>
        </w:rPr>
        <w:t>LEV</w:t>
      </w:r>
      <w:r w:rsidR="00D92D5C" w:rsidRPr="00AA5AE1">
        <w:rPr>
          <w:rFonts w:ascii="Calibri" w:hAnsi="Calibri" w:cs="Calibri"/>
          <w:snapToGrid w:val="0"/>
          <w:sz w:val="24"/>
          <w:szCs w:val="24"/>
        </w:rPr>
        <w:t>)</w:t>
      </w:r>
      <w:r w:rsidRPr="00AA5AE1">
        <w:rPr>
          <w:rFonts w:ascii="Calibri" w:hAnsi="Calibri" w:cs="Calibri"/>
          <w:snapToGrid w:val="0"/>
          <w:sz w:val="24"/>
          <w:szCs w:val="24"/>
        </w:rPr>
        <w:t xml:space="preserve"> and LTG in women of childbearing potential. </w:t>
      </w:r>
      <w:r w:rsidR="006457D6" w:rsidRPr="00AA5AE1">
        <w:rPr>
          <w:rFonts w:ascii="Calibri" w:hAnsi="Calibri" w:cs="Calibri"/>
          <w:snapToGrid w:val="0"/>
          <w:sz w:val="24"/>
          <w:szCs w:val="24"/>
        </w:rPr>
        <w:t>These restriction changes took effect on 1 January 2021.</w:t>
      </w:r>
      <w:r w:rsidR="001C5A83" w:rsidRPr="00AA5AE1">
        <w:rPr>
          <w:rFonts w:ascii="Calibri" w:hAnsi="Calibri" w:cs="Calibri"/>
          <w:snapToGrid w:val="0"/>
          <w:sz w:val="24"/>
          <w:szCs w:val="24"/>
        </w:rPr>
        <w:t xml:space="preserve"> </w:t>
      </w:r>
      <w:r w:rsidRPr="00AA5AE1">
        <w:rPr>
          <w:rFonts w:ascii="Calibri" w:hAnsi="Calibri" w:cs="Calibri"/>
          <w:snapToGrid w:val="0"/>
          <w:sz w:val="24"/>
          <w:szCs w:val="24"/>
        </w:rPr>
        <w:t>The</w:t>
      </w:r>
      <w:r w:rsidR="00067ADA" w:rsidRPr="00AA5AE1">
        <w:rPr>
          <w:rFonts w:ascii="Calibri" w:hAnsi="Calibri" w:cs="Calibri"/>
          <w:snapToGrid w:val="0"/>
          <w:sz w:val="24"/>
          <w:szCs w:val="24"/>
        </w:rPr>
        <w:t xml:space="preserve">se restriction </w:t>
      </w:r>
      <w:r w:rsidRPr="00AA5AE1">
        <w:rPr>
          <w:rFonts w:ascii="Calibri" w:hAnsi="Calibri" w:cs="Calibri"/>
          <w:snapToGrid w:val="0"/>
          <w:sz w:val="24"/>
          <w:szCs w:val="24"/>
        </w:rPr>
        <w:t xml:space="preserve">changes followed feedback from the Epilepsy Society of Australia (ESA) on best practice clinical management of epilepsy for women of childbearing potential. The PBAC noted that the previous PBS restrictions for LEV and LTG restricted access to those who had failed to have their epilepsy controlled with other </w:t>
      </w:r>
      <w:r w:rsidR="00A645B4" w:rsidRPr="00AA5AE1">
        <w:rPr>
          <w:rFonts w:ascii="Calibri" w:hAnsi="Calibri" w:cs="Calibri"/>
          <w:snapToGrid w:val="0"/>
          <w:sz w:val="24"/>
          <w:szCs w:val="24"/>
        </w:rPr>
        <w:t>anti-epileptic drugs</w:t>
      </w:r>
      <w:r w:rsidRPr="00AA5AE1">
        <w:rPr>
          <w:rFonts w:ascii="Calibri" w:hAnsi="Calibri" w:cs="Calibri"/>
          <w:snapToGrid w:val="0"/>
          <w:sz w:val="24"/>
          <w:szCs w:val="24"/>
        </w:rPr>
        <w:t xml:space="preserve"> </w:t>
      </w:r>
      <w:r w:rsidR="00214425" w:rsidRPr="00AA5AE1">
        <w:rPr>
          <w:rFonts w:ascii="Calibri" w:hAnsi="Calibri" w:cs="Calibri"/>
          <w:snapToGrid w:val="0"/>
          <w:sz w:val="24"/>
          <w:szCs w:val="24"/>
        </w:rPr>
        <w:t xml:space="preserve">(AEDs) </w:t>
      </w:r>
      <w:r w:rsidRPr="00AA5AE1">
        <w:rPr>
          <w:rFonts w:ascii="Calibri" w:hAnsi="Calibri" w:cs="Calibri"/>
          <w:snapToGrid w:val="0"/>
          <w:sz w:val="24"/>
          <w:szCs w:val="24"/>
        </w:rPr>
        <w:t xml:space="preserve">and may have resulted in prescribers continuing to use valproate among women of childbearing potential when safer options were available. </w:t>
      </w:r>
      <w:r w:rsidR="00CD03DC" w:rsidRPr="00AA5AE1">
        <w:rPr>
          <w:rFonts w:ascii="Calibri" w:hAnsi="Calibri" w:cs="Calibri"/>
          <w:snapToGrid w:val="0"/>
          <w:sz w:val="24"/>
          <w:szCs w:val="24"/>
        </w:rPr>
        <w:t>T</w:t>
      </w:r>
      <w:r w:rsidRPr="00AA5AE1">
        <w:rPr>
          <w:rFonts w:ascii="Calibri" w:hAnsi="Calibri" w:cs="Calibri"/>
          <w:snapToGrid w:val="0"/>
          <w:sz w:val="24"/>
          <w:szCs w:val="24"/>
        </w:rPr>
        <w:t>he PBAC</w:t>
      </w:r>
      <w:r w:rsidR="00CD03DC" w:rsidRPr="00AA5AE1">
        <w:rPr>
          <w:rFonts w:ascii="Calibri" w:hAnsi="Calibri" w:cs="Calibri"/>
          <w:snapToGrid w:val="0"/>
          <w:sz w:val="24"/>
          <w:szCs w:val="24"/>
        </w:rPr>
        <w:t xml:space="preserve"> also</w:t>
      </w:r>
      <w:r w:rsidRPr="00AA5AE1">
        <w:rPr>
          <w:rFonts w:ascii="Calibri" w:hAnsi="Calibri" w:cs="Calibri"/>
          <w:snapToGrid w:val="0"/>
          <w:sz w:val="24"/>
          <w:szCs w:val="24"/>
        </w:rPr>
        <w:t xml:space="preserve"> requested that the Department provide to the </w:t>
      </w:r>
      <w:r w:rsidR="00671E20" w:rsidRPr="00AA5AE1">
        <w:rPr>
          <w:rFonts w:ascii="Calibri" w:hAnsi="Calibri" w:cs="Calibri"/>
          <w:snapToGrid w:val="0"/>
          <w:sz w:val="24"/>
          <w:szCs w:val="24"/>
        </w:rPr>
        <w:t>Drug Utilisation Sub-Committee (</w:t>
      </w:r>
      <w:r w:rsidRPr="00AA5AE1">
        <w:rPr>
          <w:rFonts w:ascii="Calibri" w:hAnsi="Calibri" w:cs="Calibri"/>
          <w:snapToGrid w:val="0"/>
          <w:sz w:val="24"/>
          <w:szCs w:val="24"/>
        </w:rPr>
        <w:t>DUSC</w:t>
      </w:r>
      <w:r w:rsidR="00671E20" w:rsidRPr="00AA5AE1">
        <w:rPr>
          <w:rFonts w:ascii="Calibri" w:hAnsi="Calibri" w:cs="Calibri"/>
          <w:snapToGrid w:val="0"/>
          <w:sz w:val="24"/>
          <w:szCs w:val="24"/>
        </w:rPr>
        <w:t>)</w:t>
      </w:r>
      <w:r w:rsidRPr="00AA5AE1">
        <w:rPr>
          <w:rFonts w:ascii="Calibri" w:hAnsi="Calibri" w:cs="Calibri"/>
          <w:snapToGrid w:val="0"/>
          <w:sz w:val="24"/>
          <w:szCs w:val="24"/>
        </w:rPr>
        <w:t>:</w:t>
      </w:r>
    </w:p>
    <w:p w14:paraId="2774F782" w14:textId="3B3A6526" w:rsidR="00DB7835" w:rsidRPr="00DB7835" w:rsidRDefault="00DB7835" w:rsidP="008F5EC9">
      <w:pPr>
        <w:pStyle w:val="ListParagraph"/>
        <w:numPr>
          <w:ilvl w:val="0"/>
          <w:numId w:val="2"/>
        </w:numPr>
        <w:spacing w:line="240" w:lineRule="auto"/>
        <w:jc w:val="both"/>
        <w:rPr>
          <w:rFonts w:ascii="Calibri" w:eastAsia="Times New Roman" w:hAnsi="Calibri" w:cs="Calibri"/>
          <w:snapToGrid w:val="0"/>
          <w:sz w:val="24"/>
          <w:szCs w:val="24"/>
        </w:rPr>
      </w:pPr>
      <w:bookmarkStart w:id="5" w:name="_Hlk191631615"/>
      <w:r w:rsidRPr="00DB7835">
        <w:rPr>
          <w:rFonts w:ascii="Calibri" w:eastAsia="Times New Roman" w:hAnsi="Calibri" w:cs="Calibri"/>
          <w:snapToGrid w:val="0"/>
          <w:sz w:val="24"/>
          <w:szCs w:val="24"/>
        </w:rPr>
        <w:t>utilisation data and any further evidence on the broader use of other second-line AEDs, and</w:t>
      </w:r>
      <w:r w:rsidR="0011613D">
        <w:rPr>
          <w:rFonts w:ascii="Calibri" w:eastAsia="Times New Roman" w:hAnsi="Calibri" w:cs="Calibri"/>
          <w:snapToGrid w:val="0"/>
          <w:sz w:val="24"/>
          <w:szCs w:val="24"/>
        </w:rPr>
        <w:t>;</w:t>
      </w:r>
    </w:p>
    <w:bookmarkEnd w:id="5"/>
    <w:p w14:paraId="5AD788FD" w14:textId="309CA900" w:rsidR="00DB7835" w:rsidRPr="00BB6030" w:rsidRDefault="00DB7835" w:rsidP="008F5EC9">
      <w:pPr>
        <w:pStyle w:val="ListParagraph"/>
        <w:numPr>
          <w:ilvl w:val="0"/>
          <w:numId w:val="2"/>
        </w:numPr>
        <w:spacing w:line="240" w:lineRule="auto"/>
        <w:jc w:val="both"/>
        <w:rPr>
          <w:rFonts w:ascii="Calibri" w:eastAsia="Times New Roman" w:hAnsi="Calibri" w:cs="Calibri"/>
          <w:snapToGrid w:val="0"/>
          <w:sz w:val="24"/>
          <w:szCs w:val="24"/>
        </w:rPr>
      </w:pPr>
      <w:r w:rsidRPr="00A9204E">
        <w:rPr>
          <w:rFonts w:ascii="Calibri" w:eastAsia="Times New Roman" w:hAnsi="Calibri" w:cs="Calibri"/>
          <w:snapToGrid w:val="0"/>
          <w:sz w:val="24"/>
          <w:szCs w:val="24"/>
        </w:rPr>
        <w:t>estimates of cost to the PBS of allowing first-line use of LEV and LTG in the remaining population with epilepsy (</w:t>
      </w:r>
      <w:r w:rsidR="00BD0FEB" w:rsidRPr="00A9204E">
        <w:rPr>
          <w:rFonts w:ascii="Calibri" w:eastAsia="Times New Roman" w:hAnsi="Calibri" w:cs="Calibri"/>
          <w:snapToGrid w:val="0"/>
          <w:sz w:val="24"/>
          <w:szCs w:val="24"/>
        </w:rPr>
        <w:t>i.e.,</w:t>
      </w:r>
      <w:r w:rsidRPr="00A9204E">
        <w:rPr>
          <w:rFonts w:ascii="Calibri" w:eastAsia="Times New Roman" w:hAnsi="Calibri" w:cs="Calibri"/>
          <w:snapToGrid w:val="0"/>
          <w:sz w:val="24"/>
          <w:szCs w:val="24"/>
        </w:rPr>
        <w:t xml:space="preserve"> males and females of all ages).</w:t>
      </w:r>
    </w:p>
    <w:p w14:paraId="77C0DD84" w14:textId="11D21D1B" w:rsidR="00A9204E" w:rsidRPr="00A9204E" w:rsidRDefault="00A9204E" w:rsidP="007C18E3">
      <w:pPr>
        <w:pStyle w:val="3-BodyText"/>
        <w:spacing w:after="120" w:line="240" w:lineRule="auto"/>
        <w:jc w:val="both"/>
        <w:rPr>
          <w:rFonts w:ascii="Calibri" w:eastAsia="Times New Roman" w:hAnsi="Calibri" w:cs="Calibri"/>
          <w:snapToGrid w:val="0"/>
          <w:sz w:val="24"/>
          <w:szCs w:val="24"/>
        </w:rPr>
      </w:pPr>
      <w:r w:rsidRPr="00A9204E">
        <w:rPr>
          <w:rFonts w:ascii="Calibri" w:eastAsia="Times New Roman" w:hAnsi="Calibri" w:cs="Calibri"/>
          <w:snapToGrid w:val="0"/>
          <w:sz w:val="24"/>
          <w:szCs w:val="24"/>
        </w:rPr>
        <w:t xml:space="preserve">In September 2023, the DUSC considered the </w:t>
      </w:r>
      <w:r w:rsidR="00197D7B" w:rsidRPr="00BA74BF">
        <w:rPr>
          <w:rFonts w:ascii="Calibri" w:eastAsia="Times New Roman" w:hAnsi="Calibri" w:cs="Calibri"/>
          <w:i/>
          <w:iCs/>
          <w:snapToGrid w:val="0"/>
          <w:sz w:val="24"/>
          <w:szCs w:val="24"/>
        </w:rPr>
        <w:t>Utilisation analysis of PBS-listed AEDs in a cohort of epilepsy patients</w:t>
      </w:r>
      <w:r w:rsidRPr="00A9204E">
        <w:rPr>
          <w:rFonts w:ascii="Calibri" w:eastAsia="Times New Roman" w:hAnsi="Calibri" w:cs="Calibri"/>
          <w:snapToGrid w:val="0"/>
          <w:sz w:val="24"/>
          <w:szCs w:val="24"/>
        </w:rPr>
        <w:t>. The DUSC was also requested to advise the Department on the development of the cost estimates to the PBS of allowing first-line use of LEV and LTG in the remaining population with epilepsy (</w:t>
      </w:r>
      <w:r w:rsidR="006C7C6E" w:rsidRPr="00A9204E">
        <w:rPr>
          <w:rFonts w:ascii="Calibri" w:eastAsia="Times New Roman" w:hAnsi="Calibri" w:cs="Calibri"/>
          <w:snapToGrid w:val="0"/>
          <w:sz w:val="24"/>
          <w:szCs w:val="24"/>
        </w:rPr>
        <w:t>i.e.,</w:t>
      </w:r>
      <w:r w:rsidRPr="00A9204E">
        <w:rPr>
          <w:rFonts w:ascii="Calibri" w:eastAsia="Times New Roman" w:hAnsi="Calibri" w:cs="Calibri"/>
          <w:snapToGrid w:val="0"/>
          <w:sz w:val="24"/>
          <w:szCs w:val="24"/>
        </w:rPr>
        <w:t xml:space="preserve"> males and females of all ages). </w:t>
      </w:r>
    </w:p>
    <w:p w14:paraId="1427E39F" w14:textId="58B5BF52" w:rsidR="005C19C7" w:rsidRDefault="00A9204E" w:rsidP="007C18E3">
      <w:pPr>
        <w:pStyle w:val="3-BodyText"/>
        <w:spacing w:after="120" w:line="240" w:lineRule="auto"/>
        <w:jc w:val="both"/>
        <w:rPr>
          <w:rFonts w:ascii="Calibri" w:eastAsia="Times New Roman" w:hAnsi="Calibri" w:cs="Calibri"/>
          <w:snapToGrid w:val="0"/>
          <w:sz w:val="24"/>
          <w:szCs w:val="24"/>
        </w:rPr>
      </w:pPr>
      <w:r w:rsidRPr="00A9204E">
        <w:rPr>
          <w:rFonts w:ascii="Calibri" w:eastAsia="Times New Roman" w:hAnsi="Calibri" w:cs="Calibri"/>
          <w:snapToGrid w:val="0"/>
          <w:sz w:val="24"/>
          <w:szCs w:val="24"/>
        </w:rPr>
        <w:t>In April 2024,</w:t>
      </w:r>
      <w:r w:rsidRPr="00A9204E">
        <w:rPr>
          <w:rFonts w:ascii="Calibri" w:eastAsia="Times New Roman" w:hAnsi="Calibri" w:cs="Calibri"/>
          <w:b/>
          <w:bCs/>
          <w:i/>
          <w:iCs/>
          <w:snapToGrid w:val="0"/>
          <w:sz w:val="24"/>
          <w:szCs w:val="24"/>
        </w:rPr>
        <w:t xml:space="preserve"> </w:t>
      </w:r>
      <w:r w:rsidRPr="00A9204E">
        <w:rPr>
          <w:rFonts w:ascii="Calibri" w:eastAsia="Times New Roman" w:hAnsi="Calibri" w:cs="Calibri"/>
          <w:snapToGrid w:val="0"/>
          <w:sz w:val="24"/>
          <w:szCs w:val="24"/>
        </w:rPr>
        <w:t>the Department co</w:t>
      </w:r>
      <w:r w:rsidR="00BD161E">
        <w:rPr>
          <w:rFonts w:ascii="Calibri" w:eastAsia="Times New Roman" w:hAnsi="Calibri" w:cs="Calibri"/>
          <w:snapToGrid w:val="0"/>
          <w:sz w:val="24"/>
          <w:szCs w:val="24"/>
        </w:rPr>
        <w:t>mmissioned</w:t>
      </w:r>
      <w:r w:rsidRPr="00A9204E">
        <w:rPr>
          <w:rFonts w:ascii="Calibri" w:eastAsia="Times New Roman" w:hAnsi="Calibri" w:cs="Calibri"/>
          <w:snapToGrid w:val="0"/>
          <w:sz w:val="24"/>
          <w:szCs w:val="24"/>
        </w:rPr>
        <w:t xml:space="preserve"> </w:t>
      </w:r>
      <w:r w:rsidR="005C19C7">
        <w:rPr>
          <w:rFonts w:ascii="Calibri" w:eastAsia="Times New Roman" w:hAnsi="Calibri" w:cs="Calibri"/>
          <w:snapToGrid w:val="0"/>
          <w:sz w:val="24"/>
          <w:szCs w:val="24"/>
        </w:rPr>
        <w:t xml:space="preserve">the </w:t>
      </w:r>
      <w:r w:rsidR="005C19C7" w:rsidRPr="005C19C7">
        <w:rPr>
          <w:rFonts w:ascii="Calibri" w:eastAsia="Times New Roman" w:hAnsi="Calibri" w:cs="Calibri"/>
          <w:snapToGrid w:val="0"/>
          <w:sz w:val="24"/>
          <w:szCs w:val="24"/>
        </w:rPr>
        <w:t>Centre for Medicine Use and Safety</w:t>
      </w:r>
      <w:r w:rsidR="005C19C7">
        <w:rPr>
          <w:rFonts w:ascii="Calibri" w:eastAsia="Times New Roman" w:hAnsi="Calibri" w:cs="Calibri"/>
          <w:snapToGrid w:val="0"/>
          <w:sz w:val="24"/>
          <w:szCs w:val="24"/>
        </w:rPr>
        <w:t xml:space="preserve"> (CMUS), Monash University to:</w:t>
      </w:r>
    </w:p>
    <w:p w14:paraId="7C927AC7" w14:textId="26EC2910" w:rsidR="00A27922" w:rsidRPr="00A27922" w:rsidRDefault="00A27922" w:rsidP="008F5EC9">
      <w:pPr>
        <w:pStyle w:val="ListParagraph"/>
        <w:numPr>
          <w:ilvl w:val="0"/>
          <w:numId w:val="2"/>
        </w:numPr>
        <w:spacing w:line="240" w:lineRule="auto"/>
        <w:jc w:val="both"/>
        <w:rPr>
          <w:rFonts w:ascii="Calibri" w:eastAsia="Times New Roman" w:hAnsi="Calibri" w:cs="Calibri"/>
          <w:snapToGrid w:val="0"/>
          <w:sz w:val="24"/>
          <w:szCs w:val="24"/>
        </w:rPr>
      </w:pPr>
      <w:r w:rsidRPr="00A27922">
        <w:rPr>
          <w:rFonts w:ascii="Calibri" w:eastAsia="Times New Roman" w:hAnsi="Calibri" w:cs="Calibri"/>
          <w:snapToGrid w:val="0"/>
          <w:sz w:val="24"/>
          <w:szCs w:val="24"/>
        </w:rPr>
        <w:t>undertake a systematic literature review to identify relevant clinical guidelines for the use of AEDs for the treatment of epilepsy and compare these to the PBS restrictions and Therapeutic Goods Administration (TGA)-approved indications for these medicines, and</w:t>
      </w:r>
      <w:r w:rsidR="00C70879">
        <w:rPr>
          <w:rFonts w:ascii="Calibri" w:eastAsia="Times New Roman" w:hAnsi="Calibri" w:cs="Calibri"/>
          <w:snapToGrid w:val="0"/>
          <w:sz w:val="24"/>
          <w:szCs w:val="24"/>
        </w:rPr>
        <w:t>;</w:t>
      </w:r>
    </w:p>
    <w:p w14:paraId="59EC3E60" w14:textId="0F9D365D" w:rsidR="0082308C" w:rsidRDefault="00A27922" w:rsidP="008F5EC9">
      <w:pPr>
        <w:pStyle w:val="ListParagraph"/>
        <w:numPr>
          <w:ilvl w:val="0"/>
          <w:numId w:val="2"/>
        </w:numPr>
        <w:spacing w:after="120" w:line="240" w:lineRule="auto"/>
        <w:ind w:left="1077" w:hanging="357"/>
        <w:jc w:val="both"/>
        <w:rPr>
          <w:rFonts w:ascii="Calibri" w:eastAsia="Times New Roman" w:hAnsi="Calibri" w:cs="Calibri"/>
          <w:snapToGrid w:val="0"/>
          <w:sz w:val="24"/>
          <w:szCs w:val="24"/>
        </w:rPr>
      </w:pPr>
      <w:r w:rsidRPr="00A27922">
        <w:rPr>
          <w:rFonts w:ascii="Calibri" w:eastAsia="Times New Roman" w:hAnsi="Calibri" w:cs="Calibri"/>
          <w:snapToGrid w:val="0"/>
          <w:sz w:val="24"/>
          <w:szCs w:val="24"/>
        </w:rPr>
        <w:t>estimate the cost to the PBS of expanding the restrictions for the second-line AEDs LEV and LTG to allow their first-line use in the general Australian population with epilepsy.</w:t>
      </w:r>
    </w:p>
    <w:p w14:paraId="2EAF0EC5" w14:textId="53A974C7" w:rsidR="008D025D" w:rsidRPr="009F20D6" w:rsidRDefault="005E4205" w:rsidP="00EE4986">
      <w:pPr>
        <w:pStyle w:val="Heading2"/>
        <w:spacing w:before="120" w:after="120" w:line="240" w:lineRule="auto"/>
        <w:rPr>
          <w:rFonts w:asciiTheme="minorHAnsi" w:hAnsiTheme="minorHAnsi" w:cstheme="minorHAnsi"/>
          <w:b/>
          <w:bCs/>
          <w:i/>
          <w:iCs/>
          <w:color w:val="auto"/>
          <w:sz w:val="28"/>
          <w:szCs w:val="28"/>
        </w:rPr>
      </w:pPr>
      <w:bookmarkStart w:id="6" w:name="_Hlk208585172"/>
      <w:r>
        <w:rPr>
          <w:rFonts w:asciiTheme="minorHAnsi" w:hAnsiTheme="minorHAnsi" w:cstheme="minorHAnsi"/>
          <w:b/>
          <w:bCs/>
          <w:i/>
          <w:iCs/>
          <w:color w:val="auto"/>
          <w:sz w:val="28"/>
          <w:szCs w:val="28"/>
        </w:rPr>
        <w:lastRenderedPageBreak/>
        <w:t xml:space="preserve">2025 </w:t>
      </w:r>
      <w:r w:rsidR="00FD54E2">
        <w:rPr>
          <w:rFonts w:asciiTheme="minorHAnsi" w:hAnsiTheme="minorHAnsi" w:cstheme="minorHAnsi"/>
          <w:b/>
          <w:bCs/>
          <w:i/>
          <w:iCs/>
          <w:color w:val="auto"/>
          <w:sz w:val="28"/>
          <w:szCs w:val="28"/>
        </w:rPr>
        <w:t>PBAC</w:t>
      </w:r>
      <w:r>
        <w:rPr>
          <w:rFonts w:asciiTheme="minorHAnsi" w:hAnsiTheme="minorHAnsi" w:cstheme="minorHAnsi"/>
          <w:b/>
          <w:bCs/>
          <w:i/>
          <w:iCs/>
          <w:color w:val="auto"/>
          <w:sz w:val="28"/>
          <w:szCs w:val="28"/>
        </w:rPr>
        <w:t xml:space="preserve"> and </w:t>
      </w:r>
      <w:r w:rsidR="00CB59CD">
        <w:rPr>
          <w:rFonts w:asciiTheme="minorHAnsi" w:hAnsiTheme="minorHAnsi" w:cstheme="minorHAnsi"/>
          <w:b/>
          <w:bCs/>
          <w:i/>
          <w:iCs/>
          <w:color w:val="auto"/>
          <w:sz w:val="28"/>
          <w:szCs w:val="28"/>
        </w:rPr>
        <w:t>DUSC</w:t>
      </w:r>
      <w:r>
        <w:rPr>
          <w:rFonts w:asciiTheme="minorHAnsi" w:hAnsiTheme="minorHAnsi" w:cstheme="minorHAnsi"/>
          <w:b/>
          <w:bCs/>
          <w:i/>
          <w:iCs/>
          <w:color w:val="auto"/>
          <w:sz w:val="28"/>
          <w:szCs w:val="28"/>
        </w:rPr>
        <w:t xml:space="preserve"> consideration</w:t>
      </w:r>
    </w:p>
    <w:bookmarkEnd w:id="6"/>
    <w:p w14:paraId="3952DEA4" w14:textId="6EB03156" w:rsidR="002C7E6E" w:rsidRDefault="002C7E6E" w:rsidP="007C18E3">
      <w:pPr>
        <w:pStyle w:val="3-BodyText"/>
        <w:spacing w:after="120" w:line="240" w:lineRule="auto"/>
        <w:jc w:val="both"/>
        <w:rPr>
          <w:rFonts w:ascii="Calibri" w:eastAsia="Times New Roman" w:hAnsi="Calibri" w:cs="Calibri"/>
          <w:snapToGrid w:val="0"/>
          <w:sz w:val="24"/>
          <w:szCs w:val="24"/>
        </w:rPr>
      </w:pPr>
      <w:r>
        <w:rPr>
          <w:rFonts w:ascii="Calibri" w:eastAsia="Times New Roman" w:hAnsi="Calibri" w:cs="Calibri"/>
          <w:snapToGrid w:val="0"/>
          <w:sz w:val="24"/>
          <w:szCs w:val="24"/>
        </w:rPr>
        <w:t xml:space="preserve">The </w:t>
      </w:r>
      <w:r w:rsidRPr="00C867C3">
        <w:rPr>
          <w:rFonts w:ascii="Calibri" w:eastAsia="Times New Roman" w:hAnsi="Calibri" w:cs="Calibri"/>
          <w:i/>
          <w:iCs/>
          <w:snapToGrid w:val="0"/>
          <w:sz w:val="24"/>
          <w:szCs w:val="24"/>
        </w:rPr>
        <w:t>Review of clinical guidelines and cost estimates for the use of AEDs for the treatment of epilepsy</w:t>
      </w:r>
      <w:r>
        <w:rPr>
          <w:rFonts w:ascii="Calibri" w:eastAsia="Times New Roman" w:hAnsi="Calibri" w:cs="Calibri"/>
          <w:snapToGrid w:val="0"/>
          <w:sz w:val="24"/>
          <w:szCs w:val="24"/>
        </w:rPr>
        <w:t xml:space="preserve"> report</w:t>
      </w:r>
      <w:r w:rsidR="00DD3F8D">
        <w:rPr>
          <w:rFonts w:ascii="Calibri" w:eastAsia="Times New Roman" w:hAnsi="Calibri" w:cs="Calibri"/>
          <w:snapToGrid w:val="0"/>
          <w:sz w:val="24"/>
          <w:szCs w:val="24"/>
        </w:rPr>
        <w:t xml:space="preserve"> was considered by the DUSC </w:t>
      </w:r>
      <w:r w:rsidR="00DD3F8D" w:rsidRPr="008530FA">
        <w:rPr>
          <w:rFonts w:ascii="Calibri" w:eastAsia="Times New Roman" w:hAnsi="Calibri" w:cs="Calibri"/>
          <w:snapToGrid w:val="0"/>
          <w:sz w:val="24"/>
          <w:szCs w:val="24"/>
        </w:rPr>
        <w:t>at its April 2025 meeting</w:t>
      </w:r>
      <w:r w:rsidR="00DD3F8D">
        <w:rPr>
          <w:rFonts w:ascii="Calibri" w:eastAsia="Times New Roman" w:hAnsi="Calibri" w:cs="Calibri"/>
          <w:snapToGrid w:val="0"/>
          <w:sz w:val="24"/>
          <w:szCs w:val="24"/>
        </w:rPr>
        <w:t xml:space="preserve"> and by the PBAC </w:t>
      </w:r>
      <w:r w:rsidR="00966778" w:rsidRPr="008530FA">
        <w:rPr>
          <w:rFonts w:ascii="Calibri" w:eastAsia="Times New Roman" w:hAnsi="Calibri" w:cs="Calibri"/>
          <w:snapToGrid w:val="0"/>
          <w:sz w:val="24"/>
          <w:szCs w:val="24"/>
        </w:rPr>
        <w:t>at its May 2025 Intracycle meeting</w:t>
      </w:r>
      <w:r w:rsidR="00966778">
        <w:rPr>
          <w:rFonts w:ascii="Calibri" w:eastAsia="Times New Roman" w:hAnsi="Calibri" w:cs="Calibri"/>
          <w:snapToGrid w:val="0"/>
          <w:sz w:val="24"/>
          <w:szCs w:val="24"/>
        </w:rPr>
        <w:t>.</w:t>
      </w:r>
      <w:r w:rsidR="00F231D3">
        <w:rPr>
          <w:rStyle w:val="FootnoteReference"/>
          <w:rFonts w:ascii="Calibri" w:eastAsia="Times New Roman" w:hAnsi="Calibri" w:cs="Calibri"/>
          <w:snapToGrid w:val="0"/>
          <w:sz w:val="24"/>
          <w:szCs w:val="24"/>
        </w:rPr>
        <w:footnoteReference w:id="1"/>
      </w:r>
    </w:p>
    <w:p w14:paraId="631E95A7" w14:textId="72B55803" w:rsidR="008530FA" w:rsidRPr="005530F3" w:rsidRDefault="008530FA" w:rsidP="007C18E3">
      <w:pPr>
        <w:pStyle w:val="3-BodyText"/>
        <w:spacing w:after="120" w:line="240" w:lineRule="auto"/>
        <w:jc w:val="both"/>
        <w:rPr>
          <w:rFonts w:ascii="Calibri" w:eastAsia="Times New Roman" w:hAnsi="Calibri" w:cs="Calibri"/>
          <w:snapToGrid w:val="0"/>
          <w:sz w:val="24"/>
          <w:szCs w:val="24"/>
        </w:rPr>
      </w:pPr>
      <w:r w:rsidRPr="008530FA">
        <w:rPr>
          <w:rFonts w:ascii="Calibri" w:eastAsia="Times New Roman" w:hAnsi="Calibri" w:cs="Calibri"/>
          <w:snapToGrid w:val="0"/>
          <w:sz w:val="24"/>
          <w:szCs w:val="24"/>
        </w:rPr>
        <w:t>Overall, the PBAC accepted the key findings from the Review of AEDs including the estimates of cost to the PBS of allowing first-line use of LEV and LTG in the general Australian population with epilepsy (the “proposed listings”). The PBAC noted the findings of the review of clinical guidelines that two Australian guidelines and most international guidelines recommend LEV and/or LTG as first-line antiseizure medications in adults with focal and/or generalised seizures.</w:t>
      </w:r>
    </w:p>
    <w:p w14:paraId="2E7C17EF" w14:textId="161A8AAE" w:rsidR="008530FA" w:rsidRPr="005530F3" w:rsidRDefault="008530FA" w:rsidP="007C18E3">
      <w:pPr>
        <w:pStyle w:val="3-BodyText"/>
        <w:spacing w:after="120" w:line="240" w:lineRule="auto"/>
        <w:jc w:val="both"/>
        <w:rPr>
          <w:rFonts w:ascii="Calibri" w:eastAsia="Times New Roman" w:hAnsi="Calibri" w:cs="Calibri"/>
          <w:snapToGrid w:val="0"/>
          <w:sz w:val="24"/>
          <w:szCs w:val="24"/>
        </w:rPr>
      </w:pPr>
      <w:r w:rsidRPr="008530FA">
        <w:rPr>
          <w:rFonts w:ascii="Calibri" w:eastAsia="Times New Roman" w:hAnsi="Calibri" w:cs="Calibri"/>
          <w:snapToGrid w:val="0"/>
          <w:sz w:val="24"/>
          <w:szCs w:val="24"/>
        </w:rPr>
        <w:t>The PBAC considered the estimated cost to the R/PBS of allowing first-line use of LEV and LTG in the general Australian population with epilepsy was reasonable ($1.2 million in 2025 increasing to $4.4 million in 2030). In addition, the proposed listings were expected to have a minimal impact on the utilisation of the more expensive third-line antiseizure medications.</w:t>
      </w:r>
    </w:p>
    <w:p w14:paraId="790EECB9" w14:textId="663E728C" w:rsidR="008530FA" w:rsidRPr="005530F3" w:rsidRDefault="008530FA" w:rsidP="007C18E3">
      <w:pPr>
        <w:pStyle w:val="3-BodyText"/>
        <w:spacing w:after="120" w:line="240" w:lineRule="auto"/>
        <w:jc w:val="both"/>
        <w:rPr>
          <w:rFonts w:ascii="Calibri" w:eastAsia="Times New Roman" w:hAnsi="Calibri" w:cs="Calibri"/>
          <w:snapToGrid w:val="0"/>
          <w:sz w:val="24"/>
          <w:szCs w:val="24"/>
        </w:rPr>
      </w:pPr>
      <w:r w:rsidRPr="008530FA">
        <w:rPr>
          <w:rFonts w:ascii="Calibri" w:eastAsia="Times New Roman" w:hAnsi="Calibri" w:cs="Calibri"/>
          <w:snapToGrid w:val="0"/>
          <w:sz w:val="24"/>
          <w:szCs w:val="24"/>
        </w:rPr>
        <w:t>The PBAC recommended amending the PBS restrictions for LEV (tablets and liquid forms) and LTG (tablets) to Restricted Benefit listings for “epileptic seizures” and removal of the following clinical criteria from the current listings: “The condition must have failed to be controlled satisfactorily by other anti-epileptic drugs; OR Patient must be a woman of childbearing potential.” This restriction change</w:t>
      </w:r>
      <w:r w:rsidR="00AF2B9B">
        <w:rPr>
          <w:rFonts w:ascii="Calibri" w:eastAsia="Times New Roman" w:hAnsi="Calibri" w:cs="Calibri"/>
          <w:snapToGrid w:val="0"/>
          <w:sz w:val="24"/>
          <w:szCs w:val="24"/>
        </w:rPr>
        <w:t xml:space="preserve"> was implemented on 1 November 2025</w:t>
      </w:r>
      <w:r w:rsidRPr="008530FA">
        <w:rPr>
          <w:rFonts w:ascii="Calibri" w:eastAsia="Times New Roman" w:hAnsi="Calibri" w:cs="Calibri"/>
          <w:snapToGrid w:val="0"/>
          <w:sz w:val="24"/>
          <w:szCs w:val="24"/>
        </w:rPr>
        <w:t xml:space="preserve"> </w:t>
      </w:r>
      <w:r w:rsidR="00AF2B9B">
        <w:rPr>
          <w:rFonts w:ascii="Calibri" w:eastAsia="Times New Roman" w:hAnsi="Calibri" w:cs="Calibri"/>
          <w:snapToGrid w:val="0"/>
          <w:sz w:val="24"/>
          <w:szCs w:val="24"/>
        </w:rPr>
        <w:t xml:space="preserve">and </w:t>
      </w:r>
      <w:r w:rsidRPr="008530FA">
        <w:rPr>
          <w:rFonts w:ascii="Calibri" w:eastAsia="Times New Roman" w:hAnsi="Calibri" w:cs="Calibri"/>
          <w:snapToGrid w:val="0"/>
          <w:sz w:val="24"/>
          <w:szCs w:val="24"/>
        </w:rPr>
        <w:t>allow</w:t>
      </w:r>
      <w:r w:rsidR="00AF2B9B">
        <w:rPr>
          <w:rFonts w:ascii="Calibri" w:eastAsia="Times New Roman" w:hAnsi="Calibri" w:cs="Calibri"/>
          <w:snapToGrid w:val="0"/>
          <w:sz w:val="24"/>
          <w:szCs w:val="24"/>
        </w:rPr>
        <w:t>ed</w:t>
      </w:r>
      <w:r w:rsidRPr="008530FA">
        <w:rPr>
          <w:rFonts w:ascii="Calibri" w:eastAsia="Times New Roman" w:hAnsi="Calibri" w:cs="Calibri"/>
          <w:snapToGrid w:val="0"/>
          <w:sz w:val="24"/>
          <w:szCs w:val="24"/>
        </w:rPr>
        <w:t xml:space="preserve"> the subsidised first-line use of these medicines in the general Australian population with epilep</w:t>
      </w:r>
      <w:r w:rsidRPr="00C8728D">
        <w:rPr>
          <w:rFonts w:ascii="Calibri" w:eastAsia="Times New Roman" w:hAnsi="Calibri" w:cs="Calibri"/>
          <w:snapToGrid w:val="0"/>
          <w:sz w:val="24"/>
          <w:szCs w:val="24"/>
        </w:rPr>
        <w:t>sy.</w:t>
      </w:r>
    </w:p>
    <w:p w14:paraId="32F501F3" w14:textId="45025DEB" w:rsidR="00596E25" w:rsidRPr="001B135D" w:rsidRDefault="00596E25" w:rsidP="007C18E3">
      <w:pPr>
        <w:pStyle w:val="3-BodyText"/>
        <w:spacing w:after="120" w:line="240" w:lineRule="auto"/>
        <w:jc w:val="both"/>
        <w:rPr>
          <w:rFonts w:ascii="Calibri" w:eastAsia="Times New Roman" w:hAnsi="Calibri" w:cs="Calibri"/>
          <w:snapToGrid w:val="0"/>
          <w:sz w:val="24"/>
          <w:szCs w:val="24"/>
        </w:rPr>
      </w:pPr>
      <w:r w:rsidRPr="00A8164A">
        <w:rPr>
          <w:rFonts w:ascii="Calibri" w:eastAsia="Times New Roman" w:hAnsi="Calibri" w:cs="Calibri"/>
          <w:snapToGrid w:val="0"/>
          <w:sz w:val="24"/>
          <w:szCs w:val="24"/>
        </w:rPr>
        <w:t>T</w:t>
      </w:r>
      <w:r w:rsidRPr="001B135D">
        <w:rPr>
          <w:rFonts w:ascii="Calibri" w:eastAsia="Times New Roman" w:hAnsi="Calibri" w:cs="Calibri"/>
          <w:snapToGrid w:val="0"/>
          <w:sz w:val="24"/>
          <w:szCs w:val="24"/>
        </w:rPr>
        <w:t>he PBAC noted the analysis of the private market which was used to estimate the current extent of private (non-PBS) use of LEV and LTG. The PBAC agreed the private market for LEV appears to be small, while the private market for LTG appears to be significantly larger than LEV; likely due to LTG use in conditions such as bipolar disorder and trigeminal neuralgia.</w:t>
      </w:r>
    </w:p>
    <w:p w14:paraId="26920337" w14:textId="3C06E5F4" w:rsidR="00703ADA" w:rsidRPr="001B135D" w:rsidRDefault="001B135D" w:rsidP="007C18E3">
      <w:pPr>
        <w:pStyle w:val="3-BodyText"/>
        <w:spacing w:after="120" w:line="240" w:lineRule="auto"/>
        <w:jc w:val="both"/>
        <w:rPr>
          <w:rFonts w:ascii="Calibri" w:eastAsia="Times New Roman" w:hAnsi="Calibri" w:cs="Calibri"/>
          <w:snapToGrid w:val="0"/>
          <w:sz w:val="24"/>
          <w:szCs w:val="24"/>
        </w:rPr>
      </w:pPr>
      <w:r w:rsidRPr="008530FA">
        <w:rPr>
          <w:rFonts w:ascii="Calibri" w:eastAsia="Times New Roman" w:hAnsi="Calibri" w:cs="Calibri"/>
          <w:snapToGrid w:val="0"/>
          <w:sz w:val="24"/>
          <w:szCs w:val="24"/>
        </w:rPr>
        <w:t xml:space="preserve">The PBAC </w:t>
      </w:r>
      <w:bookmarkStart w:id="7" w:name="_Hlk213408641"/>
      <w:r w:rsidRPr="008530FA">
        <w:rPr>
          <w:rFonts w:ascii="Calibri" w:eastAsia="Times New Roman" w:hAnsi="Calibri" w:cs="Calibri"/>
          <w:snapToGrid w:val="0"/>
          <w:sz w:val="24"/>
          <w:szCs w:val="24"/>
        </w:rPr>
        <w:t>considered there may be an unmet need to subsidise LTG for mental illnesses such as bipolar disorder. The PBAC recommended in principle extending subsidy of LTG to this indication and requested that the Department undertake further work to estimate the cost to the R/PBS of a separate Restricted Benefit listing for LTG for bipolar disorder for its consideration at a future meeting.</w:t>
      </w:r>
    </w:p>
    <w:bookmarkEnd w:id="7"/>
    <w:p w14:paraId="23BF321E" w14:textId="52D87DA7" w:rsidR="00DF1884" w:rsidRDefault="00DF1884" w:rsidP="00DF1884">
      <w:pPr>
        <w:pStyle w:val="Heading2"/>
        <w:spacing w:before="120" w:after="120" w:line="240" w:lineRule="auto"/>
        <w:rPr>
          <w:rFonts w:asciiTheme="minorHAnsi" w:hAnsiTheme="minorHAnsi" w:cstheme="minorHAnsi"/>
          <w:b/>
          <w:bCs/>
          <w:i/>
          <w:iCs/>
          <w:color w:val="auto"/>
          <w:sz w:val="28"/>
          <w:szCs w:val="28"/>
        </w:rPr>
      </w:pPr>
      <w:r w:rsidRPr="00DF1884">
        <w:rPr>
          <w:rFonts w:asciiTheme="minorHAnsi" w:hAnsiTheme="minorHAnsi" w:cstheme="minorHAnsi"/>
          <w:b/>
          <w:bCs/>
          <w:i/>
          <w:iCs/>
          <w:color w:val="auto"/>
          <w:sz w:val="28"/>
          <w:szCs w:val="28"/>
        </w:rPr>
        <w:t>Sponsor and stakeholder consultation</w:t>
      </w:r>
    </w:p>
    <w:p w14:paraId="42354848" w14:textId="2FA9DDD5" w:rsidR="000168A7" w:rsidRDefault="006D7931" w:rsidP="007C18E3">
      <w:pPr>
        <w:pStyle w:val="3-BodyText"/>
        <w:spacing w:after="120" w:line="240" w:lineRule="auto"/>
        <w:jc w:val="both"/>
        <w:rPr>
          <w:rFonts w:ascii="Calibri" w:eastAsia="Times New Roman" w:hAnsi="Calibri" w:cs="Calibri"/>
          <w:snapToGrid w:val="0"/>
          <w:sz w:val="24"/>
          <w:szCs w:val="24"/>
        </w:rPr>
      </w:pPr>
      <w:r w:rsidRPr="006D7931">
        <w:rPr>
          <w:rFonts w:ascii="Calibri" w:eastAsia="Times New Roman" w:hAnsi="Calibri" w:cs="Calibri"/>
          <w:snapToGrid w:val="0"/>
          <w:sz w:val="24"/>
          <w:szCs w:val="24"/>
        </w:rPr>
        <w:t>On 7 October 2025, the PBAC overview paper was distributed to sponsors of LTG, the Royal Australian and New Zealand College of Psychiatrists (RANZCP), the Royal Australian College of General Practitioners (RACGP), and the National Aboriginal Community Controlled Health Organisation (NACCHO), inviting them to submit a pre</w:t>
      </w:r>
      <w:r w:rsidR="004D6EE6">
        <w:rPr>
          <w:rFonts w:ascii="Calibri" w:eastAsia="Times New Roman" w:hAnsi="Calibri" w:cs="Calibri"/>
          <w:snapToGrid w:val="0"/>
          <w:sz w:val="24"/>
          <w:szCs w:val="24"/>
        </w:rPr>
        <w:noBreakHyphen/>
      </w:r>
      <w:r w:rsidRPr="006D7931">
        <w:rPr>
          <w:rFonts w:ascii="Calibri" w:eastAsia="Times New Roman" w:hAnsi="Calibri" w:cs="Calibri"/>
          <w:snapToGrid w:val="0"/>
          <w:sz w:val="24"/>
          <w:szCs w:val="24"/>
        </w:rPr>
        <w:t xml:space="preserve">PBAC response in </w:t>
      </w:r>
      <w:r w:rsidR="004D6EE6">
        <w:rPr>
          <w:rFonts w:ascii="Calibri" w:eastAsia="Times New Roman" w:hAnsi="Calibri" w:cs="Calibri"/>
          <w:snapToGrid w:val="0"/>
          <w:sz w:val="24"/>
          <w:szCs w:val="24"/>
        </w:rPr>
        <w:t>line</w:t>
      </w:r>
      <w:r w:rsidR="004D6EE6" w:rsidRPr="006D7931">
        <w:rPr>
          <w:rFonts w:ascii="Calibri" w:eastAsia="Times New Roman" w:hAnsi="Calibri" w:cs="Calibri"/>
          <w:snapToGrid w:val="0"/>
          <w:sz w:val="24"/>
          <w:szCs w:val="24"/>
        </w:rPr>
        <w:t xml:space="preserve"> </w:t>
      </w:r>
      <w:r w:rsidRPr="006D7931">
        <w:rPr>
          <w:rFonts w:ascii="Calibri" w:eastAsia="Times New Roman" w:hAnsi="Calibri" w:cs="Calibri"/>
          <w:snapToGrid w:val="0"/>
          <w:sz w:val="24"/>
          <w:szCs w:val="24"/>
        </w:rPr>
        <w:t>with standard PBAC proce</w:t>
      </w:r>
      <w:r>
        <w:rPr>
          <w:rFonts w:ascii="Calibri" w:eastAsia="Times New Roman" w:hAnsi="Calibri" w:cs="Calibri"/>
          <w:snapToGrid w:val="0"/>
          <w:sz w:val="24"/>
          <w:szCs w:val="24"/>
        </w:rPr>
        <w:t>sses</w:t>
      </w:r>
      <w:r w:rsidRPr="006D7931">
        <w:rPr>
          <w:rFonts w:ascii="Calibri" w:eastAsia="Times New Roman" w:hAnsi="Calibri" w:cs="Calibri"/>
          <w:snapToGrid w:val="0"/>
          <w:sz w:val="24"/>
          <w:szCs w:val="24"/>
        </w:rPr>
        <w:t xml:space="preserve"> and timelines.</w:t>
      </w:r>
    </w:p>
    <w:p w14:paraId="58903764" w14:textId="54276E28" w:rsidR="006D7931" w:rsidRPr="00E76184" w:rsidRDefault="000168A7" w:rsidP="000168A7">
      <w:pPr>
        <w:rPr>
          <w:rFonts w:ascii="Calibri" w:eastAsia="Times New Roman" w:hAnsi="Calibri" w:cs="Calibri"/>
          <w:snapToGrid w:val="0"/>
          <w:sz w:val="24"/>
          <w:szCs w:val="24"/>
        </w:rPr>
      </w:pPr>
      <w:r>
        <w:rPr>
          <w:rFonts w:ascii="Calibri" w:eastAsia="Times New Roman" w:hAnsi="Calibri" w:cs="Calibri"/>
          <w:snapToGrid w:val="0"/>
          <w:sz w:val="24"/>
          <w:szCs w:val="24"/>
        </w:rPr>
        <w:br w:type="page"/>
      </w:r>
    </w:p>
    <w:p w14:paraId="040240C6" w14:textId="77777777" w:rsidR="00AE6E8E" w:rsidRPr="00F31393" w:rsidRDefault="00AE6E8E" w:rsidP="008F5EC9">
      <w:pPr>
        <w:pStyle w:val="2-SectionHeading"/>
      </w:pPr>
      <w:r>
        <w:lastRenderedPageBreak/>
        <w:t>Proposed listing</w:t>
      </w:r>
    </w:p>
    <w:p w14:paraId="657BA120" w14:textId="77777777" w:rsidR="00AE6E8E" w:rsidRDefault="00AE6E8E" w:rsidP="007C18E3">
      <w:pPr>
        <w:pStyle w:val="3-BodyText"/>
        <w:spacing w:after="120" w:line="240" w:lineRule="auto"/>
        <w:jc w:val="both"/>
        <w:rPr>
          <w:rFonts w:ascii="Calibri" w:eastAsia="Times New Roman" w:hAnsi="Calibri" w:cs="Calibri"/>
          <w:snapToGrid w:val="0"/>
          <w:sz w:val="24"/>
          <w:szCs w:val="24"/>
        </w:rPr>
      </w:pPr>
      <w:r>
        <w:rPr>
          <w:rFonts w:ascii="Calibri" w:eastAsia="Times New Roman" w:hAnsi="Calibri" w:cs="Calibri"/>
          <w:snapToGrid w:val="0"/>
          <w:sz w:val="24"/>
          <w:szCs w:val="24"/>
        </w:rPr>
        <w:t>LTG is currently listed on the PBS for “epileptic seizures” in the following dosage forms:</w:t>
      </w:r>
    </w:p>
    <w:p w14:paraId="52E1477A" w14:textId="77777777" w:rsidR="00AE6E8E" w:rsidRDefault="00AE6E8E" w:rsidP="008F5EC9">
      <w:pPr>
        <w:pStyle w:val="ListParagraph"/>
        <w:numPr>
          <w:ilvl w:val="0"/>
          <w:numId w:val="3"/>
        </w:numPr>
        <w:spacing w:after="120" w:line="240" w:lineRule="auto"/>
        <w:jc w:val="both"/>
        <w:rPr>
          <w:rFonts w:ascii="Calibri" w:eastAsia="Times New Roman" w:hAnsi="Calibri" w:cs="Calibri"/>
          <w:snapToGrid w:val="0"/>
          <w:sz w:val="24"/>
          <w:szCs w:val="24"/>
        </w:rPr>
      </w:pPr>
      <w:r w:rsidRPr="00811E59">
        <w:rPr>
          <w:rFonts w:ascii="Calibri" w:eastAsia="Times New Roman" w:hAnsi="Calibri" w:cs="Calibri"/>
          <w:snapToGrid w:val="0"/>
          <w:sz w:val="24"/>
          <w:szCs w:val="24"/>
        </w:rPr>
        <w:t xml:space="preserve">lamotrigine </w:t>
      </w:r>
      <w:r>
        <w:rPr>
          <w:rFonts w:ascii="Calibri" w:eastAsia="Times New Roman" w:hAnsi="Calibri" w:cs="Calibri"/>
          <w:snapToGrid w:val="0"/>
          <w:sz w:val="24"/>
          <w:szCs w:val="24"/>
        </w:rPr>
        <w:t>5</w:t>
      </w:r>
      <w:r w:rsidRPr="00811E59">
        <w:rPr>
          <w:rFonts w:ascii="Calibri" w:eastAsia="Times New Roman" w:hAnsi="Calibri" w:cs="Calibri"/>
          <w:snapToGrid w:val="0"/>
          <w:sz w:val="24"/>
          <w:szCs w:val="24"/>
        </w:rPr>
        <w:t xml:space="preserve"> mg tablet, 56</w:t>
      </w:r>
    </w:p>
    <w:p w14:paraId="27800104" w14:textId="77777777" w:rsidR="00AE6E8E" w:rsidRDefault="00AE6E8E" w:rsidP="008F5EC9">
      <w:pPr>
        <w:pStyle w:val="ListParagraph"/>
        <w:numPr>
          <w:ilvl w:val="0"/>
          <w:numId w:val="3"/>
        </w:numPr>
        <w:spacing w:after="120" w:line="240" w:lineRule="auto"/>
        <w:jc w:val="both"/>
        <w:rPr>
          <w:rFonts w:ascii="Calibri" w:eastAsia="Times New Roman" w:hAnsi="Calibri" w:cs="Calibri"/>
          <w:snapToGrid w:val="0"/>
          <w:sz w:val="24"/>
          <w:szCs w:val="24"/>
        </w:rPr>
      </w:pPr>
      <w:r w:rsidRPr="00811E59">
        <w:rPr>
          <w:rFonts w:ascii="Calibri" w:eastAsia="Times New Roman" w:hAnsi="Calibri" w:cs="Calibri"/>
          <w:snapToGrid w:val="0"/>
          <w:sz w:val="24"/>
          <w:szCs w:val="24"/>
        </w:rPr>
        <w:t>lamotrigine 2</w:t>
      </w:r>
      <w:r>
        <w:rPr>
          <w:rFonts w:ascii="Calibri" w:eastAsia="Times New Roman" w:hAnsi="Calibri" w:cs="Calibri"/>
          <w:snapToGrid w:val="0"/>
          <w:sz w:val="24"/>
          <w:szCs w:val="24"/>
        </w:rPr>
        <w:t>5</w:t>
      </w:r>
      <w:r w:rsidRPr="00811E59">
        <w:rPr>
          <w:rFonts w:ascii="Calibri" w:eastAsia="Times New Roman" w:hAnsi="Calibri" w:cs="Calibri"/>
          <w:snapToGrid w:val="0"/>
          <w:sz w:val="24"/>
          <w:szCs w:val="24"/>
        </w:rPr>
        <w:t xml:space="preserve"> mg tablet, 56</w:t>
      </w:r>
    </w:p>
    <w:p w14:paraId="74B3CD4B" w14:textId="77777777" w:rsidR="00AE6E8E" w:rsidRDefault="00AE6E8E" w:rsidP="008F5EC9">
      <w:pPr>
        <w:pStyle w:val="ListParagraph"/>
        <w:numPr>
          <w:ilvl w:val="0"/>
          <w:numId w:val="3"/>
        </w:numPr>
        <w:spacing w:after="120" w:line="240" w:lineRule="auto"/>
        <w:jc w:val="both"/>
        <w:rPr>
          <w:rFonts w:ascii="Calibri" w:eastAsia="Times New Roman" w:hAnsi="Calibri" w:cs="Calibri"/>
          <w:snapToGrid w:val="0"/>
          <w:sz w:val="24"/>
          <w:szCs w:val="24"/>
        </w:rPr>
      </w:pPr>
      <w:r w:rsidRPr="006B29AF">
        <w:rPr>
          <w:rFonts w:ascii="Calibri" w:eastAsia="Times New Roman" w:hAnsi="Calibri" w:cs="Calibri"/>
          <w:snapToGrid w:val="0"/>
          <w:sz w:val="24"/>
          <w:szCs w:val="24"/>
        </w:rPr>
        <w:t>lamotrigine 5</w:t>
      </w:r>
      <w:r>
        <w:rPr>
          <w:rFonts w:ascii="Calibri" w:eastAsia="Times New Roman" w:hAnsi="Calibri" w:cs="Calibri"/>
          <w:snapToGrid w:val="0"/>
          <w:sz w:val="24"/>
          <w:szCs w:val="24"/>
        </w:rPr>
        <w:t>0</w:t>
      </w:r>
      <w:r w:rsidRPr="006B29AF">
        <w:rPr>
          <w:rFonts w:ascii="Calibri" w:eastAsia="Times New Roman" w:hAnsi="Calibri" w:cs="Calibri"/>
          <w:snapToGrid w:val="0"/>
          <w:sz w:val="24"/>
          <w:szCs w:val="24"/>
        </w:rPr>
        <w:t xml:space="preserve"> mg tablet, 56</w:t>
      </w:r>
    </w:p>
    <w:p w14:paraId="30D7A418" w14:textId="77777777" w:rsidR="00AE6E8E" w:rsidRDefault="00AE6E8E" w:rsidP="008F5EC9">
      <w:pPr>
        <w:pStyle w:val="ListParagraph"/>
        <w:numPr>
          <w:ilvl w:val="0"/>
          <w:numId w:val="3"/>
        </w:numPr>
        <w:spacing w:after="120" w:line="240" w:lineRule="auto"/>
        <w:jc w:val="both"/>
        <w:rPr>
          <w:rFonts w:ascii="Calibri" w:eastAsia="Times New Roman" w:hAnsi="Calibri" w:cs="Calibri"/>
          <w:snapToGrid w:val="0"/>
          <w:sz w:val="24"/>
          <w:szCs w:val="24"/>
        </w:rPr>
      </w:pPr>
      <w:r w:rsidRPr="006B29AF">
        <w:rPr>
          <w:rFonts w:ascii="Calibri" w:eastAsia="Times New Roman" w:hAnsi="Calibri" w:cs="Calibri"/>
          <w:snapToGrid w:val="0"/>
          <w:sz w:val="24"/>
          <w:szCs w:val="24"/>
        </w:rPr>
        <w:t xml:space="preserve">lamotrigine </w:t>
      </w:r>
      <w:r>
        <w:rPr>
          <w:rFonts w:ascii="Calibri" w:eastAsia="Times New Roman" w:hAnsi="Calibri" w:cs="Calibri"/>
          <w:snapToGrid w:val="0"/>
          <w:sz w:val="24"/>
          <w:szCs w:val="24"/>
        </w:rPr>
        <w:t>100</w:t>
      </w:r>
      <w:r w:rsidRPr="006B29AF">
        <w:rPr>
          <w:rFonts w:ascii="Calibri" w:eastAsia="Times New Roman" w:hAnsi="Calibri" w:cs="Calibri"/>
          <w:snapToGrid w:val="0"/>
          <w:sz w:val="24"/>
          <w:szCs w:val="24"/>
        </w:rPr>
        <w:t xml:space="preserve"> mg tablet, 56</w:t>
      </w:r>
    </w:p>
    <w:p w14:paraId="5BBEEB48" w14:textId="77777777" w:rsidR="00AE6E8E" w:rsidRDefault="00AE6E8E" w:rsidP="008F5EC9">
      <w:pPr>
        <w:pStyle w:val="ListParagraph"/>
        <w:numPr>
          <w:ilvl w:val="0"/>
          <w:numId w:val="3"/>
        </w:numPr>
        <w:spacing w:after="120" w:line="240" w:lineRule="auto"/>
        <w:jc w:val="both"/>
        <w:rPr>
          <w:rFonts w:ascii="Calibri" w:eastAsia="Times New Roman" w:hAnsi="Calibri" w:cs="Calibri"/>
          <w:snapToGrid w:val="0"/>
          <w:sz w:val="24"/>
          <w:szCs w:val="24"/>
        </w:rPr>
      </w:pPr>
      <w:r w:rsidRPr="006B29AF">
        <w:rPr>
          <w:rFonts w:ascii="Calibri" w:eastAsia="Times New Roman" w:hAnsi="Calibri" w:cs="Calibri"/>
          <w:snapToGrid w:val="0"/>
          <w:sz w:val="24"/>
          <w:szCs w:val="24"/>
        </w:rPr>
        <w:t xml:space="preserve">lamotrigine </w:t>
      </w:r>
      <w:r>
        <w:rPr>
          <w:rFonts w:ascii="Calibri" w:eastAsia="Times New Roman" w:hAnsi="Calibri" w:cs="Calibri"/>
          <w:snapToGrid w:val="0"/>
          <w:sz w:val="24"/>
          <w:szCs w:val="24"/>
        </w:rPr>
        <w:t>20</w:t>
      </w:r>
      <w:r w:rsidRPr="006B29AF">
        <w:rPr>
          <w:rFonts w:ascii="Calibri" w:eastAsia="Times New Roman" w:hAnsi="Calibri" w:cs="Calibri"/>
          <w:snapToGrid w:val="0"/>
          <w:sz w:val="24"/>
          <w:szCs w:val="24"/>
        </w:rPr>
        <w:t>0 mg tablet, 56</w:t>
      </w:r>
    </w:p>
    <w:p w14:paraId="43EF8587" w14:textId="6566C473" w:rsidR="00764D50" w:rsidRPr="00C17537" w:rsidRDefault="00764D50" w:rsidP="007C18E3">
      <w:pPr>
        <w:pStyle w:val="3-BodyText"/>
        <w:spacing w:after="120" w:line="240" w:lineRule="auto"/>
        <w:jc w:val="both"/>
        <w:rPr>
          <w:rFonts w:ascii="Calibri" w:eastAsia="Times New Roman" w:hAnsi="Calibri" w:cs="Calibri"/>
          <w:snapToGrid w:val="0"/>
          <w:sz w:val="24"/>
          <w:szCs w:val="24"/>
        </w:rPr>
      </w:pPr>
      <w:r w:rsidRPr="00764D50">
        <w:rPr>
          <w:rFonts w:ascii="Calibri" w:eastAsia="Times New Roman" w:hAnsi="Calibri" w:cs="Calibri"/>
          <w:snapToGrid w:val="0"/>
          <w:sz w:val="24"/>
          <w:szCs w:val="24"/>
        </w:rPr>
        <w:t>The following outlines the proposed new Restricted Benefit listing for LTG for bipolar disorder.</w:t>
      </w:r>
    </w:p>
    <w:tbl>
      <w:tblPr>
        <w:tblStyle w:val="TableGrid"/>
        <w:tblW w:w="0" w:type="auto"/>
        <w:tblLook w:val="04A0" w:firstRow="1" w:lastRow="0" w:firstColumn="1" w:lastColumn="0" w:noHBand="0" w:noVBand="1"/>
      </w:tblPr>
      <w:tblGrid>
        <w:gridCol w:w="9016"/>
      </w:tblGrid>
      <w:tr w:rsidR="00AE6E8E" w14:paraId="7799F820" w14:textId="77777777" w:rsidTr="00716F5B">
        <w:tc>
          <w:tcPr>
            <w:tcW w:w="9016" w:type="dxa"/>
          </w:tcPr>
          <w:p w14:paraId="4A3AB5F3" w14:textId="77777777" w:rsidR="00AE6E8E" w:rsidRPr="00A75CC1" w:rsidRDefault="00AE6E8E" w:rsidP="00716F5B">
            <w:pPr>
              <w:spacing w:before="120" w:after="120"/>
              <w:rPr>
                <w:rFonts w:ascii="Arial Narrow" w:eastAsia="Times New Roman" w:hAnsi="Arial Narrow" w:cstheme="minorHAnsi"/>
                <w:sz w:val="20"/>
                <w:szCs w:val="20"/>
                <w:lang w:eastAsia="en-AU"/>
              </w:rPr>
            </w:pPr>
            <w:r w:rsidRPr="00BD161E">
              <w:rPr>
                <w:rFonts w:ascii="Arial Narrow" w:eastAsia="Times New Roman" w:hAnsi="Arial Narrow" w:cstheme="minorHAnsi"/>
                <w:sz w:val="20"/>
                <w:szCs w:val="20"/>
                <w:u w:val="single"/>
                <w:lang w:eastAsia="en-AU"/>
              </w:rPr>
              <w:t>Restricted Benefit</w:t>
            </w:r>
          </w:p>
          <w:p w14:paraId="39F030F9" w14:textId="77777777" w:rsidR="00AE6E8E" w:rsidRDefault="00AB12D6" w:rsidP="00716F5B">
            <w:pPr>
              <w:spacing w:before="120" w:after="120"/>
              <w:rPr>
                <w:rFonts w:ascii="Arial Narrow" w:eastAsia="Times New Roman" w:hAnsi="Arial Narrow" w:cstheme="minorHAnsi"/>
                <w:sz w:val="20"/>
                <w:szCs w:val="20"/>
                <w:lang w:eastAsia="en-AU"/>
              </w:rPr>
            </w:pPr>
            <w:r>
              <w:rPr>
                <w:rFonts w:ascii="Arial Narrow" w:eastAsia="Times New Roman" w:hAnsi="Arial Narrow" w:cstheme="minorHAnsi"/>
                <w:sz w:val="20"/>
                <w:szCs w:val="20"/>
                <w:lang w:eastAsia="en-AU"/>
              </w:rPr>
              <w:t xml:space="preserve">Indication: </w:t>
            </w:r>
            <w:r w:rsidR="00AE6E8E">
              <w:rPr>
                <w:rFonts w:ascii="Arial Narrow" w:eastAsia="Times New Roman" w:hAnsi="Arial Narrow" w:cstheme="minorHAnsi"/>
                <w:sz w:val="20"/>
                <w:szCs w:val="20"/>
                <w:lang w:eastAsia="en-AU"/>
              </w:rPr>
              <w:t>Bipolar disorder</w:t>
            </w:r>
          </w:p>
          <w:p w14:paraId="339C5E5B" w14:textId="77777777" w:rsidR="00E10D05" w:rsidRPr="00FF537E" w:rsidRDefault="00E10D05" w:rsidP="00E10D05">
            <w:pPr>
              <w:spacing w:before="120" w:after="120"/>
              <w:rPr>
                <w:rFonts w:ascii="Arial Narrow" w:eastAsia="Times New Roman" w:hAnsi="Arial Narrow"/>
                <w:color w:val="333333"/>
                <w:kern w:val="2"/>
                <w:sz w:val="20"/>
                <w:szCs w:val="20"/>
                <w:lang w:eastAsia="en-AU"/>
                <w14:ligatures w14:val="standardContextual"/>
              </w:rPr>
            </w:pPr>
            <w:r w:rsidRPr="00FF537E">
              <w:rPr>
                <w:rFonts w:ascii="Arial Narrow" w:eastAsia="Times New Roman" w:hAnsi="Arial Narrow"/>
                <w:color w:val="333333"/>
                <w:kern w:val="2"/>
                <w:sz w:val="20"/>
                <w:szCs w:val="20"/>
                <w:lang w:eastAsia="en-AU"/>
                <w14:ligatures w14:val="standardContextual"/>
              </w:rPr>
              <w:t>Treatment criteria:</w:t>
            </w:r>
          </w:p>
          <w:p w14:paraId="49630A96" w14:textId="10DCA9F2" w:rsidR="00AB12D6" w:rsidRPr="0048161F" w:rsidRDefault="00E10D05" w:rsidP="00E10D05">
            <w:pPr>
              <w:spacing w:before="120" w:after="120"/>
              <w:rPr>
                <w:rFonts w:ascii="Arial Narrow" w:eastAsia="Times New Roman" w:hAnsi="Arial Narrow" w:cstheme="minorHAnsi"/>
                <w:sz w:val="20"/>
                <w:szCs w:val="20"/>
                <w:lang w:eastAsia="en-AU"/>
              </w:rPr>
            </w:pPr>
            <w:r w:rsidRPr="00FF537E">
              <w:rPr>
                <w:rFonts w:ascii="Arial Narrow" w:eastAsia="Times New Roman"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26FB3D0C" w14:textId="7683C7C6" w:rsidR="006D7931" w:rsidRPr="006D7931" w:rsidRDefault="00AE6E8E" w:rsidP="007C18E3">
      <w:pPr>
        <w:pStyle w:val="3-BodyText"/>
        <w:spacing w:before="240" w:after="120" w:line="240" w:lineRule="auto"/>
        <w:jc w:val="both"/>
        <w:rPr>
          <w:rFonts w:ascii="Calibri" w:eastAsia="Times New Roman" w:hAnsi="Calibri" w:cs="Calibri"/>
          <w:snapToGrid w:val="0"/>
          <w:sz w:val="24"/>
          <w:szCs w:val="24"/>
        </w:rPr>
      </w:pPr>
      <w:r>
        <w:rPr>
          <w:rFonts w:ascii="Calibri" w:eastAsia="Times New Roman" w:hAnsi="Calibri" w:cs="Calibri"/>
          <w:snapToGrid w:val="0"/>
          <w:sz w:val="24"/>
          <w:szCs w:val="24"/>
        </w:rPr>
        <w:t>The proposed listing is supported by Australian clinical guidelines. For example, the electronic Therapeutic Guidelines (eTG) recommend</w:t>
      </w:r>
      <w:r w:rsidR="002A45D9">
        <w:rPr>
          <w:rFonts w:ascii="Calibri" w:eastAsia="Times New Roman" w:hAnsi="Calibri" w:cs="Calibri"/>
          <w:snapToGrid w:val="0"/>
          <w:sz w:val="24"/>
          <w:szCs w:val="24"/>
        </w:rPr>
        <w:t>s</w:t>
      </w:r>
      <w:r>
        <w:rPr>
          <w:rFonts w:ascii="Calibri" w:eastAsia="Times New Roman" w:hAnsi="Calibri" w:cs="Calibri"/>
          <w:snapToGrid w:val="0"/>
          <w:sz w:val="24"/>
          <w:szCs w:val="24"/>
        </w:rPr>
        <w:t xml:space="preserve"> LTG as first-line monotherapy for the treatment of bipolar depression</w:t>
      </w:r>
      <w:r w:rsidR="004D6EE6">
        <w:rPr>
          <w:rFonts w:ascii="Calibri" w:eastAsia="Times New Roman" w:hAnsi="Calibri" w:cs="Calibri"/>
          <w:snapToGrid w:val="0"/>
          <w:sz w:val="24"/>
          <w:szCs w:val="24"/>
        </w:rPr>
        <w:t>;</w:t>
      </w:r>
      <w:r>
        <w:rPr>
          <w:rFonts w:ascii="Calibri" w:eastAsia="Times New Roman" w:hAnsi="Calibri" w:cs="Calibri"/>
          <w:snapToGrid w:val="0"/>
          <w:sz w:val="24"/>
          <w:szCs w:val="24"/>
        </w:rPr>
        <w:t xml:space="preserve"> and </w:t>
      </w:r>
      <w:r w:rsidRPr="00E45EC8">
        <w:rPr>
          <w:rFonts w:ascii="Calibri" w:eastAsia="Times New Roman" w:hAnsi="Calibri" w:cs="Calibri"/>
          <w:snapToGrid w:val="0"/>
          <w:sz w:val="24"/>
          <w:szCs w:val="24"/>
        </w:rPr>
        <w:t xml:space="preserve">as second-line monotherapy for </w:t>
      </w:r>
      <w:r w:rsidR="007F5484">
        <w:rPr>
          <w:rFonts w:ascii="Calibri" w:eastAsia="Times New Roman" w:hAnsi="Calibri" w:cs="Calibri"/>
          <w:snapToGrid w:val="0"/>
          <w:sz w:val="24"/>
          <w:szCs w:val="24"/>
        </w:rPr>
        <w:t xml:space="preserve">the </w:t>
      </w:r>
      <w:r w:rsidRPr="00E45EC8">
        <w:rPr>
          <w:rFonts w:ascii="Calibri" w:eastAsia="Times New Roman" w:hAnsi="Calibri" w:cs="Calibri"/>
          <w:snapToGrid w:val="0"/>
          <w:sz w:val="24"/>
          <w:szCs w:val="24"/>
        </w:rPr>
        <w:t>prophylaxis of bipolar disorder</w:t>
      </w:r>
      <w:r>
        <w:rPr>
          <w:rFonts w:ascii="Calibri" w:eastAsia="Times New Roman" w:hAnsi="Calibri" w:cs="Calibri"/>
          <w:snapToGrid w:val="0"/>
          <w:sz w:val="24"/>
          <w:szCs w:val="24"/>
        </w:rPr>
        <w:t xml:space="preserve"> in adults and young people according to the following regimen:</w:t>
      </w:r>
    </w:p>
    <w:p w14:paraId="3198A424" w14:textId="77777777" w:rsidR="00AE6E8E" w:rsidRPr="006F47DF" w:rsidRDefault="00AE6E8E" w:rsidP="007C18E3">
      <w:pPr>
        <w:spacing w:before="120" w:after="120" w:line="240" w:lineRule="auto"/>
        <w:ind w:left="720"/>
        <w:jc w:val="both"/>
        <w:rPr>
          <w:rFonts w:ascii="Calibri" w:eastAsia="Times New Roman" w:hAnsi="Calibri" w:cs="Calibri"/>
          <w:i/>
          <w:iCs/>
          <w:snapToGrid w:val="0"/>
          <w:sz w:val="24"/>
          <w:szCs w:val="24"/>
        </w:rPr>
      </w:pPr>
      <w:r w:rsidRPr="006F47DF">
        <w:rPr>
          <w:rFonts w:ascii="Calibri" w:eastAsia="Times New Roman" w:hAnsi="Calibri" w:cs="Calibri"/>
          <w:i/>
          <w:iCs/>
          <w:snapToGrid w:val="0"/>
          <w:sz w:val="24"/>
          <w:szCs w:val="24"/>
        </w:rPr>
        <w:t>Lamotrigine 25 mg orally, at night for 2 weeks; increase to 50 mg at night for 2 weeks; increase to 100 mg at night for 1 week; increase to 200 mg at night. Maximum daily dose of 400 mg. Continue for at least 6 to 12 months to prevent relapse, then assess if prophylaxis is required</w:t>
      </w:r>
      <w:r>
        <w:rPr>
          <w:rFonts w:ascii="Calibri" w:eastAsia="Times New Roman" w:hAnsi="Calibri" w:cs="Calibri"/>
          <w:i/>
          <w:iCs/>
          <w:snapToGrid w:val="0"/>
          <w:sz w:val="24"/>
          <w:szCs w:val="24"/>
        </w:rPr>
        <w:t>.</w:t>
      </w:r>
      <w:r>
        <w:rPr>
          <w:rStyle w:val="FootnoteReference"/>
          <w:rFonts w:ascii="Calibri" w:eastAsia="Times New Roman" w:hAnsi="Calibri" w:cs="Calibri"/>
          <w:i/>
          <w:iCs/>
          <w:snapToGrid w:val="0"/>
          <w:sz w:val="24"/>
          <w:szCs w:val="24"/>
        </w:rPr>
        <w:footnoteReference w:id="2"/>
      </w:r>
    </w:p>
    <w:p w14:paraId="47DDB7DE" w14:textId="70E4452A" w:rsidR="00AE6E8E" w:rsidRDefault="00600BB6" w:rsidP="007C18E3">
      <w:pPr>
        <w:spacing w:before="120" w:after="120" w:line="240" w:lineRule="auto"/>
        <w:ind w:left="720"/>
        <w:jc w:val="both"/>
        <w:rPr>
          <w:rFonts w:ascii="Calibri" w:eastAsia="Times New Roman" w:hAnsi="Calibri" w:cs="Calibri"/>
          <w:snapToGrid w:val="0"/>
          <w:sz w:val="24"/>
          <w:szCs w:val="24"/>
        </w:rPr>
      </w:pPr>
      <w:r>
        <w:rPr>
          <w:rFonts w:ascii="Calibri" w:eastAsia="Times New Roman" w:hAnsi="Calibri" w:cs="Calibri"/>
          <w:snapToGrid w:val="0"/>
          <w:sz w:val="24"/>
          <w:szCs w:val="24"/>
        </w:rPr>
        <w:t xml:space="preserve">In addition, </w:t>
      </w:r>
      <w:r w:rsidR="0081629D" w:rsidRPr="0081629D">
        <w:rPr>
          <w:rFonts w:ascii="Calibri" w:eastAsia="Times New Roman" w:hAnsi="Calibri" w:cs="Calibri"/>
          <w:snapToGrid w:val="0"/>
          <w:sz w:val="24"/>
          <w:szCs w:val="24"/>
        </w:rPr>
        <w:t xml:space="preserve">three of the eight brands of LTG listed on the PBS are TGA-approved </w:t>
      </w:r>
      <w:r w:rsidR="00AE6E8E">
        <w:rPr>
          <w:rFonts w:ascii="Calibri" w:eastAsia="Times New Roman" w:hAnsi="Calibri" w:cs="Calibri"/>
          <w:snapToGrid w:val="0"/>
          <w:sz w:val="24"/>
          <w:szCs w:val="24"/>
        </w:rPr>
        <w:t>for</w:t>
      </w:r>
      <w:r w:rsidR="00AE6E8E" w:rsidRPr="00D768A0">
        <w:rPr>
          <w:rFonts w:ascii="Calibri" w:eastAsia="Times New Roman" w:hAnsi="Calibri" w:cs="Calibri"/>
          <w:snapToGrid w:val="0"/>
          <w:sz w:val="24"/>
          <w:szCs w:val="24"/>
        </w:rPr>
        <w:t xml:space="preserve"> the prevention of depressive episodes in patients with bipolar disorder</w:t>
      </w:r>
      <w:r w:rsidR="00AE6E8E">
        <w:rPr>
          <w:rFonts w:ascii="Calibri" w:eastAsia="Times New Roman" w:hAnsi="Calibri" w:cs="Calibri"/>
          <w:snapToGrid w:val="0"/>
          <w:sz w:val="24"/>
          <w:szCs w:val="24"/>
        </w:rPr>
        <w:t xml:space="preserve"> as well as for </w:t>
      </w:r>
      <w:r w:rsidR="00AE6E8E" w:rsidRPr="008F4C34">
        <w:rPr>
          <w:rFonts w:ascii="Calibri" w:eastAsia="Times New Roman" w:hAnsi="Calibri" w:cs="Calibri"/>
          <w:snapToGrid w:val="0"/>
          <w:sz w:val="24"/>
          <w:szCs w:val="24"/>
        </w:rPr>
        <w:t>the treatment of partial and generalised seizures in adults and children</w:t>
      </w:r>
      <w:r w:rsidR="0081629D">
        <w:rPr>
          <w:rFonts w:ascii="Calibri" w:eastAsia="Times New Roman" w:hAnsi="Calibri" w:cs="Calibri"/>
          <w:snapToGrid w:val="0"/>
          <w:sz w:val="24"/>
          <w:szCs w:val="24"/>
        </w:rPr>
        <w:t xml:space="preserve"> (</w:t>
      </w:r>
      <w:r w:rsidR="0081629D" w:rsidRPr="00DD39E6">
        <w:rPr>
          <w:rFonts w:ascii="Calibri" w:eastAsia="Times New Roman" w:hAnsi="Calibri" w:cs="Calibri"/>
          <w:snapToGrid w:val="0"/>
          <w:sz w:val="24"/>
          <w:szCs w:val="24"/>
        </w:rPr>
        <w:t>Lamictal®, Lamotrigine GH® and Sandoz Lamotrigine®</w:t>
      </w:r>
      <w:r w:rsidR="0081629D">
        <w:rPr>
          <w:rFonts w:ascii="Calibri" w:eastAsia="Times New Roman" w:hAnsi="Calibri" w:cs="Calibri"/>
          <w:snapToGrid w:val="0"/>
          <w:sz w:val="24"/>
          <w:szCs w:val="24"/>
        </w:rPr>
        <w:t>)</w:t>
      </w:r>
      <w:r w:rsidR="00AE6E8E">
        <w:rPr>
          <w:rFonts w:ascii="Calibri" w:eastAsia="Times New Roman" w:hAnsi="Calibri" w:cs="Calibri"/>
          <w:snapToGrid w:val="0"/>
          <w:sz w:val="24"/>
          <w:szCs w:val="24"/>
        </w:rPr>
        <w:t>.</w:t>
      </w:r>
    </w:p>
    <w:p w14:paraId="17210D0A" w14:textId="12F9FAC4" w:rsidR="006D7931" w:rsidRDefault="006D7931" w:rsidP="007C18E3">
      <w:pPr>
        <w:pStyle w:val="3-BodyText"/>
        <w:spacing w:after="120" w:line="240" w:lineRule="auto"/>
        <w:jc w:val="both"/>
        <w:rPr>
          <w:rFonts w:ascii="Calibri" w:eastAsia="Times New Roman" w:hAnsi="Calibri" w:cs="Calibri"/>
          <w:snapToGrid w:val="0"/>
          <w:sz w:val="24"/>
          <w:szCs w:val="24"/>
        </w:rPr>
      </w:pPr>
      <w:r w:rsidRPr="006D7931">
        <w:rPr>
          <w:rFonts w:ascii="Calibri" w:eastAsia="Times New Roman" w:hAnsi="Calibri" w:cs="Calibri"/>
          <w:snapToGrid w:val="0"/>
          <w:sz w:val="24"/>
          <w:szCs w:val="24"/>
        </w:rPr>
        <w:t>The PBAC was asked to consider and provide advice on several aspects of the proposed restriction for LTG for bipolar disorder, including:</w:t>
      </w:r>
    </w:p>
    <w:p w14:paraId="1904FA6F" w14:textId="7B1834ED" w:rsidR="006D7931" w:rsidRDefault="006D7931" w:rsidP="008F5EC9">
      <w:pPr>
        <w:pStyle w:val="ListParagraph"/>
        <w:numPr>
          <w:ilvl w:val="0"/>
          <w:numId w:val="4"/>
        </w:numPr>
        <w:spacing w:line="240" w:lineRule="auto"/>
        <w:jc w:val="both"/>
        <w:rPr>
          <w:rFonts w:ascii="Calibri" w:eastAsia="Times New Roman" w:hAnsi="Calibri" w:cs="Calibri"/>
          <w:snapToGrid w:val="0"/>
          <w:sz w:val="24"/>
          <w:szCs w:val="24"/>
        </w:rPr>
      </w:pPr>
      <w:r w:rsidRPr="006D7931">
        <w:rPr>
          <w:rFonts w:ascii="Calibri" w:eastAsia="Times New Roman" w:hAnsi="Calibri" w:cs="Calibri"/>
          <w:snapToGrid w:val="0"/>
          <w:sz w:val="24"/>
          <w:szCs w:val="24"/>
        </w:rPr>
        <w:t>Whether the 5 mg tablet form of LTG should be included in the listing, given that the recommended starting dose for this indication is 25 mg at night for two weeks.</w:t>
      </w:r>
    </w:p>
    <w:p w14:paraId="6DB957F7" w14:textId="3CE25B20" w:rsidR="006D7931" w:rsidRPr="00433252" w:rsidRDefault="006D7931" w:rsidP="008F5EC9">
      <w:pPr>
        <w:pStyle w:val="ListParagraph"/>
        <w:numPr>
          <w:ilvl w:val="0"/>
          <w:numId w:val="4"/>
        </w:numPr>
        <w:spacing w:line="240" w:lineRule="auto"/>
        <w:jc w:val="both"/>
        <w:rPr>
          <w:rFonts w:ascii="Calibri" w:eastAsia="Times New Roman" w:hAnsi="Calibri" w:cs="Calibri"/>
          <w:snapToGrid w:val="0"/>
          <w:sz w:val="24"/>
          <w:szCs w:val="24"/>
        </w:rPr>
      </w:pPr>
      <w:r w:rsidRPr="006D7931">
        <w:rPr>
          <w:rFonts w:ascii="Calibri" w:eastAsia="Times New Roman" w:hAnsi="Calibri" w:cs="Calibri"/>
          <w:snapToGrid w:val="0"/>
          <w:sz w:val="24"/>
          <w:szCs w:val="24"/>
        </w:rPr>
        <w:t xml:space="preserve">The </w:t>
      </w:r>
      <w:r>
        <w:rPr>
          <w:rFonts w:ascii="Calibri" w:eastAsia="Times New Roman" w:hAnsi="Calibri" w:cs="Calibri"/>
          <w:snapToGrid w:val="0"/>
          <w:sz w:val="24"/>
          <w:szCs w:val="24"/>
        </w:rPr>
        <w:t>appropriateness</w:t>
      </w:r>
      <w:r w:rsidRPr="006D7931">
        <w:rPr>
          <w:rFonts w:ascii="Calibri" w:eastAsia="Times New Roman" w:hAnsi="Calibri" w:cs="Calibri"/>
          <w:snapToGrid w:val="0"/>
          <w:sz w:val="24"/>
          <w:szCs w:val="24"/>
        </w:rPr>
        <w:t xml:space="preserve"> of a 60-day PBS listing for this indication, noting that a 60-day listing has been available for LTG for epileptic seizures since 1 March 2024.</w:t>
      </w:r>
    </w:p>
    <w:p w14:paraId="3143A0FC" w14:textId="52313952" w:rsidR="006D7931" w:rsidRPr="00F06485" w:rsidRDefault="006D7931" w:rsidP="008F5EC9">
      <w:pPr>
        <w:pStyle w:val="ListParagraph"/>
        <w:numPr>
          <w:ilvl w:val="0"/>
          <w:numId w:val="4"/>
        </w:numPr>
        <w:spacing w:line="240" w:lineRule="auto"/>
        <w:jc w:val="both"/>
        <w:rPr>
          <w:rFonts w:ascii="Calibri" w:eastAsia="Times New Roman" w:hAnsi="Calibri" w:cs="Calibri"/>
          <w:snapToGrid w:val="0"/>
          <w:sz w:val="24"/>
          <w:szCs w:val="24"/>
        </w:rPr>
      </w:pPr>
      <w:r w:rsidRPr="006D7931">
        <w:rPr>
          <w:rFonts w:ascii="Calibri" w:eastAsia="Times New Roman" w:hAnsi="Calibri" w:cs="Calibri"/>
          <w:snapToGrid w:val="0"/>
          <w:sz w:val="24"/>
          <w:szCs w:val="24"/>
        </w:rPr>
        <w:t>Whether nurse practitioners should be permitted</w:t>
      </w:r>
      <w:r w:rsidR="005240F8">
        <w:rPr>
          <w:rFonts w:ascii="Calibri" w:eastAsia="Times New Roman" w:hAnsi="Calibri" w:cs="Calibri"/>
          <w:snapToGrid w:val="0"/>
          <w:sz w:val="24"/>
          <w:szCs w:val="24"/>
        </w:rPr>
        <w:t xml:space="preserve"> </w:t>
      </w:r>
      <w:r w:rsidR="005240F8" w:rsidRPr="005240F8">
        <w:rPr>
          <w:rFonts w:ascii="Calibri" w:eastAsia="Times New Roman" w:hAnsi="Calibri" w:cs="Calibri"/>
          <w:snapToGrid w:val="0"/>
          <w:sz w:val="24"/>
          <w:szCs w:val="24"/>
        </w:rPr>
        <w:t xml:space="preserve">to prescribe </w:t>
      </w:r>
      <w:r w:rsidR="005240F8">
        <w:rPr>
          <w:rFonts w:ascii="Calibri" w:eastAsia="Times New Roman" w:hAnsi="Calibri" w:cs="Calibri"/>
          <w:snapToGrid w:val="0"/>
          <w:sz w:val="24"/>
          <w:szCs w:val="24"/>
        </w:rPr>
        <w:t>LTG</w:t>
      </w:r>
      <w:r w:rsidR="005240F8" w:rsidRPr="005240F8">
        <w:rPr>
          <w:rFonts w:ascii="Calibri" w:eastAsia="Times New Roman" w:hAnsi="Calibri" w:cs="Calibri"/>
          <w:snapToGrid w:val="0"/>
          <w:sz w:val="24"/>
          <w:szCs w:val="24"/>
        </w:rPr>
        <w:t xml:space="preserve"> for bipolar disorder under the PBS, consistent with the current prescribing arrangements for epileptic seizures.</w:t>
      </w:r>
    </w:p>
    <w:p w14:paraId="1C847455" w14:textId="40FD1117" w:rsidR="006D7931" w:rsidRDefault="006D7931" w:rsidP="008F5EC9">
      <w:pPr>
        <w:pStyle w:val="ListParagraph"/>
        <w:numPr>
          <w:ilvl w:val="0"/>
          <w:numId w:val="4"/>
        </w:numPr>
        <w:spacing w:before="120" w:after="120" w:line="240" w:lineRule="auto"/>
        <w:jc w:val="both"/>
        <w:rPr>
          <w:rFonts w:ascii="Calibri" w:eastAsia="Times New Roman" w:hAnsi="Calibri" w:cs="Calibri"/>
          <w:snapToGrid w:val="0"/>
          <w:sz w:val="24"/>
          <w:szCs w:val="24"/>
        </w:rPr>
      </w:pPr>
      <w:r w:rsidRPr="006D7931">
        <w:rPr>
          <w:rFonts w:ascii="Calibri" w:eastAsia="Times New Roman" w:hAnsi="Calibri" w:cs="Calibri"/>
          <w:snapToGrid w:val="0"/>
          <w:sz w:val="24"/>
          <w:szCs w:val="24"/>
        </w:rPr>
        <w:lastRenderedPageBreak/>
        <w:t xml:space="preserve">Whether an Unrestricted Benefit listing </w:t>
      </w:r>
      <w:r w:rsidR="00192BF9">
        <w:rPr>
          <w:rFonts w:ascii="Calibri" w:eastAsia="Times New Roman" w:hAnsi="Calibri" w:cs="Calibri"/>
          <w:snapToGrid w:val="0"/>
          <w:sz w:val="24"/>
          <w:szCs w:val="24"/>
        </w:rPr>
        <w:t>would</w:t>
      </w:r>
      <w:r w:rsidRPr="006D7931">
        <w:rPr>
          <w:rFonts w:ascii="Calibri" w:eastAsia="Times New Roman" w:hAnsi="Calibri" w:cs="Calibri"/>
          <w:snapToGrid w:val="0"/>
          <w:sz w:val="24"/>
          <w:szCs w:val="24"/>
        </w:rPr>
        <w:t xml:space="preserve"> be more appropriate than a Restricted Benefit listing, </w:t>
      </w:r>
      <w:r w:rsidR="000041B6">
        <w:rPr>
          <w:rFonts w:ascii="Calibri" w:eastAsia="Times New Roman" w:hAnsi="Calibri" w:cs="Calibri"/>
          <w:snapToGrid w:val="0"/>
          <w:sz w:val="24"/>
          <w:szCs w:val="24"/>
        </w:rPr>
        <w:t xml:space="preserve">noting </w:t>
      </w:r>
      <w:r w:rsidRPr="006D7931">
        <w:rPr>
          <w:rFonts w:ascii="Calibri" w:eastAsia="Times New Roman" w:hAnsi="Calibri" w:cs="Calibri"/>
          <w:snapToGrid w:val="0"/>
          <w:sz w:val="24"/>
          <w:szCs w:val="24"/>
        </w:rPr>
        <w:t xml:space="preserve">that an Unrestricted Benefit </w:t>
      </w:r>
      <w:r w:rsidR="000041B6">
        <w:rPr>
          <w:rFonts w:ascii="Calibri" w:eastAsia="Times New Roman" w:hAnsi="Calibri" w:cs="Calibri"/>
          <w:snapToGrid w:val="0"/>
          <w:sz w:val="24"/>
          <w:szCs w:val="24"/>
        </w:rPr>
        <w:t xml:space="preserve">listing </w:t>
      </w:r>
      <w:r w:rsidR="00121032">
        <w:rPr>
          <w:rFonts w:ascii="Calibri" w:eastAsia="Times New Roman" w:hAnsi="Calibri" w:cs="Calibri"/>
          <w:snapToGrid w:val="0"/>
          <w:sz w:val="24"/>
          <w:szCs w:val="24"/>
        </w:rPr>
        <w:t xml:space="preserve">may </w:t>
      </w:r>
      <w:r w:rsidRPr="006D7931">
        <w:rPr>
          <w:rFonts w:ascii="Calibri" w:eastAsia="Times New Roman" w:hAnsi="Calibri" w:cs="Calibri"/>
          <w:snapToGrid w:val="0"/>
          <w:sz w:val="24"/>
          <w:szCs w:val="24"/>
        </w:rPr>
        <w:t xml:space="preserve">increase </w:t>
      </w:r>
      <w:r w:rsidR="000041B6">
        <w:rPr>
          <w:rFonts w:ascii="Calibri" w:eastAsia="Times New Roman" w:hAnsi="Calibri" w:cs="Calibri"/>
          <w:snapToGrid w:val="0"/>
          <w:sz w:val="24"/>
          <w:szCs w:val="24"/>
        </w:rPr>
        <w:t>PBS</w:t>
      </w:r>
      <w:r w:rsidR="00121032">
        <w:rPr>
          <w:rFonts w:ascii="Calibri" w:eastAsia="Times New Roman" w:hAnsi="Calibri" w:cs="Calibri"/>
          <w:snapToGrid w:val="0"/>
          <w:sz w:val="24"/>
          <w:szCs w:val="24"/>
        </w:rPr>
        <w:t>-subsidised</w:t>
      </w:r>
      <w:r w:rsidR="000041B6">
        <w:rPr>
          <w:rFonts w:ascii="Calibri" w:eastAsia="Times New Roman" w:hAnsi="Calibri" w:cs="Calibri"/>
          <w:snapToGrid w:val="0"/>
          <w:sz w:val="24"/>
          <w:szCs w:val="24"/>
        </w:rPr>
        <w:t xml:space="preserve"> use of </w:t>
      </w:r>
      <w:r w:rsidRPr="006D7931">
        <w:rPr>
          <w:rFonts w:ascii="Calibri" w:eastAsia="Times New Roman" w:hAnsi="Calibri" w:cs="Calibri"/>
          <w:snapToGrid w:val="0"/>
          <w:sz w:val="24"/>
          <w:szCs w:val="24"/>
        </w:rPr>
        <w:t xml:space="preserve">LTG for conditions </w:t>
      </w:r>
      <w:r w:rsidR="00A968C8">
        <w:rPr>
          <w:rFonts w:ascii="Calibri" w:eastAsia="Times New Roman" w:hAnsi="Calibri" w:cs="Calibri"/>
          <w:snapToGrid w:val="0"/>
          <w:sz w:val="24"/>
          <w:szCs w:val="24"/>
        </w:rPr>
        <w:t>beyond</w:t>
      </w:r>
      <w:r w:rsidRPr="006D7931">
        <w:rPr>
          <w:rFonts w:ascii="Calibri" w:eastAsia="Times New Roman" w:hAnsi="Calibri" w:cs="Calibri"/>
          <w:snapToGrid w:val="0"/>
          <w:sz w:val="24"/>
          <w:szCs w:val="24"/>
        </w:rPr>
        <w:t xml:space="preserve"> epilepsy and bipolar disorder (such as </w:t>
      </w:r>
      <w:r w:rsidR="004D6EE6">
        <w:rPr>
          <w:rFonts w:ascii="Calibri" w:eastAsia="Times New Roman" w:hAnsi="Calibri" w:cs="Calibri"/>
          <w:snapToGrid w:val="0"/>
          <w:sz w:val="24"/>
          <w:szCs w:val="24"/>
        </w:rPr>
        <w:t xml:space="preserve">for </w:t>
      </w:r>
      <w:r w:rsidRPr="006D7931">
        <w:rPr>
          <w:rFonts w:ascii="Calibri" w:eastAsia="Times New Roman" w:hAnsi="Calibri" w:cs="Calibri"/>
          <w:snapToGrid w:val="0"/>
          <w:sz w:val="24"/>
          <w:szCs w:val="24"/>
        </w:rPr>
        <w:t>trigeminal neuralgia).</w:t>
      </w:r>
    </w:p>
    <w:p w14:paraId="2F40DB5E" w14:textId="33C8B975" w:rsidR="009142E0" w:rsidRPr="009142E0" w:rsidRDefault="009142E0" w:rsidP="009142E0">
      <w:pPr>
        <w:spacing w:before="120" w:after="120" w:line="240" w:lineRule="auto"/>
        <w:ind w:left="720"/>
        <w:jc w:val="both"/>
        <w:rPr>
          <w:rFonts w:ascii="Calibri" w:eastAsia="Times New Roman" w:hAnsi="Calibri" w:cs="Calibri"/>
          <w:i/>
          <w:iCs/>
          <w:snapToGrid w:val="0"/>
          <w:sz w:val="24"/>
          <w:szCs w:val="24"/>
        </w:rPr>
      </w:pPr>
      <w:r w:rsidRPr="00137CCC">
        <w:rPr>
          <w:rFonts w:ascii="Calibri" w:eastAsia="Times New Roman" w:hAnsi="Calibri" w:cs="Calibri"/>
          <w:i/>
          <w:iCs/>
          <w:snapToGrid w:val="0"/>
          <w:sz w:val="24"/>
          <w:szCs w:val="24"/>
        </w:rPr>
        <w:t>For more detail on PBAC’s view, see section 5 PBAC outcome.</w:t>
      </w:r>
    </w:p>
    <w:p w14:paraId="0A454DFC" w14:textId="06F7038D" w:rsidR="00BD1E3E" w:rsidRPr="00F31393" w:rsidRDefault="00751305" w:rsidP="008F5EC9">
      <w:pPr>
        <w:pStyle w:val="2-SectionHeading"/>
      </w:pPr>
      <w:bookmarkStart w:id="8" w:name="_Hlk209699052"/>
      <w:r>
        <w:t>F</w:t>
      </w:r>
      <w:r w:rsidR="00F96AF1">
        <w:t>inancial impact to the R/PBS of the proposed listing</w:t>
      </w:r>
    </w:p>
    <w:bookmarkEnd w:id="8"/>
    <w:p w14:paraId="3AEA9519" w14:textId="21BA8939" w:rsidR="00142A9D" w:rsidRPr="005D0F15" w:rsidRDefault="005D0F15" w:rsidP="001C1FBD">
      <w:pPr>
        <w:pStyle w:val="Heading2"/>
        <w:spacing w:before="120" w:after="120" w:line="240" w:lineRule="auto"/>
        <w:rPr>
          <w:rFonts w:asciiTheme="minorHAnsi" w:hAnsiTheme="minorHAnsi" w:cstheme="minorHAnsi"/>
          <w:b/>
          <w:bCs/>
          <w:i/>
          <w:iCs/>
          <w:color w:val="auto"/>
          <w:sz w:val="28"/>
          <w:szCs w:val="28"/>
        </w:rPr>
      </w:pPr>
      <w:r>
        <w:rPr>
          <w:rFonts w:asciiTheme="minorHAnsi" w:hAnsiTheme="minorHAnsi" w:cstheme="minorHAnsi"/>
          <w:b/>
          <w:bCs/>
          <w:i/>
          <w:iCs/>
          <w:color w:val="auto"/>
          <w:sz w:val="28"/>
          <w:szCs w:val="28"/>
        </w:rPr>
        <w:t>Market analysis</w:t>
      </w:r>
    </w:p>
    <w:p w14:paraId="1DB777AA" w14:textId="5378B5FD" w:rsidR="000C36A2" w:rsidRPr="00667C5E" w:rsidRDefault="000C36A2" w:rsidP="007C18E3">
      <w:pPr>
        <w:pStyle w:val="3-BodyText"/>
        <w:spacing w:after="120" w:line="240" w:lineRule="auto"/>
        <w:jc w:val="both"/>
        <w:rPr>
          <w:rFonts w:ascii="Calibri" w:eastAsia="Times New Roman" w:hAnsi="Calibri" w:cs="Calibri"/>
          <w:snapToGrid w:val="0"/>
          <w:sz w:val="24"/>
          <w:szCs w:val="24"/>
        </w:rPr>
      </w:pPr>
      <w:r w:rsidRPr="000C36A2">
        <w:rPr>
          <w:rFonts w:ascii="Calibri" w:eastAsia="Times New Roman" w:hAnsi="Calibri" w:cs="Calibri"/>
          <w:snapToGrid w:val="0"/>
          <w:sz w:val="24"/>
          <w:szCs w:val="24"/>
        </w:rPr>
        <w:t xml:space="preserve">To </w:t>
      </w:r>
      <w:r>
        <w:rPr>
          <w:rFonts w:ascii="Calibri" w:eastAsia="Times New Roman" w:hAnsi="Calibri" w:cs="Calibri"/>
          <w:snapToGrid w:val="0"/>
          <w:sz w:val="24"/>
          <w:szCs w:val="24"/>
        </w:rPr>
        <w:t>estimate</w:t>
      </w:r>
      <w:r w:rsidRPr="000C36A2">
        <w:rPr>
          <w:rFonts w:ascii="Calibri" w:eastAsia="Times New Roman" w:hAnsi="Calibri" w:cs="Calibri"/>
          <w:snapToGrid w:val="0"/>
          <w:sz w:val="24"/>
          <w:szCs w:val="24"/>
        </w:rPr>
        <w:t xml:space="preserve"> the total size of the LTG market, data on the number of LTG units supplied by wholesalers to retail pharmacies between 2020 and 2024—broken down by strength (5 mg, 25 mg, 50 mg, 100 mg, and 200 mg)—was sourced from the </w:t>
      </w:r>
      <w:r w:rsidR="006917C0">
        <w:rPr>
          <w:rFonts w:ascii="Calibri" w:eastAsia="Times New Roman" w:hAnsi="Calibri" w:cs="Calibri"/>
          <w:snapToGrid w:val="0"/>
          <w:sz w:val="24"/>
          <w:szCs w:val="24"/>
        </w:rPr>
        <w:t>Australian Pharmacy Index (</w:t>
      </w:r>
      <w:r w:rsidRPr="000C36A2">
        <w:rPr>
          <w:rFonts w:ascii="Calibri" w:eastAsia="Times New Roman" w:hAnsi="Calibri" w:cs="Calibri"/>
          <w:snapToGrid w:val="0"/>
          <w:sz w:val="24"/>
          <w:szCs w:val="24"/>
        </w:rPr>
        <w:t>API</w:t>
      </w:r>
      <w:r w:rsidR="006917C0">
        <w:rPr>
          <w:rFonts w:ascii="Calibri" w:eastAsia="Times New Roman" w:hAnsi="Calibri" w:cs="Calibri"/>
          <w:snapToGrid w:val="0"/>
          <w:sz w:val="24"/>
          <w:szCs w:val="24"/>
        </w:rPr>
        <w:t>)</w:t>
      </w:r>
      <w:r w:rsidRPr="000C36A2">
        <w:rPr>
          <w:rFonts w:ascii="Calibri" w:eastAsia="Times New Roman" w:hAnsi="Calibri" w:cs="Calibri"/>
          <w:snapToGrid w:val="0"/>
          <w:sz w:val="24"/>
          <w:szCs w:val="24"/>
        </w:rPr>
        <w:t xml:space="preserve"> dataset provided by IQVIA (see Table </w:t>
      </w:r>
      <w:r w:rsidR="009E4F68">
        <w:rPr>
          <w:rFonts w:ascii="Calibri" w:eastAsia="Times New Roman" w:hAnsi="Calibri" w:cs="Calibri"/>
          <w:snapToGrid w:val="0"/>
          <w:sz w:val="24"/>
          <w:szCs w:val="24"/>
        </w:rPr>
        <w:t>1</w:t>
      </w:r>
      <w:r w:rsidRPr="000C36A2">
        <w:rPr>
          <w:rFonts w:ascii="Calibri" w:eastAsia="Times New Roman" w:hAnsi="Calibri" w:cs="Calibri"/>
          <w:snapToGrid w:val="0"/>
          <w:sz w:val="24"/>
          <w:szCs w:val="24"/>
        </w:rPr>
        <w:t>).</w:t>
      </w:r>
      <w:r w:rsidR="00667C5E">
        <w:rPr>
          <w:rFonts w:ascii="Calibri" w:eastAsia="Times New Roman" w:hAnsi="Calibri" w:cs="Calibri"/>
          <w:snapToGrid w:val="0"/>
          <w:sz w:val="24"/>
          <w:szCs w:val="24"/>
        </w:rPr>
        <w:t xml:space="preserve"> </w:t>
      </w:r>
      <w:r w:rsidR="00667C5E" w:rsidRPr="000041B6">
        <w:rPr>
          <w:rFonts w:ascii="Calibri" w:eastAsia="Times New Roman" w:hAnsi="Calibri" w:cs="Calibri"/>
          <w:snapToGrid w:val="0"/>
          <w:sz w:val="24"/>
          <w:szCs w:val="24"/>
        </w:rPr>
        <w:t>The API dataset</w:t>
      </w:r>
      <w:r w:rsidR="00667C5E">
        <w:rPr>
          <w:rFonts w:ascii="Calibri" w:eastAsia="Times New Roman" w:hAnsi="Calibri" w:cs="Calibri"/>
          <w:snapToGrid w:val="0"/>
          <w:sz w:val="24"/>
          <w:szCs w:val="24"/>
        </w:rPr>
        <w:t xml:space="preserve"> </w:t>
      </w:r>
      <w:r w:rsidR="00667C5E" w:rsidRPr="000041B6">
        <w:rPr>
          <w:rFonts w:ascii="Calibri" w:eastAsia="Times New Roman" w:hAnsi="Calibri" w:cs="Calibri"/>
          <w:snapToGrid w:val="0"/>
          <w:sz w:val="24"/>
          <w:szCs w:val="24"/>
        </w:rPr>
        <w:t>captures sell-in data from pharmaceutical wholesalers and manufacturers supplying directly to retail pharmacies and covers approximately 96% of wholesalers.</w:t>
      </w:r>
    </w:p>
    <w:p w14:paraId="4EB12D1F" w14:textId="0A4F9EA7" w:rsidR="00761202" w:rsidRPr="00BE0A1B" w:rsidRDefault="00BE0A1B" w:rsidP="003A6675">
      <w:pPr>
        <w:spacing w:before="120" w:after="60" w:line="240" w:lineRule="auto"/>
        <w:rPr>
          <w:rFonts w:ascii="Arial Narrow" w:eastAsia="Times New Roman" w:hAnsi="Arial Narrow" w:cs="Calibri"/>
          <w:b/>
          <w:bCs/>
          <w:snapToGrid w:val="0"/>
          <w:sz w:val="20"/>
          <w:szCs w:val="20"/>
        </w:rPr>
      </w:pPr>
      <w:r>
        <w:rPr>
          <w:rFonts w:ascii="Arial Narrow" w:eastAsia="Times New Roman" w:hAnsi="Arial Narrow" w:cs="Calibri"/>
          <w:b/>
          <w:bCs/>
          <w:snapToGrid w:val="0"/>
          <w:sz w:val="20"/>
          <w:szCs w:val="20"/>
        </w:rPr>
        <w:t xml:space="preserve">Table </w:t>
      </w:r>
      <w:r w:rsidR="007734A8">
        <w:rPr>
          <w:rFonts w:ascii="Arial Narrow" w:eastAsia="Times New Roman" w:hAnsi="Arial Narrow" w:cs="Calibri"/>
          <w:b/>
          <w:bCs/>
          <w:snapToGrid w:val="0"/>
          <w:sz w:val="20"/>
          <w:szCs w:val="20"/>
        </w:rPr>
        <w:t>1</w:t>
      </w:r>
      <w:r>
        <w:rPr>
          <w:rFonts w:ascii="Arial Narrow" w:eastAsia="Times New Roman" w:hAnsi="Arial Narrow" w:cs="Calibri"/>
          <w:b/>
          <w:bCs/>
          <w:snapToGrid w:val="0"/>
          <w:sz w:val="20"/>
          <w:szCs w:val="20"/>
        </w:rPr>
        <w:t xml:space="preserve">: </w:t>
      </w:r>
      <w:r w:rsidR="00510626">
        <w:rPr>
          <w:rFonts w:ascii="Arial Narrow" w:eastAsia="Times New Roman" w:hAnsi="Arial Narrow" w:cs="Calibri"/>
          <w:b/>
          <w:bCs/>
          <w:snapToGrid w:val="0"/>
          <w:sz w:val="20"/>
          <w:szCs w:val="20"/>
        </w:rPr>
        <w:t>L</w:t>
      </w:r>
      <w:r w:rsidR="00E3075B">
        <w:rPr>
          <w:rFonts w:ascii="Arial Narrow" w:eastAsia="Times New Roman" w:hAnsi="Arial Narrow" w:cs="Calibri"/>
          <w:b/>
          <w:bCs/>
          <w:snapToGrid w:val="0"/>
          <w:sz w:val="20"/>
          <w:szCs w:val="20"/>
        </w:rPr>
        <w:t xml:space="preserve">amotrigine units supplied </w:t>
      </w:r>
      <w:r w:rsidR="00CC36A5" w:rsidRPr="00CC36A5">
        <w:rPr>
          <w:rFonts w:ascii="Arial Narrow" w:eastAsia="Times New Roman" w:hAnsi="Arial Narrow" w:cs="Calibri"/>
          <w:b/>
          <w:bCs/>
          <w:snapToGrid w:val="0"/>
          <w:sz w:val="20"/>
          <w:szCs w:val="20"/>
        </w:rPr>
        <w:t xml:space="preserve">by wholesalers to retail pharmacies </w:t>
      </w:r>
      <w:r w:rsidR="00E3075B">
        <w:rPr>
          <w:rFonts w:ascii="Arial Narrow" w:eastAsia="Times New Roman" w:hAnsi="Arial Narrow" w:cs="Calibri"/>
          <w:b/>
          <w:bCs/>
          <w:snapToGrid w:val="0"/>
          <w:sz w:val="20"/>
          <w:szCs w:val="20"/>
        </w:rPr>
        <w:t>(total market)</w:t>
      </w:r>
    </w:p>
    <w:tbl>
      <w:tblPr>
        <w:tblStyle w:val="TableGrid"/>
        <w:tblW w:w="5000" w:type="pct"/>
        <w:tblLook w:val="04A0" w:firstRow="1" w:lastRow="0" w:firstColumn="1" w:lastColumn="0" w:noHBand="0" w:noVBand="1"/>
      </w:tblPr>
      <w:tblGrid>
        <w:gridCol w:w="1806"/>
        <w:gridCol w:w="1350"/>
        <w:gridCol w:w="1351"/>
        <w:gridCol w:w="1351"/>
        <w:gridCol w:w="1580"/>
        <w:gridCol w:w="1578"/>
      </w:tblGrid>
      <w:tr w:rsidR="003B742D" w:rsidRPr="00761202" w14:paraId="18C0626B" w14:textId="77777777" w:rsidTr="00B37560">
        <w:trPr>
          <w:trHeight w:val="290"/>
        </w:trPr>
        <w:tc>
          <w:tcPr>
            <w:tcW w:w="1002" w:type="pct"/>
            <w:shd w:val="clear" w:color="auto" w:fill="D0CECE" w:themeFill="background2" w:themeFillShade="E6"/>
            <w:noWrap/>
            <w:vAlign w:val="center"/>
            <w:hideMark/>
          </w:tcPr>
          <w:p w14:paraId="2BE66450" w14:textId="77777777" w:rsidR="00761202" w:rsidRPr="00761202" w:rsidRDefault="00761202" w:rsidP="00761202">
            <w:pPr>
              <w:rPr>
                <w:rFonts w:ascii="Arial Narrow" w:eastAsia="Times New Roman" w:hAnsi="Arial Narrow"/>
                <w:sz w:val="20"/>
                <w:szCs w:val="20"/>
                <w:lang w:eastAsia="en-AU"/>
              </w:rPr>
            </w:pPr>
          </w:p>
        </w:tc>
        <w:tc>
          <w:tcPr>
            <w:tcW w:w="749" w:type="pct"/>
            <w:shd w:val="clear" w:color="auto" w:fill="D0CECE" w:themeFill="background2" w:themeFillShade="E6"/>
            <w:noWrap/>
            <w:vAlign w:val="center"/>
            <w:hideMark/>
          </w:tcPr>
          <w:p w14:paraId="40A3280E" w14:textId="77777777" w:rsidR="00761202" w:rsidRPr="00761202" w:rsidRDefault="00761202" w:rsidP="00761202">
            <w:pPr>
              <w:jc w:val="center"/>
              <w:rPr>
                <w:rFonts w:ascii="Arial Narrow" w:eastAsia="Times New Roman" w:hAnsi="Arial Narrow"/>
                <w:b/>
                <w:bCs/>
                <w:color w:val="000000"/>
                <w:sz w:val="20"/>
                <w:szCs w:val="20"/>
                <w:lang w:eastAsia="en-AU"/>
              </w:rPr>
            </w:pPr>
            <w:r w:rsidRPr="00761202">
              <w:rPr>
                <w:rFonts w:ascii="Arial Narrow" w:eastAsia="Times New Roman" w:hAnsi="Arial Narrow"/>
                <w:b/>
                <w:bCs/>
                <w:color w:val="000000"/>
                <w:sz w:val="20"/>
                <w:szCs w:val="20"/>
                <w:lang w:eastAsia="en-AU"/>
              </w:rPr>
              <w:t>2020</w:t>
            </w:r>
          </w:p>
        </w:tc>
        <w:tc>
          <w:tcPr>
            <w:tcW w:w="749" w:type="pct"/>
            <w:shd w:val="clear" w:color="auto" w:fill="D0CECE" w:themeFill="background2" w:themeFillShade="E6"/>
            <w:noWrap/>
            <w:vAlign w:val="center"/>
            <w:hideMark/>
          </w:tcPr>
          <w:p w14:paraId="4E447681" w14:textId="77777777" w:rsidR="00761202" w:rsidRPr="00761202" w:rsidRDefault="00761202" w:rsidP="00761202">
            <w:pPr>
              <w:jc w:val="center"/>
              <w:rPr>
                <w:rFonts w:ascii="Arial Narrow" w:eastAsia="Times New Roman" w:hAnsi="Arial Narrow"/>
                <w:b/>
                <w:bCs/>
                <w:color w:val="000000"/>
                <w:sz w:val="20"/>
                <w:szCs w:val="20"/>
                <w:lang w:eastAsia="en-AU"/>
              </w:rPr>
            </w:pPr>
            <w:r w:rsidRPr="00761202">
              <w:rPr>
                <w:rFonts w:ascii="Arial Narrow" w:eastAsia="Times New Roman" w:hAnsi="Arial Narrow"/>
                <w:b/>
                <w:bCs/>
                <w:color w:val="000000"/>
                <w:sz w:val="20"/>
                <w:szCs w:val="20"/>
                <w:lang w:eastAsia="en-AU"/>
              </w:rPr>
              <w:t>2021</w:t>
            </w:r>
          </w:p>
        </w:tc>
        <w:tc>
          <w:tcPr>
            <w:tcW w:w="749" w:type="pct"/>
            <w:shd w:val="clear" w:color="auto" w:fill="D0CECE" w:themeFill="background2" w:themeFillShade="E6"/>
            <w:noWrap/>
            <w:vAlign w:val="center"/>
            <w:hideMark/>
          </w:tcPr>
          <w:p w14:paraId="33830F67" w14:textId="77777777" w:rsidR="00761202" w:rsidRPr="00761202" w:rsidRDefault="00761202" w:rsidP="00761202">
            <w:pPr>
              <w:jc w:val="center"/>
              <w:rPr>
                <w:rFonts w:ascii="Arial Narrow" w:eastAsia="Times New Roman" w:hAnsi="Arial Narrow"/>
                <w:b/>
                <w:bCs/>
                <w:color w:val="000000"/>
                <w:sz w:val="20"/>
                <w:szCs w:val="20"/>
                <w:lang w:eastAsia="en-AU"/>
              </w:rPr>
            </w:pPr>
            <w:r w:rsidRPr="00761202">
              <w:rPr>
                <w:rFonts w:ascii="Arial Narrow" w:eastAsia="Times New Roman" w:hAnsi="Arial Narrow"/>
                <w:b/>
                <w:bCs/>
                <w:color w:val="000000"/>
                <w:sz w:val="20"/>
                <w:szCs w:val="20"/>
                <w:lang w:eastAsia="en-AU"/>
              </w:rPr>
              <w:t>2022</w:t>
            </w:r>
          </w:p>
        </w:tc>
        <w:tc>
          <w:tcPr>
            <w:tcW w:w="876" w:type="pct"/>
            <w:shd w:val="clear" w:color="auto" w:fill="D0CECE" w:themeFill="background2" w:themeFillShade="E6"/>
            <w:noWrap/>
            <w:vAlign w:val="center"/>
            <w:hideMark/>
          </w:tcPr>
          <w:p w14:paraId="45F2A268" w14:textId="77777777" w:rsidR="00761202" w:rsidRPr="00761202" w:rsidRDefault="00761202" w:rsidP="00761202">
            <w:pPr>
              <w:jc w:val="center"/>
              <w:rPr>
                <w:rFonts w:ascii="Arial Narrow" w:eastAsia="Times New Roman" w:hAnsi="Arial Narrow"/>
                <w:b/>
                <w:bCs/>
                <w:color w:val="000000"/>
                <w:sz w:val="20"/>
                <w:szCs w:val="20"/>
                <w:lang w:eastAsia="en-AU"/>
              </w:rPr>
            </w:pPr>
            <w:r w:rsidRPr="00761202">
              <w:rPr>
                <w:rFonts w:ascii="Arial Narrow" w:eastAsia="Times New Roman" w:hAnsi="Arial Narrow"/>
                <w:b/>
                <w:bCs/>
                <w:color w:val="000000"/>
                <w:sz w:val="20"/>
                <w:szCs w:val="20"/>
                <w:lang w:eastAsia="en-AU"/>
              </w:rPr>
              <w:t>2023</w:t>
            </w:r>
          </w:p>
        </w:tc>
        <w:tc>
          <w:tcPr>
            <w:tcW w:w="876" w:type="pct"/>
            <w:shd w:val="clear" w:color="auto" w:fill="D0CECE" w:themeFill="background2" w:themeFillShade="E6"/>
            <w:noWrap/>
            <w:vAlign w:val="center"/>
            <w:hideMark/>
          </w:tcPr>
          <w:p w14:paraId="084D4E45" w14:textId="77777777" w:rsidR="00761202" w:rsidRPr="00761202" w:rsidRDefault="00761202" w:rsidP="00761202">
            <w:pPr>
              <w:jc w:val="center"/>
              <w:rPr>
                <w:rFonts w:ascii="Arial Narrow" w:eastAsia="Times New Roman" w:hAnsi="Arial Narrow"/>
                <w:b/>
                <w:bCs/>
                <w:color w:val="000000"/>
                <w:sz w:val="20"/>
                <w:szCs w:val="20"/>
                <w:lang w:eastAsia="en-AU"/>
              </w:rPr>
            </w:pPr>
            <w:r w:rsidRPr="00761202">
              <w:rPr>
                <w:rFonts w:ascii="Arial Narrow" w:eastAsia="Times New Roman" w:hAnsi="Arial Narrow"/>
                <w:b/>
                <w:bCs/>
                <w:color w:val="000000"/>
                <w:sz w:val="20"/>
                <w:szCs w:val="20"/>
                <w:lang w:eastAsia="en-AU"/>
              </w:rPr>
              <w:t>2024</w:t>
            </w:r>
          </w:p>
        </w:tc>
      </w:tr>
      <w:tr w:rsidR="00761202" w:rsidRPr="00761202" w14:paraId="1C8AE0E3" w14:textId="77777777" w:rsidTr="00B37560">
        <w:trPr>
          <w:trHeight w:val="290"/>
        </w:trPr>
        <w:tc>
          <w:tcPr>
            <w:tcW w:w="1002" w:type="pct"/>
            <w:noWrap/>
            <w:vAlign w:val="center"/>
            <w:hideMark/>
          </w:tcPr>
          <w:p w14:paraId="278C62F0" w14:textId="77777777" w:rsidR="00761202" w:rsidRPr="00761202" w:rsidRDefault="00761202" w:rsidP="00761202">
            <w:pPr>
              <w:rPr>
                <w:rFonts w:ascii="Arial Narrow" w:eastAsia="Times New Roman" w:hAnsi="Arial Narrow"/>
                <w:color w:val="000000"/>
                <w:sz w:val="20"/>
                <w:szCs w:val="20"/>
                <w:lang w:eastAsia="en-AU"/>
              </w:rPr>
            </w:pPr>
            <w:r w:rsidRPr="00761202">
              <w:rPr>
                <w:rFonts w:ascii="Arial Narrow" w:eastAsia="Times New Roman" w:hAnsi="Arial Narrow"/>
                <w:color w:val="000000"/>
                <w:sz w:val="20"/>
                <w:szCs w:val="20"/>
                <w:lang w:eastAsia="en-AU"/>
              </w:rPr>
              <w:t>LTG 5mg</w:t>
            </w:r>
          </w:p>
        </w:tc>
        <w:tc>
          <w:tcPr>
            <w:tcW w:w="749" w:type="pct"/>
            <w:noWrap/>
            <w:vAlign w:val="center"/>
            <w:hideMark/>
          </w:tcPr>
          <w:p w14:paraId="4FBC5047" w14:textId="150B7B1F"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749" w:type="pct"/>
            <w:noWrap/>
            <w:vAlign w:val="center"/>
            <w:hideMark/>
          </w:tcPr>
          <w:p w14:paraId="06608B63" w14:textId="313EEEBE"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749" w:type="pct"/>
            <w:noWrap/>
            <w:vAlign w:val="center"/>
            <w:hideMark/>
          </w:tcPr>
          <w:p w14:paraId="40D01567" w14:textId="5659B1B5"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876" w:type="pct"/>
            <w:noWrap/>
            <w:vAlign w:val="center"/>
            <w:hideMark/>
          </w:tcPr>
          <w:p w14:paraId="09D1F25A" w14:textId="4A035FEB"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876" w:type="pct"/>
            <w:noWrap/>
            <w:vAlign w:val="center"/>
            <w:hideMark/>
          </w:tcPr>
          <w:p w14:paraId="564B29AE" w14:textId="7E839B2D"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r>
      <w:tr w:rsidR="00761202" w:rsidRPr="00761202" w14:paraId="385DCAA7" w14:textId="77777777" w:rsidTr="00B37560">
        <w:trPr>
          <w:trHeight w:val="290"/>
        </w:trPr>
        <w:tc>
          <w:tcPr>
            <w:tcW w:w="1002" w:type="pct"/>
            <w:noWrap/>
            <w:vAlign w:val="center"/>
            <w:hideMark/>
          </w:tcPr>
          <w:p w14:paraId="16E234CA" w14:textId="77777777" w:rsidR="00761202" w:rsidRPr="00761202" w:rsidRDefault="00761202" w:rsidP="00761202">
            <w:pPr>
              <w:rPr>
                <w:rFonts w:ascii="Arial Narrow" w:eastAsia="Times New Roman" w:hAnsi="Arial Narrow"/>
                <w:color w:val="000000"/>
                <w:sz w:val="20"/>
                <w:szCs w:val="20"/>
                <w:lang w:eastAsia="en-AU"/>
              </w:rPr>
            </w:pPr>
            <w:r w:rsidRPr="00761202">
              <w:rPr>
                <w:rFonts w:ascii="Arial Narrow" w:eastAsia="Times New Roman" w:hAnsi="Arial Narrow"/>
                <w:color w:val="000000"/>
                <w:sz w:val="20"/>
                <w:szCs w:val="20"/>
                <w:lang w:eastAsia="en-AU"/>
              </w:rPr>
              <w:t>LTG 25mg</w:t>
            </w:r>
          </w:p>
        </w:tc>
        <w:tc>
          <w:tcPr>
            <w:tcW w:w="749" w:type="pct"/>
            <w:noWrap/>
            <w:vAlign w:val="center"/>
            <w:hideMark/>
          </w:tcPr>
          <w:p w14:paraId="7F0FF86E" w14:textId="19E50144"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749" w:type="pct"/>
            <w:noWrap/>
            <w:vAlign w:val="center"/>
            <w:hideMark/>
          </w:tcPr>
          <w:p w14:paraId="22BA8601" w14:textId="016E412F"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749" w:type="pct"/>
            <w:noWrap/>
            <w:vAlign w:val="center"/>
            <w:hideMark/>
          </w:tcPr>
          <w:p w14:paraId="68B39985" w14:textId="7DC75361"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876" w:type="pct"/>
            <w:noWrap/>
            <w:vAlign w:val="center"/>
            <w:hideMark/>
          </w:tcPr>
          <w:p w14:paraId="4D157642" w14:textId="62D6AFFE"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876" w:type="pct"/>
            <w:noWrap/>
            <w:vAlign w:val="center"/>
            <w:hideMark/>
          </w:tcPr>
          <w:p w14:paraId="4B668DE1" w14:textId="612A7D1C"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r>
      <w:tr w:rsidR="00761202" w:rsidRPr="00761202" w14:paraId="2CD11392" w14:textId="77777777" w:rsidTr="00B37560">
        <w:trPr>
          <w:trHeight w:val="290"/>
        </w:trPr>
        <w:tc>
          <w:tcPr>
            <w:tcW w:w="1002" w:type="pct"/>
            <w:noWrap/>
            <w:vAlign w:val="center"/>
            <w:hideMark/>
          </w:tcPr>
          <w:p w14:paraId="01344150" w14:textId="77777777" w:rsidR="00761202" w:rsidRPr="00761202" w:rsidRDefault="00761202" w:rsidP="00761202">
            <w:pPr>
              <w:rPr>
                <w:rFonts w:ascii="Arial Narrow" w:eastAsia="Times New Roman" w:hAnsi="Arial Narrow"/>
                <w:color w:val="000000"/>
                <w:sz w:val="20"/>
                <w:szCs w:val="20"/>
                <w:lang w:eastAsia="en-AU"/>
              </w:rPr>
            </w:pPr>
            <w:r w:rsidRPr="00761202">
              <w:rPr>
                <w:rFonts w:ascii="Arial Narrow" w:eastAsia="Times New Roman" w:hAnsi="Arial Narrow"/>
                <w:color w:val="000000"/>
                <w:sz w:val="20"/>
                <w:szCs w:val="20"/>
                <w:lang w:eastAsia="en-AU"/>
              </w:rPr>
              <w:t>LTG 50mg</w:t>
            </w:r>
          </w:p>
        </w:tc>
        <w:tc>
          <w:tcPr>
            <w:tcW w:w="749" w:type="pct"/>
            <w:noWrap/>
            <w:vAlign w:val="center"/>
            <w:hideMark/>
          </w:tcPr>
          <w:p w14:paraId="4CBA48F8" w14:textId="360E9335"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749" w:type="pct"/>
            <w:noWrap/>
            <w:vAlign w:val="center"/>
            <w:hideMark/>
          </w:tcPr>
          <w:p w14:paraId="218E20B2" w14:textId="683231A4"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749" w:type="pct"/>
            <w:noWrap/>
            <w:vAlign w:val="center"/>
            <w:hideMark/>
          </w:tcPr>
          <w:p w14:paraId="6489205B" w14:textId="68A7552A"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876" w:type="pct"/>
            <w:noWrap/>
            <w:vAlign w:val="center"/>
            <w:hideMark/>
          </w:tcPr>
          <w:p w14:paraId="7BAB3F23" w14:textId="767B1E5F"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876" w:type="pct"/>
            <w:noWrap/>
            <w:vAlign w:val="center"/>
            <w:hideMark/>
          </w:tcPr>
          <w:p w14:paraId="73A21A1F" w14:textId="6C4914DA"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r>
      <w:tr w:rsidR="00761202" w:rsidRPr="00761202" w14:paraId="20FC2210" w14:textId="77777777" w:rsidTr="00B37560">
        <w:trPr>
          <w:trHeight w:val="290"/>
        </w:trPr>
        <w:tc>
          <w:tcPr>
            <w:tcW w:w="1002" w:type="pct"/>
            <w:noWrap/>
            <w:vAlign w:val="center"/>
            <w:hideMark/>
          </w:tcPr>
          <w:p w14:paraId="6BE888B3" w14:textId="77777777" w:rsidR="00761202" w:rsidRPr="00761202" w:rsidRDefault="00761202" w:rsidP="00761202">
            <w:pPr>
              <w:rPr>
                <w:rFonts w:ascii="Arial Narrow" w:eastAsia="Times New Roman" w:hAnsi="Arial Narrow"/>
                <w:color w:val="000000"/>
                <w:sz w:val="20"/>
                <w:szCs w:val="20"/>
                <w:lang w:eastAsia="en-AU"/>
              </w:rPr>
            </w:pPr>
            <w:r w:rsidRPr="00761202">
              <w:rPr>
                <w:rFonts w:ascii="Arial Narrow" w:eastAsia="Times New Roman" w:hAnsi="Arial Narrow"/>
                <w:color w:val="000000"/>
                <w:sz w:val="20"/>
                <w:szCs w:val="20"/>
                <w:lang w:eastAsia="en-AU"/>
              </w:rPr>
              <w:t>LTG 100mg</w:t>
            </w:r>
          </w:p>
        </w:tc>
        <w:tc>
          <w:tcPr>
            <w:tcW w:w="749" w:type="pct"/>
            <w:noWrap/>
            <w:vAlign w:val="center"/>
            <w:hideMark/>
          </w:tcPr>
          <w:p w14:paraId="52D131DD" w14:textId="4AB1D03A"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749" w:type="pct"/>
            <w:noWrap/>
            <w:vAlign w:val="center"/>
            <w:hideMark/>
          </w:tcPr>
          <w:p w14:paraId="3E72C86C" w14:textId="228E239A"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749" w:type="pct"/>
            <w:noWrap/>
            <w:vAlign w:val="center"/>
            <w:hideMark/>
          </w:tcPr>
          <w:p w14:paraId="547FA89B" w14:textId="41F89F51"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876" w:type="pct"/>
            <w:noWrap/>
            <w:vAlign w:val="center"/>
            <w:hideMark/>
          </w:tcPr>
          <w:p w14:paraId="40742630" w14:textId="7A04AE21"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876" w:type="pct"/>
            <w:noWrap/>
            <w:vAlign w:val="center"/>
            <w:hideMark/>
          </w:tcPr>
          <w:p w14:paraId="42E9DE26" w14:textId="209921AD"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r>
      <w:tr w:rsidR="00761202" w:rsidRPr="00761202" w14:paraId="12FC14FB" w14:textId="77777777" w:rsidTr="00B37560">
        <w:trPr>
          <w:trHeight w:val="290"/>
        </w:trPr>
        <w:tc>
          <w:tcPr>
            <w:tcW w:w="1002" w:type="pct"/>
            <w:noWrap/>
            <w:vAlign w:val="center"/>
            <w:hideMark/>
          </w:tcPr>
          <w:p w14:paraId="03B37384" w14:textId="77777777" w:rsidR="00761202" w:rsidRPr="00761202" w:rsidRDefault="00761202" w:rsidP="00761202">
            <w:pPr>
              <w:rPr>
                <w:rFonts w:ascii="Arial Narrow" w:eastAsia="Times New Roman" w:hAnsi="Arial Narrow"/>
                <w:color w:val="000000"/>
                <w:sz w:val="20"/>
                <w:szCs w:val="20"/>
                <w:lang w:eastAsia="en-AU"/>
              </w:rPr>
            </w:pPr>
            <w:r w:rsidRPr="00761202">
              <w:rPr>
                <w:rFonts w:ascii="Arial Narrow" w:eastAsia="Times New Roman" w:hAnsi="Arial Narrow"/>
                <w:color w:val="000000"/>
                <w:sz w:val="20"/>
                <w:szCs w:val="20"/>
                <w:lang w:eastAsia="en-AU"/>
              </w:rPr>
              <w:t>LTG 200mg</w:t>
            </w:r>
          </w:p>
        </w:tc>
        <w:tc>
          <w:tcPr>
            <w:tcW w:w="749" w:type="pct"/>
            <w:noWrap/>
            <w:vAlign w:val="center"/>
            <w:hideMark/>
          </w:tcPr>
          <w:p w14:paraId="16634F2B" w14:textId="2DAD9CBA"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749" w:type="pct"/>
            <w:noWrap/>
            <w:vAlign w:val="center"/>
            <w:hideMark/>
          </w:tcPr>
          <w:p w14:paraId="7AE0F1A5" w14:textId="5280A4AC"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749" w:type="pct"/>
            <w:noWrap/>
            <w:vAlign w:val="center"/>
            <w:hideMark/>
          </w:tcPr>
          <w:p w14:paraId="22A33CA8" w14:textId="2C3A4974"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876" w:type="pct"/>
            <w:noWrap/>
            <w:vAlign w:val="center"/>
            <w:hideMark/>
          </w:tcPr>
          <w:p w14:paraId="6B5ABA4B" w14:textId="5320C15A"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c>
          <w:tcPr>
            <w:tcW w:w="876" w:type="pct"/>
            <w:noWrap/>
            <w:vAlign w:val="center"/>
            <w:hideMark/>
          </w:tcPr>
          <w:p w14:paraId="12A9B11B" w14:textId="2AA68E36" w:rsidR="00761202" w:rsidRPr="00AF2B9B" w:rsidRDefault="00114A5C" w:rsidP="00761202">
            <w:pPr>
              <w:jc w:val="center"/>
              <w:rPr>
                <w:rFonts w:ascii="Arial Narrow" w:eastAsia="Times New Roman" w:hAnsi="Arial Narrow"/>
                <w:color w:val="000000"/>
                <w:sz w:val="20"/>
                <w:szCs w:val="20"/>
                <w:highlight w:val="lightGray"/>
                <w:lang w:eastAsia="en-AU"/>
              </w:rPr>
            </w:pPr>
            <w:r w:rsidRPr="00114A5C">
              <w:rPr>
                <w:rFonts w:ascii="Arial Narrow" w:eastAsia="Times New Roman" w:hAnsi="Arial Narrow"/>
                <w:color w:val="000000"/>
                <w:sz w:val="20"/>
                <w:szCs w:val="20"/>
                <w:highlight w:val="black"/>
                <w:lang w:eastAsia="en-AU"/>
              </w:rPr>
              <w:t>XXXXX</w:t>
            </w:r>
          </w:p>
        </w:tc>
      </w:tr>
      <w:tr w:rsidR="00761202" w:rsidRPr="00761202" w14:paraId="0FA2E8D9" w14:textId="77777777" w:rsidTr="00B37560">
        <w:trPr>
          <w:trHeight w:val="290"/>
        </w:trPr>
        <w:tc>
          <w:tcPr>
            <w:tcW w:w="1002" w:type="pct"/>
            <w:noWrap/>
            <w:vAlign w:val="center"/>
            <w:hideMark/>
          </w:tcPr>
          <w:p w14:paraId="6BBD8F30" w14:textId="77777777" w:rsidR="00761202" w:rsidRPr="00761202" w:rsidRDefault="00761202" w:rsidP="00761202">
            <w:pPr>
              <w:rPr>
                <w:rFonts w:ascii="Arial Narrow" w:eastAsia="Times New Roman" w:hAnsi="Arial Narrow"/>
                <w:b/>
                <w:bCs/>
                <w:color w:val="000000"/>
                <w:sz w:val="20"/>
                <w:szCs w:val="20"/>
                <w:lang w:eastAsia="en-AU"/>
              </w:rPr>
            </w:pPr>
            <w:r w:rsidRPr="00761202">
              <w:rPr>
                <w:rFonts w:ascii="Arial Narrow" w:eastAsia="Times New Roman" w:hAnsi="Arial Narrow"/>
                <w:b/>
                <w:bCs/>
                <w:color w:val="000000"/>
                <w:sz w:val="20"/>
                <w:szCs w:val="20"/>
                <w:lang w:eastAsia="en-AU"/>
              </w:rPr>
              <w:t>Total</w:t>
            </w:r>
          </w:p>
        </w:tc>
        <w:tc>
          <w:tcPr>
            <w:tcW w:w="749" w:type="pct"/>
            <w:noWrap/>
            <w:vAlign w:val="center"/>
            <w:hideMark/>
          </w:tcPr>
          <w:p w14:paraId="622B1281" w14:textId="77777777" w:rsidR="00761202" w:rsidRPr="00DA28C3" w:rsidRDefault="00761202" w:rsidP="00761202">
            <w:pPr>
              <w:jc w:val="center"/>
              <w:rPr>
                <w:rFonts w:ascii="Arial Narrow" w:eastAsia="Times New Roman" w:hAnsi="Arial Narrow"/>
                <w:b/>
                <w:bCs/>
                <w:color w:val="000000"/>
                <w:sz w:val="20"/>
                <w:szCs w:val="20"/>
                <w:lang w:eastAsia="en-AU"/>
              </w:rPr>
            </w:pPr>
            <w:r w:rsidRPr="00DA28C3">
              <w:rPr>
                <w:rFonts w:ascii="Arial Narrow" w:eastAsia="Times New Roman" w:hAnsi="Arial Narrow"/>
                <w:b/>
                <w:bCs/>
                <w:color w:val="000000"/>
                <w:sz w:val="20"/>
                <w:szCs w:val="20"/>
                <w:lang w:eastAsia="en-AU"/>
              </w:rPr>
              <w:t>839,291</w:t>
            </w:r>
          </w:p>
        </w:tc>
        <w:tc>
          <w:tcPr>
            <w:tcW w:w="749" w:type="pct"/>
            <w:noWrap/>
            <w:vAlign w:val="center"/>
            <w:hideMark/>
          </w:tcPr>
          <w:p w14:paraId="2971D8A0" w14:textId="77777777" w:rsidR="00761202" w:rsidRPr="00DA28C3" w:rsidRDefault="00761202" w:rsidP="00761202">
            <w:pPr>
              <w:jc w:val="center"/>
              <w:rPr>
                <w:rFonts w:ascii="Arial Narrow" w:eastAsia="Times New Roman" w:hAnsi="Arial Narrow"/>
                <w:b/>
                <w:bCs/>
                <w:color w:val="000000"/>
                <w:sz w:val="20"/>
                <w:szCs w:val="20"/>
                <w:lang w:eastAsia="en-AU"/>
              </w:rPr>
            </w:pPr>
            <w:r w:rsidRPr="00DA28C3">
              <w:rPr>
                <w:rFonts w:ascii="Arial Narrow" w:eastAsia="Times New Roman" w:hAnsi="Arial Narrow"/>
                <w:b/>
                <w:bCs/>
                <w:color w:val="000000"/>
                <w:sz w:val="20"/>
                <w:szCs w:val="20"/>
                <w:lang w:eastAsia="en-AU"/>
              </w:rPr>
              <w:t>925,507</w:t>
            </w:r>
          </w:p>
        </w:tc>
        <w:tc>
          <w:tcPr>
            <w:tcW w:w="749" w:type="pct"/>
            <w:noWrap/>
            <w:vAlign w:val="center"/>
            <w:hideMark/>
          </w:tcPr>
          <w:p w14:paraId="0F902BF9" w14:textId="77777777" w:rsidR="00761202" w:rsidRPr="00DA28C3" w:rsidRDefault="00761202" w:rsidP="00761202">
            <w:pPr>
              <w:jc w:val="center"/>
              <w:rPr>
                <w:rFonts w:ascii="Arial Narrow" w:eastAsia="Times New Roman" w:hAnsi="Arial Narrow"/>
                <w:b/>
                <w:bCs/>
                <w:color w:val="000000"/>
                <w:sz w:val="20"/>
                <w:szCs w:val="20"/>
                <w:lang w:eastAsia="en-AU"/>
              </w:rPr>
            </w:pPr>
            <w:r w:rsidRPr="00DA28C3">
              <w:rPr>
                <w:rFonts w:ascii="Arial Narrow" w:eastAsia="Times New Roman" w:hAnsi="Arial Narrow"/>
                <w:b/>
                <w:bCs/>
                <w:color w:val="000000"/>
                <w:sz w:val="20"/>
                <w:szCs w:val="20"/>
                <w:lang w:eastAsia="en-AU"/>
              </w:rPr>
              <w:t>998,057</w:t>
            </w:r>
          </w:p>
        </w:tc>
        <w:tc>
          <w:tcPr>
            <w:tcW w:w="876" w:type="pct"/>
            <w:noWrap/>
            <w:vAlign w:val="center"/>
            <w:hideMark/>
          </w:tcPr>
          <w:p w14:paraId="28F3ABA0" w14:textId="77777777" w:rsidR="00761202" w:rsidRPr="00DA28C3" w:rsidRDefault="00761202" w:rsidP="00761202">
            <w:pPr>
              <w:jc w:val="center"/>
              <w:rPr>
                <w:rFonts w:ascii="Arial Narrow" w:eastAsia="Times New Roman" w:hAnsi="Arial Narrow"/>
                <w:b/>
                <w:bCs/>
                <w:color w:val="000000"/>
                <w:sz w:val="20"/>
                <w:szCs w:val="20"/>
                <w:lang w:eastAsia="en-AU"/>
              </w:rPr>
            </w:pPr>
            <w:r w:rsidRPr="00DA28C3">
              <w:rPr>
                <w:rFonts w:ascii="Arial Narrow" w:eastAsia="Times New Roman" w:hAnsi="Arial Narrow"/>
                <w:b/>
                <w:bCs/>
                <w:color w:val="000000"/>
                <w:sz w:val="20"/>
                <w:szCs w:val="20"/>
                <w:lang w:eastAsia="en-AU"/>
              </w:rPr>
              <w:t>1,036,146</w:t>
            </w:r>
          </w:p>
        </w:tc>
        <w:tc>
          <w:tcPr>
            <w:tcW w:w="876" w:type="pct"/>
            <w:noWrap/>
            <w:vAlign w:val="center"/>
            <w:hideMark/>
          </w:tcPr>
          <w:p w14:paraId="270BED7F" w14:textId="77777777" w:rsidR="00761202" w:rsidRPr="00DA28C3" w:rsidRDefault="00761202" w:rsidP="00761202">
            <w:pPr>
              <w:jc w:val="center"/>
              <w:rPr>
                <w:rFonts w:ascii="Arial Narrow" w:eastAsia="Times New Roman" w:hAnsi="Arial Narrow"/>
                <w:b/>
                <w:bCs/>
                <w:color w:val="000000"/>
                <w:sz w:val="20"/>
                <w:szCs w:val="20"/>
                <w:lang w:eastAsia="en-AU"/>
              </w:rPr>
            </w:pPr>
            <w:r w:rsidRPr="00DA28C3">
              <w:rPr>
                <w:rFonts w:ascii="Arial Narrow" w:eastAsia="Times New Roman" w:hAnsi="Arial Narrow"/>
                <w:b/>
                <w:bCs/>
                <w:color w:val="000000"/>
                <w:sz w:val="20"/>
                <w:szCs w:val="20"/>
                <w:lang w:eastAsia="en-AU"/>
              </w:rPr>
              <w:t>1,109,326</w:t>
            </w:r>
          </w:p>
        </w:tc>
      </w:tr>
    </w:tbl>
    <w:p w14:paraId="6B70BC81" w14:textId="19A296C5" w:rsidR="007C18E3" w:rsidRPr="001822B3" w:rsidRDefault="000C36A2" w:rsidP="005D08AA">
      <w:pPr>
        <w:pStyle w:val="3-BodyText"/>
        <w:spacing w:before="120" w:after="120" w:line="240" w:lineRule="auto"/>
        <w:jc w:val="both"/>
        <w:rPr>
          <w:rFonts w:ascii="Calibri" w:eastAsia="Times New Roman" w:hAnsi="Calibri" w:cs="Calibri"/>
          <w:snapToGrid w:val="0"/>
          <w:sz w:val="24"/>
          <w:szCs w:val="24"/>
        </w:rPr>
      </w:pPr>
      <w:r w:rsidRPr="001822B3">
        <w:rPr>
          <w:rFonts w:ascii="Calibri" w:eastAsia="Times New Roman" w:hAnsi="Calibri" w:cs="Calibri"/>
          <w:snapToGrid w:val="0"/>
          <w:sz w:val="24"/>
          <w:szCs w:val="24"/>
        </w:rPr>
        <w:t>The number of units for each strength of LTG supplied through the R/PBS from 2020 to 2024 was determined using the number of R/PBS scripts supplied for LTG (see Table</w:t>
      </w:r>
      <w:r w:rsidR="004D6EE6" w:rsidRPr="001822B3">
        <w:rPr>
          <w:rFonts w:ascii="Calibri" w:eastAsia="Times New Roman" w:hAnsi="Calibri" w:cs="Calibri"/>
          <w:snapToGrid w:val="0"/>
          <w:sz w:val="24"/>
          <w:szCs w:val="24"/>
        </w:rPr>
        <w:t> </w:t>
      </w:r>
      <w:r w:rsidR="007734A8" w:rsidRPr="001822B3">
        <w:rPr>
          <w:rFonts w:ascii="Calibri" w:eastAsia="Times New Roman" w:hAnsi="Calibri" w:cs="Calibri"/>
          <w:snapToGrid w:val="0"/>
          <w:sz w:val="24"/>
          <w:szCs w:val="24"/>
        </w:rPr>
        <w:t>2</w:t>
      </w:r>
      <w:r w:rsidRPr="001822B3">
        <w:rPr>
          <w:rFonts w:ascii="Calibri" w:eastAsia="Times New Roman" w:hAnsi="Calibri" w:cs="Calibri"/>
          <w:snapToGrid w:val="0"/>
          <w:sz w:val="24"/>
          <w:szCs w:val="24"/>
        </w:rPr>
        <w:t xml:space="preserve">). These figures were sourced from the Department’s R/PBS Section 85 Date of Supply </w:t>
      </w:r>
      <w:r w:rsidR="009A18A2" w:rsidRPr="001822B3">
        <w:rPr>
          <w:rFonts w:ascii="Calibri" w:eastAsia="Times New Roman" w:hAnsi="Calibri" w:cs="Calibri"/>
          <w:snapToGrid w:val="0"/>
          <w:sz w:val="24"/>
          <w:szCs w:val="24"/>
        </w:rPr>
        <w:t>Data and</w:t>
      </w:r>
      <w:r w:rsidR="00B21C9A" w:rsidRPr="001822B3">
        <w:rPr>
          <w:rFonts w:ascii="Calibri" w:eastAsia="Times New Roman" w:hAnsi="Calibri" w:cs="Calibri"/>
          <w:snapToGrid w:val="0"/>
          <w:sz w:val="24"/>
          <w:szCs w:val="24"/>
        </w:rPr>
        <w:t xml:space="preserve"> includes under co-payment prescriptions</w:t>
      </w:r>
      <w:r w:rsidRPr="001822B3">
        <w:rPr>
          <w:rFonts w:ascii="Calibri" w:eastAsia="Times New Roman" w:hAnsi="Calibri" w:cs="Calibri"/>
          <w:snapToGrid w:val="0"/>
          <w:sz w:val="24"/>
          <w:szCs w:val="24"/>
        </w:rPr>
        <w:t>. With the introduction of 60-day listings for LTG on 1 March 2024, each R/PBS script from 2020–2023 was counted as one unit. In 2024, one 30-day script was considered equivalent to one unit, while one 60-day script was counted as two units of LTG.</w:t>
      </w:r>
    </w:p>
    <w:p w14:paraId="6F026233" w14:textId="173DFFFD" w:rsidR="002226A8" w:rsidRDefault="002226A8" w:rsidP="003A6675">
      <w:pPr>
        <w:spacing w:before="120" w:after="60" w:line="240" w:lineRule="auto"/>
        <w:rPr>
          <w:rFonts w:ascii="Calibri" w:eastAsia="Times New Roman" w:hAnsi="Calibri" w:cs="Calibri"/>
          <w:snapToGrid w:val="0"/>
          <w:sz w:val="24"/>
          <w:szCs w:val="24"/>
        </w:rPr>
      </w:pPr>
      <w:r>
        <w:rPr>
          <w:rFonts w:ascii="Arial Narrow" w:eastAsia="Times New Roman" w:hAnsi="Arial Narrow" w:cs="Calibri"/>
          <w:b/>
          <w:bCs/>
          <w:snapToGrid w:val="0"/>
          <w:sz w:val="20"/>
          <w:szCs w:val="20"/>
        </w:rPr>
        <w:t xml:space="preserve">Table </w:t>
      </w:r>
      <w:r w:rsidR="00FD3867">
        <w:rPr>
          <w:rFonts w:ascii="Arial Narrow" w:eastAsia="Times New Roman" w:hAnsi="Arial Narrow" w:cs="Calibri"/>
          <w:b/>
          <w:bCs/>
          <w:snapToGrid w:val="0"/>
          <w:sz w:val="20"/>
          <w:szCs w:val="20"/>
        </w:rPr>
        <w:t>2</w:t>
      </w:r>
      <w:r>
        <w:rPr>
          <w:rFonts w:ascii="Arial Narrow" w:eastAsia="Times New Roman" w:hAnsi="Arial Narrow" w:cs="Calibri"/>
          <w:b/>
          <w:bCs/>
          <w:snapToGrid w:val="0"/>
          <w:sz w:val="20"/>
          <w:szCs w:val="20"/>
        </w:rPr>
        <w:t xml:space="preserve">: </w:t>
      </w:r>
      <w:r w:rsidR="006674E1">
        <w:rPr>
          <w:rFonts w:ascii="Arial Narrow" w:eastAsia="Times New Roman" w:hAnsi="Arial Narrow" w:cs="Calibri"/>
          <w:b/>
          <w:bCs/>
          <w:snapToGrid w:val="0"/>
          <w:sz w:val="20"/>
          <w:szCs w:val="20"/>
        </w:rPr>
        <w:t>Lamotrigine u</w:t>
      </w:r>
      <w:r w:rsidR="007263E5" w:rsidRPr="007263E5">
        <w:rPr>
          <w:rFonts w:ascii="Arial Narrow" w:eastAsia="Times New Roman" w:hAnsi="Arial Narrow" w:cs="Calibri"/>
          <w:b/>
          <w:bCs/>
          <w:snapToGrid w:val="0"/>
          <w:sz w:val="20"/>
          <w:szCs w:val="20"/>
        </w:rPr>
        <w:t xml:space="preserve">nits supplied </w:t>
      </w:r>
      <w:r w:rsidR="00385835">
        <w:rPr>
          <w:rFonts w:ascii="Arial Narrow" w:eastAsia="Times New Roman" w:hAnsi="Arial Narrow" w:cs="Calibri"/>
          <w:b/>
          <w:bCs/>
          <w:snapToGrid w:val="0"/>
          <w:sz w:val="20"/>
          <w:szCs w:val="20"/>
        </w:rPr>
        <w:t>via the</w:t>
      </w:r>
      <w:r w:rsidR="007263E5" w:rsidRPr="007263E5">
        <w:rPr>
          <w:rFonts w:ascii="Arial Narrow" w:eastAsia="Times New Roman" w:hAnsi="Arial Narrow" w:cs="Calibri"/>
          <w:b/>
          <w:bCs/>
          <w:snapToGrid w:val="0"/>
          <w:sz w:val="20"/>
          <w:szCs w:val="20"/>
        </w:rPr>
        <w:t xml:space="preserve"> R/PBS</w:t>
      </w:r>
      <w:r w:rsidR="00CC36A5">
        <w:rPr>
          <w:rFonts w:ascii="Arial Narrow" w:eastAsia="Times New Roman" w:hAnsi="Arial Narrow" w:cs="Calibri"/>
          <w:b/>
          <w:bCs/>
          <w:snapToGrid w:val="0"/>
          <w:sz w:val="20"/>
          <w:szCs w:val="20"/>
        </w:rPr>
        <w:t xml:space="preserve"> (</w:t>
      </w:r>
      <w:r w:rsidR="00E3075B">
        <w:rPr>
          <w:rFonts w:ascii="Arial Narrow" w:eastAsia="Times New Roman" w:hAnsi="Arial Narrow" w:cs="Calibri"/>
          <w:b/>
          <w:bCs/>
          <w:snapToGrid w:val="0"/>
          <w:sz w:val="20"/>
          <w:szCs w:val="20"/>
        </w:rPr>
        <w:t>R/PBS market)</w:t>
      </w:r>
      <w:r w:rsidR="007263E5" w:rsidRPr="007263E5">
        <w:rPr>
          <w:rFonts w:ascii="Arial Narrow" w:eastAsia="Times New Roman" w:hAnsi="Arial Narrow" w:cs="Calibri"/>
          <w:b/>
          <w:bCs/>
          <w:snapToGrid w:val="0"/>
          <w:sz w:val="20"/>
          <w:szCs w:val="20"/>
        </w:rPr>
        <w:tab/>
      </w:r>
      <w:r w:rsidR="007263E5" w:rsidRPr="007263E5">
        <w:rPr>
          <w:rFonts w:ascii="Arial Narrow" w:eastAsia="Times New Roman" w:hAnsi="Arial Narrow" w:cs="Calibri"/>
          <w:b/>
          <w:bCs/>
          <w:snapToGrid w:val="0"/>
          <w:sz w:val="20"/>
          <w:szCs w:val="20"/>
        </w:rPr>
        <w:tab/>
      </w:r>
    </w:p>
    <w:tbl>
      <w:tblPr>
        <w:tblStyle w:val="TableGrid"/>
        <w:tblW w:w="5000" w:type="pct"/>
        <w:tblLook w:val="04A0" w:firstRow="1" w:lastRow="0" w:firstColumn="1" w:lastColumn="0" w:noHBand="0" w:noVBand="1"/>
      </w:tblPr>
      <w:tblGrid>
        <w:gridCol w:w="1828"/>
        <w:gridCol w:w="1438"/>
        <w:gridCol w:w="1438"/>
        <w:gridCol w:w="1438"/>
        <w:gridCol w:w="1437"/>
        <w:gridCol w:w="1437"/>
      </w:tblGrid>
      <w:tr w:rsidR="003B742D" w:rsidRPr="002226A8" w14:paraId="04FB5E16" w14:textId="77777777" w:rsidTr="00B37560">
        <w:trPr>
          <w:trHeight w:val="290"/>
        </w:trPr>
        <w:tc>
          <w:tcPr>
            <w:tcW w:w="1013" w:type="pct"/>
            <w:shd w:val="clear" w:color="auto" w:fill="D0CECE" w:themeFill="background2" w:themeFillShade="E6"/>
            <w:noWrap/>
            <w:vAlign w:val="center"/>
            <w:hideMark/>
          </w:tcPr>
          <w:p w14:paraId="5297C451" w14:textId="77777777" w:rsidR="002226A8" w:rsidRPr="002226A8" w:rsidRDefault="002226A8" w:rsidP="002226A8">
            <w:pPr>
              <w:rPr>
                <w:rFonts w:ascii="Arial Narrow" w:eastAsia="Times New Roman" w:hAnsi="Arial Narrow"/>
                <w:i/>
                <w:iCs/>
                <w:color w:val="000000"/>
                <w:sz w:val="20"/>
                <w:szCs w:val="20"/>
                <w:lang w:eastAsia="en-AU"/>
              </w:rPr>
            </w:pPr>
            <w:r w:rsidRPr="002226A8">
              <w:rPr>
                <w:rFonts w:ascii="Arial Narrow" w:eastAsia="Times New Roman" w:hAnsi="Arial Narrow"/>
                <w:i/>
                <w:iCs/>
                <w:color w:val="000000"/>
                <w:sz w:val="20"/>
                <w:szCs w:val="20"/>
                <w:lang w:eastAsia="en-AU"/>
              </w:rPr>
              <w:t> </w:t>
            </w:r>
          </w:p>
        </w:tc>
        <w:tc>
          <w:tcPr>
            <w:tcW w:w="797" w:type="pct"/>
            <w:shd w:val="clear" w:color="auto" w:fill="D0CECE" w:themeFill="background2" w:themeFillShade="E6"/>
            <w:noWrap/>
            <w:vAlign w:val="center"/>
            <w:hideMark/>
          </w:tcPr>
          <w:p w14:paraId="2353305E" w14:textId="77777777" w:rsidR="002226A8" w:rsidRPr="002226A8" w:rsidRDefault="002226A8" w:rsidP="002226A8">
            <w:pPr>
              <w:jc w:val="center"/>
              <w:rPr>
                <w:rFonts w:ascii="Arial Narrow" w:eastAsia="Times New Roman" w:hAnsi="Arial Narrow"/>
                <w:b/>
                <w:bCs/>
                <w:color w:val="000000"/>
                <w:sz w:val="20"/>
                <w:szCs w:val="20"/>
                <w:lang w:eastAsia="en-AU"/>
              </w:rPr>
            </w:pPr>
            <w:r w:rsidRPr="002226A8">
              <w:rPr>
                <w:rFonts w:ascii="Arial Narrow" w:eastAsia="Times New Roman" w:hAnsi="Arial Narrow"/>
                <w:b/>
                <w:bCs/>
                <w:color w:val="000000"/>
                <w:sz w:val="20"/>
                <w:szCs w:val="20"/>
                <w:lang w:eastAsia="en-AU"/>
              </w:rPr>
              <w:t>2020</w:t>
            </w:r>
          </w:p>
        </w:tc>
        <w:tc>
          <w:tcPr>
            <w:tcW w:w="797" w:type="pct"/>
            <w:shd w:val="clear" w:color="auto" w:fill="D0CECE" w:themeFill="background2" w:themeFillShade="E6"/>
            <w:noWrap/>
            <w:vAlign w:val="center"/>
            <w:hideMark/>
          </w:tcPr>
          <w:p w14:paraId="497350ED" w14:textId="77777777" w:rsidR="002226A8" w:rsidRPr="002226A8" w:rsidRDefault="002226A8" w:rsidP="002226A8">
            <w:pPr>
              <w:jc w:val="center"/>
              <w:rPr>
                <w:rFonts w:ascii="Arial Narrow" w:eastAsia="Times New Roman" w:hAnsi="Arial Narrow"/>
                <w:b/>
                <w:bCs/>
                <w:color w:val="000000"/>
                <w:sz w:val="20"/>
                <w:szCs w:val="20"/>
                <w:lang w:eastAsia="en-AU"/>
              </w:rPr>
            </w:pPr>
            <w:r w:rsidRPr="002226A8">
              <w:rPr>
                <w:rFonts w:ascii="Arial Narrow" w:eastAsia="Times New Roman" w:hAnsi="Arial Narrow"/>
                <w:b/>
                <w:bCs/>
                <w:color w:val="000000"/>
                <w:sz w:val="20"/>
                <w:szCs w:val="20"/>
                <w:lang w:eastAsia="en-AU"/>
              </w:rPr>
              <w:t>2021</w:t>
            </w:r>
          </w:p>
        </w:tc>
        <w:tc>
          <w:tcPr>
            <w:tcW w:w="797" w:type="pct"/>
            <w:shd w:val="clear" w:color="auto" w:fill="D0CECE" w:themeFill="background2" w:themeFillShade="E6"/>
            <w:noWrap/>
            <w:vAlign w:val="center"/>
            <w:hideMark/>
          </w:tcPr>
          <w:p w14:paraId="67F47893" w14:textId="77777777" w:rsidR="002226A8" w:rsidRPr="002226A8" w:rsidRDefault="002226A8" w:rsidP="002226A8">
            <w:pPr>
              <w:jc w:val="center"/>
              <w:rPr>
                <w:rFonts w:ascii="Arial Narrow" w:eastAsia="Times New Roman" w:hAnsi="Arial Narrow"/>
                <w:b/>
                <w:bCs/>
                <w:color w:val="000000"/>
                <w:sz w:val="20"/>
                <w:szCs w:val="20"/>
                <w:lang w:eastAsia="en-AU"/>
              </w:rPr>
            </w:pPr>
            <w:r w:rsidRPr="002226A8">
              <w:rPr>
                <w:rFonts w:ascii="Arial Narrow" w:eastAsia="Times New Roman" w:hAnsi="Arial Narrow"/>
                <w:b/>
                <w:bCs/>
                <w:color w:val="000000"/>
                <w:sz w:val="20"/>
                <w:szCs w:val="20"/>
                <w:lang w:eastAsia="en-AU"/>
              </w:rPr>
              <w:t>2022</w:t>
            </w:r>
          </w:p>
        </w:tc>
        <w:tc>
          <w:tcPr>
            <w:tcW w:w="797" w:type="pct"/>
            <w:shd w:val="clear" w:color="auto" w:fill="D0CECE" w:themeFill="background2" w:themeFillShade="E6"/>
            <w:noWrap/>
            <w:vAlign w:val="center"/>
            <w:hideMark/>
          </w:tcPr>
          <w:p w14:paraId="28C28F7F" w14:textId="77777777" w:rsidR="002226A8" w:rsidRPr="002226A8" w:rsidRDefault="002226A8" w:rsidP="002226A8">
            <w:pPr>
              <w:jc w:val="center"/>
              <w:rPr>
                <w:rFonts w:ascii="Arial Narrow" w:eastAsia="Times New Roman" w:hAnsi="Arial Narrow"/>
                <w:b/>
                <w:bCs/>
                <w:color w:val="000000"/>
                <w:sz w:val="20"/>
                <w:szCs w:val="20"/>
                <w:lang w:eastAsia="en-AU"/>
              </w:rPr>
            </w:pPr>
            <w:r w:rsidRPr="002226A8">
              <w:rPr>
                <w:rFonts w:ascii="Arial Narrow" w:eastAsia="Times New Roman" w:hAnsi="Arial Narrow"/>
                <w:b/>
                <w:bCs/>
                <w:color w:val="000000"/>
                <w:sz w:val="20"/>
                <w:szCs w:val="20"/>
                <w:lang w:eastAsia="en-AU"/>
              </w:rPr>
              <w:t>2023</w:t>
            </w:r>
          </w:p>
        </w:tc>
        <w:tc>
          <w:tcPr>
            <w:tcW w:w="797" w:type="pct"/>
            <w:shd w:val="clear" w:color="auto" w:fill="D0CECE" w:themeFill="background2" w:themeFillShade="E6"/>
            <w:noWrap/>
            <w:vAlign w:val="center"/>
            <w:hideMark/>
          </w:tcPr>
          <w:p w14:paraId="4B07CAC9" w14:textId="77777777" w:rsidR="002226A8" w:rsidRPr="002226A8" w:rsidRDefault="002226A8" w:rsidP="002226A8">
            <w:pPr>
              <w:jc w:val="center"/>
              <w:rPr>
                <w:rFonts w:ascii="Arial Narrow" w:eastAsia="Times New Roman" w:hAnsi="Arial Narrow"/>
                <w:b/>
                <w:bCs/>
                <w:color w:val="000000"/>
                <w:sz w:val="20"/>
                <w:szCs w:val="20"/>
                <w:lang w:eastAsia="en-AU"/>
              </w:rPr>
            </w:pPr>
            <w:r w:rsidRPr="002226A8">
              <w:rPr>
                <w:rFonts w:ascii="Arial Narrow" w:eastAsia="Times New Roman" w:hAnsi="Arial Narrow"/>
                <w:b/>
                <w:bCs/>
                <w:color w:val="000000"/>
                <w:sz w:val="20"/>
                <w:szCs w:val="20"/>
                <w:lang w:eastAsia="en-AU"/>
              </w:rPr>
              <w:t>2024</w:t>
            </w:r>
          </w:p>
        </w:tc>
      </w:tr>
      <w:tr w:rsidR="002226A8" w:rsidRPr="002226A8" w14:paraId="1C86E15A" w14:textId="77777777" w:rsidTr="00B37560">
        <w:trPr>
          <w:trHeight w:val="290"/>
        </w:trPr>
        <w:tc>
          <w:tcPr>
            <w:tcW w:w="1013" w:type="pct"/>
            <w:noWrap/>
            <w:vAlign w:val="center"/>
            <w:hideMark/>
          </w:tcPr>
          <w:p w14:paraId="3A551609" w14:textId="77777777" w:rsidR="002226A8" w:rsidRPr="002226A8" w:rsidRDefault="002226A8" w:rsidP="002226A8">
            <w:pPr>
              <w:rPr>
                <w:rFonts w:ascii="Arial Narrow" w:eastAsia="Times New Roman" w:hAnsi="Arial Narrow"/>
                <w:color w:val="000000"/>
                <w:sz w:val="20"/>
                <w:szCs w:val="20"/>
                <w:lang w:eastAsia="en-AU"/>
              </w:rPr>
            </w:pPr>
            <w:r w:rsidRPr="002226A8">
              <w:rPr>
                <w:rFonts w:ascii="Arial Narrow" w:eastAsia="Times New Roman" w:hAnsi="Arial Narrow"/>
                <w:color w:val="000000"/>
                <w:sz w:val="20"/>
                <w:szCs w:val="20"/>
                <w:lang w:eastAsia="en-AU"/>
              </w:rPr>
              <w:t>LTG 5mg</w:t>
            </w:r>
          </w:p>
        </w:tc>
        <w:tc>
          <w:tcPr>
            <w:tcW w:w="797" w:type="pct"/>
            <w:noWrap/>
            <w:vAlign w:val="center"/>
            <w:hideMark/>
          </w:tcPr>
          <w:p w14:paraId="6D3B18E7" w14:textId="1F78082C" w:rsidR="002226A8" w:rsidRPr="0075372F"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75372F" w:rsidRPr="009520FE">
              <w:rPr>
                <w:rFonts w:ascii="Arial Narrow" w:eastAsia="Times New Roman" w:hAnsi="Arial Narrow"/>
                <w:color w:val="000000"/>
                <w:sz w:val="20"/>
                <w:szCs w:val="20"/>
                <w:vertAlign w:val="superscript"/>
                <w:lang w:eastAsia="en-AU"/>
              </w:rPr>
              <w:t>1</w:t>
            </w:r>
          </w:p>
        </w:tc>
        <w:tc>
          <w:tcPr>
            <w:tcW w:w="797" w:type="pct"/>
            <w:noWrap/>
            <w:vAlign w:val="center"/>
            <w:hideMark/>
          </w:tcPr>
          <w:p w14:paraId="0F375A9F" w14:textId="15501C04" w:rsidR="002226A8" w:rsidRPr="00091E91"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091E91" w:rsidRPr="009520FE">
              <w:rPr>
                <w:rFonts w:ascii="Arial Narrow" w:eastAsia="Times New Roman" w:hAnsi="Arial Narrow"/>
                <w:color w:val="000000"/>
                <w:sz w:val="20"/>
                <w:szCs w:val="20"/>
                <w:vertAlign w:val="superscript"/>
                <w:lang w:eastAsia="en-AU"/>
              </w:rPr>
              <w:t>1</w:t>
            </w:r>
          </w:p>
        </w:tc>
        <w:tc>
          <w:tcPr>
            <w:tcW w:w="797" w:type="pct"/>
            <w:noWrap/>
            <w:vAlign w:val="center"/>
            <w:hideMark/>
          </w:tcPr>
          <w:p w14:paraId="599C2D3F" w14:textId="7C8C415E" w:rsidR="002226A8" w:rsidRPr="002F0668"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2F0668" w:rsidRPr="009520FE">
              <w:rPr>
                <w:rFonts w:ascii="Arial Narrow" w:eastAsia="Times New Roman" w:hAnsi="Arial Narrow"/>
                <w:color w:val="000000"/>
                <w:sz w:val="20"/>
                <w:szCs w:val="20"/>
                <w:vertAlign w:val="superscript"/>
                <w:lang w:eastAsia="en-AU"/>
              </w:rPr>
              <w:t>1</w:t>
            </w:r>
          </w:p>
        </w:tc>
        <w:tc>
          <w:tcPr>
            <w:tcW w:w="797" w:type="pct"/>
            <w:noWrap/>
            <w:vAlign w:val="center"/>
            <w:hideMark/>
          </w:tcPr>
          <w:p w14:paraId="5780BF86" w14:textId="529F67D6" w:rsidR="002226A8" w:rsidRPr="002F0668"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2F0668" w:rsidRPr="009520FE">
              <w:rPr>
                <w:rFonts w:ascii="Arial Narrow" w:eastAsia="Times New Roman" w:hAnsi="Arial Narrow"/>
                <w:color w:val="000000"/>
                <w:sz w:val="20"/>
                <w:szCs w:val="20"/>
                <w:vertAlign w:val="superscript"/>
                <w:lang w:eastAsia="en-AU"/>
              </w:rPr>
              <w:t>1</w:t>
            </w:r>
          </w:p>
        </w:tc>
        <w:tc>
          <w:tcPr>
            <w:tcW w:w="797" w:type="pct"/>
            <w:noWrap/>
            <w:vAlign w:val="center"/>
            <w:hideMark/>
          </w:tcPr>
          <w:p w14:paraId="01405844" w14:textId="2FDD8ECD" w:rsidR="002226A8" w:rsidRPr="002F0668"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2F0668" w:rsidRPr="009520FE">
              <w:rPr>
                <w:rFonts w:ascii="Arial Narrow" w:eastAsia="Times New Roman" w:hAnsi="Arial Narrow"/>
                <w:color w:val="000000"/>
                <w:sz w:val="20"/>
                <w:szCs w:val="20"/>
                <w:vertAlign w:val="superscript"/>
                <w:lang w:eastAsia="en-AU"/>
              </w:rPr>
              <w:t>1</w:t>
            </w:r>
          </w:p>
        </w:tc>
      </w:tr>
      <w:tr w:rsidR="002226A8" w:rsidRPr="002226A8" w14:paraId="6BCDABB2" w14:textId="77777777" w:rsidTr="00B37560">
        <w:trPr>
          <w:trHeight w:val="290"/>
        </w:trPr>
        <w:tc>
          <w:tcPr>
            <w:tcW w:w="1013" w:type="pct"/>
            <w:noWrap/>
            <w:vAlign w:val="center"/>
            <w:hideMark/>
          </w:tcPr>
          <w:p w14:paraId="7D7FF975" w14:textId="77777777" w:rsidR="002226A8" w:rsidRPr="002226A8" w:rsidRDefault="002226A8" w:rsidP="002226A8">
            <w:pPr>
              <w:rPr>
                <w:rFonts w:ascii="Arial Narrow" w:eastAsia="Times New Roman" w:hAnsi="Arial Narrow"/>
                <w:color w:val="000000"/>
                <w:sz w:val="20"/>
                <w:szCs w:val="20"/>
                <w:lang w:eastAsia="en-AU"/>
              </w:rPr>
            </w:pPr>
            <w:r w:rsidRPr="002226A8">
              <w:rPr>
                <w:rFonts w:ascii="Arial Narrow" w:eastAsia="Times New Roman" w:hAnsi="Arial Narrow"/>
                <w:color w:val="000000"/>
                <w:sz w:val="20"/>
                <w:szCs w:val="20"/>
                <w:lang w:eastAsia="en-AU"/>
              </w:rPr>
              <w:t>LTG 25mg</w:t>
            </w:r>
          </w:p>
        </w:tc>
        <w:tc>
          <w:tcPr>
            <w:tcW w:w="797" w:type="pct"/>
            <w:noWrap/>
            <w:vAlign w:val="center"/>
            <w:hideMark/>
          </w:tcPr>
          <w:p w14:paraId="3191F8F3" w14:textId="2DFEE70C" w:rsidR="002226A8" w:rsidRPr="00CE25B7"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CE25B7" w:rsidRPr="009520FE">
              <w:rPr>
                <w:rFonts w:ascii="Arial Narrow" w:eastAsia="Times New Roman" w:hAnsi="Arial Narrow"/>
                <w:color w:val="000000"/>
                <w:sz w:val="20"/>
                <w:szCs w:val="20"/>
                <w:vertAlign w:val="superscript"/>
                <w:lang w:eastAsia="en-AU"/>
              </w:rPr>
              <w:t>2</w:t>
            </w:r>
          </w:p>
        </w:tc>
        <w:tc>
          <w:tcPr>
            <w:tcW w:w="797" w:type="pct"/>
            <w:noWrap/>
            <w:vAlign w:val="center"/>
            <w:hideMark/>
          </w:tcPr>
          <w:p w14:paraId="480852AD" w14:textId="47E51584" w:rsidR="002226A8" w:rsidRPr="00CE25B7"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CE25B7" w:rsidRPr="009520FE">
              <w:rPr>
                <w:rFonts w:ascii="Arial Narrow" w:eastAsia="Times New Roman" w:hAnsi="Arial Narrow"/>
                <w:color w:val="000000"/>
                <w:sz w:val="20"/>
                <w:szCs w:val="20"/>
                <w:vertAlign w:val="superscript"/>
                <w:lang w:eastAsia="en-AU"/>
              </w:rPr>
              <w:t>2</w:t>
            </w:r>
          </w:p>
        </w:tc>
        <w:tc>
          <w:tcPr>
            <w:tcW w:w="797" w:type="pct"/>
            <w:noWrap/>
            <w:vAlign w:val="center"/>
            <w:hideMark/>
          </w:tcPr>
          <w:p w14:paraId="02588CDF" w14:textId="17FEA471" w:rsidR="002226A8" w:rsidRPr="00CE25B7"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CE25B7" w:rsidRPr="009520FE">
              <w:rPr>
                <w:rFonts w:ascii="Arial Narrow" w:eastAsia="Times New Roman" w:hAnsi="Arial Narrow"/>
                <w:color w:val="000000"/>
                <w:sz w:val="20"/>
                <w:szCs w:val="20"/>
                <w:vertAlign w:val="superscript"/>
                <w:lang w:eastAsia="en-AU"/>
              </w:rPr>
              <w:t>2</w:t>
            </w:r>
          </w:p>
        </w:tc>
        <w:tc>
          <w:tcPr>
            <w:tcW w:w="797" w:type="pct"/>
            <w:noWrap/>
            <w:vAlign w:val="center"/>
            <w:hideMark/>
          </w:tcPr>
          <w:p w14:paraId="1A20E835" w14:textId="2D08847A" w:rsidR="002226A8" w:rsidRPr="00CE25B7"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CE25B7" w:rsidRPr="009520FE">
              <w:rPr>
                <w:rFonts w:ascii="Arial Narrow" w:eastAsia="Times New Roman" w:hAnsi="Arial Narrow"/>
                <w:color w:val="000000"/>
                <w:sz w:val="20"/>
                <w:szCs w:val="20"/>
                <w:vertAlign w:val="superscript"/>
                <w:lang w:eastAsia="en-AU"/>
              </w:rPr>
              <w:t>2</w:t>
            </w:r>
          </w:p>
        </w:tc>
        <w:tc>
          <w:tcPr>
            <w:tcW w:w="797" w:type="pct"/>
            <w:noWrap/>
            <w:vAlign w:val="center"/>
            <w:hideMark/>
          </w:tcPr>
          <w:p w14:paraId="7B78FEA3" w14:textId="48A6718C" w:rsidR="002226A8" w:rsidRPr="000C2CC3"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0C2CC3" w:rsidRPr="009520FE">
              <w:rPr>
                <w:rFonts w:ascii="Arial Narrow" w:eastAsia="Times New Roman" w:hAnsi="Arial Narrow"/>
                <w:color w:val="000000"/>
                <w:sz w:val="20"/>
                <w:szCs w:val="20"/>
                <w:vertAlign w:val="superscript"/>
                <w:lang w:eastAsia="en-AU"/>
              </w:rPr>
              <w:t>3</w:t>
            </w:r>
          </w:p>
        </w:tc>
      </w:tr>
      <w:tr w:rsidR="002226A8" w:rsidRPr="002226A8" w14:paraId="205E3A6B" w14:textId="77777777" w:rsidTr="00B37560">
        <w:trPr>
          <w:trHeight w:val="290"/>
        </w:trPr>
        <w:tc>
          <w:tcPr>
            <w:tcW w:w="1013" w:type="pct"/>
            <w:noWrap/>
            <w:vAlign w:val="center"/>
            <w:hideMark/>
          </w:tcPr>
          <w:p w14:paraId="4C40CEDD" w14:textId="77777777" w:rsidR="002226A8" w:rsidRPr="002226A8" w:rsidRDefault="002226A8" w:rsidP="002226A8">
            <w:pPr>
              <w:rPr>
                <w:rFonts w:ascii="Arial Narrow" w:eastAsia="Times New Roman" w:hAnsi="Arial Narrow"/>
                <w:color w:val="000000"/>
                <w:sz w:val="20"/>
                <w:szCs w:val="20"/>
                <w:lang w:eastAsia="en-AU"/>
              </w:rPr>
            </w:pPr>
            <w:r w:rsidRPr="002226A8">
              <w:rPr>
                <w:rFonts w:ascii="Arial Narrow" w:eastAsia="Times New Roman" w:hAnsi="Arial Narrow"/>
                <w:color w:val="000000"/>
                <w:sz w:val="20"/>
                <w:szCs w:val="20"/>
                <w:lang w:eastAsia="en-AU"/>
              </w:rPr>
              <w:t>LTG 50mg</w:t>
            </w:r>
          </w:p>
        </w:tc>
        <w:tc>
          <w:tcPr>
            <w:tcW w:w="797" w:type="pct"/>
            <w:noWrap/>
            <w:vAlign w:val="center"/>
            <w:hideMark/>
          </w:tcPr>
          <w:p w14:paraId="6D4CD038" w14:textId="4CC9E98E" w:rsidR="002226A8" w:rsidRPr="00CF1501"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CF1501" w:rsidRPr="009520FE">
              <w:rPr>
                <w:rFonts w:ascii="Arial Narrow" w:eastAsia="Times New Roman" w:hAnsi="Arial Narrow"/>
                <w:color w:val="000000"/>
                <w:sz w:val="20"/>
                <w:szCs w:val="20"/>
                <w:vertAlign w:val="superscript"/>
                <w:lang w:eastAsia="en-AU"/>
              </w:rPr>
              <w:t>3</w:t>
            </w:r>
          </w:p>
        </w:tc>
        <w:tc>
          <w:tcPr>
            <w:tcW w:w="797" w:type="pct"/>
            <w:noWrap/>
            <w:vAlign w:val="center"/>
            <w:hideMark/>
          </w:tcPr>
          <w:p w14:paraId="36DCEFAD" w14:textId="73C83304" w:rsidR="002226A8" w:rsidRPr="00CF1501"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CF1501" w:rsidRPr="009520FE">
              <w:rPr>
                <w:rFonts w:ascii="Arial Narrow" w:eastAsia="Times New Roman" w:hAnsi="Arial Narrow"/>
                <w:color w:val="000000"/>
                <w:sz w:val="20"/>
                <w:szCs w:val="20"/>
                <w:vertAlign w:val="superscript"/>
                <w:lang w:eastAsia="en-AU"/>
              </w:rPr>
              <w:t>3</w:t>
            </w:r>
          </w:p>
        </w:tc>
        <w:tc>
          <w:tcPr>
            <w:tcW w:w="797" w:type="pct"/>
            <w:noWrap/>
            <w:vAlign w:val="center"/>
            <w:hideMark/>
          </w:tcPr>
          <w:p w14:paraId="54E39916" w14:textId="306D2765" w:rsidR="002226A8" w:rsidRPr="00CF1501"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CF1501" w:rsidRPr="009520FE">
              <w:rPr>
                <w:rFonts w:ascii="Arial Narrow" w:eastAsia="Times New Roman" w:hAnsi="Arial Narrow"/>
                <w:color w:val="000000"/>
                <w:sz w:val="20"/>
                <w:szCs w:val="20"/>
                <w:vertAlign w:val="superscript"/>
                <w:lang w:eastAsia="en-AU"/>
              </w:rPr>
              <w:t>3</w:t>
            </w:r>
          </w:p>
        </w:tc>
        <w:tc>
          <w:tcPr>
            <w:tcW w:w="797" w:type="pct"/>
            <w:noWrap/>
            <w:vAlign w:val="center"/>
            <w:hideMark/>
          </w:tcPr>
          <w:p w14:paraId="3A74C7A5" w14:textId="7CD882D9" w:rsidR="002226A8" w:rsidRPr="00CF1501"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CF1501" w:rsidRPr="009520FE">
              <w:rPr>
                <w:rFonts w:ascii="Arial Narrow" w:eastAsia="Times New Roman" w:hAnsi="Arial Narrow"/>
                <w:color w:val="000000"/>
                <w:sz w:val="20"/>
                <w:szCs w:val="20"/>
                <w:vertAlign w:val="superscript"/>
                <w:lang w:eastAsia="en-AU"/>
              </w:rPr>
              <w:t>3</w:t>
            </w:r>
          </w:p>
        </w:tc>
        <w:tc>
          <w:tcPr>
            <w:tcW w:w="797" w:type="pct"/>
            <w:noWrap/>
            <w:vAlign w:val="center"/>
            <w:hideMark/>
          </w:tcPr>
          <w:p w14:paraId="2D1BD8F0" w14:textId="2B4A137C" w:rsidR="002226A8" w:rsidRPr="00CF1501"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CF1501" w:rsidRPr="009520FE">
              <w:rPr>
                <w:rFonts w:ascii="Arial Narrow" w:eastAsia="Times New Roman" w:hAnsi="Arial Narrow"/>
                <w:color w:val="000000"/>
                <w:sz w:val="20"/>
                <w:szCs w:val="20"/>
                <w:vertAlign w:val="superscript"/>
                <w:lang w:eastAsia="en-AU"/>
              </w:rPr>
              <w:t>3</w:t>
            </w:r>
          </w:p>
        </w:tc>
      </w:tr>
      <w:tr w:rsidR="002226A8" w:rsidRPr="002226A8" w14:paraId="1310EC2E" w14:textId="77777777" w:rsidTr="00B37560">
        <w:trPr>
          <w:trHeight w:val="290"/>
        </w:trPr>
        <w:tc>
          <w:tcPr>
            <w:tcW w:w="1013" w:type="pct"/>
            <w:noWrap/>
            <w:vAlign w:val="center"/>
            <w:hideMark/>
          </w:tcPr>
          <w:p w14:paraId="59F3DC6F" w14:textId="77777777" w:rsidR="002226A8" w:rsidRPr="002226A8" w:rsidRDefault="002226A8" w:rsidP="002226A8">
            <w:pPr>
              <w:rPr>
                <w:rFonts w:ascii="Arial Narrow" w:eastAsia="Times New Roman" w:hAnsi="Arial Narrow"/>
                <w:color w:val="000000"/>
                <w:sz w:val="20"/>
                <w:szCs w:val="20"/>
                <w:lang w:eastAsia="en-AU"/>
              </w:rPr>
            </w:pPr>
            <w:r w:rsidRPr="002226A8">
              <w:rPr>
                <w:rFonts w:ascii="Arial Narrow" w:eastAsia="Times New Roman" w:hAnsi="Arial Narrow"/>
                <w:color w:val="000000"/>
                <w:sz w:val="20"/>
                <w:szCs w:val="20"/>
                <w:lang w:eastAsia="en-AU"/>
              </w:rPr>
              <w:t>LTG 100mg</w:t>
            </w:r>
          </w:p>
        </w:tc>
        <w:tc>
          <w:tcPr>
            <w:tcW w:w="797" w:type="pct"/>
            <w:noWrap/>
            <w:vAlign w:val="center"/>
            <w:hideMark/>
          </w:tcPr>
          <w:p w14:paraId="7B5C65B0" w14:textId="0025CDB4" w:rsidR="002226A8" w:rsidRPr="00CF1501"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CF1501" w:rsidRPr="009520FE">
              <w:rPr>
                <w:rFonts w:ascii="Arial Narrow" w:eastAsia="Times New Roman" w:hAnsi="Arial Narrow"/>
                <w:color w:val="000000"/>
                <w:sz w:val="20"/>
                <w:szCs w:val="20"/>
                <w:vertAlign w:val="superscript"/>
                <w:lang w:eastAsia="en-AU"/>
              </w:rPr>
              <w:t>3</w:t>
            </w:r>
          </w:p>
        </w:tc>
        <w:tc>
          <w:tcPr>
            <w:tcW w:w="797" w:type="pct"/>
            <w:noWrap/>
            <w:vAlign w:val="center"/>
            <w:hideMark/>
          </w:tcPr>
          <w:p w14:paraId="22B60933" w14:textId="3243EC14" w:rsidR="002226A8" w:rsidRPr="009520FE"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9520FE" w:rsidRPr="009520FE">
              <w:rPr>
                <w:rFonts w:ascii="Arial Narrow" w:eastAsia="Times New Roman" w:hAnsi="Arial Narrow"/>
                <w:color w:val="000000"/>
                <w:sz w:val="20"/>
                <w:szCs w:val="20"/>
                <w:vertAlign w:val="superscript"/>
                <w:lang w:eastAsia="en-AU"/>
              </w:rPr>
              <w:t>4</w:t>
            </w:r>
          </w:p>
        </w:tc>
        <w:tc>
          <w:tcPr>
            <w:tcW w:w="797" w:type="pct"/>
            <w:noWrap/>
            <w:vAlign w:val="center"/>
            <w:hideMark/>
          </w:tcPr>
          <w:p w14:paraId="3C8BB189" w14:textId="67E25DF4" w:rsidR="002226A8" w:rsidRPr="009520FE"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9520FE" w:rsidRPr="009520FE">
              <w:rPr>
                <w:rFonts w:ascii="Arial Narrow" w:eastAsia="Times New Roman" w:hAnsi="Arial Narrow"/>
                <w:color w:val="000000"/>
                <w:sz w:val="20"/>
                <w:szCs w:val="20"/>
                <w:vertAlign w:val="superscript"/>
                <w:lang w:eastAsia="en-AU"/>
              </w:rPr>
              <w:t>4</w:t>
            </w:r>
          </w:p>
        </w:tc>
        <w:tc>
          <w:tcPr>
            <w:tcW w:w="797" w:type="pct"/>
            <w:noWrap/>
            <w:vAlign w:val="center"/>
            <w:hideMark/>
          </w:tcPr>
          <w:p w14:paraId="56269D99" w14:textId="3BC39DA3" w:rsidR="002226A8" w:rsidRPr="009520FE"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9520FE" w:rsidRPr="009520FE">
              <w:rPr>
                <w:rFonts w:ascii="Arial Narrow" w:eastAsia="Times New Roman" w:hAnsi="Arial Narrow"/>
                <w:color w:val="000000"/>
                <w:sz w:val="20"/>
                <w:szCs w:val="20"/>
                <w:vertAlign w:val="superscript"/>
                <w:lang w:eastAsia="en-AU"/>
              </w:rPr>
              <w:t>4</w:t>
            </w:r>
          </w:p>
        </w:tc>
        <w:tc>
          <w:tcPr>
            <w:tcW w:w="797" w:type="pct"/>
            <w:noWrap/>
            <w:vAlign w:val="center"/>
            <w:hideMark/>
          </w:tcPr>
          <w:p w14:paraId="2278E5B4" w14:textId="1D96742B" w:rsidR="002226A8" w:rsidRPr="009520FE" w:rsidRDefault="000529AD"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9520FE" w:rsidRPr="009520FE">
              <w:rPr>
                <w:rFonts w:ascii="Arial Narrow" w:eastAsia="Times New Roman" w:hAnsi="Arial Narrow"/>
                <w:color w:val="000000"/>
                <w:sz w:val="20"/>
                <w:szCs w:val="20"/>
                <w:vertAlign w:val="superscript"/>
                <w:lang w:eastAsia="en-AU"/>
              </w:rPr>
              <w:t>4</w:t>
            </w:r>
          </w:p>
        </w:tc>
      </w:tr>
      <w:tr w:rsidR="002226A8" w:rsidRPr="002226A8" w14:paraId="1C7BE6EF" w14:textId="77777777" w:rsidTr="00B37560">
        <w:trPr>
          <w:trHeight w:val="290"/>
        </w:trPr>
        <w:tc>
          <w:tcPr>
            <w:tcW w:w="1013" w:type="pct"/>
            <w:noWrap/>
            <w:vAlign w:val="center"/>
            <w:hideMark/>
          </w:tcPr>
          <w:p w14:paraId="0B41669F" w14:textId="77777777" w:rsidR="002226A8" w:rsidRPr="002226A8" w:rsidRDefault="002226A8" w:rsidP="002226A8">
            <w:pPr>
              <w:rPr>
                <w:rFonts w:ascii="Arial Narrow" w:eastAsia="Times New Roman" w:hAnsi="Arial Narrow"/>
                <w:color w:val="000000"/>
                <w:sz w:val="20"/>
                <w:szCs w:val="20"/>
                <w:lang w:eastAsia="en-AU"/>
              </w:rPr>
            </w:pPr>
            <w:r w:rsidRPr="002226A8">
              <w:rPr>
                <w:rFonts w:ascii="Arial Narrow" w:eastAsia="Times New Roman" w:hAnsi="Arial Narrow"/>
                <w:color w:val="000000"/>
                <w:sz w:val="20"/>
                <w:szCs w:val="20"/>
                <w:lang w:eastAsia="en-AU"/>
              </w:rPr>
              <w:t>LTG 200mg</w:t>
            </w:r>
          </w:p>
        </w:tc>
        <w:tc>
          <w:tcPr>
            <w:tcW w:w="797" w:type="pct"/>
            <w:noWrap/>
            <w:vAlign w:val="center"/>
            <w:hideMark/>
          </w:tcPr>
          <w:p w14:paraId="670AA74B" w14:textId="1488F97C" w:rsidR="002226A8" w:rsidRPr="00CF1501" w:rsidRDefault="00C412F8" w:rsidP="002226A8">
            <w:pPr>
              <w:jc w:val="center"/>
              <w:rPr>
                <w:rFonts w:ascii="Arial Narrow" w:eastAsia="Times New Roman" w:hAnsi="Arial Narrow"/>
                <w:color w:val="000000"/>
                <w:sz w:val="20"/>
                <w:szCs w:val="20"/>
                <w:highlight w:val="lightGray"/>
                <w:vertAlign w:val="superscript"/>
                <w:lang w:eastAsia="en-AU"/>
              </w:rPr>
            </w:pPr>
            <w:r w:rsidRPr="00071F63">
              <w:rPr>
                <w:rFonts w:ascii="Arial Narrow" w:eastAsia="Times New Roman" w:hAnsi="Arial Narrow"/>
                <w:color w:val="000000"/>
                <w:sz w:val="20"/>
                <w:szCs w:val="20"/>
                <w:highlight w:val="black"/>
                <w:lang w:eastAsia="en-AU"/>
              </w:rPr>
              <w:t>XXXXX</w:t>
            </w:r>
            <w:r w:rsidRPr="00071F63">
              <w:rPr>
                <w:rFonts w:ascii="Arial Narrow" w:eastAsia="Times New Roman" w:hAnsi="Arial Narrow"/>
                <w:color w:val="000000"/>
                <w:sz w:val="20"/>
                <w:szCs w:val="20"/>
                <w:vertAlign w:val="superscript"/>
                <w:lang w:eastAsia="en-AU"/>
              </w:rPr>
              <w:t xml:space="preserve"> </w:t>
            </w:r>
            <w:r w:rsidR="00CF1501" w:rsidRPr="00071F63">
              <w:rPr>
                <w:rFonts w:ascii="Arial Narrow" w:eastAsia="Times New Roman" w:hAnsi="Arial Narrow"/>
                <w:color w:val="000000"/>
                <w:sz w:val="20"/>
                <w:szCs w:val="20"/>
                <w:vertAlign w:val="superscript"/>
                <w:lang w:eastAsia="en-AU"/>
              </w:rPr>
              <w:t>3</w:t>
            </w:r>
          </w:p>
        </w:tc>
        <w:tc>
          <w:tcPr>
            <w:tcW w:w="797" w:type="pct"/>
            <w:noWrap/>
            <w:vAlign w:val="center"/>
            <w:hideMark/>
          </w:tcPr>
          <w:p w14:paraId="1EC0D7AB" w14:textId="5E28AA1C" w:rsidR="002226A8" w:rsidRPr="00CF1501" w:rsidRDefault="00C412F8"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9520FE">
              <w:rPr>
                <w:rFonts w:ascii="Arial Narrow" w:eastAsia="Times New Roman" w:hAnsi="Arial Narrow"/>
                <w:color w:val="000000"/>
                <w:sz w:val="20"/>
                <w:szCs w:val="20"/>
                <w:vertAlign w:val="superscript"/>
                <w:lang w:eastAsia="en-AU"/>
              </w:rPr>
              <w:t xml:space="preserve"> </w:t>
            </w:r>
            <w:r w:rsidR="00CF1501" w:rsidRPr="009520FE">
              <w:rPr>
                <w:rFonts w:ascii="Arial Narrow" w:eastAsia="Times New Roman" w:hAnsi="Arial Narrow"/>
                <w:color w:val="000000"/>
                <w:sz w:val="20"/>
                <w:szCs w:val="20"/>
                <w:vertAlign w:val="superscript"/>
                <w:lang w:eastAsia="en-AU"/>
              </w:rPr>
              <w:t>3</w:t>
            </w:r>
          </w:p>
        </w:tc>
        <w:tc>
          <w:tcPr>
            <w:tcW w:w="797" w:type="pct"/>
            <w:noWrap/>
            <w:vAlign w:val="center"/>
            <w:hideMark/>
          </w:tcPr>
          <w:p w14:paraId="671E726B" w14:textId="0A96FA6C" w:rsidR="002226A8" w:rsidRPr="00CF1501" w:rsidRDefault="00C412F8"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04033E">
              <w:rPr>
                <w:rFonts w:ascii="Arial Narrow" w:eastAsia="Times New Roman" w:hAnsi="Arial Narrow"/>
                <w:color w:val="000000"/>
                <w:sz w:val="20"/>
                <w:szCs w:val="20"/>
                <w:vertAlign w:val="superscript"/>
                <w:lang w:eastAsia="en-AU"/>
              </w:rPr>
              <w:t xml:space="preserve"> </w:t>
            </w:r>
            <w:r w:rsidR="00CF1501" w:rsidRPr="0004033E">
              <w:rPr>
                <w:rFonts w:ascii="Arial Narrow" w:eastAsia="Times New Roman" w:hAnsi="Arial Narrow"/>
                <w:color w:val="000000"/>
                <w:sz w:val="20"/>
                <w:szCs w:val="20"/>
                <w:vertAlign w:val="superscript"/>
                <w:lang w:eastAsia="en-AU"/>
              </w:rPr>
              <w:t>3</w:t>
            </w:r>
          </w:p>
        </w:tc>
        <w:tc>
          <w:tcPr>
            <w:tcW w:w="797" w:type="pct"/>
            <w:noWrap/>
            <w:vAlign w:val="center"/>
            <w:hideMark/>
          </w:tcPr>
          <w:p w14:paraId="16184EA9" w14:textId="27C496A2" w:rsidR="002226A8" w:rsidRPr="00CF1501" w:rsidRDefault="00C412F8"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04033E">
              <w:rPr>
                <w:rFonts w:ascii="Arial Narrow" w:eastAsia="Times New Roman" w:hAnsi="Arial Narrow"/>
                <w:color w:val="000000"/>
                <w:sz w:val="20"/>
                <w:szCs w:val="20"/>
                <w:vertAlign w:val="superscript"/>
                <w:lang w:eastAsia="en-AU"/>
              </w:rPr>
              <w:t xml:space="preserve"> </w:t>
            </w:r>
            <w:r w:rsidR="00CF1501" w:rsidRPr="0004033E">
              <w:rPr>
                <w:rFonts w:ascii="Arial Narrow" w:eastAsia="Times New Roman" w:hAnsi="Arial Narrow"/>
                <w:color w:val="000000"/>
                <w:sz w:val="20"/>
                <w:szCs w:val="20"/>
                <w:vertAlign w:val="superscript"/>
                <w:lang w:eastAsia="en-AU"/>
              </w:rPr>
              <w:t>3</w:t>
            </w:r>
          </w:p>
        </w:tc>
        <w:tc>
          <w:tcPr>
            <w:tcW w:w="797" w:type="pct"/>
            <w:noWrap/>
            <w:vAlign w:val="center"/>
            <w:hideMark/>
          </w:tcPr>
          <w:p w14:paraId="3D8E706D" w14:textId="33CD9EE3" w:rsidR="002226A8" w:rsidRPr="00CF1501" w:rsidRDefault="00C412F8" w:rsidP="002226A8">
            <w:pPr>
              <w:jc w:val="center"/>
              <w:rPr>
                <w:rFonts w:ascii="Arial Narrow" w:eastAsia="Times New Roman" w:hAnsi="Arial Narrow"/>
                <w:color w:val="000000"/>
                <w:sz w:val="20"/>
                <w:szCs w:val="20"/>
                <w:highlight w:val="lightGray"/>
                <w:vertAlign w:val="superscript"/>
                <w:lang w:eastAsia="en-AU"/>
              </w:rPr>
            </w:pPr>
            <w:r w:rsidRPr="00114A5C">
              <w:rPr>
                <w:rFonts w:ascii="Arial Narrow" w:eastAsia="Times New Roman" w:hAnsi="Arial Narrow"/>
                <w:color w:val="000000"/>
                <w:sz w:val="20"/>
                <w:szCs w:val="20"/>
                <w:highlight w:val="black"/>
                <w:lang w:eastAsia="en-AU"/>
              </w:rPr>
              <w:t>XXXXX</w:t>
            </w:r>
            <w:r w:rsidRPr="0004033E">
              <w:rPr>
                <w:rFonts w:ascii="Arial Narrow" w:eastAsia="Times New Roman" w:hAnsi="Arial Narrow"/>
                <w:color w:val="000000"/>
                <w:sz w:val="20"/>
                <w:szCs w:val="20"/>
                <w:vertAlign w:val="superscript"/>
                <w:lang w:eastAsia="en-AU"/>
              </w:rPr>
              <w:t xml:space="preserve"> </w:t>
            </w:r>
            <w:r w:rsidR="00CF1501" w:rsidRPr="0004033E">
              <w:rPr>
                <w:rFonts w:ascii="Arial Narrow" w:eastAsia="Times New Roman" w:hAnsi="Arial Narrow"/>
                <w:color w:val="000000"/>
                <w:sz w:val="20"/>
                <w:szCs w:val="20"/>
                <w:vertAlign w:val="superscript"/>
                <w:lang w:eastAsia="en-AU"/>
              </w:rPr>
              <w:t>3</w:t>
            </w:r>
          </w:p>
        </w:tc>
      </w:tr>
      <w:tr w:rsidR="002226A8" w:rsidRPr="002226A8" w14:paraId="64325DA5" w14:textId="77777777" w:rsidTr="00B37560">
        <w:trPr>
          <w:trHeight w:val="290"/>
        </w:trPr>
        <w:tc>
          <w:tcPr>
            <w:tcW w:w="1013" w:type="pct"/>
            <w:noWrap/>
            <w:vAlign w:val="center"/>
            <w:hideMark/>
          </w:tcPr>
          <w:p w14:paraId="5857106D" w14:textId="77777777" w:rsidR="002226A8" w:rsidRPr="002226A8" w:rsidRDefault="002226A8" w:rsidP="002226A8">
            <w:pPr>
              <w:rPr>
                <w:rFonts w:ascii="Arial Narrow" w:eastAsia="Times New Roman" w:hAnsi="Arial Narrow"/>
                <w:b/>
                <w:bCs/>
                <w:color w:val="000000"/>
                <w:sz w:val="20"/>
                <w:szCs w:val="20"/>
                <w:lang w:eastAsia="en-AU"/>
              </w:rPr>
            </w:pPr>
            <w:r w:rsidRPr="002226A8">
              <w:rPr>
                <w:rFonts w:ascii="Arial Narrow" w:eastAsia="Times New Roman" w:hAnsi="Arial Narrow"/>
                <w:b/>
                <w:bCs/>
                <w:color w:val="000000"/>
                <w:sz w:val="20"/>
                <w:szCs w:val="20"/>
                <w:lang w:eastAsia="en-AU"/>
              </w:rPr>
              <w:t>Total</w:t>
            </w:r>
          </w:p>
        </w:tc>
        <w:tc>
          <w:tcPr>
            <w:tcW w:w="797" w:type="pct"/>
            <w:noWrap/>
            <w:vAlign w:val="center"/>
            <w:hideMark/>
          </w:tcPr>
          <w:p w14:paraId="1F1E08E1" w14:textId="77777777" w:rsidR="002226A8" w:rsidRPr="00DA28C3" w:rsidRDefault="002226A8" w:rsidP="002226A8">
            <w:pPr>
              <w:jc w:val="center"/>
              <w:rPr>
                <w:rFonts w:ascii="Arial Narrow" w:eastAsia="Times New Roman" w:hAnsi="Arial Narrow"/>
                <w:b/>
                <w:bCs/>
                <w:color w:val="000000"/>
                <w:sz w:val="20"/>
                <w:szCs w:val="20"/>
                <w:lang w:eastAsia="en-AU"/>
              </w:rPr>
            </w:pPr>
            <w:r w:rsidRPr="00DA28C3">
              <w:rPr>
                <w:rFonts w:ascii="Arial Narrow" w:eastAsia="Times New Roman" w:hAnsi="Arial Narrow"/>
                <w:b/>
                <w:bCs/>
                <w:color w:val="000000"/>
                <w:sz w:val="20"/>
                <w:szCs w:val="20"/>
                <w:lang w:eastAsia="en-AU"/>
              </w:rPr>
              <w:t>525,419</w:t>
            </w:r>
          </w:p>
        </w:tc>
        <w:tc>
          <w:tcPr>
            <w:tcW w:w="797" w:type="pct"/>
            <w:noWrap/>
            <w:vAlign w:val="center"/>
            <w:hideMark/>
          </w:tcPr>
          <w:p w14:paraId="5E476D10" w14:textId="77777777" w:rsidR="002226A8" w:rsidRPr="00DA28C3" w:rsidRDefault="002226A8" w:rsidP="002226A8">
            <w:pPr>
              <w:jc w:val="center"/>
              <w:rPr>
                <w:rFonts w:ascii="Arial Narrow" w:eastAsia="Times New Roman" w:hAnsi="Arial Narrow"/>
                <w:b/>
                <w:bCs/>
                <w:color w:val="000000"/>
                <w:sz w:val="20"/>
                <w:szCs w:val="20"/>
                <w:lang w:eastAsia="en-AU"/>
              </w:rPr>
            </w:pPr>
            <w:r w:rsidRPr="00DA28C3">
              <w:rPr>
                <w:rFonts w:ascii="Arial Narrow" w:eastAsia="Times New Roman" w:hAnsi="Arial Narrow"/>
                <w:b/>
                <w:bCs/>
                <w:color w:val="000000"/>
                <w:sz w:val="20"/>
                <w:szCs w:val="20"/>
                <w:lang w:eastAsia="en-AU"/>
              </w:rPr>
              <w:t>547,600</w:t>
            </w:r>
          </w:p>
        </w:tc>
        <w:tc>
          <w:tcPr>
            <w:tcW w:w="797" w:type="pct"/>
            <w:noWrap/>
            <w:vAlign w:val="center"/>
            <w:hideMark/>
          </w:tcPr>
          <w:p w14:paraId="752FEA08" w14:textId="77777777" w:rsidR="002226A8" w:rsidRPr="00DA28C3" w:rsidRDefault="002226A8" w:rsidP="002226A8">
            <w:pPr>
              <w:jc w:val="center"/>
              <w:rPr>
                <w:rFonts w:ascii="Arial Narrow" w:eastAsia="Times New Roman" w:hAnsi="Arial Narrow"/>
                <w:b/>
                <w:bCs/>
                <w:color w:val="000000"/>
                <w:sz w:val="20"/>
                <w:szCs w:val="20"/>
                <w:lang w:eastAsia="en-AU"/>
              </w:rPr>
            </w:pPr>
            <w:r w:rsidRPr="00DA28C3">
              <w:rPr>
                <w:rFonts w:ascii="Arial Narrow" w:eastAsia="Times New Roman" w:hAnsi="Arial Narrow"/>
                <w:b/>
                <w:bCs/>
                <w:color w:val="000000"/>
                <w:sz w:val="20"/>
                <w:szCs w:val="20"/>
                <w:lang w:eastAsia="en-AU"/>
              </w:rPr>
              <w:t>571,826</w:t>
            </w:r>
          </w:p>
        </w:tc>
        <w:tc>
          <w:tcPr>
            <w:tcW w:w="797" w:type="pct"/>
            <w:noWrap/>
            <w:vAlign w:val="center"/>
            <w:hideMark/>
          </w:tcPr>
          <w:p w14:paraId="4A323256" w14:textId="77777777" w:rsidR="002226A8" w:rsidRPr="00DA28C3" w:rsidRDefault="002226A8" w:rsidP="002226A8">
            <w:pPr>
              <w:jc w:val="center"/>
              <w:rPr>
                <w:rFonts w:ascii="Arial Narrow" w:eastAsia="Times New Roman" w:hAnsi="Arial Narrow"/>
                <w:b/>
                <w:bCs/>
                <w:color w:val="000000"/>
                <w:sz w:val="20"/>
                <w:szCs w:val="20"/>
                <w:lang w:eastAsia="en-AU"/>
              </w:rPr>
            </w:pPr>
            <w:r w:rsidRPr="00DA28C3">
              <w:rPr>
                <w:rFonts w:ascii="Arial Narrow" w:eastAsia="Times New Roman" w:hAnsi="Arial Narrow"/>
                <w:b/>
                <w:bCs/>
                <w:color w:val="000000"/>
                <w:sz w:val="20"/>
                <w:szCs w:val="20"/>
                <w:lang w:eastAsia="en-AU"/>
              </w:rPr>
              <w:t>579,754</w:t>
            </w:r>
          </w:p>
        </w:tc>
        <w:tc>
          <w:tcPr>
            <w:tcW w:w="797" w:type="pct"/>
            <w:noWrap/>
            <w:vAlign w:val="center"/>
            <w:hideMark/>
          </w:tcPr>
          <w:p w14:paraId="02C1E9C8" w14:textId="77777777" w:rsidR="002226A8" w:rsidRPr="00DA28C3" w:rsidRDefault="002226A8" w:rsidP="002226A8">
            <w:pPr>
              <w:jc w:val="center"/>
              <w:rPr>
                <w:rFonts w:ascii="Arial Narrow" w:eastAsia="Times New Roman" w:hAnsi="Arial Narrow"/>
                <w:b/>
                <w:bCs/>
                <w:color w:val="000000"/>
                <w:sz w:val="20"/>
                <w:szCs w:val="20"/>
                <w:lang w:eastAsia="en-AU"/>
              </w:rPr>
            </w:pPr>
            <w:r w:rsidRPr="00DA28C3">
              <w:rPr>
                <w:rFonts w:ascii="Arial Narrow" w:eastAsia="Times New Roman" w:hAnsi="Arial Narrow"/>
                <w:b/>
                <w:bCs/>
                <w:color w:val="000000"/>
                <w:sz w:val="20"/>
                <w:szCs w:val="20"/>
                <w:lang w:eastAsia="en-AU"/>
              </w:rPr>
              <w:t>646,246</w:t>
            </w:r>
          </w:p>
        </w:tc>
      </w:tr>
    </w:tbl>
    <w:p w14:paraId="3FB71FF7" w14:textId="77777777" w:rsidR="009741A9" w:rsidRPr="00137CCC" w:rsidRDefault="009741A9" w:rsidP="009741A9">
      <w:pPr>
        <w:spacing w:after="0" w:line="240" w:lineRule="auto"/>
        <w:jc w:val="both"/>
        <w:rPr>
          <w:rFonts w:ascii="Arial Narrow" w:eastAsia="Times New Roman" w:hAnsi="Arial Narrow" w:cs="Calibri"/>
          <w:i/>
          <w:iCs/>
          <w:snapToGrid w:val="0"/>
          <w:sz w:val="18"/>
          <w:szCs w:val="18"/>
        </w:rPr>
      </w:pPr>
      <w:r w:rsidRPr="00137CCC">
        <w:rPr>
          <w:rFonts w:ascii="Arial Narrow" w:eastAsia="Times New Roman" w:hAnsi="Arial Narrow" w:cs="Calibri"/>
          <w:i/>
          <w:iCs/>
          <w:snapToGrid w:val="0"/>
          <w:sz w:val="18"/>
          <w:szCs w:val="18"/>
        </w:rPr>
        <w:t>The redacted values correspond to the following ranges:</w:t>
      </w:r>
    </w:p>
    <w:p w14:paraId="6F522403" w14:textId="60F79B5F" w:rsidR="009741A9" w:rsidRPr="00137CCC" w:rsidRDefault="009741A9" w:rsidP="009741A9">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1 </w:t>
      </w:r>
      <w:r w:rsidR="002F0668" w:rsidRPr="00137CCC">
        <w:rPr>
          <w:rFonts w:ascii="Arial Narrow" w:eastAsia="Times New Roman" w:hAnsi="Arial Narrow" w:cs="Calibri"/>
          <w:bCs/>
          <w:i/>
          <w:iCs/>
          <w:snapToGrid w:val="0"/>
          <w:sz w:val="18"/>
          <w:szCs w:val="18"/>
        </w:rPr>
        <w:t>500 to &lt; 5,000</w:t>
      </w:r>
    </w:p>
    <w:p w14:paraId="5D6FEC02" w14:textId="2BBF863E" w:rsidR="00C712EE" w:rsidRPr="00137CCC" w:rsidRDefault="00C712EE" w:rsidP="00C712EE">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2 </w:t>
      </w:r>
      <w:r w:rsidR="00CE25B7" w:rsidRPr="00137CCC">
        <w:rPr>
          <w:rFonts w:ascii="Arial Narrow" w:eastAsia="Times New Roman" w:hAnsi="Arial Narrow" w:cs="Calibri"/>
          <w:bCs/>
          <w:i/>
          <w:iCs/>
          <w:snapToGrid w:val="0"/>
          <w:sz w:val="18"/>
          <w:szCs w:val="18"/>
        </w:rPr>
        <w:t>60,000 to &lt; 70,000</w:t>
      </w:r>
    </w:p>
    <w:p w14:paraId="4E688664" w14:textId="25871145" w:rsidR="000C2CC3" w:rsidRPr="00137CCC" w:rsidRDefault="000C2CC3" w:rsidP="00C712EE">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3 </w:t>
      </w:r>
      <w:r w:rsidRPr="00137CCC">
        <w:rPr>
          <w:rFonts w:ascii="Arial Narrow" w:eastAsia="Times New Roman" w:hAnsi="Arial Narrow" w:cs="Calibri"/>
          <w:bCs/>
          <w:i/>
          <w:iCs/>
          <w:snapToGrid w:val="0"/>
          <w:sz w:val="18"/>
          <w:szCs w:val="18"/>
        </w:rPr>
        <w:t>70,000 to &lt; 80,000</w:t>
      </w:r>
    </w:p>
    <w:p w14:paraId="1D5FFAC7" w14:textId="70A21F10" w:rsidR="00621849" w:rsidRPr="00137CCC" w:rsidRDefault="00621849" w:rsidP="00621849">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3 </w:t>
      </w:r>
      <w:r w:rsidR="007D4527" w:rsidRPr="00137CCC">
        <w:rPr>
          <w:rFonts w:ascii="Arial Narrow" w:eastAsia="Times New Roman" w:hAnsi="Arial Narrow" w:cs="Calibri"/>
          <w:bCs/>
          <w:i/>
          <w:iCs/>
          <w:snapToGrid w:val="0"/>
          <w:sz w:val="18"/>
          <w:szCs w:val="18"/>
        </w:rPr>
        <w:t>10</w:t>
      </w:r>
      <w:r w:rsidRPr="00137CCC">
        <w:rPr>
          <w:rFonts w:ascii="Arial Narrow" w:eastAsia="Times New Roman" w:hAnsi="Arial Narrow" w:cs="Calibri"/>
          <w:bCs/>
          <w:i/>
          <w:iCs/>
          <w:snapToGrid w:val="0"/>
          <w:sz w:val="18"/>
          <w:szCs w:val="18"/>
        </w:rPr>
        <w:t xml:space="preserve">0,000 to &lt; </w:t>
      </w:r>
      <w:r w:rsidR="00CF1501" w:rsidRPr="00137CCC">
        <w:rPr>
          <w:rFonts w:ascii="Arial Narrow" w:eastAsia="Times New Roman" w:hAnsi="Arial Narrow" w:cs="Calibri"/>
          <w:bCs/>
          <w:i/>
          <w:iCs/>
          <w:snapToGrid w:val="0"/>
          <w:sz w:val="18"/>
          <w:szCs w:val="18"/>
        </w:rPr>
        <w:t>20</w:t>
      </w:r>
      <w:r w:rsidRPr="00137CCC">
        <w:rPr>
          <w:rFonts w:ascii="Arial Narrow" w:eastAsia="Times New Roman" w:hAnsi="Arial Narrow" w:cs="Calibri"/>
          <w:bCs/>
          <w:i/>
          <w:iCs/>
          <w:snapToGrid w:val="0"/>
          <w:sz w:val="18"/>
          <w:szCs w:val="18"/>
        </w:rPr>
        <w:t>0,000</w:t>
      </w:r>
    </w:p>
    <w:p w14:paraId="2A09AF7B" w14:textId="07B9DBB6" w:rsidR="00621849" w:rsidRDefault="00D95F62" w:rsidP="00C712EE">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4 </w:t>
      </w:r>
      <w:r w:rsidRPr="00137CCC">
        <w:rPr>
          <w:rFonts w:ascii="Arial Narrow" w:eastAsia="Times New Roman" w:hAnsi="Arial Narrow" w:cs="Calibri"/>
          <w:bCs/>
          <w:i/>
          <w:iCs/>
          <w:snapToGrid w:val="0"/>
          <w:sz w:val="18"/>
          <w:szCs w:val="18"/>
        </w:rPr>
        <w:t>200,000 to &lt; 300,000</w:t>
      </w:r>
    </w:p>
    <w:p w14:paraId="4AD0D229" w14:textId="6330CBB4" w:rsidR="000C36A2" w:rsidRDefault="000C36A2" w:rsidP="007C18E3">
      <w:pPr>
        <w:pStyle w:val="3-BodyText"/>
        <w:spacing w:before="120" w:after="120" w:line="240" w:lineRule="auto"/>
        <w:jc w:val="both"/>
        <w:rPr>
          <w:rFonts w:ascii="Calibri" w:eastAsia="Times New Roman" w:hAnsi="Calibri" w:cs="Calibri"/>
          <w:snapToGrid w:val="0"/>
          <w:sz w:val="24"/>
          <w:szCs w:val="24"/>
        </w:rPr>
      </w:pPr>
      <w:r w:rsidRPr="000C36A2">
        <w:rPr>
          <w:rFonts w:ascii="Calibri" w:eastAsia="Times New Roman" w:hAnsi="Calibri" w:cs="Calibri"/>
          <w:snapToGrid w:val="0"/>
          <w:sz w:val="24"/>
          <w:szCs w:val="24"/>
        </w:rPr>
        <w:t xml:space="preserve">The size of the private market for each strength of LTG (in units) from 2020 to 2024 was determined by subtracting the number of R/PBS units from the total market units. </w:t>
      </w:r>
      <w:r w:rsidRPr="000C36A2">
        <w:rPr>
          <w:rFonts w:ascii="Calibri" w:eastAsia="Times New Roman" w:hAnsi="Calibri" w:cs="Calibri"/>
          <w:snapToGrid w:val="0"/>
          <w:sz w:val="24"/>
          <w:szCs w:val="24"/>
        </w:rPr>
        <w:lastRenderedPageBreak/>
        <w:t xml:space="preserve">Projections for private LTG units by strength from 2025 to 2031 were then estimated using a linear forecast based on the 2020–2024 data (see Table </w:t>
      </w:r>
      <w:r w:rsidR="00FD3867">
        <w:rPr>
          <w:rFonts w:ascii="Calibri" w:eastAsia="Times New Roman" w:hAnsi="Calibri" w:cs="Calibri"/>
          <w:snapToGrid w:val="0"/>
          <w:sz w:val="24"/>
          <w:szCs w:val="24"/>
        </w:rPr>
        <w:t>3</w:t>
      </w:r>
      <w:r w:rsidRPr="000C36A2">
        <w:rPr>
          <w:rFonts w:ascii="Calibri" w:eastAsia="Times New Roman" w:hAnsi="Calibri" w:cs="Calibri"/>
          <w:snapToGrid w:val="0"/>
          <w:sz w:val="24"/>
          <w:szCs w:val="24"/>
        </w:rPr>
        <w:t>).</w:t>
      </w:r>
    </w:p>
    <w:p w14:paraId="7C708FF3" w14:textId="48097FBF" w:rsidR="008B6EC6" w:rsidRDefault="00221737" w:rsidP="001F7407">
      <w:pPr>
        <w:spacing w:before="120" w:after="60" w:line="240" w:lineRule="auto"/>
      </w:pPr>
      <w:r>
        <w:rPr>
          <w:rFonts w:ascii="Arial Narrow" w:eastAsia="Times New Roman" w:hAnsi="Arial Narrow" w:cs="Calibri"/>
          <w:b/>
          <w:bCs/>
          <w:snapToGrid w:val="0"/>
          <w:sz w:val="20"/>
          <w:szCs w:val="20"/>
        </w:rPr>
        <w:t xml:space="preserve">Table </w:t>
      </w:r>
      <w:r w:rsidR="00FD3867">
        <w:rPr>
          <w:rFonts w:ascii="Arial Narrow" w:eastAsia="Times New Roman" w:hAnsi="Arial Narrow" w:cs="Calibri"/>
          <w:b/>
          <w:bCs/>
          <w:snapToGrid w:val="0"/>
          <w:sz w:val="20"/>
          <w:szCs w:val="20"/>
        </w:rPr>
        <w:t>3</w:t>
      </w:r>
      <w:r>
        <w:rPr>
          <w:rFonts w:ascii="Arial Narrow" w:eastAsia="Times New Roman" w:hAnsi="Arial Narrow" w:cs="Calibri"/>
          <w:b/>
          <w:bCs/>
          <w:snapToGrid w:val="0"/>
          <w:sz w:val="20"/>
          <w:szCs w:val="20"/>
        </w:rPr>
        <w:t xml:space="preserve">: </w:t>
      </w:r>
      <w:r w:rsidR="00C5451C">
        <w:rPr>
          <w:rFonts w:ascii="Arial Narrow" w:eastAsia="Times New Roman" w:hAnsi="Arial Narrow" w:cs="Calibri"/>
          <w:b/>
          <w:bCs/>
          <w:snapToGrid w:val="0"/>
          <w:sz w:val="20"/>
          <w:szCs w:val="20"/>
        </w:rPr>
        <w:t>Lamotrigine u</w:t>
      </w:r>
      <w:r w:rsidR="00D33FE0" w:rsidRPr="00D33FE0">
        <w:rPr>
          <w:rFonts w:ascii="Arial Narrow" w:eastAsia="Times New Roman" w:hAnsi="Arial Narrow" w:cs="Calibri"/>
          <w:b/>
          <w:bCs/>
          <w:snapToGrid w:val="0"/>
          <w:sz w:val="20"/>
          <w:szCs w:val="20"/>
        </w:rPr>
        <w:t>nits</w:t>
      </w:r>
      <w:r w:rsidR="00C5451C">
        <w:rPr>
          <w:rFonts w:ascii="Arial Narrow" w:eastAsia="Times New Roman" w:hAnsi="Arial Narrow" w:cs="Calibri"/>
          <w:b/>
          <w:bCs/>
          <w:snapToGrid w:val="0"/>
          <w:sz w:val="20"/>
          <w:szCs w:val="20"/>
        </w:rPr>
        <w:t xml:space="preserve"> supplied</w:t>
      </w:r>
      <w:r w:rsidR="00B836A5">
        <w:rPr>
          <w:rFonts w:ascii="Arial Narrow" w:eastAsia="Times New Roman" w:hAnsi="Arial Narrow" w:cs="Calibri"/>
          <w:b/>
          <w:bCs/>
          <w:snapToGrid w:val="0"/>
          <w:sz w:val="20"/>
          <w:szCs w:val="20"/>
        </w:rPr>
        <w:t xml:space="preserve"> </w:t>
      </w:r>
      <w:r w:rsidR="00EC037B">
        <w:rPr>
          <w:rFonts w:ascii="Arial Narrow" w:eastAsia="Times New Roman" w:hAnsi="Arial Narrow" w:cs="Calibri"/>
          <w:b/>
          <w:bCs/>
          <w:snapToGrid w:val="0"/>
          <w:sz w:val="20"/>
          <w:szCs w:val="20"/>
        </w:rPr>
        <w:t>i</w:t>
      </w:r>
      <w:r w:rsidR="001F7407">
        <w:rPr>
          <w:rFonts w:ascii="Arial Narrow" w:eastAsia="Times New Roman" w:hAnsi="Arial Narrow" w:cs="Calibri"/>
          <w:b/>
          <w:bCs/>
          <w:snapToGrid w:val="0"/>
          <w:sz w:val="20"/>
          <w:szCs w:val="20"/>
        </w:rPr>
        <w:t xml:space="preserve">n the </w:t>
      </w:r>
      <w:r w:rsidR="00C5451C">
        <w:rPr>
          <w:rFonts w:ascii="Arial Narrow" w:eastAsia="Times New Roman" w:hAnsi="Arial Narrow" w:cs="Calibri"/>
          <w:b/>
          <w:bCs/>
          <w:snapToGrid w:val="0"/>
          <w:sz w:val="20"/>
          <w:szCs w:val="20"/>
        </w:rPr>
        <w:t>private</w:t>
      </w:r>
      <w:r w:rsidR="000C36A2">
        <w:rPr>
          <w:rFonts w:ascii="Arial Narrow" w:eastAsia="Times New Roman" w:hAnsi="Arial Narrow" w:cs="Calibri"/>
          <w:b/>
          <w:bCs/>
          <w:snapToGrid w:val="0"/>
          <w:sz w:val="20"/>
          <w:szCs w:val="20"/>
        </w:rPr>
        <w:t xml:space="preserve"> (non-PBS)</w:t>
      </w:r>
      <w:r w:rsidR="00C5451C">
        <w:rPr>
          <w:rFonts w:ascii="Arial Narrow" w:eastAsia="Times New Roman" w:hAnsi="Arial Narrow" w:cs="Calibri"/>
          <w:b/>
          <w:bCs/>
          <w:snapToGrid w:val="0"/>
          <w:sz w:val="20"/>
          <w:szCs w:val="20"/>
        </w:rPr>
        <w:t xml:space="preserve"> market</w:t>
      </w:r>
    </w:p>
    <w:tbl>
      <w:tblPr>
        <w:tblStyle w:val="TableGrid"/>
        <w:tblW w:w="5000" w:type="pct"/>
        <w:tblLook w:val="04A0" w:firstRow="1" w:lastRow="0" w:firstColumn="1" w:lastColumn="0" w:noHBand="0" w:noVBand="1"/>
      </w:tblPr>
      <w:tblGrid>
        <w:gridCol w:w="887"/>
        <w:gridCol w:w="678"/>
        <w:gridCol w:w="678"/>
        <w:gridCol w:w="678"/>
        <w:gridCol w:w="678"/>
        <w:gridCol w:w="678"/>
        <w:gridCol w:w="678"/>
        <w:gridCol w:w="678"/>
        <w:gridCol w:w="678"/>
        <w:gridCol w:w="678"/>
        <w:gridCol w:w="678"/>
        <w:gridCol w:w="678"/>
        <w:gridCol w:w="671"/>
      </w:tblGrid>
      <w:tr w:rsidR="00783DC8" w:rsidRPr="00E8465B" w14:paraId="4F870179" w14:textId="448DC521" w:rsidTr="00AD051E">
        <w:trPr>
          <w:trHeight w:val="290"/>
        </w:trPr>
        <w:tc>
          <w:tcPr>
            <w:tcW w:w="492" w:type="pct"/>
            <w:shd w:val="clear" w:color="auto" w:fill="D0CECE" w:themeFill="background2" w:themeFillShade="E6"/>
            <w:noWrap/>
            <w:vAlign w:val="center"/>
            <w:hideMark/>
          </w:tcPr>
          <w:p w14:paraId="591D5412" w14:textId="77777777" w:rsidR="00783DC8" w:rsidRPr="00E8465B" w:rsidRDefault="00783DC8" w:rsidP="00E8465B">
            <w:pPr>
              <w:rPr>
                <w:rFonts w:ascii="Arial Narrow" w:eastAsia="Times New Roman" w:hAnsi="Arial Narrow"/>
                <w:i/>
                <w:iCs/>
                <w:color w:val="000000"/>
                <w:sz w:val="17"/>
                <w:szCs w:val="17"/>
                <w:lang w:eastAsia="en-AU"/>
              </w:rPr>
            </w:pPr>
            <w:r w:rsidRPr="00E8465B">
              <w:rPr>
                <w:rFonts w:ascii="Arial Narrow" w:eastAsia="Times New Roman" w:hAnsi="Arial Narrow"/>
                <w:i/>
                <w:iCs/>
                <w:color w:val="000000"/>
                <w:sz w:val="17"/>
                <w:szCs w:val="17"/>
                <w:lang w:eastAsia="en-AU"/>
              </w:rPr>
              <w:t> </w:t>
            </w:r>
          </w:p>
        </w:tc>
        <w:tc>
          <w:tcPr>
            <w:tcW w:w="376" w:type="pct"/>
            <w:shd w:val="clear" w:color="auto" w:fill="D0CECE" w:themeFill="background2" w:themeFillShade="E6"/>
            <w:noWrap/>
            <w:vAlign w:val="center"/>
            <w:hideMark/>
          </w:tcPr>
          <w:p w14:paraId="552F19AB" w14:textId="77777777" w:rsidR="00783DC8" w:rsidRPr="00E8465B" w:rsidRDefault="00783DC8" w:rsidP="00E8465B">
            <w:pPr>
              <w:jc w:val="right"/>
              <w:rPr>
                <w:rFonts w:ascii="Arial Narrow" w:eastAsia="Times New Roman" w:hAnsi="Arial Narrow"/>
                <w:b/>
                <w:bCs/>
                <w:color w:val="000000"/>
                <w:sz w:val="17"/>
                <w:szCs w:val="17"/>
                <w:lang w:eastAsia="en-AU"/>
              </w:rPr>
            </w:pPr>
            <w:r w:rsidRPr="00E8465B">
              <w:rPr>
                <w:rFonts w:ascii="Arial Narrow" w:eastAsia="Times New Roman" w:hAnsi="Arial Narrow"/>
                <w:b/>
                <w:bCs/>
                <w:color w:val="000000"/>
                <w:sz w:val="17"/>
                <w:szCs w:val="17"/>
                <w:lang w:eastAsia="en-AU"/>
              </w:rPr>
              <w:t>2020</w:t>
            </w:r>
          </w:p>
        </w:tc>
        <w:tc>
          <w:tcPr>
            <w:tcW w:w="376" w:type="pct"/>
            <w:shd w:val="clear" w:color="auto" w:fill="D0CECE" w:themeFill="background2" w:themeFillShade="E6"/>
            <w:noWrap/>
            <w:vAlign w:val="center"/>
            <w:hideMark/>
          </w:tcPr>
          <w:p w14:paraId="0AF89AE1" w14:textId="77777777" w:rsidR="00783DC8" w:rsidRPr="00E8465B" w:rsidRDefault="00783DC8" w:rsidP="00E8465B">
            <w:pPr>
              <w:jc w:val="right"/>
              <w:rPr>
                <w:rFonts w:ascii="Arial Narrow" w:eastAsia="Times New Roman" w:hAnsi="Arial Narrow"/>
                <w:b/>
                <w:bCs/>
                <w:color w:val="000000"/>
                <w:sz w:val="17"/>
                <w:szCs w:val="17"/>
                <w:lang w:eastAsia="en-AU"/>
              </w:rPr>
            </w:pPr>
            <w:r w:rsidRPr="00E8465B">
              <w:rPr>
                <w:rFonts w:ascii="Arial Narrow" w:eastAsia="Times New Roman" w:hAnsi="Arial Narrow"/>
                <w:b/>
                <w:bCs/>
                <w:color w:val="000000"/>
                <w:sz w:val="17"/>
                <w:szCs w:val="17"/>
                <w:lang w:eastAsia="en-AU"/>
              </w:rPr>
              <w:t>2021</w:t>
            </w:r>
          </w:p>
        </w:tc>
        <w:tc>
          <w:tcPr>
            <w:tcW w:w="376" w:type="pct"/>
            <w:shd w:val="clear" w:color="auto" w:fill="D0CECE" w:themeFill="background2" w:themeFillShade="E6"/>
            <w:noWrap/>
            <w:vAlign w:val="center"/>
            <w:hideMark/>
          </w:tcPr>
          <w:p w14:paraId="7E5A5079" w14:textId="77777777" w:rsidR="00783DC8" w:rsidRPr="00E8465B" w:rsidRDefault="00783DC8" w:rsidP="00E8465B">
            <w:pPr>
              <w:jc w:val="right"/>
              <w:rPr>
                <w:rFonts w:ascii="Arial Narrow" w:eastAsia="Times New Roman" w:hAnsi="Arial Narrow"/>
                <w:b/>
                <w:bCs/>
                <w:color w:val="000000"/>
                <w:sz w:val="17"/>
                <w:szCs w:val="17"/>
                <w:lang w:eastAsia="en-AU"/>
              </w:rPr>
            </w:pPr>
            <w:r w:rsidRPr="00E8465B">
              <w:rPr>
                <w:rFonts w:ascii="Arial Narrow" w:eastAsia="Times New Roman" w:hAnsi="Arial Narrow"/>
                <w:b/>
                <w:bCs/>
                <w:color w:val="000000"/>
                <w:sz w:val="17"/>
                <w:szCs w:val="17"/>
                <w:lang w:eastAsia="en-AU"/>
              </w:rPr>
              <w:t>2022</w:t>
            </w:r>
          </w:p>
        </w:tc>
        <w:tc>
          <w:tcPr>
            <w:tcW w:w="376" w:type="pct"/>
            <w:shd w:val="clear" w:color="auto" w:fill="D0CECE" w:themeFill="background2" w:themeFillShade="E6"/>
            <w:noWrap/>
            <w:vAlign w:val="center"/>
            <w:hideMark/>
          </w:tcPr>
          <w:p w14:paraId="69CE2EA3" w14:textId="77777777" w:rsidR="00783DC8" w:rsidRPr="00E8465B" w:rsidRDefault="00783DC8" w:rsidP="00E8465B">
            <w:pPr>
              <w:jc w:val="right"/>
              <w:rPr>
                <w:rFonts w:ascii="Arial Narrow" w:eastAsia="Times New Roman" w:hAnsi="Arial Narrow"/>
                <w:b/>
                <w:bCs/>
                <w:color w:val="000000"/>
                <w:sz w:val="17"/>
                <w:szCs w:val="17"/>
                <w:lang w:eastAsia="en-AU"/>
              </w:rPr>
            </w:pPr>
            <w:r w:rsidRPr="00E8465B">
              <w:rPr>
                <w:rFonts w:ascii="Arial Narrow" w:eastAsia="Times New Roman" w:hAnsi="Arial Narrow"/>
                <w:b/>
                <w:bCs/>
                <w:color w:val="000000"/>
                <w:sz w:val="17"/>
                <w:szCs w:val="17"/>
                <w:lang w:eastAsia="en-AU"/>
              </w:rPr>
              <w:t>2023</w:t>
            </w:r>
          </w:p>
        </w:tc>
        <w:tc>
          <w:tcPr>
            <w:tcW w:w="376" w:type="pct"/>
            <w:shd w:val="clear" w:color="auto" w:fill="D0CECE" w:themeFill="background2" w:themeFillShade="E6"/>
            <w:noWrap/>
            <w:vAlign w:val="center"/>
            <w:hideMark/>
          </w:tcPr>
          <w:p w14:paraId="25E006A6" w14:textId="77777777" w:rsidR="00783DC8" w:rsidRPr="00E8465B" w:rsidRDefault="00783DC8" w:rsidP="00E8465B">
            <w:pPr>
              <w:jc w:val="right"/>
              <w:rPr>
                <w:rFonts w:ascii="Arial Narrow" w:eastAsia="Times New Roman" w:hAnsi="Arial Narrow"/>
                <w:b/>
                <w:bCs/>
                <w:color w:val="000000"/>
                <w:sz w:val="17"/>
                <w:szCs w:val="17"/>
                <w:lang w:eastAsia="en-AU"/>
              </w:rPr>
            </w:pPr>
            <w:r w:rsidRPr="00E8465B">
              <w:rPr>
                <w:rFonts w:ascii="Arial Narrow" w:eastAsia="Times New Roman" w:hAnsi="Arial Narrow"/>
                <w:b/>
                <w:bCs/>
                <w:color w:val="000000"/>
                <w:sz w:val="17"/>
                <w:szCs w:val="17"/>
                <w:lang w:eastAsia="en-AU"/>
              </w:rPr>
              <w:t>2024</w:t>
            </w:r>
          </w:p>
        </w:tc>
        <w:tc>
          <w:tcPr>
            <w:tcW w:w="376" w:type="pct"/>
            <w:shd w:val="clear" w:color="auto" w:fill="D0CECE" w:themeFill="background2" w:themeFillShade="E6"/>
            <w:noWrap/>
            <w:vAlign w:val="center"/>
            <w:hideMark/>
          </w:tcPr>
          <w:p w14:paraId="1E6BC335" w14:textId="77777777" w:rsidR="00783DC8" w:rsidRPr="00E8465B" w:rsidRDefault="00783DC8" w:rsidP="00E8465B">
            <w:pPr>
              <w:jc w:val="right"/>
              <w:rPr>
                <w:rFonts w:ascii="Arial Narrow" w:eastAsia="Times New Roman" w:hAnsi="Arial Narrow"/>
                <w:b/>
                <w:bCs/>
                <w:i/>
                <w:iCs/>
                <w:color w:val="000000"/>
                <w:sz w:val="17"/>
                <w:szCs w:val="17"/>
                <w:lang w:eastAsia="en-AU"/>
              </w:rPr>
            </w:pPr>
            <w:r w:rsidRPr="00E8465B">
              <w:rPr>
                <w:rFonts w:ascii="Arial Narrow" w:eastAsia="Times New Roman" w:hAnsi="Arial Narrow"/>
                <w:b/>
                <w:bCs/>
                <w:i/>
                <w:iCs/>
                <w:color w:val="000000"/>
                <w:sz w:val="17"/>
                <w:szCs w:val="17"/>
                <w:lang w:eastAsia="en-AU"/>
              </w:rPr>
              <w:t>2025</w:t>
            </w:r>
          </w:p>
        </w:tc>
        <w:tc>
          <w:tcPr>
            <w:tcW w:w="376" w:type="pct"/>
            <w:shd w:val="clear" w:color="auto" w:fill="D0CECE" w:themeFill="background2" w:themeFillShade="E6"/>
            <w:noWrap/>
            <w:vAlign w:val="center"/>
            <w:hideMark/>
          </w:tcPr>
          <w:p w14:paraId="272C84DF" w14:textId="77777777" w:rsidR="00783DC8" w:rsidRPr="00E8465B" w:rsidRDefault="00783DC8" w:rsidP="00E8465B">
            <w:pPr>
              <w:jc w:val="right"/>
              <w:rPr>
                <w:rFonts w:ascii="Arial Narrow" w:eastAsia="Times New Roman" w:hAnsi="Arial Narrow"/>
                <w:b/>
                <w:bCs/>
                <w:i/>
                <w:iCs/>
                <w:color w:val="000000"/>
                <w:sz w:val="17"/>
                <w:szCs w:val="17"/>
                <w:lang w:eastAsia="en-AU"/>
              </w:rPr>
            </w:pPr>
            <w:r w:rsidRPr="00E8465B">
              <w:rPr>
                <w:rFonts w:ascii="Arial Narrow" w:eastAsia="Times New Roman" w:hAnsi="Arial Narrow"/>
                <w:b/>
                <w:bCs/>
                <w:i/>
                <w:iCs/>
                <w:color w:val="000000"/>
                <w:sz w:val="17"/>
                <w:szCs w:val="17"/>
                <w:lang w:eastAsia="en-AU"/>
              </w:rPr>
              <w:t>2026</w:t>
            </w:r>
          </w:p>
        </w:tc>
        <w:tc>
          <w:tcPr>
            <w:tcW w:w="376" w:type="pct"/>
            <w:shd w:val="clear" w:color="auto" w:fill="D0CECE" w:themeFill="background2" w:themeFillShade="E6"/>
            <w:noWrap/>
            <w:vAlign w:val="center"/>
            <w:hideMark/>
          </w:tcPr>
          <w:p w14:paraId="71F236D3" w14:textId="77777777" w:rsidR="00783DC8" w:rsidRPr="00E8465B" w:rsidRDefault="00783DC8" w:rsidP="00E8465B">
            <w:pPr>
              <w:jc w:val="right"/>
              <w:rPr>
                <w:rFonts w:ascii="Arial Narrow" w:eastAsia="Times New Roman" w:hAnsi="Arial Narrow"/>
                <w:b/>
                <w:bCs/>
                <w:i/>
                <w:iCs/>
                <w:color w:val="000000"/>
                <w:sz w:val="17"/>
                <w:szCs w:val="17"/>
                <w:lang w:eastAsia="en-AU"/>
              </w:rPr>
            </w:pPr>
            <w:r w:rsidRPr="00E8465B">
              <w:rPr>
                <w:rFonts w:ascii="Arial Narrow" w:eastAsia="Times New Roman" w:hAnsi="Arial Narrow"/>
                <w:b/>
                <w:bCs/>
                <w:i/>
                <w:iCs/>
                <w:color w:val="000000"/>
                <w:sz w:val="17"/>
                <w:szCs w:val="17"/>
                <w:lang w:eastAsia="en-AU"/>
              </w:rPr>
              <w:t>2027</w:t>
            </w:r>
          </w:p>
        </w:tc>
        <w:tc>
          <w:tcPr>
            <w:tcW w:w="376" w:type="pct"/>
            <w:shd w:val="clear" w:color="auto" w:fill="D0CECE" w:themeFill="background2" w:themeFillShade="E6"/>
            <w:noWrap/>
            <w:vAlign w:val="center"/>
            <w:hideMark/>
          </w:tcPr>
          <w:p w14:paraId="742E385B" w14:textId="77777777" w:rsidR="00783DC8" w:rsidRPr="00E8465B" w:rsidRDefault="00783DC8" w:rsidP="00E8465B">
            <w:pPr>
              <w:jc w:val="right"/>
              <w:rPr>
                <w:rFonts w:ascii="Arial Narrow" w:eastAsia="Times New Roman" w:hAnsi="Arial Narrow"/>
                <w:b/>
                <w:bCs/>
                <w:i/>
                <w:iCs/>
                <w:color w:val="000000"/>
                <w:sz w:val="17"/>
                <w:szCs w:val="17"/>
                <w:lang w:eastAsia="en-AU"/>
              </w:rPr>
            </w:pPr>
            <w:r w:rsidRPr="00E8465B">
              <w:rPr>
                <w:rFonts w:ascii="Arial Narrow" w:eastAsia="Times New Roman" w:hAnsi="Arial Narrow"/>
                <w:b/>
                <w:bCs/>
                <w:i/>
                <w:iCs/>
                <w:color w:val="000000"/>
                <w:sz w:val="17"/>
                <w:szCs w:val="17"/>
                <w:lang w:eastAsia="en-AU"/>
              </w:rPr>
              <w:t>2028</w:t>
            </w:r>
          </w:p>
        </w:tc>
        <w:tc>
          <w:tcPr>
            <w:tcW w:w="376" w:type="pct"/>
            <w:shd w:val="clear" w:color="auto" w:fill="D0CECE" w:themeFill="background2" w:themeFillShade="E6"/>
            <w:noWrap/>
            <w:vAlign w:val="center"/>
            <w:hideMark/>
          </w:tcPr>
          <w:p w14:paraId="2C34F711" w14:textId="77777777" w:rsidR="00783DC8" w:rsidRPr="00E8465B" w:rsidRDefault="00783DC8" w:rsidP="00E8465B">
            <w:pPr>
              <w:jc w:val="right"/>
              <w:rPr>
                <w:rFonts w:ascii="Arial Narrow" w:eastAsia="Times New Roman" w:hAnsi="Arial Narrow"/>
                <w:b/>
                <w:bCs/>
                <w:i/>
                <w:iCs/>
                <w:color w:val="000000"/>
                <w:sz w:val="17"/>
                <w:szCs w:val="17"/>
                <w:lang w:eastAsia="en-AU"/>
              </w:rPr>
            </w:pPr>
            <w:r w:rsidRPr="00E8465B">
              <w:rPr>
                <w:rFonts w:ascii="Arial Narrow" w:eastAsia="Times New Roman" w:hAnsi="Arial Narrow"/>
                <w:b/>
                <w:bCs/>
                <w:i/>
                <w:iCs/>
                <w:color w:val="000000"/>
                <w:sz w:val="17"/>
                <w:szCs w:val="17"/>
                <w:lang w:eastAsia="en-AU"/>
              </w:rPr>
              <w:t>2029</w:t>
            </w:r>
          </w:p>
        </w:tc>
        <w:tc>
          <w:tcPr>
            <w:tcW w:w="376" w:type="pct"/>
            <w:shd w:val="clear" w:color="auto" w:fill="D0CECE" w:themeFill="background2" w:themeFillShade="E6"/>
            <w:noWrap/>
            <w:vAlign w:val="center"/>
            <w:hideMark/>
          </w:tcPr>
          <w:p w14:paraId="06F71255" w14:textId="77777777" w:rsidR="00783DC8" w:rsidRPr="00E8465B" w:rsidRDefault="00783DC8" w:rsidP="00E8465B">
            <w:pPr>
              <w:jc w:val="right"/>
              <w:rPr>
                <w:rFonts w:ascii="Arial Narrow" w:eastAsia="Times New Roman" w:hAnsi="Arial Narrow"/>
                <w:b/>
                <w:bCs/>
                <w:i/>
                <w:iCs/>
                <w:color w:val="000000"/>
                <w:sz w:val="17"/>
                <w:szCs w:val="17"/>
                <w:lang w:eastAsia="en-AU"/>
              </w:rPr>
            </w:pPr>
            <w:r w:rsidRPr="00E8465B">
              <w:rPr>
                <w:rFonts w:ascii="Arial Narrow" w:eastAsia="Times New Roman" w:hAnsi="Arial Narrow"/>
                <w:b/>
                <w:bCs/>
                <w:i/>
                <w:iCs/>
                <w:color w:val="000000"/>
                <w:sz w:val="17"/>
                <w:szCs w:val="17"/>
                <w:lang w:eastAsia="en-AU"/>
              </w:rPr>
              <w:t>2030</w:t>
            </w:r>
          </w:p>
        </w:tc>
        <w:tc>
          <w:tcPr>
            <w:tcW w:w="376" w:type="pct"/>
            <w:shd w:val="clear" w:color="auto" w:fill="D0CECE" w:themeFill="background2" w:themeFillShade="E6"/>
            <w:vAlign w:val="center"/>
          </w:tcPr>
          <w:p w14:paraId="0DD05231" w14:textId="675A32B2" w:rsidR="00783DC8" w:rsidRPr="00E8465B" w:rsidRDefault="00783DC8" w:rsidP="00E8465B">
            <w:pPr>
              <w:jc w:val="right"/>
              <w:rPr>
                <w:rFonts w:ascii="Arial Narrow" w:eastAsia="Times New Roman" w:hAnsi="Arial Narrow"/>
                <w:b/>
                <w:bCs/>
                <w:i/>
                <w:iCs/>
                <w:color w:val="000000"/>
                <w:sz w:val="17"/>
                <w:szCs w:val="17"/>
                <w:lang w:eastAsia="en-AU"/>
              </w:rPr>
            </w:pPr>
            <w:r>
              <w:rPr>
                <w:rFonts w:ascii="Arial Narrow" w:eastAsia="Times New Roman" w:hAnsi="Arial Narrow"/>
                <w:b/>
                <w:bCs/>
                <w:i/>
                <w:iCs/>
                <w:color w:val="000000"/>
                <w:sz w:val="17"/>
                <w:szCs w:val="17"/>
                <w:lang w:eastAsia="en-AU"/>
              </w:rPr>
              <w:t>2031</w:t>
            </w:r>
          </w:p>
        </w:tc>
      </w:tr>
      <w:tr w:rsidR="00783DC8" w:rsidRPr="00E8465B" w14:paraId="2E7432BC" w14:textId="0BEDD50E" w:rsidTr="00AD051E">
        <w:trPr>
          <w:trHeight w:val="290"/>
        </w:trPr>
        <w:tc>
          <w:tcPr>
            <w:tcW w:w="492" w:type="pct"/>
            <w:noWrap/>
            <w:vAlign w:val="center"/>
            <w:hideMark/>
          </w:tcPr>
          <w:p w14:paraId="09505A73" w14:textId="77777777" w:rsidR="00783DC8" w:rsidRPr="00783DC8" w:rsidRDefault="00783DC8" w:rsidP="00783DC8">
            <w:pPr>
              <w:rPr>
                <w:rFonts w:ascii="Arial Narrow" w:eastAsia="Times New Roman" w:hAnsi="Arial Narrow"/>
                <w:color w:val="000000"/>
                <w:sz w:val="15"/>
                <w:szCs w:val="15"/>
                <w:lang w:eastAsia="en-AU"/>
              </w:rPr>
            </w:pPr>
            <w:r w:rsidRPr="00783DC8">
              <w:rPr>
                <w:rFonts w:ascii="Arial Narrow" w:eastAsia="Times New Roman" w:hAnsi="Arial Narrow"/>
                <w:color w:val="000000"/>
                <w:sz w:val="15"/>
                <w:szCs w:val="15"/>
                <w:lang w:eastAsia="en-AU"/>
              </w:rPr>
              <w:t>LTG 5mg</w:t>
            </w:r>
          </w:p>
        </w:tc>
        <w:tc>
          <w:tcPr>
            <w:tcW w:w="376" w:type="pct"/>
            <w:noWrap/>
            <w:vAlign w:val="center"/>
            <w:hideMark/>
          </w:tcPr>
          <w:p w14:paraId="6AAA98EF" w14:textId="7E9ECF1D" w:rsidR="00783DC8" w:rsidRPr="00D35FB8" w:rsidRDefault="00B71EDA"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color w:val="000000"/>
                <w:sz w:val="14"/>
                <w:szCs w:val="14"/>
                <w:vertAlign w:val="superscript"/>
                <w:lang w:eastAsia="en-AU"/>
              </w:rPr>
              <w:t>1</w:t>
            </w:r>
          </w:p>
        </w:tc>
        <w:tc>
          <w:tcPr>
            <w:tcW w:w="376" w:type="pct"/>
            <w:noWrap/>
            <w:vAlign w:val="center"/>
            <w:hideMark/>
          </w:tcPr>
          <w:p w14:paraId="2DB9FAA4" w14:textId="1AEB0C33" w:rsidR="00783DC8" w:rsidRPr="00D35FB8" w:rsidRDefault="00544F1D"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color w:val="000000"/>
                <w:sz w:val="14"/>
                <w:szCs w:val="14"/>
                <w:vertAlign w:val="superscript"/>
                <w:lang w:eastAsia="en-AU"/>
              </w:rPr>
              <w:t>1</w:t>
            </w:r>
          </w:p>
        </w:tc>
        <w:tc>
          <w:tcPr>
            <w:tcW w:w="376" w:type="pct"/>
            <w:noWrap/>
            <w:vAlign w:val="center"/>
            <w:hideMark/>
          </w:tcPr>
          <w:p w14:paraId="52D13C0B" w14:textId="463FBB0C" w:rsidR="00783DC8" w:rsidRPr="00D35FB8" w:rsidRDefault="00544F1D"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color w:val="000000"/>
                <w:sz w:val="14"/>
                <w:szCs w:val="14"/>
                <w:vertAlign w:val="superscript"/>
                <w:lang w:eastAsia="en-AU"/>
              </w:rPr>
              <w:t>1</w:t>
            </w:r>
          </w:p>
        </w:tc>
        <w:tc>
          <w:tcPr>
            <w:tcW w:w="376" w:type="pct"/>
            <w:noWrap/>
            <w:vAlign w:val="center"/>
            <w:hideMark/>
          </w:tcPr>
          <w:p w14:paraId="3FF9635D" w14:textId="5F6CEFE8" w:rsidR="00783DC8" w:rsidRPr="00D35FB8" w:rsidRDefault="00544F1D"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color w:val="000000"/>
                <w:sz w:val="14"/>
                <w:szCs w:val="14"/>
                <w:vertAlign w:val="superscript"/>
                <w:lang w:eastAsia="en-AU"/>
              </w:rPr>
              <w:t>1</w:t>
            </w:r>
          </w:p>
        </w:tc>
        <w:tc>
          <w:tcPr>
            <w:tcW w:w="376" w:type="pct"/>
            <w:noWrap/>
            <w:vAlign w:val="center"/>
            <w:hideMark/>
          </w:tcPr>
          <w:p w14:paraId="5D65B9CE" w14:textId="13FCAC5C" w:rsidR="00783DC8" w:rsidRPr="00D35FB8" w:rsidRDefault="00544F1D"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color w:val="000000"/>
                <w:sz w:val="14"/>
                <w:szCs w:val="14"/>
                <w:vertAlign w:val="superscript"/>
                <w:lang w:eastAsia="en-AU"/>
              </w:rPr>
              <w:t>1</w:t>
            </w:r>
          </w:p>
        </w:tc>
        <w:tc>
          <w:tcPr>
            <w:tcW w:w="376" w:type="pct"/>
            <w:noWrap/>
            <w:vAlign w:val="center"/>
            <w:hideMark/>
          </w:tcPr>
          <w:p w14:paraId="2295F791" w14:textId="3DF67838" w:rsidR="00783DC8" w:rsidRPr="00D35FB8" w:rsidRDefault="00C91576"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i/>
                <w:iCs/>
                <w:color w:val="000000"/>
                <w:sz w:val="14"/>
                <w:szCs w:val="14"/>
                <w:vertAlign w:val="superscript"/>
                <w:lang w:eastAsia="en-AU"/>
              </w:rPr>
              <w:t>1</w:t>
            </w:r>
          </w:p>
        </w:tc>
        <w:tc>
          <w:tcPr>
            <w:tcW w:w="376" w:type="pct"/>
            <w:noWrap/>
            <w:vAlign w:val="center"/>
            <w:hideMark/>
          </w:tcPr>
          <w:p w14:paraId="6E474672" w14:textId="535193F3" w:rsidR="00783DC8" w:rsidRPr="00D35FB8" w:rsidRDefault="00C91576"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i/>
                <w:iCs/>
                <w:color w:val="000000"/>
                <w:sz w:val="14"/>
                <w:szCs w:val="14"/>
                <w:vertAlign w:val="superscript"/>
                <w:lang w:eastAsia="en-AU"/>
              </w:rPr>
              <w:t>1</w:t>
            </w:r>
          </w:p>
        </w:tc>
        <w:tc>
          <w:tcPr>
            <w:tcW w:w="376" w:type="pct"/>
            <w:noWrap/>
            <w:vAlign w:val="center"/>
            <w:hideMark/>
          </w:tcPr>
          <w:p w14:paraId="3F667C46" w14:textId="2D1C486A" w:rsidR="00783DC8" w:rsidRPr="00D35FB8" w:rsidRDefault="00D51518"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i/>
                <w:iCs/>
                <w:color w:val="000000"/>
                <w:sz w:val="14"/>
                <w:szCs w:val="14"/>
                <w:vertAlign w:val="superscript"/>
                <w:lang w:eastAsia="en-AU"/>
              </w:rPr>
              <w:t>1</w:t>
            </w:r>
          </w:p>
        </w:tc>
        <w:tc>
          <w:tcPr>
            <w:tcW w:w="376" w:type="pct"/>
            <w:noWrap/>
            <w:vAlign w:val="center"/>
            <w:hideMark/>
          </w:tcPr>
          <w:p w14:paraId="59BA62D1" w14:textId="552580EE" w:rsidR="00783DC8" w:rsidRPr="00D35FB8" w:rsidRDefault="00D51518"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i/>
                <w:iCs/>
                <w:color w:val="000000"/>
                <w:sz w:val="14"/>
                <w:szCs w:val="14"/>
                <w:vertAlign w:val="superscript"/>
                <w:lang w:eastAsia="en-AU"/>
              </w:rPr>
              <w:t>1</w:t>
            </w:r>
          </w:p>
        </w:tc>
        <w:tc>
          <w:tcPr>
            <w:tcW w:w="376" w:type="pct"/>
            <w:noWrap/>
            <w:vAlign w:val="center"/>
            <w:hideMark/>
          </w:tcPr>
          <w:p w14:paraId="5E6DE083" w14:textId="5C8635CD" w:rsidR="00783DC8" w:rsidRPr="00D35FB8" w:rsidRDefault="00D51518"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i/>
                <w:iCs/>
                <w:color w:val="000000"/>
                <w:sz w:val="14"/>
                <w:szCs w:val="14"/>
                <w:vertAlign w:val="superscript"/>
                <w:lang w:eastAsia="en-AU"/>
              </w:rPr>
              <w:t>1</w:t>
            </w:r>
          </w:p>
        </w:tc>
        <w:tc>
          <w:tcPr>
            <w:tcW w:w="376" w:type="pct"/>
            <w:noWrap/>
            <w:vAlign w:val="center"/>
            <w:hideMark/>
          </w:tcPr>
          <w:p w14:paraId="384AF3B5" w14:textId="4A15657C" w:rsidR="00783DC8" w:rsidRPr="00D35FB8" w:rsidRDefault="00D51518"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i/>
                <w:iCs/>
                <w:color w:val="000000"/>
                <w:sz w:val="14"/>
                <w:szCs w:val="14"/>
                <w:vertAlign w:val="superscript"/>
                <w:lang w:eastAsia="en-AU"/>
              </w:rPr>
              <w:t>1</w:t>
            </w:r>
          </w:p>
        </w:tc>
        <w:tc>
          <w:tcPr>
            <w:tcW w:w="376" w:type="pct"/>
            <w:tcBorders>
              <w:top w:val="single" w:sz="4" w:space="0" w:color="auto"/>
              <w:left w:val="nil"/>
              <w:bottom w:val="single" w:sz="4" w:space="0" w:color="auto"/>
              <w:right w:val="single" w:sz="4" w:space="0" w:color="auto"/>
            </w:tcBorders>
            <w:vAlign w:val="center"/>
          </w:tcPr>
          <w:p w14:paraId="3E1336DA" w14:textId="0AF750A1" w:rsidR="00783DC8" w:rsidRPr="00D35FB8" w:rsidRDefault="00D51518"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6B05BA" w:rsidRPr="00D35FB8">
              <w:rPr>
                <w:rFonts w:ascii="Arial Narrow" w:eastAsia="Times New Roman" w:hAnsi="Arial Narrow"/>
                <w:i/>
                <w:iCs/>
                <w:color w:val="000000"/>
                <w:sz w:val="14"/>
                <w:szCs w:val="14"/>
                <w:vertAlign w:val="superscript"/>
                <w:lang w:eastAsia="en-AU"/>
              </w:rPr>
              <w:t>1</w:t>
            </w:r>
          </w:p>
        </w:tc>
      </w:tr>
      <w:tr w:rsidR="00783DC8" w:rsidRPr="00E8465B" w14:paraId="5A8AF3D5" w14:textId="022C2EF4" w:rsidTr="00AD051E">
        <w:trPr>
          <w:trHeight w:val="290"/>
        </w:trPr>
        <w:tc>
          <w:tcPr>
            <w:tcW w:w="492" w:type="pct"/>
            <w:noWrap/>
            <w:vAlign w:val="center"/>
            <w:hideMark/>
          </w:tcPr>
          <w:p w14:paraId="3ACB10D1" w14:textId="77777777" w:rsidR="00783DC8" w:rsidRPr="00783DC8" w:rsidRDefault="00783DC8" w:rsidP="00783DC8">
            <w:pPr>
              <w:rPr>
                <w:rFonts w:ascii="Arial Narrow" w:eastAsia="Times New Roman" w:hAnsi="Arial Narrow"/>
                <w:color w:val="000000"/>
                <w:sz w:val="15"/>
                <w:szCs w:val="15"/>
                <w:lang w:eastAsia="en-AU"/>
              </w:rPr>
            </w:pPr>
            <w:r w:rsidRPr="00783DC8">
              <w:rPr>
                <w:rFonts w:ascii="Arial Narrow" w:eastAsia="Times New Roman" w:hAnsi="Arial Narrow"/>
                <w:color w:val="000000"/>
                <w:sz w:val="15"/>
                <w:szCs w:val="15"/>
                <w:lang w:eastAsia="en-AU"/>
              </w:rPr>
              <w:t>LTG 25mg</w:t>
            </w:r>
          </w:p>
        </w:tc>
        <w:tc>
          <w:tcPr>
            <w:tcW w:w="376" w:type="pct"/>
            <w:noWrap/>
            <w:vAlign w:val="center"/>
            <w:hideMark/>
          </w:tcPr>
          <w:p w14:paraId="1B50F673" w14:textId="7905B4F8" w:rsidR="00783DC8" w:rsidRPr="00D35FB8" w:rsidRDefault="00D51518"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AF17AD" w:rsidRPr="00D35FB8">
              <w:rPr>
                <w:rFonts w:ascii="Arial Narrow" w:eastAsia="Times New Roman" w:hAnsi="Arial Narrow"/>
                <w:color w:val="000000"/>
                <w:sz w:val="14"/>
                <w:szCs w:val="14"/>
                <w:vertAlign w:val="superscript"/>
                <w:lang w:eastAsia="en-AU"/>
              </w:rPr>
              <w:t>2</w:t>
            </w:r>
          </w:p>
        </w:tc>
        <w:tc>
          <w:tcPr>
            <w:tcW w:w="376" w:type="pct"/>
            <w:noWrap/>
            <w:vAlign w:val="center"/>
            <w:hideMark/>
          </w:tcPr>
          <w:p w14:paraId="0C0B4910" w14:textId="79A8324C" w:rsidR="00783DC8" w:rsidRPr="00D35FB8" w:rsidRDefault="00D51518"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AF17AD" w:rsidRPr="00D35FB8">
              <w:rPr>
                <w:rFonts w:ascii="Arial Narrow" w:eastAsia="Times New Roman" w:hAnsi="Arial Narrow"/>
                <w:color w:val="000000"/>
                <w:sz w:val="14"/>
                <w:szCs w:val="14"/>
                <w:vertAlign w:val="superscript"/>
                <w:lang w:eastAsia="en-AU"/>
              </w:rPr>
              <w:t>3</w:t>
            </w:r>
          </w:p>
        </w:tc>
        <w:tc>
          <w:tcPr>
            <w:tcW w:w="376" w:type="pct"/>
            <w:noWrap/>
            <w:vAlign w:val="center"/>
            <w:hideMark/>
          </w:tcPr>
          <w:p w14:paraId="27FE8F87" w14:textId="1526A2B1" w:rsidR="00783DC8" w:rsidRPr="00D35FB8" w:rsidRDefault="00D51518"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D55416" w:rsidRPr="00D35FB8">
              <w:rPr>
                <w:rFonts w:ascii="Arial Narrow" w:eastAsia="Times New Roman" w:hAnsi="Arial Narrow"/>
                <w:color w:val="000000"/>
                <w:sz w:val="14"/>
                <w:szCs w:val="14"/>
                <w:vertAlign w:val="superscript"/>
                <w:lang w:eastAsia="en-AU"/>
              </w:rPr>
              <w:t>4</w:t>
            </w:r>
          </w:p>
        </w:tc>
        <w:tc>
          <w:tcPr>
            <w:tcW w:w="376" w:type="pct"/>
            <w:noWrap/>
            <w:vAlign w:val="center"/>
            <w:hideMark/>
          </w:tcPr>
          <w:p w14:paraId="6BD50808" w14:textId="7BFE0094" w:rsidR="00783DC8" w:rsidRPr="00D35FB8" w:rsidRDefault="00D51518"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D55416" w:rsidRPr="00D35FB8">
              <w:rPr>
                <w:rFonts w:ascii="Arial Narrow" w:eastAsia="Times New Roman" w:hAnsi="Arial Narrow"/>
                <w:color w:val="000000"/>
                <w:sz w:val="14"/>
                <w:szCs w:val="14"/>
                <w:vertAlign w:val="superscript"/>
                <w:lang w:eastAsia="en-AU"/>
              </w:rPr>
              <w:t>4</w:t>
            </w:r>
          </w:p>
        </w:tc>
        <w:tc>
          <w:tcPr>
            <w:tcW w:w="376" w:type="pct"/>
            <w:noWrap/>
            <w:vAlign w:val="center"/>
            <w:hideMark/>
          </w:tcPr>
          <w:p w14:paraId="66A1FA83" w14:textId="210CBE4F" w:rsidR="00783DC8" w:rsidRPr="00D35FB8" w:rsidRDefault="00D51518"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024B09" w:rsidRPr="00D35FB8">
              <w:rPr>
                <w:rFonts w:ascii="Arial Narrow" w:eastAsia="Times New Roman" w:hAnsi="Arial Narrow"/>
                <w:color w:val="000000"/>
                <w:sz w:val="14"/>
                <w:szCs w:val="14"/>
                <w:vertAlign w:val="superscript"/>
                <w:lang w:eastAsia="en-AU"/>
              </w:rPr>
              <w:t>3</w:t>
            </w:r>
          </w:p>
        </w:tc>
        <w:tc>
          <w:tcPr>
            <w:tcW w:w="376" w:type="pct"/>
            <w:noWrap/>
            <w:vAlign w:val="center"/>
            <w:hideMark/>
          </w:tcPr>
          <w:p w14:paraId="6F146B19" w14:textId="1F8B41D0" w:rsidR="00783DC8" w:rsidRPr="00D35FB8" w:rsidRDefault="00D13D55"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024B09" w:rsidRPr="00D35FB8">
              <w:rPr>
                <w:rFonts w:ascii="Arial Narrow" w:eastAsia="Times New Roman" w:hAnsi="Arial Narrow"/>
                <w:i/>
                <w:iCs/>
                <w:color w:val="000000"/>
                <w:sz w:val="14"/>
                <w:szCs w:val="14"/>
                <w:vertAlign w:val="superscript"/>
                <w:lang w:eastAsia="en-AU"/>
              </w:rPr>
              <w:t>4</w:t>
            </w:r>
          </w:p>
        </w:tc>
        <w:tc>
          <w:tcPr>
            <w:tcW w:w="376" w:type="pct"/>
            <w:noWrap/>
            <w:vAlign w:val="center"/>
            <w:hideMark/>
          </w:tcPr>
          <w:p w14:paraId="7D5D936B" w14:textId="5214C45B" w:rsidR="00783DC8" w:rsidRPr="00D35FB8" w:rsidRDefault="00D13D55"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024B09" w:rsidRPr="00D35FB8">
              <w:rPr>
                <w:rFonts w:ascii="Arial Narrow" w:eastAsia="Times New Roman" w:hAnsi="Arial Narrow"/>
                <w:i/>
                <w:iCs/>
                <w:color w:val="000000"/>
                <w:sz w:val="14"/>
                <w:szCs w:val="14"/>
                <w:vertAlign w:val="superscript"/>
                <w:lang w:eastAsia="en-AU"/>
              </w:rPr>
              <w:t>4</w:t>
            </w:r>
          </w:p>
        </w:tc>
        <w:tc>
          <w:tcPr>
            <w:tcW w:w="376" w:type="pct"/>
            <w:noWrap/>
            <w:vAlign w:val="center"/>
            <w:hideMark/>
          </w:tcPr>
          <w:p w14:paraId="09ED5B19" w14:textId="3C69100A" w:rsidR="00783DC8" w:rsidRPr="00D35FB8" w:rsidRDefault="00D13D55"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024B09" w:rsidRPr="00D35FB8">
              <w:rPr>
                <w:rFonts w:ascii="Arial Narrow" w:eastAsia="Times New Roman" w:hAnsi="Arial Narrow"/>
                <w:i/>
                <w:iCs/>
                <w:color w:val="000000"/>
                <w:sz w:val="14"/>
                <w:szCs w:val="14"/>
                <w:vertAlign w:val="superscript"/>
                <w:lang w:eastAsia="en-AU"/>
              </w:rPr>
              <w:t>3</w:t>
            </w:r>
          </w:p>
        </w:tc>
        <w:tc>
          <w:tcPr>
            <w:tcW w:w="376" w:type="pct"/>
            <w:noWrap/>
            <w:vAlign w:val="center"/>
            <w:hideMark/>
          </w:tcPr>
          <w:p w14:paraId="71CC7EDC" w14:textId="3EA89B47" w:rsidR="00783DC8" w:rsidRPr="00D35FB8" w:rsidRDefault="00D13D55"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024B09" w:rsidRPr="00D35FB8">
              <w:rPr>
                <w:rFonts w:ascii="Arial Narrow" w:eastAsia="Times New Roman" w:hAnsi="Arial Narrow"/>
                <w:i/>
                <w:iCs/>
                <w:color w:val="000000"/>
                <w:sz w:val="14"/>
                <w:szCs w:val="14"/>
                <w:vertAlign w:val="superscript"/>
                <w:lang w:eastAsia="en-AU"/>
              </w:rPr>
              <w:t>3</w:t>
            </w:r>
          </w:p>
        </w:tc>
        <w:tc>
          <w:tcPr>
            <w:tcW w:w="376" w:type="pct"/>
            <w:noWrap/>
            <w:vAlign w:val="center"/>
            <w:hideMark/>
          </w:tcPr>
          <w:p w14:paraId="4D2BA147" w14:textId="183C8149" w:rsidR="00783DC8" w:rsidRPr="00D35FB8" w:rsidRDefault="00D13D55"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024B09" w:rsidRPr="00D35FB8">
              <w:rPr>
                <w:rFonts w:ascii="Arial Narrow" w:eastAsia="Times New Roman" w:hAnsi="Arial Narrow"/>
                <w:i/>
                <w:iCs/>
                <w:color w:val="000000"/>
                <w:sz w:val="14"/>
                <w:szCs w:val="14"/>
                <w:vertAlign w:val="superscript"/>
                <w:lang w:eastAsia="en-AU"/>
              </w:rPr>
              <w:t>4</w:t>
            </w:r>
          </w:p>
        </w:tc>
        <w:tc>
          <w:tcPr>
            <w:tcW w:w="376" w:type="pct"/>
            <w:noWrap/>
            <w:vAlign w:val="center"/>
            <w:hideMark/>
          </w:tcPr>
          <w:p w14:paraId="1DD6F53D" w14:textId="2528BE31" w:rsidR="00783DC8" w:rsidRPr="00D35FB8" w:rsidRDefault="00D13D55"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024B09" w:rsidRPr="00D35FB8">
              <w:rPr>
                <w:rFonts w:ascii="Arial Narrow" w:eastAsia="Times New Roman" w:hAnsi="Arial Narrow"/>
                <w:i/>
                <w:iCs/>
                <w:color w:val="000000"/>
                <w:sz w:val="14"/>
                <w:szCs w:val="14"/>
                <w:vertAlign w:val="superscript"/>
                <w:lang w:eastAsia="en-AU"/>
              </w:rPr>
              <w:t>3</w:t>
            </w:r>
          </w:p>
        </w:tc>
        <w:tc>
          <w:tcPr>
            <w:tcW w:w="376" w:type="pct"/>
            <w:tcBorders>
              <w:top w:val="single" w:sz="4" w:space="0" w:color="auto"/>
              <w:left w:val="nil"/>
              <w:bottom w:val="single" w:sz="4" w:space="0" w:color="auto"/>
              <w:right w:val="single" w:sz="4" w:space="0" w:color="auto"/>
            </w:tcBorders>
            <w:vAlign w:val="center"/>
          </w:tcPr>
          <w:p w14:paraId="7411ED60" w14:textId="23243567" w:rsidR="00783DC8" w:rsidRPr="00D35FB8" w:rsidRDefault="00D13D55"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024B09" w:rsidRPr="00D35FB8">
              <w:rPr>
                <w:rFonts w:ascii="Arial Narrow" w:eastAsia="Times New Roman" w:hAnsi="Arial Narrow"/>
                <w:i/>
                <w:iCs/>
                <w:color w:val="000000"/>
                <w:sz w:val="14"/>
                <w:szCs w:val="14"/>
                <w:vertAlign w:val="superscript"/>
                <w:lang w:eastAsia="en-AU"/>
              </w:rPr>
              <w:t>3</w:t>
            </w:r>
          </w:p>
        </w:tc>
      </w:tr>
      <w:tr w:rsidR="00783DC8" w:rsidRPr="00E8465B" w14:paraId="15AA7C87" w14:textId="6ECC788E" w:rsidTr="00AD051E">
        <w:trPr>
          <w:trHeight w:val="290"/>
        </w:trPr>
        <w:tc>
          <w:tcPr>
            <w:tcW w:w="492" w:type="pct"/>
            <w:noWrap/>
            <w:vAlign w:val="center"/>
            <w:hideMark/>
          </w:tcPr>
          <w:p w14:paraId="1FB927F2" w14:textId="77777777" w:rsidR="00783DC8" w:rsidRPr="00783DC8" w:rsidRDefault="00783DC8" w:rsidP="00783DC8">
            <w:pPr>
              <w:rPr>
                <w:rFonts w:ascii="Arial Narrow" w:eastAsia="Times New Roman" w:hAnsi="Arial Narrow"/>
                <w:color w:val="000000"/>
                <w:sz w:val="15"/>
                <w:szCs w:val="15"/>
                <w:lang w:eastAsia="en-AU"/>
              </w:rPr>
            </w:pPr>
            <w:r w:rsidRPr="00783DC8">
              <w:rPr>
                <w:rFonts w:ascii="Arial Narrow" w:eastAsia="Times New Roman" w:hAnsi="Arial Narrow"/>
                <w:color w:val="000000"/>
                <w:sz w:val="15"/>
                <w:szCs w:val="15"/>
                <w:lang w:eastAsia="en-AU"/>
              </w:rPr>
              <w:t>LTG 50mg</w:t>
            </w:r>
          </w:p>
        </w:tc>
        <w:tc>
          <w:tcPr>
            <w:tcW w:w="376" w:type="pct"/>
            <w:noWrap/>
            <w:vAlign w:val="center"/>
            <w:hideMark/>
          </w:tcPr>
          <w:p w14:paraId="1D3E222B" w14:textId="4EAC822F" w:rsidR="00783DC8" w:rsidRPr="00D35FB8" w:rsidRDefault="00D13D55"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A237F" w:rsidRPr="008614F1">
              <w:rPr>
                <w:rFonts w:ascii="Arial Narrow" w:eastAsia="Times New Roman" w:hAnsi="Arial Narrow"/>
                <w:color w:val="000000"/>
                <w:sz w:val="14"/>
                <w:szCs w:val="14"/>
                <w:vertAlign w:val="superscript"/>
                <w:lang w:eastAsia="en-AU"/>
              </w:rPr>
              <w:t>2</w:t>
            </w:r>
          </w:p>
        </w:tc>
        <w:tc>
          <w:tcPr>
            <w:tcW w:w="376" w:type="pct"/>
            <w:noWrap/>
            <w:vAlign w:val="center"/>
            <w:hideMark/>
          </w:tcPr>
          <w:p w14:paraId="73B18863" w14:textId="6E72F5FC" w:rsidR="00783DC8" w:rsidRPr="00D35FB8" w:rsidRDefault="00D13D55"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A237F" w:rsidRPr="008614F1">
              <w:rPr>
                <w:rFonts w:ascii="Arial Narrow" w:eastAsia="Times New Roman" w:hAnsi="Arial Narrow"/>
                <w:color w:val="000000"/>
                <w:sz w:val="14"/>
                <w:szCs w:val="14"/>
                <w:vertAlign w:val="superscript"/>
                <w:lang w:eastAsia="en-AU"/>
              </w:rPr>
              <w:t>3</w:t>
            </w:r>
          </w:p>
        </w:tc>
        <w:tc>
          <w:tcPr>
            <w:tcW w:w="376" w:type="pct"/>
            <w:noWrap/>
            <w:vAlign w:val="center"/>
            <w:hideMark/>
          </w:tcPr>
          <w:p w14:paraId="7CCA23B7" w14:textId="1DC6B45F" w:rsidR="00783DC8" w:rsidRPr="00D35FB8" w:rsidRDefault="00D13D55"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A237F" w:rsidRPr="008614F1">
              <w:rPr>
                <w:rFonts w:ascii="Arial Narrow" w:eastAsia="Times New Roman" w:hAnsi="Arial Narrow"/>
                <w:color w:val="000000"/>
                <w:sz w:val="14"/>
                <w:szCs w:val="14"/>
                <w:vertAlign w:val="superscript"/>
                <w:lang w:eastAsia="en-AU"/>
              </w:rPr>
              <w:t>4</w:t>
            </w:r>
          </w:p>
        </w:tc>
        <w:tc>
          <w:tcPr>
            <w:tcW w:w="376" w:type="pct"/>
            <w:noWrap/>
            <w:vAlign w:val="center"/>
            <w:hideMark/>
          </w:tcPr>
          <w:p w14:paraId="71C91718" w14:textId="2503220E" w:rsidR="00783DC8" w:rsidRPr="00D35FB8" w:rsidRDefault="00D13D55"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1FE0" w:rsidRPr="008614F1">
              <w:rPr>
                <w:rFonts w:ascii="Arial Narrow" w:eastAsia="Times New Roman" w:hAnsi="Arial Narrow"/>
                <w:color w:val="000000"/>
                <w:sz w:val="14"/>
                <w:szCs w:val="14"/>
                <w:vertAlign w:val="superscript"/>
                <w:lang w:eastAsia="en-AU"/>
              </w:rPr>
              <w:t>5</w:t>
            </w:r>
          </w:p>
        </w:tc>
        <w:tc>
          <w:tcPr>
            <w:tcW w:w="376" w:type="pct"/>
            <w:noWrap/>
            <w:vAlign w:val="center"/>
            <w:hideMark/>
          </w:tcPr>
          <w:p w14:paraId="4A87D80C" w14:textId="676B1CEC" w:rsidR="00783DC8" w:rsidRPr="00D35FB8" w:rsidRDefault="00D13D55"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1FE0" w:rsidRPr="005B30ED">
              <w:rPr>
                <w:rFonts w:ascii="Arial Narrow" w:eastAsia="Times New Roman" w:hAnsi="Arial Narrow"/>
                <w:color w:val="000000"/>
                <w:sz w:val="14"/>
                <w:szCs w:val="14"/>
                <w:vertAlign w:val="superscript"/>
                <w:lang w:eastAsia="en-AU"/>
              </w:rPr>
              <w:t>5</w:t>
            </w:r>
          </w:p>
        </w:tc>
        <w:tc>
          <w:tcPr>
            <w:tcW w:w="376" w:type="pct"/>
            <w:noWrap/>
            <w:vAlign w:val="center"/>
            <w:hideMark/>
          </w:tcPr>
          <w:p w14:paraId="58782697" w14:textId="15AB98E9" w:rsidR="00783DC8" w:rsidRPr="00D35FB8" w:rsidRDefault="00D13D55"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9408EC"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146D4DB8" w14:textId="70978648" w:rsidR="00783DC8" w:rsidRPr="00D35FB8" w:rsidRDefault="00D13D55"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9408EC"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404B3DAC" w14:textId="36BB6D8F" w:rsidR="00783DC8" w:rsidRPr="00D35FB8" w:rsidRDefault="00D13D55"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9408EC"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2189C14F" w14:textId="22576D51" w:rsidR="00783DC8" w:rsidRPr="00D35FB8" w:rsidRDefault="00D13D55"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9408EC"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3CC9B4AA" w14:textId="13F019B0"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9408EC"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2124A3BE" w14:textId="0919D605"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9408EC" w:rsidRPr="005B30ED">
              <w:rPr>
                <w:rFonts w:ascii="Arial Narrow" w:eastAsia="Times New Roman" w:hAnsi="Arial Narrow"/>
                <w:i/>
                <w:iCs/>
                <w:color w:val="000000"/>
                <w:sz w:val="14"/>
                <w:szCs w:val="14"/>
                <w:vertAlign w:val="superscript"/>
                <w:lang w:eastAsia="en-AU"/>
              </w:rPr>
              <w:t>6</w:t>
            </w:r>
          </w:p>
        </w:tc>
        <w:tc>
          <w:tcPr>
            <w:tcW w:w="376" w:type="pct"/>
            <w:tcBorders>
              <w:top w:val="single" w:sz="4" w:space="0" w:color="auto"/>
              <w:left w:val="nil"/>
              <w:bottom w:val="single" w:sz="4" w:space="0" w:color="auto"/>
              <w:right w:val="single" w:sz="4" w:space="0" w:color="auto"/>
            </w:tcBorders>
            <w:vAlign w:val="center"/>
          </w:tcPr>
          <w:p w14:paraId="3539DA18" w14:textId="2006AE49"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9408EC" w:rsidRPr="005B30ED">
              <w:rPr>
                <w:rFonts w:ascii="Arial Narrow" w:eastAsia="Times New Roman" w:hAnsi="Arial Narrow"/>
                <w:i/>
                <w:iCs/>
                <w:color w:val="000000"/>
                <w:sz w:val="14"/>
                <w:szCs w:val="14"/>
                <w:vertAlign w:val="superscript"/>
                <w:lang w:eastAsia="en-AU"/>
              </w:rPr>
              <w:t>6</w:t>
            </w:r>
          </w:p>
        </w:tc>
      </w:tr>
      <w:tr w:rsidR="00783DC8" w:rsidRPr="00E8465B" w14:paraId="20BFD301" w14:textId="0770A3F6" w:rsidTr="00AD051E">
        <w:trPr>
          <w:trHeight w:val="290"/>
        </w:trPr>
        <w:tc>
          <w:tcPr>
            <w:tcW w:w="492" w:type="pct"/>
            <w:noWrap/>
            <w:vAlign w:val="center"/>
            <w:hideMark/>
          </w:tcPr>
          <w:p w14:paraId="48780BFA" w14:textId="77777777" w:rsidR="00783DC8" w:rsidRPr="00783DC8" w:rsidRDefault="00783DC8" w:rsidP="00783DC8">
            <w:pPr>
              <w:rPr>
                <w:rFonts w:ascii="Arial Narrow" w:eastAsia="Times New Roman" w:hAnsi="Arial Narrow"/>
                <w:color w:val="000000"/>
                <w:sz w:val="15"/>
                <w:szCs w:val="15"/>
                <w:lang w:eastAsia="en-AU"/>
              </w:rPr>
            </w:pPr>
            <w:r w:rsidRPr="00783DC8">
              <w:rPr>
                <w:rFonts w:ascii="Arial Narrow" w:eastAsia="Times New Roman" w:hAnsi="Arial Narrow"/>
                <w:color w:val="000000"/>
                <w:sz w:val="15"/>
                <w:szCs w:val="15"/>
                <w:lang w:eastAsia="en-AU"/>
              </w:rPr>
              <w:t>LTG 100mg</w:t>
            </w:r>
          </w:p>
        </w:tc>
        <w:tc>
          <w:tcPr>
            <w:tcW w:w="376" w:type="pct"/>
            <w:noWrap/>
            <w:vAlign w:val="center"/>
            <w:hideMark/>
          </w:tcPr>
          <w:p w14:paraId="407053DB" w14:textId="1C8EDBCA" w:rsidR="00783DC8" w:rsidRPr="00D35FB8" w:rsidRDefault="00BF6D7E"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B360EB" w:rsidRPr="005B30ED">
              <w:rPr>
                <w:rFonts w:ascii="Arial Narrow" w:eastAsia="Times New Roman" w:hAnsi="Arial Narrow"/>
                <w:color w:val="000000"/>
                <w:sz w:val="14"/>
                <w:szCs w:val="14"/>
                <w:vertAlign w:val="superscript"/>
                <w:lang w:eastAsia="en-AU"/>
              </w:rPr>
              <w:t>6</w:t>
            </w:r>
          </w:p>
        </w:tc>
        <w:tc>
          <w:tcPr>
            <w:tcW w:w="376" w:type="pct"/>
            <w:noWrap/>
            <w:vAlign w:val="center"/>
            <w:hideMark/>
          </w:tcPr>
          <w:p w14:paraId="304DD0D3" w14:textId="11A41E56" w:rsidR="00783DC8" w:rsidRPr="00D35FB8" w:rsidRDefault="00BF6D7E"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B360EB" w:rsidRPr="005B30ED">
              <w:rPr>
                <w:rFonts w:ascii="Arial Narrow" w:eastAsia="Times New Roman" w:hAnsi="Arial Narrow"/>
                <w:color w:val="000000"/>
                <w:sz w:val="14"/>
                <w:szCs w:val="14"/>
                <w:vertAlign w:val="superscript"/>
                <w:lang w:eastAsia="en-AU"/>
              </w:rPr>
              <w:t>6</w:t>
            </w:r>
          </w:p>
        </w:tc>
        <w:tc>
          <w:tcPr>
            <w:tcW w:w="376" w:type="pct"/>
            <w:noWrap/>
            <w:vAlign w:val="center"/>
            <w:hideMark/>
          </w:tcPr>
          <w:p w14:paraId="34510772" w14:textId="144F035B" w:rsidR="00783DC8" w:rsidRPr="00D35FB8" w:rsidRDefault="00BF6D7E"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B360EB" w:rsidRPr="005B30ED">
              <w:rPr>
                <w:rFonts w:ascii="Arial Narrow" w:eastAsia="Times New Roman" w:hAnsi="Arial Narrow"/>
                <w:color w:val="000000"/>
                <w:sz w:val="14"/>
                <w:szCs w:val="14"/>
                <w:vertAlign w:val="superscript"/>
                <w:lang w:eastAsia="en-AU"/>
              </w:rPr>
              <w:t>6</w:t>
            </w:r>
          </w:p>
        </w:tc>
        <w:tc>
          <w:tcPr>
            <w:tcW w:w="376" w:type="pct"/>
            <w:noWrap/>
            <w:vAlign w:val="center"/>
            <w:hideMark/>
          </w:tcPr>
          <w:p w14:paraId="23975D42" w14:textId="7F30E614" w:rsidR="00783DC8" w:rsidRPr="00D35FB8" w:rsidRDefault="00BF6D7E"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B360EB" w:rsidRPr="005B30ED">
              <w:rPr>
                <w:rFonts w:ascii="Arial Narrow" w:eastAsia="Times New Roman" w:hAnsi="Arial Narrow"/>
                <w:color w:val="000000"/>
                <w:sz w:val="14"/>
                <w:szCs w:val="14"/>
                <w:vertAlign w:val="superscript"/>
                <w:lang w:eastAsia="en-AU"/>
              </w:rPr>
              <w:t>6</w:t>
            </w:r>
          </w:p>
        </w:tc>
        <w:tc>
          <w:tcPr>
            <w:tcW w:w="376" w:type="pct"/>
            <w:noWrap/>
            <w:vAlign w:val="center"/>
            <w:hideMark/>
          </w:tcPr>
          <w:p w14:paraId="00E17357" w14:textId="2C20179C" w:rsidR="00783DC8" w:rsidRPr="00D35FB8" w:rsidRDefault="00BF6D7E"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B360EB" w:rsidRPr="005B30ED">
              <w:rPr>
                <w:rFonts w:ascii="Arial Narrow" w:eastAsia="Times New Roman" w:hAnsi="Arial Narrow"/>
                <w:color w:val="000000"/>
                <w:sz w:val="14"/>
                <w:szCs w:val="14"/>
                <w:vertAlign w:val="superscript"/>
                <w:lang w:eastAsia="en-AU"/>
              </w:rPr>
              <w:t>6</w:t>
            </w:r>
          </w:p>
        </w:tc>
        <w:tc>
          <w:tcPr>
            <w:tcW w:w="376" w:type="pct"/>
            <w:noWrap/>
            <w:vAlign w:val="center"/>
            <w:hideMark/>
          </w:tcPr>
          <w:p w14:paraId="64127338" w14:textId="03574FF5"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B360EB"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32DB2867" w14:textId="454DD41D"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B360EB"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1CA9BC6E" w14:textId="186A7D59"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A61691" w:rsidRPr="005B30ED">
              <w:rPr>
                <w:rFonts w:ascii="Arial Narrow" w:eastAsia="Times New Roman" w:hAnsi="Arial Narrow"/>
                <w:i/>
                <w:iCs/>
                <w:color w:val="000000"/>
                <w:sz w:val="14"/>
                <w:szCs w:val="14"/>
                <w:vertAlign w:val="superscript"/>
                <w:lang w:eastAsia="en-AU"/>
              </w:rPr>
              <w:t>7</w:t>
            </w:r>
          </w:p>
        </w:tc>
        <w:tc>
          <w:tcPr>
            <w:tcW w:w="376" w:type="pct"/>
            <w:noWrap/>
            <w:vAlign w:val="center"/>
            <w:hideMark/>
          </w:tcPr>
          <w:p w14:paraId="36AE869A" w14:textId="26266758"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A61691" w:rsidRPr="005B30ED">
              <w:rPr>
                <w:rFonts w:ascii="Arial Narrow" w:eastAsia="Times New Roman" w:hAnsi="Arial Narrow"/>
                <w:i/>
                <w:iCs/>
                <w:color w:val="000000"/>
                <w:sz w:val="14"/>
                <w:szCs w:val="14"/>
                <w:vertAlign w:val="superscript"/>
                <w:lang w:eastAsia="en-AU"/>
              </w:rPr>
              <w:t>7</w:t>
            </w:r>
          </w:p>
        </w:tc>
        <w:tc>
          <w:tcPr>
            <w:tcW w:w="376" w:type="pct"/>
            <w:noWrap/>
            <w:vAlign w:val="center"/>
            <w:hideMark/>
          </w:tcPr>
          <w:p w14:paraId="606E9617" w14:textId="6FF3B070"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A61691" w:rsidRPr="005B30ED">
              <w:rPr>
                <w:rFonts w:ascii="Arial Narrow" w:eastAsia="Times New Roman" w:hAnsi="Arial Narrow"/>
                <w:i/>
                <w:iCs/>
                <w:color w:val="000000"/>
                <w:sz w:val="14"/>
                <w:szCs w:val="14"/>
                <w:vertAlign w:val="superscript"/>
                <w:lang w:eastAsia="en-AU"/>
              </w:rPr>
              <w:t>7</w:t>
            </w:r>
          </w:p>
        </w:tc>
        <w:tc>
          <w:tcPr>
            <w:tcW w:w="376" w:type="pct"/>
            <w:noWrap/>
            <w:vAlign w:val="center"/>
            <w:hideMark/>
          </w:tcPr>
          <w:p w14:paraId="0D80C986" w14:textId="1F7644FF"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A61691" w:rsidRPr="005B30ED">
              <w:rPr>
                <w:rFonts w:ascii="Arial Narrow" w:eastAsia="Times New Roman" w:hAnsi="Arial Narrow"/>
                <w:i/>
                <w:iCs/>
                <w:color w:val="000000"/>
                <w:sz w:val="14"/>
                <w:szCs w:val="14"/>
                <w:vertAlign w:val="superscript"/>
                <w:lang w:eastAsia="en-AU"/>
              </w:rPr>
              <w:t>7</w:t>
            </w:r>
          </w:p>
        </w:tc>
        <w:tc>
          <w:tcPr>
            <w:tcW w:w="376" w:type="pct"/>
            <w:tcBorders>
              <w:top w:val="single" w:sz="4" w:space="0" w:color="auto"/>
              <w:left w:val="nil"/>
              <w:bottom w:val="single" w:sz="4" w:space="0" w:color="auto"/>
              <w:right w:val="single" w:sz="4" w:space="0" w:color="auto"/>
            </w:tcBorders>
            <w:vAlign w:val="center"/>
          </w:tcPr>
          <w:p w14:paraId="074ED4A9" w14:textId="345CE75A"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Pr="005B30ED">
              <w:rPr>
                <w:rFonts w:ascii="Arial Narrow" w:eastAsia="Times New Roman" w:hAnsi="Arial Narrow"/>
                <w:i/>
                <w:iCs/>
                <w:color w:val="000000"/>
                <w:sz w:val="14"/>
                <w:szCs w:val="14"/>
                <w:vertAlign w:val="superscript"/>
                <w:lang w:eastAsia="en-AU"/>
              </w:rPr>
              <w:t xml:space="preserve"> </w:t>
            </w:r>
            <w:r w:rsidR="00A61691" w:rsidRPr="005B30ED">
              <w:rPr>
                <w:rFonts w:ascii="Arial Narrow" w:eastAsia="Times New Roman" w:hAnsi="Arial Narrow"/>
                <w:i/>
                <w:iCs/>
                <w:color w:val="000000"/>
                <w:sz w:val="14"/>
                <w:szCs w:val="14"/>
                <w:vertAlign w:val="superscript"/>
                <w:lang w:eastAsia="en-AU"/>
              </w:rPr>
              <w:t>7</w:t>
            </w:r>
          </w:p>
        </w:tc>
      </w:tr>
      <w:tr w:rsidR="00783DC8" w:rsidRPr="00E8465B" w14:paraId="23519E2B" w14:textId="76410506" w:rsidTr="00AD051E">
        <w:trPr>
          <w:trHeight w:val="290"/>
        </w:trPr>
        <w:tc>
          <w:tcPr>
            <w:tcW w:w="492" w:type="pct"/>
            <w:noWrap/>
            <w:vAlign w:val="center"/>
            <w:hideMark/>
          </w:tcPr>
          <w:p w14:paraId="7A0E7F1D" w14:textId="77777777" w:rsidR="00783DC8" w:rsidRPr="00783DC8" w:rsidRDefault="00783DC8" w:rsidP="00783DC8">
            <w:pPr>
              <w:rPr>
                <w:rFonts w:ascii="Arial Narrow" w:eastAsia="Times New Roman" w:hAnsi="Arial Narrow"/>
                <w:color w:val="000000"/>
                <w:sz w:val="15"/>
                <w:szCs w:val="15"/>
                <w:lang w:eastAsia="en-AU"/>
              </w:rPr>
            </w:pPr>
            <w:r w:rsidRPr="00783DC8">
              <w:rPr>
                <w:rFonts w:ascii="Arial Narrow" w:eastAsia="Times New Roman" w:hAnsi="Arial Narrow"/>
                <w:color w:val="000000"/>
                <w:sz w:val="15"/>
                <w:szCs w:val="15"/>
                <w:lang w:eastAsia="en-AU"/>
              </w:rPr>
              <w:t>LTG 200mg</w:t>
            </w:r>
          </w:p>
        </w:tc>
        <w:tc>
          <w:tcPr>
            <w:tcW w:w="376" w:type="pct"/>
            <w:noWrap/>
            <w:vAlign w:val="center"/>
            <w:hideMark/>
          </w:tcPr>
          <w:p w14:paraId="192F6CC1" w14:textId="0A088290" w:rsidR="00783DC8" w:rsidRPr="00D35FB8" w:rsidRDefault="00BF6D7E"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A61691" w:rsidRPr="005B30ED">
              <w:rPr>
                <w:rFonts w:ascii="Arial Narrow" w:eastAsia="Times New Roman" w:hAnsi="Arial Narrow"/>
                <w:color w:val="000000"/>
                <w:sz w:val="14"/>
                <w:szCs w:val="14"/>
                <w:vertAlign w:val="superscript"/>
                <w:lang w:eastAsia="en-AU"/>
              </w:rPr>
              <w:t>3</w:t>
            </w:r>
          </w:p>
        </w:tc>
        <w:tc>
          <w:tcPr>
            <w:tcW w:w="376" w:type="pct"/>
            <w:noWrap/>
            <w:vAlign w:val="center"/>
            <w:hideMark/>
          </w:tcPr>
          <w:p w14:paraId="4B6BED46" w14:textId="42B604A3" w:rsidR="00783DC8" w:rsidRPr="00D35FB8" w:rsidRDefault="00BF6D7E"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A61691" w:rsidRPr="005B30ED">
              <w:rPr>
                <w:rFonts w:ascii="Arial Narrow" w:eastAsia="Times New Roman" w:hAnsi="Arial Narrow"/>
                <w:color w:val="000000"/>
                <w:sz w:val="14"/>
                <w:szCs w:val="14"/>
                <w:vertAlign w:val="superscript"/>
                <w:lang w:eastAsia="en-AU"/>
              </w:rPr>
              <w:t>5</w:t>
            </w:r>
          </w:p>
        </w:tc>
        <w:tc>
          <w:tcPr>
            <w:tcW w:w="376" w:type="pct"/>
            <w:noWrap/>
            <w:vAlign w:val="center"/>
            <w:hideMark/>
          </w:tcPr>
          <w:p w14:paraId="067A6303" w14:textId="1D3FE191" w:rsidR="00783DC8" w:rsidRPr="00D35FB8" w:rsidRDefault="00BF6D7E"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7E4D" w:rsidRPr="005B30ED">
              <w:rPr>
                <w:rFonts w:ascii="Arial Narrow" w:eastAsia="Times New Roman" w:hAnsi="Arial Narrow"/>
                <w:color w:val="000000"/>
                <w:sz w:val="14"/>
                <w:szCs w:val="14"/>
                <w:vertAlign w:val="superscript"/>
                <w:lang w:eastAsia="en-AU"/>
              </w:rPr>
              <w:t>6</w:t>
            </w:r>
          </w:p>
        </w:tc>
        <w:tc>
          <w:tcPr>
            <w:tcW w:w="376" w:type="pct"/>
            <w:noWrap/>
            <w:vAlign w:val="center"/>
            <w:hideMark/>
          </w:tcPr>
          <w:p w14:paraId="20350FA2" w14:textId="36DA10F3" w:rsidR="00783DC8" w:rsidRPr="00D35FB8" w:rsidRDefault="00BF6D7E"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7E4D" w:rsidRPr="005B30ED">
              <w:rPr>
                <w:rFonts w:ascii="Arial Narrow" w:eastAsia="Times New Roman" w:hAnsi="Arial Narrow"/>
                <w:color w:val="000000"/>
                <w:sz w:val="14"/>
                <w:szCs w:val="14"/>
                <w:vertAlign w:val="superscript"/>
                <w:lang w:eastAsia="en-AU"/>
              </w:rPr>
              <w:t>6</w:t>
            </w:r>
          </w:p>
        </w:tc>
        <w:tc>
          <w:tcPr>
            <w:tcW w:w="376" w:type="pct"/>
            <w:noWrap/>
            <w:vAlign w:val="center"/>
            <w:hideMark/>
          </w:tcPr>
          <w:p w14:paraId="2EA56D67" w14:textId="5CB8B739" w:rsidR="00783DC8" w:rsidRPr="00D35FB8" w:rsidRDefault="00BF6D7E" w:rsidP="00783DC8">
            <w:pPr>
              <w:jc w:val="right"/>
              <w:rPr>
                <w:rFonts w:ascii="Arial Narrow" w:eastAsia="Times New Roman" w:hAnsi="Arial Narrow"/>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7E4D" w:rsidRPr="005B30ED">
              <w:rPr>
                <w:rFonts w:ascii="Arial Narrow" w:eastAsia="Times New Roman" w:hAnsi="Arial Narrow"/>
                <w:color w:val="000000"/>
                <w:sz w:val="14"/>
                <w:szCs w:val="14"/>
                <w:vertAlign w:val="superscript"/>
                <w:lang w:eastAsia="en-AU"/>
              </w:rPr>
              <w:t>6</w:t>
            </w:r>
          </w:p>
        </w:tc>
        <w:tc>
          <w:tcPr>
            <w:tcW w:w="376" w:type="pct"/>
            <w:noWrap/>
            <w:vAlign w:val="center"/>
            <w:hideMark/>
          </w:tcPr>
          <w:p w14:paraId="1B62E110" w14:textId="3D7CAFFB"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7E4D"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3B60D1B8" w14:textId="4CD5AC16"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7E4D"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0C5A4E72" w14:textId="77AFD4EC"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7E4D"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7F8033A4" w14:textId="32F14120"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7E4D"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744A1EAD" w14:textId="20AE4C77"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7E4D" w:rsidRPr="005B30ED">
              <w:rPr>
                <w:rFonts w:ascii="Arial Narrow" w:eastAsia="Times New Roman" w:hAnsi="Arial Narrow"/>
                <w:i/>
                <w:iCs/>
                <w:color w:val="000000"/>
                <w:sz w:val="14"/>
                <w:szCs w:val="14"/>
                <w:vertAlign w:val="superscript"/>
                <w:lang w:eastAsia="en-AU"/>
              </w:rPr>
              <w:t>6</w:t>
            </w:r>
          </w:p>
        </w:tc>
        <w:tc>
          <w:tcPr>
            <w:tcW w:w="376" w:type="pct"/>
            <w:noWrap/>
            <w:vAlign w:val="center"/>
            <w:hideMark/>
          </w:tcPr>
          <w:p w14:paraId="5A87B5AD" w14:textId="5FCCBB7B" w:rsidR="00783DC8" w:rsidRPr="00D35FB8" w:rsidRDefault="00BF6D7E"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7E4D" w:rsidRPr="005B30ED">
              <w:rPr>
                <w:rFonts w:ascii="Arial Narrow" w:eastAsia="Times New Roman" w:hAnsi="Arial Narrow"/>
                <w:i/>
                <w:iCs/>
                <w:color w:val="000000"/>
                <w:sz w:val="14"/>
                <w:szCs w:val="14"/>
                <w:vertAlign w:val="superscript"/>
                <w:lang w:eastAsia="en-AU"/>
              </w:rPr>
              <w:t>6</w:t>
            </w:r>
          </w:p>
        </w:tc>
        <w:tc>
          <w:tcPr>
            <w:tcW w:w="376" w:type="pct"/>
            <w:tcBorders>
              <w:top w:val="single" w:sz="4" w:space="0" w:color="auto"/>
              <w:left w:val="nil"/>
              <w:bottom w:val="single" w:sz="4" w:space="0" w:color="auto"/>
              <w:right w:val="single" w:sz="4" w:space="0" w:color="auto"/>
            </w:tcBorders>
            <w:vAlign w:val="center"/>
          </w:tcPr>
          <w:p w14:paraId="376AA8C6" w14:textId="4A08BEB6" w:rsidR="00783DC8" w:rsidRPr="00D35FB8" w:rsidRDefault="009075D0" w:rsidP="00783DC8">
            <w:pPr>
              <w:jc w:val="right"/>
              <w:rPr>
                <w:rFonts w:ascii="Arial Narrow" w:eastAsia="Times New Roman" w:hAnsi="Arial Narrow"/>
                <w:i/>
                <w:iCs/>
                <w:color w:val="000000"/>
                <w:sz w:val="14"/>
                <w:szCs w:val="14"/>
                <w:highlight w:val="lightGray"/>
                <w:vertAlign w:val="superscript"/>
                <w:lang w:eastAsia="en-AU"/>
              </w:rPr>
            </w:pPr>
            <w:r w:rsidRPr="00B71EDA">
              <w:rPr>
                <w:rFonts w:ascii="Arial Narrow" w:eastAsia="Times New Roman" w:hAnsi="Arial Narrow"/>
                <w:color w:val="000000"/>
                <w:sz w:val="14"/>
                <w:szCs w:val="14"/>
                <w:highlight w:val="black"/>
                <w:lang w:eastAsia="en-AU"/>
              </w:rPr>
              <w:t>XXXX</w:t>
            </w:r>
            <w:r w:rsidR="00847E4D" w:rsidRPr="005B30ED">
              <w:rPr>
                <w:rFonts w:ascii="Arial Narrow" w:eastAsia="Times New Roman" w:hAnsi="Arial Narrow"/>
                <w:i/>
                <w:iCs/>
                <w:color w:val="000000"/>
                <w:sz w:val="14"/>
                <w:szCs w:val="14"/>
                <w:vertAlign w:val="superscript"/>
                <w:lang w:eastAsia="en-AU"/>
              </w:rPr>
              <w:t>6</w:t>
            </w:r>
          </w:p>
        </w:tc>
      </w:tr>
      <w:tr w:rsidR="00783DC8" w:rsidRPr="00E8465B" w14:paraId="74EFF4EF" w14:textId="11D9757F" w:rsidTr="00AD051E">
        <w:trPr>
          <w:trHeight w:val="290"/>
        </w:trPr>
        <w:tc>
          <w:tcPr>
            <w:tcW w:w="492" w:type="pct"/>
            <w:noWrap/>
            <w:vAlign w:val="center"/>
            <w:hideMark/>
          </w:tcPr>
          <w:p w14:paraId="0D2D95D1" w14:textId="77777777" w:rsidR="00783DC8" w:rsidRPr="00783DC8" w:rsidRDefault="00783DC8" w:rsidP="00783DC8">
            <w:pPr>
              <w:rPr>
                <w:rFonts w:ascii="Arial Narrow" w:eastAsia="Times New Roman" w:hAnsi="Arial Narrow"/>
                <w:b/>
                <w:bCs/>
                <w:color w:val="000000"/>
                <w:sz w:val="15"/>
                <w:szCs w:val="15"/>
                <w:lang w:eastAsia="en-AU"/>
              </w:rPr>
            </w:pPr>
            <w:r w:rsidRPr="00783DC8">
              <w:rPr>
                <w:rFonts w:ascii="Arial Narrow" w:eastAsia="Times New Roman" w:hAnsi="Arial Narrow"/>
                <w:b/>
                <w:bCs/>
                <w:color w:val="000000"/>
                <w:sz w:val="15"/>
                <w:szCs w:val="15"/>
                <w:lang w:eastAsia="en-AU"/>
              </w:rPr>
              <w:t>Total</w:t>
            </w:r>
          </w:p>
        </w:tc>
        <w:tc>
          <w:tcPr>
            <w:tcW w:w="376" w:type="pct"/>
            <w:noWrap/>
            <w:vAlign w:val="center"/>
            <w:hideMark/>
          </w:tcPr>
          <w:p w14:paraId="28D91D43" w14:textId="77777777" w:rsidR="00783DC8" w:rsidRPr="00783DC8" w:rsidRDefault="00783DC8" w:rsidP="00783DC8">
            <w:pPr>
              <w:jc w:val="right"/>
              <w:rPr>
                <w:rFonts w:ascii="Arial Narrow" w:eastAsia="Times New Roman" w:hAnsi="Arial Narrow"/>
                <w:b/>
                <w:bCs/>
                <w:color w:val="000000"/>
                <w:sz w:val="15"/>
                <w:szCs w:val="15"/>
                <w:lang w:eastAsia="en-AU"/>
              </w:rPr>
            </w:pPr>
            <w:r w:rsidRPr="00783DC8">
              <w:rPr>
                <w:rFonts w:ascii="Arial Narrow" w:eastAsia="Times New Roman" w:hAnsi="Arial Narrow"/>
                <w:b/>
                <w:bCs/>
                <w:color w:val="000000"/>
                <w:sz w:val="15"/>
                <w:szCs w:val="15"/>
                <w:lang w:eastAsia="en-AU"/>
              </w:rPr>
              <w:t>313,872</w:t>
            </w:r>
          </w:p>
        </w:tc>
        <w:tc>
          <w:tcPr>
            <w:tcW w:w="376" w:type="pct"/>
            <w:noWrap/>
            <w:vAlign w:val="center"/>
            <w:hideMark/>
          </w:tcPr>
          <w:p w14:paraId="2C445EDE" w14:textId="77777777" w:rsidR="00783DC8" w:rsidRPr="00783DC8" w:rsidRDefault="00783DC8" w:rsidP="00783DC8">
            <w:pPr>
              <w:jc w:val="right"/>
              <w:rPr>
                <w:rFonts w:ascii="Arial Narrow" w:eastAsia="Times New Roman" w:hAnsi="Arial Narrow"/>
                <w:b/>
                <w:bCs/>
                <w:color w:val="000000"/>
                <w:sz w:val="15"/>
                <w:szCs w:val="15"/>
                <w:lang w:eastAsia="en-AU"/>
              </w:rPr>
            </w:pPr>
            <w:r w:rsidRPr="00783DC8">
              <w:rPr>
                <w:rFonts w:ascii="Arial Narrow" w:eastAsia="Times New Roman" w:hAnsi="Arial Narrow"/>
                <w:b/>
                <w:bCs/>
                <w:color w:val="000000"/>
                <w:sz w:val="15"/>
                <w:szCs w:val="15"/>
                <w:lang w:eastAsia="en-AU"/>
              </w:rPr>
              <w:t>377,907</w:t>
            </w:r>
          </w:p>
        </w:tc>
        <w:tc>
          <w:tcPr>
            <w:tcW w:w="376" w:type="pct"/>
            <w:noWrap/>
            <w:vAlign w:val="center"/>
            <w:hideMark/>
          </w:tcPr>
          <w:p w14:paraId="55F84815" w14:textId="77777777" w:rsidR="00783DC8" w:rsidRPr="00783DC8" w:rsidRDefault="00783DC8" w:rsidP="00783DC8">
            <w:pPr>
              <w:jc w:val="right"/>
              <w:rPr>
                <w:rFonts w:ascii="Arial Narrow" w:eastAsia="Times New Roman" w:hAnsi="Arial Narrow"/>
                <w:b/>
                <w:bCs/>
                <w:color w:val="000000"/>
                <w:sz w:val="15"/>
                <w:szCs w:val="15"/>
                <w:lang w:eastAsia="en-AU"/>
              </w:rPr>
            </w:pPr>
            <w:r w:rsidRPr="00783DC8">
              <w:rPr>
                <w:rFonts w:ascii="Arial Narrow" w:eastAsia="Times New Roman" w:hAnsi="Arial Narrow"/>
                <w:b/>
                <w:bCs/>
                <w:color w:val="000000"/>
                <w:sz w:val="15"/>
                <w:szCs w:val="15"/>
                <w:lang w:eastAsia="en-AU"/>
              </w:rPr>
              <w:t>426,231</w:t>
            </w:r>
          </w:p>
        </w:tc>
        <w:tc>
          <w:tcPr>
            <w:tcW w:w="376" w:type="pct"/>
            <w:noWrap/>
            <w:vAlign w:val="center"/>
            <w:hideMark/>
          </w:tcPr>
          <w:p w14:paraId="30F23AE0" w14:textId="77777777" w:rsidR="00783DC8" w:rsidRPr="00783DC8" w:rsidRDefault="00783DC8" w:rsidP="00783DC8">
            <w:pPr>
              <w:jc w:val="right"/>
              <w:rPr>
                <w:rFonts w:ascii="Arial Narrow" w:eastAsia="Times New Roman" w:hAnsi="Arial Narrow"/>
                <w:b/>
                <w:bCs/>
                <w:color w:val="000000"/>
                <w:sz w:val="15"/>
                <w:szCs w:val="15"/>
                <w:lang w:eastAsia="en-AU"/>
              </w:rPr>
            </w:pPr>
            <w:r w:rsidRPr="00783DC8">
              <w:rPr>
                <w:rFonts w:ascii="Arial Narrow" w:eastAsia="Times New Roman" w:hAnsi="Arial Narrow"/>
                <w:b/>
                <w:bCs/>
                <w:color w:val="000000"/>
                <w:sz w:val="15"/>
                <w:szCs w:val="15"/>
                <w:lang w:eastAsia="en-AU"/>
              </w:rPr>
              <w:t>456,392</w:t>
            </w:r>
          </w:p>
        </w:tc>
        <w:tc>
          <w:tcPr>
            <w:tcW w:w="376" w:type="pct"/>
            <w:noWrap/>
            <w:vAlign w:val="center"/>
            <w:hideMark/>
          </w:tcPr>
          <w:p w14:paraId="57C976C5" w14:textId="77777777" w:rsidR="00783DC8" w:rsidRPr="00783DC8" w:rsidRDefault="00783DC8" w:rsidP="00783DC8">
            <w:pPr>
              <w:jc w:val="right"/>
              <w:rPr>
                <w:rFonts w:ascii="Arial Narrow" w:eastAsia="Times New Roman" w:hAnsi="Arial Narrow"/>
                <w:b/>
                <w:bCs/>
                <w:color w:val="000000"/>
                <w:sz w:val="15"/>
                <w:szCs w:val="15"/>
                <w:lang w:eastAsia="en-AU"/>
              </w:rPr>
            </w:pPr>
            <w:r w:rsidRPr="00783DC8">
              <w:rPr>
                <w:rFonts w:ascii="Arial Narrow" w:eastAsia="Times New Roman" w:hAnsi="Arial Narrow"/>
                <w:b/>
                <w:bCs/>
                <w:color w:val="000000"/>
                <w:sz w:val="15"/>
                <w:szCs w:val="15"/>
                <w:lang w:eastAsia="en-AU"/>
              </w:rPr>
              <w:t>463,080</w:t>
            </w:r>
          </w:p>
        </w:tc>
        <w:tc>
          <w:tcPr>
            <w:tcW w:w="376" w:type="pct"/>
            <w:noWrap/>
            <w:vAlign w:val="center"/>
            <w:hideMark/>
          </w:tcPr>
          <w:p w14:paraId="66DE43C6" w14:textId="77777777" w:rsidR="00783DC8" w:rsidRPr="00783DC8" w:rsidRDefault="00783DC8" w:rsidP="00783DC8">
            <w:pPr>
              <w:jc w:val="right"/>
              <w:rPr>
                <w:rFonts w:ascii="Arial Narrow" w:eastAsia="Times New Roman" w:hAnsi="Arial Narrow"/>
                <w:b/>
                <w:bCs/>
                <w:i/>
                <w:iCs/>
                <w:color w:val="000000"/>
                <w:sz w:val="15"/>
                <w:szCs w:val="15"/>
                <w:lang w:eastAsia="en-AU"/>
              </w:rPr>
            </w:pPr>
            <w:r w:rsidRPr="00783DC8">
              <w:rPr>
                <w:rFonts w:ascii="Arial Narrow" w:eastAsia="Times New Roman" w:hAnsi="Arial Narrow"/>
                <w:b/>
                <w:bCs/>
                <w:i/>
                <w:iCs/>
                <w:color w:val="000000"/>
                <w:sz w:val="15"/>
                <w:szCs w:val="15"/>
                <w:lang w:eastAsia="en-AU"/>
              </w:rPr>
              <w:t>520,567</w:t>
            </w:r>
          </w:p>
        </w:tc>
        <w:tc>
          <w:tcPr>
            <w:tcW w:w="376" w:type="pct"/>
            <w:noWrap/>
            <w:vAlign w:val="center"/>
            <w:hideMark/>
          </w:tcPr>
          <w:p w14:paraId="77DAE575" w14:textId="77777777" w:rsidR="00783DC8" w:rsidRPr="00783DC8" w:rsidRDefault="00783DC8" w:rsidP="00783DC8">
            <w:pPr>
              <w:jc w:val="right"/>
              <w:rPr>
                <w:rFonts w:ascii="Arial Narrow" w:eastAsia="Times New Roman" w:hAnsi="Arial Narrow"/>
                <w:b/>
                <w:bCs/>
                <w:i/>
                <w:iCs/>
                <w:color w:val="000000"/>
                <w:sz w:val="15"/>
                <w:szCs w:val="15"/>
                <w:lang w:eastAsia="en-AU"/>
              </w:rPr>
            </w:pPr>
            <w:r w:rsidRPr="00783DC8">
              <w:rPr>
                <w:rFonts w:ascii="Arial Narrow" w:eastAsia="Times New Roman" w:hAnsi="Arial Narrow"/>
                <w:b/>
                <w:bCs/>
                <w:i/>
                <w:iCs/>
                <w:color w:val="000000"/>
                <w:sz w:val="15"/>
                <w:szCs w:val="15"/>
                <w:lang w:eastAsia="en-AU"/>
              </w:rPr>
              <w:t>545,486</w:t>
            </w:r>
          </w:p>
        </w:tc>
        <w:tc>
          <w:tcPr>
            <w:tcW w:w="376" w:type="pct"/>
            <w:noWrap/>
            <w:vAlign w:val="center"/>
            <w:hideMark/>
          </w:tcPr>
          <w:p w14:paraId="23A1B43D" w14:textId="77777777" w:rsidR="00783DC8" w:rsidRPr="00783DC8" w:rsidRDefault="00783DC8" w:rsidP="00783DC8">
            <w:pPr>
              <w:jc w:val="right"/>
              <w:rPr>
                <w:rFonts w:ascii="Arial Narrow" w:eastAsia="Times New Roman" w:hAnsi="Arial Narrow"/>
                <w:b/>
                <w:bCs/>
                <w:i/>
                <w:iCs/>
                <w:color w:val="000000"/>
                <w:sz w:val="15"/>
                <w:szCs w:val="15"/>
                <w:lang w:eastAsia="en-AU"/>
              </w:rPr>
            </w:pPr>
            <w:r w:rsidRPr="00783DC8">
              <w:rPr>
                <w:rFonts w:ascii="Arial Narrow" w:eastAsia="Times New Roman" w:hAnsi="Arial Narrow"/>
                <w:b/>
                <w:bCs/>
                <w:i/>
                <w:iCs/>
                <w:color w:val="000000"/>
                <w:sz w:val="15"/>
                <w:szCs w:val="15"/>
                <w:lang w:eastAsia="en-AU"/>
              </w:rPr>
              <w:t>573,156</w:t>
            </w:r>
          </w:p>
        </w:tc>
        <w:tc>
          <w:tcPr>
            <w:tcW w:w="376" w:type="pct"/>
            <w:noWrap/>
            <w:vAlign w:val="center"/>
            <w:hideMark/>
          </w:tcPr>
          <w:p w14:paraId="0D8C5005" w14:textId="77777777" w:rsidR="00783DC8" w:rsidRPr="00783DC8" w:rsidRDefault="00783DC8" w:rsidP="00783DC8">
            <w:pPr>
              <w:jc w:val="right"/>
              <w:rPr>
                <w:rFonts w:ascii="Arial Narrow" w:eastAsia="Times New Roman" w:hAnsi="Arial Narrow"/>
                <w:b/>
                <w:bCs/>
                <w:i/>
                <w:iCs/>
                <w:color w:val="000000"/>
                <w:sz w:val="15"/>
                <w:szCs w:val="15"/>
                <w:lang w:eastAsia="en-AU"/>
              </w:rPr>
            </w:pPr>
            <w:r w:rsidRPr="00783DC8">
              <w:rPr>
                <w:rFonts w:ascii="Arial Narrow" w:eastAsia="Times New Roman" w:hAnsi="Arial Narrow"/>
                <w:b/>
                <w:bCs/>
                <w:i/>
                <w:iCs/>
                <w:color w:val="000000"/>
                <w:sz w:val="15"/>
                <w:szCs w:val="15"/>
                <w:lang w:eastAsia="en-AU"/>
              </w:rPr>
              <w:t>606,517</w:t>
            </w:r>
          </w:p>
        </w:tc>
        <w:tc>
          <w:tcPr>
            <w:tcW w:w="376" w:type="pct"/>
            <w:noWrap/>
            <w:vAlign w:val="center"/>
            <w:hideMark/>
          </w:tcPr>
          <w:p w14:paraId="5AE68AB5" w14:textId="77777777" w:rsidR="00783DC8" w:rsidRPr="00783DC8" w:rsidRDefault="00783DC8" w:rsidP="00783DC8">
            <w:pPr>
              <w:jc w:val="right"/>
              <w:rPr>
                <w:rFonts w:ascii="Arial Narrow" w:eastAsia="Times New Roman" w:hAnsi="Arial Narrow"/>
                <w:b/>
                <w:bCs/>
                <w:i/>
                <w:iCs/>
                <w:color w:val="000000"/>
                <w:sz w:val="15"/>
                <w:szCs w:val="15"/>
                <w:lang w:eastAsia="en-AU"/>
              </w:rPr>
            </w:pPr>
            <w:r w:rsidRPr="00783DC8">
              <w:rPr>
                <w:rFonts w:ascii="Arial Narrow" w:eastAsia="Times New Roman" w:hAnsi="Arial Narrow"/>
                <w:b/>
                <w:bCs/>
                <w:i/>
                <w:iCs/>
                <w:color w:val="000000"/>
                <w:sz w:val="15"/>
                <w:szCs w:val="15"/>
                <w:lang w:eastAsia="en-AU"/>
              </w:rPr>
              <w:t>643,600</w:t>
            </w:r>
          </w:p>
        </w:tc>
        <w:tc>
          <w:tcPr>
            <w:tcW w:w="376" w:type="pct"/>
            <w:noWrap/>
            <w:vAlign w:val="center"/>
            <w:hideMark/>
          </w:tcPr>
          <w:p w14:paraId="5964391D" w14:textId="77777777" w:rsidR="00783DC8" w:rsidRPr="00783DC8" w:rsidRDefault="00783DC8" w:rsidP="00783DC8">
            <w:pPr>
              <w:jc w:val="right"/>
              <w:rPr>
                <w:rFonts w:ascii="Arial Narrow" w:eastAsia="Times New Roman" w:hAnsi="Arial Narrow"/>
                <w:b/>
                <w:bCs/>
                <w:i/>
                <w:iCs/>
                <w:color w:val="000000"/>
                <w:sz w:val="15"/>
                <w:szCs w:val="15"/>
                <w:lang w:eastAsia="en-AU"/>
              </w:rPr>
            </w:pPr>
            <w:r w:rsidRPr="00783DC8">
              <w:rPr>
                <w:rFonts w:ascii="Arial Narrow" w:eastAsia="Times New Roman" w:hAnsi="Arial Narrow"/>
                <w:b/>
                <w:bCs/>
                <w:i/>
                <w:iCs/>
                <w:color w:val="000000"/>
                <w:sz w:val="15"/>
                <w:szCs w:val="15"/>
                <w:lang w:eastAsia="en-AU"/>
              </w:rPr>
              <w:t>669,994</w:t>
            </w:r>
          </w:p>
        </w:tc>
        <w:tc>
          <w:tcPr>
            <w:tcW w:w="376" w:type="pct"/>
            <w:tcBorders>
              <w:top w:val="single" w:sz="4" w:space="0" w:color="auto"/>
              <w:left w:val="nil"/>
              <w:bottom w:val="single" w:sz="4" w:space="0" w:color="auto"/>
              <w:right w:val="single" w:sz="4" w:space="0" w:color="auto"/>
            </w:tcBorders>
            <w:vAlign w:val="center"/>
          </w:tcPr>
          <w:p w14:paraId="5E7D3A23" w14:textId="4CB69BA8" w:rsidR="00783DC8" w:rsidRPr="00783DC8" w:rsidRDefault="00783DC8" w:rsidP="00783DC8">
            <w:pPr>
              <w:jc w:val="right"/>
              <w:rPr>
                <w:rFonts w:ascii="Arial Narrow" w:eastAsia="Times New Roman" w:hAnsi="Arial Narrow"/>
                <w:b/>
                <w:bCs/>
                <w:i/>
                <w:iCs/>
                <w:color w:val="000000"/>
                <w:sz w:val="15"/>
                <w:szCs w:val="15"/>
                <w:lang w:eastAsia="en-AU"/>
              </w:rPr>
            </w:pPr>
            <w:r w:rsidRPr="00783DC8">
              <w:rPr>
                <w:rFonts w:ascii="Arial Narrow" w:eastAsia="Times New Roman" w:hAnsi="Arial Narrow"/>
                <w:b/>
                <w:bCs/>
                <w:i/>
                <w:iCs/>
                <w:color w:val="000000"/>
                <w:sz w:val="15"/>
                <w:szCs w:val="15"/>
                <w:lang w:eastAsia="en-AU"/>
              </w:rPr>
              <w:t>703,589</w:t>
            </w:r>
          </w:p>
        </w:tc>
      </w:tr>
    </w:tbl>
    <w:p w14:paraId="5DBFEE83" w14:textId="77777777" w:rsidR="006B05BA" w:rsidRPr="00137CCC" w:rsidRDefault="006B05BA" w:rsidP="006B05BA">
      <w:pPr>
        <w:spacing w:after="0" w:line="240" w:lineRule="auto"/>
        <w:jc w:val="both"/>
        <w:rPr>
          <w:rFonts w:ascii="Arial Narrow" w:eastAsia="Times New Roman" w:hAnsi="Arial Narrow" w:cs="Calibri"/>
          <w:i/>
          <w:iCs/>
          <w:snapToGrid w:val="0"/>
          <w:sz w:val="18"/>
          <w:szCs w:val="18"/>
        </w:rPr>
      </w:pPr>
      <w:r w:rsidRPr="00137CCC">
        <w:rPr>
          <w:rFonts w:ascii="Arial Narrow" w:eastAsia="Times New Roman" w:hAnsi="Arial Narrow" w:cs="Calibri"/>
          <w:i/>
          <w:iCs/>
          <w:snapToGrid w:val="0"/>
          <w:sz w:val="18"/>
          <w:szCs w:val="18"/>
        </w:rPr>
        <w:t>The redacted values correspond to the following ranges:</w:t>
      </w:r>
    </w:p>
    <w:p w14:paraId="272E02BD" w14:textId="77777777" w:rsidR="006B05BA" w:rsidRPr="00137CCC" w:rsidRDefault="006B05BA" w:rsidP="006B05BA">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1 </w:t>
      </w:r>
      <w:r w:rsidRPr="00137CCC">
        <w:rPr>
          <w:rFonts w:ascii="Arial Narrow" w:eastAsia="Times New Roman" w:hAnsi="Arial Narrow" w:cs="Calibri"/>
          <w:bCs/>
          <w:i/>
          <w:iCs/>
          <w:snapToGrid w:val="0"/>
          <w:sz w:val="18"/>
          <w:szCs w:val="18"/>
        </w:rPr>
        <w:t>500 to &lt; 5,000</w:t>
      </w:r>
    </w:p>
    <w:p w14:paraId="2B2BDCC3" w14:textId="77777777" w:rsidR="006B05BA" w:rsidRPr="00137CCC" w:rsidRDefault="006B05BA" w:rsidP="006B05BA">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2 </w:t>
      </w:r>
      <w:r w:rsidRPr="00137CCC">
        <w:rPr>
          <w:rFonts w:ascii="Arial Narrow" w:eastAsia="Times New Roman" w:hAnsi="Arial Narrow" w:cs="Calibri"/>
          <w:bCs/>
          <w:i/>
          <w:iCs/>
          <w:snapToGrid w:val="0"/>
          <w:sz w:val="18"/>
          <w:szCs w:val="18"/>
        </w:rPr>
        <w:t>60,000 to &lt; 70,000</w:t>
      </w:r>
    </w:p>
    <w:p w14:paraId="4CC0DEFC" w14:textId="77777777" w:rsidR="006B05BA" w:rsidRPr="00137CCC" w:rsidRDefault="006B05BA" w:rsidP="006B05BA">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3 </w:t>
      </w:r>
      <w:r w:rsidRPr="00137CCC">
        <w:rPr>
          <w:rFonts w:ascii="Arial Narrow" w:eastAsia="Times New Roman" w:hAnsi="Arial Narrow" w:cs="Calibri"/>
          <w:bCs/>
          <w:i/>
          <w:iCs/>
          <w:snapToGrid w:val="0"/>
          <w:sz w:val="18"/>
          <w:szCs w:val="18"/>
        </w:rPr>
        <w:t>70,000 to &lt; 80,000</w:t>
      </w:r>
    </w:p>
    <w:p w14:paraId="2341D73F" w14:textId="1F507955" w:rsidR="00AF17AD" w:rsidRPr="00137CCC" w:rsidRDefault="008A237F" w:rsidP="00AF17AD">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4</w:t>
      </w:r>
      <w:r w:rsidR="00AF17AD" w:rsidRPr="00137CCC">
        <w:rPr>
          <w:rFonts w:ascii="Arial Narrow" w:eastAsia="Times New Roman" w:hAnsi="Arial Narrow" w:cs="Calibri"/>
          <w:i/>
          <w:iCs/>
          <w:snapToGrid w:val="0"/>
          <w:sz w:val="18"/>
          <w:szCs w:val="18"/>
          <w:vertAlign w:val="superscript"/>
        </w:rPr>
        <w:t xml:space="preserve"> </w:t>
      </w:r>
      <w:r w:rsidR="00AF17AD" w:rsidRPr="00137CCC">
        <w:rPr>
          <w:rFonts w:ascii="Arial Narrow" w:eastAsia="Times New Roman" w:hAnsi="Arial Narrow" w:cs="Calibri"/>
          <w:bCs/>
          <w:i/>
          <w:iCs/>
          <w:snapToGrid w:val="0"/>
          <w:sz w:val="18"/>
          <w:szCs w:val="18"/>
        </w:rPr>
        <w:t>80,000 to &lt; 90,000</w:t>
      </w:r>
    </w:p>
    <w:p w14:paraId="4986C69D" w14:textId="4755E353" w:rsidR="008764D5" w:rsidRPr="00137CCC" w:rsidRDefault="008764D5" w:rsidP="008764D5">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5 </w:t>
      </w:r>
      <w:r w:rsidRPr="00137CCC">
        <w:rPr>
          <w:rFonts w:ascii="Arial Narrow" w:eastAsia="Times New Roman" w:hAnsi="Arial Narrow" w:cs="Calibri"/>
          <w:bCs/>
          <w:i/>
          <w:iCs/>
          <w:snapToGrid w:val="0"/>
          <w:sz w:val="18"/>
          <w:szCs w:val="18"/>
        </w:rPr>
        <w:t>90,000 to &lt; 100,000</w:t>
      </w:r>
    </w:p>
    <w:p w14:paraId="1E374197" w14:textId="2F360473" w:rsidR="006B05BA" w:rsidRPr="00137CCC" w:rsidRDefault="00841FE0" w:rsidP="006B05BA">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6</w:t>
      </w:r>
      <w:r w:rsidR="006B05BA" w:rsidRPr="00137CCC">
        <w:rPr>
          <w:rFonts w:ascii="Arial Narrow" w:eastAsia="Times New Roman" w:hAnsi="Arial Narrow" w:cs="Calibri"/>
          <w:i/>
          <w:iCs/>
          <w:snapToGrid w:val="0"/>
          <w:sz w:val="18"/>
          <w:szCs w:val="18"/>
          <w:vertAlign w:val="superscript"/>
        </w:rPr>
        <w:t xml:space="preserve"> </w:t>
      </w:r>
      <w:r w:rsidR="006B05BA" w:rsidRPr="00137CCC">
        <w:rPr>
          <w:rFonts w:ascii="Arial Narrow" w:eastAsia="Times New Roman" w:hAnsi="Arial Narrow" w:cs="Calibri"/>
          <w:bCs/>
          <w:i/>
          <w:iCs/>
          <w:snapToGrid w:val="0"/>
          <w:sz w:val="18"/>
          <w:szCs w:val="18"/>
        </w:rPr>
        <w:t>100,000 to &lt; 200,000</w:t>
      </w:r>
    </w:p>
    <w:p w14:paraId="63FD5DF3" w14:textId="720E5360" w:rsidR="00122BBD" w:rsidRPr="004107AD" w:rsidRDefault="00122BBD" w:rsidP="006B05BA">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7 </w:t>
      </w:r>
      <w:r w:rsidRPr="00137CCC">
        <w:rPr>
          <w:rFonts w:ascii="Arial Narrow" w:eastAsia="Times New Roman" w:hAnsi="Arial Narrow" w:cs="Calibri"/>
          <w:bCs/>
          <w:i/>
          <w:iCs/>
          <w:snapToGrid w:val="0"/>
          <w:sz w:val="18"/>
          <w:szCs w:val="18"/>
        </w:rPr>
        <w:t>200,000 to &lt; 300,000</w:t>
      </w:r>
    </w:p>
    <w:p w14:paraId="7233C0EB" w14:textId="7EC2C562" w:rsidR="00357C24" w:rsidRPr="00512B8C" w:rsidRDefault="00085518" w:rsidP="00512B8C">
      <w:pPr>
        <w:pStyle w:val="Heading2"/>
        <w:spacing w:before="120" w:after="120" w:line="240" w:lineRule="auto"/>
        <w:rPr>
          <w:rFonts w:asciiTheme="minorHAnsi" w:hAnsiTheme="minorHAnsi" w:cstheme="minorHAnsi"/>
          <w:b/>
          <w:bCs/>
          <w:i/>
          <w:iCs/>
          <w:color w:val="auto"/>
          <w:sz w:val="28"/>
          <w:szCs w:val="28"/>
        </w:rPr>
      </w:pPr>
      <w:r>
        <w:rPr>
          <w:rFonts w:asciiTheme="minorHAnsi" w:hAnsiTheme="minorHAnsi" w:cstheme="minorHAnsi"/>
          <w:b/>
          <w:bCs/>
          <w:i/>
          <w:iCs/>
          <w:color w:val="auto"/>
          <w:sz w:val="28"/>
          <w:szCs w:val="28"/>
        </w:rPr>
        <w:t>Cost estimates</w:t>
      </w:r>
    </w:p>
    <w:p w14:paraId="53CDAFAD" w14:textId="7487EC69" w:rsidR="00616144" w:rsidRDefault="000C36A2" w:rsidP="007C18E3">
      <w:pPr>
        <w:pStyle w:val="3-BodyText"/>
        <w:spacing w:before="120" w:after="120" w:line="240" w:lineRule="auto"/>
        <w:jc w:val="both"/>
        <w:rPr>
          <w:rFonts w:ascii="Calibri" w:eastAsia="Times New Roman" w:hAnsi="Calibri" w:cs="Calibri"/>
          <w:snapToGrid w:val="0"/>
          <w:sz w:val="24"/>
          <w:szCs w:val="24"/>
        </w:rPr>
      </w:pPr>
      <w:r w:rsidRPr="000C36A2">
        <w:rPr>
          <w:rFonts w:ascii="Calibri" w:eastAsia="Times New Roman" w:hAnsi="Calibri" w:cs="Calibri"/>
          <w:snapToGrid w:val="0"/>
          <w:sz w:val="24"/>
          <w:szCs w:val="24"/>
        </w:rPr>
        <w:t xml:space="preserve">The </w:t>
      </w:r>
      <w:r w:rsidR="001B3976" w:rsidRPr="001B3976">
        <w:rPr>
          <w:rFonts w:ascii="Calibri" w:eastAsia="Times New Roman" w:hAnsi="Calibri" w:cs="Calibri"/>
          <w:snapToGrid w:val="0"/>
          <w:sz w:val="24"/>
          <w:szCs w:val="24"/>
        </w:rPr>
        <w:t>utilisation and cost model</w:t>
      </w:r>
      <w:r w:rsidR="001B3976">
        <w:rPr>
          <w:rFonts w:ascii="Calibri" w:eastAsia="Times New Roman" w:hAnsi="Calibri" w:cs="Calibri"/>
          <w:snapToGrid w:val="0"/>
          <w:sz w:val="24"/>
          <w:szCs w:val="24"/>
        </w:rPr>
        <w:t xml:space="preserve"> (</w:t>
      </w:r>
      <w:r w:rsidRPr="000C36A2">
        <w:rPr>
          <w:rFonts w:ascii="Calibri" w:eastAsia="Times New Roman" w:hAnsi="Calibri" w:cs="Calibri"/>
          <w:snapToGrid w:val="0"/>
          <w:sz w:val="24"/>
          <w:szCs w:val="24"/>
        </w:rPr>
        <w:t>UCM</w:t>
      </w:r>
      <w:r w:rsidR="001B3976">
        <w:rPr>
          <w:rFonts w:ascii="Calibri" w:eastAsia="Times New Roman" w:hAnsi="Calibri" w:cs="Calibri"/>
          <w:snapToGrid w:val="0"/>
          <w:sz w:val="24"/>
          <w:szCs w:val="24"/>
        </w:rPr>
        <w:t>)</w:t>
      </w:r>
      <w:r w:rsidRPr="000C36A2">
        <w:rPr>
          <w:rFonts w:ascii="Calibri" w:eastAsia="Times New Roman" w:hAnsi="Calibri" w:cs="Calibri"/>
          <w:snapToGrid w:val="0"/>
          <w:sz w:val="24"/>
          <w:szCs w:val="24"/>
        </w:rPr>
        <w:t xml:space="preserve"> workbook was used to estimate the cost to the R/PBS of the proposed listing for the period 2026–2031. In this model, the private script volume for each strength of LTG was assumed to match the number of LTG units supplied in the private market from 2026 to 2031 (see Table </w:t>
      </w:r>
      <w:r w:rsidR="00FD3867">
        <w:rPr>
          <w:rFonts w:ascii="Calibri" w:eastAsia="Times New Roman" w:hAnsi="Calibri" w:cs="Calibri"/>
          <w:snapToGrid w:val="0"/>
          <w:sz w:val="24"/>
          <w:szCs w:val="24"/>
        </w:rPr>
        <w:t>3</w:t>
      </w:r>
      <w:r w:rsidRPr="000C36A2">
        <w:rPr>
          <w:rFonts w:ascii="Calibri" w:eastAsia="Times New Roman" w:hAnsi="Calibri" w:cs="Calibri"/>
          <w:snapToGrid w:val="0"/>
          <w:sz w:val="24"/>
          <w:szCs w:val="24"/>
        </w:rPr>
        <w:t xml:space="preserve"> above). The base-case analysis assumed that 95% of private LTG scripts are used for bipolar disorder and that the uptake rate of the proposed listing would be 95% (i.e., 95% of private scripts</w:t>
      </w:r>
      <w:r w:rsidR="00566192">
        <w:rPr>
          <w:rFonts w:ascii="Calibri" w:eastAsia="Times New Roman" w:hAnsi="Calibri" w:cs="Calibri"/>
          <w:snapToGrid w:val="0"/>
          <w:sz w:val="24"/>
          <w:szCs w:val="24"/>
        </w:rPr>
        <w:t xml:space="preserve"> for bipolar disorder</w:t>
      </w:r>
      <w:r w:rsidRPr="000C36A2">
        <w:rPr>
          <w:rFonts w:ascii="Calibri" w:eastAsia="Times New Roman" w:hAnsi="Calibri" w:cs="Calibri"/>
          <w:snapToGrid w:val="0"/>
          <w:sz w:val="24"/>
          <w:szCs w:val="24"/>
        </w:rPr>
        <w:t xml:space="preserve"> would transition to R/PBS scripts as a result of the proposed listing). For each strength of LTG, the split between 30-day and 60-day scripts was assumed to be 55%/45% in 2026 (Year 1), 42%/58% in 2027 (Year 2), and 37%/63% from 2028</w:t>
      </w:r>
      <w:r w:rsidR="004D6EE6">
        <w:rPr>
          <w:rFonts w:ascii="Calibri" w:eastAsia="Times New Roman" w:hAnsi="Calibri" w:cs="Calibri"/>
          <w:snapToGrid w:val="0"/>
          <w:sz w:val="24"/>
          <w:szCs w:val="24"/>
        </w:rPr>
        <w:noBreakHyphen/>
      </w:r>
      <w:r w:rsidRPr="000C36A2">
        <w:rPr>
          <w:rFonts w:ascii="Calibri" w:eastAsia="Times New Roman" w:hAnsi="Calibri" w:cs="Calibri"/>
          <w:snapToGrid w:val="0"/>
          <w:sz w:val="24"/>
          <w:szCs w:val="24"/>
        </w:rPr>
        <w:t>2031 (Years 3–6).</w:t>
      </w:r>
      <w:r w:rsidR="00F823E4">
        <w:rPr>
          <w:rFonts w:ascii="Calibri" w:eastAsia="Times New Roman" w:hAnsi="Calibri" w:cs="Calibri"/>
          <w:snapToGrid w:val="0"/>
          <w:sz w:val="24"/>
          <w:szCs w:val="24"/>
        </w:rPr>
        <w:t xml:space="preserve"> </w:t>
      </w:r>
      <w:r w:rsidR="00726A2C" w:rsidRPr="002138F8">
        <w:rPr>
          <w:rFonts w:ascii="Calibri" w:eastAsia="Times New Roman" w:hAnsi="Calibri" w:cs="Calibri"/>
          <w:snapToGrid w:val="0"/>
          <w:sz w:val="24"/>
          <w:szCs w:val="24"/>
        </w:rPr>
        <w:t>These</w:t>
      </w:r>
      <w:r w:rsidR="005239BD" w:rsidRPr="002138F8">
        <w:rPr>
          <w:rFonts w:ascii="Calibri" w:eastAsia="Times New Roman" w:hAnsi="Calibri" w:cs="Calibri"/>
          <w:snapToGrid w:val="0"/>
          <w:sz w:val="24"/>
          <w:szCs w:val="24"/>
        </w:rPr>
        <w:t xml:space="preserve"> </w:t>
      </w:r>
      <w:r>
        <w:rPr>
          <w:rFonts w:ascii="Calibri" w:eastAsia="Times New Roman" w:hAnsi="Calibri" w:cs="Calibri"/>
          <w:snapToGrid w:val="0"/>
          <w:sz w:val="24"/>
          <w:szCs w:val="24"/>
        </w:rPr>
        <w:t>proportions</w:t>
      </w:r>
      <w:r w:rsidR="005239BD" w:rsidRPr="002138F8">
        <w:rPr>
          <w:rFonts w:ascii="Calibri" w:eastAsia="Times New Roman" w:hAnsi="Calibri" w:cs="Calibri"/>
          <w:snapToGrid w:val="0"/>
          <w:sz w:val="24"/>
          <w:szCs w:val="24"/>
        </w:rPr>
        <w:t xml:space="preserve"> were informed by the </w:t>
      </w:r>
      <w:bookmarkStart w:id="9" w:name="_Hlk209703207"/>
      <w:r w:rsidR="00157BDC" w:rsidRPr="00AA5AE1">
        <w:rPr>
          <w:rFonts w:ascii="Calibri" w:eastAsia="Times New Roman" w:hAnsi="Calibri" w:cs="Calibri"/>
          <w:snapToGrid w:val="0"/>
          <w:sz w:val="24"/>
          <w:szCs w:val="24"/>
        </w:rPr>
        <w:t>Impact analysis:</w:t>
      </w:r>
      <w:bookmarkEnd w:id="9"/>
      <w:r w:rsidR="00157BDC" w:rsidRPr="00AA5AE1">
        <w:rPr>
          <w:rFonts w:ascii="Calibri" w:eastAsia="Times New Roman" w:hAnsi="Calibri" w:cs="Calibri"/>
          <w:snapToGrid w:val="0"/>
          <w:sz w:val="24"/>
          <w:szCs w:val="24"/>
        </w:rPr>
        <w:t xml:space="preserve"> </w:t>
      </w:r>
      <w:r w:rsidR="001951F1" w:rsidRPr="00AA5AE1">
        <w:rPr>
          <w:rFonts w:ascii="Calibri" w:eastAsia="Times New Roman" w:hAnsi="Calibri" w:cs="Calibri"/>
          <w:snapToGrid w:val="0"/>
          <w:sz w:val="24"/>
          <w:szCs w:val="24"/>
        </w:rPr>
        <w:t>Lowering the costs of medicines through changes to maximum dispensing quantities</w:t>
      </w:r>
      <w:r w:rsidR="00157BDC" w:rsidRPr="00AA5AE1">
        <w:rPr>
          <w:rFonts w:ascii="Calibri" w:eastAsia="Times New Roman" w:hAnsi="Calibri" w:cs="Calibri"/>
          <w:snapToGrid w:val="0"/>
          <w:sz w:val="24"/>
          <w:szCs w:val="24"/>
        </w:rPr>
        <w:t xml:space="preserve"> </w:t>
      </w:r>
      <w:r w:rsidR="00157BDC" w:rsidRPr="002138F8">
        <w:rPr>
          <w:rFonts w:ascii="Calibri" w:eastAsia="Times New Roman" w:hAnsi="Calibri" w:cs="Calibri"/>
          <w:snapToGrid w:val="0"/>
          <w:sz w:val="24"/>
          <w:szCs w:val="24"/>
        </w:rPr>
        <w:t>(2022</w:t>
      </w:r>
      <w:r w:rsidR="00F774F3" w:rsidRPr="002138F8">
        <w:rPr>
          <w:rFonts w:ascii="Calibri" w:eastAsia="Times New Roman" w:hAnsi="Calibri" w:cs="Calibri"/>
          <w:snapToGrid w:val="0"/>
          <w:sz w:val="24"/>
          <w:szCs w:val="24"/>
        </w:rPr>
        <w:t xml:space="preserve">, </w:t>
      </w:r>
      <w:r w:rsidR="00635441" w:rsidRPr="002138F8">
        <w:rPr>
          <w:rFonts w:ascii="Calibri" w:eastAsia="Times New Roman" w:hAnsi="Calibri" w:cs="Calibri"/>
          <w:snapToGrid w:val="0"/>
          <w:sz w:val="24"/>
          <w:szCs w:val="24"/>
        </w:rPr>
        <w:t>p.26</w:t>
      </w:r>
      <w:r w:rsidR="00157BDC" w:rsidRPr="002138F8">
        <w:rPr>
          <w:rFonts w:ascii="Calibri" w:eastAsia="Times New Roman" w:hAnsi="Calibri" w:cs="Calibri"/>
          <w:snapToGrid w:val="0"/>
          <w:sz w:val="24"/>
          <w:szCs w:val="24"/>
        </w:rPr>
        <w:t>)</w:t>
      </w:r>
      <w:r w:rsidR="002F3B6F">
        <w:rPr>
          <w:rFonts w:ascii="Calibri" w:eastAsia="Times New Roman" w:hAnsi="Calibri" w:cs="Calibri"/>
          <w:snapToGrid w:val="0"/>
          <w:sz w:val="24"/>
          <w:szCs w:val="24"/>
        </w:rPr>
        <w:t>.</w:t>
      </w:r>
      <w:r w:rsidR="00953E66" w:rsidRPr="00AA5AE1">
        <w:rPr>
          <w:vertAlign w:val="superscript"/>
        </w:rPr>
        <w:footnoteReference w:id="3"/>
      </w:r>
      <w:r w:rsidR="00E76184">
        <w:rPr>
          <w:rFonts w:ascii="Calibri" w:eastAsia="Times New Roman" w:hAnsi="Calibri" w:cs="Calibri"/>
          <w:snapToGrid w:val="0"/>
          <w:sz w:val="24"/>
          <w:szCs w:val="24"/>
        </w:rPr>
        <w:t xml:space="preserve"> </w:t>
      </w:r>
      <w:r w:rsidR="00616144" w:rsidRPr="00616144">
        <w:rPr>
          <w:rFonts w:ascii="Calibri" w:eastAsia="Times New Roman" w:hAnsi="Calibri" w:cs="Calibri"/>
          <w:snapToGrid w:val="0"/>
          <w:sz w:val="24"/>
          <w:szCs w:val="24"/>
        </w:rPr>
        <w:t>The dispensed price for maximum quantity (DPMQ) applied in the financial modelling for each LTG strength was aligned with the DPMQs used for epileptic seizures.</w:t>
      </w:r>
    </w:p>
    <w:p w14:paraId="0FD3ED74" w14:textId="734C4BEE" w:rsidR="001C7D4D" w:rsidRPr="00AA5AE1" w:rsidRDefault="00C96A07" w:rsidP="007C18E3">
      <w:pPr>
        <w:pStyle w:val="3-BodyText"/>
        <w:spacing w:before="120" w:after="120" w:line="240" w:lineRule="auto"/>
        <w:jc w:val="both"/>
        <w:rPr>
          <w:rFonts w:ascii="Calibri" w:eastAsia="Times New Roman" w:hAnsi="Calibri" w:cs="Calibri"/>
          <w:snapToGrid w:val="0"/>
          <w:sz w:val="24"/>
          <w:szCs w:val="24"/>
        </w:rPr>
      </w:pPr>
      <w:r w:rsidRPr="00AA5AE1">
        <w:rPr>
          <w:rFonts w:ascii="Calibri" w:eastAsia="Times New Roman" w:hAnsi="Calibri" w:cs="Calibri"/>
          <w:snapToGrid w:val="0"/>
          <w:sz w:val="24"/>
          <w:szCs w:val="24"/>
        </w:rPr>
        <w:t xml:space="preserve">The </w:t>
      </w:r>
      <w:r w:rsidR="00BB7ACE" w:rsidRPr="00AA5AE1">
        <w:rPr>
          <w:rFonts w:ascii="Calibri" w:eastAsia="Times New Roman" w:hAnsi="Calibri" w:cs="Calibri"/>
          <w:snapToGrid w:val="0"/>
          <w:sz w:val="24"/>
          <w:szCs w:val="24"/>
        </w:rPr>
        <w:t xml:space="preserve">key </w:t>
      </w:r>
      <w:r w:rsidRPr="00AA5AE1">
        <w:rPr>
          <w:rFonts w:ascii="Calibri" w:eastAsia="Times New Roman" w:hAnsi="Calibri" w:cs="Calibri"/>
          <w:snapToGrid w:val="0"/>
          <w:sz w:val="24"/>
          <w:szCs w:val="24"/>
        </w:rPr>
        <w:t xml:space="preserve">inputs and assumptions </w:t>
      </w:r>
      <w:r w:rsidR="00834AF6" w:rsidRPr="00AA5AE1">
        <w:rPr>
          <w:rFonts w:ascii="Calibri" w:eastAsia="Times New Roman" w:hAnsi="Calibri" w:cs="Calibri"/>
          <w:snapToGrid w:val="0"/>
          <w:sz w:val="24"/>
          <w:szCs w:val="24"/>
        </w:rPr>
        <w:t>used</w:t>
      </w:r>
      <w:r w:rsidR="001B3976" w:rsidRPr="00AA5AE1">
        <w:rPr>
          <w:rFonts w:ascii="Calibri" w:eastAsia="Times New Roman" w:hAnsi="Calibri" w:cs="Calibri"/>
          <w:snapToGrid w:val="0"/>
          <w:sz w:val="24"/>
          <w:szCs w:val="24"/>
        </w:rPr>
        <w:t xml:space="preserve"> in </w:t>
      </w:r>
      <w:r w:rsidR="00834AF6" w:rsidRPr="00AA5AE1">
        <w:rPr>
          <w:rFonts w:ascii="Calibri" w:eastAsia="Times New Roman" w:hAnsi="Calibri" w:cs="Calibri"/>
          <w:snapToGrid w:val="0"/>
          <w:sz w:val="24"/>
          <w:szCs w:val="24"/>
        </w:rPr>
        <w:t xml:space="preserve">the financial modelling are summarised in Table </w:t>
      </w:r>
      <w:r w:rsidR="00DC5B41" w:rsidRPr="00AA5AE1">
        <w:rPr>
          <w:rFonts w:ascii="Calibri" w:eastAsia="Times New Roman" w:hAnsi="Calibri" w:cs="Calibri"/>
          <w:snapToGrid w:val="0"/>
          <w:sz w:val="24"/>
          <w:szCs w:val="24"/>
        </w:rPr>
        <w:t>4</w:t>
      </w:r>
      <w:r w:rsidR="00834AF6" w:rsidRPr="00AA5AE1">
        <w:rPr>
          <w:rFonts w:ascii="Calibri" w:eastAsia="Times New Roman" w:hAnsi="Calibri" w:cs="Calibri"/>
          <w:snapToGrid w:val="0"/>
          <w:sz w:val="24"/>
          <w:szCs w:val="24"/>
        </w:rPr>
        <w:t>.</w:t>
      </w:r>
      <w:r w:rsidR="00783DC8" w:rsidRPr="00AA5AE1">
        <w:rPr>
          <w:rFonts w:ascii="Calibri" w:eastAsia="Times New Roman" w:hAnsi="Calibri" w:cs="Calibri"/>
          <w:snapToGrid w:val="0"/>
          <w:sz w:val="24"/>
          <w:szCs w:val="24"/>
        </w:rPr>
        <w:t xml:space="preserve"> </w:t>
      </w:r>
    </w:p>
    <w:p w14:paraId="6051A96B" w14:textId="77777777" w:rsidR="007C18E3" w:rsidRDefault="007C18E3">
      <w:pPr>
        <w:rPr>
          <w:rFonts w:ascii="Arial Narrow" w:eastAsia="Times New Roman" w:hAnsi="Arial Narrow" w:cs="Calibri"/>
          <w:b/>
          <w:bCs/>
          <w:snapToGrid w:val="0"/>
          <w:sz w:val="20"/>
          <w:szCs w:val="20"/>
        </w:rPr>
      </w:pPr>
      <w:r>
        <w:rPr>
          <w:rFonts w:ascii="Arial Narrow" w:eastAsia="Times New Roman" w:hAnsi="Arial Narrow" w:cs="Calibri"/>
          <w:b/>
          <w:bCs/>
          <w:snapToGrid w:val="0"/>
          <w:sz w:val="20"/>
          <w:szCs w:val="20"/>
        </w:rPr>
        <w:br w:type="page"/>
      </w:r>
    </w:p>
    <w:p w14:paraId="056CD59E" w14:textId="7E38B3AB" w:rsidR="007E7E62" w:rsidRPr="007E7E62" w:rsidRDefault="007E7E62" w:rsidP="007E7E62">
      <w:pPr>
        <w:spacing w:before="120" w:after="60" w:line="240" w:lineRule="auto"/>
        <w:rPr>
          <w:rFonts w:ascii="Arial Narrow" w:eastAsia="Times New Roman" w:hAnsi="Arial Narrow" w:cs="Calibri"/>
          <w:b/>
          <w:bCs/>
          <w:snapToGrid w:val="0"/>
          <w:sz w:val="20"/>
          <w:szCs w:val="20"/>
        </w:rPr>
      </w:pPr>
      <w:r w:rsidRPr="00426AE0">
        <w:rPr>
          <w:rFonts w:ascii="Arial Narrow" w:eastAsia="Times New Roman" w:hAnsi="Arial Narrow" w:cs="Calibri"/>
          <w:b/>
          <w:bCs/>
          <w:snapToGrid w:val="0"/>
          <w:sz w:val="20"/>
          <w:szCs w:val="20"/>
        </w:rPr>
        <w:lastRenderedPageBreak/>
        <w:t xml:space="preserve">Table </w:t>
      </w:r>
      <w:r w:rsidR="00DC5B41">
        <w:rPr>
          <w:rFonts w:ascii="Arial Narrow" w:eastAsia="Times New Roman" w:hAnsi="Arial Narrow" w:cs="Calibri"/>
          <w:b/>
          <w:bCs/>
          <w:snapToGrid w:val="0"/>
          <w:sz w:val="20"/>
          <w:szCs w:val="20"/>
        </w:rPr>
        <w:t>4</w:t>
      </w:r>
      <w:r w:rsidRPr="00426AE0">
        <w:rPr>
          <w:rFonts w:ascii="Arial Narrow" w:eastAsia="Times New Roman" w:hAnsi="Arial Narrow" w:cs="Calibri"/>
          <w:b/>
          <w:bCs/>
          <w:snapToGrid w:val="0"/>
          <w:sz w:val="20"/>
          <w:szCs w:val="20"/>
        </w:rPr>
        <w:t xml:space="preserve">: </w:t>
      </w:r>
      <w:r w:rsidR="00BB7ACE">
        <w:rPr>
          <w:rFonts w:ascii="Arial Narrow" w:eastAsia="Times New Roman" w:hAnsi="Arial Narrow" w:cs="Calibri"/>
          <w:b/>
          <w:bCs/>
          <w:snapToGrid w:val="0"/>
          <w:sz w:val="20"/>
          <w:szCs w:val="20"/>
        </w:rPr>
        <w:t>Key i</w:t>
      </w:r>
      <w:r>
        <w:rPr>
          <w:rFonts w:ascii="Arial Narrow" w:eastAsia="Times New Roman" w:hAnsi="Arial Narrow" w:cs="Calibri"/>
          <w:b/>
          <w:bCs/>
          <w:snapToGrid w:val="0"/>
          <w:sz w:val="20"/>
          <w:szCs w:val="20"/>
        </w:rPr>
        <w:t>nputs and assumptions used in the financial modelling</w:t>
      </w:r>
    </w:p>
    <w:tbl>
      <w:tblPr>
        <w:tblStyle w:val="TableGrid"/>
        <w:tblW w:w="5000" w:type="pct"/>
        <w:tblLook w:val="04A0" w:firstRow="1" w:lastRow="0" w:firstColumn="1" w:lastColumn="0" w:noHBand="0" w:noVBand="1"/>
      </w:tblPr>
      <w:tblGrid>
        <w:gridCol w:w="2011"/>
        <w:gridCol w:w="2021"/>
        <w:gridCol w:w="1390"/>
        <w:gridCol w:w="3594"/>
      </w:tblGrid>
      <w:tr w:rsidR="001D421A" w:rsidRPr="001D421A" w14:paraId="41649512" w14:textId="77777777" w:rsidTr="00AD051E">
        <w:trPr>
          <w:tblHeader/>
        </w:trPr>
        <w:tc>
          <w:tcPr>
            <w:tcW w:w="1115" w:type="pct"/>
            <w:shd w:val="clear" w:color="auto" w:fill="D0CECE" w:themeFill="background2" w:themeFillShade="E6"/>
          </w:tcPr>
          <w:p w14:paraId="46A91281" w14:textId="399D0EAF" w:rsidR="001D421A" w:rsidRPr="003A5D75" w:rsidRDefault="008F282B" w:rsidP="00375C68">
            <w:pPr>
              <w:spacing w:before="120" w:after="120"/>
              <w:rPr>
                <w:rFonts w:ascii="Arial Narrow" w:eastAsia="Times New Roman" w:hAnsi="Arial Narrow" w:cs="Calibri"/>
                <w:b/>
                <w:bCs/>
                <w:snapToGrid w:val="0"/>
                <w:sz w:val="20"/>
                <w:szCs w:val="20"/>
              </w:rPr>
            </w:pPr>
            <w:r w:rsidRPr="003A5D75">
              <w:rPr>
                <w:rFonts w:ascii="Arial Narrow" w:eastAsia="Times New Roman" w:hAnsi="Arial Narrow" w:cs="Calibri"/>
                <w:b/>
                <w:bCs/>
                <w:snapToGrid w:val="0"/>
                <w:sz w:val="20"/>
                <w:szCs w:val="20"/>
              </w:rPr>
              <w:t>Assumption/input</w:t>
            </w:r>
          </w:p>
        </w:tc>
        <w:tc>
          <w:tcPr>
            <w:tcW w:w="1121" w:type="pct"/>
            <w:shd w:val="clear" w:color="auto" w:fill="D0CECE" w:themeFill="background2" w:themeFillShade="E6"/>
          </w:tcPr>
          <w:p w14:paraId="5F37B208" w14:textId="6ACECC16" w:rsidR="001D421A" w:rsidRPr="003A5D75" w:rsidRDefault="00BD20E8" w:rsidP="00375C68">
            <w:pPr>
              <w:spacing w:before="120" w:after="120"/>
              <w:rPr>
                <w:rFonts w:ascii="Arial Narrow" w:eastAsia="Times New Roman" w:hAnsi="Arial Narrow" w:cs="Calibri"/>
                <w:b/>
                <w:bCs/>
                <w:snapToGrid w:val="0"/>
                <w:sz w:val="20"/>
                <w:szCs w:val="20"/>
              </w:rPr>
            </w:pPr>
            <w:r w:rsidRPr="003A5D75">
              <w:rPr>
                <w:rFonts w:ascii="Arial Narrow" w:eastAsia="Times New Roman" w:hAnsi="Arial Narrow" w:cs="Calibri"/>
                <w:b/>
                <w:bCs/>
                <w:snapToGrid w:val="0"/>
                <w:sz w:val="20"/>
                <w:szCs w:val="20"/>
              </w:rPr>
              <w:t>Value used in base-case</w:t>
            </w:r>
            <w:r w:rsidR="002A15BF">
              <w:rPr>
                <w:rFonts w:ascii="Arial Narrow" w:eastAsia="Times New Roman" w:hAnsi="Arial Narrow" w:cs="Calibri"/>
                <w:b/>
                <w:bCs/>
                <w:snapToGrid w:val="0"/>
                <w:sz w:val="20"/>
                <w:szCs w:val="20"/>
              </w:rPr>
              <w:t xml:space="preserve"> analysis</w:t>
            </w:r>
          </w:p>
        </w:tc>
        <w:tc>
          <w:tcPr>
            <w:tcW w:w="771" w:type="pct"/>
            <w:shd w:val="clear" w:color="auto" w:fill="D0CECE" w:themeFill="background2" w:themeFillShade="E6"/>
          </w:tcPr>
          <w:p w14:paraId="76B5CE92" w14:textId="18AECAE5" w:rsidR="001D421A" w:rsidRPr="003A5D75" w:rsidRDefault="00BD20E8" w:rsidP="00375C68">
            <w:pPr>
              <w:spacing w:before="120" w:after="120"/>
              <w:rPr>
                <w:rFonts w:ascii="Arial Narrow" w:eastAsia="Times New Roman" w:hAnsi="Arial Narrow" w:cs="Calibri"/>
                <w:b/>
                <w:bCs/>
                <w:snapToGrid w:val="0"/>
                <w:sz w:val="20"/>
                <w:szCs w:val="20"/>
              </w:rPr>
            </w:pPr>
            <w:r w:rsidRPr="003A5D75">
              <w:rPr>
                <w:rFonts w:ascii="Arial Narrow" w:eastAsia="Times New Roman" w:hAnsi="Arial Narrow" w:cs="Calibri"/>
                <w:b/>
                <w:bCs/>
                <w:snapToGrid w:val="0"/>
                <w:sz w:val="20"/>
                <w:szCs w:val="20"/>
              </w:rPr>
              <w:t xml:space="preserve">Value/s used in </w:t>
            </w:r>
            <w:r w:rsidR="00605BCD" w:rsidRPr="003A5D75">
              <w:rPr>
                <w:rFonts w:ascii="Arial Narrow" w:eastAsia="Times New Roman" w:hAnsi="Arial Narrow" w:cs="Calibri"/>
                <w:b/>
                <w:bCs/>
                <w:snapToGrid w:val="0"/>
                <w:sz w:val="20"/>
                <w:szCs w:val="20"/>
              </w:rPr>
              <w:t>sensitivity analyses</w:t>
            </w:r>
          </w:p>
        </w:tc>
        <w:tc>
          <w:tcPr>
            <w:tcW w:w="1994" w:type="pct"/>
            <w:shd w:val="clear" w:color="auto" w:fill="D0CECE" w:themeFill="background2" w:themeFillShade="E6"/>
          </w:tcPr>
          <w:p w14:paraId="37C2A5EF" w14:textId="18CF7CE1" w:rsidR="001D421A" w:rsidRPr="003A5D75" w:rsidRDefault="003A5D75" w:rsidP="00375C68">
            <w:pPr>
              <w:spacing w:before="120" w:after="120"/>
              <w:rPr>
                <w:rFonts w:ascii="Arial Narrow" w:eastAsia="Times New Roman" w:hAnsi="Arial Narrow" w:cs="Calibri"/>
                <w:b/>
                <w:bCs/>
                <w:snapToGrid w:val="0"/>
                <w:sz w:val="20"/>
                <w:szCs w:val="20"/>
              </w:rPr>
            </w:pPr>
            <w:r w:rsidRPr="003A5D75">
              <w:rPr>
                <w:rFonts w:ascii="Arial Narrow" w:eastAsia="Times New Roman" w:hAnsi="Arial Narrow" w:cs="Calibri"/>
                <w:b/>
                <w:bCs/>
                <w:snapToGrid w:val="0"/>
                <w:sz w:val="20"/>
                <w:szCs w:val="20"/>
              </w:rPr>
              <w:t>Rationale</w:t>
            </w:r>
            <w:r w:rsidR="00601941">
              <w:rPr>
                <w:rFonts w:ascii="Arial Narrow" w:eastAsia="Times New Roman" w:hAnsi="Arial Narrow" w:cs="Calibri"/>
                <w:b/>
                <w:bCs/>
                <w:snapToGrid w:val="0"/>
                <w:sz w:val="20"/>
                <w:szCs w:val="20"/>
              </w:rPr>
              <w:t>/source</w:t>
            </w:r>
          </w:p>
        </w:tc>
      </w:tr>
      <w:tr w:rsidR="001D421A" w:rsidRPr="001D421A" w14:paraId="5E36009F" w14:textId="77777777" w:rsidTr="00AD051E">
        <w:tc>
          <w:tcPr>
            <w:tcW w:w="1115" w:type="pct"/>
          </w:tcPr>
          <w:p w14:paraId="4AB7A5CF" w14:textId="28C49B42" w:rsidR="001D421A" w:rsidRPr="001D421A" w:rsidRDefault="007539CF"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 xml:space="preserve">Proportion of private LTG </w:t>
            </w:r>
            <w:r w:rsidR="00375C68">
              <w:rPr>
                <w:rFonts w:ascii="Arial Narrow" w:eastAsia="Times New Roman" w:hAnsi="Arial Narrow" w:cs="Calibri"/>
                <w:snapToGrid w:val="0"/>
                <w:sz w:val="20"/>
                <w:szCs w:val="20"/>
              </w:rPr>
              <w:t>scripts</w:t>
            </w:r>
            <w:r>
              <w:rPr>
                <w:rFonts w:ascii="Arial Narrow" w:eastAsia="Times New Roman" w:hAnsi="Arial Narrow" w:cs="Calibri"/>
                <w:snapToGrid w:val="0"/>
                <w:sz w:val="20"/>
                <w:szCs w:val="20"/>
              </w:rPr>
              <w:t xml:space="preserve"> for </w:t>
            </w:r>
            <w:r w:rsidR="00375C68">
              <w:rPr>
                <w:rFonts w:ascii="Arial Narrow" w:eastAsia="Times New Roman" w:hAnsi="Arial Narrow" w:cs="Calibri"/>
                <w:snapToGrid w:val="0"/>
                <w:sz w:val="20"/>
                <w:szCs w:val="20"/>
              </w:rPr>
              <w:t>bipolar disorder</w:t>
            </w:r>
          </w:p>
        </w:tc>
        <w:tc>
          <w:tcPr>
            <w:tcW w:w="1121" w:type="pct"/>
          </w:tcPr>
          <w:p w14:paraId="0260E0FA" w14:textId="4EB004A1" w:rsidR="001D421A" w:rsidRPr="001D421A" w:rsidRDefault="00375C68"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95%</w:t>
            </w:r>
            <w:r w:rsidR="008B7325">
              <w:rPr>
                <w:rFonts w:ascii="Arial Narrow" w:eastAsia="Times New Roman" w:hAnsi="Arial Narrow" w:cs="Calibri"/>
                <w:snapToGrid w:val="0"/>
                <w:sz w:val="20"/>
                <w:szCs w:val="20"/>
              </w:rPr>
              <w:t xml:space="preserve"> for each LTG strength</w:t>
            </w:r>
          </w:p>
        </w:tc>
        <w:tc>
          <w:tcPr>
            <w:tcW w:w="771" w:type="pct"/>
          </w:tcPr>
          <w:p w14:paraId="59A38413" w14:textId="1E9A4A46" w:rsidR="001D421A" w:rsidRPr="001D421A" w:rsidRDefault="003B5C0B"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 xml:space="preserve">90% </w:t>
            </w:r>
            <w:r w:rsidR="00CC6BC1">
              <w:rPr>
                <w:rFonts w:ascii="Arial Narrow" w:eastAsia="Times New Roman" w:hAnsi="Arial Narrow" w:cs="Calibri"/>
                <w:snapToGrid w:val="0"/>
                <w:sz w:val="20"/>
                <w:szCs w:val="20"/>
              </w:rPr>
              <w:t>&amp;</w:t>
            </w:r>
            <w:r>
              <w:rPr>
                <w:rFonts w:ascii="Arial Narrow" w:eastAsia="Times New Roman" w:hAnsi="Arial Narrow" w:cs="Calibri"/>
                <w:snapToGrid w:val="0"/>
                <w:sz w:val="20"/>
                <w:szCs w:val="20"/>
              </w:rPr>
              <w:t xml:space="preserve"> 100%</w:t>
            </w:r>
            <w:r w:rsidR="008B7325">
              <w:rPr>
                <w:rFonts w:ascii="Arial Narrow" w:eastAsia="Times New Roman" w:hAnsi="Arial Narrow" w:cs="Calibri"/>
                <w:snapToGrid w:val="0"/>
                <w:sz w:val="20"/>
                <w:szCs w:val="20"/>
              </w:rPr>
              <w:t xml:space="preserve"> for each LTG strength</w:t>
            </w:r>
          </w:p>
        </w:tc>
        <w:tc>
          <w:tcPr>
            <w:tcW w:w="1994" w:type="pct"/>
          </w:tcPr>
          <w:p w14:paraId="4E0C39B1" w14:textId="77777777" w:rsidR="006D1663" w:rsidRDefault="006D1663"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Estimate.</w:t>
            </w:r>
          </w:p>
          <w:p w14:paraId="1991D950" w14:textId="6A25FA9D" w:rsidR="001D421A" w:rsidRDefault="00FF47B2"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 xml:space="preserve">LTG </w:t>
            </w:r>
            <w:r w:rsidR="00601443">
              <w:rPr>
                <w:rFonts w:ascii="Arial Narrow" w:eastAsia="Times New Roman" w:hAnsi="Arial Narrow" w:cs="Calibri"/>
                <w:snapToGrid w:val="0"/>
                <w:sz w:val="20"/>
                <w:szCs w:val="20"/>
              </w:rPr>
              <w:t xml:space="preserve">is TGA-approved for </w:t>
            </w:r>
            <w:r w:rsidR="005E1B29">
              <w:rPr>
                <w:rFonts w:ascii="Arial Narrow" w:eastAsia="Times New Roman" w:hAnsi="Arial Narrow" w:cs="Calibri"/>
                <w:snapToGrid w:val="0"/>
                <w:sz w:val="20"/>
                <w:szCs w:val="20"/>
              </w:rPr>
              <w:t xml:space="preserve">epilepsy and </w:t>
            </w:r>
            <w:r w:rsidR="00772145">
              <w:rPr>
                <w:rFonts w:ascii="Arial Narrow" w:eastAsia="Times New Roman" w:hAnsi="Arial Narrow" w:cs="Calibri"/>
                <w:snapToGrid w:val="0"/>
                <w:sz w:val="20"/>
                <w:szCs w:val="20"/>
              </w:rPr>
              <w:t xml:space="preserve">bipolar disorder. </w:t>
            </w:r>
            <w:r w:rsidR="0065159B">
              <w:rPr>
                <w:rFonts w:ascii="Arial Narrow" w:eastAsia="Times New Roman" w:hAnsi="Arial Narrow" w:cs="Calibri"/>
                <w:snapToGrid w:val="0"/>
                <w:sz w:val="20"/>
                <w:szCs w:val="20"/>
              </w:rPr>
              <w:t>The e</w:t>
            </w:r>
            <w:r w:rsidR="00B94FC8">
              <w:rPr>
                <w:rFonts w:ascii="Arial Narrow" w:eastAsia="Times New Roman" w:hAnsi="Arial Narrow" w:cs="Calibri"/>
                <w:snapToGrid w:val="0"/>
                <w:sz w:val="20"/>
                <w:szCs w:val="20"/>
              </w:rPr>
              <w:t xml:space="preserve">TG </w:t>
            </w:r>
            <w:r w:rsidR="00AB6330">
              <w:rPr>
                <w:rFonts w:ascii="Arial Narrow" w:eastAsia="Times New Roman" w:hAnsi="Arial Narrow" w:cs="Calibri"/>
                <w:snapToGrid w:val="0"/>
                <w:sz w:val="20"/>
                <w:szCs w:val="20"/>
              </w:rPr>
              <w:t xml:space="preserve">also </w:t>
            </w:r>
            <w:r w:rsidR="00B94FC8">
              <w:rPr>
                <w:rFonts w:ascii="Arial Narrow" w:eastAsia="Times New Roman" w:hAnsi="Arial Narrow" w:cs="Calibri"/>
                <w:snapToGrid w:val="0"/>
                <w:sz w:val="20"/>
                <w:szCs w:val="20"/>
              </w:rPr>
              <w:t>recomm</w:t>
            </w:r>
            <w:r w:rsidR="00AB6330">
              <w:rPr>
                <w:rFonts w:ascii="Arial Narrow" w:eastAsia="Times New Roman" w:hAnsi="Arial Narrow" w:cs="Calibri"/>
                <w:snapToGrid w:val="0"/>
                <w:sz w:val="20"/>
                <w:szCs w:val="20"/>
              </w:rPr>
              <w:t xml:space="preserve">ends LTG for </w:t>
            </w:r>
            <w:r w:rsidR="00406AAD">
              <w:rPr>
                <w:rFonts w:ascii="Arial Narrow" w:eastAsia="Times New Roman" w:hAnsi="Arial Narrow" w:cs="Calibri"/>
                <w:snapToGrid w:val="0"/>
                <w:sz w:val="20"/>
                <w:szCs w:val="20"/>
              </w:rPr>
              <w:t>t</w:t>
            </w:r>
            <w:r w:rsidR="00406AAD" w:rsidRPr="00406AAD">
              <w:rPr>
                <w:rFonts w:ascii="Arial Narrow" w:eastAsia="Times New Roman" w:hAnsi="Arial Narrow" w:cs="Calibri"/>
                <w:snapToGrid w:val="0"/>
                <w:sz w:val="20"/>
                <w:szCs w:val="20"/>
              </w:rPr>
              <w:t>rigeminal neuralgia</w:t>
            </w:r>
            <w:r w:rsidR="00FC53CA">
              <w:rPr>
                <w:rFonts w:ascii="Arial Narrow" w:eastAsia="Times New Roman" w:hAnsi="Arial Narrow" w:cs="Calibri"/>
                <w:snapToGrid w:val="0"/>
                <w:sz w:val="20"/>
                <w:szCs w:val="20"/>
              </w:rPr>
              <w:t>, in addition to epilepsy and bipolar disorder indications</w:t>
            </w:r>
            <w:r w:rsidR="00406AAD">
              <w:rPr>
                <w:rFonts w:ascii="Arial Narrow" w:eastAsia="Times New Roman" w:hAnsi="Arial Narrow" w:cs="Calibri"/>
                <w:snapToGrid w:val="0"/>
                <w:sz w:val="20"/>
                <w:szCs w:val="20"/>
              </w:rPr>
              <w:t xml:space="preserve">. </w:t>
            </w:r>
          </w:p>
          <w:p w14:paraId="48AF05BD" w14:textId="77777777" w:rsidR="005110FA" w:rsidRDefault="005110FA" w:rsidP="00375C68">
            <w:pPr>
              <w:spacing w:before="120" w:after="120"/>
              <w:rPr>
                <w:rFonts w:ascii="Arial Narrow" w:eastAsia="Times New Roman" w:hAnsi="Arial Narrow" w:cs="Calibri"/>
                <w:snapToGrid w:val="0"/>
                <w:sz w:val="20"/>
                <w:szCs w:val="20"/>
              </w:rPr>
            </w:pPr>
          </w:p>
          <w:p w14:paraId="710EC204" w14:textId="41B24AC0" w:rsidR="00690767" w:rsidRPr="00B75D3F" w:rsidRDefault="005110FA"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The prevalence of bipolar disorder</w:t>
            </w:r>
            <w:r w:rsidR="00AE794B">
              <w:rPr>
                <w:rFonts w:ascii="Arial Narrow" w:eastAsia="Times New Roman" w:hAnsi="Arial Narrow" w:cs="Calibri"/>
                <w:snapToGrid w:val="0"/>
                <w:sz w:val="20"/>
                <w:szCs w:val="20"/>
              </w:rPr>
              <w:t xml:space="preserve"> in Australia</w:t>
            </w:r>
            <w:r>
              <w:rPr>
                <w:rFonts w:ascii="Arial Narrow" w:eastAsia="Times New Roman" w:hAnsi="Arial Narrow" w:cs="Calibri"/>
                <w:snapToGrid w:val="0"/>
                <w:sz w:val="20"/>
                <w:szCs w:val="20"/>
              </w:rPr>
              <w:t xml:space="preserve"> is </w:t>
            </w:r>
            <w:r w:rsidR="0071344B">
              <w:rPr>
                <w:rFonts w:ascii="Arial Narrow" w:eastAsia="Times New Roman" w:hAnsi="Arial Narrow" w:cs="Calibri"/>
                <w:snapToGrid w:val="0"/>
                <w:sz w:val="20"/>
                <w:szCs w:val="20"/>
              </w:rPr>
              <w:t>approximately 2.2%.</w:t>
            </w:r>
            <w:r w:rsidR="0071344B">
              <w:rPr>
                <w:rFonts w:ascii="Arial Narrow" w:eastAsia="Times New Roman" w:hAnsi="Arial Narrow" w:cs="Calibri"/>
                <w:snapToGrid w:val="0"/>
                <w:sz w:val="20"/>
                <w:szCs w:val="20"/>
                <w:vertAlign w:val="superscript"/>
              </w:rPr>
              <w:t>1</w:t>
            </w:r>
            <w:r w:rsidR="00C92948">
              <w:rPr>
                <w:rFonts w:ascii="Arial Narrow" w:eastAsia="Times New Roman" w:hAnsi="Arial Narrow" w:cs="Calibri"/>
                <w:snapToGrid w:val="0"/>
                <w:sz w:val="20"/>
                <w:szCs w:val="20"/>
                <w:vertAlign w:val="superscript"/>
              </w:rPr>
              <w:t xml:space="preserve"> </w:t>
            </w:r>
            <w:r w:rsidR="00690767">
              <w:rPr>
                <w:rFonts w:ascii="Arial Narrow" w:eastAsia="Times New Roman" w:hAnsi="Arial Narrow" w:cs="Calibri"/>
                <w:snapToGrid w:val="0"/>
                <w:sz w:val="20"/>
                <w:szCs w:val="20"/>
              </w:rPr>
              <w:t xml:space="preserve">The prevalence of trigeminal neuralgia </w:t>
            </w:r>
            <w:r w:rsidR="00AE794B">
              <w:rPr>
                <w:rFonts w:ascii="Arial Narrow" w:eastAsia="Times New Roman" w:hAnsi="Arial Narrow" w:cs="Calibri"/>
                <w:snapToGrid w:val="0"/>
                <w:sz w:val="20"/>
                <w:szCs w:val="20"/>
              </w:rPr>
              <w:t xml:space="preserve">is </w:t>
            </w:r>
            <w:r w:rsidR="00FD79AC">
              <w:rPr>
                <w:rFonts w:ascii="Arial Narrow" w:eastAsia="Times New Roman" w:hAnsi="Arial Narrow" w:cs="Calibri"/>
                <w:snapToGrid w:val="0"/>
                <w:sz w:val="20"/>
                <w:szCs w:val="20"/>
              </w:rPr>
              <w:t>0.01%.</w:t>
            </w:r>
            <w:r w:rsidR="00FD79AC">
              <w:rPr>
                <w:rFonts w:ascii="Arial Narrow" w:eastAsia="Times New Roman" w:hAnsi="Arial Narrow" w:cs="Calibri"/>
                <w:snapToGrid w:val="0"/>
                <w:sz w:val="20"/>
                <w:szCs w:val="20"/>
                <w:vertAlign w:val="superscript"/>
              </w:rPr>
              <w:t xml:space="preserve">2 </w:t>
            </w:r>
            <w:r w:rsidR="00B75D3F">
              <w:rPr>
                <w:rFonts w:ascii="Arial Narrow" w:eastAsia="Times New Roman" w:hAnsi="Arial Narrow" w:cs="Calibri"/>
                <w:snapToGrid w:val="0"/>
                <w:sz w:val="20"/>
                <w:szCs w:val="20"/>
              </w:rPr>
              <w:t>Therefore, most private use of LTG currently is expected to be f</w:t>
            </w:r>
            <w:r w:rsidR="00502FC4">
              <w:rPr>
                <w:rFonts w:ascii="Arial Narrow" w:eastAsia="Times New Roman" w:hAnsi="Arial Narrow" w:cs="Calibri"/>
                <w:snapToGrid w:val="0"/>
                <w:sz w:val="20"/>
                <w:szCs w:val="20"/>
              </w:rPr>
              <w:t>or patients with epilepsy who do not meet the current PBS criteria</w:t>
            </w:r>
            <w:r w:rsidR="00ED2B5D">
              <w:rPr>
                <w:rFonts w:ascii="Arial Narrow" w:eastAsia="Times New Roman" w:hAnsi="Arial Narrow" w:cs="Calibri"/>
                <w:snapToGrid w:val="0"/>
                <w:sz w:val="20"/>
                <w:szCs w:val="20"/>
              </w:rPr>
              <w:t xml:space="preserve"> and for </w:t>
            </w:r>
            <w:r w:rsidR="00CB321B">
              <w:rPr>
                <w:rFonts w:ascii="Arial Narrow" w:eastAsia="Times New Roman" w:hAnsi="Arial Narrow" w:cs="Calibri"/>
                <w:snapToGrid w:val="0"/>
                <w:sz w:val="20"/>
                <w:szCs w:val="20"/>
              </w:rPr>
              <w:t>patients with bipolar disorder.</w:t>
            </w:r>
          </w:p>
        </w:tc>
      </w:tr>
      <w:tr w:rsidR="001D421A" w:rsidRPr="001D421A" w14:paraId="0135FCAC" w14:textId="77777777" w:rsidTr="00AD051E">
        <w:tc>
          <w:tcPr>
            <w:tcW w:w="1115" w:type="pct"/>
          </w:tcPr>
          <w:p w14:paraId="58C2C6A0" w14:textId="6DAEEEAC" w:rsidR="001D421A" w:rsidRPr="001D421A" w:rsidRDefault="00D24FDF"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Uptake rate</w:t>
            </w:r>
          </w:p>
        </w:tc>
        <w:tc>
          <w:tcPr>
            <w:tcW w:w="1121" w:type="pct"/>
          </w:tcPr>
          <w:p w14:paraId="434AD36C" w14:textId="32DC7810" w:rsidR="001D421A" w:rsidRPr="001D421A" w:rsidRDefault="00D24FDF"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95%</w:t>
            </w:r>
            <w:r w:rsidR="008B7325">
              <w:rPr>
                <w:rFonts w:ascii="Arial Narrow" w:eastAsia="Times New Roman" w:hAnsi="Arial Narrow" w:cs="Calibri"/>
                <w:snapToGrid w:val="0"/>
                <w:sz w:val="20"/>
                <w:szCs w:val="20"/>
              </w:rPr>
              <w:t xml:space="preserve"> for each LTG strength</w:t>
            </w:r>
          </w:p>
        </w:tc>
        <w:tc>
          <w:tcPr>
            <w:tcW w:w="771" w:type="pct"/>
          </w:tcPr>
          <w:p w14:paraId="289DB445" w14:textId="6D1A0BF6" w:rsidR="001D421A" w:rsidRPr="001D421A" w:rsidRDefault="00F60A1B"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 xml:space="preserve">90% </w:t>
            </w:r>
            <w:r w:rsidR="00CC6BC1">
              <w:rPr>
                <w:rFonts w:ascii="Arial Narrow" w:eastAsia="Times New Roman" w:hAnsi="Arial Narrow" w:cs="Calibri"/>
                <w:snapToGrid w:val="0"/>
                <w:sz w:val="20"/>
                <w:szCs w:val="20"/>
              </w:rPr>
              <w:t xml:space="preserve">&amp; </w:t>
            </w:r>
            <w:r>
              <w:rPr>
                <w:rFonts w:ascii="Arial Narrow" w:eastAsia="Times New Roman" w:hAnsi="Arial Narrow" w:cs="Calibri"/>
                <w:snapToGrid w:val="0"/>
                <w:sz w:val="20"/>
                <w:szCs w:val="20"/>
              </w:rPr>
              <w:t>100%</w:t>
            </w:r>
            <w:r w:rsidR="008B7325">
              <w:rPr>
                <w:rFonts w:ascii="Arial Narrow" w:eastAsia="Times New Roman" w:hAnsi="Arial Narrow" w:cs="Calibri"/>
                <w:snapToGrid w:val="0"/>
                <w:sz w:val="20"/>
                <w:szCs w:val="20"/>
              </w:rPr>
              <w:t xml:space="preserve"> for each LTG strength</w:t>
            </w:r>
          </w:p>
        </w:tc>
        <w:tc>
          <w:tcPr>
            <w:tcW w:w="1994" w:type="pct"/>
          </w:tcPr>
          <w:p w14:paraId="3F08D6C2" w14:textId="77777777" w:rsidR="001D421A" w:rsidRDefault="00F60A1B"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Estimate.</w:t>
            </w:r>
          </w:p>
          <w:p w14:paraId="45199355" w14:textId="2AA4D68D" w:rsidR="00F60A1B" w:rsidRPr="001D421A" w:rsidRDefault="00F60A1B"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I</w:t>
            </w:r>
            <w:r w:rsidR="00C56EC4">
              <w:rPr>
                <w:rFonts w:ascii="Arial Narrow" w:eastAsia="Times New Roman" w:hAnsi="Arial Narrow" w:cs="Calibri"/>
                <w:snapToGrid w:val="0"/>
                <w:sz w:val="20"/>
                <w:szCs w:val="20"/>
              </w:rPr>
              <w:t xml:space="preserve">f LTG is PBS-listed for bipolar disorder it is expected that </w:t>
            </w:r>
            <w:r w:rsidR="008E5598">
              <w:rPr>
                <w:rFonts w:ascii="Arial Narrow" w:eastAsia="Times New Roman" w:hAnsi="Arial Narrow" w:cs="Calibri"/>
                <w:snapToGrid w:val="0"/>
                <w:sz w:val="20"/>
                <w:szCs w:val="20"/>
              </w:rPr>
              <w:t>nearly</w:t>
            </w:r>
            <w:r w:rsidR="00C56EC4">
              <w:rPr>
                <w:rFonts w:ascii="Arial Narrow" w:eastAsia="Times New Roman" w:hAnsi="Arial Narrow" w:cs="Calibri"/>
                <w:snapToGrid w:val="0"/>
                <w:sz w:val="20"/>
                <w:szCs w:val="20"/>
              </w:rPr>
              <w:t xml:space="preserve"> all patients</w:t>
            </w:r>
            <w:r w:rsidR="006B704E">
              <w:rPr>
                <w:rFonts w:ascii="Arial Narrow" w:eastAsia="Times New Roman" w:hAnsi="Arial Narrow" w:cs="Calibri"/>
                <w:snapToGrid w:val="0"/>
                <w:sz w:val="20"/>
                <w:szCs w:val="20"/>
              </w:rPr>
              <w:t xml:space="preserve"> currently</w:t>
            </w:r>
            <w:r w:rsidR="00C56EC4">
              <w:rPr>
                <w:rFonts w:ascii="Arial Narrow" w:eastAsia="Times New Roman" w:hAnsi="Arial Narrow" w:cs="Calibri"/>
                <w:snapToGrid w:val="0"/>
                <w:sz w:val="20"/>
                <w:szCs w:val="20"/>
              </w:rPr>
              <w:t xml:space="preserve"> receiving thi</w:t>
            </w:r>
            <w:r w:rsidR="006B704E">
              <w:rPr>
                <w:rFonts w:ascii="Arial Narrow" w:eastAsia="Times New Roman" w:hAnsi="Arial Narrow" w:cs="Calibri"/>
                <w:snapToGrid w:val="0"/>
                <w:sz w:val="20"/>
                <w:szCs w:val="20"/>
              </w:rPr>
              <w:t xml:space="preserve">s medication privately </w:t>
            </w:r>
            <w:r w:rsidR="00155EE7">
              <w:rPr>
                <w:rFonts w:ascii="Arial Narrow" w:eastAsia="Times New Roman" w:hAnsi="Arial Narrow" w:cs="Calibri"/>
                <w:snapToGrid w:val="0"/>
                <w:sz w:val="20"/>
                <w:szCs w:val="20"/>
              </w:rPr>
              <w:t xml:space="preserve">for this indication </w:t>
            </w:r>
            <w:r w:rsidR="006B704E">
              <w:rPr>
                <w:rFonts w:ascii="Arial Narrow" w:eastAsia="Times New Roman" w:hAnsi="Arial Narrow" w:cs="Calibri"/>
                <w:snapToGrid w:val="0"/>
                <w:sz w:val="20"/>
                <w:szCs w:val="20"/>
              </w:rPr>
              <w:t>would switch to PBS-subsidised use.</w:t>
            </w:r>
          </w:p>
        </w:tc>
      </w:tr>
      <w:tr w:rsidR="001D421A" w:rsidRPr="001D421A" w14:paraId="775BE4E0" w14:textId="77777777" w:rsidTr="00AD051E">
        <w:tc>
          <w:tcPr>
            <w:tcW w:w="1115" w:type="pct"/>
          </w:tcPr>
          <w:p w14:paraId="0F2B0F54" w14:textId="65790599" w:rsidR="001D421A" w:rsidRPr="001D421A" w:rsidRDefault="00076CAB"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30</w:t>
            </w:r>
            <w:r w:rsidR="0032797C">
              <w:rPr>
                <w:rFonts w:ascii="Arial Narrow" w:eastAsia="Times New Roman" w:hAnsi="Arial Narrow" w:cs="Calibri"/>
                <w:snapToGrid w:val="0"/>
                <w:sz w:val="20"/>
                <w:szCs w:val="20"/>
              </w:rPr>
              <w:t>-</w:t>
            </w:r>
            <w:r>
              <w:rPr>
                <w:rFonts w:ascii="Arial Narrow" w:eastAsia="Times New Roman" w:hAnsi="Arial Narrow" w:cs="Calibri"/>
                <w:snapToGrid w:val="0"/>
                <w:sz w:val="20"/>
                <w:szCs w:val="20"/>
              </w:rPr>
              <w:t>day v</w:t>
            </w:r>
            <w:r w:rsidR="00287B9C">
              <w:rPr>
                <w:rFonts w:ascii="Arial Narrow" w:eastAsia="Times New Roman" w:hAnsi="Arial Narrow" w:cs="Calibri"/>
                <w:snapToGrid w:val="0"/>
                <w:sz w:val="20"/>
                <w:szCs w:val="20"/>
              </w:rPr>
              <w:t>ersus</w:t>
            </w:r>
            <w:r>
              <w:rPr>
                <w:rFonts w:ascii="Arial Narrow" w:eastAsia="Times New Roman" w:hAnsi="Arial Narrow" w:cs="Calibri"/>
                <w:snapToGrid w:val="0"/>
                <w:sz w:val="20"/>
                <w:szCs w:val="20"/>
              </w:rPr>
              <w:t xml:space="preserve"> 60</w:t>
            </w:r>
            <w:r w:rsidR="0032797C">
              <w:rPr>
                <w:rFonts w:ascii="Arial Narrow" w:eastAsia="Times New Roman" w:hAnsi="Arial Narrow" w:cs="Calibri"/>
                <w:snapToGrid w:val="0"/>
                <w:sz w:val="20"/>
                <w:szCs w:val="20"/>
              </w:rPr>
              <w:t>-</w:t>
            </w:r>
            <w:r>
              <w:rPr>
                <w:rFonts w:ascii="Arial Narrow" w:eastAsia="Times New Roman" w:hAnsi="Arial Narrow" w:cs="Calibri"/>
                <w:snapToGrid w:val="0"/>
                <w:sz w:val="20"/>
                <w:szCs w:val="20"/>
              </w:rPr>
              <w:t>day</w:t>
            </w:r>
            <w:r w:rsidR="00791545">
              <w:rPr>
                <w:rFonts w:ascii="Arial Narrow" w:eastAsia="Times New Roman" w:hAnsi="Arial Narrow" w:cs="Calibri"/>
                <w:snapToGrid w:val="0"/>
                <w:sz w:val="20"/>
                <w:szCs w:val="20"/>
              </w:rPr>
              <w:t xml:space="preserve"> PBS</w:t>
            </w:r>
            <w:r>
              <w:rPr>
                <w:rFonts w:ascii="Arial Narrow" w:eastAsia="Times New Roman" w:hAnsi="Arial Narrow" w:cs="Calibri"/>
                <w:snapToGrid w:val="0"/>
                <w:sz w:val="20"/>
                <w:szCs w:val="20"/>
              </w:rPr>
              <w:t xml:space="preserve"> script spl</w:t>
            </w:r>
            <w:r w:rsidR="00791545">
              <w:rPr>
                <w:rFonts w:ascii="Arial Narrow" w:eastAsia="Times New Roman" w:hAnsi="Arial Narrow" w:cs="Calibri"/>
                <w:snapToGrid w:val="0"/>
                <w:sz w:val="20"/>
                <w:szCs w:val="20"/>
              </w:rPr>
              <w:t>it as</w:t>
            </w:r>
            <w:r w:rsidR="00F60602">
              <w:rPr>
                <w:rFonts w:ascii="Arial Narrow" w:eastAsia="Times New Roman" w:hAnsi="Arial Narrow" w:cs="Calibri"/>
                <w:snapToGrid w:val="0"/>
                <w:sz w:val="20"/>
                <w:szCs w:val="20"/>
              </w:rPr>
              <w:t xml:space="preserve"> a</w:t>
            </w:r>
            <w:r w:rsidR="00791545">
              <w:rPr>
                <w:rFonts w:ascii="Arial Narrow" w:eastAsia="Times New Roman" w:hAnsi="Arial Narrow" w:cs="Calibri"/>
                <w:snapToGrid w:val="0"/>
                <w:sz w:val="20"/>
                <w:szCs w:val="20"/>
              </w:rPr>
              <w:t xml:space="preserve"> result of the proposed listing</w:t>
            </w:r>
          </w:p>
        </w:tc>
        <w:tc>
          <w:tcPr>
            <w:tcW w:w="1121" w:type="pct"/>
          </w:tcPr>
          <w:p w14:paraId="01F7CFE1" w14:textId="6506D3A2" w:rsidR="001D421A" w:rsidRPr="001D421A" w:rsidRDefault="00791545" w:rsidP="00375C68">
            <w:pPr>
              <w:spacing w:before="120" w:after="120"/>
              <w:rPr>
                <w:rFonts w:ascii="Arial Narrow" w:eastAsia="Times New Roman" w:hAnsi="Arial Narrow" w:cs="Calibri"/>
                <w:snapToGrid w:val="0"/>
                <w:sz w:val="20"/>
                <w:szCs w:val="20"/>
              </w:rPr>
            </w:pPr>
            <w:r w:rsidRPr="00791545">
              <w:rPr>
                <w:rFonts w:ascii="Arial Narrow" w:eastAsia="Times New Roman" w:hAnsi="Arial Narrow" w:cs="Calibri"/>
                <w:snapToGrid w:val="0"/>
                <w:sz w:val="20"/>
                <w:szCs w:val="20"/>
              </w:rPr>
              <w:t>55%/45% in 202</w:t>
            </w:r>
            <w:r w:rsidR="00B7213E">
              <w:rPr>
                <w:rFonts w:ascii="Arial Narrow" w:eastAsia="Times New Roman" w:hAnsi="Arial Narrow" w:cs="Calibri"/>
                <w:snapToGrid w:val="0"/>
                <w:sz w:val="20"/>
                <w:szCs w:val="20"/>
              </w:rPr>
              <w:t>6</w:t>
            </w:r>
            <w:r w:rsidRPr="00791545">
              <w:rPr>
                <w:rFonts w:ascii="Arial Narrow" w:eastAsia="Times New Roman" w:hAnsi="Arial Narrow" w:cs="Calibri"/>
                <w:snapToGrid w:val="0"/>
                <w:sz w:val="20"/>
                <w:szCs w:val="20"/>
              </w:rPr>
              <w:t xml:space="preserve"> (Year 1), 42%/58% in 202</w:t>
            </w:r>
            <w:r w:rsidR="00B7213E">
              <w:rPr>
                <w:rFonts w:ascii="Arial Narrow" w:eastAsia="Times New Roman" w:hAnsi="Arial Narrow" w:cs="Calibri"/>
                <w:snapToGrid w:val="0"/>
                <w:sz w:val="20"/>
                <w:szCs w:val="20"/>
              </w:rPr>
              <w:t>7</w:t>
            </w:r>
            <w:r w:rsidRPr="00791545">
              <w:rPr>
                <w:rFonts w:ascii="Arial Narrow" w:eastAsia="Times New Roman" w:hAnsi="Arial Narrow" w:cs="Calibri"/>
                <w:snapToGrid w:val="0"/>
                <w:sz w:val="20"/>
                <w:szCs w:val="20"/>
              </w:rPr>
              <w:t xml:space="preserve"> (Year 2), and 37%/63% from 202</w:t>
            </w:r>
            <w:r w:rsidR="00B7213E">
              <w:rPr>
                <w:rFonts w:ascii="Arial Narrow" w:eastAsia="Times New Roman" w:hAnsi="Arial Narrow" w:cs="Calibri"/>
                <w:snapToGrid w:val="0"/>
                <w:sz w:val="20"/>
                <w:szCs w:val="20"/>
              </w:rPr>
              <w:t>8</w:t>
            </w:r>
            <w:r w:rsidRPr="00791545">
              <w:rPr>
                <w:rFonts w:ascii="Arial Narrow" w:eastAsia="Times New Roman" w:hAnsi="Arial Narrow" w:cs="Calibri"/>
                <w:snapToGrid w:val="0"/>
                <w:sz w:val="20"/>
                <w:szCs w:val="20"/>
              </w:rPr>
              <w:t>-203</w:t>
            </w:r>
            <w:r w:rsidR="00B7213E">
              <w:rPr>
                <w:rFonts w:ascii="Arial Narrow" w:eastAsia="Times New Roman" w:hAnsi="Arial Narrow" w:cs="Calibri"/>
                <w:snapToGrid w:val="0"/>
                <w:sz w:val="20"/>
                <w:szCs w:val="20"/>
              </w:rPr>
              <w:t>1</w:t>
            </w:r>
            <w:r w:rsidRPr="00791545">
              <w:rPr>
                <w:rFonts w:ascii="Arial Narrow" w:eastAsia="Times New Roman" w:hAnsi="Arial Narrow" w:cs="Calibri"/>
                <w:snapToGrid w:val="0"/>
                <w:sz w:val="20"/>
                <w:szCs w:val="20"/>
              </w:rPr>
              <w:t xml:space="preserve"> (Years 3-6)</w:t>
            </w:r>
            <w:r w:rsidR="008B7325">
              <w:rPr>
                <w:rFonts w:ascii="Arial Narrow" w:eastAsia="Times New Roman" w:hAnsi="Arial Narrow" w:cs="Calibri"/>
                <w:snapToGrid w:val="0"/>
                <w:sz w:val="20"/>
                <w:szCs w:val="20"/>
              </w:rPr>
              <w:t xml:space="preserve"> for each LTG strength</w:t>
            </w:r>
          </w:p>
        </w:tc>
        <w:tc>
          <w:tcPr>
            <w:tcW w:w="771" w:type="pct"/>
          </w:tcPr>
          <w:p w14:paraId="1AEE98DC" w14:textId="2A2D7694" w:rsidR="001D421A" w:rsidRPr="001D421A" w:rsidRDefault="00772FA6"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N/A</w:t>
            </w:r>
          </w:p>
        </w:tc>
        <w:tc>
          <w:tcPr>
            <w:tcW w:w="1994" w:type="pct"/>
          </w:tcPr>
          <w:p w14:paraId="4E6AEEE7" w14:textId="6BBCD53C" w:rsidR="001D421A" w:rsidRPr="00E81743" w:rsidRDefault="00E81743" w:rsidP="00375C68">
            <w:pPr>
              <w:spacing w:before="120" w:after="120"/>
              <w:rPr>
                <w:rFonts w:ascii="Arial Narrow" w:eastAsia="Times New Roman" w:hAnsi="Arial Narrow" w:cs="Calibri"/>
                <w:snapToGrid w:val="0"/>
                <w:sz w:val="20"/>
                <w:szCs w:val="20"/>
                <w:vertAlign w:val="superscript"/>
              </w:rPr>
            </w:pPr>
            <w:r>
              <w:rPr>
                <w:rFonts w:ascii="Arial Narrow" w:eastAsia="Times New Roman" w:hAnsi="Arial Narrow" w:cs="Calibri"/>
                <w:snapToGrid w:val="0"/>
                <w:sz w:val="20"/>
                <w:szCs w:val="20"/>
              </w:rPr>
              <w:t>‘</w:t>
            </w:r>
            <w:r w:rsidRPr="00E81743">
              <w:rPr>
                <w:rFonts w:ascii="Arial Narrow" w:eastAsia="Times New Roman" w:hAnsi="Arial Narrow" w:cs="Calibri"/>
                <w:snapToGrid w:val="0"/>
                <w:sz w:val="20"/>
                <w:szCs w:val="20"/>
              </w:rPr>
              <w:t>Impact analysis: Lowering the costs of medicines through changes to maximum dispensing quantities (2022, p.26)</w:t>
            </w:r>
            <w:r>
              <w:rPr>
                <w:rFonts w:ascii="Arial Narrow" w:eastAsia="Times New Roman" w:hAnsi="Arial Narrow" w:cs="Calibri"/>
                <w:snapToGrid w:val="0"/>
                <w:sz w:val="20"/>
                <w:szCs w:val="20"/>
              </w:rPr>
              <w:t>.</w:t>
            </w:r>
            <w:r w:rsidR="00783DC8">
              <w:rPr>
                <w:rFonts w:ascii="Arial Narrow" w:eastAsia="Times New Roman" w:hAnsi="Arial Narrow" w:cs="Calibri"/>
                <w:snapToGrid w:val="0"/>
                <w:sz w:val="20"/>
                <w:szCs w:val="20"/>
              </w:rPr>
              <w:t>’</w:t>
            </w:r>
            <w:r>
              <w:rPr>
                <w:rFonts w:ascii="Arial Narrow" w:eastAsia="Times New Roman" w:hAnsi="Arial Narrow" w:cs="Calibri"/>
                <w:snapToGrid w:val="0"/>
                <w:sz w:val="20"/>
                <w:szCs w:val="20"/>
                <w:vertAlign w:val="superscript"/>
              </w:rPr>
              <w:t>3</w:t>
            </w:r>
          </w:p>
        </w:tc>
      </w:tr>
      <w:tr w:rsidR="00142712" w:rsidRPr="001D421A" w14:paraId="30B62B7D" w14:textId="77777777" w:rsidTr="00AD051E">
        <w:tc>
          <w:tcPr>
            <w:tcW w:w="1115" w:type="pct"/>
          </w:tcPr>
          <w:p w14:paraId="37E2F0F5" w14:textId="5B9A2203" w:rsidR="00142712" w:rsidRDefault="00142712"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 xml:space="preserve">DPMQ for each LTG strength </w:t>
            </w:r>
          </w:p>
        </w:tc>
        <w:tc>
          <w:tcPr>
            <w:tcW w:w="1121" w:type="pct"/>
          </w:tcPr>
          <w:p w14:paraId="1842A798" w14:textId="387DB156" w:rsidR="00142712" w:rsidRPr="00791545" w:rsidRDefault="00142712"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Same as the DPMQ for each LTG</w:t>
            </w:r>
            <w:r w:rsidR="00616144">
              <w:rPr>
                <w:rFonts w:ascii="Arial Narrow" w:eastAsia="Times New Roman" w:hAnsi="Arial Narrow" w:cs="Calibri"/>
                <w:snapToGrid w:val="0"/>
                <w:sz w:val="20"/>
                <w:szCs w:val="20"/>
              </w:rPr>
              <w:t xml:space="preserve"> strength</w:t>
            </w:r>
            <w:r>
              <w:rPr>
                <w:rFonts w:ascii="Arial Narrow" w:eastAsia="Times New Roman" w:hAnsi="Arial Narrow" w:cs="Calibri"/>
                <w:snapToGrid w:val="0"/>
                <w:sz w:val="20"/>
                <w:szCs w:val="20"/>
              </w:rPr>
              <w:t xml:space="preserve"> for epileptic seizures</w:t>
            </w:r>
          </w:p>
        </w:tc>
        <w:tc>
          <w:tcPr>
            <w:tcW w:w="771" w:type="pct"/>
          </w:tcPr>
          <w:p w14:paraId="50243BB9" w14:textId="33290F62" w:rsidR="00142712" w:rsidRDefault="00142712"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N/A</w:t>
            </w:r>
          </w:p>
        </w:tc>
        <w:tc>
          <w:tcPr>
            <w:tcW w:w="1994" w:type="pct"/>
          </w:tcPr>
          <w:p w14:paraId="19140951" w14:textId="3E9B80C0" w:rsidR="00142712" w:rsidRPr="00616144" w:rsidRDefault="00142712" w:rsidP="00375C68">
            <w:pPr>
              <w:spacing w:before="120" w:after="120"/>
              <w:rPr>
                <w:rFonts w:ascii="Arial Narrow" w:eastAsia="Times New Roman" w:hAnsi="Arial Narrow" w:cs="Calibri"/>
                <w:snapToGrid w:val="0"/>
                <w:sz w:val="20"/>
                <w:szCs w:val="20"/>
                <w:vertAlign w:val="superscript"/>
              </w:rPr>
            </w:pPr>
            <w:r>
              <w:rPr>
                <w:rFonts w:ascii="Arial Narrow" w:eastAsia="Times New Roman" w:hAnsi="Arial Narrow" w:cs="Calibri"/>
                <w:snapToGrid w:val="0"/>
                <w:sz w:val="20"/>
                <w:szCs w:val="20"/>
              </w:rPr>
              <w:t>PBS schedule.</w:t>
            </w:r>
            <w:r w:rsidR="00616144">
              <w:rPr>
                <w:rFonts w:ascii="Arial Narrow" w:eastAsia="Times New Roman" w:hAnsi="Arial Narrow" w:cs="Calibri"/>
                <w:snapToGrid w:val="0"/>
                <w:sz w:val="20"/>
                <w:szCs w:val="20"/>
                <w:vertAlign w:val="superscript"/>
              </w:rPr>
              <w:t>4</w:t>
            </w:r>
          </w:p>
        </w:tc>
      </w:tr>
      <w:tr w:rsidR="00783DC8" w:rsidRPr="001D421A" w14:paraId="408C5AB8" w14:textId="77777777" w:rsidTr="00AD051E">
        <w:tc>
          <w:tcPr>
            <w:tcW w:w="1115" w:type="pct"/>
          </w:tcPr>
          <w:p w14:paraId="47CF3F20" w14:textId="01480CFA" w:rsidR="00783DC8" w:rsidRDefault="00783DC8"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PBS patient co</w:t>
            </w:r>
            <w:r w:rsidR="004D6EE6">
              <w:rPr>
                <w:rFonts w:ascii="Arial Narrow" w:eastAsia="Times New Roman" w:hAnsi="Arial Narrow" w:cs="Calibri"/>
                <w:snapToGrid w:val="0"/>
                <w:sz w:val="20"/>
                <w:szCs w:val="20"/>
              </w:rPr>
              <w:noBreakHyphen/>
            </w:r>
            <w:r>
              <w:rPr>
                <w:rFonts w:ascii="Arial Narrow" w:eastAsia="Times New Roman" w:hAnsi="Arial Narrow" w:cs="Calibri"/>
                <w:snapToGrid w:val="0"/>
                <w:sz w:val="20"/>
                <w:szCs w:val="20"/>
              </w:rPr>
              <w:t>payments</w:t>
            </w:r>
          </w:p>
        </w:tc>
        <w:tc>
          <w:tcPr>
            <w:tcW w:w="1121" w:type="pct"/>
          </w:tcPr>
          <w:p w14:paraId="2FAFBEB2" w14:textId="4B052E75" w:rsidR="00783DC8" w:rsidRPr="00616144" w:rsidRDefault="00783DC8" w:rsidP="00375C68">
            <w:pPr>
              <w:spacing w:before="120" w:after="120"/>
              <w:rPr>
                <w:rFonts w:ascii="Arial Narrow" w:eastAsia="Times New Roman" w:hAnsi="Arial Narrow" w:cs="Calibri"/>
                <w:snapToGrid w:val="0"/>
                <w:sz w:val="20"/>
                <w:szCs w:val="20"/>
                <w:vertAlign w:val="superscript"/>
              </w:rPr>
            </w:pPr>
            <w:r>
              <w:rPr>
                <w:rFonts w:ascii="Arial Narrow" w:eastAsia="Times New Roman" w:hAnsi="Arial Narrow" w:cs="Calibri"/>
                <w:snapToGrid w:val="0"/>
                <w:sz w:val="20"/>
                <w:szCs w:val="20"/>
              </w:rPr>
              <w:t>202</w:t>
            </w:r>
            <w:r w:rsidR="00012D16">
              <w:rPr>
                <w:rFonts w:ascii="Arial Narrow" w:eastAsia="Times New Roman" w:hAnsi="Arial Narrow" w:cs="Calibri"/>
                <w:snapToGrid w:val="0"/>
                <w:sz w:val="20"/>
                <w:szCs w:val="20"/>
              </w:rPr>
              <w:t>5</w:t>
            </w:r>
            <w:r>
              <w:rPr>
                <w:rFonts w:ascii="Arial Narrow" w:eastAsia="Times New Roman" w:hAnsi="Arial Narrow" w:cs="Calibri"/>
                <w:snapToGrid w:val="0"/>
                <w:sz w:val="20"/>
                <w:szCs w:val="20"/>
              </w:rPr>
              <w:t xml:space="preserve"> co-payment values:</w:t>
            </w:r>
            <w:r w:rsidR="00616144">
              <w:rPr>
                <w:rFonts w:ascii="Arial Narrow" w:eastAsia="Times New Roman" w:hAnsi="Arial Narrow" w:cs="Calibri"/>
                <w:snapToGrid w:val="0"/>
                <w:sz w:val="20"/>
                <w:szCs w:val="20"/>
                <w:vertAlign w:val="superscript"/>
              </w:rPr>
              <w:t>5</w:t>
            </w:r>
          </w:p>
          <w:p w14:paraId="73AD9A68" w14:textId="63E40E47" w:rsidR="00783DC8" w:rsidRDefault="00783DC8"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General co-pay = $</w:t>
            </w:r>
            <w:r w:rsidR="00012D16">
              <w:rPr>
                <w:rFonts w:ascii="Arial Narrow" w:eastAsia="Times New Roman" w:hAnsi="Arial Narrow" w:cs="Calibri"/>
                <w:snapToGrid w:val="0"/>
                <w:sz w:val="20"/>
                <w:szCs w:val="20"/>
              </w:rPr>
              <w:t>31.60</w:t>
            </w:r>
          </w:p>
          <w:p w14:paraId="74B57B6C" w14:textId="4E560888" w:rsidR="00783DC8" w:rsidRPr="00791545" w:rsidRDefault="00783DC8"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Concessional co-pay = $7.70</w:t>
            </w:r>
          </w:p>
        </w:tc>
        <w:tc>
          <w:tcPr>
            <w:tcW w:w="771" w:type="pct"/>
          </w:tcPr>
          <w:p w14:paraId="1B87C86C" w14:textId="05322893" w:rsidR="00012D16" w:rsidRPr="00616144" w:rsidRDefault="00012D16" w:rsidP="00012D16">
            <w:pPr>
              <w:spacing w:before="120" w:after="120"/>
              <w:rPr>
                <w:rFonts w:ascii="Arial Narrow" w:eastAsia="Times New Roman" w:hAnsi="Arial Narrow" w:cs="Calibri"/>
                <w:snapToGrid w:val="0"/>
                <w:sz w:val="20"/>
                <w:szCs w:val="20"/>
                <w:vertAlign w:val="superscript"/>
              </w:rPr>
            </w:pPr>
            <w:r>
              <w:rPr>
                <w:rFonts w:ascii="Arial Narrow" w:eastAsia="Times New Roman" w:hAnsi="Arial Narrow" w:cs="Calibri"/>
                <w:snapToGrid w:val="0"/>
                <w:sz w:val="20"/>
                <w:szCs w:val="20"/>
              </w:rPr>
              <w:t>2026 co-payment values:</w:t>
            </w:r>
            <w:r w:rsidR="00616144">
              <w:rPr>
                <w:rFonts w:ascii="Arial Narrow" w:eastAsia="Times New Roman" w:hAnsi="Arial Narrow" w:cs="Calibri"/>
                <w:snapToGrid w:val="0"/>
                <w:sz w:val="20"/>
                <w:szCs w:val="20"/>
                <w:vertAlign w:val="superscript"/>
              </w:rPr>
              <w:t>6</w:t>
            </w:r>
          </w:p>
          <w:p w14:paraId="43209D38" w14:textId="77777777" w:rsidR="00012D16" w:rsidRDefault="00012D16" w:rsidP="00012D16">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General co-pay = $25</w:t>
            </w:r>
          </w:p>
          <w:p w14:paraId="714CE567" w14:textId="553C39D8" w:rsidR="00783DC8" w:rsidRDefault="00012D16" w:rsidP="00012D16">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Concessional co-pay = $7.70</w:t>
            </w:r>
          </w:p>
        </w:tc>
        <w:tc>
          <w:tcPr>
            <w:tcW w:w="1994" w:type="pct"/>
          </w:tcPr>
          <w:p w14:paraId="2E099455" w14:textId="44267656" w:rsidR="00783DC8" w:rsidRPr="00012D16" w:rsidRDefault="00012D16" w:rsidP="00375C68">
            <w:pPr>
              <w:spacing w:before="120" w:after="120"/>
              <w:rPr>
                <w:rFonts w:ascii="Arial Narrow" w:eastAsia="Times New Roman" w:hAnsi="Arial Narrow" w:cs="Calibri"/>
                <w:snapToGrid w:val="0"/>
                <w:sz w:val="20"/>
                <w:szCs w:val="20"/>
              </w:rPr>
            </w:pPr>
            <w:r>
              <w:rPr>
                <w:rFonts w:ascii="Arial Narrow" w:eastAsia="Times New Roman" w:hAnsi="Arial Narrow" w:cs="Calibri"/>
                <w:snapToGrid w:val="0"/>
                <w:sz w:val="20"/>
                <w:szCs w:val="20"/>
              </w:rPr>
              <w:t xml:space="preserve">If the proposed listing is recommended by the PBAC, it will likely be implemented in 2026 when the general co-payment </w:t>
            </w:r>
            <w:r w:rsidR="00F231D3">
              <w:rPr>
                <w:rFonts w:ascii="Arial Narrow" w:eastAsia="Times New Roman" w:hAnsi="Arial Narrow" w:cs="Calibri"/>
                <w:snapToGrid w:val="0"/>
                <w:sz w:val="20"/>
                <w:szCs w:val="20"/>
              </w:rPr>
              <w:t>will be</w:t>
            </w:r>
            <w:r>
              <w:rPr>
                <w:rFonts w:ascii="Arial Narrow" w:eastAsia="Times New Roman" w:hAnsi="Arial Narrow" w:cs="Calibri"/>
                <w:snapToGrid w:val="0"/>
                <w:sz w:val="20"/>
                <w:szCs w:val="20"/>
              </w:rPr>
              <w:t xml:space="preserve"> </w:t>
            </w:r>
            <w:r w:rsidR="0081629D">
              <w:rPr>
                <w:rFonts w:ascii="Arial Narrow" w:eastAsia="Times New Roman" w:hAnsi="Arial Narrow" w:cs="Calibri"/>
                <w:snapToGrid w:val="0"/>
                <w:sz w:val="20"/>
                <w:szCs w:val="20"/>
              </w:rPr>
              <w:t>$25</w:t>
            </w:r>
            <w:r>
              <w:rPr>
                <w:rFonts w:ascii="Arial Narrow" w:eastAsia="Times New Roman" w:hAnsi="Arial Narrow" w:cs="Calibri"/>
                <w:snapToGrid w:val="0"/>
                <w:sz w:val="20"/>
                <w:szCs w:val="20"/>
              </w:rPr>
              <w:t xml:space="preserve"> and the concessional co-payment $7.70.</w:t>
            </w:r>
          </w:p>
        </w:tc>
      </w:tr>
    </w:tbl>
    <w:p w14:paraId="42F67668" w14:textId="08A87891" w:rsidR="0071344B" w:rsidRPr="00AA5AE1" w:rsidRDefault="00B94FC8" w:rsidP="00A5051C">
      <w:pPr>
        <w:spacing w:after="0" w:line="240" w:lineRule="auto"/>
        <w:rPr>
          <w:rFonts w:ascii="Arial Narrow" w:eastAsia="Times New Roman" w:hAnsi="Arial Narrow" w:cs="Calibri"/>
          <w:snapToGrid w:val="0"/>
          <w:sz w:val="18"/>
          <w:szCs w:val="18"/>
        </w:rPr>
      </w:pPr>
      <w:r w:rsidRPr="00AA5AE1">
        <w:rPr>
          <w:rFonts w:ascii="Arial Narrow" w:eastAsia="Times New Roman" w:hAnsi="Arial Narrow" w:cs="Calibri"/>
          <w:snapToGrid w:val="0"/>
          <w:sz w:val="18"/>
          <w:szCs w:val="18"/>
        </w:rPr>
        <w:t>A</w:t>
      </w:r>
      <w:r w:rsidR="00571438" w:rsidRPr="00AA5AE1">
        <w:rPr>
          <w:rFonts w:ascii="Arial Narrow" w:eastAsia="Times New Roman" w:hAnsi="Arial Narrow" w:cs="Calibri"/>
          <w:snapToGrid w:val="0"/>
          <w:sz w:val="18"/>
          <w:szCs w:val="18"/>
        </w:rPr>
        <w:t>bbreviations:</w:t>
      </w:r>
      <w:r w:rsidR="00142712" w:rsidRPr="00AA5AE1">
        <w:rPr>
          <w:rFonts w:ascii="Arial Narrow" w:eastAsia="Times New Roman" w:hAnsi="Arial Narrow" w:cs="Calibri"/>
          <w:snapToGrid w:val="0"/>
          <w:sz w:val="18"/>
          <w:szCs w:val="18"/>
        </w:rPr>
        <w:t xml:space="preserve"> DPMQ = </w:t>
      </w:r>
      <w:r w:rsidR="00616144" w:rsidRPr="00AA5AE1">
        <w:rPr>
          <w:rFonts w:ascii="Arial Narrow" w:eastAsia="Times New Roman" w:hAnsi="Arial Narrow" w:cs="Calibri"/>
          <w:snapToGrid w:val="0"/>
          <w:sz w:val="18"/>
          <w:szCs w:val="18"/>
        </w:rPr>
        <w:t>d</w:t>
      </w:r>
      <w:r w:rsidR="00142712" w:rsidRPr="00AA5AE1">
        <w:rPr>
          <w:rFonts w:ascii="Arial Narrow" w:eastAsia="Times New Roman" w:hAnsi="Arial Narrow" w:cs="Calibri"/>
          <w:snapToGrid w:val="0"/>
          <w:sz w:val="18"/>
          <w:szCs w:val="18"/>
        </w:rPr>
        <w:t xml:space="preserve">ispensed </w:t>
      </w:r>
      <w:r w:rsidR="00616144" w:rsidRPr="00AA5AE1">
        <w:rPr>
          <w:rFonts w:ascii="Arial Narrow" w:eastAsia="Times New Roman" w:hAnsi="Arial Narrow" w:cs="Calibri"/>
          <w:snapToGrid w:val="0"/>
          <w:sz w:val="18"/>
          <w:szCs w:val="18"/>
        </w:rPr>
        <w:t>p</w:t>
      </w:r>
      <w:r w:rsidR="00142712" w:rsidRPr="00AA5AE1">
        <w:rPr>
          <w:rFonts w:ascii="Arial Narrow" w:eastAsia="Times New Roman" w:hAnsi="Arial Narrow" w:cs="Calibri"/>
          <w:snapToGrid w:val="0"/>
          <w:sz w:val="18"/>
          <w:szCs w:val="18"/>
        </w:rPr>
        <w:t xml:space="preserve">rice for </w:t>
      </w:r>
      <w:r w:rsidR="00616144" w:rsidRPr="00AA5AE1">
        <w:rPr>
          <w:rFonts w:ascii="Arial Narrow" w:eastAsia="Times New Roman" w:hAnsi="Arial Narrow" w:cs="Calibri"/>
          <w:snapToGrid w:val="0"/>
          <w:sz w:val="18"/>
          <w:szCs w:val="18"/>
        </w:rPr>
        <w:t>m</w:t>
      </w:r>
      <w:r w:rsidR="00142712" w:rsidRPr="00AA5AE1">
        <w:rPr>
          <w:rFonts w:ascii="Arial Narrow" w:eastAsia="Times New Roman" w:hAnsi="Arial Narrow" w:cs="Calibri"/>
          <w:snapToGrid w:val="0"/>
          <w:sz w:val="18"/>
          <w:szCs w:val="18"/>
        </w:rPr>
        <w:t xml:space="preserve">aximum </w:t>
      </w:r>
      <w:r w:rsidR="00616144" w:rsidRPr="00AA5AE1">
        <w:rPr>
          <w:rFonts w:ascii="Arial Narrow" w:eastAsia="Times New Roman" w:hAnsi="Arial Narrow" w:cs="Calibri"/>
          <w:snapToGrid w:val="0"/>
          <w:sz w:val="18"/>
          <w:szCs w:val="18"/>
        </w:rPr>
        <w:t>q</w:t>
      </w:r>
      <w:r w:rsidR="00142712" w:rsidRPr="00AA5AE1">
        <w:rPr>
          <w:rFonts w:ascii="Arial Narrow" w:eastAsia="Times New Roman" w:hAnsi="Arial Narrow" w:cs="Calibri"/>
          <w:snapToGrid w:val="0"/>
          <w:sz w:val="18"/>
          <w:szCs w:val="18"/>
        </w:rPr>
        <w:t xml:space="preserve">uantity; </w:t>
      </w:r>
      <w:r w:rsidR="00B45B93" w:rsidRPr="00AA5AE1">
        <w:rPr>
          <w:rFonts w:ascii="Arial Narrow" w:eastAsia="Times New Roman" w:hAnsi="Arial Narrow" w:cs="Calibri"/>
          <w:snapToGrid w:val="0"/>
          <w:sz w:val="18"/>
          <w:szCs w:val="18"/>
        </w:rPr>
        <w:t xml:space="preserve">eTG = electronic Therapeutic Guidelines; </w:t>
      </w:r>
      <w:r w:rsidR="00AD6D0E" w:rsidRPr="00AA5AE1">
        <w:rPr>
          <w:rFonts w:ascii="Arial Narrow" w:eastAsia="Times New Roman" w:hAnsi="Arial Narrow" w:cs="Calibri"/>
          <w:snapToGrid w:val="0"/>
          <w:sz w:val="18"/>
          <w:szCs w:val="18"/>
        </w:rPr>
        <w:t xml:space="preserve">LTG = lamotrigine; </w:t>
      </w:r>
      <w:r w:rsidR="00012D16" w:rsidRPr="00AA5AE1">
        <w:rPr>
          <w:rFonts w:ascii="Arial Narrow" w:eastAsia="Times New Roman" w:hAnsi="Arial Narrow" w:cs="Calibri"/>
          <w:snapToGrid w:val="0"/>
          <w:sz w:val="18"/>
          <w:szCs w:val="18"/>
        </w:rPr>
        <w:t xml:space="preserve">PBAC = Pharmaceutical Benefits Advisory Committee; </w:t>
      </w:r>
      <w:r w:rsidR="00DE5D39" w:rsidRPr="00AA5AE1">
        <w:rPr>
          <w:rFonts w:ascii="Arial Narrow" w:eastAsia="Times New Roman" w:hAnsi="Arial Narrow" w:cs="Calibri"/>
          <w:snapToGrid w:val="0"/>
          <w:sz w:val="18"/>
          <w:szCs w:val="18"/>
        </w:rPr>
        <w:t xml:space="preserve">PBS = Pharmaceutical Benefits Scheme; </w:t>
      </w:r>
      <w:r w:rsidR="00AD6D0E" w:rsidRPr="00AA5AE1">
        <w:rPr>
          <w:rFonts w:ascii="Arial Narrow" w:eastAsia="Times New Roman" w:hAnsi="Arial Narrow" w:cs="Calibri"/>
          <w:snapToGrid w:val="0"/>
          <w:sz w:val="18"/>
          <w:szCs w:val="18"/>
        </w:rPr>
        <w:t>TGA = Therapeutic Goods Administration</w:t>
      </w:r>
      <w:r w:rsidR="00F31C01" w:rsidRPr="00AA5AE1">
        <w:rPr>
          <w:rFonts w:ascii="Arial Narrow" w:eastAsia="Times New Roman" w:hAnsi="Arial Narrow" w:cs="Calibri"/>
          <w:snapToGrid w:val="0"/>
          <w:sz w:val="18"/>
          <w:szCs w:val="18"/>
        </w:rPr>
        <w:t>.</w:t>
      </w:r>
    </w:p>
    <w:p w14:paraId="47E6CF7C" w14:textId="368DEAA4" w:rsidR="0071344B" w:rsidRPr="00AA5AE1" w:rsidRDefault="0071344B" w:rsidP="00A5051C">
      <w:pPr>
        <w:spacing w:after="0" w:line="240" w:lineRule="auto"/>
        <w:rPr>
          <w:rFonts w:ascii="Arial Narrow" w:eastAsia="Times New Roman" w:hAnsi="Arial Narrow" w:cs="Calibri"/>
          <w:snapToGrid w:val="0"/>
          <w:sz w:val="18"/>
          <w:szCs w:val="18"/>
        </w:rPr>
      </w:pPr>
      <w:r w:rsidRPr="00AA5AE1">
        <w:rPr>
          <w:rFonts w:ascii="Arial Narrow" w:eastAsia="Times New Roman" w:hAnsi="Arial Narrow" w:cs="Calibri"/>
          <w:snapToGrid w:val="0"/>
          <w:sz w:val="18"/>
          <w:szCs w:val="18"/>
          <w:vertAlign w:val="superscript"/>
        </w:rPr>
        <w:t xml:space="preserve">1 </w:t>
      </w:r>
      <w:r w:rsidR="00934BD2" w:rsidRPr="00AA5AE1">
        <w:rPr>
          <w:rFonts w:ascii="Arial Narrow" w:eastAsia="Times New Roman" w:hAnsi="Arial Narrow" w:cs="Calibri"/>
          <w:snapToGrid w:val="0"/>
          <w:sz w:val="18"/>
          <w:szCs w:val="18"/>
        </w:rPr>
        <w:t xml:space="preserve">https://psychology.org.au/for-the-public/psychology-topics/bipolar-disorder </w:t>
      </w:r>
      <w:r w:rsidR="0059151A" w:rsidRPr="00AA5AE1">
        <w:rPr>
          <w:rFonts w:ascii="Arial Narrow" w:eastAsia="Times New Roman" w:hAnsi="Arial Narrow" w:cs="Calibri"/>
          <w:snapToGrid w:val="0"/>
          <w:sz w:val="18"/>
          <w:szCs w:val="18"/>
        </w:rPr>
        <w:t>(2025)</w:t>
      </w:r>
    </w:p>
    <w:p w14:paraId="155378DE" w14:textId="335D9839" w:rsidR="00FD79AC" w:rsidRPr="00AA5AE1" w:rsidRDefault="00FD79AC" w:rsidP="00A5051C">
      <w:pPr>
        <w:spacing w:after="0" w:line="240" w:lineRule="auto"/>
        <w:rPr>
          <w:rFonts w:ascii="Arial Narrow" w:eastAsia="Times New Roman" w:hAnsi="Arial Narrow" w:cs="Calibri"/>
          <w:snapToGrid w:val="0"/>
          <w:sz w:val="18"/>
          <w:szCs w:val="18"/>
        </w:rPr>
      </w:pPr>
      <w:r w:rsidRPr="00AA5AE1">
        <w:rPr>
          <w:rFonts w:ascii="Arial Narrow" w:eastAsia="Times New Roman" w:hAnsi="Arial Narrow" w:cs="Calibri"/>
          <w:snapToGrid w:val="0"/>
          <w:sz w:val="18"/>
          <w:szCs w:val="18"/>
          <w:vertAlign w:val="superscript"/>
        </w:rPr>
        <w:t xml:space="preserve">2 </w:t>
      </w:r>
      <w:r w:rsidR="00566BDA" w:rsidRPr="00AA5AE1">
        <w:rPr>
          <w:rFonts w:ascii="Arial Narrow" w:eastAsia="Times New Roman" w:hAnsi="Arial Narrow" w:cs="Calibri"/>
          <w:snapToGrid w:val="0"/>
          <w:sz w:val="18"/>
          <w:szCs w:val="18"/>
        </w:rPr>
        <w:t>https://melbourneheadachecentre.com.au/conditions/trigeminal-neuralgia/ (2025)</w:t>
      </w:r>
    </w:p>
    <w:p w14:paraId="22C9B4F4" w14:textId="3C1676D4" w:rsidR="00E81743" w:rsidRPr="00AA5AE1" w:rsidRDefault="00E81743" w:rsidP="00A5051C">
      <w:pPr>
        <w:spacing w:after="0" w:line="240" w:lineRule="auto"/>
        <w:rPr>
          <w:rFonts w:ascii="Arial Narrow" w:eastAsia="Times New Roman" w:hAnsi="Arial Narrow" w:cs="Calibri"/>
          <w:snapToGrid w:val="0"/>
          <w:sz w:val="18"/>
          <w:szCs w:val="18"/>
        </w:rPr>
      </w:pPr>
      <w:r w:rsidRPr="00AA5AE1">
        <w:rPr>
          <w:rFonts w:ascii="Arial Narrow" w:eastAsia="Times New Roman" w:hAnsi="Arial Narrow" w:cs="Calibri"/>
          <w:snapToGrid w:val="0"/>
          <w:sz w:val="18"/>
          <w:szCs w:val="18"/>
          <w:vertAlign w:val="superscript"/>
        </w:rPr>
        <w:t xml:space="preserve">3 </w:t>
      </w:r>
      <w:r w:rsidR="00953E66" w:rsidRPr="00AA5AE1">
        <w:rPr>
          <w:rFonts w:ascii="Arial Narrow" w:eastAsia="Times New Roman" w:hAnsi="Arial Narrow" w:cs="Calibri"/>
          <w:snapToGrid w:val="0"/>
          <w:sz w:val="18"/>
          <w:szCs w:val="18"/>
        </w:rPr>
        <w:t>https://oia.pmc.gov.au/sites/default/files/posts/2023/05/Impact%20Analysis_3.pdf (2022)</w:t>
      </w:r>
    </w:p>
    <w:p w14:paraId="1E5F3F6A" w14:textId="4077636A" w:rsidR="00616144" w:rsidRPr="00AA5AE1" w:rsidRDefault="00616144" w:rsidP="00A5051C">
      <w:pPr>
        <w:spacing w:after="0" w:line="240" w:lineRule="auto"/>
        <w:rPr>
          <w:rFonts w:ascii="Arial Narrow" w:eastAsia="Times New Roman" w:hAnsi="Arial Narrow" w:cs="Calibri"/>
          <w:snapToGrid w:val="0"/>
          <w:sz w:val="18"/>
          <w:szCs w:val="18"/>
        </w:rPr>
      </w:pPr>
      <w:r w:rsidRPr="00AA5AE1">
        <w:rPr>
          <w:rFonts w:ascii="Arial Narrow" w:eastAsia="Times New Roman" w:hAnsi="Arial Narrow" w:cs="Calibri"/>
          <w:snapToGrid w:val="0"/>
          <w:sz w:val="18"/>
          <w:szCs w:val="18"/>
          <w:vertAlign w:val="superscript"/>
        </w:rPr>
        <w:t>4</w:t>
      </w:r>
      <w:r w:rsidRPr="00AA5AE1">
        <w:rPr>
          <w:rFonts w:ascii="Arial Narrow" w:eastAsia="Times New Roman" w:hAnsi="Arial Narrow" w:cs="Calibri"/>
          <w:snapToGrid w:val="0"/>
          <w:sz w:val="18"/>
          <w:szCs w:val="18"/>
        </w:rPr>
        <w:t xml:space="preserve"> </w:t>
      </w:r>
      <w:r w:rsidR="003221E6" w:rsidRPr="003221E6">
        <w:rPr>
          <w:rFonts w:ascii="Arial Narrow" w:eastAsia="Times New Roman" w:hAnsi="Arial Narrow" w:cs="Calibri"/>
          <w:snapToGrid w:val="0"/>
          <w:sz w:val="18"/>
          <w:szCs w:val="18"/>
        </w:rPr>
        <w:t>https://www.pbs.gov.au/pbs/search?term=lamotrigine</w:t>
      </w:r>
    </w:p>
    <w:p w14:paraId="26F350A9" w14:textId="569C96A2" w:rsidR="00012D16" w:rsidRPr="00AA5AE1" w:rsidRDefault="003221E6" w:rsidP="00A5051C">
      <w:pPr>
        <w:spacing w:after="0" w:line="240" w:lineRule="auto"/>
        <w:rPr>
          <w:rFonts w:ascii="Arial Narrow" w:eastAsia="Times New Roman" w:hAnsi="Arial Narrow" w:cs="Calibri"/>
          <w:snapToGrid w:val="0"/>
          <w:sz w:val="18"/>
          <w:szCs w:val="18"/>
        </w:rPr>
      </w:pPr>
      <w:r>
        <w:rPr>
          <w:rFonts w:ascii="Arial Narrow" w:eastAsia="Times New Roman" w:hAnsi="Arial Narrow" w:cs="Calibri"/>
          <w:snapToGrid w:val="0"/>
          <w:sz w:val="18"/>
          <w:szCs w:val="18"/>
          <w:vertAlign w:val="superscript"/>
        </w:rPr>
        <w:t>5</w:t>
      </w:r>
      <w:r w:rsidR="00012D16" w:rsidRPr="00AA5AE1">
        <w:rPr>
          <w:rFonts w:ascii="Arial Narrow" w:eastAsia="Times New Roman" w:hAnsi="Arial Narrow" w:cs="Calibri"/>
          <w:snapToGrid w:val="0"/>
          <w:sz w:val="18"/>
          <w:szCs w:val="18"/>
          <w:vertAlign w:val="superscript"/>
        </w:rPr>
        <w:t xml:space="preserve"> </w:t>
      </w:r>
      <w:r w:rsidR="00012D16" w:rsidRPr="00AA5AE1">
        <w:rPr>
          <w:rFonts w:ascii="Arial Narrow" w:eastAsia="Times New Roman" w:hAnsi="Arial Narrow" w:cs="Calibri"/>
          <w:snapToGrid w:val="0"/>
          <w:sz w:val="18"/>
          <w:szCs w:val="18"/>
        </w:rPr>
        <w:t xml:space="preserve">https://www.pbs.gov.au/info/healthpro/explanatory-notes/front/fee </w:t>
      </w:r>
    </w:p>
    <w:p w14:paraId="1A1D4508" w14:textId="01F3C861" w:rsidR="00783DC8" w:rsidRPr="00AA5AE1" w:rsidRDefault="003221E6" w:rsidP="00A5051C">
      <w:pPr>
        <w:spacing w:after="0" w:line="240" w:lineRule="auto"/>
        <w:rPr>
          <w:rFonts w:ascii="Arial Narrow" w:eastAsia="Times New Roman" w:hAnsi="Arial Narrow" w:cs="Calibri"/>
          <w:snapToGrid w:val="0"/>
          <w:sz w:val="18"/>
          <w:szCs w:val="18"/>
        </w:rPr>
      </w:pPr>
      <w:r>
        <w:rPr>
          <w:rFonts w:ascii="Arial Narrow" w:eastAsia="Times New Roman" w:hAnsi="Arial Narrow" w:cs="Calibri"/>
          <w:snapToGrid w:val="0"/>
          <w:sz w:val="18"/>
          <w:szCs w:val="18"/>
          <w:vertAlign w:val="superscript"/>
        </w:rPr>
        <w:t>6</w:t>
      </w:r>
      <w:r w:rsidR="00783DC8" w:rsidRPr="00AA5AE1">
        <w:rPr>
          <w:rFonts w:ascii="Arial Narrow" w:eastAsia="Times New Roman" w:hAnsi="Arial Narrow" w:cs="Calibri"/>
          <w:snapToGrid w:val="0"/>
          <w:sz w:val="18"/>
          <w:szCs w:val="18"/>
          <w:vertAlign w:val="superscript"/>
        </w:rPr>
        <w:t xml:space="preserve"> </w:t>
      </w:r>
      <w:r w:rsidR="00953E66" w:rsidRPr="00AA5AE1">
        <w:rPr>
          <w:rFonts w:ascii="Arial Narrow" w:eastAsia="Times New Roman" w:hAnsi="Arial Narrow" w:cs="Calibri"/>
          <w:snapToGrid w:val="0"/>
          <w:sz w:val="18"/>
          <w:szCs w:val="18"/>
        </w:rPr>
        <w:t>https://www.health.gov.au/sites/default/files/2025-03/budget-2025-26-cheaper-medicines_0.pdf</w:t>
      </w:r>
    </w:p>
    <w:p w14:paraId="23462941" w14:textId="169CCFF1" w:rsidR="00783DC8" w:rsidRPr="00AA5AE1" w:rsidRDefault="001B3976" w:rsidP="007C18E3">
      <w:pPr>
        <w:pStyle w:val="3-BodyText"/>
        <w:spacing w:before="120" w:after="120" w:line="240" w:lineRule="auto"/>
        <w:jc w:val="both"/>
        <w:rPr>
          <w:rFonts w:ascii="Calibri" w:eastAsia="Times New Roman" w:hAnsi="Calibri" w:cs="Calibri"/>
          <w:snapToGrid w:val="0"/>
          <w:sz w:val="24"/>
          <w:szCs w:val="24"/>
        </w:rPr>
      </w:pPr>
      <w:r w:rsidRPr="00616144">
        <w:rPr>
          <w:rFonts w:ascii="Calibri" w:eastAsia="Times New Roman" w:hAnsi="Calibri" w:cs="Calibri"/>
          <w:snapToGrid w:val="0"/>
          <w:sz w:val="24"/>
          <w:szCs w:val="24"/>
        </w:rPr>
        <w:t xml:space="preserve">In the base-case analysis, the estimated net cost to the R/PBS resulting from the proposed listing </w:t>
      </w:r>
      <w:r w:rsidRPr="00137CCC">
        <w:rPr>
          <w:rFonts w:ascii="Calibri" w:eastAsia="Times New Roman" w:hAnsi="Calibri" w:cs="Calibri"/>
          <w:snapToGrid w:val="0"/>
          <w:sz w:val="24"/>
          <w:szCs w:val="24"/>
        </w:rPr>
        <w:t xml:space="preserve">was </w:t>
      </w:r>
      <w:r w:rsidR="00FB7538" w:rsidRPr="00137CCC">
        <w:rPr>
          <w:rFonts w:ascii="Calibri" w:eastAsia="Times New Roman" w:hAnsi="Calibri" w:cs="Calibri"/>
          <w:bCs/>
          <w:snapToGrid w:val="0"/>
          <w:sz w:val="24"/>
          <w:szCs w:val="24"/>
        </w:rPr>
        <w:t>$0 to &lt; $10 million</w:t>
      </w:r>
      <w:r w:rsidR="00FB7538" w:rsidRPr="00137CCC">
        <w:rPr>
          <w:rFonts w:ascii="Calibri" w:eastAsia="Times New Roman" w:hAnsi="Calibri" w:cs="Calibri"/>
          <w:snapToGrid w:val="0"/>
          <w:sz w:val="24"/>
          <w:szCs w:val="24"/>
        </w:rPr>
        <w:t xml:space="preserve"> </w:t>
      </w:r>
      <w:r w:rsidR="001077A6" w:rsidRPr="00137CCC">
        <w:rPr>
          <w:rFonts w:ascii="Calibri" w:eastAsia="Times New Roman" w:hAnsi="Calibri" w:cs="Calibri"/>
          <w:snapToGrid w:val="0"/>
          <w:sz w:val="24"/>
          <w:szCs w:val="24"/>
        </w:rPr>
        <w:t xml:space="preserve">per year </w:t>
      </w:r>
      <w:r w:rsidR="00E822DB" w:rsidRPr="00137CCC">
        <w:rPr>
          <w:rFonts w:ascii="Calibri" w:eastAsia="Times New Roman" w:hAnsi="Calibri" w:cs="Calibri"/>
          <w:snapToGrid w:val="0"/>
          <w:sz w:val="24"/>
          <w:szCs w:val="24"/>
        </w:rPr>
        <w:t xml:space="preserve">from </w:t>
      </w:r>
      <w:r w:rsidRPr="00137CCC">
        <w:rPr>
          <w:rFonts w:ascii="Calibri" w:eastAsia="Times New Roman" w:hAnsi="Calibri" w:cs="Calibri"/>
          <w:snapToGrid w:val="0"/>
          <w:sz w:val="24"/>
          <w:szCs w:val="24"/>
        </w:rPr>
        <w:t>2026</w:t>
      </w:r>
      <w:r w:rsidR="00E822DB" w:rsidRPr="00137CCC">
        <w:rPr>
          <w:rFonts w:ascii="Calibri" w:eastAsia="Times New Roman" w:hAnsi="Calibri" w:cs="Calibri"/>
          <w:snapToGrid w:val="0"/>
          <w:sz w:val="24"/>
          <w:szCs w:val="24"/>
        </w:rPr>
        <w:t xml:space="preserve"> to</w:t>
      </w:r>
      <w:r w:rsidRPr="00137CCC">
        <w:rPr>
          <w:rFonts w:ascii="Calibri" w:eastAsia="Times New Roman" w:hAnsi="Calibri" w:cs="Calibri"/>
          <w:snapToGrid w:val="0"/>
          <w:sz w:val="24"/>
          <w:szCs w:val="24"/>
        </w:rPr>
        <w:t xml:space="preserve"> 2031, with a total projected cost of </w:t>
      </w:r>
      <w:r w:rsidR="00E822DB" w:rsidRPr="00137CCC">
        <w:rPr>
          <w:rFonts w:ascii="Calibri" w:eastAsia="Times New Roman" w:hAnsi="Calibri" w:cs="Calibri"/>
          <w:snapToGrid w:val="0"/>
          <w:sz w:val="24"/>
          <w:szCs w:val="24"/>
        </w:rPr>
        <w:t>$</w:t>
      </w:r>
      <w:r w:rsidR="00E822DB" w:rsidRPr="00137CCC">
        <w:rPr>
          <w:rFonts w:ascii="Calibri" w:eastAsia="Times New Roman" w:hAnsi="Calibri" w:cs="Calibri"/>
          <w:bCs/>
          <w:snapToGrid w:val="0"/>
          <w:sz w:val="24"/>
          <w:szCs w:val="24"/>
        </w:rPr>
        <w:t>40 million to &lt; $50 million</w:t>
      </w:r>
      <w:r w:rsidRPr="00137CCC">
        <w:rPr>
          <w:rFonts w:ascii="Calibri" w:eastAsia="Times New Roman" w:hAnsi="Calibri" w:cs="Calibri"/>
          <w:snapToGrid w:val="0"/>
          <w:sz w:val="24"/>
          <w:szCs w:val="24"/>
        </w:rPr>
        <w:t xml:space="preserve"> over</w:t>
      </w:r>
      <w:r w:rsidRPr="00616144">
        <w:rPr>
          <w:rFonts w:ascii="Calibri" w:eastAsia="Times New Roman" w:hAnsi="Calibri" w:cs="Calibri"/>
          <w:snapToGrid w:val="0"/>
          <w:sz w:val="24"/>
          <w:szCs w:val="24"/>
        </w:rPr>
        <w:t xml:space="preserve"> the six-year period (see Table</w:t>
      </w:r>
      <w:r w:rsidR="004D6EE6">
        <w:rPr>
          <w:rFonts w:ascii="Calibri" w:eastAsia="Times New Roman" w:hAnsi="Calibri" w:cs="Calibri"/>
          <w:snapToGrid w:val="0"/>
          <w:sz w:val="24"/>
          <w:szCs w:val="24"/>
        </w:rPr>
        <w:t> </w:t>
      </w:r>
      <w:r w:rsidR="00C747B8">
        <w:rPr>
          <w:rFonts w:ascii="Calibri" w:eastAsia="Times New Roman" w:hAnsi="Calibri" w:cs="Calibri"/>
          <w:snapToGrid w:val="0"/>
          <w:sz w:val="24"/>
          <w:szCs w:val="24"/>
        </w:rPr>
        <w:t>5</w:t>
      </w:r>
      <w:r w:rsidRPr="00616144">
        <w:rPr>
          <w:rFonts w:ascii="Calibri" w:eastAsia="Times New Roman" w:hAnsi="Calibri" w:cs="Calibri"/>
          <w:snapToGrid w:val="0"/>
          <w:sz w:val="24"/>
          <w:szCs w:val="24"/>
        </w:rPr>
        <w:t>).</w:t>
      </w:r>
      <w:bookmarkStart w:id="10" w:name="_Hlk209450019"/>
    </w:p>
    <w:p w14:paraId="6B18498F" w14:textId="658DE605" w:rsidR="00426AE0" w:rsidRPr="00426AE0" w:rsidRDefault="00426AE0" w:rsidP="00426AE0">
      <w:pPr>
        <w:spacing w:before="120" w:after="60" w:line="240" w:lineRule="auto"/>
        <w:rPr>
          <w:rFonts w:ascii="Arial Narrow" w:eastAsia="Times New Roman" w:hAnsi="Arial Narrow" w:cs="Calibri"/>
          <w:b/>
          <w:bCs/>
          <w:snapToGrid w:val="0"/>
          <w:sz w:val="20"/>
          <w:szCs w:val="20"/>
        </w:rPr>
      </w:pPr>
      <w:r w:rsidRPr="00426AE0">
        <w:rPr>
          <w:rFonts w:ascii="Arial Narrow" w:eastAsia="Times New Roman" w:hAnsi="Arial Narrow" w:cs="Calibri"/>
          <w:b/>
          <w:bCs/>
          <w:snapToGrid w:val="0"/>
          <w:sz w:val="20"/>
          <w:szCs w:val="20"/>
        </w:rPr>
        <w:lastRenderedPageBreak/>
        <w:t xml:space="preserve">Table </w:t>
      </w:r>
      <w:r w:rsidR="00C747B8">
        <w:rPr>
          <w:rFonts w:ascii="Arial Narrow" w:eastAsia="Times New Roman" w:hAnsi="Arial Narrow" w:cs="Calibri"/>
          <w:b/>
          <w:bCs/>
          <w:snapToGrid w:val="0"/>
          <w:sz w:val="20"/>
          <w:szCs w:val="20"/>
        </w:rPr>
        <w:t>5</w:t>
      </w:r>
      <w:r w:rsidRPr="00426AE0">
        <w:rPr>
          <w:rFonts w:ascii="Arial Narrow" w:eastAsia="Times New Roman" w:hAnsi="Arial Narrow" w:cs="Calibri"/>
          <w:b/>
          <w:bCs/>
          <w:snapToGrid w:val="0"/>
          <w:sz w:val="20"/>
          <w:szCs w:val="20"/>
        </w:rPr>
        <w:t xml:space="preserve">: </w:t>
      </w:r>
      <w:r w:rsidR="00CA25FF">
        <w:rPr>
          <w:rFonts w:ascii="Arial Narrow" w:eastAsia="Times New Roman" w:hAnsi="Arial Narrow" w:cs="Calibri"/>
          <w:b/>
          <w:bCs/>
          <w:snapToGrid w:val="0"/>
          <w:sz w:val="20"/>
          <w:szCs w:val="20"/>
        </w:rPr>
        <w:t>N</w:t>
      </w:r>
      <w:r w:rsidR="00817664">
        <w:rPr>
          <w:rFonts w:ascii="Arial Narrow" w:eastAsia="Times New Roman" w:hAnsi="Arial Narrow" w:cs="Calibri"/>
          <w:b/>
          <w:bCs/>
          <w:snapToGrid w:val="0"/>
          <w:sz w:val="20"/>
          <w:szCs w:val="20"/>
        </w:rPr>
        <w:t xml:space="preserve">et </w:t>
      </w:r>
      <w:r w:rsidR="00017FAA">
        <w:rPr>
          <w:rFonts w:ascii="Arial Narrow" w:eastAsia="Times New Roman" w:hAnsi="Arial Narrow" w:cs="Calibri"/>
          <w:b/>
          <w:bCs/>
          <w:snapToGrid w:val="0"/>
          <w:sz w:val="20"/>
          <w:szCs w:val="20"/>
        </w:rPr>
        <w:t>c</w:t>
      </w:r>
      <w:r w:rsidRPr="00426AE0">
        <w:rPr>
          <w:rFonts w:ascii="Arial Narrow" w:eastAsia="Times New Roman" w:hAnsi="Arial Narrow" w:cs="Calibri"/>
          <w:b/>
          <w:bCs/>
          <w:snapToGrid w:val="0"/>
          <w:sz w:val="20"/>
          <w:szCs w:val="20"/>
        </w:rPr>
        <w:t xml:space="preserve">ost to the R/PBS </w:t>
      </w:r>
      <w:r w:rsidR="00D21BA0">
        <w:rPr>
          <w:rFonts w:ascii="Arial Narrow" w:eastAsia="Times New Roman" w:hAnsi="Arial Narrow" w:cs="Calibri"/>
          <w:b/>
          <w:bCs/>
          <w:snapToGrid w:val="0"/>
          <w:sz w:val="20"/>
          <w:szCs w:val="20"/>
        </w:rPr>
        <w:t xml:space="preserve">resulting from </w:t>
      </w:r>
      <w:r w:rsidRPr="00426AE0">
        <w:rPr>
          <w:rFonts w:ascii="Arial Narrow" w:eastAsia="Times New Roman" w:hAnsi="Arial Narrow" w:cs="Calibri"/>
          <w:b/>
          <w:bCs/>
          <w:snapToGrid w:val="0"/>
          <w:sz w:val="20"/>
          <w:szCs w:val="20"/>
        </w:rPr>
        <w:t>the proposed listing (base-case analysis)</w:t>
      </w:r>
    </w:p>
    <w:bookmarkEnd w:id="10"/>
    <w:tbl>
      <w:tblPr>
        <w:tblStyle w:val="TableGrid"/>
        <w:tblW w:w="5000" w:type="pct"/>
        <w:tblLook w:val="04A0" w:firstRow="1" w:lastRow="0" w:firstColumn="1" w:lastColumn="0" w:noHBand="0" w:noVBand="1"/>
      </w:tblPr>
      <w:tblGrid>
        <w:gridCol w:w="1768"/>
        <w:gridCol w:w="1036"/>
        <w:gridCol w:w="1036"/>
        <w:gridCol w:w="1036"/>
        <w:gridCol w:w="1035"/>
        <w:gridCol w:w="1035"/>
        <w:gridCol w:w="1035"/>
        <w:gridCol w:w="1035"/>
      </w:tblGrid>
      <w:tr w:rsidR="00783DC8" w:rsidRPr="00783DC8" w14:paraId="13C9B1F9" w14:textId="77777777" w:rsidTr="00AD051E">
        <w:tc>
          <w:tcPr>
            <w:tcW w:w="980" w:type="pct"/>
            <w:tcBorders>
              <w:bottom w:val="single" w:sz="4" w:space="0" w:color="auto"/>
            </w:tcBorders>
            <w:shd w:val="clear" w:color="auto" w:fill="D0CECE" w:themeFill="background2" w:themeFillShade="E6"/>
            <w:vAlign w:val="center"/>
          </w:tcPr>
          <w:p w14:paraId="1DCAD58F" w14:textId="77777777" w:rsidR="00426AE0" w:rsidRPr="00783DC8" w:rsidRDefault="00426AE0" w:rsidP="00716F5B">
            <w:pPr>
              <w:spacing w:after="120"/>
              <w:rPr>
                <w:rFonts w:ascii="Arial Narrow" w:eastAsia="Calibri" w:hAnsi="Arial Narrow" w:cs="Calibri"/>
                <w:b/>
                <w:bCs/>
                <w:sz w:val="18"/>
                <w:szCs w:val="18"/>
              </w:rPr>
            </w:pPr>
          </w:p>
        </w:tc>
        <w:tc>
          <w:tcPr>
            <w:tcW w:w="574" w:type="pct"/>
            <w:tcBorders>
              <w:bottom w:val="single" w:sz="4" w:space="0" w:color="auto"/>
            </w:tcBorders>
            <w:shd w:val="clear" w:color="auto" w:fill="D0CECE" w:themeFill="background2" w:themeFillShade="E6"/>
            <w:vAlign w:val="center"/>
          </w:tcPr>
          <w:p w14:paraId="096F83ED" w14:textId="2E6067C0" w:rsidR="00426AE0" w:rsidRPr="00783DC8" w:rsidRDefault="00426AE0" w:rsidP="007A3D56">
            <w:pPr>
              <w:jc w:val="center"/>
              <w:rPr>
                <w:rFonts w:ascii="Arial Narrow" w:eastAsia="Calibri" w:hAnsi="Arial Narrow" w:cs="Calibri"/>
                <w:b/>
                <w:bCs/>
                <w:sz w:val="18"/>
                <w:szCs w:val="18"/>
              </w:rPr>
            </w:pPr>
            <w:r w:rsidRPr="00783DC8">
              <w:rPr>
                <w:rFonts w:ascii="Arial Narrow" w:hAnsi="Arial Narrow" w:cs="Calibri"/>
                <w:b/>
                <w:sz w:val="18"/>
                <w:szCs w:val="18"/>
              </w:rPr>
              <w:t>202</w:t>
            </w:r>
            <w:r w:rsidR="00783DC8" w:rsidRPr="00783DC8">
              <w:rPr>
                <w:rFonts w:ascii="Arial Narrow" w:hAnsi="Arial Narrow" w:cs="Calibri"/>
                <w:b/>
                <w:sz w:val="18"/>
                <w:szCs w:val="18"/>
              </w:rPr>
              <w:t>6</w:t>
            </w:r>
          </w:p>
        </w:tc>
        <w:tc>
          <w:tcPr>
            <w:tcW w:w="574" w:type="pct"/>
            <w:tcBorders>
              <w:bottom w:val="single" w:sz="4" w:space="0" w:color="auto"/>
            </w:tcBorders>
            <w:shd w:val="clear" w:color="auto" w:fill="D0CECE" w:themeFill="background2" w:themeFillShade="E6"/>
            <w:vAlign w:val="center"/>
          </w:tcPr>
          <w:p w14:paraId="1624DEB0" w14:textId="73E72FCF" w:rsidR="00426AE0" w:rsidRPr="007A3D56" w:rsidRDefault="00426AE0" w:rsidP="007A3D56">
            <w:pPr>
              <w:jc w:val="center"/>
              <w:rPr>
                <w:rFonts w:ascii="Arial Narrow" w:hAnsi="Arial Narrow" w:cs="Calibri"/>
                <w:b/>
                <w:sz w:val="18"/>
                <w:szCs w:val="18"/>
              </w:rPr>
            </w:pPr>
            <w:r w:rsidRPr="00783DC8">
              <w:rPr>
                <w:rFonts w:ascii="Arial Narrow" w:hAnsi="Arial Narrow" w:cs="Calibri"/>
                <w:b/>
                <w:sz w:val="18"/>
                <w:szCs w:val="18"/>
              </w:rPr>
              <w:t>202</w:t>
            </w:r>
            <w:r w:rsidR="00783DC8" w:rsidRPr="00783DC8">
              <w:rPr>
                <w:rFonts w:ascii="Arial Narrow" w:hAnsi="Arial Narrow" w:cs="Calibri"/>
                <w:b/>
                <w:sz w:val="18"/>
                <w:szCs w:val="18"/>
              </w:rPr>
              <w:t>7</w:t>
            </w:r>
          </w:p>
        </w:tc>
        <w:tc>
          <w:tcPr>
            <w:tcW w:w="574" w:type="pct"/>
            <w:tcBorders>
              <w:bottom w:val="single" w:sz="4" w:space="0" w:color="auto"/>
            </w:tcBorders>
            <w:shd w:val="clear" w:color="auto" w:fill="D0CECE" w:themeFill="background2" w:themeFillShade="E6"/>
            <w:vAlign w:val="center"/>
          </w:tcPr>
          <w:p w14:paraId="1F7FB345" w14:textId="411D8407" w:rsidR="00426AE0" w:rsidRPr="007A3D56" w:rsidRDefault="00426AE0" w:rsidP="007A3D56">
            <w:pPr>
              <w:jc w:val="center"/>
              <w:rPr>
                <w:rFonts w:ascii="Arial Narrow" w:hAnsi="Arial Narrow" w:cs="Calibri"/>
                <w:b/>
                <w:sz w:val="18"/>
                <w:szCs w:val="18"/>
              </w:rPr>
            </w:pPr>
            <w:r w:rsidRPr="00783DC8">
              <w:rPr>
                <w:rFonts w:ascii="Arial Narrow" w:hAnsi="Arial Narrow" w:cs="Calibri"/>
                <w:b/>
                <w:sz w:val="18"/>
                <w:szCs w:val="18"/>
              </w:rPr>
              <w:t>202</w:t>
            </w:r>
            <w:r w:rsidR="00783DC8" w:rsidRPr="00783DC8">
              <w:rPr>
                <w:rFonts w:ascii="Arial Narrow" w:hAnsi="Arial Narrow" w:cs="Calibri"/>
                <w:b/>
                <w:sz w:val="18"/>
                <w:szCs w:val="18"/>
              </w:rPr>
              <w:t>8</w:t>
            </w:r>
          </w:p>
        </w:tc>
        <w:tc>
          <w:tcPr>
            <w:tcW w:w="574" w:type="pct"/>
            <w:tcBorders>
              <w:bottom w:val="single" w:sz="4" w:space="0" w:color="auto"/>
            </w:tcBorders>
            <w:shd w:val="clear" w:color="auto" w:fill="D0CECE" w:themeFill="background2" w:themeFillShade="E6"/>
            <w:vAlign w:val="center"/>
          </w:tcPr>
          <w:p w14:paraId="010D33CA" w14:textId="67094678" w:rsidR="00426AE0" w:rsidRPr="007A3D56" w:rsidRDefault="00426AE0" w:rsidP="007A3D56">
            <w:pPr>
              <w:jc w:val="center"/>
              <w:rPr>
                <w:rFonts w:ascii="Arial Narrow" w:hAnsi="Arial Narrow" w:cs="Calibri"/>
                <w:b/>
                <w:sz w:val="18"/>
                <w:szCs w:val="18"/>
              </w:rPr>
            </w:pPr>
            <w:r w:rsidRPr="00783DC8">
              <w:rPr>
                <w:rFonts w:ascii="Arial Narrow" w:hAnsi="Arial Narrow" w:cs="Calibri"/>
                <w:b/>
                <w:sz w:val="18"/>
                <w:szCs w:val="18"/>
              </w:rPr>
              <w:t>202</w:t>
            </w:r>
            <w:r w:rsidR="00783DC8" w:rsidRPr="00783DC8">
              <w:rPr>
                <w:rFonts w:ascii="Arial Narrow" w:hAnsi="Arial Narrow" w:cs="Calibri"/>
                <w:b/>
                <w:sz w:val="18"/>
                <w:szCs w:val="18"/>
              </w:rPr>
              <w:t>9</w:t>
            </w:r>
          </w:p>
        </w:tc>
        <w:tc>
          <w:tcPr>
            <w:tcW w:w="574" w:type="pct"/>
            <w:tcBorders>
              <w:bottom w:val="single" w:sz="4" w:space="0" w:color="auto"/>
            </w:tcBorders>
            <w:shd w:val="clear" w:color="auto" w:fill="D0CECE" w:themeFill="background2" w:themeFillShade="E6"/>
            <w:vAlign w:val="center"/>
          </w:tcPr>
          <w:p w14:paraId="72887810" w14:textId="01B3F979" w:rsidR="00426AE0" w:rsidRPr="007A3D56" w:rsidRDefault="00426AE0" w:rsidP="007A3D56">
            <w:pPr>
              <w:jc w:val="center"/>
              <w:rPr>
                <w:rFonts w:ascii="Arial Narrow" w:hAnsi="Arial Narrow" w:cs="Calibri"/>
                <w:b/>
                <w:sz w:val="18"/>
                <w:szCs w:val="18"/>
              </w:rPr>
            </w:pPr>
            <w:r w:rsidRPr="00783DC8">
              <w:rPr>
                <w:rFonts w:ascii="Arial Narrow" w:hAnsi="Arial Narrow" w:cs="Calibri"/>
                <w:b/>
                <w:sz w:val="18"/>
                <w:szCs w:val="18"/>
              </w:rPr>
              <w:t>20</w:t>
            </w:r>
            <w:r w:rsidR="00783DC8" w:rsidRPr="00783DC8">
              <w:rPr>
                <w:rFonts w:ascii="Arial Narrow" w:hAnsi="Arial Narrow" w:cs="Calibri"/>
                <w:b/>
                <w:sz w:val="18"/>
                <w:szCs w:val="18"/>
              </w:rPr>
              <w:t>30</w:t>
            </w:r>
          </w:p>
        </w:tc>
        <w:tc>
          <w:tcPr>
            <w:tcW w:w="574" w:type="pct"/>
            <w:tcBorders>
              <w:bottom w:val="single" w:sz="4" w:space="0" w:color="auto"/>
            </w:tcBorders>
            <w:shd w:val="clear" w:color="auto" w:fill="D0CECE" w:themeFill="background2" w:themeFillShade="E6"/>
            <w:vAlign w:val="center"/>
          </w:tcPr>
          <w:p w14:paraId="7872FA0B" w14:textId="1439644F" w:rsidR="00426AE0" w:rsidRPr="007A3D56" w:rsidRDefault="00426AE0" w:rsidP="007A3D56">
            <w:pPr>
              <w:jc w:val="center"/>
              <w:rPr>
                <w:rFonts w:ascii="Arial Narrow" w:hAnsi="Arial Narrow" w:cs="Calibri"/>
                <w:b/>
                <w:sz w:val="18"/>
                <w:szCs w:val="18"/>
              </w:rPr>
            </w:pPr>
            <w:r w:rsidRPr="00783DC8">
              <w:rPr>
                <w:rFonts w:ascii="Arial Narrow" w:hAnsi="Arial Narrow" w:cs="Calibri"/>
                <w:b/>
                <w:sz w:val="18"/>
                <w:szCs w:val="18"/>
              </w:rPr>
              <w:t>203</w:t>
            </w:r>
            <w:r w:rsidR="00783DC8" w:rsidRPr="00783DC8">
              <w:rPr>
                <w:rFonts w:ascii="Arial Narrow" w:hAnsi="Arial Narrow" w:cs="Calibri"/>
                <w:b/>
                <w:sz w:val="18"/>
                <w:szCs w:val="18"/>
              </w:rPr>
              <w:t>1</w:t>
            </w:r>
          </w:p>
        </w:tc>
        <w:tc>
          <w:tcPr>
            <w:tcW w:w="574" w:type="pct"/>
            <w:tcBorders>
              <w:bottom w:val="single" w:sz="4" w:space="0" w:color="auto"/>
            </w:tcBorders>
            <w:shd w:val="clear" w:color="auto" w:fill="D0CECE" w:themeFill="background2" w:themeFillShade="E6"/>
            <w:vAlign w:val="center"/>
          </w:tcPr>
          <w:p w14:paraId="6DEF6384" w14:textId="77777777" w:rsidR="00426AE0" w:rsidRPr="007A3D56" w:rsidRDefault="00426AE0" w:rsidP="007A3D56">
            <w:pPr>
              <w:jc w:val="center"/>
              <w:rPr>
                <w:rFonts w:ascii="Arial Narrow" w:hAnsi="Arial Narrow" w:cs="Calibri"/>
                <w:b/>
                <w:sz w:val="18"/>
                <w:szCs w:val="18"/>
              </w:rPr>
            </w:pPr>
            <w:r w:rsidRPr="00783DC8">
              <w:rPr>
                <w:rFonts w:ascii="Arial Narrow" w:hAnsi="Arial Narrow" w:cs="Calibri"/>
                <w:b/>
                <w:sz w:val="18"/>
                <w:szCs w:val="18"/>
              </w:rPr>
              <w:t>Total</w:t>
            </w:r>
          </w:p>
        </w:tc>
      </w:tr>
      <w:tr w:rsidR="00012D16" w:rsidRPr="00783DC8" w14:paraId="0F18BD56" w14:textId="77777777" w:rsidTr="00AD051E">
        <w:tc>
          <w:tcPr>
            <w:tcW w:w="980" w:type="pct"/>
            <w:tcBorders>
              <w:top w:val="single" w:sz="4" w:space="0" w:color="auto"/>
              <w:bottom w:val="single" w:sz="4" w:space="0" w:color="auto"/>
            </w:tcBorders>
            <w:vAlign w:val="center"/>
          </w:tcPr>
          <w:p w14:paraId="3BBD4A0A" w14:textId="77777777" w:rsidR="00012D16" w:rsidRPr="00783DC8" w:rsidRDefault="00012D16" w:rsidP="00603A94">
            <w:pPr>
              <w:spacing w:before="60" w:after="60"/>
              <w:rPr>
                <w:rFonts w:ascii="Arial Narrow" w:eastAsia="Calibri" w:hAnsi="Arial Narrow" w:cs="Calibri"/>
                <w:b/>
                <w:bCs/>
                <w:sz w:val="18"/>
                <w:szCs w:val="18"/>
              </w:rPr>
            </w:pPr>
            <w:r w:rsidRPr="00783DC8">
              <w:rPr>
                <w:rFonts w:ascii="Arial Narrow" w:hAnsi="Arial Narrow" w:cs="Calibri"/>
                <w:sz w:val="18"/>
                <w:szCs w:val="18"/>
              </w:rPr>
              <w:t>Cost to PBS</w:t>
            </w:r>
          </w:p>
        </w:tc>
        <w:tc>
          <w:tcPr>
            <w:tcW w:w="574" w:type="pct"/>
            <w:tcBorders>
              <w:top w:val="single" w:sz="4" w:space="0" w:color="auto"/>
              <w:left w:val="single" w:sz="4" w:space="0" w:color="auto"/>
              <w:bottom w:val="single" w:sz="4" w:space="0" w:color="auto"/>
              <w:right w:val="single" w:sz="4" w:space="0" w:color="auto"/>
            </w:tcBorders>
            <w:vAlign w:val="center"/>
          </w:tcPr>
          <w:p w14:paraId="67CE3E64" w14:textId="0C058AC6" w:rsidR="00012D16" w:rsidRPr="00193B98" w:rsidRDefault="00BE3ED2"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93B98">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6E3C7D95" w14:textId="14DD565E" w:rsidR="00012D16" w:rsidRPr="005425ED" w:rsidRDefault="00BE3ED2"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5425ED">
              <w:rPr>
                <w:rFonts w:ascii="Arial Narrow" w:hAnsi="Arial Narrow" w:cs="Arial"/>
                <w:sz w:val="18"/>
                <w:szCs w:val="18"/>
                <w:vertAlign w:val="superscript"/>
              </w:rPr>
              <w:t>2</w:t>
            </w:r>
          </w:p>
        </w:tc>
        <w:tc>
          <w:tcPr>
            <w:tcW w:w="574" w:type="pct"/>
            <w:tcBorders>
              <w:top w:val="single" w:sz="4" w:space="0" w:color="auto"/>
              <w:left w:val="nil"/>
              <w:bottom w:val="single" w:sz="4" w:space="0" w:color="auto"/>
              <w:right w:val="single" w:sz="4" w:space="0" w:color="auto"/>
            </w:tcBorders>
            <w:vAlign w:val="center"/>
          </w:tcPr>
          <w:p w14:paraId="21AAB59E" w14:textId="7C401C33" w:rsidR="00012D16" w:rsidRPr="005425ED" w:rsidRDefault="00BE3ED2"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5425ED">
              <w:rPr>
                <w:rFonts w:ascii="Arial Narrow" w:hAnsi="Arial Narrow" w:cs="Arial"/>
                <w:sz w:val="18"/>
                <w:szCs w:val="18"/>
                <w:vertAlign w:val="superscript"/>
              </w:rPr>
              <w:t>2</w:t>
            </w:r>
          </w:p>
        </w:tc>
        <w:tc>
          <w:tcPr>
            <w:tcW w:w="574" w:type="pct"/>
            <w:tcBorders>
              <w:top w:val="single" w:sz="4" w:space="0" w:color="auto"/>
              <w:left w:val="nil"/>
              <w:bottom w:val="single" w:sz="4" w:space="0" w:color="auto"/>
              <w:right w:val="single" w:sz="4" w:space="0" w:color="auto"/>
            </w:tcBorders>
            <w:vAlign w:val="center"/>
          </w:tcPr>
          <w:p w14:paraId="2D0624DF" w14:textId="36F5A048" w:rsidR="00012D16" w:rsidRPr="005425ED" w:rsidRDefault="00BE3ED2"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5425ED">
              <w:rPr>
                <w:rFonts w:ascii="Arial Narrow" w:hAnsi="Arial Narrow" w:cs="Arial"/>
                <w:sz w:val="18"/>
                <w:szCs w:val="18"/>
                <w:vertAlign w:val="superscript"/>
              </w:rPr>
              <w:t>2</w:t>
            </w:r>
          </w:p>
        </w:tc>
        <w:tc>
          <w:tcPr>
            <w:tcW w:w="574" w:type="pct"/>
            <w:tcBorders>
              <w:top w:val="single" w:sz="4" w:space="0" w:color="auto"/>
              <w:left w:val="nil"/>
              <w:bottom w:val="single" w:sz="4" w:space="0" w:color="auto"/>
              <w:right w:val="single" w:sz="4" w:space="0" w:color="auto"/>
            </w:tcBorders>
            <w:vAlign w:val="center"/>
          </w:tcPr>
          <w:p w14:paraId="5FC15ADF" w14:textId="2C01C539" w:rsidR="00012D16" w:rsidRPr="005425ED" w:rsidRDefault="00BE3ED2"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5425ED">
              <w:rPr>
                <w:rFonts w:ascii="Arial Narrow" w:hAnsi="Arial Narrow" w:cs="Arial"/>
                <w:sz w:val="18"/>
                <w:szCs w:val="18"/>
                <w:vertAlign w:val="superscript"/>
              </w:rPr>
              <w:t>2</w:t>
            </w:r>
          </w:p>
        </w:tc>
        <w:tc>
          <w:tcPr>
            <w:tcW w:w="574" w:type="pct"/>
            <w:tcBorders>
              <w:top w:val="single" w:sz="4" w:space="0" w:color="auto"/>
              <w:left w:val="nil"/>
              <w:bottom w:val="single" w:sz="4" w:space="0" w:color="auto"/>
              <w:right w:val="single" w:sz="4" w:space="0" w:color="auto"/>
            </w:tcBorders>
            <w:vAlign w:val="center"/>
          </w:tcPr>
          <w:p w14:paraId="17C81161" w14:textId="0C7786EF" w:rsidR="00012D16" w:rsidRPr="005425ED" w:rsidRDefault="00BE3ED2"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5425ED">
              <w:rPr>
                <w:rFonts w:ascii="Arial Narrow" w:hAnsi="Arial Narrow" w:cs="Arial"/>
                <w:sz w:val="18"/>
                <w:szCs w:val="18"/>
                <w:vertAlign w:val="superscript"/>
              </w:rPr>
              <w:t>2</w:t>
            </w:r>
          </w:p>
        </w:tc>
        <w:tc>
          <w:tcPr>
            <w:tcW w:w="574" w:type="pct"/>
            <w:tcBorders>
              <w:top w:val="single" w:sz="4" w:space="0" w:color="auto"/>
              <w:left w:val="nil"/>
              <w:bottom w:val="single" w:sz="4" w:space="0" w:color="auto"/>
              <w:right w:val="single" w:sz="4" w:space="0" w:color="auto"/>
            </w:tcBorders>
            <w:vAlign w:val="center"/>
          </w:tcPr>
          <w:p w14:paraId="714F6D15" w14:textId="5231290F" w:rsidR="00012D16" w:rsidRPr="00D701A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8263A2" w:rsidRPr="00916495">
              <w:rPr>
                <w:rFonts w:ascii="Arial Narrow" w:hAnsi="Arial Narrow" w:cs="Arial"/>
                <w:sz w:val="18"/>
                <w:szCs w:val="18"/>
                <w:vertAlign w:val="superscript"/>
              </w:rPr>
              <w:t>4</w:t>
            </w:r>
          </w:p>
        </w:tc>
      </w:tr>
      <w:tr w:rsidR="00012D16" w:rsidRPr="00783DC8" w14:paraId="4999E6F8" w14:textId="77777777" w:rsidTr="00AD051E">
        <w:tc>
          <w:tcPr>
            <w:tcW w:w="980" w:type="pct"/>
            <w:tcBorders>
              <w:top w:val="single" w:sz="4" w:space="0" w:color="auto"/>
              <w:bottom w:val="single" w:sz="4" w:space="0" w:color="auto"/>
            </w:tcBorders>
            <w:vAlign w:val="center"/>
          </w:tcPr>
          <w:p w14:paraId="432445B6" w14:textId="77777777" w:rsidR="00012D16" w:rsidRPr="007A3D56" w:rsidRDefault="00012D16" w:rsidP="00603A94">
            <w:pPr>
              <w:spacing w:before="60" w:after="60"/>
              <w:rPr>
                <w:rFonts w:ascii="Arial Narrow" w:hAnsi="Arial Narrow" w:cs="Calibri"/>
                <w:sz w:val="18"/>
                <w:szCs w:val="18"/>
              </w:rPr>
            </w:pPr>
            <w:r w:rsidRPr="00783DC8">
              <w:rPr>
                <w:rFonts w:ascii="Arial Narrow" w:hAnsi="Arial Narrow" w:cs="Calibri"/>
                <w:sz w:val="18"/>
                <w:szCs w:val="18"/>
              </w:rPr>
              <w:t>Less co-payments</w:t>
            </w:r>
          </w:p>
        </w:tc>
        <w:tc>
          <w:tcPr>
            <w:tcW w:w="574" w:type="pct"/>
            <w:tcBorders>
              <w:top w:val="single" w:sz="4" w:space="0" w:color="auto"/>
              <w:left w:val="single" w:sz="4" w:space="0" w:color="auto"/>
              <w:bottom w:val="single" w:sz="4" w:space="0" w:color="auto"/>
              <w:right w:val="single" w:sz="4" w:space="0" w:color="auto"/>
            </w:tcBorders>
            <w:vAlign w:val="center"/>
          </w:tcPr>
          <w:p w14:paraId="61933D2B" w14:textId="55D459DD" w:rsidR="00012D16" w:rsidRPr="00193B98"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93B98">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689E8398" w14:textId="2FAFB9A3" w:rsidR="00012D16" w:rsidRPr="00636B16"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636B16">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242B4A6B" w14:textId="4BB63D31" w:rsidR="00012D16" w:rsidRPr="00636B16"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636B16">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2BD2A970" w14:textId="5392A217" w:rsidR="00012D16" w:rsidRPr="00636B16"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636B16">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4BBAFADD" w14:textId="5CB51553" w:rsidR="00012D16" w:rsidRPr="00636B16"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636B16">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5F36CD92" w14:textId="4A2D34D9" w:rsidR="00012D16" w:rsidRPr="00636B16"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636B16">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54793959" w14:textId="2C67C5F5" w:rsidR="00012D16" w:rsidRPr="007E7B48"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7E7B48">
              <w:rPr>
                <w:rFonts w:ascii="Arial Narrow" w:hAnsi="Arial Narrow" w:cs="Arial"/>
                <w:sz w:val="18"/>
                <w:szCs w:val="18"/>
                <w:vertAlign w:val="superscript"/>
              </w:rPr>
              <w:t>2</w:t>
            </w:r>
          </w:p>
        </w:tc>
      </w:tr>
      <w:tr w:rsidR="00012D16" w:rsidRPr="00783DC8" w14:paraId="60D48691" w14:textId="77777777" w:rsidTr="00AD051E">
        <w:tc>
          <w:tcPr>
            <w:tcW w:w="980" w:type="pct"/>
            <w:tcBorders>
              <w:top w:val="single" w:sz="4" w:space="0" w:color="auto"/>
              <w:bottom w:val="single" w:sz="4" w:space="0" w:color="auto"/>
            </w:tcBorders>
            <w:vAlign w:val="center"/>
          </w:tcPr>
          <w:p w14:paraId="303E978E" w14:textId="77777777" w:rsidR="00012D16" w:rsidRPr="007A3D56" w:rsidRDefault="00012D16" w:rsidP="00603A94">
            <w:pPr>
              <w:spacing w:before="60" w:after="60"/>
              <w:rPr>
                <w:rFonts w:ascii="Arial Narrow" w:hAnsi="Arial Narrow" w:cs="Calibri"/>
                <w:sz w:val="18"/>
                <w:szCs w:val="18"/>
              </w:rPr>
            </w:pPr>
            <w:r w:rsidRPr="00783DC8">
              <w:rPr>
                <w:rFonts w:ascii="Arial Narrow" w:hAnsi="Arial Narrow" w:cs="Calibri"/>
                <w:sz w:val="18"/>
                <w:szCs w:val="18"/>
              </w:rPr>
              <w:t>Net cost to PBS</w:t>
            </w:r>
          </w:p>
        </w:tc>
        <w:tc>
          <w:tcPr>
            <w:tcW w:w="574" w:type="pct"/>
            <w:tcBorders>
              <w:top w:val="single" w:sz="4" w:space="0" w:color="auto"/>
              <w:left w:val="single" w:sz="4" w:space="0" w:color="auto"/>
              <w:bottom w:val="single" w:sz="4" w:space="0" w:color="auto"/>
              <w:right w:val="single" w:sz="4" w:space="0" w:color="auto"/>
            </w:tcBorders>
            <w:vAlign w:val="center"/>
          </w:tcPr>
          <w:p w14:paraId="6C48E5CB" w14:textId="50BF0DDE" w:rsidR="00012D16" w:rsidRPr="00867E54"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867E54">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43A49A53" w14:textId="2277A575" w:rsidR="00012D16" w:rsidRPr="00867E54"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867E54">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1CC14C7A" w14:textId="1DF941D5" w:rsidR="00012D16" w:rsidRPr="00867E54"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867E54">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3E9FB47E" w14:textId="2A75E365" w:rsidR="00012D16" w:rsidRPr="00867E54"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867E54">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0FDC2D41" w14:textId="489928B8" w:rsidR="00012D16" w:rsidRPr="00867E54"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867E54">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0CC0C42C" w14:textId="543665E0" w:rsidR="00012D16" w:rsidRPr="00867E54"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867E54">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5A32903E" w14:textId="301DFBE1" w:rsidR="00012D16" w:rsidRPr="000E529B"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916495" w:rsidRPr="00916495">
              <w:rPr>
                <w:rFonts w:ascii="Arial Narrow" w:hAnsi="Arial Narrow" w:cs="Arial"/>
                <w:sz w:val="18"/>
                <w:szCs w:val="18"/>
                <w:vertAlign w:val="superscript"/>
              </w:rPr>
              <w:t>3</w:t>
            </w:r>
          </w:p>
        </w:tc>
      </w:tr>
      <w:tr w:rsidR="00012D16" w:rsidRPr="00783DC8" w14:paraId="1F54759D" w14:textId="77777777" w:rsidTr="00AD051E">
        <w:tc>
          <w:tcPr>
            <w:tcW w:w="980" w:type="pct"/>
            <w:tcBorders>
              <w:top w:val="single" w:sz="4" w:space="0" w:color="auto"/>
              <w:bottom w:val="single" w:sz="4" w:space="0" w:color="auto"/>
            </w:tcBorders>
            <w:vAlign w:val="center"/>
          </w:tcPr>
          <w:p w14:paraId="543B6608" w14:textId="77777777" w:rsidR="00012D16" w:rsidRPr="007A3D56" w:rsidRDefault="00012D16" w:rsidP="00603A94">
            <w:pPr>
              <w:spacing w:before="60" w:after="60"/>
              <w:rPr>
                <w:rFonts w:ascii="Arial Narrow" w:hAnsi="Arial Narrow" w:cs="Calibri"/>
                <w:sz w:val="18"/>
                <w:szCs w:val="18"/>
              </w:rPr>
            </w:pPr>
            <w:r w:rsidRPr="00783DC8">
              <w:rPr>
                <w:rFonts w:ascii="Arial Narrow" w:hAnsi="Arial Narrow" w:cs="Calibri"/>
                <w:sz w:val="18"/>
                <w:szCs w:val="18"/>
              </w:rPr>
              <w:t>Cost to RPBS</w:t>
            </w:r>
          </w:p>
        </w:tc>
        <w:tc>
          <w:tcPr>
            <w:tcW w:w="574" w:type="pct"/>
            <w:tcBorders>
              <w:top w:val="single" w:sz="4" w:space="0" w:color="auto"/>
              <w:left w:val="single" w:sz="4" w:space="0" w:color="auto"/>
              <w:bottom w:val="single" w:sz="4" w:space="0" w:color="auto"/>
              <w:right w:val="single" w:sz="4" w:space="0" w:color="auto"/>
            </w:tcBorders>
            <w:vAlign w:val="center"/>
          </w:tcPr>
          <w:p w14:paraId="05C61654" w14:textId="204D01A9" w:rsidR="00012D16" w:rsidRPr="00AE181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AE181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1B534AB1" w14:textId="0D4BB736" w:rsidR="00012D16" w:rsidRPr="00AE181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AE181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6565284A" w14:textId="36DA5879" w:rsidR="00012D16" w:rsidRPr="00AE181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AE181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74C77D5D" w14:textId="22CBB735" w:rsidR="00012D16" w:rsidRPr="00AE181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AE181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24215ADD" w14:textId="7FE10C9E" w:rsidR="00012D16" w:rsidRPr="00AE181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AE181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2EA7905A" w14:textId="23E1C9B7" w:rsidR="00012D16" w:rsidRPr="00AE181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AE181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6D598BC8" w14:textId="7B464094" w:rsidR="00012D16" w:rsidRPr="00AE181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AE1815">
              <w:rPr>
                <w:rFonts w:ascii="Arial Narrow" w:hAnsi="Arial Narrow" w:cs="Arial"/>
                <w:sz w:val="18"/>
                <w:szCs w:val="18"/>
                <w:vertAlign w:val="superscript"/>
              </w:rPr>
              <w:t>1</w:t>
            </w:r>
          </w:p>
        </w:tc>
      </w:tr>
      <w:tr w:rsidR="00012D16" w:rsidRPr="00783DC8" w14:paraId="10E2BAD7" w14:textId="77777777" w:rsidTr="00AD051E">
        <w:tc>
          <w:tcPr>
            <w:tcW w:w="980" w:type="pct"/>
            <w:tcBorders>
              <w:top w:val="single" w:sz="4" w:space="0" w:color="auto"/>
              <w:bottom w:val="single" w:sz="4" w:space="0" w:color="auto"/>
            </w:tcBorders>
            <w:vAlign w:val="center"/>
          </w:tcPr>
          <w:p w14:paraId="0630C88D" w14:textId="77777777" w:rsidR="00012D16" w:rsidRPr="007A3D56" w:rsidRDefault="00012D16" w:rsidP="00603A94">
            <w:pPr>
              <w:spacing w:before="60" w:after="60"/>
              <w:rPr>
                <w:rFonts w:ascii="Arial Narrow" w:hAnsi="Arial Narrow" w:cs="Calibri"/>
                <w:sz w:val="18"/>
                <w:szCs w:val="18"/>
              </w:rPr>
            </w:pPr>
            <w:r w:rsidRPr="00783DC8">
              <w:rPr>
                <w:rFonts w:ascii="Arial Narrow" w:hAnsi="Arial Narrow" w:cs="Calibri"/>
                <w:sz w:val="18"/>
                <w:szCs w:val="18"/>
              </w:rPr>
              <w:t>Less co-payments</w:t>
            </w:r>
          </w:p>
        </w:tc>
        <w:tc>
          <w:tcPr>
            <w:tcW w:w="574" w:type="pct"/>
            <w:tcBorders>
              <w:top w:val="single" w:sz="4" w:space="0" w:color="auto"/>
              <w:left w:val="single" w:sz="4" w:space="0" w:color="auto"/>
              <w:bottom w:val="single" w:sz="4" w:space="0" w:color="auto"/>
              <w:right w:val="single" w:sz="4" w:space="0" w:color="auto"/>
            </w:tcBorders>
            <w:vAlign w:val="center"/>
          </w:tcPr>
          <w:p w14:paraId="188A8BC3" w14:textId="6838C49A" w:rsidR="00012D16" w:rsidRPr="00AE181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AE181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162076B5" w14:textId="1F5CAAAB" w:rsidR="00012D16" w:rsidRPr="00AE181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AE181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7676C070" w14:textId="19A0FD03" w:rsidR="00012D16" w:rsidRPr="00AE181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AE181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44C17BDA" w14:textId="2A7A44DC" w:rsidR="00012D16" w:rsidRPr="00AE181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4DB93B14" w14:textId="601070E2" w:rsidR="00012D16" w:rsidRPr="001E6F8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561C42C9" w14:textId="4B7DF3AB" w:rsidR="00012D16" w:rsidRPr="001E6F8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153AEEAA" w14:textId="45D3B8F7" w:rsidR="00012D16" w:rsidRPr="001E6F85" w:rsidRDefault="00DE6820"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sz w:val="18"/>
                <w:szCs w:val="18"/>
                <w:vertAlign w:val="superscript"/>
              </w:rPr>
              <w:t>1</w:t>
            </w:r>
          </w:p>
        </w:tc>
      </w:tr>
      <w:tr w:rsidR="00012D16" w:rsidRPr="00783DC8" w14:paraId="69BC42BA" w14:textId="77777777" w:rsidTr="00AD051E">
        <w:tc>
          <w:tcPr>
            <w:tcW w:w="980" w:type="pct"/>
            <w:tcBorders>
              <w:top w:val="single" w:sz="4" w:space="0" w:color="auto"/>
              <w:bottom w:val="single" w:sz="4" w:space="0" w:color="auto"/>
            </w:tcBorders>
            <w:vAlign w:val="center"/>
          </w:tcPr>
          <w:p w14:paraId="65267DBB" w14:textId="77777777" w:rsidR="00012D16" w:rsidRPr="007A3D56" w:rsidRDefault="00012D16" w:rsidP="00603A94">
            <w:pPr>
              <w:spacing w:before="60" w:after="60"/>
              <w:rPr>
                <w:rFonts w:ascii="Arial Narrow" w:hAnsi="Arial Narrow" w:cs="Calibri"/>
                <w:sz w:val="18"/>
                <w:szCs w:val="18"/>
              </w:rPr>
            </w:pPr>
            <w:r w:rsidRPr="00783DC8">
              <w:rPr>
                <w:rFonts w:ascii="Arial Narrow" w:hAnsi="Arial Narrow" w:cs="Calibri"/>
                <w:sz w:val="18"/>
                <w:szCs w:val="18"/>
              </w:rPr>
              <w:t>Net cost to RPBS</w:t>
            </w:r>
          </w:p>
        </w:tc>
        <w:tc>
          <w:tcPr>
            <w:tcW w:w="574" w:type="pct"/>
            <w:tcBorders>
              <w:top w:val="single" w:sz="4" w:space="0" w:color="auto"/>
              <w:left w:val="single" w:sz="4" w:space="0" w:color="auto"/>
              <w:bottom w:val="single" w:sz="4" w:space="0" w:color="auto"/>
              <w:right w:val="single" w:sz="4" w:space="0" w:color="auto"/>
            </w:tcBorders>
            <w:vAlign w:val="center"/>
          </w:tcPr>
          <w:p w14:paraId="10B24E8C" w14:textId="5567A1CC" w:rsidR="00012D16" w:rsidRPr="001E6F85" w:rsidRDefault="001D721A"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237BFBA5" w14:textId="6EDE1E71" w:rsidR="00012D16" w:rsidRPr="001E6F85" w:rsidRDefault="001D721A"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6671B7EA" w14:textId="6523162F" w:rsidR="00012D16" w:rsidRPr="001E6F85" w:rsidRDefault="001D721A"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33A97715" w14:textId="31D9A1C9" w:rsidR="00012D16" w:rsidRPr="001E6F85" w:rsidRDefault="001D721A"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074A29C3" w14:textId="75413FFB" w:rsidR="00012D16" w:rsidRPr="001E6F85" w:rsidRDefault="001D721A"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4330DC1B" w14:textId="3742A001" w:rsidR="00012D16" w:rsidRPr="001E6F85" w:rsidRDefault="001D721A"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4478CF7A" w14:textId="0D51D095" w:rsidR="00012D16" w:rsidRPr="001E6F85" w:rsidRDefault="001D721A" w:rsidP="00603A94">
            <w:pPr>
              <w:spacing w:before="60" w:after="60"/>
              <w:jc w:val="center"/>
              <w:rPr>
                <w:rFonts w:ascii="Arial Narrow" w:eastAsia="Calibri" w:hAnsi="Arial Narrow" w:cs="Calibri"/>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sz w:val="18"/>
                <w:szCs w:val="18"/>
                <w:vertAlign w:val="superscript"/>
              </w:rPr>
              <w:t>1</w:t>
            </w:r>
          </w:p>
        </w:tc>
      </w:tr>
      <w:tr w:rsidR="00012D16" w:rsidRPr="00783DC8" w14:paraId="609383D7" w14:textId="77777777" w:rsidTr="00AD051E">
        <w:tc>
          <w:tcPr>
            <w:tcW w:w="980" w:type="pct"/>
            <w:vAlign w:val="center"/>
          </w:tcPr>
          <w:p w14:paraId="7658B761" w14:textId="77777777" w:rsidR="00012D16" w:rsidRPr="007A3D56" w:rsidRDefault="00012D16" w:rsidP="00603A94">
            <w:pPr>
              <w:spacing w:before="60" w:after="60"/>
              <w:rPr>
                <w:rFonts w:ascii="Arial Narrow" w:hAnsi="Arial Narrow" w:cs="Calibri"/>
                <w:b/>
                <w:bCs/>
                <w:sz w:val="18"/>
                <w:szCs w:val="18"/>
              </w:rPr>
            </w:pPr>
            <w:r w:rsidRPr="007A3D56">
              <w:rPr>
                <w:rFonts w:ascii="Arial Narrow" w:hAnsi="Arial Narrow" w:cs="Calibri"/>
                <w:b/>
                <w:bCs/>
                <w:sz w:val="18"/>
                <w:szCs w:val="18"/>
              </w:rPr>
              <w:t xml:space="preserve">Net cost to R/PBS </w:t>
            </w:r>
          </w:p>
        </w:tc>
        <w:tc>
          <w:tcPr>
            <w:tcW w:w="574" w:type="pct"/>
            <w:tcBorders>
              <w:top w:val="single" w:sz="4" w:space="0" w:color="auto"/>
              <w:left w:val="single" w:sz="4" w:space="0" w:color="auto"/>
              <w:bottom w:val="single" w:sz="4" w:space="0" w:color="auto"/>
              <w:right w:val="single" w:sz="4" w:space="0" w:color="auto"/>
            </w:tcBorders>
            <w:vAlign w:val="center"/>
          </w:tcPr>
          <w:p w14:paraId="447FEDF6" w14:textId="4B130D2E" w:rsidR="00012D16" w:rsidRPr="001E6F85" w:rsidRDefault="001D721A" w:rsidP="00603A94">
            <w:pPr>
              <w:spacing w:before="60" w:after="60"/>
              <w:jc w:val="center"/>
              <w:rPr>
                <w:rFonts w:ascii="Arial Narrow" w:hAnsi="Arial Narrow" w:cs="Calibri"/>
                <w:b/>
                <w:bCs/>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b/>
                <w:bCs/>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7AD8DB98" w14:textId="3CBEF982" w:rsidR="00012D16" w:rsidRPr="001E6F85" w:rsidRDefault="001D721A" w:rsidP="00603A94">
            <w:pPr>
              <w:spacing w:before="60" w:after="60"/>
              <w:jc w:val="center"/>
              <w:rPr>
                <w:rFonts w:ascii="Arial Narrow" w:hAnsi="Arial Narrow" w:cs="Calibri"/>
                <w:b/>
                <w:bCs/>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b/>
                <w:bCs/>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6C6D3F44" w14:textId="50BC82B9" w:rsidR="00012D16" w:rsidRPr="001E6F85" w:rsidRDefault="001D721A" w:rsidP="00603A94">
            <w:pPr>
              <w:spacing w:before="60" w:after="60"/>
              <w:jc w:val="center"/>
              <w:rPr>
                <w:rFonts w:ascii="Arial Narrow" w:hAnsi="Arial Narrow" w:cs="Calibri"/>
                <w:b/>
                <w:bCs/>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b/>
                <w:bCs/>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36210705" w14:textId="696B41BB" w:rsidR="00012D16" w:rsidRPr="001E6F85" w:rsidRDefault="001D721A" w:rsidP="00603A94">
            <w:pPr>
              <w:spacing w:before="60" w:after="60"/>
              <w:jc w:val="center"/>
              <w:rPr>
                <w:rFonts w:ascii="Arial Narrow" w:hAnsi="Arial Narrow" w:cs="Calibri"/>
                <w:b/>
                <w:bCs/>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b/>
                <w:bCs/>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2C171346" w14:textId="7F1D2FC6" w:rsidR="00012D16" w:rsidRPr="001E6F85" w:rsidRDefault="001D721A" w:rsidP="00603A94">
            <w:pPr>
              <w:spacing w:before="60" w:after="60"/>
              <w:jc w:val="center"/>
              <w:rPr>
                <w:rFonts w:ascii="Arial Narrow" w:hAnsi="Arial Narrow" w:cs="Calibri"/>
                <w:b/>
                <w:bCs/>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b/>
                <w:bCs/>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0C4B30B6" w14:textId="125B165E" w:rsidR="00012D16" w:rsidRPr="001E6F85" w:rsidRDefault="001D721A" w:rsidP="00603A94">
            <w:pPr>
              <w:spacing w:before="60" w:after="60"/>
              <w:jc w:val="center"/>
              <w:rPr>
                <w:rFonts w:ascii="Arial Narrow" w:hAnsi="Arial Narrow" w:cs="Calibri"/>
                <w:b/>
                <w:bCs/>
                <w:strike/>
                <w:sz w:val="18"/>
                <w:szCs w:val="18"/>
                <w:vertAlign w:val="superscript"/>
              </w:rPr>
            </w:pPr>
            <w:r w:rsidRPr="00BE3ED2">
              <w:rPr>
                <w:rFonts w:ascii="Arial Narrow" w:hAnsi="Arial Narrow" w:cs="Arial"/>
                <w:sz w:val="18"/>
                <w:szCs w:val="18"/>
                <w:highlight w:val="black"/>
              </w:rPr>
              <w:t>XXXXXX</w:t>
            </w:r>
            <w:r w:rsidR="001E6F85">
              <w:rPr>
                <w:rFonts w:ascii="Arial Narrow" w:hAnsi="Arial Narrow" w:cs="Arial"/>
                <w:b/>
                <w:bCs/>
                <w:sz w:val="18"/>
                <w:szCs w:val="18"/>
                <w:vertAlign w:val="superscript"/>
              </w:rPr>
              <w:t>1</w:t>
            </w:r>
          </w:p>
        </w:tc>
        <w:tc>
          <w:tcPr>
            <w:tcW w:w="574" w:type="pct"/>
            <w:tcBorders>
              <w:top w:val="single" w:sz="4" w:space="0" w:color="auto"/>
              <w:left w:val="nil"/>
              <w:bottom w:val="single" w:sz="4" w:space="0" w:color="auto"/>
              <w:right w:val="single" w:sz="4" w:space="0" w:color="auto"/>
            </w:tcBorders>
            <w:vAlign w:val="center"/>
          </w:tcPr>
          <w:p w14:paraId="3B986626" w14:textId="0F9E4B48" w:rsidR="00012D16" w:rsidRPr="00B42239" w:rsidRDefault="00EE3B27" w:rsidP="00603A94">
            <w:pPr>
              <w:spacing w:before="60" w:after="60"/>
              <w:jc w:val="center"/>
              <w:rPr>
                <w:rFonts w:ascii="Arial Narrow" w:hAnsi="Arial Narrow" w:cs="Calibri"/>
                <w:sz w:val="18"/>
                <w:szCs w:val="18"/>
                <w:vertAlign w:val="superscript"/>
              </w:rPr>
            </w:pPr>
            <w:r w:rsidRPr="00BE3ED2">
              <w:rPr>
                <w:rFonts w:ascii="Arial Narrow" w:hAnsi="Arial Narrow" w:cs="Arial"/>
                <w:sz w:val="18"/>
                <w:szCs w:val="18"/>
                <w:highlight w:val="black"/>
              </w:rPr>
              <w:t>XXXXXX</w:t>
            </w:r>
            <w:r w:rsidR="00916495" w:rsidRPr="00916495">
              <w:rPr>
                <w:rFonts w:ascii="Arial Narrow" w:hAnsi="Arial Narrow" w:cs="Arial"/>
                <w:sz w:val="18"/>
                <w:szCs w:val="18"/>
                <w:vertAlign w:val="superscript"/>
              </w:rPr>
              <w:t>3</w:t>
            </w:r>
          </w:p>
        </w:tc>
      </w:tr>
    </w:tbl>
    <w:p w14:paraId="620845AE" w14:textId="2DEC3ECE" w:rsidR="006C70B9" w:rsidRPr="00137CCC" w:rsidRDefault="00426AE0" w:rsidP="00846E77">
      <w:pPr>
        <w:spacing w:after="0" w:line="240" w:lineRule="auto"/>
        <w:jc w:val="both"/>
        <w:rPr>
          <w:rFonts w:ascii="Arial Narrow" w:eastAsia="Times New Roman" w:hAnsi="Arial Narrow" w:cs="Calibri"/>
          <w:snapToGrid w:val="0"/>
          <w:sz w:val="18"/>
          <w:szCs w:val="18"/>
        </w:rPr>
      </w:pPr>
      <w:bookmarkStart w:id="11" w:name="_Hlk221195406"/>
      <w:r w:rsidRPr="00137CCC">
        <w:rPr>
          <w:rFonts w:ascii="Arial Narrow" w:eastAsia="Times New Roman" w:hAnsi="Arial Narrow" w:cs="Calibri"/>
          <w:snapToGrid w:val="0"/>
          <w:sz w:val="18"/>
          <w:szCs w:val="18"/>
        </w:rPr>
        <w:t>Source: UCM workbook</w:t>
      </w:r>
      <w:r w:rsidR="004A17B7" w:rsidRPr="00137CCC">
        <w:rPr>
          <w:rFonts w:ascii="Arial Narrow" w:eastAsia="Times New Roman" w:hAnsi="Arial Narrow" w:cs="Calibri"/>
          <w:snapToGrid w:val="0"/>
          <w:sz w:val="18"/>
          <w:szCs w:val="18"/>
        </w:rPr>
        <w:t>.</w:t>
      </w:r>
    </w:p>
    <w:p w14:paraId="7AE4FB03" w14:textId="27F98B46" w:rsidR="00274633" w:rsidRPr="00137CCC" w:rsidRDefault="00274633" w:rsidP="00846E77">
      <w:pPr>
        <w:spacing w:after="0" w:line="240" w:lineRule="auto"/>
        <w:jc w:val="both"/>
        <w:rPr>
          <w:rFonts w:ascii="Arial Narrow" w:eastAsia="Times New Roman" w:hAnsi="Arial Narrow" w:cs="Calibri"/>
          <w:i/>
          <w:iCs/>
          <w:snapToGrid w:val="0"/>
          <w:sz w:val="18"/>
          <w:szCs w:val="18"/>
        </w:rPr>
      </w:pPr>
      <w:r w:rsidRPr="00137CCC">
        <w:rPr>
          <w:rFonts w:ascii="Arial Narrow" w:eastAsia="Times New Roman" w:hAnsi="Arial Narrow" w:cs="Calibri"/>
          <w:i/>
          <w:iCs/>
          <w:snapToGrid w:val="0"/>
          <w:sz w:val="18"/>
          <w:szCs w:val="18"/>
        </w:rPr>
        <w:t>The redacted values correspond to the following ranges:</w:t>
      </w:r>
    </w:p>
    <w:p w14:paraId="16CBFCB2" w14:textId="2719465F" w:rsidR="00846E77" w:rsidRPr="00137CCC" w:rsidRDefault="00DB06DF" w:rsidP="00846E77">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1 </w:t>
      </w:r>
      <w:r w:rsidR="00FD6DCD" w:rsidRPr="00137CCC">
        <w:rPr>
          <w:rFonts w:ascii="Arial Narrow" w:eastAsia="Times New Roman" w:hAnsi="Arial Narrow" w:cs="Calibri"/>
          <w:bCs/>
          <w:i/>
          <w:iCs/>
          <w:snapToGrid w:val="0"/>
          <w:sz w:val="18"/>
          <w:szCs w:val="18"/>
        </w:rPr>
        <w:t>$0 to &lt; $10 million</w:t>
      </w:r>
    </w:p>
    <w:p w14:paraId="35BF9769" w14:textId="68659CBD" w:rsidR="002874AC" w:rsidRPr="00137CCC" w:rsidRDefault="002874AC" w:rsidP="00846E77">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bCs/>
          <w:i/>
          <w:iCs/>
          <w:snapToGrid w:val="0"/>
          <w:sz w:val="18"/>
          <w:szCs w:val="18"/>
          <w:vertAlign w:val="superscript"/>
        </w:rPr>
        <w:t>2</w:t>
      </w:r>
      <w:r w:rsidRPr="00137CCC">
        <w:rPr>
          <w:rFonts w:ascii="Arial Narrow" w:eastAsia="Times New Roman" w:hAnsi="Arial Narrow" w:cs="Calibri"/>
          <w:bCs/>
          <w:i/>
          <w:iCs/>
          <w:snapToGrid w:val="0"/>
          <w:sz w:val="18"/>
          <w:szCs w:val="18"/>
        </w:rPr>
        <w:t xml:space="preserve"> $10 million to &lt; $20 million</w:t>
      </w:r>
    </w:p>
    <w:p w14:paraId="71E6B79C" w14:textId="1092F4C9" w:rsidR="00B90292" w:rsidRPr="00137CCC" w:rsidRDefault="00B90292" w:rsidP="00846E77">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3</w:t>
      </w:r>
      <w:r w:rsidRPr="00137CCC">
        <w:rPr>
          <w:rFonts w:ascii="Arial Narrow" w:eastAsia="Times New Roman" w:hAnsi="Arial Narrow" w:cs="Calibri"/>
          <w:i/>
          <w:iCs/>
          <w:snapToGrid w:val="0"/>
          <w:sz w:val="18"/>
          <w:szCs w:val="18"/>
        </w:rPr>
        <w:t xml:space="preserve"> </w:t>
      </w:r>
      <w:r w:rsidR="00B77C98" w:rsidRPr="00B77C98">
        <w:rPr>
          <w:rFonts w:ascii="Arial Narrow" w:eastAsia="Times New Roman" w:hAnsi="Arial Narrow" w:cs="Calibri"/>
          <w:bCs/>
          <w:i/>
          <w:iCs/>
          <w:snapToGrid w:val="0"/>
          <w:sz w:val="18"/>
          <w:szCs w:val="18"/>
        </w:rPr>
        <w:t>$40 million to &lt; $50 million</w:t>
      </w:r>
    </w:p>
    <w:p w14:paraId="42823443" w14:textId="7282F7D1" w:rsidR="00846E77" w:rsidRPr="00274633" w:rsidRDefault="006D4D3D" w:rsidP="002C6E1B">
      <w:pPr>
        <w:spacing w:after="0" w:line="240" w:lineRule="auto"/>
        <w:jc w:val="both"/>
        <w:rPr>
          <w:rFonts w:ascii="Arial Narrow" w:eastAsia="Times New Roman" w:hAnsi="Arial Narrow" w:cs="Calibri"/>
          <w:i/>
          <w:iCs/>
          <w:snapToGrid w:val="0"/>
          <w:sz w:val="18"/>
          <w:szCs w:val="18"/>
        </w:rPr>
      </w:pPr>
      <w:r w:rsidRPr="00137CCC">
        <w:rPr>
          <w:rFonts w:ascii="Arial Narrow" w:eastAsia="Times New Roman" w:hAnsi="Arial Narrow" w:cs="Calibri"/>
          <w:i/>
          <w:iCs/>
          <w:snapToGrid w:val="0"/>
          <w:sz w:val="18"/>
          <w:szCs w:val="18"/>
          <w:vertAlign w:val="superscript"/>
        </w:rPr>
        <w:t>4</w:t>
      </w:r>
      <w:r w:rsidRPr="00137CCC">
        <w:rPr>
          <w:rFonts w:ascii="Arial Narrow" w:eastAsia="Times New Roman" w:hAnsi="Arial Narrow" w:cs="Calibri"/>
          <w:i/>
          <w:iCs/>
          <w:snapToGrid w:val="0"/>
          <w:sz w:val="18"/>
          <w:szCs w:val="18"/>
        </w:rPr>
        <w:t xml:space="preserve"> </w:t>
      </w:r>
      <w:bookmarkEnd w:id="11"/>
      <w:r w:rsidR="00B77C98" w:rsidRPr="00B77C98">
        <w:rPr>
          <w:rFonts w:ascii="Arial Narrow" w:eastAsia="Times New Roman" w:hAnsi="Arial Narrow" w:cs="Calibri"/>
          <w:bCs/>
          <w:i/>
          <w:iCs/>
          <w:snapToGrid w:val="0"/>
          <w:sz w:val="18"/>
          <w:szCs w:val="18"/>
        </w:rPr>
        <w:t>$60 million to &lt; $70 million</w:t>
      </w:r>
    </w:p>
    <w:p w14:paraId="660DBB44" w14:textId="4905A839" w:rsidR="00A93779" w:rsidRPr="00D66E7A" w:rsidRDefault="00442B0E" w:rsidP="00D66E7A">
      <w:pPr>
        <w:pStyle w:val="Heading2"/>
        <w:spacing w:before="120" w:after="120" w:line="240" w:lineRule="auto"/>
        <w:rPr>
          <w:rFonts w:asciiTheme="minorHAnsi" w:hAnsiTheme="minorHAnsi" w:cstheme="minorHAnsi"/>
          <w:b/>
          <w:bCs/>
          <w:i/>
          <w:iCs/>
          <w:color w:val="auto"/>
          <w:sz w:val="28"/>
          <w:szCs w:val="28"/>
        </w:rPr>
      </w:pPr>
      <w:r>
        <w:rPr>
          <w:rFonts w:asciiTheme="minorHAnsi" w:hAnsiTheme="minorHAnsi" w:cstheme="minorHAnsi"/>
          <w:b/>
          <w:bCs/>
          <w:i/>
          <w:iCs/>
          <w:color w:val="auto"/>
          <w:sz w:val="28"/>
          <w:szCs w:val="28"/>
        </w:rPr>
        <w:t>Sensitivity analyses</w:t>
      </w:r>
    </w:p>
    <w:p w14:paraId="0638FEB7" w14:textId="79BDED6C" w:rsidR="00A8164A" w:rsidRPr="007C18E3" w:rsidRDefault="001B3976">
      <w:pPr>
        <w:pStyle w:val="3-BodyText"/>
        <w:spacing w:after="120" w:line="240" w:lineRule="auto"/>
        <w:jc w:val="both"/>
        <w:rPr>
          <w:rFonts w:ascii="Calibri" w:eastAsia="Times New Roman" w:hAnsi="Calibri" w:cs="Calibri"/>
          <w:snapToGrid w:val="0"/>
          <w:sz w:val="24"/>
          <w:szCs w:val="24"/>
        </w:rPr>
      </w:pPr>
      <w:r w:rsidRPr="007C18E3">
        <w:rPr>
          <w:rFonts w:ascii="Calibri" w:eastAsia="Times New Roman" w:hAnsi="Calibri" w:cs="Calibri"/>
          <w:snapToGrid w:val="0"/>
          <w:sz w:val="24"/>
          <w:szCs w:val="24"/>
        </w:rPr>
        <w:t xml:space="preserve">As shown in Table </w:t>
      </w:r>
      <w:r w:rsidR="00C747B8" w:rsidRPr="007C18E3">
        <w:rPr>
          <w:rFonts w:ascii="Calibri" w:eastAsia="Times New Roman" w:hAnsi="Calibri" w:cs="Calibri"/>
          <w:snapToGrid w:val="0"/>
          <w:sz w:val="24"/>
          <w:szCs w:val="24"/>
        </w:rPr>
        <w:t>6</w:t>
      </w:r>
      <w:r w:rsidRPr="007C18E3">
        <w:rPr>
          <w:rFonts w:ascii="Calibri" w:eastAsia="Times New Roman" w:hAnsi="Calibri" w:cs="Calibri"/>
          <w:snapToGrid w:val="0"/>
          <w:sz w:val="24"/>
          <w:szCs w:val="24"/>
        </w:rPr>
        <w:t xml:space="preserve">, sensitivity analyses were performed to test key model inputs and assumptions. The results indicate that the total cost of the proposed listing is projected to range </w:t>
      </w:r>
      <w:r w:rsidRPr="00137CCC">
        <w:rPr>
          <w:rFonts w:ascii="Calibri" w:eastAsia="Times New Roman" w:hAnsi="Calibri" w:cs="Calibri"/>
          <w:snapToGrid w:val="0"/>
          <w:sz w:val="24"/>
          <w:szCs w:val="24"/>
        </w:rPr>
        <w:t xml:space="preserve">from </w:t>
      </w:r>
      <w:r w:rsidR="002677F7" w:rsidRPr="00137CCC">
        <w:rPr>
          <w:rFonts w:ascii="Calibri" w:eastAsia="Times New Roman" w:hAnsi="Calibri" w:cs="Calibri"/>
          <w:snapToGrid w:val="0"/>
          <w:sz w:val="24"/>
          <w:szCs w:val="24"/>
        </w:rPr>
        <w:t>$</w:t>
      </w:r>
      <w:r w:rsidR="002677F7" w:rsidRPr="00137CCC">
        <w:rPr>
          <w:rFonts w:ascii="Calibri" w:eastAsia="Times New Roman" w:hAnsi="Calibri" w:cs="Calibri"/>
          <w:bCs/>
          <w:snapToGrid w:val="0"/>
          <w:sz w:val="24"/>
          <w:szCs w:val="24"/>
        </w:rPr>
        <w:t>4</w:t>
      </w:r>
      <w:r w:rsidR="004107AD" w:rsidRPr="00137CCC">
        <w:rPr>
          <w:rFonts w:ascii="Calibri" w:eastAsia="Times New Roman" w:hAnsi="Calibri" w:cs="Calibri"/>
          <w:bCs/>
          <w:snapToGrid w:val="0"/>
          <w:sz w:val="24"/>
          <w:szCs w:val="24"/>
        </w:rPr>
        <w:t>5</w:t>
      </w:r>
      <w:r w:rsidR="002677F7" w:rsidRPr="00137CCC">
        <w:rPr>
          <w:rFonts w:ascii="Calibri" w:eastAsia="Times New Roman" w:hAnsi="Calibri" w:cs="Calibri"/>
          <w:bCs/>
          <w:snapToGrid w:val="0"/>
          <w:sz w:val="24"/>
          <w:szCs w:val="24"/>
        </w:rPr>
        <w:t xml:space="preserve"> million to &lt; $</w:t>
      </w:r>
      <w:r w:rsidR="004107AD" w:rsidRPr="00137CCC">
        <w:rPr>
          <w:rFonts w:ascii="Calibri" w:eastAsia="Times New Roman" w:hAnsi="Calibri" w:cs="Calibri"/>
          <w:bCs/>
          <w:snapToGrid w:val="0"/>
          <w:sz w:val="24"/>
          <w:szCs w:val="24"/>
        </w:rPr>
        <w:t>55</w:t>
      </w:r>
      <w:r w:rsidR="002677F7" w:rsidRPr="00137CCC">
        <w:rPr>
          <w:rFonts w:ascii="Calibri" w:eastAsia="Times New Roman" w:hAnsi="Calibri" w:cs="Calibri"/>
          <w:bCs/>
          <w:snapToGrid w:val="0"/>
          <w:sz w:val="24"/>
          <w:szCs w:val="24"/>
        </w:rPr>
        <w:t xml:space="preserve"> million</w:t>
      </w:r>
      <w:r w:rsidRPr="00137CCC">
        <w:rPr>
          <w:rFonts w:ascii="Calibri" w:eastAsia="Times New Roman" w:hAnsi="Calibri" w:cs="Calibri"/>
          <w:snapToGrid w:val="0"/>
          <w:sz w:val="24"/>
          <w:szCs w:val="24"/>
        </w:rPr>
        <w:t xml:space="preserve"> over</w:t>
      </w:r>
      <w:r w:rsidRPr="007C18E3">
        <w:rPr>
          <w:rFonts w:ascii="Calibri" w:eastAsia="Times New Roman" w:hAnsi="Calibri" w:cs="Calibri"/>
          <w:snapToGrid w:val="0"/>
          <w:sz w:val="24"/>
          <w:szCs w:val="24"/>
        </w:rPr>
        <w:t xml:space="preserve"> the 2026–2031 period.</w:t>
      </w:r>
    </w:p>
    <w:p w14:paraId="52B3FD09" w14:textId="77777777" w:rsidR="002559D4" w:rsidRDefault="002559D4">
      <w:pPr>
        <w:rPr>
          <w:rFonts w:ascii="Arial Narrow" w:eastAsia="Times New Roman" w:hAnsi="Arial Narrow" w:cs="Calibri"/>
          <w:b/>
          <w:bCs/>
          <w:snapToGrid w:val="0"/>
          <w:sz w:val="20"/>
          <w:szCs w:val="20"/>
        </w:rPr>
      </w:pPr>
      <w:r>
        <w:rPr>
          <w:rFonts w:ascii="Arial Narrow" w:eastAsia="Times New Roman" w:hAnsi="Arial Narrow" w:cs="Calibri"/>
          <w:b/>
          <w:bCs/>
          <w:snapToGrid w:val="0"/>
          <w:sz w:val="20"/>
          <w:szCs w:val="20"/>
        </w:rPr>
        <w:br w:type="page"/>
      </w:r>
    </w:p>
    <w:p w14:paraId="064BCBAF" w14:textId="638A7B95" w:rsidR="00D22713" w:rsidRDefault="00D22713" w:rsidP="00FF3DF5">
      <w:pPr>
        <w:spacing w:before="120" w:after="60" w:line="240" w:lineRule="auto"/>
        <w:rPr>
          <w:rFonts w:ascii="Arial Narrow" w:eastAsia="Times New Roman" w:hAnsi="Arial Narrow" w:cs="Calibri"/>
          <w:b/>
          <w:bCs/>
          <w:snapToGrid w:val="0"/>
          <w:sz w:val="20"/>
          <w:szCs w:val="20"/>
        </w:rPr>
      </w:pPr>
      <w:r w:rsidRPr="00426AE0">
        <w:rPr>
          <w:rFonts w:ascii="Arial Narrow" w:eastAsia="Times New Roman" w:hAnsi="Arial Narrow" w:cs="Calibri"/>
          <w:b/>
          <w:bCs/>
          <w:snapToGrid w:val="0"/>
          <w:sz w:val="20"/>
          <w:szCs w:val="20"/>
        </w:rPr>
        <w:lastRenderedPageBreak/>
        <w:t xml:space="preserve">Table </w:t>
      </w:r>
      <w:r w:rsidR="00C747B8">
        <w:rPr>
          <w:rFonts w:ascii="Arial Narrow" w:eastAsia="Times New Roman" w:hAnsi="Arial Narrow" w:cs="Calibri"/>
          <w:b/>
          <w:bCs/>
          <w:snapToGrid w:val="0"/>
          <w:sz w:val="20"/>
          <w:szCs w:val="20"/>
        </w:rPr>
        <w:t>6</w:t>
      </w:r>
      <w:r w:rsidRPr="00426AE0">
        <w:rPr>
          <w:rFonts w:ascii="Arial Narrow" w:eastAsia="Times New Roman" w:hAnsi="Arial Narrow" w:cs="Calibri"/>
          <w:b/>
          <w:bCs/>
          <w:snapToGrid w:val="0"/>
          <w:sz w:val="20"/>
          <w:szCs w:val="20"/>
        </w:rPr>
        <w:t xml:space="preserve">: </w:t>
      </w:r>
      <w:r w:rsidR="00566B09">
        <w:rPr>
          <w:rFonts w:ascii="Arial Narrow" w:eastAsia="Times New Roman" w:hAnsi="Arial Narrow" w:cs="Calibri"/>
          <w:b/>
          <w:bCs/>
          <w:snapToGrid w:val="0"/>
          <w:sz w:val="20"/>
          <w:szCs w:val="20"/>
        </w:rPr>
        <w:t xml:space="preserve">Net </w:t>
      </w:r>
      <w:r>
        <w:rPr>
          <w:rFonts w:ascii="Arial Narrow" w:eastAsia="Times New Roman" w:hAnsi="Arial Narrow" w:cs="Calibri"/>
          <w:b/>
          <w:bCs/>
          <w:snapToGrid w:val="0"/>
          <w:sz w:val="20"/>
          <w:szCs w:val="20"/>
        </w:rPr>
        <w:t>c</w:t>
      </w:r>
      <w:r w:rsidRPr="00426AE0">
        <w:rPr>
          <w:rFonts w:ascii="Arial Narrow" w:eastAsia="Times New Roman" w:hAnsi="Arial Narrow" w:cs="Calibri"/>
          <w:b/>
          <w:bCs/>
          <w:snapToGrid w:val="0"/>
          <w:sz w:val="20"/>
          <w:szCs w:val="20"/>
        </w:rPr>
        <w:t xml:space="preserve">ost to the R/PBS </w:t>
      </w:r>
      <w:r w:rsidR="00D963B6">
        <w:rPr>
          <w:rFonts w:ascii="Arial Narrow" w:eastAsia="Times New Roman" w:hAnsi="Arial Narrow" w:cs="Calibri"/>
          <w:b/>
          <w:bCs/>
          <w:snapToGrid w:val="0"/>
          <w:sz w:val="20"/>
          <w:szCs w:val="20"/>
        </w:rPr>
        <w:t>resulting from</w:t>
      </w:r>
      <w:r w:rsidRPr="00426AE0">
        <w:rPr>
          <w:rFonts w:ascii="Arial Narrow" w:eastAsia="Times New Roman" w:hAnsi="Arial Narrow" w:cs="Calibri"/>
          <w:b/>
          <w:bCs/>
          <w:snapToGrid w:val="0"/>
          <w:sz w:val="20"/>
          <w:szCs w:val="20"/>
        </w:rPr>
        <w:t xml:space="preserve"> the proposed listing (</w:t>
      </w:r>
      <w:r w:rsidR="00FF3DF5">
        <w:rPr>
          <w:rFonts w:ascii="Arial Narrow" w:eastAsia="Times New Roman" w:hAnsi="Arial Narrow" w:cs="Calibri"/>
          <w:b/>
          <w:bCs/>
          <w:snapToGrid w:val="0"/>
          <w:sz w:val="20"/>
          <w:szCs w:val="20"/>
        </w:rPr>
        <w:t>sensitivity</w:t>
      </w:r>
      <w:r w:rsidRPr="00426AE0">
        <w:rPr>
          <w:rFonts w:ascii="Arial Narrow" w:eastAsia="Times New Roman" w:hAnsi="Arial Narrow" w:cs="Calibri"/>
          <w:b/>
          <w:bCs/>
          <w:snapToGrid w:val="0"/>
          <w:sz w:val="20"/>
          <w:szCs w:val="20"/>
        </w:rPr>
        <w:t xml:space="preserve"> analys</w:t>
      </w:r>
      <w:r w:rsidR="00FF3DF5">
        <w:rPr>
          <w:rFonts w:ascii="Arial Narrow" w:eastAsia="Times New Roman" w:hAnsi="Arial Narrow" w:cs="Calibri"/>
          <w:b/>
          <w:bCs/>
          <w:snapToGrid w:val="0"/>
          <w:sz w:val="20"/>
          <w:szCs w:val="20"/>
        </w:rPr>
        <w:t>e</w:t>
      </w:r>
      <w:r w:rsidRPr="00426AE0">
        <w:rPr>
          <w:rFonts w:ascii="Arial Narrow" w:eastAsia="Times New Roman" w:hAnsi="Arial Narrow" w:cs="Calibri"/>
          <w:b/>
          <w:bCs/>
          <w:snapToGrid w:val="0"/>
          <w:sz w:val="20"/>
          <w:szCs w:val="20"/>
        </w:rPr>
        <w:t>s)</w:t>
      </w:r>
    </w:p>
    <w:tbl>
      <w:tblPr>
        <w:tblStyle w:val="TableGrid"/>
        <w:tblW w:w="5000" w:type="pct"/>
        <w:tblLook w:val="04A0" w:firstRow="1" w:lastRow="0" w:firstColumn="1" w:lastColumn="0" w:noHBand="0" w:noVBand="1"/>
      </w:tblPr>
      <w:tblGrid>
        <w:gridCol w:w="937"/>
        <w:gridCol w:w="955"/>
        <w:gridCol w:w="956"/>
        <w:gridCol w:w="956"/>
        <w:gridCol w:w="956"/>
        <w:gridCol w:w="956"/>
        <w:gridCol w:w="1037"/>
        <w:gridCol w:w="1037"/>
        <w:gridCol w:w="1226"/>
      </w:tblGrid>
      <w:tr w:rsidR="00012D16" w:rsidRPr="00783DC8" w14:paraId="5FE54F54" w14:textId="77777777" w:rsidTr="00783DC8">
        <w:tc>
          <w:tcPr>
            <w:tcW w:w="520" w:type="pct"/>
            <w:shd w:val="clear" w:color="auto" w:fill="D1D1D1"/>
            <w:vAlign w:val="center"/>
          </w:tcPr>
          <w:p w14:paraId="49E4BDCF" w14:textId="77777777" w:rsidR="00783DC8" w:rsidRPr="00783DC8" w:rsidRDefault="00783DC8" w:rsidP="00783DC8">
            <w:pPr>
              <w:spacing w:before="120" w:after="60"/>
              <w:rPr>
                <w:rFonts w:ascii="Arial Narrow" w:eastAsia="Times New Roman" w:hAnsi="Arial Narrow" w:cs="Calibri"/>
                <w:b/>
                <w:bCs/>
                <w:snapToGrid w:val="0"/>
                <w:sz w:val="18"/>
                <w:szCs w:val="18"/>
              </w:rPr>
            </w:pPr>
          </w:p>
        </w:tc>
        <w:tc>
          <w:tcPr>
            <w:tcW w:w="530" w:type="pct"/>
            <w:shd w:val="clear" w:color="auto" w:fill="D1D1D1"/>
            <w:vAlign w:val="center"/>
          </w:tcPr>
          <w:p w14:paraId="675279BA" w14:textId="77777777" w:rsidR="00783DC8" w:rsidRPr="00783DC8" w:rsidRDefault="00783DC8" w:rsidP="00783DC8">
            <w:pPr>
              <w:spacing w:before="120" w:after="60"/>
              <w:jc w:val="center"/>
              <w:rPr>
                <w:rFonts w:ascii="Arial Narrow" w:eastAsia="Times New Roman" w:hAnsi="Arial Narrow" w:cs="Calibri"/>
                <w:b/>
                <w:bCs/>
                <w:snapToGrid w:val="0"/>
                <w:sz w:val="18"/>
                <w:szCs w:val="18"/>
              </w:rPr>
            </w:pPr>
            <w:r w:rsidRPr="00783DC8">
              <w:rPr>
                <w:rFonts w:ascii="Arial Narrow" w:eastAsia="Calibri" w:hAnsi="Arial Narrow" w:cs="Calibri"/>
                <w:b/>
                <w:bCs/>
                <w:sz w:val="18"/>
                <w:szCs w:val="18"/>
              </w:rPr>
              <w:t>2026</w:t>
            </w:r>
          </w:p>
        </w:tc>
        <w:tc>
          <w:tcPr>
            <w:tcW w:w="530" w:type="pct"/>
            <w:shd w:val="clear" w:color="auto" w:fill="D1D1D1"/>
            <w:vAlign w:val="center"/>
          </w:tcPr>
          <w:p w14:paraId="6214B201" w14:textId="77777777" w:rsidR="00783DC8" w:rsidRPr="00783DC8" w:rsidRDefault="00783DC8" w:rsidP="00783DC8">
            <w:pPr>
              <w:spacing w:before="120" w:after="60"/>
              <w:jc w:val="center"/>
              <w:rPr>
                <w:rFonts w:ascii="Arial Narrow" w:eastAsia="Times New Roman" w:hAnsi="Arial Narrow" w:cs="Calibri"/>
                <w:b/>
                <w:bCs/>
                <w:snapToGrid w:val="0"/>
                <w:sz w:val="18"/>
                <w:szCs w:val="18"/>
              </w:rPr>
            </w:pPr>
            <w:r w:rsidRPr="00783DC8">
              <w:rPr>
                <w:rFonts w:ascii="Arial Narrow" w:eastAsia="Calibri" w:hAnsi="Arial Narrow" w:cs="Calibri"/>
                <w:b/>
                <w:bCs/>
                <w:sz w:val="18"/>
                <w:szCs w:val="18"/>
              </w:rPr>
              <w:t>2027</w:t>
            </w:r>
          </w:p>
        </w:tc>
        <w:tc>
          <w:tcPr>
            <w:tcW w:w="530" w:type="pct"/>
            <w:shd w:val="clear" w:color="auto" w:fill="D1D1D1"/>
            <w:vAlign w:val="center"/>
          </w:tcPr>
          <w:p w14:paraId="4EFDBD9C" w14:textId="77777777" w:rsidR="00783DC8" w:rsidRPr="00783DC8" w:rsidRDefault="00783DC8" w:rsidP="00783DC8">
            <w:pPr>
              <w:spacing w:before="120" w:after="60"/>
              <w:jc w:val="center"/>
              <w:rPr>
                <w:rFonts w:ascii="Arial Narrow" w:eastAsia="Times New Roman" w:hAnsi="Arial Narrow" w:cs="Calibri"/>
                <w:b/>
                <w:bCs/>
                <w:snapToGrid w:val="0"/>
                <w:sz w:val="18"/>
                <w:szCs w:val="18"/>
              </w:rPr>
            </w:pPr>
            <w:r w:rsidRPr="00783DC8">
              <w:rPr>
                <w:rFonts w:ascii="Arial Narrow" w:eastAsia="Calibri" w:hAnsi="Arial Narrow" w:cs="Calibri"/>
                <w:b/>
                <w:bCs/>
                <w:sz w:val="18"/>
                <w:szCs w:val="18"/>
              </w:rPr>
              <w:t>2028</w:t>
            </w:r>
          </w:p>
        </w:tc>
        <w:tc>
          <w:tcPr>
            <w:tcW w:w="530" w:type="pct"/>
            <w:shd w:val="clear" w:color="auto" w:fill="D1D1D1"/>
            <w:vAlign w:val="center"/>
          </w:tcPr>
          <w:p w14:paraId="775FDD10" w14:textId="77777777" w:rsidR="00783DC8" w:rsidRPr="00783DC8" w:rsidRDefault="00783DC8" w:rsidP="00783DC8">
            <w:pPr>
              <w:spacing w:before="120" w:after="60"/>
              <w:jc w:val="center"/>
              <w:rPr>
                <w:rFonts w:ascii="Arial Narrow" w:eastAsia="Times New Roman" w:hAnsi="Arial Narrow" w:cs="Calibri"/>
                <w:b/>
                <w:bCs/>
                <w:snapToGrid w:val="0"/>
                <w:sz w:val="18"/>
                <w:szCs w:val="18"/>
              </w:rPr>
            </w:pPr>
            <w:r w:rsidRPr="00783DC8">
              <w:rPr>
                <w:rFonts w:ascii="Arial Narrow" w:eastAsia="Calibri" w:hAnsi="Arial Narrow" w:cs="Calibri"/>
                <w:b/>
                <w:bCs/>
                <w:sz w:val="18"/>
                <w:szCs w:val="18"/>
              </w:rPr>
              <w:t>2029</w:t>
            </w:r>
          </w:p>
        </w:tc>
        <w:tc>
          <w:tcPr>
            <w:tcW w:w="530" w:type="pct"/>
            <w:shd w:val="clear" w:color="auto" w:fill="D1D1D1"/>
            <w:vAlign w:val="center"/>
          </w:tcPr>
          <w:p w14:paraId="33B0B563" w14:textId="77777777" w:rsidR="00783DC8" w:rsidRPr="00783DC8" w:rsidRDefault="00783DC8" w:rsidP="00783DC8">
            <w:pPr>
              <w:spacing w:before="120" w:after="60"/>
              <w:jc w:val="center"/>
              <w:rPr>
                <w:rFonts w:ascii="Arial Narrow" w:eastAsia="Times New Roman" w:hAnsi="Arial Narrow" w:cs="Calibri"/>
                <w:b/>
                <w:bCs/>
                <w:snapToGrid w:val="0"/>
                <w:sz w:val="18"/>
                <w:szCs w:val="18"/>
              </w:rPr>
            </w:pPr>
            <w:r w:rsidRPr="00783DC8">
              <w:rPr>
                <w:rFonts w:ascii="Arial Narrow" w:eastAsia="Calibri" w:hAnsi="Arial Narrow" w:cs="Calibri"/>
                <w:b/>
                <w:bCs/>
                <w:sz w:val="18"/>
                <w:szCs w:val="18"/>
              </w:rPr>
              <w:t>2030</w:t>
            </w:r>
          </w:p>
        </w:tc>
        <w:tc>
          <w:tcPr>
            <w:tcW w:w="575" w:type="pct"/>
            <w:shd w:val="clear" w:color="auto" w:fill="D1D1D1"/>
            <w:vAlign w:val="center"/>
          </w:tcPr>
          <w:p w14:paraId="1D2B5322" w14:textId="77777777" w:rsidR="00783DC8" w:rsidRPr="00783DC8" w:rsidRDefault="00783DC8" w:rsidP="00783DC8">
            <w:pPr>
              <w:spacing w:before="120" w:after="60"/>
              <w:jc w:val="center"/>
              <w:rPr>
                <w:rFonts w:ascii="Arial Narrow" w:eastAsia="Times New Roman" w:hAnsi="Arial Narrow" w:cs="Calibri"/>
                <w:b/>
                <w:bCs/>
                <w:snapToGrid w:val="0"/>
                <w:sz w:val="18"/>
                <w:szCs w:val="18"/>
              </w:rPr>
            </w:pPr>
            <w:r w:rsidRPr="00783DC8">
              <w:rPr>
                <w:rFonts w:ascii="Arial Narrow" w:eastAsia="Calibri" w:hAnsi="Arial Narrow" w:cs="Calibri"/>
                <w:b/>
                <w:bCs/>
                <w:sz w:val="18"/>
                <w:szCs w:val="18"/>
              </w:rPr>
              <w:t>2031</w:t>
            </w:r>
          </w:p>
        </w:tc>
        <w:tc>
          <w:tcPr>
            <w:tcW w:w="575" w:type="pct"/>
            <w:shd w:val="clear" w:color="auto" w:fill="D1D1D1"/>
            <w:vAlign w:val="center"/>
          </w:tcPr>
          <w:p w14:paraId="222113B9" w14:textId="77777777" w:rsidR="00783DC8" w:rsidRPr="00783DC8" w:rsidRDefault="00783DC8" w:rsidP="00783DC8">
            <w:pPr>
              <w:spacing w:before="120" w:after="60"/>
              <w:jc w:val="center"/>
              <w:rPr>
                <w:rFonts w:ascii="Arial Narrow" w:eastAsia="Times New Roman" w:hAnsi="Arial Narrow" w:cs="Calibri"/>
                <w:b/>
                <w:bCs/>
                <w:snapToGrid w:val="0"/>
                <w:sz w:val="18"/>
                <w:szCs w:val="18"/>
              </w:rPr>
            </w:pPr>
            <w:r w:rsidRPr="00783DC8">
              <w:rPr>
                <w:rFonts w:ascii="Arial Narrow" w:eastAsia="Calibri" w:hAnsi="Arial Narrow" w:cs="Calibri"/>
                <w:b/>
                <w:bCs/>
                <w:sz w:val="18"/>
                <w:szCs w:val="18"/>
              </w:rPr>
              <w:t>Total</w:t>
            </w:r>
          </w:p>
        </w:tc>
        <w:tc>
          <w:tcPr>
            <w:tcW w:w="680" w:type="pct"/>
            <w:shd w:val="clear" w:color="auto" w:fill="D1D1D1"/>
            <w:vAlign w:val="center"/>
          </w:tcPr>
          <w:p w14:paraId="69FE67E9" w14:textId="77777777" w:rsidR="00783DC8" w:rsidRPr="00783DC8" w:rsidRDefault="00783DC8" w:rsidP="00783DC8">
            <w:pPr>
              <w:spacing w:before="120" w:after="60"/>
              <w:jc w:val="center"/>
              <w:rPr>
                <w:rFonts w:ascii="Arial Narrow" w:eastAsia="Times New Roman" w:hAnsi="Arial Narrow" w:cs="Calibri"/>
                <w:b/>
                <w:bCs/>
                <w:snapToGrid w:val="0"/>
                <w:sz w:val="18"/>
                <w:szCs w:val="18"/>
              </w:rPr>
            </w:pPr>
            <w:r w:rsidRPr="00783DC8">
              <w:rPr>
                <w:rFonts w:ascii="Arial Narrow" w:eastAsia="Times New Roman" w:hAnsi="Arial Narrow" w:cs="Calibri"/>
                <w:b/>
                <w:bCs/>
                <w:snapToGrid w:val="0"/>
                <w:sz w:val="18"/>
                <w:szCs w:val="18"/>
              </w:rPr>
              <w:t>% change from base-case</w:t>
            </w:r>
          </w:p>
        </w:tc>
      </w:tr>
      <w:tr w:rsidR="00783DC8" w:rsidRPr="00783DC8" w14:paraId="413F2CC4" w14:textId="77777777" w:rsidTr="00783DC8">
        <w:tc>
          <w:tcPr>
            <w:tcW w:w="5000" w:type="pct"/>
            <w:gridSpan w:val="9"/>
            <w:shd w:val="clear" w:color="auto" w:fill="F2F2F2"/>
          </w:tcPr>
          <w:p w14:paraId="7B2122C0" w14:textId="638579CD" w:rsidR="00783DC8" w:rsidRPr="00644234" w:rsidRDefault="00783DC8" w:rsidP="00783DC8">
            <w:pPr>
              <w:spacing w:before="120" w:after="60"/>
              <w:rPr>
                <w:rFonts w:ascii="Arial Narrow" w:eastAsia="Times New Roman" w:hAnsi="Arial Narrow" w:cs="Calibri"/>
                <w:snapToGrid w:val="0"/>
                <w:sz w:val="18"/>
                <w:szCs w:val="18"/>
              </w:rPr>
            </w:pPr>
            <w:r w:rsidRPr="00644234">
              <w:rPr>
                <w:rFonts w:ascii="Arial Narrow" w:eastAsia="Times New Roman" w:hAnsi="Arial Narrow" w:cs="Calibri"/>
                <w:snapToGrid w:val="0"/>
                <w:sz w:val="18"/>
                <w:szCs w:val="18"/>
              </w:rPr>
              <w:t>Base-case analysis: Proportion of private LTG scripts for bipolar disorder (95%); uptake rate (95%)</w:t>
            </w:r>
            <w:r w:rsidR="00012D16" w:rsidRPr="00644234">
              <w:rPr>
                <w:rFonts w:ascii="Arial Narrow" w:eastAsia="Times New Roman" w:hAnsi="Arial Narrow" w:cs="Calibri"/>
                <w:snapToGrid w:val="0"/>
                <w:sz w:val="18"/>
                <w:szCs w:val="18"/>
              </w:rPr>
              <w:t>; 2025 patient co-payments</w:t>
            </w:r>
          </w:p>
        </w:tc>
      </w:tr>
      <w:tr w:rsidR="00012D16" w:rsidRPr="00783DC8" w14:paraId="61D4CF12" w14:textId="77777777" w:rsidTr="00716F5B">
        <w:tc>
          <w:tcPr>
            <w:tcW w:w="520" w:type="pct"/>
            <w:vAlign w:val="center"/>
          </w:tcPr>
          <w:p w14:paraId="2FA52F59" w14:textId="77777777" w:rsidR="00012D16" w:rsidRPr="00783DC8" w:rsidRDefault="00012D16" w:rsidP="00012D16">
            <w:pPr>
              <w:spacing w:before="120" w:after="60"/>
              <w:rPr>
                <w:rFonts w:ascii="Arial Narrow" w:eastAsia="Times New Roman" w:hAnsi="Arial Narrow" w:cs="Calibri"/>
                <w:snapToGrid w:val="0"/>
                <w:sz w:val="18"/>
                <w:szCs w:val="18"/>
              </w:rPr>
            </w:pPr>
            <w:r w:rsidRPr="00783DC8">
              <w:rPr>
                <w:rFonts w:ascii="Arial Narrow" w:eastAsia="Calibri" w:hAnsi="Arial Narrow" w:cs="Calibri"/>
                <w:sz w:val="18"/>
                <w:szCs w:val="18"/>
              </w:rPr>
              <w:t>Net cost to R/PBS</w:t>
            </w:r>
          </w:p>
        </w:tc>
        <w:tc>
          <w:tcPr>
            <w:tcW w:w="530" w:type="pct"/>
            <w:tcBorders>
              <w:top w:val="single" w:sz="4" w:space="0" w:color="auto"/>
              <w:left w:val="single" w:sz="4" w:space="0" w:color="auto"/>
              <w:bottom w:val="single" w:sz="4" w:space="0" w:color="auto"/>
              <w:right w:val="single" w:sz="4" w:space="0" w:color="auto"/>
            </w:tcBorders>
            <w:vAlign w:val="center"/>
          </w:tcPr>
          <w:p w14:paraId="6F16427F" w14:textId="4D0C1511" w:rsidR="00012D16" w:rsidRPr="00E86809"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E86809">
              <w:rPr>
                <w:rFonts w:ascii="Arial Narrow" w:hAnsi="Arial Narrow" w:cs="Arial"/>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4401E1D2" w14:textId="4F98CAF4" w:rsidR="00012D16" w:rsidRPr="00E86809"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E86809">
              <w:rPr>
                <w:rFonts w:ascii="Arial Narrow" w:hAnsi="Arial Narrow" w:cs="Arial"/>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17410D7C" w14:textId="77D7DF17" w:rsidR="00012D16" w:rsidRPr="00E86809"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E86809">
              <w:rPr>
                <w:rFonts w:ascii="Arial Narrow" w:hAnsi="Arial Narrow" w:cs="Arial"/>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35AEF982" w14:textId="1022648B" w:rsidR="00012D16" w:rsidRPr="00E86809"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E86809">
              <w:rPr>
                <w:rFonts w:ascii="Arial Narrow" w:hAnsi="Arial Narrow" w:cs="Arial"/>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14A6B131" w14:textId="4052A147" w:rsidR="00012D16" w:rsidRPr="00E86809"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E86809">
              <w:rPr>
                <w:rFonts w:ascii="Arial Narrow" w:hAnsi="Arial Narrow" w:cs="Arial"/>
                <w:sz w:val="18"/>
                <w:szCs w:val="18"/>
                <w:vertAlign w:val="superscript"/>
              </w:rPr>
              <w:t>1</w:t>
            </w:r>
          </w:p>
        </w:tc>
        <w:tc>
          <w:tcPr>
            <w:tcW w:w="575" w:type="pct"/>
            <w:tcBorders>
              <w:top w:val="single" w:sz="4" w:space="0" w:color="auto"/>
              <w:left w:val="nil"/>
              <w:bottom w:val="single" w:sz="4" w:space="0" w:color="auto"/>
              <w:right w:val="single" w:sz="4" w:space="0" w:color="auto"/>
            </w:tcBorders>
            <w:vAlign w:val="center"/>
          </w:tcPr>
          <w:p w14:paraId="59E86AC8" w14:textId="36E21390" w:rsidR="00012D16" w:rsidRPr="00E86809"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E86809">
              <w:rPr>
                <w:rFonts w:ascii="Arial Narrow" w:hAnsi="Arial Narrow" w:cs="Arial"/>
                <w:sz w:val="18"/>
                <w:szCs w:val="18"/>
                <w:vertAlign w:val="superscript"/>
              </w:rPr>
              <w:t>1</w:t>
            </w:r>
          </w:p>
        </w:tc>
        <w:tc>
          <w:tcPr>
            <w:tcW w:w="575" w:type="pct"/>
            <w:tcBorders>
              <w:top w:val="single" w:sz="4" w:space="0" w:color="auto"/>
              <w:left w:val="nil"/>
              <w:bottom w:val="single" w:sz="4" w:space="0" w:color="auto"/>
              <w:right w:val="single" w:sz="4" w:space="0" w:color="auto"/>
            </w:tcBorders>
            <w:vAlign w:val="center"/>
          </w:tcPr>
          <w:p w14:paraId="44556D85" w14:textId="01420A85" w:rsidR="00012D16" w:rsidRPr="00F13E68"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8E58F6" w:rsidRPr="008E58F6">
              <w:rPr>
                <w:rFonts w:ascii="Arial Narrow" w:hAnsi="Arial Narrow" w:cs="Arial"/>
                <w:sz w:val="18"/>
                <w:szCs w:val="18"/>
                <w:vertAlign w:val="superscript"/>
              </w:rPr>
              <w:t>3</w:t>
            </w:r>
          </w:p>
        </w:tc>
        <w:tc>
          <w:tcPr>
            <w:tcW w:w="680" w:type="pct"/>
            <w:vAlign w:val="center"/>
          </w:tcPr>
          <w:p w14:paraId="1C57729E" w14:textId="2046746F" w:rsidR="00012D16" w:rsidRPr="00783DC8" w:rsidRDefault="00F340E8" w:rsidP="00012D16">
            <w:pPr>
              <w:spacing w:before="120" w:after="60"/>
              <w:jc w:val="center"/>
              <w:rPr>
                <w:rFonts w:ascii="Arial Narrow" w:eastAsia="Times New Roman" w:hAnsi="Arial Narrow" w:cs="Calibri"/>
                <w:snapToGrid w:val="0"/>
                <w:sz w:val="18"/>
                <w:szCs w:val="18"/>
              </w:rPr>
            </w:pPr>
            <w:r>
              <w:rPr>
                <w:rFonts w:ascii="Arial Narrow" w:eastAsia="Times New Roman" w:hAnsi="Arial Narrow" w:cs="Calibri"/>
                <w:snapToGrid w:val="0"/>
                <w:sz w:val="18"/>
                <w:szCs w:val="18"/>
              </w:rPr>
              <w:t>-</w:t>
            </w:r>
          </w:p>
        </w:tc>
      </w:tr>
      <w:tr w:rsidR="00012D16" w:rsidRPr="00783DC8" w14:paraId="1C3660A1" w14:textId="77777777" w:rsidTr="00783DC8">
        <w:tc>
          <w:tcPr>
            <w:tcW w:w="5000" w:type="pct"/>
            <w:gridSpan w:val="9"/>
            <w:shd w:val="clear" w:color="auto" w:fill="F2F2F2"/>
          </w:tcPr>
          <w:p w14:paraId="3C18BDCE" w14:textId="02703FE2" w:rsidR="00012D16" w:rsidRPr="00783DC8" w:rsidRDefault="00012D16" w:rsidP="00012D16">
            <w:pPr>
              <w:spacing w:before="120" w:after="60"/>
              <w:rPr>
                <w:rFonts w:ascii="Arial Narrow" w:eastAsia="Times New Roman" w:hAnsi="Arial Narrow" w:cs="Calibri"/>
                <w:snapToGrid w:val="0"/>
                <w:sz w:val="18"/>
                <w:szCs w:val="18"/>
              </w:rPr>
            </w:pPr>
            <w:r w:rsidRPr="00783DC8">
              <w:rPr>
                <w:rFonts w:ascii="Arial Narrow" w:eastAsia="Times New Roman" w:hAnsi="Arial Narrow" w:cs="Calibri"/>
                <w:snapToGrid w:val="0"/>
                <w:sz w:val="18"/>
                <w:szCs w:val="18"/>
              </w:rPr>
              <w:t>Sensitivity analysis 1: Proportion of private LTG scripts for bipolar disorder (</w:t>
            </w:r>
            <w:r w:rsidRPr="00783DC8">
              <w:rPr>
                <w:rFonts w:ascii="Arial Narrow" w:eastAsia="Times New Roman" w:hAnsi="Arial Narrow" w:cs="Calibri"/>
                <w:b/>
                <w:bCs/>
                <w:snapToGrid w:val="0"/>
                <w:sz w:val="18"/>
                <w:szCs w:val="18"/>
              </w:rPr>
              <w:t>90%</w:t>
            </w:r>
            <w:r w:rsidRPr="00783DC8">
              <w:rPr>
                <w:rFonts w:ascii="Arial Narrow" w:eastAsia="Times New Roman" w:hAnsi="Arial Narrow" w:cs="Calibri"/>
                <w:snapToGrid w:val="0"/>
                <w:sz w:val="18"/>
                <w:szCs w:val="18"/>
              </w:rPr>
              <w:t>); uptake rate (95%)</w:t>
            </w:r>
            <w:r w:rsidR="003663C9">
              <w:rPr>
                <w:rFonts w:ascii="Arial Narrow" w:eastAsia="Times New Roman" w:hAnsi="Arial Narrow" w:cs="Calibri"/>
                <w:snapToGrid w:val="0"/>
                <w:sz w:val="18"/>
                <w:szCs w:val="18"/>
              </w:rPr>
              <w:t xml:space="preserve">; </w:t>
            </w:r>
            <w:r w:rsidR="003663C9" w:rsidRPr="003663C9">
              <w:rPr>
                <w:rFonts w:ascii="Arial Narrow" w:eastAsia="Times New Roman" w:hAnsi="Arial Narrow" w:cs="Calibri"/>
                <w:snapToGrid w:val="0"/>
                <w:sz w:val="18"/>
                <w:szCs w:val="18"/>
              </w:rPr>
              <w:t>2025</w:t>
            </w:r>
            <w:r w:rsidR="003663C9">
              <w:rPr>
                <w:rFonts w:ascii="Arial Narrow" w:eastAsia="Times New Roman" w:hAnsi="Arial Narrow" w:cs="Calibri"/>
                <w:b/>
                <w:bCs/>
                <w:snapToGrid w:val="0"/>
                <w:sz w:val="18"/>
                <w:szCs w:val="18"/>
              </w:rPr>
              <w:t xml:space="preserve"> </w:t>
            </w:r>
            <w:r w:rsidR="003663C9" w:rsidRPr="00012D16">
              <w:rPr>
                <w:rFonts w:ascii="Arial Narrow" w:eastAsia="Times New Roman" w:hAnsi="Arial Narrow" w:cs="Calibri"/>
                <w:snapToGrid w:val="0"/>
                <w:sz w:val="18"/>
                <w:szCs w:val="18"/>
              </w:rPr>
              <w:t>patient co-payments</w:t>
            </w:r>
          </w:p>
        </w:tc>
      </w:tr>
      <w:tr w:rsidR="00012D16" w:rsidRPr="00783DC8" w14:paraId="644237FF" w14:textId="77777777" w:rsidTr="00716F5B">
        <w:tc>
          <w:tcPr>
            <w:tcW w:w="520" w:type="pct"/>
            <w:vAlign w:val="center"/>
          </w:tcPr>
          <w:p w14:paraId="6D25BD54" w14:textId="77777777" w:rsidR="00012D16" w:rsidRPr="00783DC8" w:rsidRDefault="00012D16" w:rsidP="00012D16">
            <w:pPr>
              <w:spacing w:before="120" w:after="60"/>
              <w:rPr>
                <w:rFonts w:ascii="Arial Narrow" w:eastAsia="Times New Roman" w:hAnsi="Arial Narrow" w:cs="Calibri"/>
                <w:snapToGrid w:val="0"/>
                <w:sz w:val="18"/>
                <w:szCs w:val="18"/>
              </w:rPr>
            </w:pPr>
            <w:r w:rsidRPr="00783DC8">
              <w:rPr>
                <w:rFonts w:ascii="Arial Narrow" w:eastAsia="Calibri" w:hAnsi="Arial Narrow" w:cs="Calibri"/>
                <w:sz w:val="18"/>
                <w:szCs w:val="18"/>
              </w:rPr>
              <w:t>Net cost to R/PBS</w:t>
            </w:r>
          </w:p>
        </w:tc>
        <w:tc>
          <w:tcPr>
            <w:tcW w:w="530" w:type="pct"/>
            <w:tcBorders>
              <w:top w:val="single" w:sz="4" w:space="0" w:color="auto"/>
              <w:left w:val="single" w:sz="4" w:space="0" w:color="auto"/>
              <w:bottom w:val="single" w:sz="4" w:space="0" w:color="auto"/>
              <w:right w:val="single" w:sz="4" w:space="0" w:color="auto"/>
            </w:tcBorders>
            <w:vAlign w:val="center"/>
          </w:tcPr>
          <w:p w14:paraId="5BDD2C3C" w14:textId="70AF37B2" w:rsidR="00012D16" w:rsidRPr="001C0402"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1C0402">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4EF6E937" w14:textId="4C9688FD" w:rsidR="00012D16" w:rsidRPr="001C0402"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1C0402">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715DC0A3" w14:textId="121F609C" w:rsidR="00012D16" w:rsidRPr="001C0402"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1C0402">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34B42F5E" w14:textId="006680C1" w:rsidR="00012D16" w:rsidRPr="001C0402"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1C0402">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7F89F040" w14:textId="36B6C175" w:rsidR="00012D16" w:rsidRPr="001C0402"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1C0402">
              <w:rPr>
                <w:rFonts w:ascii="Arial Narrow" w:hAnsi="Arial Narrow" w:cs="Arial"/>
                <w:color w:val="000000"/>
                <w:sz w:val="18"/>
                <w:szCs w:val="18"/>
                <w:vertAlign w:val="superscript"/>
              </w:rPr>
              <w:t>1</w:t>
            </w:r>
          </w:p>
        </w:tc>
        <w:tc>
          <w:tcPr>
            <w:tcW w:w="575" w:type="pct"/>
            <w:tcBorders>
              <w:top w:val="single" w:sz="4" w:space="0" w:color="auto"/>
              <w:left w:val="nil"/>
              <w:bottom w:val="single" w:sz="4" w:space="0" w:color="auto"/>
              <w:right w:val="single" w:sz="4" w:space="0" w:color="auto"/>
            </w:tcBorders>
            <w:vAlign w:val="center"/>
          </w:tcPr>
          <w:p w14:paraId="69D2D5E9" w14:textId="55CAA84E" w:rsidR="00012D16" w:rsidRPr="001C0402"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1C0402">
              <w:rPr>
                <w:rFonts w:ascii="Arial Narrow" w:hAnsi="Arial Narrow" w:cs="Arial"/>
                <w:color w:val="000000"/>
                <w:sz w:val="18"/>
                <w:szCs w:val="18"/>
                <w:vertAlign w:val="superscript"/>
              </w:rPr>
              <w:t>1</w:t>
            </w:r>
          </w:p>
        </w:tc>
        <w:tc>
          <w:tcPr>
            <w:tcW w:w="575" w:type="pct"/>
            <w:vAlign w:val="center"/>
          </w:tcPr>
          <w:p w14:paraId="586545DA" w14:textId="3F575123" w:rsidR="00012D16" w:rsidRPr="00D1146D" w:rsidRDefault="00063C21" w:rsidP="00012D16">
            <w:pPr>
              <w:spacing w:before="120" w:after="60"/>
              <w:jc w:val="center"/>
              <w:rPr>
                <w:rFonts w:ascii="Arial Narrow" w:eastAsia="Times New Roman" w:hAnsi="Arial Narrow" w:cs="Calibri"/>
                <w:snapToGrid w:val="0"/>
                <w:sz w:val="18"/>
                <w:szCs w:val="18"/>
                <w:vertAlign w:val="superscript"/>
              </w:rPr>
            </w:pPr>
            <w:r w:rsidRPr="00063C21">
              <w:rPr>
                <w:rFonts w:ascii="Arial Narrow" w:hAnsi="Arial Narrow" w:cs="Arial"/>
                <w:sz w:val="18"/>
                <w:szCs w:val="18"/>
                <w:highlight w:val="black"/>
              </w:rPr>
              <w:t>XXXXXX</w:t>
            </w:r>
            <w:r w:rsidR="00091F6D">
              <w:rPr>
                <w:rFonts w:ascii="Arial Narrow" w:eastAsia="Times New Roman" w:hAnsi="Arial Narrow" w:cs="Calibri"/>
                <w:snapToGrid w:val="0"/>
                <w:sz w:val="18"/>
                <w:szCs w:val="18"/>
                <w:vertAlign w:val="superscript"/>
              </w:rPr>
              <w:t>3</w:t>
            </w:r>
          </w:p>
        </w:tc>
        <w:tc>
          <w:tcPr>
            <w:tcW w:w="680" w:type="pct"/>
            <w:vAlign w:val="center"/>
          </w:tcPr>
          <w:p w14:paraId="40359FDA" w14:textId="77777777" w:rsidR="00012D16" w:rsidRPr="00012D16" w:rsidRDefault="00012D16" w:rsidP="00012D16">
            <w:pPr>
              <w:spacing w:before="120" w:after="60"/>
              <w:jc w:val="center"/>
              <w:rPr>
                <w:rFonts w:ascii="Arial Narrow" w:eastAsia="Times New Roman" w:hAnsi="Arial Narrow" w:cs="Calibri"/>
                <w:snapToGrid w:val="0"/>
                <w:sz w:val="18"/>
                <w:szCs w:val="18"/>
              </w:rPr>
            </w:pPr>
            <w:r w:rsidRPr="00012D16">
              <w:rPr>
                <w:rFonts w:ascii="Arial Narrow" w:eastAsia="Times New Roman" w:hAnsi="Arial Narrow" w:cs="Calibri"/>
                <w:snapToGrid w:val="0"/>
                <w:sz w:val="18"/>
                <w:szCs w:val="18"/>
              </w:rPr>
              <w:t>-5.3%</w:t>
            </w:r>
          </w:p>
        </w:tc>
      </w:tr>
      <w:tr w:rsidR="00012D16" w:rsidRPr="00783DC8" w14:paraId="39E83C57" w14:textId="77777777" w:rsidTr="00783DC8">
        <w:tc>
          <w:tcPr>
            <w:tcW w:w="5000" w:type="pct"/>
            <w:gridSpan w:val="9"/>
            <w:shd w:val="clear" w:color="auto" w:fill="F2F2F2"/>
            <w:vAlign w:val="center"/>
          </w:tcPr>
          <w:p w14:paraId="5B6B2E9E" w14:textId="532392E2" w:rsidR="00012D16" w:rsidRPr="00783DC8" w:rsidRDefault="00012D16" w:rsidP="00012D16">
            <w:pPr>
              <w:spacing w:before="120" w:after="60"/>
              <w:rPr>
                <w:rFonts w:ascii="Arial Narrow" w:eastAsia="Times New Roman" w:hAnsi="Arial Narrow" w:cs="Calibri"/>
                <w:snapToGrid w:val="0"/>
                <w:sz w:val="18"/>
                <w:szCs w:val="18"/>
              </w:rPr>
            </w:pPr>
            <w:r w:rsidRPr="00783DC8">
              <w:rPr>
                <w:rFonts w:ascii="Arial Narrow" w:eastAsia="Times New Roman" w:hAnsi="Arial Narrow" w:cs="Calibri"/>
                <w:snapToGrid w:val="0"/>
                <w:sz w:val="18"/>
                <w:szCs w:val="18"/>
              </w:rPr>
              <w:t>Sensitivity analysis 2: Proportion of private LTG scripts for bipolar disorder (</w:t>
            </w:r>
            <w:r w:rsidRPr="00783DC8">
              <w:rPr>
                <w:rFonts w:ascii="Arial Narrow" w:eastAsia="Times New Roman" w:hAnsi="Arial Narrow" w:cs="Calibri"/>
                <w:b/>
                <w:bCs/>
                <w:snapToGrid w:val="0"/>
                <w:sz w:val="18"/>
                <w:szCs w:val="18"/>
              </w:rPr>
              <w:t>100%</w:t>
            </w:r>
            <w:r w:rsidRPr="00783DC8">
              <w:rPr>
                <w:rFonts w:ascii="Arial Narrow" w:eastAsia="Times New Roman" w:hAnsi="Arial Narrow" w:cs="Calibri"/>
                <w:snapToGrid w:val="0"/>
                <w:sz w:val="18"/>
                <w:szCs w:val="18"/>
              </w:rPr>
              <w:t>); uptake rate (95%)</w:t>
            </w:r>
            <w:r>
              <w:rPr>
                <w:rFonts w:ascii="Arial Narrow" w:eastAsia="Times New Roman" w:hAnsi="Arial Narrow" w:cs="Calibri"/>
                <w:snapToGrid w:val="0"/>
                <w:sz w:val="18"/>
                <w:szCs w:val="18"/>
              </w:rPr>
              <w:t xml:space="preserve">; </w:t>
            </w:r>
            <w:r w:rsidRPr="003663C9">
              <w:rPr>
                <w:rFonts w:ascii="Arial Narrow" w:eastAsia="Times New Roman" w:hAnsi="Arial Narrow" w:cs="Calibri"/>
                <w:snapToGrid w:val="0"/>
                <w:sz w:val="18"/>
                <w:szCs w:val="18"/>
              </w:rPr>
              <w:t xml:space="preserve">2025 </w:t>
            </w:r>
            <w:r w:rsidRPr="00012D16">
              <w:rPr>
                <w:rFonts w:ascii="Arial Narrow" w:eastAsia="Times New Roman" w:hAnsi="Arial Narrow" w:cs="Calibri"/>
                <w:snapToGrid w:val="0"/>
                <w:sz w:val="18"/>
                <w:szCs w:val="18"/>
              </w:rPr>
              <w:t>patient co-payments</w:t>
            </w:r>
          </w:p>
        </w:tc>
      </w:tr>
      <w:tr w:rsidR="00012D16" w:rsidRPr="00783DC8" w14:paraId="2FD523C9" w14:textId="77777777" w:rsidTr="00716F5B">
        <w:tc>
          <w:tcPr>
            <w:tcW w:w="520" w:type="pct"/>
            <w:vAlign w:val="center"/>
          </w:tcPr>
          <w:p w14:paraId="1D5FA063" w14:textId="77777777" w:rsidR="00012D16" w:rsidRPr="00783DC8" w:rsidRDefault="00012D16" w:rsidP="00012D16">
            <w:pPr>
              <w:spacing w:before="120" w:after="60"/>
              <w:rPr>
                <w:rFonts w:ascii="Arial Narrow" w:eastAsia="Times New Roman" w:hAnsi="Arial Narrow" w:cs="Calibri"/>
                <w:snapToGrid w:val="0"/>
                <w:sz w:val="18"/>
                <w:szCs w:val="18"/>
              </w:rPr>
            </w:pPr>
            <w:r w:rsidRPr="00783DC8">
              <w:rPr>
                <w:rFonts w:ascii="Arial Narrow" w:eastAsia="Calibri" w:hAnsi="Arial Narrow" w:cs="Calibri"/>
                <w:sz w:val="18"/>
                <w:szCs w:val="18"/>
              </w:rPr>
              <w:t>Net cost to R/PBS</w:t>
            </w:r>
          </w:p>
        </w:tc>
        <w:tc>
          <w:tcPr>
            <w:tcW w:w="530" w:type="pct"/>
            <w:tcBorders>
              <w:top w:val="single" w:sz="4" w:space="0" w:color="auto"/>
              <w:left w:val="single" w:sz="4" w:space="0" w:color="auto"/>
              <w:bottom w:val="single" w:sz="4" w:space="0" w:color="auto"/>
              <w:right w:val="single" w:sz="4" w:space="0" w:color="auto"/>
            </w:tcBorders>
            <w:vAlign w:val="center"/>
          </w:tcPr>
          <w:p w14:paraId="7898B414" w14:textId="188B3664" w:rsidR="00012D16" w:rsidRPr="0013100B"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13100B">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1541535C" w14:textId="7B9F9015" w:rsidR="00012D16" w:rsidRPr="0013100B"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13100B">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0627C013" w14:textId="5B908B38" w:rsidR="00012D16" w:rsidRPr="0013100B"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13100B">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3E004F9A" w14:textId="65D4D523" w:rsidR="00012D16" w:rsidRPr="0013100B"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13100B">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2CFA915A" w14:textId="5AE01054" w:rsidR="00012D16" w:rsidRPr="0013100B"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13100B">
              <w:rPr>
                <w:rFonts w:ascii="Arial Narrow" w:hAnsi="Arial Narrow" w:cs="Arial"/>
                <w:color w:val="000000"/>
                <w:sz w:val="18"/>
                <w:szCs w:val="18"/>
                <w:vertAlign w:val="superscript"/>
              </w:rPr>
              <w:t>1</w:t>
            </w:r>
          </w:p>
        </w:tc>
        <w:tc>
          <w:tcPr>
            <w:tcW w:w="575" w:type="pct"/>
            <w:tcBorders>
              <w:top w:val="single" w:sz="4" w:space="0" w:color="auto"/>
              <w:left w:val="nil"/>
              <w:bottom w:val="single" w:sz="4" w:space="0" w:color="auto"/>
              <w:right w:val="single" w:sz="4" w:space="0" w:color="auto"/>
            </w:tcBorders>
            <w:vAlign w:val="center"/>
          </w:tcPr>
          <w:p w14:paraId="23A6EB56" w14:textId="06A43CF3" w:rsidR="00012D16" w:rsidRPr="0013100B"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13100B">
              <w:rPr>
                <w:rFonts w:ascii="Arial Narrow" w:hAnsi="Arial Narrow" w:cs="Arial"/>
                <w:color w:val="000000"/>
                <w:sz w:val="18"/>
                <w:szCs w:val="18"/>
                <w:vertAlign w:val="superscript"/>
              </w:rPr>
              <w:t>1</w:t>
            </w:r>
          </w:p>
        </w:tc>
        <w:tc>
          <w:tcPr>
            <w:tcW w:w="575" w:type="pct"/>
            <w:tcBorders>
              <w:top w:val="nil"/>
              <w:left w:val="nil"/>
              <w:bottom w:val="nil"/>
              <w:right w:val="nil"/>
            </w:tcBorders>
            <w:vAlign w:val="center"/>
          </w:tcPr>
          <w:p w14:paraId="559EFA36" w14:textId="4235E388" w:rsidR="00012D16" w:rsidRPr="00DB1A42"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091F6D" w:rsidRPr="00091F6D">
              <w:rPr>
                <w:rFonts w:ascii="Arial Narrow" w:hAnsi="Arial Narrow" w:cs="Arial"/>
                <w:sz w:val="18"/>
                <w:szCs w:val="18"/>
                <w:vertAlign w:val="superscript"/>
              </w:rPr>
              <w:t>4</w:t>
            </w:r>
          </w:p>
        </w:tc>
        <w:tc>
          <w:tcPr>
            <w:tcW w:w="680" w:type="pct"/>
            <w:vAlign w:val="center"/>
          </w:tcPr>
          <w:p w14:paraId="4EF1DDC1" w14:textId="77777777" w:rsidR="00012D16" w:rsidRPr="00783DC8" w:rsidRDefault="00012D16" w:rsidP="00012D16">
            <w:pPr>
              <w:spacing w:before="120" w:after="60"/>
              <w:jc w:val="center"/>
              <w:rPr>
                <w:rFonts w:ascii="Arial Narrow" w:eastAsia="Times New Roman" w:hAnsi="Arial Narrow" w:cs="Calibri"/>
                <w:snapToGrid w:val="0"/>
                <w:sz w:val="18"/>
                <w:szCs w:val="18"/>
              </w:rPr>
            </w:pPr>
            <w:r w:rsidRPr="00012D16">
              <w:rPr>
                <w:rFonts w:ascii="Arial Narrow" w:eastAsia="Times New Roman" w:hAnsi="Arial Narrow" w:cs="Calibri"/>
                <w:snapToGrid w:val="0"/>
                <w:sz w:val="18"/>
                <w:szCs w:val="18"/>
              </w:rPr>
              <w:t>+5.3%</w:t>
            </w:r>
          </w:p>
        </w:tc>
      </w:tr>
      <w:tr w:rsidR="00012D16" w:rsidRPr="00783DC8" w14:paraId="5CAA6C0E" w14:textId="77777777" w:rsidTr="00783DC8">
        <w:tc>
          <w:tcPr>
            <w:tcW w:w="5000" w:type="pct"/>
            <w:gridSpan w:val="9"/>
            <w:shd w:val="clear" w:color="auto" w:fill="F2F2F2"/>
            <w:vAlign w:val="center"/>
          </w:tcPr>
          <w:p w14:paraId="1ECA945D" w14:textId="1F7CDBFB" w:rsidR="00012D16" w:rsidRPr="00783DC8" w:rsidRDefault="00012D16" w:rsidP="00012D16">
            <w:pPr>
              <w:spacing w:before="120" w:after="60"/>
              <w:rPr>
                <w:rFonts w:ascii="Arial Narrow" w:eastAsia="Times New Roman" w:hAnsi="Arial Narrow" w:cs="Calibri"/>
                <w:snapToGrid w:val="0"/>
                <w:sz w:val="18"/>
                <w:szCs w:val="18"/>
              </w:rPr>
            </w:pPr>
            <w:r w:rsidRPr="00783DC8">
              <w:rPr>
                <w:rFonts w:ascii="Arial Narrow" w:eastAsia="Times New Roman" w:hAnsi="Arial Narrow" w:cs="Calibri"/>
                <w:snapToGrid w:val="0"/>
                <w:sz w:val="18"/>
                <w:szCs w:val="18"/>
              </w:rPr>
              <w:t>Sensitivity analysis 3: Proportion of private LTG scripts for bipolar disorder (95%); uptake rate (</w:t>
            </w:r>
            <w:r w:rsidRPr="00783DC8">
              <w:rPr>
                <w:rFonts w:ascii="Arial Narrow" w:eastAsia="Times New Roman" w:hAnsi="Arial Narrow" w:cs="Calibri"/>
                <w:b/>
                <w:bCs/>
                <w:snapToGrid w:val="0"/>
                <w:sz w:val="18"/>
                <w:szCs w:val="18"/>
              </w:rPr>
              <w:t>90%</w:t>
            </w:r>
            <w:r w:rsidRPr="00783DC8">
              <w:rPr>
                <w:rFonts w:ascii="Arial Narrow" w:eastAsia="Times New Roman" w:hAnsi="Arial Narrow" w:cs="Calibri"/>
                <w:snapToGrid w:val="0"/>
                <w:sz w:val="18"/>
                <w:szCs w:val="18"/>
              </w:rPr>
              <w:t>)</w:t>
            </w:r>
            <w:r>
              <w:rPr>
                <w:rFonts w:ascii="Arial Narrow" w:eastAsia="Times New Roman" w:hAnsi="Arial Narrow" w:cs="Calibri"/>
                <w:snapToGrid w:val="0"/>
                <w:sz w:val="18"/>
                <w:szCs w:val="18"/>
              </w:rPr>
              <w:t xml:space="preserve">; </w:t>
            </w:r>
            <w:r w:rsidRPr="003663C9">
              <w:rPr>
                <w:rFonts w:ascii="Arial Narrow" w:eastAsia="Times New Roman" w:hAnsi="Arial Narrow" w:cs="Calibri"/>
                <w:snapToGrid w:val="0"/>
                <w:sz w:val="18"/>
                <w:szCs w:val="18"/>
              </w:rPr>
              <w:t>2025</w:t>
            </w:r>
            <w:r>
              <w:rPr>
                <w:rFonts w:ascii="Arial Narrow" w:eastAsia="Times New Roman" w:hAnsi="Arial Narrow" w:cs="Calibri"/>
                <w:b/>
                <w:bCs/>
                <w:snapToGrid w:val="0"/>
                <w:sz w:val="18"/>
                <w:szCs w:val="18"/>
              </w:rPr>
              <w:t xml:space="preserve"> </w:t>
            </w:r>
            <w:r w:rsidRPr="00012D16">
              <w:rPr>
                <w:rFonts w:ascii="Arial Narrow" w:eastAsia="Times New Roman" w:hAnsi="Arial Narrow" w:cs="Calibri"/>
                <w:snapToGrid w:val="0"/>
                <w:sz w:val="18"/>
                <w:szCs w:val="18"/>
              </w:rPr>
              <w:t>patient co-payments</w:t>
            </w:r>
          </w:p>
        </w:tc>
      </w:tr>
      <w:tr w:rsidR="00012D16" w:rsidRPr="00783DC8" w14:paraId="202A7EB6" w14:textId="77777777" w:rsidTr="00716F5B">
        <w:tc>
          <w:tcPr>
            <w:tcW w:w="520" w:type="pct"/>
            <w:vAlign w:val="center"/>
          </w:tcPr>
          <w:p w14:paraId="11003EBD" w14:textId="77777777" w:rsidR="00012D16" w:rsidRPr="00783DC8" w:rsidRDefault="00012D16" w:rsidP="00012D16">
            <w:pPr>
              <w:spacing w:before="120" w:after="60"/>
              <w:rPr>
                <w:rFonts w:ascii="Arial Narrow" w:eastAsia="Times New Roman" w:hAnsi="Arial Narrow" w:cs="Calibri"/>
                <w:snapToGrid w:val="0"/>
                <w:sz w:val="18"/>
                <w:szCs w:val="18"/>
              </w:rPr>
            </w:pPr>
            <w:r w:rsidRPr="00783DC8">
              <w:rPr>
                <w:rFonts w:ascii="Arial Narrow" w:eastAsia="Calibri" w:hAnsi="Arial Narrow" w:cs="Calibri"/>
                <w:sz w:val="18"/>
                <w:szCs w:val="18"/>
              </w:rPr>
              <w:t>Net cost to R/PBS</w:t>
            </w:r>
          </w:p>
        </w:tc>
        <w:tc>
          <w:tcPr>
            <w:tcW w:w="530" w:type="pct"/>
            <w:tcBorders>
              <w:top w:val="single" w:sz="4" w:space="0" w:color="auto"/>
              <w:left w:val="single" w:sz="4" w:space="0" w:color="auto"/>
              <w:bottom w:val="single" w:sz="4" w:space="0" w:color="auto"/>
              <w:right w:val="single" w:sz="4" w:space="0" w:color="auto"/>
            </w:tcBorders>
            <w:vAlign w:val="center"/>
          </w:tcPr>
          <w:p w14:paraId="5173907B" w14:textId="0FE61069" w:rsidR="00012D16" w:rsidRPr="00CD6141"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CD6141">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597AA4E2" w14:textId="2EA97961" w:rsidR="00012D16" w:rsidRPr="00CD6141"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CD6141">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51146903" w14:textId="5068A429" w:rsidR="00012D16" w:rsidRPr="00CD6141"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CD6141">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170D7C0C" w14:textId="17160A2E" w:rsidR="00012D16" w:rsidRPr="00CD6141"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CD6141">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7B5C97AC" w14:textId="57877A2B" w:rsidR="00012D16" w:rsidRPr="00CD6141"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CD6141">
              <w:rPr>
                <w:rFonts w:ascii="Arial Narrow" w:hAnsi="Arial Narrow" w:cs="Arial"/>
                <w:color w:val="000000"/>
                <w:sz w:val="18"/>
                <w:szCs w:val="18"/>
                <w:vertAlign w:val="superscript"/>
              </w:rPr>
              <w:t>1</w:t>
            </w:r>
          </w:p>
        </w:tc>
        <w:tc>
          <w:tcPr>
            <w:tcW w:w="575" w:type="pct"/>
            <w:tcBorders>
              <w:top w:val="single" w:sz="4" w:space="0" w:color="auto"/>
              <w:left w:val="nil"/>
              <w:bottom w:val="single" w:sz="4" w:space="0" w:color="auto"/>
              <w:right w:val="single" w:sz="4" w:space="0" w:color="auto"/>
            </w:tcBorders>
            <w:vAlign w:val="center"/>
          </w:tcPr>
          <w:p w14:paraId="2A338DFB" w14:textId="5A6D6F28" w:rsidR="00012D16" w:rsidRPr="00CD6141"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CD6141">
              <w:rPr>
                <w:rFonts w:ascii="Arial Narrow" w:hAnsi="Arial Narrow" w:cs="Arial"/>
                <w:color w:val="000000"/>
                <w:sz w:val="18"/>
                <w:szCs w:val="18"/>
                <w:vertAlign w:val="superscript"/>
              </w:rPr>
              <w:t>1</w:t>
            </w:r>
          </w:p>
        </w:tc>
        <w:tc>
          <w:tcPr>
            <w:tcW w:w="575" w:type="pct"/>
            <w:tcBorders>
              <w:top w:val="nil"/>
              <w:left w:val="nil"/>
              <w:bottom w:val="nil"/>
              <w:right w:val="nil"/>
            </w:tcBorders>
            <w:vAlign w:val="center"/>
          </w:tcPr>
          <w:p w14:paraId="16DAB0A0" w14:textId="092111EC" w:rsidR="00012D16" w:rsidRPr="00D1146D" w:rsidRDefault="00063C21" w:rsidP="00012D16">
            <w:pPr>
              <w:spacing w:before="120" w:after="60"/>
              <w:jc w:val="center"/>
              <w:rPr>
                <w:rFonts w:ascii="Arial Narrow" w:eastAsia="Calibri" w:hAnsi="Arial Narrow" w:cs="Arial"/>
                <w:color w:val="FF0000"/>
                <w:sz w:val="18"/>
                <w:szCs w:val="18"/>
                <w:vertAlign w:val="superscript"/>
              </w:rPr>
            </w:pPr>
            <w:r w:rsidRPr="00063C21">
              <w:rPr>
                <w:rFonts w:ascii="Arial Narrow" w:hAnsi="Arial Narrow" w:cs="Arial"/>
                <w:sz w:val="18"/>
                <w:szCs w:val="18"/>
                <w:highlight w:val="black"/>
              </w:rPr>
              <w:t>XXXXXX</w:t>
            </w:r>
            <w:r w:rsidR="00091F6D" w:rsidRPr="00091F6D">
              <w:rPr>
                <w:rFonts w:ascii="Arial Narrow" w:hAnsi="Arial Narrow" w:cs="Arial"/>
                <w:sz w:val="18"/>
                <w:szCs w:val="18"/>
                <w:vertAlign w:val="superscript"/>
              </w:rPr>
              <w:t>3</w:t>
            </w:r>
          </w:p>
        </w:tc>
        <w:tc>
          <w:tcPr>
            <w:tcW w:w="680" w:type="pct"/>
            <w:vAlign w:val="center"/>
          </w:tcPr>
          <w:p w14:paraId="5EB6A6D1" w14:textId="77777777" w:rsidR="00012D16" w:rsidRPr="00783DC8" w:rsidRDefault="00012D16" w:rsidP="00012D16">
            <w:pPr>
              <w:spacing w:before="120" w:after="60"/>
              <w:jc w:val="center"/>
              <w:rPr>
                <w:rFonts w:ascii="Arial Narrow" w:eastAsia="Times New Roman" w:hAnsi="Arial Narrow" w:cs="Calibri"/>
                <w:snapToGrid w:val="0"/>
                <w:sz w:val="18"/>
                <w:szCs w:val="18"/>
              </w:rPr>
            </w:pPr>
            <w:r w:rsidRPr="00012D16">
              <w:rPr>
                <w:rFonts w:ascii="Arial Narrow" w:eastAsia="Times New Roman" w:hAnsi="Arial Narrow" w:cs="Calibri"/>
                <w:snapToGrid w:val="0"/>
                <w:sz w:val="18"/>
                <w:szCs w:val="18"/>
              </w:rPr>
              <w:t>-5.3%</w:t>
            </w:r>
          </w:p>
        </w:tc>
      </w:tr>
      <w:tr w:rsidR="00012D16" w:rsidRPr="00783DC8" w14:paraId="0E77288D" w14:textId="77777777" w:rsidTr="00783DC8">
        <w:tc>
          <w:tcPr>
            <w:tcW w:w="5000" w:type="pct"/>
            <w:gridSpan w:val="9"/>
            <w:shd w:val="clear" w:color="auto" w:fill="F2F2F2"/>
          </w:tcPr>
          <w:p w14:paraId="194BDD58" w14:textId="761893E6" w:rsidR="00012D16" w:rsidRPr="00783DC8" w:rsidRDefault="00012D16" w:rsidP="00012D16">
            <w:pPr>
              <w:spacing w:before="120" w:after="60"/>
              <w:rPr>
                <w:rFonts w:ascii="Arial Narrow" w:eastAsia="Times New Roman" w:hAnsi="Arial Narrow" w:cs="Calibri"/>
                <w:snapToGrid w:val="0"/>
                <w:sz w:val="18"/>
                <w:szCs w:val="18"/>
              </w:rPr>
            </w:pPr>
            <w:r w:rsidRPr="00783DC8">
              <w:rPr>
                <w:rFonts w:ascii="Arial Narrow" w:eastAsia="Times New Roman" w:hAnsi="Arial Narrow" w:cs="Calibri"/>
                <w:snapToGrid w:val="0"/>
                <w:sz w:val="18"/>
                <w:szCs w:val="18"/>
              </w:rPr>
              <w:t>Sensitivity analysis 4: Proportion of private LTG scripts for bipolar disorder (95%); uptake rate (</w:t>
            </w:r>
            <w:r w:rsidRPr="00783DC8">
              <w:rPr>
                <w:rFonts w:ascii="Arial Narrow" w:eastAsia="Times New Roman" w:hAnsi="Arial Narrow" w:cs="Calibri"/>
                <w:b/>
                <w:bCs/>
                <w:snapToGrid w:val="0"/>
                <w:sz w:val="18"/>
                <w:szCs w:val="18"/>
              </w:rPr>
              <w:t>100%</w:t>
            </w:r>
            <w:r w:rsidRPr="00783DC8">
              <w:rPr>
                <w:rFonts w:ascii="Arial Narrow" w:eastAsia="Times New Roman" w:hAnsi="Arial Narrow" w:cs="Calibri"/>
                <w:snapToGrid w:val="0"/>
                <w:sz w:val="18"/>
                <w:szCs w:val="18"/>
              </w:rPr>
              <w:t>)</w:t>
            </w:r>
            <w:r>
              <w:rPr>
                <w:rFonts w:ascii="Arial Narrow" w:eastAsia="Times New Roman" w:hAnsi="Arial Narrow" w:cs="Calibri"/>
                <w:snapToGrid w:val="0"/>
                <w:sz w:val="18"/>
                <w:szCs w:val="18"/>
              </w:rPr>
              <w:t xml:space="preserve">; </w:t>
            </w:r>
            <w:r w:rsidRPr="003663C9">
              <w:rPr>
                <w:rFonts w:ascii="Arial Narrow" w:eastAsia="Times New Roman" w:hAnsi="Arial Narrow" w:cs="Calibri"/>
                <w:snapToGrid w:val="0"/>
                <w:sz w:val="18"/>
                <w:szCs w:val="18"/>
              </w:rPr>
              <w:t>2025</w:t>
            </w:r>
            <w:r>
              <w:rPr>
                <w:rFonts w:ascii="Arial Narrow" w:eastAsia="Times New Roman" w:hAnsi="Arial Narrow" w:cs="Calibri"/>
                <w:b/>
                <w:bCs/>
                <w:snapToGrid w:val="0"/>
                <w:sz w:val="18"/>
                <w:szCs w:val="18"/>
              </w:rPr>
              <w:t xml:space="preserve"> </w:t>
            </w:r>
            <w:r w:rsidRPr="00012D16">
              <w:rPr>
                <w:rFonts w:ascii="Arial Narrow" w:eastAsia="Times New Roman" w:hAnsi="Arial Narrow" w:cs="Calibri"/>
                <w:snapToGrid w:val="0"/>
                <w:sz w:val="18"/>
                <w:szCs w:val="18"/>
              </w:rPr>
              <w:t>patient co-payments</w:t>
            </w:r>
          </w:p>
        </w:tc>
      </w:tr>
      <w:tr w:rsidR="00012D16" w:rsidRPr="00783DC8" w14:paraId="4E92964C" w14:textId="77777777" w:rsidTr="00716F5B">
        <w:tc>
          <w:tcPr>
            <w:tcW w:w="520" w:type="pct"/>
            <w:vAlign w:val="center"/>
          </w:tcPr>
          <w:p w14:paraId="0C5B69D0" w14:textId="77777777" w:rsidR="00012D16" w:rsidRPr="00783DC8" w:rsidRDefault="00012D16" w:rsidP="00012D16">
            <w:pPr>
              <w:spacing w:before="120" w:after="60"/>
              <w:rPr>
                <w:rFonts w:ascii="Arial Narrow" w:eastAsia="Times New Roman" w:hAnsi="Arial Narrow" w:cs="Calibri"/>
                <w:snapToGrid w:val="0"/>
                <w:sz w:val="18"/>
                <w:szCs w:val="18"/>
              </w:rPr>
            </w:pPr>
            <w:r w:rsidRPr="00783DC8">
              <w:rPr>
                <w:rFonts w:ascii="Arial Narrow" w:eastAsia="Calibri" w:hAnsi="Arial Narrow" w:cs="Calibri"/>
                <w:sz w:val="18"/>
                <w:szCs w:val="18"/>
              </w:rPr>
              <w:t>Net cost to R/PBS</w:t>
            </w:r>
          </w:p>
        </w:tc>
        <w:tc>
          <w:tcPr>
            <w:tcW w:w="530" w:type="pct"/>
            <w:tcBorders>
              <w:top w:val="single" w:sz="4" w:space="0" w:color="auto"/>
              <w:left w:val="single" w:sz="4" w:space="0" w:color="auto"/>
              <w:bottom w:val="single" w:sz="4" w:space="0" w:color="auto"/>
              <w:right w:val="single" w:sz="4" w:space="0" w:color="auto"/>
            </w:tcBorders>
            <w:vAlign w:val="center"/>
          </w:tcPr>
          <w:p w14:paraId="29F71A12" w14:textId="5FDEA7AA" w:rsidR="00012D16" w:rsidRPr="00871C45"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871C45">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07AFDF49" w14:textId="6F6F935E" w:rsidR="00012D16" w:rsidRPr="00871C45"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871C45">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0115B696" w14:textId="20D482E0" w:rsidR="00012D16" w:rsidRPr="00871C45"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871C45">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390A3B69" w14:textId="5F1595CB" w:rsidR="00012D16" w:rsidRPr="00871C45"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871C45">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5895F759" w14:textId="3400B86E" w:rsidR="00012D16" w:rsidRPr="00871C45"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871C45">
              <w:rPr>
                <w:rFonts w:ascii="Arial Narrow" w:hAnsi="Arial Narrow" w:cs="Arial"/>
                <w:color w:val="000000"/>
                <w:sz w:val="18"/>
                <w:szCs w:val="18"/>
                <w:vertAlign w:val="superscript"/>
              </w:rPr>
              <w:t>1</w:t>
            </w:r>
          </w:p>
        </w:tc>
        <w:tc>
          <w:tcPr>
            <w:tcW w:w="575" w:type="pct"/>
            <w:tcBorders>
              <w:top w:val="single" w:sz="4" w:space="0" w:color="auto"/>
              <w:left w:val="nil"/>
              <w:bottom w:val="single" w:sz="4" w:space="0" w:color="auto"/>
              <w:right w:val="single" w:sz="4" w:space="0" w:color="auto"/>
            </w:tcBorders>
            <w:vAlign w:val="center"/>
          </w:tcPr>
          <w:p w14:paraId="0C3EEC39" w14:textId="0D210C5A" w:rsidR="00012D16" w:rsidRPr="00871C45"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871C45">
              <w:rPr>
                <w:rFonts w:ascii="Arial Narrow" w:hAnsi="Arial Narrow" w:cs="Arial"/>
                <w:color w:val="000000"/>
                <w:sz w:val="18"/>
                <w:szCs w:val="18"/>
                <w:vertAlign w:val="superscript"/>
              </w:rPr>
              <w:t>1</w:t>
            </w:r>
          </w:p>
        </w:tc>
        <w:tc>
          <w:tcPr>
            <w:tcW w:w="575" w:type="pct"/>
            <w:tcBorders>
              <w:top w:val="nil"/>
              <w:left w:val="nil"/>
              <w:bottom w:val="nil"/>
              <w:right w:val="nil"/>
            </w:tcBorders>
            <w:vAlign w:val="center"/>
          </w:tcPr>
          <w:p w14:paraId="64F906D8" w14:textId="60C57899" w:rsidR="00012D16" w:rsidRPr="00DB1A42"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091F6D" w:rsidRPr="00091F6D">
              <w:rPr>
                <w:rFonts w:ascii="Arial Narrow" w:hAnsi="Arial Narrow" w:cs="Arial"/>
                <w:sz w:val="18"/>
                <w:szCs w:val="18"/>
                <w:vertAlign w:val="superscript"/>
              </w:rPr>
              <w:t>4</w:t>
            </w:r>
          </w:p>
        </w:tc>
        <w:tc>
          <w:tcPr>
            <w:tcW w:w="680" w:type="pct"/>
            <w:vAlign w:val="center"/>
          </w:tcPr>
          <w:p w14:paraId="408878E4" w14:textId="77777777" w:rsidR="00012D16" w:rsidRPr="00783DC8" w:rsidRDefault="00012D16" w:rsidP="00012D16">
            <w:pPr>
              <w:spacing w:before="120" w:after="60"/>
              <w:jc w:val="center"/>
              <w:rPr>
                <w:rFonts w:ascii="Arial Narrow" w:eastAsia="Times New Roman" w:hAnsi="Arial Narrow" w:cs="Calibri"/>
                <w:snapToGrid w:val="0"/>
                <w:sz w:val="18"/>
                <w:szCs w:val="18"/>
              </w:rPr>
            </w:pPr>
            <w:r w:rsidRPr="00012D16">
              <w:rPr>
                <w:rFonts w:ascii="Arial Narrow" w:eastAsia="Times New Roman" w:hAnsi="Arial Narrow" w:cs="Calibri"/>
                <w:snapToGrid w:val="0"/>
                <w:sz w:val="18"/>
                <w:szCs w:val="18"/>
              </w:rPr>
              <w:t>+5.3%</w:t>
            </w:r>
          </w:p>
        </w:tc>
      </w:tr>
      <w:tr w:rsidR="00012D16" w:rsidRPr="00783DC8" w14:paraId="61CFA56D" w14:textId="77777777" w:rsidTr="00783DC8">
        <w:tc>
          <w:tcPr>
            <w:tcW w:w="5000" w:type="pct"/>
            <w:gridSpan w:val="9"/>
            <w:shd w:val="clear" w:color="auto" w:fill="F2F2F2"/>
            <w:vAlign w:val="center"/>
          </w:tcPr>
          <w:p w14:paraId="689CC8C9" w14:textId="133F1FAA" w:rsidR="00012D16" w:rsidRPr="00783DC8" w:rsidRDefault="00012D16" w:rsidP="00012D16">
            <w:pPr>
              <w:spacing w:before="120" w:after="60"/>
              <w:rPr>
                <w:rFonts w:ascii="Arial Narrow" w:eastAsia="Times New Roman" w:hAnsi="Arial Narrow" w:cs="Calibri"/>
                <w:snapToGrid w:val="0"/>
                <w:sz w:val="18"/>
                <w:szCs w:val="18"/>
              </w:rPr>
            </w:pPr>
            <w:r w:rsidRPr="00783DC8">
              <w:rPr>
                <w:rFonts w:ascii="Arial Narrow" w:eastAsia="Times New Roman" w:hAnsi="Arial Narrow" w:cs="Calibri"/>
                <w:snapToGrid w:val="0"/>
                <w:sz w:val="18"/>
                <w:szCs w:val="18"/>
              </w:rPr>
              <w:t>Sensitivity analysis 5: Proportion of private LTG scripts for bipolar disorder (</w:t>
            </w:r>
            <w:r w:rsidRPr="00783DC8">
              <w:rPr>
                <w:rFonts w:ascii="Arial Narrow" w:eastAsia="Times New Roman" w:hAnsi="Arial Narrow" w:cs="Calibri"/>
                <w:b/>
                <w:bCs/>
                <w:snapToGrid w:val="0"/>
                <w:sz w:val="18"/>
                <w:szCs w:val="18"/>
              </w:rPr>
              <w:t>100%</w:t>
            </w:r>
            <w:r w:rsidRPr="00783DC8">
              <w:rPr>
                <w:rFonts w:ascii="Arial Narrow" w:eastAsia="Times New Roman" w:hAnsi="Arial Narrow" w:cs="Calibri"/>
                <w:snapToGrid w:val="0"/>
                <w:sz w:val="18"/>
                <w:szCs w:val="18"/>
              </w:rPr>
              <w:t>); uptake rate (</w:t>
            </w:r>
            <w:r w:rsidRPr="00783DC8">
              <w:rPr>
                <w:rFonts w:ascii="Arial Narrow" w:eastAsia="Times New Roman" w:hAnsi="Arial Narrow" w:cs="Calibri"/>
                <w:b/>
                <w:bCs/>
                <w:snapToGrid w:val="0"/>
                <w:sz w:val="18"/>
                <w:szCs w:val="18"/>
              </w:rPr>
              <w:t>100%</w:t>
            </w:r>
            <w:r w:rsidRPr="00783DC8">
              <w:rPr>
                <w:rFonts w:ascii="Arial Narrow" w:eastAsia="Times New Roman" w:hAnsi="Arial Narrow" w:cs="Calibri"/>
                <w:snapToGrid w:val="0"/>
                <w:sz w:val="18"/>
                <w:szCs w:val="18"/>
              </w:rPr>
              <w:t>)</w:t>
            </w:r>
            <w:r>
              <w:rPr>
                <w:rFonts w:ascii="Arial Narrow" w:eastAsia="Times New Roman" w:hAnsi="Arial Narrow" w:cs="Calibri"/>
                <w:snapToGrid w:val="0"/>
                <w:sz w:val="18"/>
                <w:szCs w:val="18"/>
              </w:rPr>
              <w:t xml:space="preserve">; </w:t>
            </w:r>
            <w:r w:rsidRPr="003663C9">
              <w:rPr>
                <w:rFonts w:ascii="Arial Narrow" w:eastAsia="Times New Roman" w:hAnsi="Arial Narrow" w:cs="Calibri"/>
                <w:snapToGrid w:val="0"/>
                <w:sz w:val="18"/>
                <w:szCs w:val="18"/>
              </w:rPr>
              <w:t xml:space="preserve">2025 </w:t>
            </w:r>
            <w:r w:rsidRPr="00012D16">
              <w:rPr>
                <w:rFonts w:ascii="Arial Narrow" w:eastAsia="Times New Roman" w:hAnsi="Arial Narrow" w:cs="Calibri"/>
                <w:snapToGrid w:val="0"/>
                <w:sz w:val="18"/>
                <w:szCs w:val="18"/>
              </w:rPr>
              <w:t>patient co-payments</w:t>
            </w:r>
          </w:p>
        </w:tc>
      </w:tr>
      <w:tr w:rsidR="00012D16" w:rsidRPr="00783DC8" w14:paraId="171AE492" w14:textId="77777777" w:rsidTr="00AA5AE1">
        <w:tc>
          <w:tcPr>
            <w:tcW w:w="520" w:type="pct"/>
            <w:vAlign w:val="center"/>
          </w:tcPr>
          <w:p w14:paraId="760A41B4" w14:textId="77777777" w:rsidR="00012D16" w:rsidRPr="00783DC8" w:rsidRDefault="00012D16" w:rsidP="00012D16">
            <w:pPr>
              <w:spacing w:before="120" w:after="60"/>
              <w:rPr>
                <w:rFonts w:ascii="Arial Narrow" w:eastAsia="Times New Roman" w:hAnsi="Arial Narrow" w:cs="Calibri"/>
                <w:snapToGrid w:val="0"/>
                <w:sz w:val="18"/>
                <w:szCs w:val="18"/>
              </w:rPr>
            </w:pPr>
            <w:r w:rsidRPr="00783DC8">
              <w:rPr>
                <w:rFonts w:ascii="Arial Narrow" w:eastAsia="Calibri" w:hAnsi="Arial Narrow" w:cs="Calibri"/>
                <w:sz w:val="18"/>
                <w:szCs w:val="18"/>
              </w:rPr>
              <w:t>Net cost to R/PBS</w:t>
            </w:r>
          </w:p>
        </w:tc>
        <w:tc>
          <w:tcPr>
            <w:tcW w:w="530" w:type="pct"/>
            <w:tcBorders>
              <w:top w:val="single" w:sz="4" w:space="0" w:color="auto"/>
              <w:left w:val="single" w:sz="4" w:space="0" w:color="auto"/>
              <w:bottom w:val="single" w:sz="4" w:space="0" w:color="auto"/>
              <w:right w:val="single" w:sz="4" w:space="0" w:color="auto"/>
            </w:tcBorders>
            <w:vAlign w:val="center"/>
          </w:tcPr>
          <w:p w14:paraId="028780F1" w14:textId="1654EB93" w:rsidR="00012D16" w:rsidRPr="00871C45"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B435A1">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236A5C6B" w14:textId="09FA272E" w:rsidR="00012D16" w:rsidRPr="00B435A1"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B435A1">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4268378F" w14:textId="1375C0C0" w:rsidR="00012D16" w:rsidRPr="00B435A1"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B435A1">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33284CC1" w14:textId="133A97B6" w:rsidR="00012D16" w:rsidRPr="00B435A1"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B435A1">
              <w:rPr>
                <w:rFonts w:ascii="Arial Narrow" w:hAnsi="Arial Narrow" w:cs="Arial"/>
                <w:color w:val="00000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2C155FDB" w14:textId="614966A2" w:rsidR="00012D16" w:rsidRPr="00B435A1" w:rsidRDefault="00063C21"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B435A1">
              <w:rPr>
                <w:rFonts w:ascii="Arial Narrow" w:hAnsi="Arial Narrow" w:cs="Arial"/>
                <w:color w:val="000000"/>
                <w:sz w:val="18"/>
                <w:szCs w:val="18"/>
                <w:vertAlign w:val="superscript"/>
              </w:rPr>
              <w:t>1</w:t>
            </w:r>
          </w:p>
        </w:tc>
        <w:tc>
          <w:tcPr>
            <w:tcW w:w="575" w:type="pct"/>
            <w:tcBorders>
              <w:top w:val="single" w:sz="4" w:space="0" w:color="auto"/>
              <w:left w:val="nil"/>
              <w:bottom w:val="single" w:sz="4" w:space="0" w:color="auto"/>
              <w:right w:val="single" w:sz="4" w:space="0" w:color="auto"/>
            </w:tcBorders>
            <w:vAlign w:val="center"/>
          </w:tcPr>
          <w:p w14:paraId="4B0B22EF" w14:textId="3FC7E3EE" w:rsidR="00012D16" w:rsidRPr="001F69A0" w:rsidRDefault="00A87A8C"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516404">
              <w:rPr>
                <w:rFonts w:ascii="Arial Narrow" w:hAnsi="Arial Narrow" w:cs="Arial"/>
                <w:color w:val="000000"/>
                <w:sz w:val="18"/>
                <w:szCs w:val="18"/>
                <w:vertAlign w:val="superscript"/>
              </w:rPr>
              <w:t>2</w:t>
            </w:r>
          </w:p>
        </w:tc>
        <w:tc>
          <w:tcPr>
            <w:tcW w:w="575" w:type="pct"/>
            <w:tcBorders>
              <w:top w:val="nil"/>
              <w:left w:val="nil"/>
              <w:bottom w:val="single" w:sz="4" w:space="0" w:color="auto"/>
              <w:right w:val="nil"/>
            </w:tcBorders>
            <w:vAlign w:val="center"/>
          </w:tcPr>
          <w:p w14:paraId="05480484" w14:textId="1C62924D" w:rsidR="00012D16" w:rsidRPr="00DB1A42" w:rsidRDefault="00A87A8C" w:rsidP="00012D16">
            <w:pPr>
              <w:spacing w:before="120" w:after="60"/>
              <w:jc w:val="center"/>
              <w:rPr>
                <w:rFonts w:ascii="Arial Narrow" w:eastAsia="Times New Roman" w:hAnsi="Arial Narrow" w:cs="Calibri"/>
                <w:snapToGrid w:val="0"/>
                <w:color w:val="FF0000"/>
                <w:sz w:val="18"/>
                <w:szCs w:val="18"/>
                <w:vertAlign w:val="superscript"/>
              </w:rPr>
            </w:pPr>
            <w:r w:rsidRPr="00063C21">
              <w:rPr>
                <w:rFonts w:ascii="Arial Narrow" w:hAnsi="Arial Narrow" w:cs="Arial"/>
                <w:sz w:val="18"/>
                <w:szCs w:val="18"/>
                <w:highlight w:val="black"/>
              </w:rPr>
              <w:t>XXXXXX</w:t>
            </w:r>
            <w:r w:rsidR="00867C36" w:rsidRPr="00867C36">
              <w:rPr>
                <w:rFonts w:ascii="Arial Narrow" w:hAnsi="Arial Narrow" w:cs="Arial"/>
                <w:color w:val="000000"/>
                <w:sz w:val="18"/>
                <w:szCs w:val="18"/>
                <w:vertAlign w:val="superscript"/>
              </w:rPr>
              <w:t>4</w:t>
            </w:r>
          </w:p>
        </w:tc>
        <w:tc>
          <w:tcPr>
            <w:tcW w:w="680" w:type="pct"/>
            <w:vAlign w:val="center"/>
          </w:tcPr>
          <w:p w14:paraId="36E1FFB0" w14:textId="77777777" w:rsidR="00012D16" w:rsidRPr="00783DC8" w:rsidRDefault="00012D16" w:rsidP="00012D16">
            <w:pPr>
              <w:spacing w:before="120" w:after="60"/>
              <w:jc w:val="center"/>
              <w:rPr>
                <w:rFonts w:ascii="Arial Narrow" w:eastAsia="Times New Roman" w:hAnsi="Arial Narrow" w:cs="Calibri"/>
                <w:snapToGrid w:val="0"/>
                <w:sz w:val="18"/>
                <w:szCs w:val="18"/>
              </w:rPr>
            </w:pPr>
            <w:r w:rsidRPr="00012D16">
              <w:rPr>
                <w:rFonts w:ascii="Arial Narrow" w:eastAsia="Times New Roman" w:hAnsi="Arial Narrow" w:cs="Calibri"/>
                <w:snapToGrid w:val="0"/>
                <w:sz w:val="18"/>
                <w:szCs w:val="18"/>
              </w:rPr>
              <w:t>+10.8%</w:t>
            </w:r>
          </w:p>
        </w:tc>
      </w:tr>
      <w:tr w:rsidR="00012D16" w:rsidRPr="00783DC8" w14:paraId="03668178" w14:textId="77777777" w:rsidTr="00012D16">
        <w:tc>
          <w:tcPr>
            <w:tcW w:w="5000" w:type="pct"/>
            <w:gridSpan w:val="9"/>
            <w:shd w:val="clear" w:color="auto" w:fill="F2F2F2" w:themeFill="background1" w:themeFillShade="F2"/>
            <w:vAlign w:val="center"/>
          </w:tcPr>
          <w:p w14:paraId="6D5F7DB5" w14:textId="1D4F863D" w:rsidR="00012D16" w:rsidRPr="00783DC8" w:rsidRDefault="00012D16" w:rsidP="00012D16">
            <w:pPr>
              <w:spacing w:before="120" w:after="60"/>
              <w:rPr>
                <w:rFonts w:ascii="Arial Narrow" w:eastAsia="Times New Roman" w:hAnsi="Arial Narrow" w:cs="Calibri"/>
                <w:snapToGrid w:val="0"/>
                <w:sz w:val="18"/>
                <w:szCs w:val="18"/>
              </w:rPr>
            </w:pPr>
            <w:r>
              <w:rPr>
                <w:rFonts w:ascii="Arial Narrow" w:eastAsia="Calibri" w:hAnsi="Arial Narrow" w:cs="Calibri"/>
                <w:sz w:val="18"/>
                <w:szCs w:val="18"/>
              </w:rPr>
              <w:t xml:space="preserve">Sensitivity analysis 6: </w:t>
            </w:r>
            <w:r w:rsidRPr="00012D16">
              <w:rPr>
                <w:rFonts w:ascii="Arial Narrow" w:eastAsia="Calibri" w:hAnsi="Arial Narrow" w:cs="Calibri"/>
                <w:sz w:val="18"/>
                <w:szCs w:val="18"/>
              </w:rPr>
              <w:t xml:space="preserve">Proportion of private LTG scripts for bipolar disorder (95%); uptake rate (95%); </w:t>
            </w:r>
            <w:r w:rsidRPr="00012D16">
              <w:rPr>
                <w:rFonts w:ascii="Arial Narrow" w:eastAsia="Calibri" w:hAnsi="Arial Narrow" w:cs="Calibri"/>
                <w:b/>
                <w:bCs/>
                <w:sz w:val="18"/>
                <w:szCs w:val="18"/>
              </w:rPr>
              <w:t>202</w:t>
            </w:r>
            <w:r>
              <w:rPr>
                <w:rFonts w:ascii="Arial Narrow" w:eastAsia="Calibri" w:hAnsi="Arial Narrow" w:cs="Calibri"/>
                <w:b/>
                <w:bCs/>
                <w:sz w:val="18"/>
                <w:szCs w:val="18"/>
              </w:rPr>
              <w:t>6</w:t>
            </w:r>
            <w:r w:rsidRPr="00012D16">
              <w:rPr>
                <w:rFonts w:ascii="Arial Narrow" w:eastAsia="Calibri" w:hAnsi="Arial Narrow" w:cs="Calibri"/>
                <w:b/>
                <w:bCs/>
                <w:sz w:val="18"/>
                <w:szCs w:val="18"/>
              </w:rPr>
              <w:t xml:space="preserve"> </w:t>
            </w:r>
            <w:r w:rsidRPr="00012D16">
              <w:rPr>
                <w:rFonts w:ascii="Arial Narrow" w:eastAsia="Calibri" w:hAnsi="Arial Narrow" w:cs="Calibri"/>
                <w:sz w:val="18"/>
                <w:szCs w:val="18"/>
              </w:rPr>
              <w:t>patient co-payments</w:t>
            </w:r>
          </w:p>
        </w:tc>
      </w:tr>
      <w:tr w:rsidR="00012D16" w:rsidRPr="00783DC8" w14:paraId="2B91D816" w14:textId="77777777" w:rsidTr="00716F5B">
        <w:tc>
          <w:tcPr>
            <w:tcW w:w="520" w:type="pct"/>
            <w:vAlign w:val="center"/>
          </w:tcPr>
          <w:p w14:paraId="5DF70E2F" w14:textId="2B7D5980" w:rsidR="00012D16" w:rsidRPr="00783DC8" w:rsidRDefault="00012D16" w:rsidP="00012D16">
            <w:pPr>
              <w:spacing w:before="120" w:after="60"/>
              <w:rPr>
                <w:rFonts w:ascii="Arial Narrow" w:eastAsia="Calibri" w:hAnsi="Arial Narrow" w:cs="Calibri"/>
                <w:sz w:val="18"/>
                <w:szCs w:val="18"/>
              </w:rPr>
            </w:pPr>
            <w:r w:rsidRPr="00783DC8">
              <w:rPr>
                <w:rFonts w:ascii="Arial Narrow" w:eastAsia="Calibri" w:hAnsi="Arial Narrow" w:cs="Calibri"/>
                <w:sz w:val="18"/>
                <w:szCs w:val="18"/>
              </w:rPr>
              <w:t>Net cost to R/PBS</w:t>
            </w:r>
          </w:p>
        </w:tc>
        <w:tc>
          <w:tcPr>
            <w:tcW w:w="530" w:type="pct"/>
            <w:tcBorders>
              <w:top w:val="single" w:sz="4" w:space="0" w:color="auto"/>
              <w:left w:val="single" w:sz="4" w:space="0" w:color="auto"/>
              <w:bottom w:val="single" w:sz="4" w:space="0" w:color="auto"/>
              <w:right w:val="single" w:sz="4" w:space="0" w:color="auto"/>
            </w:tcBorders>
            <w:vAlign w:val="center"/>
          </w:tcPr>
          <w:p w14:paraId="69E81330" w14:textId="4ACA2995" w:rsidR="00012D16" w:rsidRPr="00B435A1" w:rsidRDefault="00A87A8C" w:rsidP="00012D16">
            <w:pPr>
              <w:spacing w:before="120" w:after="60"/>
              <w:jc w:val="center"/>
              <w:rPr>
                <w:rFonts w:ascii="Arial Narrow" w:eastAsia="Times New Roman" w:hAnsi="Arial Narrow" w:cs="Calibri"/>
                <w:snapToGrid w:val="0"/>
                <w:sz w:val="18"/>
                <w:szCs w:val="18"/>
                <w:vertAlign w:val="superscript"/>
              </w:rPr>
            </w:pPr>
            <w:r w:rsidRPr="00063C21">
              <w:rPr>
                <w:rFonts w:ascii="Arial Narrow" w:hAnsi="Arial Narrow" w:cs="Arial"/>
                <w:sz w:val="18"/>
                <w:szCs w:val="18"/>
                <w:highlight w:val="black"/>
              </w:rPr>
              <w:t>XXXXXX</w:t>
            </w:r>
            <w:r w:rsidR="00B435A1">
              <w:rPr>
                <w:rFonts w:ascii="Arial Narrow" w:eastAsia="Times New Roman" w:hAnsi="Arial Narrow" w:cs="Calibri"/>
                <w:snapToGrid w:val="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07350AC8" w14:textId="57BC474C" w:rsidR="00012D16" w:rsidRPr="00B435A1" w:rsidRDefault="00A87A8C" w:rsidP="00012D16">
            <w:pPr>
              <w:spacing w:before="120" w:after="60"/>
              <w:jc w:val="center"/>
              <w:rPr>
                <w:rFonts w:ascii="Arial Narrow" w:eastAsia="Times New Roman" w:hAnsi="Arial Narrow" w:cs="Calibri"/>
                <w:snapToGrid w:val="0"/>
                <w:sz w:val="18"/>
                <w:szCs w:val="18"/>
                <w:vertAlign w:val="superscript"/>
              </w:rPr>
            </w:pPr>
            <w:r w:rsidRPr="00063C21">
              <w:rPr>
                <w:rFonts w:ascii="Arial Narrow" w:hAnsi="Arial Narrow" w:cs="Arial"/>
                <w:sz w:val="18"/>
                <w:szCs w:val="18"/>
                <w:highlight w:val="black"/>
              </w:rPr>
              <w:t>XXXXXX</w:t>
            </w:r>
            <w:r w:rsidR="00B435A1">
              <w:rPr>
                <w:rFonts w:ascii="Arial Narrow" w:eastAsia="Times New Roman" w:hAnsi="Arial Narrow" w:cs="Calibri"/>
                <w:snapToGrid w:val="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18EB552E" w14:textId="024711C1" w:rsidR="00012D16" w:rsidRPr="00B435A1" w:rsidRDefault="00A87A8C" w:rsidP="00012D16">
            <w:pPr>
              <w:spacing w:before="120" w:after="60"/>
              <w:jc w:val="center"/>
              <w:rPr>
                <w:rFonts w:ascii="Arial Narrow" w:eastAsia="Times New Roman" w:hAnsi="Arial Narrow" w:cs="Calibri"/>
                <w:snapToGrid w:val="0"/>
                <w:sz w:val="18"/>
                <w:szCs w:val="18"/>
                <w:vertAlign w:val="superscript"/>
              </w:rPr>
            </w:pPr>
            <w:r w:rsidRPr="00063C21">
              <w:rPr>
                <w:rFonts w:ascii="Arial Narrow" w:hAnsi="Arial Narrow" w:cs="Arial"/>
                <w:sz w:val="18"/>
                <w:szCs w:val="18"/>
                <w:highlight w:val="black"/>
              </w:rPr>
              <w:t>XXXXXX</w:t>
            </w:r>
            <w:r w:rsidR="00B435A1">
              <w:rPr>
                <w:rFonts w:ascii="Arial Narrow" w:eastAsia="Times New Roman" w:hAnsi="Arial Narrow" w:cs="Calibri"/>
                <w:snapToGrid w:val="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172F73DF" w14:textId="01B9BF27" w:rsidR="00012D16" w:rsidRPr="00B435A1" w:rsidRDefault="00A87A8C" w:rsidP="00012D16">
            <w:pPr>
              <w:spacing w:before="120" w:after="60"/>
              <w:jc w:val="center"/>
              <w:rPr>
                <w:rFonts w:ascii="Arial Narrow" w:eastAsia="Times New Roman" w:hAnsi="Arial Narrow" w:cs="Calibri"/>
                <w:snapToGrid w:val="0"/>
                <w:sz w:val="18"/>
                <w:szCs w:val="18"/>
                <w:vertAlign w:val="superscript"/>
              </w:rPr>
            </w:pPr>
            <w:r w:rsidRPr="00063C21">
              <w:rPr>
                <w:rFonts w:ascii="Arial Narrow" w:hAnsi="Arial Narrow" w:cs="Arial"/>
                <w:sz w:val="18"/>
                <w:szCs w:val="18"/>
                <w:highlight w:val="black"/>
              </w:rPr>
              <w:t>XXXXXX</w:t>
            </w:r>
            <w:r w:rsidR="00B435A1">
              <w:rPr>
                <w:rFonts w:ascii="Arial Narrow" w:eastAsia="Times New Roman" w:hAnsi="Arial Narrow" w:cs="Calibri"/>
                <w:snapToGrid w:val="0"/>
                <w:sz w:val="18"/>
                <w:szCs w:val="18"/>
                <w:vertAlign w:val="superscript"/>
              </w:rPr>
              <w:t>1</w:t>
            </w:r>
          </w:p>
        </w:tc>
        <w:tc>
          <w:tcPr>
            <w:tcW w:w="530" w:type="pct"/>
            <w:tcBorders>
              <w:top w:val="single" w:sz="4" w:space="0" w:color="auto"/>
              <w:left w:val="nil"/>
              <w:bottom w:val="single" w:sz="4" w:space="0" w:color="auto"/>
              <w:right w:val="single" w:sz="4" w:space="0" w:color="auto"/>
            </w:tcBorders>
            <w:vAlign w:val="center"/>
          </w:tcPr>
          <w:p w14:paraId="127CE14B" w14:textId="5C57F1E0" w:rsidR="00012D16" w:rsidRPr="00B435A1" w:rsidRDefault="00A87A8C" w:rsidP="00012D16">
            <w:pPr>
              <w:spacing w:before="120" w:after="60"/>
              <w:jc w:val="center"/>
              <w:rPr>
                <w:rFonts w:ascii="Arial Narrow" w:eastAsia="Times New Roman" w:hAnsi="Arial Narrow" w:cs="Calibri"/>
                <w:snapToGrid w:val="0"/>
                <w:sz w:val="18"/>
                <w:szCs w:val="18"/>
                <w:vertAlign w:val="superscript"/>
              </w:rPr>
            </w:pPr>
            <w:r w:rsidRPr="00063C21">
              <w:rPr>
                <w:rFonts w:ascii="Arial Narrow" w:hAnsi="Arial Narrow" w:cs="Arial"/>
                <w:sz w:val="18"/>
                <w:szCs w:val="18"/>
                <w:highlight w:val="black"/>
              </w:rPr>
              <w:t>XXXXXX</w:t>
            </w:r>
            <w:r w:rsidR="00B435A1">
              <w:rPr>
                <w:rFonts w:ascii="Arial Narrow" w:eastAsia="Times New Roman" w:hAnsi="Arial Narrow" w:cs="Calibri"/>
                <w:snapToGrid w:val="0"/>
                <w:sz w:val="18"/>
                <w:szCs w:val="18"/>
                <w:vertAlign w:val="superscript"/>
              </w:rPr>
              <w:t>1</w:t>
            </w:r>
          </w:p>
        </w:tc>
        <w:tc>
          <w:tcPr>
            <w:tcW w:w="575" w:type="pct"/>
            <w:tcBorders>
              <w:top w:val="single" w:sz="4" w:space="0" w:color="auto"/>
              <w:left w:val="nil"/>
              <w:bottom w:val="single" w:sz="4" w:space="0" w:color="auto"/>
              <w:right w:val="single" w:sz="4" w:space="0" w:color="auto"/>
            </w:tcBorders>
            <w:vAlign w:val="center"/>
          </w:tcPr>
          <w:p w14:paraId="5BDBC553" w14:textId="72CDEC53" w:rsidR="00012D16" w:rsidRPr="00B435A1" w:rsidRDefault="00A87A8C" w:rsidP="00012D16">
            <w:pPr>
              <w:spacing w:before="120" w:after="60"/>
              <w:jc w:val="center"/>
              <w:rPr>
                <w:rFonts w:ascii="Arial Narrow" w:eastAsia="Times New Roman" w:hAnsi="Arial Narrow" w:cs="Calibri"/>
                <w:snapToGrid w:val="0"/>
                <w:sz w:val="18"/>
                <w:szCs w:val="18"/>
                <w:vertAlign w:val="superscript"/>
              </w:rPr>
            </w:pPr>
            <w:r w:rsidRPr="00063C21">
              <w:rPr>
                <w:rFonts w:ascii="Arial Narrow" w:hAnsi="Arial Narrow" w:cs="Arial"/>
                <w:sz w:val="18"/>
                <w:szCs w:val="18"/>
                <w:highlight w:val="black"/>
              </w:rPr>
              <w:t>XXXXXX</w:t>
            </w:r>
            <w:r w:rsidR="00B435A1">
              <w:rPr>
                <w:rFonts w:ascii="Arial Narrow" w:eastAsia="Times New Roman" w:hAnsi="Arial Narrow" w:cs="Calibri"/>
                <w:snapToGrid w:val="0"/>
                <w:sz w:val="18"/>
                <w:szCs w:val="18"/>
                <w:vertAlign w:val="superscript"/>
              </w:rPr>
              <w:t>1</w:t>
            </w:r>
          </w:p>
        </w:tc>
        <w:tc>
          <w:tcPr>
            <w:tcW w:w="575" w:type="pct"/>
            <w:vAlign w:val="center"/>
          </w:tcPr>
          <w:p w14:paraId="192DDB25" w14:textId="184BEECE" w:rsidR="00012D16" w:rsidRPr="00A87A8C" w:rsidRDefault="00A87A8C" w:rsidP="00012D16">
            <w:pPr>
              <w:spacing w:before="120" w:after="60"/>
              <w:jc w:val="center"/>
              <w:rPr>
                <w:rFonts w:ascii="Arial Narrow" w:eastAsia="Times New Roman" w:hAnsi="Arial Narrow" w:cs="Calibri"/>
                <w:snapToGrid w:val="0"/>
                <w:sz w:val="18"/>
                <w:szCs w:val="18"/>
                <w:vertAlign w:val="superscript"/>
              </w:rPr>
            </w:pPr>
            <w:r w:rsidRPr="00063C21">
              <w:rPr>
                <w:rFonts w:ascii="Arial Narrow" w:hAnsi="Arial Narrow" w:cs="Arial"/>
                <w:sz w:val="18"/>
                <w:szCs w:val="18"/>
                <w:highlight w:val="black"/>
              </w:rPr>
              <w:t>XXXXXX</w:t>
            </w:r>
            <w:r>
              <w:rPr>
                <w:rFonts w:ascii="Arial Narrow" w:eastAsia="Times New Roman" w:hAnsi="Arial Narrow" w:cs="Calibri"/>
                <w:snapToGrid w:val="0"/>
                <w:sz w:val="18"/>
                <w:szCs w:val="18"/>
                <w:vertAlign w:val="superscript"/>
              </w:rPr>
              <w:t>4</w:t>
            </w:r>
          </w:p>
        </w:tc>
        <w:tc>
          <w:tcPr>
            <w:tcW w:w="680" w:type="pct"/>
            <w:vAlign w:val="center"/>
          </w:tcPr>
          <w:p w14:paraId="0F3CD3B1" w14:textId="10DB67C0" w:rsidR="00012D16" w:rsidRPr="00783DC8" w:rsidRDefault="00012D16" w:rsidP="00012D16">
            <w:pPr>
              <w:spacing w:before="120" w:after="60"/>
              <w:jc w:val="center"/>
              <w:rPr>
                <w:rFonts w:ascii="Arial Narrow" w:eastAsia="Times New Roman" w:hAnsi="Arial Narrow" w:cs="Calibri"/>
                <w:snapToGrid w:val="0"/>
                <w:sz w:val="18"/>
                <w:szCs w:val="18"/>
              </w:rPr>
            </w:pPr>
            <w:r>
              <w:rPr>
                <w:rFonts w:ascii="Arial Narrow" w:eastAsia="Times New Roman" w:hAnsi="Arial Narrow" w:cs="Calibri"/>
                <w:snapToGrid w:val="0"/>
                <w:sz w:val="18"/>
                <w:szCs w:val="18"/>
              </w:rPr>
              <w:t>+2.2%</w:t>
            </w:r>
          </w:p>
        </w:tc>
      </w:tr>
    </w:tbl>
    <w:p w14:paraId="50570961" w14:textId="77777777" w:rsidR="00E86809" w:rsidRPr="00137CCC" w:rsidRDefault="00E86809" w:rsidP="00E86809">
      <w:pPr>
        <w:spacing w:after="0" w:line="240" w:lineRule="auto"/>
        <w:jc w:val="both"/>
        <w:rPr>
          <w:rFonts w:ascii="Arial Narrow" w:eastAsia="Times New Roman" w:hAnsi="Arial Narrow" w:cs="Calibri"/>
          <w:snapToGrid w:val="0"/>
          <w:sz w:val="18"/>
          <w:szCs w:val="18"/>
        </w:rPr>
      </w:pPr>
      <w:r w:rsidRPr="00137CCC">
        <w:rPr>
          <w:rFonts w:ascii="Arial Narrow" w:eastAsia="Times New Roman" w:hAnsi="Arial Narrow" w:cs="Calibri"/>
          <w:snapToGrid w:val="0"/>
          <w:sz w:val="18"/>
          <w:szCs w:val="18"/>
        </w:rPr>
        <w:t>Source: UCM workbook.</w:t>
      </w:r>
    </w:p>
    <w:p w14:paraId="360FAEE6" w14:textId="77777777" w:rsidR="00E86809" w:rsidRPr="00137CCC" w:rsidRDefault="00E86809" w:rsidP="00E86809">
      <w:pPr>
        <w:spacing w:after="0" w:line="240" w:lineRule="auto"/>
        <w:jc w:val="both"/>
        <w:rPr>
          <w:rFonts w:ascii="Arial Narrow" w:eastAsia="Times New Roman" w:hAnsi="Arial Narrow" w:cs="Calibri"/>
          <w:i/>
          <w:iCs/>
          <w:snapToGrid w:val="0"/>
          <w:sz w:val="18"/>
          <w:szCs w:val="18"/>
        </w:rPr>
      </w:pPr>
      <w:r w:rsidRPr="00137CCC">
        <w:rPr>
          <w:rFonts w:ascii="Arial Narrow" w:eastAsia="Times New Roman" w:hAnsi="Arial Narrow" w:cs="Calibri"/>
          <w:i/>
          <w:iCs/>
          <w:snapToGrid w:val="0"/>
          <w:sz w:val="18"/>
          <w:szCs w:val="18"/>
        </w:rPr>
        <w:t>The redacted values correspond to the following ranges:</w:t>
      </w:r>
    </w:p>
    <w:p w14:paraId="12B56D2C" w14:textId="77777777" w:rsidR="00E86809" w:rsidRDefault="00E86809" w:rsidP="00E86809">
      <w:pPr>
        <w:spacing w:after="0" w:line="240" w:lineRule="auto"/>
        <w:jc w:val="both"/>
        <w:rPr>
          <w:rFonts w:ascii="Arial Narrow" w:eastAsia="Times New Roman" w:hAnsi="Arial Narrow" w:cs="Calibri"/>
          <w:bCs/>
          <w:i/>
          <w:iCs/>
          <w:snapToGrid w:val="0"/>
          <w:sz w:val="18"/>
          <w:szCs w:val="18"/>
        </w:rPr>
      </w:pPr>
      <w:r w:rsidRPr="00137CCC">
        <w:rPr>
          <w:rFonts w:ascii="Arial Narrow" w:eastAsia="Times New Roman" w:hAnsi="Arial Narrow" w:cs="Calibri"/>
          <w:i/>
          <w:iCs/>
          <w:snapToGrid w:val="0"/>
          <w:sz w:val="18"/>
          <w:szCs w:val="18"/>
          <w:vertAlign w:val="superscript"/>
        </w:rPr>
        <w:t xml:space="preserve">1 </w:t>
      </w:r>
      <w:r w:rsidRPr="00137CCC">
        <w:rPr>
          <w:rFonts w:ascii="Arial Narrow" w:eastAsia="Times New Roman" w:hAnsi="Arial Narrow" w:cs="Calibri"/>
          <w:bCs/>
          <w:i/>
          <w:iCs/>
          <w:snapToGrid w:val="0"/>
          <w:sz w:val="18"/>
          <w:szCs w:val="18"/>
        </w:rPr>
        <w:t>$0 to &lt; $10 million</w:t>
      </w:r>
    </w:p>
    <w:p w14:paraId="1968C4E0" w14:textId="6E66A03B" w:rsidR="00516404" w:rsidRPr="00137CCC" w:rsidRDefault="008E58F6" w:rsidP="00E86809">
      <w:pPr>
        <w:spacing w:after="0" w:line="240" w:lineRule="auto"/>
        <w:jc w:val="both"/>
        <w:rPr>
          <w:rFonts w:ascii="Arial Narrow" w:eastAsia="Times New Roman" w:hAnsi="Arial Narrow" w:cs="Calibri"/>
          <w:bCs/>
          <w:i/>
          <w:iCs/>
          <w:snapToGrid w:val="0"/>
          <w:sz w:val="18"/>
          <w:szCs w:val="18"/>
        </w:rPr>
      </w:pPr>
      <w:r>
        <w:rPr>
          <w:rFonts w:ascii="Arial Narrow" w:eastAsia="Times New Roman" w:hAnsi="Arial Narrow" w:cs="Calibri"/>
          <w:i/>
          <w:iCs/>
          <w:snapToGrid w:val="0"/>
          <w:sz w:val="18"/>
          <w:szCs w:val="18"/>
          <w:vertAlign w:val="superscript"/>
        </w:rPr>
        <w:t>2</w:t>
      </w:r>
      <w:r w:rsidR="00516404" w:rsidRPr="00137CCC">
        <w:rPr>
          <w:rFonts w:ascii="Arial Narrow" w:eastAsia="Times New Roman" w:hAnsi="Arial Narrow" w:cs="Calibri"/>
          <w:i/>
          <w:iCs/>
          <w:snapToGrid w:val="0"/>
          <w:sz w:val="18"/>
          <w:szCs w:val="18"/>
          <w:vertAlign w:val="superscript"/>
        </w:rPr>
        <w:t xml:space="preserve"> </w:t>
      </w:r>
      <w:r w:rsidR="00516404" w:rsidRPr="00137CCC">
        <w:rPr>
          <w:rFonts w:ascii="Arial Narrow" w:eastAsia="Times New Roman" w:hAnsi="Arial Narrow" w:cs="Calibri"/>
          <w:bCs/>
          <w:i/>
          <w:iCs/>
          <w:snapToGrid w:val="0"/>
          <w:sz w:val="18"/>
          <w:szCs w:val="18"/>
        </w:rPr>
        <w:t>$</w:t>
      </w:r>
      <w:r w:rsidR="00516404">
        <w:rPr>
          <w:rFonts w:ascii="Arial Narrow" w:eastAsia="Times New Roman" w:hAnsi="Arial Narrow" w:cs="Calibri"/>
          <w:bCs/>
          <w:i/>
          <w:iCs/>
          <w:snapToGrid w:val="0"/>
          <w:sz w:val="18"/>
          <w:szCs w:val="18"/>
        </w:rPr>
        <w:t>1</w:t>
      </w:r>
      <w:r w:rsidR="00516404" w:rsidRPr="00137CCC">
        <w:rPr>
          <w:rFonts w:ascii="Arial Narrow" w:eastAsia="Times New Roman" w:hAnsi="Arial Narrow" w:cs="Calibri"/>
          <w:bCs/>
          <w:i/>
          <w:iCs/>
          <w:snapToGrid w:val="0"/>
          <w:sz w:val="18"/>
          <w:szCs w:val="18"/>
        </w:rPr>
        <w:t>0 to &lt; $</w:t>
      </w:r>
      <w:r w:rsidR="00516404">
        <w:rPr>
          <w:rFonts w:ascii="Arial Narrow" w:eastAsia="Times New Roman" w:hAnsi="Arial Narrow" w:cs="Calibri"/>
          <w:bCs/>
          <w:i/>
          <w:iCs/>
          <w:snapToGrid w:val="0"/>
          <w:sz w:val="18"/>
          <w:szCs w:val="18"/>
        </w:rPr>
        <w:t>2</w:t>
      </w:r>
      <w:r w:rsidR="00516404" w:rsidRPr="00137CCC">
        <w:rPr>
          <w:rFonts w:ascii="Arial Narrow" w:eastAsia="Times New Roman" w:hAnsi="Arial Narrow" w:cs="Calibri"/>
          <w:bCs/>
          <w:i/>
          <w:iCs/>
          <w:snapToGrid w:val="0"/>
          <w:sz w:val="18"/>
          <w:szCs w:val="18"/>
        </w:rPr>
        <w:t>0 million</w:t>
      </w:r>
    </w:p>
    <w:p w14:paraId="5C1729CA" w14:textId="79F2B5FB" w:rsidR="00F13E68" w:rsidRPr="00137CCC" w:rsidRDefault="00867C36" w:rsidP="00F13E68">
      <w:pPr>
        <w:spacing w:after="0" w:line="240" w:lineRule="auto"/>
        <w:jc w:val="both"/>
        <w:rPr>
          <w:rFonts w:ascii="Arial Narrow" w:eastAsia="Times New Roman" w:hAnsi="Arial Narrow" w:cs="Calibri"/>
          <w:bCs/>
          <w:i/>
          <w:iCs/>
          <w:snapToGrid w:val="0"/>
          <w:sz w:val="18"/>
          <w:szCs w:val="18"/>
        </w:rPr>
      </w:pPr>
      <w:r>
        <w:rPr>
          <w:rFonts w:ascii="Arial Narrow" w:eastAsia="Times New Roman" w:hAnsi="Arial Narrow" w:cs="Calibri"/>
          <w:i/>
          <w:iCs/>
          <w:snapToGrid w:val="0"/>
          <w:sz w:val="18"/>
          <w:szCs w:val="18"/>
          <w:vertAlign w:val="superscript"/>
        </w:rPr>
        <w:t>3</w:t>
      </w:r>
      <w:r w:rsidR="00F13E68" w:rsidRPr="00137CCC">
        <w:rPr>
          <w:rFonts w:ascii="Arial Narrow" w:eastAsia="Times New Roman" w:hAnsi="Arial Narrow" w:cs="Calibri"/>
          <w:i/>
          <w:iCs/>
          <w:snapToGrid w:val="0"/>
          <w:sz w:val="18"/>
          <w:szCs w:val="18"/>
        </w:rPr>
        <w:t xml:space="preserve"> $</w:t>
      </w:r>
      <w:r w:rsidR="00F13E68" w:rsidRPr="00137CCC">
        <w:rPr>
          <w:rFonts w:ascii="Arial Narrow" w:eastAsia="Times New Roman" w:hAnsi="Arial Narrow" w:cs="Calibri"/>
          <w:bCs/>
          <w:i/>
          <w:iCs/>
          <w:snapToGrid w:val="0"/>
          <w:sz w:val="18"/>
          <w:szCs w:val="18"/>
        </w:rPr>
        <w:t>40 million to &lt; $50 million</w:t>
      </w:r>
    </w:p>
    <w:p w14:paraId="07E8D256" w14:textId="529F744D" w:rsidR="00D1146D" w:rsidRPr="005441CB" w:rsidRDefault="00867C36" w:rsidP="00F13E68">
      <w:pPr>
        <w:spacing w:after="0" w:line="240" w:lineRule="auto"/>
        <w:jc w:val="both"/>
        <w:rPr>
          <w:rFonts w:ascii="Arial Narrow" w:eastAsia="Times New Roman" w:hAnsi="Arial Narrow" w:cs="Calibri"/>
          <w:i/>
          <w:iCs/>
          <w:snapToGrid w:val="0"/>
          <w:sz w:val="18"/>
          <w:szCs w:val="18"/>
        </w:rPr>
      </w:pPr>
      <w:r>
        <w:rPr>
          <w:rFonts w:ascii="Arial Narrow" w:eastAsia="Times New Roman" w:hAnsi="Arial Narrow" w:cs="Calibri"/>
          <w:i/>
          <w:iCs/>
          <w:snapToGrid w:val="0"/>
          <w:sz w:val="18"/>
          <w:szCs w:val="18"/>
          <w:vertAlign w:val="superscript"/>
        </w:rPr>
        <w:t>4</w:t>
      </w:r>
      <w:r w:rsidR="00D1146D" w:rsidRPr="00137CCC">
        <w:rPr>
          <w:rFonts w:ascii="Arial Narrow" w:eastAsia="Times New Roman" w:hAnsi="Arial Narrow" w:cs="Calibri"/>
          <w:i/>
          <w:iCs/>
          <w:snapToGrid w:val="0"/>
          <w:sz w:val="18"/>
          <w:szCs w:val="18"/>
        </w:rPr>
        <w:t xml:space="preserve"> $</w:t>
      </w:r>
      <w:r w:rsidR="00D1146D" w:rsidRPr="00137CCC">
        <w:rPr>
          <w:rFonts w:ascii="Arial Narrow" w:eastAsia="Times New Roman" w:hAnsi="Arial Narrow" w:cs="Calibri"/>
          <w:bCs/>
          <w:i/>
          <w:iCs/>
          <w:snapToGrid w:val="0"/>
          <w:sz w:val="18"/>
          <w:szCs w:val="18"/>
        </w:rPr>
        <w:t>50 million to &lt; $60 million</w:t>
      </w:r>
    </w:p>
    <w:p w14:paraId="4B8737A7" w14:textId="7F7A103E" w:rsidR="00601797" w:rsidRPr="00F31393" w:rsidRDefault="00DF7CFF" w:rsidP="008F5EC9">
      <w:pPr>
        <w:pStyle w:val="2-SectionHeading"/>
      </w:pPr>
      <w:r>
        <w:t>PBAC outcome</w:t>
      </w:r>
    </w:p>
    <w:p w14:paraId="2D65B887" w14:textId="37580B4D" w:rsidR="00944EC2" w:rsidRDefault="00944EC2" w:rsidP="007C18E3">
      <w:pPr>
        <w:pStyle w:val="3-BodyText"/>
        <w:spacing w:before="120" w:after="120" w:line="240" w:lineRule="auto"/>
        <w:jc w:val="both"/>
        <w:rPr>
          <w:rFonts w:ascii="Calibri" w:eastAsia="Times New Roman" w:hAnsi="Calibri" w:cs="Calibri"/>
          <w:snapToGrid w:val="0"/>
          <w:sz w:val="24"/>
          <w:szCs w:val="24"/>
        </w:rPr>
      </w:pPr>
      <w:r w:rsidRPr="00944EC2">
        <w:rPr>
          <w:rFonts w:ascii="Calibri" w:eastAsia="Times New Roman" w:hAnsi="Calibri" w:cs="Calibri"/>
          <w:snapToGrid w:val="0"/>
          <w:sz w:val="24"/>
          <w:szCs w:val="24"/>
        </w:rPr>
        <w:t xml:space="preserve">The PBAC noted </w:t>
      </w:r>
      <w:r w:rsidR="00DA11ED">
        <w:rPr>
          <w:rFonts w:ascii="Calibri" w:eastAsia="Times New Roman" w:hAnsi="Calibri" w:cs="Calibri"/>
          <w:snapToGrid w:val="0"/>
          <w:sz w:val="24"/>
          <w:szCs w:val="24"/>
        </w:rPr>
        <w:t>pre-PBAC responses from</w:t>
      </w:r>
      <w:r w:rsidR="00D7586A" w:rsidRPr="00D7586A">
        <w:rPr>
          <w:rFonts w:ascii="Calibri" w:eastAsia="Times New Roman" w:hAnsi="Calibri" w:cs="Calibri"/>
          <w:snapToGrid w:val="0"/>
          <w:sz w:val="24"/>
          <w:szCs w:val="24"/>
        </w:rPr>
        <w:t xml:space="preserve"> the RANZCP, the RACGP</w:t>
      </w:r>
      <w:r w:rsidR="00026733">
        <w:rPr>
          <w:rFonts w:ascii="Calibri" w:eastAsia="Times New Roman" w:hAnsi="Calibri" w:cs="Calibri"/>
          <w:snapToGrid w:val="0"/>
          <w:sz w:val="24"/>
          <w:szCs w:val="24"/>
        </w:rPr>
        <w:t xml:space="preserve">, the </w:t>
      </w:r>
      <w:r w:rsidR="00D7586A" w:rsidRPr="00D7586A">
        <w:rPr>
          <w:rFonts w:ascii="Calibri" w:eastAsia="Times New Roman" w:hAnsi="Calibri" w:cs="Calibri"/>
          <w:snapToGrid w:val="0"/>
          <w:sz w:val="24"/>
          <w:szCs w:val="24"/>
        </w:rPr>
        <w:t>NACCHO</w:t>
      </w:r>
      <w:r w:rsidR="00026733">
        <w:rPr>
          <w:rFonts w:ascii="Calibri" w:eastAsia="Times New Roman" w:hAnsi="Calibri" w:cs="Calibri"/>
          <w:snapToGrid w:val="0"/>
          <w:sz w:val="24"/>
          <w:szCs w:val="24"/>
        </w:rPr>
        <w:t xml:space="preserve"> and one sponsor.</w:t>
      </w:r>
    </w:p>
    <w:p w14:paraId="13DFD265" w14:textId="465B3389" w:rsidR="00317EFF" w:rsidRDefault="00CF2185" w:rsidP="007C18E3">
      <w:pPr>
        <w:pStyle w:val="3-BodyText"/>
        <w:spacing w:before="120" w:after="120" w:line="240" w:lineRule="auto"/>
        <w:jc w:val="both"/>
        <w:rPr>
          <w:rFonts w:ascii="Calibri" w:eastAsia="Times New Roman" w:hAnsi="Calibri" w:cs="Calibri"/>
          <w:snapToGrid w:val="0"/>
          <w:sz w:val="24"/>
          <w:szCs w:val="24"/>
        </w:rPr>
      </w:pPr>
      <w:r>
        <w:rPr>
          <w:rFonts w:ascii="Calibri" w:eastAsia="Times New Roman" w:hAnsi="Calibri" w:cs="Calibri"/>
          <w:snapToGrid w:val="0"/>
          <w:sz w:val="24"/>
          <w:szCs w:val="24"/>
        </w:rPr>
        <w:t xml:space="preserve">The PBAC recalled that </w:t>
      </w:r>
      <w:r w:rsidR="006534DE">
        <w:rPr>
          <w:rFonts w:ascii="Calibri" w:eastAsia="Times New Roman" w:hAnsi="Calibri" w:cs="Calibri"/>
          <w:snapToGrid w:val="0"/>
          <w:sz w:val="24"/>
          <w:szCs w:val="24"/>
        </w:rPr>
        <w:t xml:space="preserve">in May 2025 it considered the </w:t>
      </w:r>
      <w:r w:rsidR="002D2C08" w:rsidRPr="002B3578">
        <w:rPr>
          <w:rFonts w:ascii="Calibri" w:eastAsia="Times New Roman" w:hAnsi="Calibri" w:cs="Calibri"/>
          <w:i/>
          <w:iCs/>
          <w:snapToGrid w:val="0"/>
          <w:sz w:val="24"/>
          <w:szCs w:val="24"/>
        </w:rPr>
        <w:t>Review of clinical guidelines and cost estimates for the use of AEDs for the treatment of epilepsy</w:t>
      </w:r>
      <w:r w:rsidR="002D2C08" w:rsidRPr="002D2C08">
        <w:rPr>
          <w:rFonts w:ascii="Calibri" w:eastAsia="Times New Roman" w:hAnsi="Calibri" w:cs="Calibri"/>
          <w:snapToGrid w:val="0"/>
          <w:sz w:val="24"/>
          <w:szCs w:val="24"/>
        </w:rPr>
        <w:t xml:space="preserve"> report</w:t>
      </w:r>
      <w:r w:rsidR="00185C15">
        <w:rPr>
          <w:rFonts w:ascii="Calibri" w:eastAsia="Times New Roman" w:hAnsi="Calibri" w:cs="Calibri"/>
          <w:snapToGrid w:val="0"/>
          <w:sz w:val="24"/>
          <w:szCs w:val="24"/>
        </w:rPr>
        <w:t xml:space="preserve"> and </w:t>
      </w:r>
      <w:r w:rsidR="00185C15" w:rsidRPr="008530FA">
        <w:rPr>
          <w:rFonts w:ascii="Calibri" w:eastAsia="Times New Roman" w:hAnsi="Calibri" w:cs="Calibri"/>
          <w:snapToGrid w:val="0"/>
          <w:sz w:val="24"/>
          <w:szCs w:val="24"/>
        </w:rPr>
        <w:t>considered there may be an unmet need to subsidise LTG for mental illnesses such as bipolar disorder. The PBAC recommended in principle extending subsidy of LTG to this indication and requested that the Department undertake further work to estimate the cost to the R/PBS of a separate Restricted Benefit listing for LTG for bipolar disorder</w:t>
      </w:r>
      <w:r w:rsidR="003351F6">
        <w:rPr>
          <w:rFonts w:ascii="Calibri" w:eastAsia="Times New Roman" w:hAnsi="Calibri" w:cs="Calibri"/>
          <w:snapToGrid w:val="0"/>
          <w:sz w:val="24"/>
          <w:szCs w:val="24"/>
        </w:rPr>
        <w:t xml:space="preserve"> </w:t>
      </w:r>
      <w:r w:rsidR="00146C7B">
        <w:rPr>
          <w:rFonts w:ascii="Calibri" w:eastAsia="Times New Roman" w:hAnsi="Calibri" w:cs="Calibri"/>
          <w:snapToGrid w:val="0"/>
          <w:sz w:val="24"/>
          <w:szCs w:val="24"/>
        </w:rPr>
        <w:t xml:space="preserve">(the </w:t>
      </w:r>
      <w:r w:rsidR="00A83F1A">
        <w:rPr>
          <w:rFonts w:ascii="Calibri" w:eastAsia="Times New Roman" w:hAnsi="Calibri" w:cs="Calibri"/>
          <w:snapToGrid w:val="0"/>
          <w:sz w:val="24"/>
          <w:szCs w:val="24"/>
        </w:rPr>
        <w:t>“</w:t>
      </w:r>
      <w:r w:rsidR="00146C7B">
        <w:rPr>
          <w:rFonts w:ascii="Calibri" w:eastAsia="Times New Roman" w:hAnsi="Calibri" w:cs="Calibri"/>
          <w:snapToGrid w:val="0"/>
          <w:sz w:val="24"/>
          <w:szCs w:val="24"/>
        </w:rPr>
        <w:t xml:space="preserve">proposed listing”) </w:t>
      </w:r>
      <w:r w:rsidR="00185C15" w:rsidRPr="008530FA">
        <w:rPr>
          <w:rFonts w:ascii="Calibri" w:eastAsia="Times New Roman" w:hAnsi="Calibri" w:cs="Calibri"/>
          <w:snapToGrid w:val="0"/>
          <w:sz w:val="24"/>
          <w:szCs w:val="24"/>
        </w:rPr>
        <w:t>for its consideration at a future meeting.</w:t>
      </w:r>
    </w:p>
    <w:p w14:paraId="12D6BB36" w14:textId="54ECBCFC" w:rsidR="00BF63B3" w:rsidRPr="00146C7B" w:rsidRDefault="00BF63B3" w:rsidP="007C18E3">
      <w:pPr>
        <w:pStyle w:val="3-BodyText"/>
        <w:spacing w:before="120" w:after="120" w:line="240" w:lineRule="auto"/>
        <w:jc w:val="both"/>
        <w:rPr>
          <w:rFonts w:ascii="Calibri" w:eastAsia="Times New Roman" w:hAnsi="Calibri" w:cs="Calibri"/>
          <w:snapToGrid w:val="0"/>
          <w:sz w:val="24"/>
          <w:szCs w:val="24"/>
        </w:rPr>
      </w:pPr>
      <w:r w:rsidRPr="00BF63B3">
        <w:rPr>
          <w:rFonts w:ascii="Calibri" w:eastAsia="Times New Roman" w:hAnsi="Calibri" w:cs="Calibri"/>
          <w:snapToGrid w:val="0"/>
          <w:sz w:val="24"/>
          <w:szCs w:val="24"/>
        </w:rPr>
        <w:t xml:space="preserve">The PBAC recommended </w:t>
      </w:r>
      <w:r w:rsidR="00245966">
        <w:rPr>
          <w:rFonts w:ascii="Calibri" w:eastAsia="Times New Roman" w:hAnsi="Calibri" w:cs="Calibri"/>
          <w:snapToGrid w:val="0"/>
          <w:sz w:val="24"/>
          <w:szCs w:val="24"/>
        </w:rPr>
        <w:t>creating</w:t>
      </w:r>
      <w:r w:rsidRPr="00BF63B3">
        <w:rPr>
          <w:rFonts w:ascii="Calibri" w:eastAsia="Times New Roman" w:hAnsi="Calibri" w:cs="Calibri"/>
          <w:snapToGrid w:val="0"/>
          <w:sz w:val="24"/>
          <w:szCs w:val="24"/>
        </w:rPr>
        <w:t xml:space="preserve"> a new Restricted Benefit listing for all PBS-listed strengths of </w:t>
      </w:r>
      <w:r>
        <w:rPr>
          <w:rFonts w:ascii="Calibri" w:eastAsia="Times New Roman" w:hAnsi="Calibri" w:cs="Calibri"/>
          <w:snapToGrid w:val="0"/>
          <w:sz w:val="24"/>
          <w:szCs w:val="24"/>
        </w:rPr>
        <w:t>LTG</w:t>
      </w:r>
      <w:r w:rsidRPr="00BF63B3">
        <w:rPr>
          <w:rFonts w:ascii="Calibri" w:eastAsia="Times New Roman" w:hAnsi="Calibri" w:cs="Calibri"/>
          <w:snapToGrid w:val="0"/>
          <w:sz w:val="24"/>
          <w:szCs w:val="24"/>
        </w:rPr>
        <w:t xml:space="preserve"> tablets </w:t>
      </w:r>
      <w:r w:rsidR="001B3976">
        <w:rPr>
          <w:rFonts w:ascii="Calibri" w:eastAsia="Times New Roman" w:hAnsi="Calibri" w:cs="Calibri"/>
          <w:snapToGrid w:val="0"/>
          <w:sz w:val="24"/>
          <w:szCs w:val="24"/>
        </w:rPr>
        <w:t xml:space="preserve">(i.e. </w:t>
      </w:r>
      <w:r w:rsidRPr="00BF63B3">
        <w:rPr>
          <w:rFonts w:ascii="Calibri" w:eastAsia="Times New Roman" w:hAnsi="Calibri" w:cs="Calibri"/>
          <w:snapToGrid w:val="0"/>
          <w:sz w:val="24"/>
          <w:szCs w:val="24"/>
        </w:rPr>
        <w:t>5 mg, 25 mg, 50 mg, 100 mg and 200 mg</w:t>
      </w:r>
      <w:r w:rsidR="001B3976">
        <w:rPr>
          <w:rFonts w:ascii="Calibri" w:eastAsia="Times New Roman" w:hAnsi="Calibri" w:cs="Calibri"/>
          <w:snapToGrid w:val="0"/>
          <w:sz w:val="24"/>
          <w:szCs w:val="24"/>
        </w:rPr>
        <w:t xml:space="preserve">) </w:t>
      </w:r>
      <w:r w:rsidRPr="00BF63B3">
        <w:rPr>
          <w:rFonts w:ascii="Calibri" w:eastAsia="Times New Roman" w:hAnsi="Calibri" w:cs="Calibri"/>
          <w:snapToGrid w:val="0"/>
          <w:sz w:val="24"/>
          <w:szCs w:val="24"/>
        </w:rPr>
        <w:t>for the treatment of bipolar disorder</w:t>
      </w:r>
      <w:r w:rsidR="00616144">
        <w:rPr>
          <w:rFonts w:ascii="Calibri" w:eastAsia="Times New Roman" w:hAnsi="Calibri" w:cs="Calibri"/>
          <w:snapToGrid w:val="0"/>
          <w:sz w:val="24"/>
          <w:szCs w:val="24"/>
        </w:rPr>
        <w:t xml:space="preserve">, </w:t>
      </w:r>
      <w:r w:rsidR="00616144" w:rsidRPr="00616144">
        <w:rPr>
          <w:rFonts w:ascii="Calibri" w:eastAsia="Times New Roman" w:hAnsi="Calibri" w:cs="Calibri"/>
          <w:snapToGrid w:val="0"/>
          <w:sz w:val="24"/>
          <w:szCs w:val="24"/>
        </w:rPr>
        <w:t xml:space="preserve">to be priced equivalently to the existing LTG listings for </w:t>
      </w:r>
      <w:r w:rsidR="00616144" w:rsidRPr="00616144">
        <w:rPr>
          <w:rFonts w:ascii="Calibri" w:eastAsia="Times New Roman" w:hAnsi="Calibri" w:cs="Calibri"/>
          <w:snapToGrid w:val="0"/>
          <w:sz w:val="24"/>
          <w:szCs w:val="24"/>
        </w:rPr>
        <w:lastRenderedPageBreak/>
        <w:t>epileptic seizures.</w:t>
      </w:r>
      <w:r w:rsidR="00616144">
        <w:rPr>
          <w:rFonts w:ascii="Calibri" w:eastAsia="Times New Roman" w:hAnsi="Calibri" w:cs="Calibri"/>
          <w:snapToGrid w:val="0"/>
          <w:sz w:val="24"/>
          <w:szCs w:val="24"/>
        </w:rPr>
        <w:t xml:space="preserve"> </w:t>
      </w:r>
      <w:r w:rsidRPr="00BF63B3">
        <w:rPr>
          <w:rFonts w:ascii="Calibri" w:eastAsia="Times New Roman" w:hAnsi="Calibri" w:cs="Calibri"/>
          <w:snapToGrid w:val="0"/>
          <w:sz w:val="24"/>
          <w:szCs w:val="24"/>
        </w:rPr>
        <w:t xml:space="preserve">This recommendation was supported by stakeholders, who endorsed the subsidised use of </w:t>
      </w:r>
      <w:r>
        <w:rPr>
          <w:rFonts w:ascii="Calibri" w:eastAsia="Times New Roman" w:hAnsi="Calibri" w:cs="Calibri"/>
          <w:snapToGrid w:val="0"/>
          <w:sz w:val="24"/>
          <w:szCs w:val="24"/>
        </w:rPr>
        <w:t>LTG</w:t>
      </w:r>
      <w:r w:rsidRPr="00BF63B3">
        <w:rPr>
          <w:rFonts w:ascii="Calibri" w:eastAsia="Times New Roman" w:hAnsi="Calibri" w:cs="Calibri"/>
          <w:snapToGrid w:val="0"/>
          <w:sz w:val="24"/>
          <w:szCs w:val="24"/>
        </w:rPr>
        <w:t xml:space="preserve"> for this indication. Furthermore,</w:t>
      </w:r>
      <w:r w:rsidR="00814B90">
        <w:rPr>
          <w:rFonts w:ascii="Calibri" w:eastAsia="Times New Roman" w:hAnsi="Calibri" w:cs="Calibri"/>
          <w:snapToGrid w:val="0"/>
          <w:sz w:val="24"/>
          <w:szCs w:val="24"/>
        </w:rPr>
        <w:t xml:space="preserve"> </w:t>
      </w:r>
      <w:r w:rsidRPr="00BF63B3">
        <w:rPr>
          <w:rFonts w:ascii="Calibri" w:eastAsia="Times New Roman" w:hAnsi="Calibri" w:cs="Calibri"/>
          <w:snapToGrid w:val="0"/>
          <w:sz w:val="24"/>
          <w:szCs w:val="24"/>
        </w:rPr>
        <w:t xml:space="preserve">Australian clinical guidelines (eTG) </w:t>
      </w:r>
      <w:r w:rsidR="00245966">
        <w:rPr>
          <w:rFonts w:ascii="Calibri" w:eastAsia="Times New Roman" w:hAnsi="Calibri" w:cs="Calibri"/>
          <w:snapToGrid w:val="0"/>
          <w:sz w:val="24"/>
          <w:szCs w:val="24"/>
        </w:rPr>
        <w:t>recommend</w:t>
      </w:r>
      <w:r w:rsidRPr="00BF63B3">
        <w:rPr>
          <w:rFonts w:ascii="Calibri" w:eastAsia="Times New Roman" w:hAnsi="Calibri" w:cs="Calibri"/>
          <w:snapToGrid w:val="0"/>
          <w:sz w:val="24"/>
          <w:szCs w:val="24"/>
        </w:rPr>
        <w:t xml:space="preserve"> </w:t>
      </w:r>
      <w:r w:rsidR="00245966">
        <w:rPr>
          <w:rFonts w:ascii="Calibri" w:eastAsia="Times New Roman" w:hAnsi="Calibri" w:cs="Calibri"/>
          <w:snapToGrid w:val="0"/>
          <w:sz w:val="24"/>
          <w:szCs w:val="24"/>
        </w:rPr>
        <w:t>LTG</w:t>
      </w:r>
      <w:r w:rsidRPr="00BF63B3">
        <w:rPr>
          <w:rFonts w:ascii="Calibri" w:eastAsia="Times New Roman" w:hAnsi="Calibri" w:cs="Calibri"/>
          <w:snapToGrid w:val="0"/>
          <w:sz w:val="24"/>
          <w:szCs w:val="24"/>
        </w:rPr>
        <w:t xml:space="preserve"> as a first-line monotherapy for bipolar depression and as a second-line monotherapy for the prevention of bipolar disorder in both adults and young people.</w:t>
      </w:r>
    </w:p>
    <w:p w14:paraId="03C8AE87" w14:textId="1DAFD5FD" w:rsidR="00245966" w:rsidRDefault="00245966" w:rsidP="007C18E3">
      <w:pPr>
        <w:pStyle w:val="3-BodyText"/>
        <w:spacing w:before="120" w:after="120" w:line="240" w:lineRule="auto"/>
        <w:jc w:val="both"/>
        <w:rPr>
          <w:rFonts w:ascii="Calibri" w:eastAsia="Times New Roman" w:hAnsi="Calibri" w:cs="Calibri"/>
          <w:snapToGrid w:val="0"/>
          <w:sz w:val="24"/>
          <w:szCs w:val="24"/>
        </w:rPr>
      </w:pPr>
      <w:r w:rsidRPr="00245966">
        <w:rPr>
          <w:rFonts w:ascii="Calibri" w:eastAsia="Times New Roman" w:hAnsi="Calibri" w:cs="Calibri"/>
          <w:snapToGrid w:val="0"/>
          <w:sz w:val="24"/>
          <w:szCs w:val="24"/>
        </w:rPr>
        <w:t xml:space="preserve">The PBAC </w:t>
      </w:r>
      <w:r>
        <w:rPr>
          <w:rFonts w:ascii="Calibri" w:eastAsia="Times New Roman" w:hAnsi="Calibri" w:cs="Calibri"/>
          <w:snapToGrid w:val="0"/>
          <w:sz w:val="24"/>
          <w:szCs w:val="24"/>
        </w:rPr>
        <w:t>noted</w:t>
      </w:r>
      <w:r w:rsidRPr="00245966">
        <w:rPr>
          <w:rFonts w:ascii="Calibri" w:eastAsia="Times New Roman" w:hAnsi="Calibri" w:cs="Calibri"/>
          <w:snapToGrid w:val="0"/>
          <w:sz w:val="24"/>
          <w:szCs w:val="24"/>
        </w:rPr>
        <w:t xml:space="preserve"> that, although both the RANZCP and NACCHO </w:t>
      </w:r>
      <w:r w:rsidR="00997A66">
        <w:rPr>
          <w:rFonts w:ascii="Calibri" w:eastAsia="Times New Roman" w:hAnsi="Calibri" w:cs="Calibri"/>
          <w:snapToGrid w:val="0"/>
          <w:sz w:val="24"/>
          <w:szCs w:val="24"/>
        </w:rPr>
        <w:t>supported</w:t>
      </w:r>
      <w:r w:rsidRPr="00245966">
        <w:rPr>
          <w:rFonts w:ascii="Calibri" w:eastAsia="Times New Roman" w:hAnsi="Calibri" w:cs="Calibri"/>
          <w:snapToGrid w:val="0"/>
          <w:sz w:val="24"/>
          <w:szCs w:val="24"/>
        </w:rPr>
        <w:t xml:space="preserve"> an Unrestricted Benefit listing, only three of the eight brands of </w:t>
      </w:r>
      <w:r>
        <w:rPr>
          <w:rFonts w:ascii="Calibri" w:eastAsia="Times New Roman" w:hAnsi="Calibri" w:cs="Calibri"/>
          <w:snapToGrid w:val="0"/>
          <w:sz w:val="24"/>
          <w:szCs w:val="24"/>
        </w:rPr>
        <w:t>LTG</w:t>
      </w:r>
      <w:r w:rsidRPr="00245966">
        <w:rPr>
          <w:rFonts w:ascii="Calibri" w:eastAsia="Times New Roman" w:hAnsi="Calibri" w:cs="Calibri"/>
          <w:snapToGrid w:val="0"/>
          <w:sz w:val="24"/>
          <w:szCs w:val="24"/>
        </w:rPr>
        <w:t xml:space="preserve"> available on the PBS</w:t>
      </w:r>
      <w:r w:rsidR="001B3976">
        <w:rPr>
          <w:rFonts w:ascii="Calibri" w:eastAsia="Times New Roman" w:hAnsi="Calibri" w:cs="Calibri"/>
          <w:snapToGrid w:val="0"/>
          <w:sz w:val="24"/>
          <w:szCs w:val="24"/>
        </w:rPr>
        <w:t xml:space="preserve"> (</w:t>
      </w:r>
      <w:r w:rsidRPr="00245966">
        <w:rPr>
          <w:rFonts w:ascii="Calibri" w:eastAsia="Times New Roman" w:hAnsi="Calibri" w:cs="Calibri"/>
          <w:snapToGrid w:val="0"/>
          <w:sz w:val="24"/>
          <w:szCs w:val="24"/>
        </w:rPr>
        <w:t>Lamictal, Lamotrigine GH, and Sandoz Lamotrigine</w:t>
      </w:r>
      <w:r w:rsidR="001B3976">
        <w:rPr>
          <w:rFonts w:ascii="Calibri" w:eastAsia="Times New Roman" w:hAnsi="Calibri" w:cs="Calibri"/>
          <w:snapToGrid w:val="0"/>
          <w:sz w:val="24"/>
          <w:szCs w:val="24"/>
        </w:rPr>
        <w:t xml:space="preserve">) </w:t>
      </w:r>
      <w:r w:rsidRPr="00245966">
        <w:rPr>
          <w:rFonts w:ascii="Calibri" w:eastAsia="Times New Roman" w:hAnsi="Calibri" w:cs="Calibri"/>
          <w:snapToGrid w:val="0"/>
          <w:sz w:val="24"/>
          <w:szCs w:val="24"/>
        </w:rPr>
        <w:t>are approved by the TGA for the treatment of bipolar disorder. Consequently, the PBAC recommended that the new Restricted Benefit listing should be limited to these three brands</w:t>
      </w:r>
      <w:r>
        <w:rPr>
          <w:rFonts w:ascii="Calibri" w:eastAsia="Times New Roman" w:hAnsi="Calibri" w:cs="Calibri"/>
          <w:snapToGrid w:val="0"/>
          <w:sz w:val="24"/>
          <w:szCs w:val="24"/>
        </w:rPr>
        <w:t xml:space="preserve"> only</w:t>
      </w:r>
      <w:r w:rsidRPr="00245966">
        <w:rPr>
          <w:rFonts w:ascii="Calibri" w:eastAsia="Times New Roman" w:hAnsi="Calibri" w:cs="Calibri"/>
          <w:snapToGrid w:val="0"/>
          <w:sz w:val="24"/>
          <w:szCs w:val="24"/>
        </w:rPr>
        <w:t>.</w:t>
      </w:r>
    </w:p>
    <w:p w14:paraId="29AD5C85" w14:textId="58A3F159" w:rsidR="00BF63B3" w:rsidRPr="00913EE1" w:rsidRDefault="00BF63B3" w:rsidP="007C18E3">
      <w:pPr>
        <w:pStyle w:val="3-BodyText"/>
        <w:spacing w:before="120" w:after="120" w:line="240" w:lineRule="auto"/>
        <w:jc w:val="both"/>
        <w:rPr>
          <w:rFonts w:ascii="Calibri" w:eastAsia="Times New Roman" w:hAnsi="Calibri" w:cs="Calibri"/>
          <w:snapToGrid w:val="0"/>
          <w:sz w:val="24"/>
          <w:szCs w:val="24"/>
        </w:rPr>
      </w:pPr>
      <w:r w:rsidRPr="00BF63B3">
        <w:rPr>
          <w:rFonts w:ascii="Calibri" w:eastAsia="Times New Roman" w:hAnsi="Calibri" w:cs="Calibri"/>
          <w:snapToGrid w:val="0"/>
          <w:sz w:val="24"/>
          <w:szCs w:val="24"/>
        </w:rPr>
        <w:t xml:space="preserve">The PBAC recommended that, despite the eTG specifying an initial dose of 25 mg of </w:t>
      </w:r>
      <w:r w:rsidR="00DA640D">
        <w:rPr>
          <w:rFonts w:ascii="Calibri" w:eastAsia="Times New Roman" w:hAnsi="Calibri" w:cs="Calibri"/>
          <w:snapToGrid w:val="0"/>
          <w:sz w:val="24"/>
          <w:szCs w:val="24"/>
        </w:rPr>
        <w:t>LTG</w:t>
      </w:r>
      <w:r w:rsidRPr="00BF63B3">
        <w:rPr>
          <w:rFonts w:ascii="Calibri" w:eastAsia="Times New Roman" w:hAnsi="Calibri" w:cs="Calibri"/>
          <w:snapToGrid w:val="0"/>
          <w:sz w:val="24"/>
          <w:szCs w:val="24"/>
        </w:rPr>
        <w:t xml:space="preserve"> </w:t>
      </w:r>
      <w:r w:rsidR="001B3976">
        <w:rPr>
          <w:rFonts w:ascii="Calibri" w:eastAsia="Times New Roman" w:hAnsi="Calibri" w:cs="Calibri"/>
          <w:snapToGrid w:val="0"/>
          <w:sz w:val="24"/>
          <w:szCs w:val="24"/>
        </w:rPr>
        <w:t>daily</w:t>
      </w:r>
      <w:r w:rsidRPr="00BF63B3">
        <w:rPr>
          <w:rFonts w:ascii="Calibri" w:eastAsia="Times New Roman" w:hAnsi="Calibri" w:cs="Calibri"/>
          <w:snapToGrid w:val="0"/>
          <w:sz w:val="24"/>
          <w:szCs w:val="24"/>
        </w:rPr>
        <w:t xml:space="preserve"> for bipolar disorder, the PBS listing should also </w:t>
      </w:r>
      <w:r>
        <w:rPr>
          <w:rFonts w:ascii="Calibri" w:eastAsia="Times New Roman" w:hAnsi="Calibri" w:cs="Calibri"/>
          <w:snapToGrid w:val="0"/>
          <w:sz w:val="24"/>
          <w:szCs w:val="24"/>
        </w:rPr>
        <w:t>include</w:t>
      </w:r>
      <w:r w:rsidRPr="00BF63B3">
        <w:rPr>
          <w:rFonts w:ascii="Calibri" w:eastAsia="Times New Roman" w:hAnsi="Calibri" w:cs="Calibri"/>
          <w:snapToGrid w:val="0"/>
          <w:sz w:val="24"/>
          <w:szCs w:val="24"/>
        </w:rPr>
        <w:t xml:space="preserve"> the 5 mg tablet strength. This decision was informed by advice from the RANZCP, which highlighted that the availability of the 5 mg tablet would </w:t>
      </w:r>
      <w:r w:rsidR="00FC5FBE">
        <w:rPr>
          <w:rFonts w:ascii="Calibri" w:eastAsia="Times New Roman" w:hAnsi="Calibri" w:cs="Calibri"/>
          <w:snapToGrid w:val="0"/>
          <w:sz w:val="24"/>
          <w:szCs w:val="24"/>
        </w:rPr>
        <w:t xml:space="preserve">provide </w:t>
      </w:r>
      <w:r w:rsidRPr="00BF63B3">
        <w:rPr>
          <w:rFonts w:ascii="Calibri" w:eastAsia="Times New Roman" w:hAnsi="Calibri" w:cs="Calibri"/>
          <w:snapToGrid w:val="0"/>
          <w:sz w:val="24"/>
          <w:szCs w:val="24"/>
        </w:rPr>
        <w:t xml:space="preserve">clinicians </w:t>
      </w:r>
      <w:r w:rsidR="00FC5FBE">
        <w:rPr>
          <w:rFonts w:ascii="Calibri" w:eastAsia="Times New Roman" w:hAnsi="Calibri" w:cs="Calibri"/>
          <w:snapToGrid w:val="0"/>
          <w:sz w:val="24"/>
          <w:szCs w:val="24"/>
        </w:rPr>
        <w:t xml:space="preserve">with the flexibility </w:t>
      </w:r>
      <w:r w:rsidRPr="00BF63B3">
        <w:rPr>
          <w:rFonts w:ascii="Calibri" w:eastAsia="Times New Roman" w:hAnsi="Calibri" w:cs="Calibri"/>
          <w:snapToGrid w:val="0"/>
          <w:sz w:val="24"/>
          <w:szCs w:val="24"/>
        </w:rPr>
        <w:t xml:space="preserve">to tailor dosing more precisely </w:t>
      </w:r>
      <w:r w:rsidR="00FC5FBE">
        <w:rPr>
          <w:rFonts w:ascii="Calibri" w:eastAsia="Times New Roman" w:hAnsi="Calibri" w:cs="Calibri"/>
          <w:snapToGrid w:val="0"/>
          <w:sz w:val="24"/>
          <w:szCs w:val="24"/>
        </w:rPr>
        <w:t>for their patients</w:t>
      </w:r>
      <w:r w:rsidRPr="00BF63B3">
        <w:rPr>
          <w:rFonts w:ascii="Calibri" w:eastAsia="Times New Roman" w:hAnsi="Calibri" w:cs="Calibri"/>
          <w:snapToGrid w:val="0"/>
          <w:sz w:val="24"/>
          <w:szCs w:val="24"/>
        </w:rPr>
        <w:t>.</w:t>
      </w:r>
    </w:p>
    <w:p w14:paraId="5E26E25A" w14:textId="18A18067" w:rsidR="003B052A" w:rsidRPr="003B052A" w:rsidRDefault="003B052A" w:rsidP="007C18E3">
      <w:pPr>
        <w:pStyle w:val="3-BodyText"/>
        <w:spacing w:before="120" w:after="120" w:line="240" w:lineRule="auto"/>
        <w:jc w:val="both"/>
        <w:rPr>
          <w:rFonts w:ascii="Calibri" w:eastAsia="Times New Roman" w:hAnsi="Calibri" w:cs="Calibri"/>
          <w:snapToGrid w:val="0"/>
          <w:sz w:val="24"/>
          <w:szCs w:val="24"/>
        </w:rPr>
      </w:pPr>
      <w:r w:rsidRPr="00146C7B">
        <w:rPr>
          <w:rFonts w:ascii="Calibri" w:eastAsia="Times New Roman" w:hAnsi="Calibri" w:cs="Calibri"/>
          <w:snapToGrid w:val="0"/>
          <w:sz w:val="24"/>
          <w:szCs w:val="24"/>
        </w:rPr>
        <w:t xml:space="preserve">The PBAC noted that the UCM workbook was used to estimate the cost to the R/PBS of the proposed listing from 2026-2031. The PBAC accepted the </w:t>
      </w:r>
      <w:r w:rsidR="00245966">
        <w:rPr>
          <w:rFonts w:ascii="Calibri" w:eastAsia="Times New Roman" w:hAnsi="Calibri" w:cs="Calibri"/>
          <w:snapToGrid w:val="0"/>
          <w:sz w:val="24"/>
          <w:szCs w:val="24"/>
        </w:rPr>
        <w:t xml:space="preserve">findings </w:t>
      </w:r>
      <w:r w:rsidRPr="00146C7B">
        <w:rPr>
          <w:rFonts w:ascii="Calibri" w:eastAsia="Times New Roman" w:hAnsi="Calibri" w:cs="Calibri"/>
          <w:snapToGrid w:val="0"/>
          <w:sz w:val="24"/>
          <w:szCs w:val="24"/>
        </w:rPr>
        <w:t>of the base-case analysis and considered the estimated net cost to the R/PBS of the proposed listing reasonable</w:t>
      </w:r>
      <w:r w:rsidR="00A34495">
        <w:rPr>
          <w:rFonts w:ascii="Calibri" w:eastAsia="Times New Roman" w:hAnsi="Calibri" w:cs="Calibri"/>
          <w:snapToGrid w:val="0"/>
          <w:sz w:val="24"/>
          <w:szCs w:val="24"/>
        </w:rPr>
        <w:t xml:space="preserve">. </w:t>
      </w:r>
    </w:p>
    <w:p w14:paraId="560F0494" w14:textId="327DDF1D" w:rsidR="00245966" w:rsidRPr="00245966" w:rsidRDefault="00245966" w:rsidP="007C18E3">
      <w:pPr>
        <w:pStyle w:val="3-BodyText"/>
        <w:spacing w:before="120" w:after="120" w:line="240" w:lineRule="auto"/>
        <w:jc w:val="both"/>
        <w:rPr>
          <w:rFonts w:ascii="Calibri" w:eastAsia="Times New Roman" w:hAnsi="Calibri" w:cs="Calibri"/>
          <w:snapToGrid w:val="0"/>
          <w:sz w:val="24"/>
          <w:szCs w:val="24"/>
        </w:rPr>
      </w:pPr>
      <w:r w:rsidRPr="00245966">
        <w:rPr>
          <w:rFonts w:ascii="Calibri" w:eastAsia="Times New Roman" w:hAnsi="Calibri" w:cs="Calibri"/>
          <w:snapToGrid w:val="0"/>
          <w:sz w:val="24"/>
          <w:szCs w:val="24"/>
        </w:rPr>
        <w:t xml:space="preserve">The PBAC noted that, although the cost-effectiveness of </w:t>
      </w:r>
      <w:r>
        <w:rPr>
          <w:rFonts w:ascii="Calibri" w:eastAsia="Times New Roman" w:hAnsi="Calibri" w:cs="Calibri"/>
          <w:snapToGrid w:val="0"/>
          <w:sz w:val="24"/>
          <w:szCs w:val="24"/>
        </w:rPr>
        <w:t>LTG</w:t>
      </w:r>
      <w:r w:rsidRPr="00245966">
        <w:rPr>
          <w:rFonts w:ascii="Calibri" w:eastAsia="Times New Roman" w:hAnsi="Calibri" w:cs="Calibri"/>
          <w:snapToGrid w:val="0"/>
          <w:sz w:val="24"/>
          <w:szCs w:val="24"/>
        </w:rPr>
        <w:t xml:space="preserve"> for bipolar disorder ha</w:t>
      </w:r>
      <w:r>
        <w:rPr>
          <w:rFonts w:ascii="Calibri" w:eastAsia="Times New Roman" w:hAnsi="Calibri" w:cs="Calibri"/>
          <w:snapToGrid w:val="0"/>
          <w:sz w:val="24"/>
          <w:szCs w:val="24"/>
        </w:rPr>
        <w:t>d</w:t>
      </w:r>
      <w:r w:rsidRPr="00245966">
        <w:rPr>
          <w:rFonts w:ascii="Calibri" w:eastAsia="Times New Roman" w:hAnsi="Calibri" w:cs="Calibri"/>
          <w:snapToGrid w:val="0"/>
          <w:sz w:val="24"/>
          <w:szCs w:val="24"/>
        </w:rPr>
        <w:t xml:space="preserve"> not been formally established, it is </w:t>
      </w:r>
      <w:r>
        <w:rPr>
          <w:rFonts w:ascii="Calibri" w:eastAsia="Times New Roman" w:hAnsi="Calibri" w:cs="Calibri"/>
          <w:snapToGrid w:val="0"/>
          <w:sz w:val="24"/>
          <w:szCs w:val="24"/>
        </w:rPr>
        <w:t>likely</w:t>
      </w:r>
      <w:r w:rsidRPr="00245966">
        <w:rPr>
          <w:rFonts w:ascii="Calibri" w:eastAsia="Times New Roman" w:hAnsi="Calibri" w:cs="Calibri"/>
          <w:snapToGrid w:val="0"/>
          <w:sz w:val="24"/>
          <w:szCs w:val="24"/>
        </w:rPr>
        <w:t xml:space="preserve"> that this medicine</w:t>
      </w:r>
      <w:r w:rsidR="00EE27C2">
        <w:rPr>
          <w:rFonts w:ascii="Calibri" w:eastAsia="Times New Roman" w:hAnsi="Calibri" w:cs="Calibri"/>
          <w:snapToGrid w:val="0"/>
          <w:sz w:val="24"/>
          <w:szCs w:val="24"/>
        </w:rPr>
        <w:t xml:space="preserve"> </w:t>
      </w:r>
      <w:r w:rsidRPr="00245966">
        <w:rPr>
          <w:rFonts w:ascii="Calibri" w:eastAsia="Times New Roman" w:hAnsi="Calibri" w:cs="Calibri"/>
          <w:snapToGrid w:val="0"/>
          <w:sz w:val="24"/>
          <w:szCs w:val="24"/>
        </w:rPr>
        <w:t>represents reasonable value for money for this indication</w:t>
      </w:r>
      <w:r>
        <w:rPr>
          <w:rFonts w:ascii="Calibri" w:eastAsia="Times New Roman" w:hAnsi="Calibri" w:cs="Calibri"/>
          <w:snapToGrid w:val="0"/>
          <w:sz w:val="24"/>
          <w:szCs w:val="24"/>
        </w:rPr>
        <w:t xml:space="preserve"> </w:t>
      </w:r>
      <w:r w:rsidR="002F41A8">
        <w:rPr>
          <w:rFonts w:ascii="Calibri" w:eastAsia="Times New Roman" w:hAnsi="Calibri" w:cs="Calibri"/>
          <w:snapToGrid w:val="0"/>
          <w:sz w:val="24"/>
          <w:szCs w:val="24"/>
        </w:rPr>
        <w:t>for the following reasons</w:t>
      </w:r>
      <w:r w:rsidRPr="00245966">
        <w:rPr>
          <w:rFonts w:ascii="Calibri" w:eastAsia="Times New Roman" w:hAnsi="Calibri" w:cs="Calibri"/>
          <w:snapToGrid w:val="0"/>
          <w:sz w:val="24"/>
          <w:szCs w:val="24"/>
        </w:rPr>
        <w:t>:</w:t>
      </w:r>
    </w:p>
    <w:p w14:paraId="192F856C" w14:textId="24C26D50" w:rsidR="00245966" w:rsidRPr="00245966" w:rsidRDefault="00DA640D" w:rsidP="008F5EC9">
      <w:pPr>
        <w:pStyle w:val="ListParagraph"/>
        <w:numPr>
          <w:ilvl w:val="0"/>
          <w:numId w:val="5"/>
        </w:numPr>
        <w:spacing w:before="120" w:after="120" w:line="240" w:lineRule="auto"/>
        <w:jc w:val="both"/>
        <w:rPr>
          <w:rFonts w:ascii="Calibri" w:eastAsia="Times New Roman" w:hAnsi="Calibri" w:cs="Calibri"/>
          <w:snapToGrid w:val="0"/>
          <w:sz w:val="24"/>
          <w:szCs w:val="24"/>
        </w:rPr>
      </w:pPr>
      <w:r>
        <w:rPr>
          <w:rFonts w:ascii="Calibri" w:eastAsia="Times New Roman" w:hAnsi="Calibri" w:cs="Calibri"/>
          <w:snapToGrid w:val="0"/>
          <w:sz w:val="24"/>
          <w:szCs w:val="24"/>
        </w:rPr>
        <w:t>LTG</w:t>
      </w:r>
      <w:r w:rsidR="00245966" w:rsidRPr="00245966">
        <w:rPr>
          <w:rFonts w:ascii="Calibri" w:eastAsia="Times New Roman" w:hAnsi="Calibri" w:cs="Calibri"/>
          <w:snapToGrid w:val="0"/>
          <w:sz w:val="24"/>
          <w:szCs w:val="24"/>
        </w:rPr>
        <w:t xml:space="preserve"> is recommended as a first-line treatment for bipolar disorder in Australian clinical guidelines, suggesting its clinical effectiveness is comparable (non-inferior) to other PBS-listed alternatives.</w:t>
      </w:r>
    </w:p>
    <w:p w14:paraId="4F1E4A0A" w14:textId="187B8FCF" w:rsidR="00245966" w:rsidRPr="00245966" w:rsidRDefault="00DA640D" w:rsidP="008F5EC9">
      <w:pPr>
        <w:pStyle w:val="ListParagraph"/>
        <w:numPr>
          <w:ilvl w:val="0"/>
          <w:numId w:val="5"/>
        </w:numPr>
        <w:spacing w:before="120" w:after="120" w:line="240" w:lineRule="auto"/>
        <w:jc w:val="both"/>
        <w:rPr>
          <w:rFonts w:ascii="Calibri" w:eastAsia="Times New Roman" w:hAnsi="Calibri" w:cs="Calibri"/>
          <w:snapToGrid w:val="0"/>
          <w:sz w:val="24"/>
          <w:szCs w:val="24"/>
        </w:rPr>
      </w:pPr>
      <w:r>
        <w:rPr>
          <w:rFonts w:ascii="Calibri" w:eastAsia="Times New Roman" w:hAnsi="Calibri" w:cs="Calibri"/>
          <w:snapToGrid w:val="0"/>
          <w:sz w:val="24"/>
          <w:szCs w:val="24"/>
        </w:rPr>
        <w:t>LTG</w:t>
      </w:r>
      <w:r w:rsidR="00245966" w:rsidRPr="00245966">
        <w:rPr>
          <w:rFonts w:ascii="Calibri" w:eastAsia="Times New Roman" w:hAnsi="Calibri" w:cs="Calibri"/>
          <w:snapToGrid w:val="0"/>
          <w:sz w:val="24"/>
          <w:szCs w:val="24"/>
        </w:rPr>
        <w:t xml:space="preserve"> is likely to offer improved safety and tolerability compared to other PBS-listed medicines for bipolar disorder, with a lower risk of teratogenic effects than alternatives such as valproate.</w:t>
      </w:r>
    </w:p>
    <w:p w14:paraId="580B3840" w14:textId="5A1111C1" w:rsidR="00245966" w:rsidRPr="00245966" w:rsidRDefault="00245966" w:rsidP="008F5EC9">
      <w:pPr>
        <w:pStyle w:val="ListParagraph"/>
        <w:numPr>
          <w:ilvl w:val="0"/>
          <w:numId w:val="5"/>
        </w:numPr>
        <w:spacing w:before="120" w:after="120" w:line="240" w:lineRule="auto"/>
        <w:jc w:val="both"/>
        <w:rPr>
          <w:rFonts w:ascii="Calibri" w:eastAsia="Times New Roman" w:hAnsi="Calibri" w:cs="Calibri"/>
          <w:snapToGrid w:val="0"/>
          <w:sz w:val="24"/>
          <w:szCs w:val="24"/>
        </w:rPr>
      </w:pPr>
      <w:r w:rsidRPr="00245966">
        <w:rPr>
          <w:rFonts w:ascii="Calibri" w:eastAsia="Times New Roman" w:hAnsi="Calibri" w:cs="Calibri"/>
          <w:snapToGrid w:val="0"/>
          <w:sz w:val="24"/>
          <w:szCs w:val="24"/>
        </w:rPr>
        <w:t>Cost comparisons per defined daily dose</w:t>
      </w:r>
      <w:r w:rsidR="0062252C">
        <w:rPr>
          <w:rFonts w:ascii="Calibri" w:eastAsia="Times New Roman" w:hAnsi="Calibri" w:cs="Calibri"/>
          <w:snapToGrid w:val="0"/>
          <w:sz w:val="24"/>
          <w:szCs w:val="24"/>
        </w:rPr>
        <w:t xml:space="preserve"> (DDD)</w:t>
      </w:r>
      <w:r w:rsidRPr="00245966">
        <w:rPr>
          <w:rFonts w:ascii="Calibri" w:eastAsia="Times New Roman" w:hAnsi="Calibri" w:cs="Calibri"/>
          <w:snapToGrid w:val="0"/>
          <w:sz w:val="24"/>
          <w:szCs w:val="24"/>
        </w:rPr>
        <w:t xml:space="preserve"> indicate that </w:t>
      </w:r>
      <w:r w:rsidR="0062252C">
        <w:rPr>
          <w:rFonts w:ascii="Calibri" w:eastAsia="Times New Roman" w:hAnsi="Calibri" w:cs="Calibri"/>
          <w:snapToGrid w:val="0"/>
          <w:sz w:val="24"/>
          <w:szCs w:val="24"/>
        </w:rPr>
        <w:t xml:space="preserve">LTG </w:t>
      </w:r>
      <w:r w:rsidRPr="00245966">
        <w:rPr>
          <w:rFonts w:ascii="Calibri" w:eastAsia="Times New Roman" w:hAnsi="Calibri" w:cs="Calibri"/>
          <w:snapToGrid w:val="0"/>
          <w:sz w:val="24"/>
          <w:szCs w:val="24"/>
        </w:rPr>
        <w:t>is similar in price to other PBS-listed treatments for bipolar disorder, such as quetiapine.</w:t>
      </w:r>
    </w:p>
    <w:p w14:paraId="75C9D525" w14:textId="0ED45D52" w:rsidR="00245966" w:rsidRPr="00DA640D" w:rsidRDefault="00245966" w:rsidP="008F5EC9">
      <w:pPr>
        <w:pStyle w:val="ListParagraph"/>
        <w:numPr>
          <w:ilvl w:val="0"/>
          <w:numId w:val="5"/>
        </w:numPr>
        <w:spacing w:before="120" w:after="120" w:line="240" w:lineRule="auto"/>
        <w:jc w:val="both"/>
        <w:rPr>
          <w:rFonts w:ascii="Calibri" w:eastAsia="Times New Roman" w:hAnsi="Calibri" w:cs="Calibri"/>
          <w:snapToGrid w:val="0"/>
          <w:sz w:val="24"/>
          <w:szCs w:val="24"/>
        </w:rPr>
      </w:pPr>
      <w:r w:rsidRPr="00245966">
        <w:rPr>
          <w:rFonts w:ascii="Calibri" w:eastAsia="Times New Roman" w:hAnsi="Calibri" w:cs="Calibri"/>
          <w:snapToGrid w:val="0"/>
          <w:sz w:val="24"/>
          <w:szCs w:val="24"/>
        </w:rPr>
        <w:t xml:space="preserve">As an F2 medicine, </w:t>
      </w:r>
      <w:r w:rsidR="0062252C">
        <w:rPr>
          <w:rFonts w:ascii="Calibri" w:eastAsia="Times New Roman" w:hAnsi="Calibri" w:cs="Calibri"/>
          <w:snapToGrid w:val="0"/>
          <w:sz w:val="24"/>
          <w:szCs w:val="24"/>
        </w:rPr>
        <w:t>LTG</w:t>
      </w:r>
      <w:r w:rsidRPr="00245966">
        <w:rPr>
          <w:rFonts w:ascii="Calibri" w:eastAsia="Times New Roman" w:hAnsi="Calibri" w:cs="Calibri"/>
          <w:snapToGrid w:val="0"/>
          <w:sz w:val="24"/>
          <w:szCs w:val="24"/>
        </w:rPr>
        <w:t xml:space="preserve"> is subject to statutory price reductions, price disclosure, and supply guarantees under the </w:t>
      </w:r>
      <w:r w:rsidRPr="00DA640D">
        <w:rPr>
          <w:rFonts w:ascii="Calibri" w:eastAsia="Times New Roman" w:hAnsi="Calibri" w:cs="Calibri"/>
          <w:i/>
          <w:iCs/>
          <w:snapToGrid w:val="0"/>
          <w:sz w:val="24"/>
          <w:szCs w:val="24"/>
        </w:rPr>
        <w:t>National Health Act 1953</w:t>
      </w:r>
      <w:r w:rsidRPr="00245966">
        <w:rPr>
          <w:rFonts w:ascii="Calibri" w:eastAsia="Times New Roman" w:hAnsi="Calibri" w:cs="Calibri"/>
          <w:snapToGrid w:val="0"/>
          <w:sz w:val="24"/>
          <w:szCs w:val="24"/>
        </w:rPr>
        <w:t>. Consequently, its cost</w:t>
      </w:r>
      <w:r w:rsidR="009B314D">
        <w:rPr>
          <w:rFonts w:ascii="Calibri" w:eastAsia="Times New Roman" w:hAnsi="Calibri" w:cs="Calibri"/>
          <w:snapToGrid w:val="0"/>
          <w:sz w:val="24"/>
          <w:szCs w:val="24"/>
        </w:rPr>
        <w:noBreakHyphen/>
      </w:r>
      <w:r w:rsidRPr="00245966">
        <w:rPr>
          <w:rFonts w:ascii="Calibri" w:eastAsia="Times New Roman" w:hAnsi="Calibri" w:cs="Calibri"/>
          <w:snapToGrid w:val="0"/>
          <w:sz w:val="24"/>
          <w:szCs w:val="24"/>
        </w:rPr>
        <w:t>effectiveness for bipolar disorder is expected to improve further as prices decrease over time.</w:t>
      </w:r>
    </w:p>
    <w:p w14:paraId="411B0FE5" w14:textId="18F1F128" w:rsidR="0062252C" w:rsidRPr="006E2DA5" w:rsidRDefault="0062252C" w:rsidP="007C18E3">
      <w:pPr>
        <w:pStyle w:val="3-BodyText"/>
        <w:spacing w:before="120" w:after="120" w:line="240" w:lineRule="auto"/>
        <w:jc w:val="both"/>
        <w:rPr>
          <w:rFonts w:ascii="Calibri" w:eastAsia="Times New Roman" w:hAnsi="Calibri" w:cs="Calibri"/>
          <w:snapToGrid w:val="0"/>
          <w:sz w:val="24"/>
          <w:szCs w:val="24"/>
        </w:rPr>
      </w:pPr>
      <w:r w:rsidRPr="0062252C">
        <w:rPr>
          <w:rFonts w:ascii="Calibri" w:eastAsia="Times New Roman" w:hAnsi="Calibri" w:cs="Calibri"/>
          <w:snapToGrid w:val="0"/>
          <w:sz w:val="24"/>
          <w:szCs w:val="24"/>
        </w:rPr>
        <w:t xml:space="preserve">The PBAC recommended that, </w:t>
      </w:r>
      <w:r>
        <w:rPr>
          <w:rFonts w:ascii="Calibri" w:eastAsia="Times New Roman" w:hAnsi="Calibri" w:cs="Calibri"/>
          <w:snapToGrid w:val="0"/>
          <w:sz w:val="24"/>
          <w:szCs w:val="24"/>
        </w:rPr>
        <w:t>consistent</w:t>
      </w:r>
      <w:r w:rsidRPr="0062252C">
        <w:rPr>
          <w:rFonts w:ascii="Calibri" w:eastAsia="Times New Roman" w:hAnsi="Calibri" w:cs="Calibri"/>
          <w:snapToGrid w:val="0"/>
          <w:sz w:val="24"/>
          <w:szCs w:val="24"/>
        </w:rPr>
        <w:t xml:space="preserve"> with the existing listings for</w:t>
      </w:r>
      <w:r>
        <w:rPr>
          <w:rFonts w:ascii="Calibri" w:eastAsia="Times New Roman" w:hAnsi="Calibri" w:cs="Calibri"/>
          <w:snapToGrid w:val="0"/>
          <w:sz w:val="24"/>
          <w:szCs w:val="24"/>
        </w:rPr>
        <w:t xml:space="preserve"> LTG</w:t>
      </w:r>
      <w:r w:rsidRPr="0062252C">
        <w:rPr>
          <w:rFonts w:ascii="Calibri" w:eastAsia="Times New Roman" w:hAnsi="Calibri" w:cs="Calibri"/>
          <w:snapToGrid w:val="0"/>
          <w:sz w:val="24"/>
          <w:szCs w:val="24"/>
        </w:rPr>
        <w:t xml:space="preserve"> for epileptic seizures, a 60-day </w:t>
      </w:r>
      <w:r>
        <w:rPr>
          <w:rFonts w:ascii="Calibri" w:eastAsia="Times New Roman" w:hAnsi="Calibri" w:cs="Calibri"/>
          <w:snapToGrid w:val="0"/>
          <w:sz w:val="24"/>
          <w:szCs w:val="24"/>
        </w:rPr>
        <w:t>listing</w:t>
      </w:r>
      <w:r w:rsidRPr="0062252C">
        <w:rPr>
          <w:rFonts w:ascii="Calibri" w:eastAsia="Times New Roman" w:hAnsi="Calibri" w:cs="Calibri"/>
          <w:snapToGrid w:val="0"/>
          <w:sz w:val="24"/>
          <w:szCs w:val="24"/>
        </w:rPr>
        <w:t xml:space="preserve"> should also apply to </w:t>
      </w:r>
      <w:r>
        <w:rPr>
          <w:rFonts w:ascii="Calibri" w:eastAsia="Times New Roman" w:hAnsi="Calibri" w:cs="Calibri"/>
          <w:snapToGrid w:val="0"/>
          <w:sz w:val="24"/>
          <w:szCs w:val="24"/>
        </w:rPr>
        <w:t>LTG</w:t>
      </w:r>
      <w:r w:rsidRPr="0062252C">
        <w:rPr>
          <w:rFonts w:ascii="Calibri" w:eastAsia="Times New Roman" w:hAnsi="Calibri" w:cs="Calibri"/>
          <w:snapToGrid w:val="0"/>
          <w:sz w:val="24"/>
          <w:szCs w:val="24"/>
        </w:rPr>
        <w:t xml:space="preserve"> for bipolar disorder. Furthermore, the committee </w:t>
      </w:r>
      <w:r>
        <w:rPr>
          <w:rFonts w:ascii="Calibri" w:eastAsia="Times New Roman" w:hAnsi="Calibri" w:cs="Calibri"/>
          <w:snapToGrid w:val="0"/>
          <w:sz w:val="24"/>
          <w:szCs w:val="24"/>
        </w:rPr>
        <w:t>advised</w:t>
      </w:r>
      <w:r w:rsidRPr="0062252C">
        <w:rPr>
          <w:rFonts w:ascii="Calibri" w:eastAsia="Times New Roman" w:hAnsi="Calibri" w:cs="Calibri"/>
          <w:snapToGrid w:val="0"/>
          <w:sz w:val="24"/>
          <w:szCs w:val="24"/>
        </w:rPr>
        <w:t xml:space="preserve"> that the proposed listing would be appropriate for prescribing by nurse practitioners.</w:t>
      </w:r>
    </w:p>
    <w:p w14:paraId="32749DC2" w14:textId="08EE38CC" w:rsidR="007C18E3" w:rsidRPr="007C18E3" w:rsidRDefault="0062252C" w:rsidP="007C18E3">
      <w:pPr>
        <w:pStyle w:val="3-BodyText"/>
        <w:spacing w:before="120" w:after="120" w:line="240" w:lineRule="auto"/>
        <w:jc w:val="both"/>
        <w:rPr>
          <w:rFonts w:ascii="Calibri" w:eastAsia="Times New Roman" w:hAnsi="Calibri" w:cs="Calibri"/>
          <w:snapToGrid w:val="0"/>
          <w:sz w:val="24"/>
          <w:szCs w:val="24"/>
        </w:rPr>
      </w:pPr>
      <w:r w:rsidRPr="0062252C">
        <w:rPr>
          <w:rFonts w:ascii="Calibri" w:eastAsia="Times New Roman" w:hAnsi="Calibri" w:cs="Calibri"/>
          <w:snapToGrid w:val="0"/>
          <w:sz w:val="24"/>
          <w:szCs w:val="24"/>
        </w:rPr>
        <w:t xml:space="preserve">The PBAC </w:t>
      </w:r>
      <w:r w:rsidR="00D93608">
        <w:rPr>
          <w:rFonts w:ascii="Calibri" w:eastAsia="Times New Roman" w:hAnsi="Calibri" w:cs="Calibri"/>
          <w:snapToGrid w:val="0"/>
          <w:sz w:val="24"/>
          <w:szCs w:val="24"/>
        </w:rPr>
        <w:t>recommended</w:t>
      </w:r>
      <w:r w:rsidRPr="0062252C">
        <w:rPr>
          <w:rFonts w:ascii="Calibri" w:eastAsia="Times New Roman" w:hAnsi="Calibri" w:cs="Calibri"/>
          <w:snapToGrid w:val="0"/>
          <w:sz w:val="24"/>
          <w:szCs w:val="24"/>
        </w:rPr>
        <w:t xml:space="preserve"> that the Department monitor the use of </w:t>
      </w:r>
      <w:r>
        <w:rPr>
          <w:rFonts w:ascii="Calibri" w:eastAsia="Times New Roman" w:hAnsi="Calibri" w:cs="Calibri"/>
          <w:snapToGrid w:val="0"/>
          <w:sz w:val="24"/>
          <w:szCs w:val="24"/>
        </w:rPr>
        <w:t>LTG</w:t>
      </w:r>
      <w:r w:rsidRPr="0062252C">
        <w:rPr>
          <w:rFonts w:ascii="Calibri" w:eastAsia="Times New Roman" w:hAnsi="Calibri" w:cs="Calibri"/>
          <w:snapToGrid w:val="0"/>
          <w:sz w:val="24"/>
          <w:szCs w:val="24"/>
        </w:rPr>
        <w:t xml:space="preserve"> </w:t>
      </w:r>
      <w:r>
        <w:rPr>
          <w:rFonts w:ascii="Calibri" w:eastAsia="Times New Roman" w:hAnsi="Calibri" w:cs="Calibri"/>
          <w:snapToGrid w:val="0"/>
          <w:sz w:val="24"/>
          <w:szCs w:val="24"/>
        </w:rPr>
        <w:t xml:space="preserve">following implementation of the </w:t>
      </w:r>
      <w:r w:rsidR="00DB2CB1">
        <w:rPr>
          <w:rFonts w:ascii="Calibri" w:eastAsia="Times New Roman" w:hAnsi="Calibri" w:cs="Calibri"/>
          <w:snapToGrid w:val="0"/>
          <w:sz w:val="24"/>
          <w:szCs w:val="24"/>
        </w:rPr>
        <w:t>new</w:t>
      </w:r>
      <w:r>
        <w:rPr>
          <w:rFonts w:ascii="Calibri" w:eastAsia="Times New Roman" w:hAnsi="Calibri" w:cs="Calibri"/>
          <w:snapToGrid w:val="0"/>
          <w:sz w:val="24"/>
          <w:szCs w:val="24"/>
        </w:rPr>
        <w:t xml:space="preserve"> listing</w:t>
      </w:r>
      <w:r w:rsidR="00D14299">
        <w:rPr>
          <w:rFonts w:ascii="Calibri" w:eastAsia="Times New Roman" w:hAnsi="Calibri" w:cs="Calibri"/>
          <w:snapToGrid w:val="0"/>
          <w:sz w:val="24"/>
          <w:szCs w:val="24"/>
        </w:rPr>
        <w:t xml:space="preserve"> </w:t>
      </w:r>
      <w:r w:rsidRPr="0062252C">
        <w:rPr>
          <w:rFonts w:ascii="Calibri" w:eastAsia="Times New Roman" w:hAnsi="Calibri" w:cs="Calibri"/>
          <w:snapToGrid w:val="0"/>
          <w:sz w:val="24"/>
          <w:szCs w:val="24"/>
        </w:rPr>
        <w:t xml:space="preserve">and </w:t>
      </w:r>
      <w:r>
        <w:rPr>
          <w:rFonts w:ascii="Calibri" w:eastAsia="Times New Roman" w:hAnsi="Calibri" w:cs="Calibri"/>
          <w:snapToGrid w:val="0"/>
          <w:sz w:val="24"/>
          <w:szCs w:val="24"/>
        </w:rPr>
        <w:t>advised</w:t>
      </w:r>
      <w:r w:rsidRPr="0062252C">
        <w:rPr>
          <w:rFonts w:ascii="Calibri" w:eastAsia="Times New Roman" w:hAnsi="Calibri" w:cs="Calibri"/>
          <w:snapToGrid w:val="0"/>
          <w:sz w:val="24"/>
          <w:szCs w:val="24"/>
        </w:rPr>
        <w:t xml:space="preserve"> that </w:t>
      </w:r>
      <w:r w:rsidR="00B53874">
        <w:rPr>
          <w:rFonts w:ascii="Calibri" w:eastAsia="Times New Roman" w:hAnsi="Calibri" w:cs="Calibri"/>
          <w:snapToGrid w:val="0"/>
          <w:sz w:val="24"/>
          <w:szCs w:val="24"/>
        </w:rPr>
        <w:t xml:space="preserve">it </w:t>
      </w:r>
      <w:r w:rsidRPr="0062252C">
        <w:rPr>
          <w:rFonts w:ascii="Calibri" w:eastAsia="Times New Roman" w:hAnsi="Calibri" w:cs="Calibri"/>
          <w:snapToGrid w:val="0"/>
          <w:sz w:val="24"/>
          <w:szCs w:val="24"/>
        </w:rPr>
        <w:t xml:space="preserve">would be prepared to reconsider the appropriateness of an Unrestricted Benefit listing for this medicine at a </w:t>
      </w:r>
      <w:r w:rsidR="00D14299">
        <w:rPr>
          <w:rFonts w:ascii="Calibri" w:eastAsia="Times New Roman" w:hAnsi="Calibri" w:cs="Calibri"/>
          <w:snapToGrid w:val="0"/>
          <w:sz w:val="24"/>
          <w:szCs w:val="24"/>
        </w:rPr>
        <w:t>future</w:t>
      </w:r>
      <w:r w:rsidRPr="0062252C">
        <w:rPr>
          <w:rFonts w:ascii="Calibri" w:eastAsia="Times New Roman" w:hAnsi="Calibri" w:cs="Calibri"/>
          <w:snapToGrid w:val="0"/>
          <w:sz w:val="24"/>
          <w:szCs w:val="24"/>
        </w:rPr>
        <w:t xml:space="preserve"> meeting.</w:t>
      </w:r>
    </w:p>
    <w:p w14:paraId="788F3C36" w14:textId="1CDBB2A4" w:rsidR="006D0656" w:rsidRPr="007C18E3" w:rsidRDefault="006D0656" w:rsidP="007C18E3">
      <w:pPr>
        <w:spacing w:after="0" w:line="240" w:lineRule="auto"/>
        <w:jc w:val="both"/>
        <w:rPr>
          <w:rFonts w:eastAsia="Times New Roman" w:cs="Arial"/>
          <w:b/>
          <w:bCs/>
          <w:snapToGrid w:val="0"/>
          <w:sz w:val="24"/>
          <w:szCs w:val="24"/>
          <w:lang w:val="en-GB"/>
        </w:rPr>
      </w:pPr>
      <w:r w:rsidRPr="007C18E3">
        <w:rPr>
          <w:rFonts w:eastAsia="Times New Roman" w:cs="Arial"/>
          <w:b/>
          <w:bCs/>
          <w:snapToGrid w:val="0"/>
          <w:sz w:val="24"/>
          <w:szCs w:val="24"/>
          <w:lang w:val="en-GB"/>
        </w:rPr>
        <w:t>Outcome:</w:t>
      </w:r>
    </w:p>
    <w:p w14:paraId="73F561FC" w14:textId="124324DF" w:rsidR="0018647E" w:rsidRPr="00504539" w:rsidRDefault="006D0656" w:rsidP="00504539">
      <w:pPr>
        <w:spacing w:after="0" w:line="240" w:lineRule="auto"/>
        <w:jc w:val="both"/>
        <w:rPr>
          <w:rFonts w:ascii="Calibri" w:eastAsia="Times New Roman" w:hAnsi="Calibri" w:cs="Calibri"/>
          <w:sz w:val="24"/>
          <w:szCs w:val="24"/>
        </w:rPr>
      </w:pPr>
      <w:r w:rsidRPr="007C18E3">
        <w:rPr>
          <w:rFonts w:eastAsia="Times New Roman" w:cs="Arial"/>
          <w:snapToGrid w:val="0"/>
          <w:sz w:val="24"/>
          <w:szCs w:val="24"/>
          <w:lang w:val="en-GB"/>
        </w:rPr>
        <w:t>Recommended</w:t>
      </w:r>
    </w:p>
    <w:p w14:paraId="6C4F69A5" w14:textId="4F1802BD" w:rsidR="003E715E" w:rsidRPr="00F31393" w:rsidRDefault="008B1CE2" w:rsidP="00504539">
      <w:pPr>
        <w:pStyle w:val="2-SectionHeading"/>
      </w:pPr>
      <w:bookmarkStart w:id="12" w:name="_Hlk221191191"/>
      <w:r>
        <w:lastRenderedPageBreak/>
        <w:t>Recommended listing</w:t>
      </w:r>
    </w:p>
    <w:bookmarkEnd w:id="12"/>
    <w:p w14:paraId="1202145D" w14:textId="7C0684C4" w:rsidR="00571DF4" w:rsidRPr="00015845" w:rsidRDefault="00571DF4" w:rsidP="00015845">
      <w:pPr>
        <w:pStyle w:val="3-BodyText"/>
        <w:spacing w:before="120" w:after="120" w:line="240" w:lineRule="auto"/>
        <w:jc w:val="both"/>
        <w:rPr>
          <w:rFonts w:ascii="Calibri" w:eastAsia="Times New Roman" w:hAnsi="Calibri" w:cs="Calibri"/>
          <w:snapToGrid w:val="0"/>
          <w:sz w:val="24"/>
          <w:szCs w:val="24"/>
        </w:rPr>
      </w:pPr>
      <w:r w:rsidRPr="00015845">
        <w:rPr>
          <w:rFonts w:ascii="Calibri" w:eastAsia="Times New Roman" w:hAnsi="Calibri" w:cs="Calibri"/>
          <w:snapToGrid w:val="0"/>
          <w:sz w:val="24"/>
          <w:szCs w:val="24"/>
        </w:rPr>
        <w:t>Add new listing for bipolar disorder</w:t>
      </w:r>
      <w:r w:rsidR="00712F85" w:rsidRPr="00015845">
        <w:rPr>
          <w:rFonts w:ascii="Calibri" w:eastAsia="Times New Roman" w:hAnsi="Calibri" w:cs="Calibri"/>
          <w:snapToGrid w:val="0"/>
          <w:sz w:val="24"/>
          <w:szCs w:val="24"/>
        </w:rPr>
        <w:t xml:space="preserve"> as follows</w:t>
      </w:r>
      <w:r w:rsidRPr="00015845">
        <w:rPr>
          <w:rFonts w:ascii="Calibri" w:eastAsia="Times New Roman" w:hAnsi="Calibri" w:cs="Calibri"/>
          <w:snapToGrid w:val="0"/>
          <w:sz w:val="24"/>
          <w:szCs w:val="24"/>
        </w:rPr>
        <w:t>:</w:t>
      </w:r>
    </w:p>
    <w:p w14:paraId="74D3F32C" w14:textId="47A4BFB9" w:rsidR="00571DF4" w:rsidRDefault="00160FC2" w:rsidP="00571DF4">
      <w:pPr>
        <w:pStyle w:val="Heading2"/>
        <w:rPr>
          <w:rFonts w:ascii="Calibri" w:eastAsia="Calibri" w:hAnsi="Calibri" w:cs="Arial"/>
          <w:b/>
          <w:snapToGrid w:val="0"/>
          <w:color w:val="auto"/>
          <w:szCs w:val="20"/>
        </w:rPr>
      </w:pPr>
      <w:r>
        <w:rPr>
          <w:rFonts w:ascii="Calibri" w:eastAsia="Calibri" w:hAnsi="Calibri" w:cs="Arial"/>
          <w:b/>
          <w:snapToGrid w:val="0"/>
          <w:color w:val="auto"/>
          <w:szCs w:val="20"/>
        </w:rPr>
        <w:t>30-day</w:t>
      </w:r>
      <w:r w:rsidR="00571DF4">
        <w:rPr>
          <w:rFonts w:ascii="Calibri" w:eastAsia="Calibri" w:hAnsi="Calibri" w:cs="Arial"/>
          <w:b/>
          <w:snapToGrid w:val="0"/>
          <w:color w:val="auto"/>
          <w:szCs w:val="20"/>
        </w:rPr>
        <w:t xml:space="preserve">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9"/>
        <w:gridCol w:w="811"/>
        <w:gridCol w:w="812"/>
        <w:gridCol w:w="811"/>
        <w:gridCol w:w="812"/>
        <w:gridCol w:w="1831"/>
      </w:tblGrid>
      <w:tr w:rsidR="00571DF4" w14:paraId="487EAB62"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0224D274" w14:textId="77777777" w:rsidR="00571DF4" w:rsidRDefault="00571DF4">
            <w:pPr>
              <w:keepLines/>
              <w:spacing w:after="0" w:line="240" w:lineRule="auto"/>
              <w:rPr>
                <w:rFonts w:ascii="Arial Narrow" w:eastAsia="Calibri" w:hAnsi="Arial Narrow" w:cs="Arial"/>
                <w:b/>
                <w:bCs/>
                <w:sz w:val="20"/>
                <w:szCs w:val="20"/>
              </w:rPr>
            </w:pPr>
            <w:bookmarkStart w:id="13" w:name="_Hlk170890893"/>
            <w:r>
              <w:rPr>
                <w:rFonts w:ascii="Arial Narrow" w:eastAsia="Calibri" w:hAnsi="Arial Narrow" w:cs="Arial"/>
                <w:b/>
                <w:bCs/>
                <w:sz w:val="20"/>
                <w:szCs w:val="20"/>
              </w:rPr>
              <w:t>MEDICINAL PRODUCT</w:t>
            </w:r>
          </w:p>
          <w:p w14:paraId="59AA5C2B" w14:textId="77777777" w:rsidR="00571DF4" w:rsidRDefault="00571DF4">
            <w:pPr>
              <w:keepLines/>
              <w:spacing w:after="0" w:line="240" w:lineRule="auto"/>
              <w:rPr>
                <w:rFonts w:ascii="Arial Narrow" w:eastAsia="Calibri" w:hAnsi="Arial Narrow" w:cs="Arial"/>
                <w:b/>
                <w:sz w:val="20"/>
                <w:szCs w:val="20"/>
              </w:rPr>
            </w:pPr>
            <w:r>
              <w:rPr>
                <w:rFonts w:ascii="Arial Narrow" w:eastAsia="Calibri" w:hAnsi="Arial Narrow" w:cs="Arial"/>
                <w:b/>
                <w:bCs/>
                <w:sz w:val="20"/>
                <w:szCs w:val="20"/>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779EC805" w14:textId="77777777" w:rsidR="00571DF4" w:rsidRDefault="00571DF4">
            <w:pPr>
              <w:keepLines/>
              <w:spacing w:after="0" w:line="240" w:lineRule="auto"/>
              <w:jc w:val="center"/>
              <w:rPr>
                <w:rFonts w:ascii="Arial Narrow" w:eastAsia="Calibri" w:hAnsi="Arial Narrow" w:cs="Arial"/>
                <w:b/>
                <w:sz w:val="20"/>
                <w:szCs w:val="20"/>
              </w:rPr>
            </w:pPr>
            <w:r>
              <w:rPr>
                <w:rFonts w:ascii="Arial Narrow" w:eastAsia="Calibri" w:hAnsi="Arial Narrow" w:cs="Arial"/>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216C55F7" w14:textId="77777777" w:rsidR="00571DF4" w:rsidRDefault="00571DF4">
            <w:pPr>
              <w:keepLines/>
              <w:spacing w:after="0" w:line="240" w:lineRule="auto"/>
              <w:jc w:val="center"/>
              <w:rPr>
                <w:rFonts w:ascii="Arial Narrow" w:eastAsia="Calibri" w:hAnsi="Arial Narrow" w:cs="Arial"/>
                <w:b/>
                <w:sz w:val="20"/>
                <w:szCs w:val="20"/>
              </w:rPr>
            </w:pPr>
            <w:r>
              <w:rPr>
                <w:rFonts w:ascii="Arial Narrow" w:eastAsia="Calibri" w:hAnsi="Arial Narrow" w:cs="Arial"/>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542A98CE" w14:textId="77777777" w:rsidR="00571DF4" w:rsidRDefault="00571DF4">
            <w:pPr>
              <w:keepLines/>
              <w:spacing w:after="0" w:line="240" w:lineRule="auto"/>
              <w:jc w:val="center"/>
              <w:rPr>
                <w:rFonts w:ascii="Arial Narrow" w:eastAsia="Calibri" w:hAnsi="Arial Narrow" w:cs="Arial"/>
                <w:b/>
                <w:sz w:val="20"/>
                <w:szCs w:val="20"/>
              </w:rPr>
            </w:pPr>
            <w:r>
              <w:rPr>
                <w:rFonts w:ascii="Arial Narrow" w:eastAsia="Calibri" w:hAnsi="Arial Narrow" w:cs="Arial"/>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0134F9E5" w14:textId="77777777" w:rsidR="00571DF4" w:rsidRDefault="00571DF4">
            <w:pPr>
              <w:keepLines/>
              <w:spacing w:after="0" w:line="240" w:lineRule="auto"/>
              <w:jc w:val="center"/>
              <w:rPr>
                <w:rFonts w:ascii="Arial Narrow" w:eastAsia="Calibri" w:hAnsi="Arial Narrow" w:cs="Arial"/>
                <w:b/>
                <w:sz w:val="20"/>
                <w:szCs w:val="20"/>
              </w:rPr>
            </w:pPr>
            <w:r>
              <w:rPr>
                <w:rFonts w:ascii="Arial Narrow" w:eastAsia="Calibri" w:hAnsi="Arial Narrow" w:cs="Arial"/>
                <w:b/>
                <w:sz w:val="20"/>
                <w:szCs w:val="20"/>
              </w:rPr>
              <w:t>№.of</w:t>
            </w:r>
          </w:p>
          <w:p w14:paraId="68637E9C" w14:textId="77777777" w:rsidR="00571DF4" w:rsidRDefault="00571DF4">
            <w:pPr>
              <w:keepLines/>
              <w:spacing w:after="0" w:line="240" w:lineRule="auto"/>
              <w:jc w:val="center"/>
              <w:rPr>
                <w:rFonts w:ascii="Arial Narrow" w:eastAsia="Calibri" w:hAnsi="Arial Narrow" w:cs="Arial"/>
                <w:b/>
                <w:sz w:val="20"/>
                <w:szCs w:val="20"/>
              </w:rPr>
            </w:pPr>
            <w:r>
              <w:rPr>
                <w:rFonts w:ascii="Arial Narrow" w:eastAsia="Calibri" w:hAnsi="Arial Narrow" w:cs="Arial"/>
                <w:b/>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4BFD1E42" w14:textId="77777777" w:rsidR="00571DF4" w:rsidRDefault="00571DF4">
            <w:pPr>
              <w:keepLines/>
              <w:spacing w:after="0" w:line="240" w:lineRule="auto"/>
              <w:rPr>
                <w:rFonts w:ascii="Arial Narrow" w:eastAsia="Calibri" w:hAnsi="Arial Narrow" w:cs="Arial"/>
                <w:b/>
                <w:sz w:val="20"/>
                <w:szCs w:val="20"/>
                <w:lang w:val="fr-FR"/>
              </w:rPr>
            </w:pPr>
            <w:r>
              <w:rPr>
                <w:rFonts w:ascii="Arial Narrow" w:eastAsia="Calibri" w:hAnsi="Arial Narrow" w:cs="Arial"/>
                <w:b/>
                <w:sz w:val="20"/>
                <w:szCs w:val="20"/>
              </w:rPr>
              <w:t>Available brands</w:t>
            </w:r>
          </w:p>
        </w:tc>
      </w:tr>
      <w:tr w:rsidR="00571DF4" w14:paraId="0FEB3FEF"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hideMark/>
          </w:tcPr>
          <w:p w14:paraId="3E81AD89"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w:t>
            </w:r>
          </w:p>
        </w:tc>
      </w:tr>
      <w:tr w:rsidR="00571DF4" w14:paraId="53B1F757"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4F005B29"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5 mg tablet, 56</w:t>
            </w:r>
          </w:p>
        </w:tc>
        <w:tc>
          <w:tcPr>
            <w:tcW w:w="811" w:type="dxa"/>
            <w:tcBorders>
              <w:top w:val="single" w:sz="4" w:space="0" w:color="auto"/>
              <w:left w:val="single" w:sz="4" w:space="0" w:color="auto"/>
              <w:bottom w:val="single" w:sz="4" w:space="0" w:color="auto"/>
              <w:right w:val="single" w:sz="4" w:space="0" w:color="auto"/>
            </w:tcBorders>
            <w:vAlign w:val="center"/>
            <w:hideMark/>
          </w:tcPr>
          <w:p w14:paraId="5BB61B98"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744D7F0A"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5C0FA741"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hideMark/>
          </w:tcPr>
          <w:p w14:paraId="5F9055EF"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w:t>
            </w:r>
          </w:p>
        </w:tc>
        <w:tc>
          <w:tcPr>
            <w:tcW w:w="1831" w:type="dxa"/>
            <w:vMerge w:val="restart"/>
            <w:tcBorders>
              <w:top w:val="single" w:sz="4" w:space="0" w:color="auto"/>
              <w:left w:val="single" w:sz="4" w:space="0" w:color="auto"/>
              <w:bottom w:val="single" w:sz="4" w:space="0" w:color="auto"/>
              <w:right w:val="single" w:sz="4" w:space="0" w:color="auto"/>
            </w:tcBorders>
            <w:vAlign w:val="center"/>
            <w:hideMark/>
          </w:tcPr>
          <w:p w14:paraId="3F3D8C30"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Lamictal</w:t>
            </w:r>
          </w:p>
          <w:p w14:paraId="3737E986"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GH</w:t>
            </w:r>
          </w:p>
          <w:p w14:paraId="77069C95"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Sandoz Lamotrigine</w:t>
            </w:r>
          </w:p>
        </w:tc>
      </w:tr>
      <w:tr w:rsidR="00571DF4" w14:paraId="4621CF80"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6D6A9E24"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25 mg tablet, 56</w:t>
            </w:r>
          </w:p>
        </w:tc>
        <w:tc>
          <w:tcPr>
            <w:tcW w:w="811" w:type="dxa"/>
            <w:tcBorders>
              <w:top w:val="single" w:sz="4" w:space="0" w:color="auto"/>
              <w:left w:val="single" w:sz="4" w:space="0" w:color="auto"/>
              <w:bottom w:val="single" w:sz="4" w:space="0" w:color="auto"/>
              <w:right w:val="single" w:sz="4" w:space="0" w:color="auto"/>
            </w:tcBorders>
            <w:hideMark/>
          </w:tcPr>
          <w:p w14:paraId="2E41CD9B"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2D7976F8"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27D5E2C2"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hideMark/>
          </w:tcPr>
          <w:p w14:paraId="5368FE13"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7DE7F152" w14:textId="77777777" w:rsidR="00571DF4" w:rsidRDefault="00571DF4">
            <w:pPr>
              <w:spacing w:after="0"/>
              <w:rPr>
                <w:rFonts w:ascii="Arial Narrow" w:eastAsia="Calibri" w:hAnsi="Arial Narrow" w:cs="Arial"/>
                <w:sz w:val="20"/>
                <w:szCs w:val="20"/>
              </w:rPr>
            </w:pPr>
          </w:p>
        </w:tc>
      </w:tr>
      <w:tr w:rsidR="00571DF4" w14:paraId="62046616"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1A222CF5"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50 mg tablet, 56</w:t>
            </w:r>
          </w:p>
        </w:tc>
        <w:tc>
          <w:tcPr>
            <w:tcW w:w="811" w:type="dxa"/>
            <w:tcBorders>
              <w:top w:val="single" w:sz="4" w:space="0" w:color="auto"/>
              <w:left w:val="single" w:sz="4" w:space="0" w:color="auto"/>
              <w:bottom w:val="single" w:sz="4" w:space="0" w:color="auto"/>
              <w:right w:val="single" w:sz="4" w:space="0" w:color="auto"/>
            </w:tcBorders>
            <w:hideMark/>
          </w:tcPr>
          <w:p w14:paraId="2C23631C"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649DF42C"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1AAD355F"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hideMark/>
          </w:tcPr>
          <w:p w14:paraId="01E53AE2"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52109A83" w14:textId="77777777" w:rsidR="00571DF4" w:rsidRDefault="00571DF4">
            <w:pPr>
              <w:spacing w:after="0"/>
              <w:rPr>
                <w:rFonts w:ascii="Arial Narrow" w:eastAsia="Calibri" w:hAnsi="Arial Narrow" w:cs="Arial"/>
                <w:sz w:val="20"/>
                <w:szCs w:val="20"/>
              </w:rPr>
            </w:pPr>
          </w:p>
        </w:tc>
      </w:tr>
      <w:tr w:rsidR="00571DF4" w14:paraId="74F45661"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5DCD4A4F"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100 mg tablet, 56</w:t>
            </w:r>
          </w:p>
        </w:tc>
        <w:tc>
          <w:tcPr>
            <w:tcW w:w="811" w:type="dxa"/>
            <w:tcBorders>
              <w:top w:val="single" w:sz="4" w:space="0" w:color="auto"/>
              <w:left w:val="single" w:sz="4" w:space="0" w:color="auto"/>
              <w:bottom w:val="single" w:sz="4" w:space="0" w:color="auto"/>
              <w:right w:val="single" w:sz="4" w:space="0" w:color="auto"/>
            </w:tcBorders>
            <w:hideMark/>
          </w:tcPr>
          <w:p w14:paraId="27A89D41"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0AA59751"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0DAAA398"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hideMark/>
          </w:tcPr>
          <w:p w14:paraId="6652B54A"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0E01C522" w14:textId="77777777" w:rsidR="00571DF4" w:rsidRDefault="00571DF4">
            <w:pPr>
              <w:spacing w:after="0"/>
              <w:rPr>
                <w:rFonts w:ascii="Arial Narrow" w:eastAsia="Calibri" w:hAnsi="Arial Narrow" w:cs="Arial"/>
                <w:sz w:val="20"/>
                <w:szCs w:val="20"/>
              </w:rPr>
            </w:pPr>
          </w:p>
        </w:tc>
      </w:tr>
      <w:tr w:rsidR="00571DF4" w14:paraId="07F5BFD2"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5CA2CDCF"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200 mg tablet, 56</w:t>
            </w:r>
          </w:p>
        </w:tc>
        <w:tc>
          <w:tcPr>
            <w:tcW w:w="811" w:type="dxa"/>
            <w:tcBorders>
              <w:top w:val="single" w:sz="4" w:space="0" w:color="auto"/>
              <w:left w:val="single" w:sz="4" w:space="0" w:color="auto"/>
              <w:bottom w:val="single" w:sz="4" w:space="0" w:color="auto"/>
              <w:right w:val="single" w:sz="4" w:space="0" w:color="auto"/>
            </w:tcBorders>
            <w:hideMark/>
          </w:tcPr>
          <w:p w14:paraId="6CBE60BA"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5E91BA4D"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17A50A32"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hideMark/>
          </w:tcPr>
          <w:p w14:paraId="3184DB0F"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50D49F72" w14:textId="77777777" w:rsidR="00571DF4" w:rsidRDefault="00571DF4">
            <w:pPr>
              <w:spacing w:after="0"/>
              <w:rPr>
                <w:rFonts w:ascii="Arial Narrow" w:eastAsia="Calibri" w:hAnsi="Arial Narrow" w:cs="Arial"/>
                <w:sz w:val="20"/>
                <w:szCs w:val="20"/>
              </w:rPr>
            </w:pPr>
          </w:p>
        </w:tc>
      </w:tr>
      <w:tr w:rsidR="00571DF4" w14:paraId="359F5D1F" w14:textId="77777777" w:rsidTr="00571DF4">
        <w:trPr>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CC81E0" w14:textId="77777777" w:rsidR="00571DF4" w:rsidRDefault="00571DF4">
            <w:pPr>
              <w:spacing w:after="0" w:line="240" w:lineRule="auto"/>
              <w:rPr>
                <w:rFonts w:ascii="Arial Narrow" w:eastAsia="Calibri" w:hAnsi="Arial Narrow" w:cs="Arial"/>
                <w:sz w:val="20"/>
                <w:szCs w:val="20"/>
              </w:rPr>
            </w:pPr>
          </w:p>
        </w:tc>
      </w:tr>
      <w:tr w:rsidR="00F076D1" w14:paraId="58F25EB3" w14:textId="77777777" w:rsidTr="00571DF4">
        <w:trPr>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20E4B3" w14:textId="46198F22" w:rsidR="00F076D1" w:rsidRDefault="00F076D1" w:rsidP="00F076D1">
            <w:pPr>
              <w:spacing w:after="0" w:line="240" w:lineRule="auto"/>
              <w:rPr>
                <w:rFonts w:ascii="Arial Narrow" w:eastAsia="Calibri" w:hAnsi="Arial Narrow" w:cs="Arial"/>
                <w:sz w:val="20"/>
                <w:szCs w:val="20"/>
              </w:rPr>
            </w:pPr>
            <w:r>
              <w:rPr>
                <w:rFonts w:ascii="Arial Narrow" w:eastAsia="Calibri" w:hAnsi="Arial Narrow" w:cs="Arial"/>
                <w:b/>
                <w:sz w:val="20"/>
                <w:szCs w:val="20"/>
              </w:rPr>
              <w:t>Category / Program:</w:t>
            </w:r>
            <w:r>
              <w:rPr>
                <w:rFonts w:ascii="Arial Narrow" w:eastAsia="Calibri" w:hAnsi="Arial Narrow" w:cs="Arial"/>
                <w:sz w:val="20"/>
                <w:szCs w:val="20"/>
              </w:rPr>
              <w:t xml:space="preserve"> </w:t>
            </w:r>
            <w: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fldChar w:fldCharType="separate"/>
            </w:r>
            <w:r>
              <w:fldChar w:fldCharType="end"/>
            </w:r>
            <w:r>
              <w:rPr>
                <w:rFonts w:ascii="Arial Narrow" w:eastAsia="Calibri" w:hAnsi="Arial Narrow" w:cs="Arial"/>
                <w:sz w:val="20"/>
                <w:szCs w:val="20"/>
              </w:rPr>
              <w:t xml:space="preserve"> GENERAL - General Schedule (Code GE) </w:t>
            </w:r>
          </w:p>
        </w:tc>
      </w:tr>
      <w:tr w:rsidR="00F076D1" w14:paraId="46A25379" w14:textId="77777777" w:rsidTr="00571DF4">
        <w:trPr>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950309" w14:textId="5D94DCB9" w:rsidR="00F076D1" w:rsidRDefault="00F076D1" w:rsidP="00F076D1">
            <w:pPr>
              <w:spacing w:after="0" w:line="240" w:lineRule="auto"/>
              <w:rPr>
                <w:rFonts w:ascii="Arial Narrow" w:eastAsia="Calibri" w:hAnsi="Arial Narrow" w:cs="Arial"/>
                <w:sz w:val="20"/>
                <w:szCs w:val="20"/>
              </w:rPr>
            </w:pPr>
            <w:r>
              <w:rPr>
                <w:rFonts w:ascii="Arial Narrow" w:eastAsia="Calibri" w:hAnsi="Arial Narrow" w:cs="Arial"/>
                <w:b/>
                <w:sz w:val="20"/>
                <w:szCs w:val="20"/>
              </w:rPr>
              <w:t xml:space="preserve">Prescriber type: </w:t>
            </w:r>
            <w: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fldChar w:fldCharType="separate"/>
            </w:r>
            <w:r>
              <w:fldChar w:fldCharType="end"/>
            </w:r>
            <w:r>
              <w:rPr>
                <w:rFonts w:ascii="Arial Narrow" w:eastAsia="Calibri" w:hAnsi="Arial Narrow" w:cs="Arial"/>
                <w:sz w:val="20"/>
                <w:szCs w:val="20"/>
              </w:rPr>
              <w:t xml:space="preserve">Medical Practitioners </w:t>
            </w:r>
            <w:r>
              <w:fldChar w:fldCharType="begin">
                <w:ffData>
                  <w:name w:val="Check3"/>
                  <w:enabled/>
                  <w:calcOnExit w:val="0"/>
                  <w:checkBox>
                    <w:sizeAuto/>
                    <w:default w:val="1"/>
                  </w:checkBox>
                </w:ffData>
              </w:fldChar>
            </w:r>
            <w:r>
              <w:rPr>
                <w:rFonts w:ascii="Arial Narrow" w:eastAsia="Calibri" w:hAnsi="Arial Narrow" w:cs="Arial"/>
                <w:sz w:val="20"/>
                <w:szCs w:val="20"/>
              </w:rPr>
              <w:instrText xml:space="preserve"> FORMCHECKBOX </w:instrText>
            </w:r>
            <w:r>
              <w:fldChar w:fldCharType="separate"/>
            </w:r>
            <w:r>
              <w:fldChar w:fldCharType="end"/>
            </w:r>
            <w:r>
              <w:rPr>
                <w:rFonts w:ascii="Arial Narrow" w:eastAsia="Calibri" w:hAnsi="Arial Narrow" w:cs="Arial"/>
                <w:sz w:val="20"/>
                <w:szCs w:val="20"/>
              </w:rPr>
              <w:t xml:space="preserve">Nurse practitioners  </w:t>
            </w:r>
          </w:p>
        </w:tc>
      </w:tr>
      <w:tr w:rsidR="00F076D1" w14:paraId="0295B77F" w14:textId="77777777" w:rsidTr="00571DF4">
        <w:trPr>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3D1D31" w14:textId="32E48916" w:rsidR="00F076D1" w:rsidRDefault="00F076D1" w:rsidP="00F076D1">
            <w:pPr>
              <w:spacing w:after="0" w:line="240" w:lineRule="auto"/>
              <w:rPr>
                <w:rFonts w:ascii="Arial Narrow" w:eastAsia="Calibri" w:hAnsi="Arial Narrow" w:cs="Arial"/>
                <w:sz w:val="20"/>
                <w:szCs w:val="20"/>
              </w:rPr>
            </w:pPr>
            <w:r>
              <w:rPr>
                <w:rFonts w:ascii="Arial Narrow" w:eastAsia="Calibri" w:hAnsi="Arial Narrow" w:cs="Arial"/>
                <w:b/>
                <w:sz w:val="20"/>
                <w:szCs w:val="20"/>
              </w:rPr>
              <w:t xml:space="preserve">Restriction type: </w:t>
            </w:r>
            <w: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fldChar w:fldCharType="separate"/>
            </w:r>
            <w:r>
              <w:fldChar w:fldCharType="end"/>
            </w:r>
            <w:r>
              <w:rPr>
                <w:rFonts w:ascii="Arial Narrow" w:eastAsia="Calibri" w:hAnsi="Arial Narrow" w:cs="Arial"/>
                <w:sz w:val="20"/>
                <w:szCs w:val="20"/>
              </w:rPr>
              <w:t>Restricted Benefit</w:t>
            </w:r>
          </w:p>
        </w:tc>
      </w:tr>
      <w:tr w:rsidR="00F076D1" w14:paraId="4EBB8870"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72588A" w14:textId="77777777" w:rsidR="00F076D1" w:rsidRDefault="00F076D1" w:rsidP="00F076D1">
            <w:pPr>
              <w:keepLines/>
              <w:spacing w:after="0" w:line="240" w:lineRule="auto"/>
              <w:rPr>
                <w:rFonts w:ascii="Arial Narrow" w:eastAsia="Times New Roman" w:hAnsi="Arial Narrow" w:cs="Times New Roman"/>
                <w:b/>
                <w:bCs/>
                <w:sz w:val="20"/>
                <w:szCs w:val="20"/>
                <w:lang w:eastAsia="en-AU"/>
              </w:rPr>
            </w:pPr>
            <w:r>
              <w:rPr>
                <w:rFonts w:ascii="Arial Narrow" w:eastAsia="Calibri" w:hAnsi="Arial Narrow"/>
                <w:b/>
                <w:sz w:val="20"/>
                <w:szCs w:val="20"/>
              </w:rPr>
              <w:t>Restriction Summary New1 / Treatment of Concept: New1A</w:t>
            </w:r>
          </w:p>
        </w:tc>
      </w:tr>
      <w:tr w:rsidR="00D34C44" w14:paraId="4E55708A"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C3B075" w14:textId="5ADB3DFC" w:rsidR="00D34C44" w:rsidRDefault="00D34C44" w:rsidP="00D34C44">
            <w:pPr>
              <w:keepLines/>
              <w:spacing w:after="0" w:line="240" w:lineRule="auto"/>
              <w:rPr>
                <w:rFonts w:ascii="Arial Narrow" w:eastAsia="Calibri" w:hAnsi="Arial Narrow"/>
                <w:b/>
                <w:sz w:val="20"/>
                <w:szCs w:val="20"/>
              </w:rPr>
            </w:pPr>
            <w:r>
              <w:rPr>
                <w:rFonts w:ascii="Arial Narrow" w:eastAsia="Times New Roman" w:hAnsi="Arial Narrow"/>
                <w:b/>
                <w:bCs/>
                <w:sz w:val="20"/>
                <w:szCs w:val="20"/>
                <w:lang w:eastAsia="en-AU"/>
              </w:rPr>
              <w:t>Indication:</w:t>
            </w:r>
            <w:r>
              <w:rPr>
                <w:rFonts w:ascii="Arial Narrow" w:eastAsia="Times New Roman" w:hAnsi="Arial Narrow"/>
                <w:sz w:val="20"/>
                <w:szCs w:val="20"/>
                <w:lang w:eastAsia="en-AU"/>
              </w:rPr>
              <w:t xml:space="preserve"> Bipolar disorder</w:t>
            </w:r>
          </w:p>
        </w:tc>
      </w:tr>
      <w:tr w:rsidR="00D34C44" w14:paraId="35D6D909"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1DDDE8" w14:textId="27E5C3C4" w:rsidR="00D34C44" w:rsidRDefault="00D34C44" w:rsidP="00D34C44">
            <w:pPr>
              <w:keepLines/>
              <w:spacing w:after="0" w:line="240" w:lineRule="auto"/>
              <w:rPr>
                <w:rFonts w:ascii="Arial Narrow" w:eastAsia="Calibri" w:hAnsi="Arial Narrow"/>
                <w:b/>
                <w:sz w:val="20"/>
                <w:szCs w:val="20"/>
              </w:rPr>
            </w:pPr>
            <w:r>
              <w:rPr>
                <w:rFonts w:ascii="Arial Narrow" w:eastAsia="Times New Roman" w:hAnsi="Arial Narrow"/>
                <w:b/>
                <w:bCs/>
                <w:sz w:val="20"/>
                <w:szCs w:val="20"/>
                <w:lang w:eastAsia="en-AU"/>
              </w:rPr>
              <w:t>Treatment criteria:</w:t>
            </w:r>
          </w:p>
        </w:tc>
      </w:tr>
      <w:tr w:rsidR="00D34C44" w14:paraId="4E721116"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9D23C5" w14:textId="3493FA2A" w:rsidR="00D34C44" w:rsidRDefault="00D34C44" w:rsidP="00D34C44">
            <w:pPr>
              <w:keepLines/>
              <w:spacing w:after="0" w:line="240" w:lineRule="auto"/>
              <w:rPr>
                <w:rFonts w:ascii="Arial Narrow" w:eastAsia="Calibri" w:hAnsi="Arial Narrow"/>
                <w:b/>
                <w:sz w:val="20"/>
                <w:szCs w:val="20"/>
              </w:rPr>
            </w:pPr>
            <w:r>
              <w:rPr>
                <w:rFonts w:ascii="Arial Narrow" w:eastAsia="Times New Roman" w:hAnsi="Arial Narrow"/>
                <w:sz w:val="20"/>
                <w:szCs w:val="20"/>
                <w:lang w:eastAsia="en-AU"/>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2982DA2B" w14:textId="77777777" w:rsidR="00571DF4" w:rsidRDefault="00571DF4" w:rsidP="00571DF4">
      <w:pPr>
        <w:rPr>
          <w:rFonts w:ascii="Times New Roman" w:hAnsi="Times New Roman"/>
          <w:kern w:val="2"/>
          <w:sz w:val="24"/>
          <w:szCs w:val="24"/>
          <w14:ligatures w14:val="standardContextual"/>
        </w:rPr>
      </w:pPr>
    </w:p>
    <w:bookmarkEnd w:id="13"/>
    <w:p w14:paraId="1BF876DE" w14:textId="62D546B1" w:rsidR="00571DF4" w:rsidRDefault="00160FC2" w:rsidP="00571DF4">
      <w:pPr>
        <w:pStyle w:val="Heading2"/>
        <w:rPr>
          <w:rFonts w:ascii="Calibri" w:eastAsia="Calibri" w:hAnsi="Calibri" w:cs="Arial"/>
          <w:b/>
          <w:snapToGrid w:val="0"/>
          <w:color w:val="auto"/>
          <w:szCs w:val="20"/>
        </w:rPr>
      </w:pPr>
      <w:r>
        <w:rPr>
          <w:rFonts w:ascii="Calibri" w:eastAsia="Calibri" w:hAnsi="Calibri" w:cs="Arial"/>
          <w:b/>
          <w:snapToGrid w:val="0"/>
          <w:color w:val="auto"/>
          <w:szCs w:val="20"/>
        </w:rPr>
        <w:t>60-day</w:t>
      </w:r>
      <w:r w:rsidR="00571DF4">
        <w:rPr>
          <w:rFonts w:ascii="Calibri" w:eastAsia="Calibri" w:hAnsi="Calibri" w:cs="Arial"/>
          <w:b/>
          <w:snapToGrid w:val="0"/>
          <w:color w:val="auto"/>
          <w:szCs w:val="20"/>
        </w:rPr>
        <w:t xml:space="preserve">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9"/>
        <w:gridCol w:w="811"/>
        <w:gridCol w:w="812"/>
        <w:gridCol w:w="811"/>
        <w:gridCol w:w="812"/>
        <w:gridCol w:w="1831"/>
      </w:tblGrid>
      <w:tr w:rsidR="00571DF4" w14:paraId="4FF55D75"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25F4F4EC" w14:textId="77777777" w:rsidR="00571DF4" w:rsidRDefault="00571DF4">
            <w:pPr>
              <w:keepLines/>
              <w:spacing w:after="0" w:line="240" w:lineRule="auto"/>
              <w:rPr>
                <w:rFonts w:ascii="Arial Narrow" w:eastAsia="Calibri" w:hAnsi="Arial Narrow" w:cs="Arial"/>
                <w:b/>
                <w:bCs/>
                <w:sz w:val="20"/>
                <w:szCs w:val="20"/>
              </w:rPr>
            </w:pPr>
            <w:r>
              <w:rPr>
                <w:rFonts w:ascii="Arial Narrow" w:eastAsia="Calibri" w:hAnsi="Arial Narrow" w:cs="Arial"/>
                <w:b/>
                <w:bCs/>
                <w:sz w:val="20"/>
                <w:szCs w:val="20"/>
              </w:rPr>
              <w:t>MEDICINAL PRODUCT</w:t>
            </w:r>
          </w:p>
          <w:p w14:paraId="4164C625" w14:textId="77777777" w:rsidR="00571DF4" w:rsidRDefault="00571DF4">
            <w:pPr>
              <w:keepLines/>
              <w:spacing w:after="0" w:line="240" w:lineRule="auto"/>
              <w:rPr>
                <w:rFonts w:ascii="Arial Narrow" w:eastAsia="Calibri" w:hAnsi="Arial Narrow" w:cs="Arial"/>
                <w:b/>
                <w:sz w:val="20"/>
                <w:szCs w:val="20"/>
              </w:rPr>
            </w:pPr>
            <w:r>
              <w:rPr>
                <w:rFonts w:ascii="Arial Narrow" w:eastAsia="Calibri" w:hAnsi="Arial Narrow" w:cs="Arial"/>
                <w:b/>
                <w:bCs/>
                <w:sz w:val="20"/>
                <w:szCs w:val="20"/>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52124D10" w14:textId="77777777" w:rsidR="00571DF4" w:rsidRDefault="00571DF4">
            <w:pPr>
              <w:keepLines/>
              <w:spacing w:after="0" w:line="240" w:lineRule="auto"/>
              <w:jc w:val="center"/>
              <w:rPr>
                <w:rFonts w:ascii="Arial Narrow" w:eastAsia="Calibri" w:hAnsi="Arial Narrow" w:cs="Arial"/>
                <w:b/>
                <w:sz w:val="20"/>
                <w:szCs w:val="20"/>
              </w:rPr>
            </w:pPr>
            <w:r>
              <w:rPr>
                <w:rFonts w:ascii="Arial Narrow" w:eastAsia="Calibri" w:hAnsi="Arial Narrow" w:cs="Arial"/>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23232D90" w14:textId="77777777" w:rsidR="00571DF4" w:rsidRDefault="00571DF4">
            <w:pPr>
              <w:keepLines/>
              <w:spacing w:after="0" w:line="240" w:lineRule="auto"/>
              <w:jc w:val="center"/>
              <w:rPr>
                <w:rFonts w:ascii="Arial Narrow" w:eastAsia="Calibri" w:hAnsi="Arial Narrow" w:cs="Arial"/>
                <w:b/>
                <w:sz w:val="20"/>
                <w:szCs w:val="20"/>
              </w:rPr>
            </w:pPr>
            <w:r>
              <w:rPr>
                <w:rFonts w:ascii="Arial Narrow" w:eastAsia="Calibri" w:hAnsi="Arial Narrow" w:cs="Arial"/>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1797C37C" w14:textId="77777777" w:rsidR="00571DF4" w:rsidRDefault="00571DF4">
            <w:pPr>
              <w:keepLines/>
              <w:spacing w:after="0" w:line="240" w:lineRule="auto"/>
              <w:jc w:val="center"/>
              <w:rPr>
                <w:rFonts w:ascii="Arial Narrow" w:eastAsia="Calibri" w:hAnsi="Arial Narrow" w:cs="Arial"/>
                <w:b/>
                <w:sz w:val="20"/>
                <w:szCs w:val="20"/>
              </w:rPr>
            </w:pPr>
            <w:r>
              <w:rPr>
                <w:rFonts w:ascii="Arial Narrow" w:eastAsia="Calibri" w:hAnsi="Arial Narrow" w:cs="Arial"/>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34331B2E" w14:textId="77777777" w:rsidR="00571DF4" w:rsidRDefault="00571DF4">
            <w:pPr>
              <w:keepLines/>
              <w:spacing w:after="0" w:line="240" w:lineRule="auto"/>
              <w:jc w:val="center"/>
              <w:rPr>
                <w:rFonts w:ascii="Arial Narrow" w:eastAsia="Calibri" w:hAnsi="Arial Narrow" w:cs="Arial"/>
                <w:b/>
                <w:sz w:val="20"/>
                <w:szCs w:val="20"/>
              </w:rPr>
            </w:pPr>
            <w:r>
              <w:rPr>
                <w:rFonts w:ascii="Arial Narrow" w:eastAsia="Calibri" w:hAnsi="Arial Narrow" w:cs="Arial"/>
                <w:b/>
                <w:sz w:val="20"/>
                <w:szCs w:val="20"/>
              </w:rPr>
              <w:t>№.of</w:t>
            </w:r>
          </w:p>
          <w:p w14:paraId="27A670DB" w14:textId="77777777" w:rsidR="00571DF4" w:rsidRDefault="00571DF4">
            <w:pPr>
              <w:keepLines/>
              <w:spacing w:after="0" w:line="240" w:lineRule="auto"/>
              <w:jc w:val="center"/>
              <w:rPr>
                <w:rFonts w:ascii="Arial Narrow" w:eastAsia="Calibri" w:hAnsi="Arial Narrow" w:cs="Arial"/>
                <w:b/>
                <w:sz w:val="20"/>
                <w:szCs w:val="20"/>
              </w:rPr>
            </w:pPr>
            <w:r>
              <w:rPr>
                <w:rFonts w:ascii="Arial Narrow" w:eastAsia="Calibri" w:hAnsi="Arial Narrow" w:cs="Arial"/>
                <w:b/>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7443D6D" w14:textId="77777777" w:rsidR="00571DF4" w:rsidRDefault="00571DF4">
            <w:pPr>
              <w:keepLines/>
              <w:spacing w:after="0" w:line="240" w:lineRule="auto"/>
              <w:rPr>
                <w:rFonts w:ascii="Arial Narrow" w:eastAsia="Calibri" w:hAnsi="Arial Narrow" w:cs="Arial"/>
                <w:b/>
                <w:sz w:val="20"/>
                <w:szCs w:val="20"/>
                <w:lang w:val="fr-FR"/>
              </w:rPr>
            </w:pPr>
            <w:r>
              <w:rPr>
                <w:rFonts w:ascii="Arial Narrow" w:eastAsia="Calibri" w:hAnsi="Arial Narrow" w:cs="Arial"/>
                <w:b/>
                <w:sz w:val="20"/>
                <w:szCs w:val="20"/>
              </w:rPr>
              <w:t>Available brands</w:t>
            </w:r>
          </w:p>
        </w:tc>
      </w:tr>
      <w:tr w:rsidR="00571DF4" w14:paraId="47BF637C"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hideMark/>
          </w:tcPr>
          <w:p w14:paraId="130F29B3"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w:t>
            </w:r>
          </w:p>
        </w:tc>
      </w:tr>
      <w:tr w:rsidR="00571DF4" w14:paraId="3663C794"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14587360"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5 mg tablet, 56</w:t>
            </w:r>
          </w:p>
        </w:tc>
        <w:tc>
          <w:tcPr>
            <w:tcW w:w="811" w:type="dxa"/>
            <w:tcBorders>
              <w:top w:val="single" w:sz="4" w:space="0" w:color="auto"/>
              <w:left w:val="single" w:sz="4" w:space="0" w:color="auto"/>
              <w:bottom w:val="single" w:sz="4" w:space="0" w:color="auto"/>
              <w:right w:val="single" w:sz="4" w:space="0" w:color="auto"/>
            </w:tcBorders>
            <w:vAlign w:val="center"/>
            <w:hideMark/>
          </w:tcPr>
          <w:p w14:paraId="204EEFDC"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New</w:t>
            </w:r>
          </w:p>
        </w:tc>
        <w:tc>
          <w:tcPr>
            <w:tcW w:w="812" w:type="dxa"/>
            <w:tcBorders>
              <w:top w:val="single" w:sz="4" w:space="0" w:color="auto"/>
              <w:left w:val="single" w:sz="4" w:space="0" w:color="auto"/>
              <w:bottom w:val="single" w:sz="4" w:space="0" w:color="auto"/>
              <w:right w:val="single" w:sz="4" w:space="0" w:color="auto"/>
            </w:tcBorders>
            <w:hideMark/>
          </w:tcPr>
          <w:p w14:paraId="0F54976D"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2</w:t>
            </w:r>
          </w:p>
        </w:tc>
        <w:tc>
          <w:tcPr>
            <w:tcW w:w="811" w:type="dxa"/>
            <w:tcBorders>
              <w:top w:val="single" w:sz="4" w:space="0" w:color="auto"/>
              <w:left w:val="single" w:sz="4" w:space="0" w:color="auto"/>
              <w:bottom w:val="single" w:sz="4" w:space="0" w:color="auto"/>
              <w:right w:val="single" w:sz="4" w:space="0" w:color="auto"/>
            </w:tcBorders>
            <w:vAlign w:val="center"/>
            <w:hideMark/>
          </w:tcPr>
          <w:p w14:paraId="3B41F588"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hideMark/>
          </w:tcPr>
          <w:p w14:paraId="6C754070"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w:t>
            </w:r>
          </w:p>
        </w:tc>
        <w:tc>
          <w:tcPr>
            <w:tcW w:w="1831" w:type="dxa"/>
            <w:vMerge w:val="restart"/>
            <w:tcBorders>
              <w:top w:val="single" w:sz="4" w:space="0" w:color="auto"/>
              <w:left w:val="single" w:sz="4" w:space="0" w:color="auto"/>
              <w:bottom w:val="single" w:sz="4" w:space="0" w:color="auto"/>
              <w:right w:val="single" w:sz="4" w:space="0" w:color="auto"/>
            </w:tcBorders>
            <w:vAlign w:val="center"/>
            <w:hideMark/>
          </w:tcPr>
          <w:p w14:paraId="69360750"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Lamictal</w:t>
            </w:r>
          </w:p>
          <w:p w14:paraId="58C3875D"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GH</w:t>
            </w:r>
          </w:p>
          <w:p w14:paraId="602CEBED"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 xml:space="preserve">Sandoz Lamotrigine </w:t>
            </w:r>
          </w:p>
        </w:tc>
      </w:tr>
      <w:tr w:rsidR="00571DF4" w14:paraId="28BD0866"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2CEC427F"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25 mg tablet, 56</w:t>
            </w:r>
          </w:p>
        </w:tc>
        <w:tc>
          <w:tcPr>
            <w:tcW w:w="811" w:type="dxa"/>
            <w:tcBorders>
              <w:top w:val="single" w:sz="4" w:space="0" w:color="auto"/>
              <w:left w:val="single" w:sz="4" w:space="0" w:color="auto"/>
              <w:bottom w:val="single" w:sz="4" w:space="0" w:color="auto"/>
              <w:right w:val="single" w:sz="4" w:space="0" w:color="auto"/>
            </w:tcBorders>
            <w:hideMark/>
          </w:tcPr>
          <w:p w14:paraId="7EBFD1C8"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New</w:t>
            </w:r>
          </w:p>
        </w:tc>
        <w:tc>
          <w:tcPr>
            <w:tcW w:w="812" w:type="dxa"/>
            <w:tcBorders>
              <w:top w:val="single" w:sz="4" w:space="0" w:color="auto"/>
              <w:left w:val="single" w:sz="4" w:space="0" w:color="auto"/>
              <w:bottom w:val="single" w:sz="4" w:space="0" w:color="auto"/>
              <w:right w:val="single" w:sz="4" w:space="0" w:color="auto"/>
            </w:tcBorders>
            <w:hideMark/>
          </w:tcPr>
          <w:p w14:paraId="1FDFE915"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2</w:t>
            </w:r>
          </w:p>
        </w:tc>
        <w:tc>
          <w:tcPr>
            <w:tcW w:w="811" w:type="dxa"/>
            <w:tcBorders>
              <w:top w:val="single" w:sz="4" w:space="0" w:color="auto"/>
              <w:left w:val="single" w:sz="4" w:space="0" w:color="auto"/>
              <w:bottom w:val="single" w:sz="4" w:space="0" w:color="auto"/>
              <w:right w:val="single" w:sz="4" w:space="0" w:color="auto"/>
            </w:tcBorders>
            <w:hideMark/>
          </w:tcPr>
          <w:p w14:paraId="6BFD952E"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hideMark/>
          </w:tcPr>
          <w:p w14:paraId="7A50FBA5"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0FD2E58D" w14:textId="77777777" w:rsidR="00571DF4" w:rsidRDefault="00571DF4">
            <w:pPr>
              <w:spacing w:after="0"/>
              <w:rPr>
                <w:rFonts w:ascii="Arial Narrow" w:eastAsia="Calibri" w:hAnsi="Arial Narrow" w:cs="Arial"/>
                <w:sz w:val="20"/>
                <w:szCs w:val="20"/>
              </w:rPr>
            </w:pPr>
          </w:p>
        </w:tc>
      </w:tr>
      <w:tr w:rsidR="00571DF4" w14:paraId="1F890AB1"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76F7F10A"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50 mg tablet, 56</w:t>
            </w:r>
          </w:p>
        </w:tc>
        <w:tc>
          <w:tcPr>
            <w:tcW w:w="811" w:type="dxa"/>
            <w:tcBorders>
              <w:top w:val="single" w:sz="4" w:space="0" w:color="auto"/>
              <w:left w:val="single" w:sz="4" w:space="0" w:color="auto"/>
              <w:bottom w:val="single" w:sz="4" w:space="0" w:color="auto"/>
              <w:right w:val="single" w:sz="4" w:space="0" w:color="auto"/>
            </w:tcBorders>
            <w:hideMark/>
          </w:tcPr>
          <w:p w14:paraId="20E7117C"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New</w:t>
            </w:r>
          </w:p>
        </w:tc>
        <w:tc>
          <w:tcPr>
            <w:tcW w:w="812" w:type="dxa"/>
            <w:tcBorders>
              <w:top w:val="single" w:sz="4" w:space="0" w:color="auto"/>
              <w:left w:val="single" w:sz="4" w:space="0" w:color="auto"/>
              <w:bottom w:val="single" w:sz="4" w:space="0" w:color="auto"/>
              <w:right w:val="single" w:sz="4" w:space="0" w:color="auto"/>
            </w:tcBorders>
            <w:hideMark/>
          </w:tcPr>
          <w:p w14:paraId="5B967778"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2</w:t>
            </w:r>
          </w:p>
        </w:tc>
        <w:tc>
          <w:tcPr>
            <w:tcW w:w="811" w:type="dxa"/>
            <w:tcBorders>
              <w:top w:val="single" w:sz="4" w:space="0" w:color="auto"/>
              <w:left w:val="single" w:sz="4" w:space="0" w:color="auto"/>
              <w:bottom w:val="single" w:sz="4" w:space="0" w:color="auto"/>
              <w:right w:val="single" w:sz="4" w:space="0" w:color="auto"/>
            </w:tcBorders>
            <w:hideMark/>
          </w:tcPr>
          <w:p w14:paraId="367223FD"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hideMark/>
          </w:tcPr>
          <w:p w14:paraId="53DB823E"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27205C7E" w14:textId="77777777" w:rsidR="00571DF4" w:rsidRDefault="00571DF4">
            <w:pPr>
              <w:spacing w:after="0"/>
              <w:rPr>
                <w:rFonts w:ascii="Arial Narrow" w:eastAsia="Calibri" w:hAnsi="Arial Narrow" w:cs="Arial"/>
                <w:sz w:val="20"/>
                <w:szCs w:val="20"/>
              </w:rPr>
            </w:pPr>
          </w:p>
        </w:tc>
      </w:tr>
      <w:tr w:rsidR="00571DF4" w14:paraId="094723F8"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676BF5A0"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100 mg tablet, 56</w:t>
            </w:r>
          </w:p>
        </w:tc>
        <w:tc>
          <w:tcPr>
            <w:tcW w:w="811" w:type="dxa"/>
            <w:tcBorders>
              <w:top w:val="single" w:sz="4" w:space="0" w:color="auto"/>
              <w:left w:val="single" w:sz="4" w:space="0" w:color="auto"/>
              <w:bottom w:val="single" w:sz="4" w:space="0" w:color="auto"/>
              <w:right w:val="single" w:sz="4" w:space="0" w:color="auto"/>
            </w:tcBorders>
            <w:hideMark/>
          </w:tcPr>
          <w:p w14:paraId="33BAE659"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New</w:t>
            </w:r>
          </w:p>
        </w:tc>
        <w:tc>
          <w:tcPr>
            <w:tcW w:w="812" w:type="dxa"/>
            <w:tcBorders>
              <w:top w:val="single" w:sz="4" w:space="0" w:color="auto"/>
              <w:left w:val="single" w:sz="4" w:space="0" w:color="auto"/>
              <w:bottom w:val="single" w:sz="4" w:space="0" w:color="auto"/>
              <w:right w:val="single" w:sz="4" w:space="0" w:color="auto"/>
            </w:tcBorders>
            <w:hideMark/>
          </w:tcPr>
          <w:p w14:paraId="2423BB67"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2</w:t>
            </w:r>
          </w:p>
        </w:tc>
        <w:tc>
          <w:tcPr>
            <w:tcW w:w="811" w:type="dxa"/>
            <w:tcBorders>
              <w:top w:val="single" w:sz="4" w:space="0" w:color="auto"/>
              <w:left w:val="single" w:sz="4" w:space="0" w:color="auto"/>
              <w:bottom w:val="single" w:sz="4" w:space="0" w:color="auto"/>
              <w:right w:val="single" w:sz="4" w:space="0" w:color="auto"/>
            </w:tcBorders>
            <w:hideMark/>
          </w:tcPr>
          <w:p w14:paraId="09D91472"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hideMark/>
          </w:tcPr>
          <w:p w14:paraId="67F20B77"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4BAEBAF5" w14:textId="77777777" w:rsidR="00571DF4" w:rsidRDefault="00571DF4">
            <w:pPr>
              <w:spacing w:after="0"/>
              <w:rPr>
                <w:rFonts w:ascii="Arial Narrow" w:eastAsia="Calibri" w:hAnsi="Arial Narrow" w:cs="Arial"/>
                <w:sz w:val="20"/>
                <w:szCs w:val="20"/>
              </w:rPr>
            </w:pPr>
          </w:p>
        </w:tc>
      </w:tr>
      <w:tr w:rsidR="00571DF4" w14:paraId="7A71D2F8" w14:textId="77777777" w:rsidTr="00571DF4">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hideMark/>
          </w:tcPr>
          <w:p w14:paraId="093BA834" w14:textId="77777777" w:rsidR="00571DF4" w:rsidRDefault="00571DF4">
            <w:pPr>
              <w:keepLines/>
              <w:spacing w:after="0" w:line="240" w:lineRule="auto"/>
              <w:rPr>
                <w:rFonts w:ascii="Arial Narrow" w:eastAsia="Calibri" w:hAnsi="Arial Narrow" w:cs="Arial"/>
                <w:sz w:val="20"/>
                <w:szCs w:val="20"/>
              </w:rPr>
            </w:pPr>
            <w:r>
              <w:rPr>
                <w:rFonts w:ascii="Arial Narrow" w:eastAsia="Calibri" w:hAnsi="Arial Narrow" w:cs="Arial"/>
                <w:sz w:val="20"/>
                <w:szCs w:val="20"/>
              </w:rPr>
              <w:t>lamotrigine 200 mg tablet, 56</w:t>
            </w:r>
          </w:p>
        </w:tc>
        <w:tc>
          <w:tcPr>
            <w:tcW w:w="811" w:type="dxa"/>
            <w:tcBorders>
              <w:top w:val="single" w:sz="4" w:space="0" w:color="auto"/>
              <w:left w:val="single" w:sz="4" w:space="0" w:color="auto"/>
              <w:bottom w:val="single" w:sz="4" w:space="0" w:color="auto"/>
              <w:right w:val="single" w:sz="4" w:space="0" w:color="auto"/>
            </w:tcBorders>
            <w:hideMark/>
          </w:tcPr>
          <w:p w14:paraId="50B094D4"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New</w:t>
            </w:r>
          </w:p>
        </w:tc>
        <w:tc>
          <w:tcPr>
            <w:tcW w:w="812" w:type="dxa"/>
            <w:tcBorders>
              <w:top w:val="single" w:sz="4" w:space="0" w:color="auto"/>
              <w:left w:val="single" w:sz="4" w:space="0" w:color="auto"/>
              <w:bottom w:val="single" w:sz="4" w:space="0" w:color="auto"/>
              <w:right w:val="single" w:sz="4" w:space="0" w:color="auto"/>
            </w:tcBorders>
            <w:hideMark/>
          </w:tcPr>
          <w:p w14:paraId="214A5CDD"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2</w:t>
            </w:r>
          </w:p>
        </w:tc>
        <w:tc>
          <w:tcPr>
            <w:tcW w:w="811" w:type="dxa"/>
            <w:tcBorders>
              <w:top w:val="single" w:sz="4" w:space="0" w:color="auto"/>
              <w:left w:val="single" w:sz="4" w:space="0" w:color="auto"/>
              <w:bottom w:val="single" w:sz="4" w:space="0" w:color="auto"/>
              <w:right w:val="single" w:sz="4" w:space="0" w:color="auto"/>
            </w:tcBorders>
            <w:hideMark/>
          </w:tcPr>
          <w:p w14:paraId="3CD94794"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hideMark/>
          </w:tcPr>
          <w:p w14:paraId="769BC291" w14:textId="77777777" w:rsidR="00571DF4" w:rsidRDefault="00571DF4">
            <w:pPr>
              <w:keepLines/>
              <w:spacing w:after="0" w:line="240" w:lineRule="auto"/>
              <w:jc w:val="center"/>
              <w:rPr>
                <w:rFonts w:ascii="Arial Narrow" w:eastAsia="Calibri" w:hAnsi="Arial Narrow" w:cs="Arial"/>
                <w:sz w:val="20"/>
                <w:szCs w:val="20"/>
              </w:rPr>
            </w:pPr>
            <w:r>
              <w:rPr>
                <w:rFonts w:ascii="Arial Narrow" w:eastAsia="Calibri" w:hAnsi="Arial Narrow" w:cs="Arial"/>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508431A8" w14:textId="77777777" w:rsidR="00571DF4" w:rsidRDefault="00571DF4">
            <w:pPr>
              <w:spacing w:after="0"/>
              <w:rPr>
                <w:rFonts w:ascii="Arial Narrow" w:eastAsia="Calibri" w:hAnsi="Arial Narrow" w:cs="Arial"/>
                <w:sz w:val="20"/>
                <w:szCs w:val="20"/>
              </w:rPr>
            </w:pPr>
          </w:p>
        </w:tc>
      </w:tr>
      <w:tr w:rsidR="00571DF4" w14:paraId="45B3936D" w14:textId="77777777" w:rsidTr="00571DF4">
        <w:trPr>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B7653B" w14:textId="77777777" w:rsidR="00571DF4" w:rsidRDefault="00571DF4">
            <w:pPr>
              <w:spacing w:after="0" w:line="240" w:lineRule="auto"/>
              <w:rPr>
                <w:rFonts w:ascii="Arial Narrow" w:eastAsia="Calibri" w:hAnsi="Arial Narrow" w:cs="Arial"/>
                <w:sz w:val="20"/>
                <w:szCs w:val="20"/>
              </w:rPr>
            </w:pPr>
          </w:p>
        </w:tc>
      </w:tr>
      <w:tr w:rsidR="001E6643" w14:paraId="043CC01A" w14:textId="77777777" w:rsidTr="00571DF4">
        <w:trPr>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24FA369" w14:textId="521EE132" w:rsidR="001E6643" w:rsidRDefault="001E6643" w:rsidP="001E6643">
            <w:pPr>
              <w:spacing w:after="0" w:line="240" w:lineRule="auto"/>
              <w:rPr>
                <w:rFonts w:ascii="Arial Narrow" w:eastAsia="Calibri" w:hAnsi="Arial Narrow" w:cs="Arial"/>
                <w:sz w:val="20"/>
                <w:szCs w:val="20"/>
              </w:rPr>
            </w:pPr>
            <w:r>
              <w:rPr>
                <w:rFonts w:ascii="Arial Narrow" w:eastAsia="Calibri" w:hAnsi="Arial Narrow" w:cs="Arial"/>
                <w:b/>
                <w:sz w:val="20"/>
                <w:szCs w:val="20"/>
              </w:rPr>
              <w:t>Category / Program:</w:t>
            </w:r>
            <w:r>
              <w:rPr>
                <w:rFonts w:ascii="Arial Narrow" w:eastAsia="Calibri" w:hAnsi="Arial Narrow" w:cs="Arial"/>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1E6643" w14:paraId="77F039A5" w14:textId="77777777" w:rsidTr="00571DF4">
        <w:trPr>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19C658A" w14:textId="05B21D79" w:rsidR="001E6643" w:rsidRDefault="001E6643" w:rsidP="001E6643">
            <w:pPr>
              <w:spacing w:after="0" w:line="240" w:lineRule="auto"/>
              <w:rPr>
                <w:rFonts w:ascii="Arial Narrow" w:eastAsia="Calibri" w:hAnsi="Arial Narrow" w:cs="Arial"/>
                <w:sz w:val="20"/>
                <w:szCs w:val="20"/>
              </w:rPr>
            </w:pPr>
            <w:r>
              <w:rPr>
                <w:rFonts w:ascii="Arial Narrow" w:eastAsia="Calibri" w:hAnsi="Arial Narrow" w:cs="Arial"/>
                <w:b/>
                <w:sz w:val="20"/>
                <w:szCs w:val="20"/>
              </w:rPr>
              <w:t xml:space="preserve">Prescriber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Medical Practitioners </w:t>
            </w:r>
            <w:r>
              <w:rPr>
                <w:rFonts w:ascii="Arial Narrow" w:eastAsia="Calibri" w:hAnsi="Arial Narrow" w:cs="Arial"/>
                <w:sz w:val="20"/>
                <w:szCs w:val="20"/>
              </w:rPr>
              <w:fldChar w:fldCharType="begin">
                <w:ffData>
                  <w:name w:val="Check3"/>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Nurse practitioners  </w:t>
            </w:r>
          </w:p>
        </w:tc>
      </w:tr>
      <w:tr w:rsidR="001E6643" w14:paraId="194D9229" w14:textId="77777777" w:rsidTr="00571DF4">
        <w:trPr>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AC1D679" w14:textId="1D216A6C" w:rsidR="001E6643" w:rsidRDefault="001E6643" w:rsidP="001E6643">
            <w:pPr>
              <w:spacing w:after="0" w:line="240" w:lineRule="auto"/>
              <w:rPr>
                <w:rFonts w:ascii="Arial Narrow" w:eastAsia="Calibri" w:hAnsi="Arial Narrow" w:cs="Arial"/>
                <w:sz w:val="20"/>
                <w:szCs w:val="20"/>
              </w:rPr>
            </w:pPr>
            <w:r>
              <w:rPr>
                <w:rFonts w:ascii="Arial Narrow" w:eastAsia="Calibri"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Restricted Benefit</w:t>
            </w:r>
          </w:p>
        </w:tc>
      </w:tr>
      <w:tr w:rsidR="001E6643" w14:paraId="6A33450E"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49E717" w14:textId="77777777" w:rsidR="001E6643" w:rsidRDefault="001E6643" w:rsidP="001E6643">
            <w:pPr>
              <w:keepLines/>
              <w:spacing w:after="0" w:line="240" w:lineRule="auto"/>
              <w:rPr>
                <w:rFonts w:ascii="Arial Narrow" w:eastAsia="Times New Roman" w:hAnsi="Arial Narrow" w:cs="Times New Roman"/>
                <w:b/>
                <w:bCs/>
                <w:sz w:val="20"/>
                <w:szCs w:val="20"/>
                <w:lang w:eastAsia="en-AU"/>
              </w:rPr>
            </w:pPr>
            <w:r>
              <w:rPr>
                <w:rFonts w:ascii="Arial Narrow" w:eastAsia="Calibri" w:hAnsi="Arial Narrow"/>
                <w:b/>
                <w:sz w:val="20"/>
                <w:szCs w:val="20"/>
              </w:rPr>
              <w:t>Restriction Summary New2 / Treatment of Concept: New2A</w:t>
            </w:r>
          </w:p>
        </w:tc>
      </w:tr>
      <w:tr w:rsidR="00DD4D50" w14:paraId="3D8CD40C"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BB53DB" w14:textId="78359A36" w:rsidR="00DD4D50" w:rsidRDefault="00DD4D50" w:rsidP="00DD4D50">
            <w:pPr>
              <w:keepLines/>
              <w:spacing w:after="0" w:line="240" w:lineRule="auto"/>
              <w:rPr>
                <w:rFonts w:ascii="Arial Narrow" w:eastAsia="Calibri" w:hAnsi="Arial Narrow"/>
                <w:b/>
                <w:sz w:val="20"/>
                <w:szCs w:val="20"/>
              </w:rPr>
            </w:pPr>
            <w:r>
              <w:rPr>
                <w:rFonts w:ascii="Arial Narrow" w:eastAsia="Times New Roman" w:hAnsi="Arial Narrow"/>
                <w:b/>
                <w:bCs/>
                <w:sz w:val="20"/>
                <w:szCs w:val="20"/>
                <w:lang w:eastAsia="en-AU"/>
              </w:rPr>
              <w:t>Indication:</w:t>
            </w:r>
            <w:r>
              <w:rPr>
                <w:rFonts w:ascii="Arial Narrow" w:eastAsia="Times New Roman" w:hAnsi="Arial Narrow"/>
                <w:sz w:val="20"/>
                <w:szCs w:val="20"/>
                <w:lang w:eastAsia="en-AU"/>
              </w:rPr>
              <w:t xml:space="preserve"> Bipolar disorder</w:t>
            </w:r>
          </w:p>
        </w:tc>
      </w:tr>
      <w:tr w:rsidR="00DD4D50" w14:paraId="08EDEC0F"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E2268F" w14:textId="3B69F0DE" w:rsidR="00DD4D50" w:rsidRDefault="00DD4D50" w:rsidP="00DD4D50">
            <w:pPr>
              <w:keepLines/>
              <w:spacing w:after="0" w:line="240" w:lineRule="auto"/>
              <w:rPr>
                <w:rFonts w:ascii="Arial Narrow" w:eastAsia="Calibri" w:hAnsi="Arial Narrow"/>
                <w:b/>
                <w:sz w:val="20"/>
                <w:szCs w:val="20"/>
              </w:rPr>
            </w:pPr>
            <w:r>
              <w:rPr>
                <w:rFonts w:ascii="Arial Narrow" w:eastAsia="Times New Roman" w:hAnsi="Arial Narrow"/>
                <w:b/>
                <w:bCs/>
                <w:sz w:val="20"/>
                <w:szCs w:val="20"/>
                <w:lang w:eastAsia="en-AU"/>
              </w:rPr>
              <w:t>Clinical criteria</w:t>
            </w:r>
          </w:p>
        </w:tc>
      </w:tr>
      <w:tr w:rsidR="00DD4D50" w14:paraId="444CF79B"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5B6560" w14:textId="6A4A5A2D" w:rsidR="00DD4D50" w:rsidRDefault="00DD4D50" w:rsidP="00DD4D50">
            <w:pPr>
              <w:keepLines/>
              <w:spacing w:after="0" w:line="240" w:lineRule="auto"/>
              <w:rPr>
                <w:rFonts w:ascii="Arial Narrow" w:eastAsia="Calibri" w:hAnsi="Arial Narrow"/>
                <w:b/>
                <w:sz w:val="20"/>
                <w:szCs w:val="20"/>
              </w:rPr>
            </w:pPr>
            <w:r>
              <w:rPr>
                <w:rFonts w:ascii="Arial Narrow" w:eastAsia="Times New Roman" w:hAnsi="Arial Narrow"/>
                <w:sz w:val="20"/>
                <w:szCs w:val="20"/>
                <w:lang w:eastAsia="en-AU"/>
              </w:rPr>
              <w:t>The condition must be stable for the prescriber to consider the listed maximum quantity of this medicine suitable for this patient</w:t>
            </w:r>
          </w:p>
        </w:tc>
      </w:tr>
      <w:tr w:rsidR="00DD4D50" w14:paraId="7A9332F0"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92E621" w14:textId="13DB0040" w:rsidR="00DD4D50" w:rsidRDefault="00DD4D50" w:rsidP="00DD4D50">
            <w:pPr>
              <w:keepLines/>
              <w:spacing w:after="0" w:line="240" w:lineRule="auto"/>
              <w:rPr>
                <w:rFonts w:ascii="Arial Narrow" w:eastAsia="Calibri" w:hAnsi="Arial Narrow"/>
                <w:b/>
                <w:sz w:val="20"/>
                <w:szCs w:val="20"/>
              </w:rPr>
            </w:pPr>
            <w:r>
              <w:rPr>
                <w:rFonts w:ascii="Arial Narrow" w:eastAsia="Times New Roman" w:hAnsi="Arial Narrow"/>
                <w:b/>
                <w:bCs/>
                <w:sz w:val="20"/>
                <w:szCs w:val="20"/>
                <w:lang w:eastAsia="en-AU"/>
              </w:rPr>
              <w:t>AND</w:t>
            </w:r>
          </w:p>
        </w:tc>
      </w:tr>
      <w:tr w:rsidR="00DD4D50" w14:paraId="2343E374"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42EB25" w14:textId="53A54FBF" w:rsidR="00DD4D50" w:rsidRDefault="00DD4D50" w:rsidP="00DD4D50">
            <w:pPr>
              <w:keepLines/>
              <w:spacing w:after="0" w:line="240" w:lineRule="auto"/>
              <w:rPr>
                <w:rFonts w:ascii="Arial Narrow" w:eastAsia="Calibri" w:hAnsi="Arial Narrow"/>
                <w:b/>
                <w:sz w:val="20"/>
                <w:szCs w:val="20"/>
              </w:rPr>
            </w:pPr>
            <w:r>
              <w:rPr>
                <w:rFonts w:ascii="Arial Narrow" w:eastAsia="Times New Roman" w:hAnsi="Arial Narrow"/>
                <w:b/>
                <w:bCs/>
                <w:sz w:val="20"/>
                <w:szCs w:val="20"/>
                <w:lang w:eastAsia="en-AU"/>
              </w:rPr>
              <w:t>Treatment criteria:</w:t>
            </w:r>
          </w:p>
        </w:tc>
      </w:tr>
      <w:tr w:rsidR="00DD4D50" w14:paraId="4BC41113" w14:textId="77777777" w:rsidTr="00571DF4">
        <w:trPr>
          <w:cantSplit/>
          <w:trHeight w:val="20"/>
        </w:trPr>
        <w:tc>
          <w:tcPr>
            <w:tcW w:w="901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9CA71F" w14:textId="316A6486" w:rsidR="00DD4D50" w:rsidRDefault="00DD4D50" w:rsidP="00DD4D50">
            <w:pPr>
              <w:keepLines/>
              <w:spacing w:after="0" w:line="240" w:lineRule="auto"/>
              <w:rPr>
                <w:rFonts w:ascii="Arial Narrow" w:eastAsia="Times New Roman" w:hAnsi="Arial Narrow"/>
                <w:b/>
                <w:bCs/>
                <w:sz w:val="20"/>
                <w:szCs w:val="20"/>
                <w:lang w:eastAsia="en-AU"/>
              </w:rPr>
            </w:pPr>
            <w:r>
              <w:rPr>
                <w:rFonts w:ascii="Arial Narrow" w:eastAsia="Times New Roman" w:hAnsi="Arial Narrow"/>
                <w:sz w:val="20"/>
                <w:szCs w:val="20"/>
                <w:lang w:eastAsia="en-AU"/>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7D2FAD67" w14:textId="6F7E4135" w:rsidR="00433E66" w:rsidRDefault="00433E66" w:rsidP="008E6105">
      <w:pPr>
        <w:tabs>
          <w:tab w:val="left" w:pos="2782"/>
        </w:tabs>
        <w:rPr>
          <w:rFonts w:ascii="Calibri" w:eastAsia="Times New Roman" w:hAnsi="Calibri" w:cs="Calibri"/>
          <w:sz w:val="24"/>
          <w:szCs w:val="24"/>
        </w:rPr>
      </w:pPr>
    </w:p>
    <w:p w14:paraId="776BC91A" w14:textId="341B20C0" w:rsidR="00433E66" w:rsidRPr="00137CCC" w:rsidRDefault="00EA2507" w:rsidP="00504539">
      <w:pPr>
        <w:pStyle w:val="2-SectionHeading"/>
      </w:pPr>
      <w:r w:rsidRPr="00137CCC">
        <w:lastRenderedPageBreak/>
        <w:t xml:space="preserve">Context for </w:t>
      </w:r>
      <w:r w:rsidR="007230C1" w:rsidRPr="00137CCC">
        <w:t>decision</w:t>
      </w:r>
    </w:p>
    <w:p w14:paraId="194B0EAA" w14:textId="309D2E25" w:rsidR="003B16B3" w:rsidRPr="00ED3AF7" w:rsidRDefault="00991E49" w:rsidP="00ED3AF7">
      <w:pPr>
        <w:spacing w:after="120" w:line="240" w:lineRule="auto"/>
        <w:ind w:left="720"/>
        <w:jc w:val="both"/>
        <w:rPr>
          <w:rFonts w:ascii="Calibri" w:eastAsia="Times New Roman" w:hAnsi="Calibri" w:cs="Calibri"/>
          <w:bCs/>
          <w:sz w:val="24"/>
          <w:lang w:val="en-GB" w:eastAsia="en-AU"/>
        </w:rPr>
      </w:pPr>
      <w:r w:rsidRPr="00137CCC">
        <w:rPr>
          <w:rFonts w:ascii="Calibri" w:eastAsia="Times New Roman" w:hAnsi="Calibri" w:cs="Calibri"/>
          <w:bCs/>
          <w:sz w:val="24"/>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sectPr w:rsidR="003B16B3" w:rsidRPr="00ED3AF7" w:rsidSect="000E29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5B21" w14:textId="77777777" w:rsidR="00DB0CBC" w:rsidRDefault="00DB0CBC" w:rsidP="008D025D">
      <w:pPr>
        <w:spacing w:after="0" w:line="240" w:lineRule="auto"/>
      </w:pPr>
      <w:r>
        <w:separator/>
      </w:r>
    </w:p>
  </w:endnote>
  <w:endnote w:type="continuationSeparator" w:id="0">
    <w:p w14:paraId="134B01B5" w14:textId="77777777" w:rsidR="00DB0CBC" w:rsidRDefault="00DB0CBC" w:rsidP="008D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A7ED" w14:textId="7244B742" w:rsidR="00976AFF" w:rsidRDefault="00DC115E">
    <w:pPr>
      <w:pStyle w:val="Footer"/>
    </w:pPr>
    <w:r>
      <w:rPr>
        <w:noProof/>
      </w:rPr>
      <mc:AlternateContent>
        <mc:Choice Requires="wps">
          <w:drawing>
            <wp:anchor distT="0" distB="0" distL="0" distR="0" simplePos="0" relativeHeight="251687939" behindDoc="0" locked="0" layoutInCell="1" allowOverlap="1" wp14:anchorId="51375CA1" wp14:editId="4350DBC5">
              <wp:simplePos x="635" y="635"/>
              <wp:positionH relativeFrom="page">
                <wp:align>center</wp:align>
              </wp:positionH>
              <wp:positionV relativeFrom="page">
                <wp:align>bottom</wp:align>
              </wp:positionV>
              <wp:extent cx="622300" cy="391160"/>
              <wp:effectExtent l="0" t="0" r="6350" b="0"/>
              <wp:wrapNone/>
              <wp:docPr id="5625704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F8E0D94" w14:textId="47ABCA7F"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75CA1"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879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3F8E0D94" w14:textId="47ABCA7F"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1E72" w14:textId="365E0B17" w:rsidR="008D025D" w:rsidRPr="00BA024F" w:rsidRDefault="00DC115E" w:rsidP="00BA024F">
    <w:pPr>
      <w:tabs>
        <w:tab w:val="center" w:pos="4153"/>
        <w:tab w:val="right" w:pos="8306"/>
      </w:tabs>
      <w:overflowPunct w:val="0"/>
      <w:autoSpaceDE w:val="0"/>
      <w:autoSpaceDN w:val="0"/>
      <w:adjustRightInd w:val="0"/>
      <w:spacing w:after="0" w:line="240" w:lineRule="auto"/>
      <w:jc w:val="center"/>
      <w:textAlignment w:val="baseline"/>
      <w:rPr>
        <w:rFonts w:ascii="Calibri" w:eastAsia="Times New Roman" w:hAnsi="Calibri" w:cs="Arial"/>
        <w:sz w:val="24"/>
        <w:szCs w:val="20"/>
      </w:rPr>
    </w:pPr>
    <w:r>
      <w:rPr>
        <w:rFonts w:ascii="Calibri" w:eastAsia="Times New Roman" w:hAnsi="Calibri" w:cs="Arial"/>
        <w:b/>
        <w:noProof/>
        <w:sz w:val="24"/>
        <w:szCs w:val="24"/>
      </w:rPr>
      <mc:AlternateContent>
        <mc:Choice Requires="wps">
          <w:drawing>
            <wp:anchor distT="0" distB="0" distL="0" distR="0" simplePos="0" relativeHeight="251688963" behindDoc="0" locked="0" layoutInCell="1" allowOverlap="1" wp14:anchorId="50DC4101" wp14:editId="32CEBBD7">
              <wp:simplePos x="914400" y="10058400"/>
              <wp:positionH relativeFrom="page">
                <wp:align>center</wp:align>
              </wp:positionH>
              <wp:positionV relativeFrom="page">
                <wp:align>bottom</wp:align>
              </wp:positionV>
              <wp:extent cx="622300" cy="391160"/>
              <wp:effectExtent l="0" t="0" r="6350" b="0"/>
              <wp:wrapNone/>
              <wp:docPr id="13413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5354000" w14:textId="16E52801"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DC410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0.8pt;z-index:2516889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75354000" w14:textId="16E52801"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v:textbox>
              <w10:wrap anchorx="page" anchory="page"/>
            </v:shape>
          </w:pict>
        </mc:Fallback>
      </mc:AlternateContent>
    </w:r>
    <w:r w:rsidR="00953E18" w:rsidRPr="00953E18">
      <w:rPr>
        <w:rFonts w:ascii="Calibri" w:eastAsia="Times New Roman" w:hAnsi="Calibri" w:cs="Arial"/>
        <w:b/>
        <w:sz w:val="24"/>
        <w:szCs w:val="24"/>
      </w:rPr>
      <w:fldChar w:fldCharType="begin"/>
    </w:r>
    <w:r w:rsidR="00953E18" w:rsidRPr="00953E18">
      <w:rPr>
        <w:rFonts w:ascii="Calibri" w:eastAsia="Times New Roman" w:hAnsi="Calibri" w:cs="Arial"/>
        <w:b/>
        <w:sz w:val="24"/>
        <w:szCs w:val="24"/>
      </w:rPr>
      <w:instrText xml:space="preserve"> PAGE   \* MERGEFORMAT </w:instrText>
    </w:r>
    <w:r w:rsidR="00953E18" w:rsidRPr="00953E18">
      <w:rPr>
        <w:rFonts w:ascii="Calibri" w:eastAsia="Times New Roman" w:hAnsi="Calibri" w:cs="Arial"/>
        <w:b/>
        <w:sz w:val="24"/>
        <w:szCs w:val="24"/>
      </w:rPr>
      <w:fldChar w:fldCharType="separate"/>
    </w:r>
    <w:r w:rsidR="00953E18" w:rsidRPr="00953E18">
      <w:rPr>
        <w:rFonts w:ascii="Calibri" w:eastAsia="Times New Roman" w:hAnsi="Calibri" w:cs="Arial"/>
        <w:b/>
        <w:sz w:val="24"/>
        <w:szCs w:val="24"/>
      </w:rPr>
      <w:t>1</w:t>
    </w:r>
    <w:r w:rsidR="00953E18" w:rsidRPr="00953E18">
      <w:rPr>
        <w:rFonts w:ascii="Calibri" w:eastAsia="Times New Roman" w:hAnsi="Calibri" w:cs="Arial"/>
        <w:b/>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C982" w14:textId="48ED06EA" w:rsidR="00976AFF" w:rsidRDefault="00DC115E">
    <w:pPr>
      <w:pStyle w:val="Footer"/>
    </w:pPr>
    <w:r>
      <w:rPr>
        <w:noProof/>
      </w:rPr>
      <mc:AlternateContent>
        <mc:Choice Requires="wps">
          <w:drawing>
            <wp:anchor distT="0" distB="0" distL="0" distR="0" simplePos="0" relativeHeight="251686915" behindDoc="0" locked="0" layoutInCell="1" allowOverlap="1" wp14:anchorId="482F2C07" wp14:editId="09CF9C38">
              <wp:simplePos x="635" y="635"/>
              <wp:positionH relativeFrom="page">
                <wp:align>center</wp:align>
              </wp:positionH>
              <wp:positionV relativeFrom="page">
                <wp:align>bottom</wp:align>
              </wp:positionV>
              <wp:extent cx="622300" cy="391160"/>
              <wp:effectExtent l="0" t="0" r="6350" b="0"/>
              <wp:wrapNone/>
              <wp:docPr id="2099338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5782843" w14:textId="7DAD73BE"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F2C07"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869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55782843" w14:textId="7DAD73BE"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3B74" w14:textId="77777777" w:rsidR="00DB0CBC" w:rsidRDefault="00DB0CBC" w:rsidP="008D025D">
      <w:pPr>
        <w:spacing w:after="0" w:line="240" w:lineRule="auto"/>
      </w:pPr>
      <w:r>
        <w:separator/>
      </w:r>
    </w:p>
  </w:footnote>
  <w:footnote w:type="continuationSeparator" w:id="0">
    <w:p w14:paraId="42ECE640" w14:textId="77777777" w:rsidR="00DB0CBC" w:rsidRDefault="00DB0CBC" w:rsidP="008D025D">
      <w:pPr>
        <w:spacing w:after="0" w:line="240" w:lineRule="auto"/>
      </w:pPr>
      <w:r>
        <w:continuationSeparator/>
      </w:r>
    </w:p>
  </w:footnote>
  <w:footnote w:id="1">
    <w:p w14:paraId="78619458" w14:textId="0D2F1B70" w:rsidR="00F231D3" w:rsidRPr="00F231D3" w:rsidRDefault="00F231D3" w:rsidP="008F5EC9">
      <w:pPr>
        <w:pStyle w:val="FootnoteText"/>
        <w:rPr>
          <w:rFonts w:asciiTheme="minorHAnsi" w:hAnsiTheme="minorHAnsi" w:cstheme="minorHAnsi"/>
        </w:rPr>
      </w:pPr>
      <w:r w:rsidRPr="00F231D3">
        <w:rPr>
          <w:rStyle w:val="FootnoteReference"/>
          <w:rFonts w:asciiTheme="minorHAnsi" w:hAnsiTheme="minorHAnsi" w:cstheme="minorHAnsi"/>
        </w:rPr>
        <w:footnoteRef/>
      </w:r>
      <w:r w:rsidRPr="00F231D3">
        <w:rPr>
          <w:rFonts w:asciiTheme="minorHAnsi" w:hAnsiTheme="minorHAnsi" w:cstheme="minorHAnsi"/>
        </w:rPr>
        <w:t xml:space="preserve"> https://www.pbs.gov.au/info/reviews/review-of-clinical-guidelines-and-cost-estimates-for-the-use-of-aeds</w:t>
      </w:r>
    </w:p>
  </w:footnote>
  <w:footnote w:id="2">
    <w:p w14:paraId="3B255336" w14:textId="03204712" w:rsidR="00AE6E8E" w:rsidRPr="00942742" w:rsidRDefault="00AE6E8E" w:rsidP="00AE6E8E">
      <w:pPr>
        <w:pStyle w:val="FootnoteText"/>
        <w:rPr>
          <w:rFonts w:asciiTheme="minorHAnsi" w:hAnsiTheme="minorHAnsi" w:cstheme="minorHAnsi"/>
        </w:rPr>
      </w:pPr>
      <w:r w:rsidRPr="00942742">
        <w:rPr>
          <w:rStyle w:val="FootnoteReference"/>
          <w:rFonts w:asciiTheme="minorHAnsi" w:hAnsiTheme="minorHAnsi" w:cstheme="minorHAnsi"/>
        </w:rPr>
        <w:footnoteRef/>
      </w:r>
      <w:r w:rsidRPr="00942742">
        <w:rPr>
          <w:rFonts w:asciiTheme="minorHAnsi" w:hAnsiTheme="minorHAnsi" w:cstheme="minorHAnsi"/>
        </w:rPr>
        <w:t xml:space="preserve"> </w:t>
      </w:r>
      <w:r w:rsidRPr="000F253F">
        <w:rPr>
          <w:rFonts w:asciiTheme="minorHAnsi" w:hAnsiTheme="minorHAnsi" w:cstheme="minorHAnsi"/>
        </w:rPr>
        <w:t>https://tgldcdp.tg.org.au/viewTopic?etgAccess=true&amp;guidelinePage=Psychotropic&amp;topicfile=depressive-episodes-bipolar-disorder&amp;guidelinename=Psychotropic&amp;sectionId=toc_dle569#toc_dle569</w:t>
      </w:r>
      <w:r>
        <w:rPr>
          <w:rFonts w:asciiTheme="minorHAnsi" w:hAnsiTheme="minorHAnsi" w:cstheme="minorHAnsi"/>
        </w:rPr>
        <w:t>. Accessed 12 September 2025.</w:t>
      </w:r>
    </w:p>
  </w:footnote>
  <w:footnote w:id="3">
    <w:p w14:paraId="4567C879" w14:textId="5E5AA9E5" w:rsidR="00953E66" w:rsidRPr="00953E66" w:rsidRDefault="00953E66">
      <w:pPr>
        <w:pStyle w:val="FootnoteText"/>
        <w:rPr>
          <w:rFonts w:asciiTheme="minorHAnsi" w:hAnsiTheme="minorHAnsi" w:cstheme="minorHAnsi"/>
        </w:rPr>
      </w:pPr>
      <w:r w:rsidRPr="00953E66">
        <w:rPr>
          <w:rStyle w:val="FootnoteReference"/>
          <w:rFonts w:asciiTheme="minorHAnsi" w:hAnsiTheme="minorHAnsi" w:cstheme="minorHAnsi"/>
        </w:rPr>
        <w:footnoteRef/>
      </w:r>
      <w:r w:rsidRPr="00953E66">
        <w:rPr>
          <w:rFonts w:asciiTheme="minorHAnsi" w:hAnsiTheme="minorHAnsi" w:cstheme="minorHAnsi"/>
        </w:rPr>
        <w:t xml:space="preserve"> https://oia.pmc.gov.au/sites/default/files/posts/2023/05/Impact%20Analysis_3.pdf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2F0A" w14:textId="6D032D0D" w:rsidR="00976AFF" w:rsidRDefault="00DC115E">
    <w:pPr>
      <w:pStyle w:val="Header"/>
    </w:pPr>
    <w:r>
      <w:rPr>
        <w:noProof/>
      </w:rPr>
      <mc:AlternateContent>
        <mc:Choice Requires="wps">
          <w:drawing>
            <wp:anchor distT="0" distB="0" distL="0" distR="0" simplePos="0" relativeHeight="251684867" behindDoc="0" locked="0" layoutInCell="1" allowOverlap="1" wp14:anchorId="2DE441BC" wp14:editId="2933648B">
              <wp:simplePos x="635" y="635"/>
              <wp:positionH relativeFrom="page">
                <wp:align>center</wp:align>
              </wp:positionH>
              <wp:positionV relativeFrom="page">
                <wp:align>top</wp:align>
              </wp:positionV>
              <wp:extent cx="622300" cy="391160"/>
              <wp:effectExtent l="0" t="0" r="6350" b="8890"/>
              <wp:wrapNone/>
              <wp:docPr id="16078374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B8FC1B3" w14:textId="7506AD8A"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E441BC"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848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1B8FC1B3" w14:textId="7506AD8A"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E860" w14:textId="58A5B976" w:rsidR="00864B0C" w:rsidRDefault="00DC115E" w:rsidP="000155BB">
    <w:pPr>
      <w:tabs>
        <w:tab w:val="center" w:pos="4153"/>
        <w:tab w:val="right" w:pos="8306"/>
      </w:tabs>
      <w:spacing w:after="0" w:line="240" w:lineRule="auto"/>
      <w:ind w:left="360"/>
      <w:jc w:val="center"/>
      <w:rPr>
        <w:rFonts w:ascii="Calibri" w:eastAsia="Times New Roman" w:hAnsi="Calibri" w:cs="Arial"/>
        <w:i/>
        <w:color w:val="808080"/>
        <w:sz w:val="24"/>
        <w:szCs w:val="24"/>
      </w:rPr>
    </w:pPr>
    <w:r>
      <w:rPr>
        <w:rFonts w:ascii="Calibri" w:eastAsia="Times New Roman" w:hAnsi="Calibri" w:cs="Arial"/>
        <w:i/>
        <w:noProof/>
        <w:color w:val="808080"/>
        <w:sz w:val="24"/>
        <w:szCs w:val="24"/>
      </w:rPr>
      <mc:AlternateContent>
        <mc:Choice Requires="wps">
          <w:drawing>
            <wp:anchor distT="0" distB="0" distL="0" distR="0" simplePos="0" relativeHeight="251685891" behindDoc="0" locked="0" layoutInCell="1" allowOverlap="1" wp14:anchorId="68C8CA5E" wp14:editId="6690EAB5">
              <wp:simplePos x="914400" y="448733"/>
              <wp:positionH relativeFrom="page">
                <wp:align>center</wp:align>
              </wp:positionH>
              <wp:positionV relativeFrom="page">
                <wp:align>top</wp:align>
              </wp:positionV>
              <wp:extent cx="622300" cy="391160"/>
              <wp:effectExtent l="0" t="0" r="6350" b="8890"/>
              <wp:wrapNone/>
              <wp:docPr id="19043702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F070883" w14:textId="3BDE4A8E"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C8CA5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858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2F070883" w14:textId="3BDE4A8E"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v:textbox>
              <w10:wrap anchorx="page" anchory="page"/>
            </v:shape>
          </w:pict>
        </mc:Fallback>
      </mc:AlternateContent>
    </w:r>
    <w:r w:rsidR="00D93BD5" w:rsidRPr="00D93BD5">
      <w:rPr>
        <w:rFonts w:ascii="Calibri" w:eastAsia="Times New Roman" w:hAnsi="Calibri" w:cs="Arial"/>
        <w:i/>
        <w:color w:val="808080"/>
        <w:sz w:val="24"/>
        <w:szCs w:val="24"/>
      </w:rPr>
      <w:t xml:space="preserve"> </w:t>
    </w:r>
    <w:r w:rsidR="00CF2F32">
      <w:rPr>
        <w:rFonts w:ascii="Calibri" w:eastAsia="Times New Roman" w:hAnsi="Calibri" w:cs="Arial"/>
        <w:i/>
        <w:color w:val="808080"/>
        <w:sz w:val="24"/>
        <w:szCs w:val="24"/>
      </w:rPr>
      <w:t>Public Summary Document</w:t>
    </w:r>
    <w:r w:rsidR="00D93BD5" w:rsidRPr="00D93BD5">
      <w:rPr>
        <w:rFonts w:ascii="Calibri" w:eastAsia="Times New Roman" w:hAnsi="Calibri" w:cs="Arial"/>
        <w:i/>
        <w:color w:val="808080"/>
        <w:sz w:val="24"/>
        <w:szCs w:val="24"/>
      </w:rPr>
      <w:t xml:space="preserve"> – </w:t>
    </w:r>
    <w:r w:rsidR="00A00071">
      <w:rPr>
        <w:rFonts w:ascii="Calibri" w:eastAsia="Times New Roman" w:hAnsi="Calibri" w:cs="Arial"/>
        <w:i/>
        <w:color w:val="808080"/>
        <w:sz w:val="24"/>
        <w:szCs w:val="24"/>
      </w:rPr>
      <w:t>November</w:t>
    </w:r>
    <w:r w:rsidR="00D93BD5" w:rsidRPr="00D93BD5">
      <w:rPr>
        <w:rFonts w:ascii="Calibri" w:eastAsia="Times New Roman" w:hAnsi="Calibri" w:cs="Arial"/>
        <w:i/>
        <w:color w:val="808080"/>
        <w:sz w:val="24"/>
        <w:szCs w:val="24"/>
      </w:rPr>
      <w:t xml:space="preserve"> 2025 PBAC Meeting</w:t>
    </w:r>
  </w:p>
  <w:p w14:paraId="14653A80" w14:textId="77777777" w:rsidR="00AA1E95" w:rsidRPr="00D93BD5" w:rsidRDefault="00AA1E95" w:rsidP="000155BB">
    <w:pPr>
      <w:tabs>
        <w:tab w:val="center" w:pos="4153"/>
        <w:tab w:val="right" w:pos="8306"/>
      </w:tabs>
      <w:spacing w:after="0" w:line="240" w:lineRule="auto"/>
      <w:ind w:left="360"/>
      <w:jc w:val="center"/>
      <w:rPr>
        <w:rFonts w:ascii="Calibri" w:eastAsia="Times New Roman" w:hAnsi="Calibri" w:cs="Arial"/>
        <w:i/>
        <w:color w:val="80808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F016" w14:textId="4A408270" w:rsidR="00976AFF" w:rsidRDefault="00DC115E">
    <w:pPr>
      <w:pStyle w:val="Header"/>
    </w:pPr>
    <w:r>
      <w:rPr>
        <w:noProof/>
      </w:rPr>
      <mc:AlternateContent>
        <mc:Choice Requires="wps">
          <w:drawing>
            <wp:anchor distT="0" distB="0" distL="0" distR="0" simplePos="0" relativeHeight="251683843" behindDoc="0" locked="0" layoutInCell="1" allowOverlap="1" wp14:anchorId="27D8D077" wp14:editId="46C39D84">
              <wp:simplePos x="635" y="635"/>
              <wp:positionH relativeFrom="page">
                <wp:align>center</wp:align>
              </wp:positionH>
              <wp:positionV relativeFrom="page">
                <wp:align>top</wp:align>
              </wp:positionV>
              <wp:extent cx="622300" cy="391160"/>
              <wp:effectExtent l="0" t="0" r="6350" b="8890"/>
              <wp:wrapNone/>
              <wp:docPr id="17855260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B59C57A" w14:textId="0DF99198"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D8D077"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838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0B59C57A" w14:textId="0DF99198" w:rsidR="00DC115E" w:rsidRPr="00DC115E" w:rsidRDefault="00DC115E" w:rsidP="00DC115E">
                    <w:pPr>
                      <w:spacing w:after="0"/>
                      <w:rPr>
                        <w:rFonts w:ascii="Aptos" w:eastAsia="Aptos" w:hAnsi="Aptos" w:cs="Aptos"/>
                        <w:noProof/>
                        <w:color w:val="FF0000"/>
                        <w:sz w:val="24"/>
                        <w:szCs w:val="24"/>
                      </w:rPr>
                    </w:pPr>
                    <w:r w:rsidRPr="00DC115E">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607"/>
    <w:multiLevelType w:val="hybridMultilevel"/>
    <w:tmpl w:val="48D6908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5C4454B"/>
    <w:multiLevelType w:val="hybridMultilevel"/>
    <w:tmpl w:val="FFB2D73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AA73018"/>
    <w:multiLevelType w:val="multilevel"/>
    <w:tmpl w:val="E908996E"/>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6F45E1"/>
    <w:multiLevelType w:val="hybridMultilevel"/>
    <w:tmpl w:val="30FC7EB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1BB5C3A"/>
    <w:multiLevelType w:val="multilevel"/>
    <w:tmpl w:val="E908996E"/>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val="0"/>
        <w:bCs/>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7E9C089A"/>
    <w:multiLevelType w:val="hybridMultilevel"/>
    <w:tmpl w:val="638EAC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8595099">
    <w:abstractNumId w:val="4"/>
  </w:num>
  <w:num w:numId="2" w16cid:durableId="1031958906">
    <w:abstractNumId w:val="3"/>
  </w:num>
  <w:num w:numId="3" w16cid:durableId="2029601756">
    <w:abstractNumId w:val="1"/>
  </w:num>
  <w:num w:numId="4" w16cid:durableId="346979913">
    <w:abstractNumId w:val="5"/>
  </w:num>
  <w:num w:numId="5" w16cid:durableId="887493292">
    <w:abstractNumId w:val="0"/>
  </w:num>
  <w:num w:numId="6" w16cid:durableId="947277556">
    <w:abstractNumId w:val="2"/>
  </w:num>
  <w:num w:numId="7" w16cid:durableId="1988171393">
    <w:abstractNumId w:val="2"/>
  </w:num>
  <w:num w:numId="8" w16cid:durableId="1802187056">
    <w:abstractNumId w:val="2"/>
  </w:num>
  <w:num w:numId="9" w16cid:durableId="534468433">
    <w:abstractNumId w:val="2"/>
  </w:num>
  <w:num w:numId="10" w16cid:durableId="172036250">
    <w:abstractNumId w:val="2"/>
  </w:num>
  <w:num w:numId="11" w16cid:durableId="80723966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5D"/>
    <w:rsid w:val="000009C6"/>
    <w:rsid w:val="00003D11"/>
    <w:rsid w:val="000041B6"/>
    <w:rsid w:val="00004A1A"/>
    <w:rsid w:val="00004E02"/>
    <w:rsid w:val="00005587"/>
    <w:rsid w:val="000065B7"/>
    <w:rsid w:val="00007280"/>
    <w:rsid w:val="00010B19"/>
    <w:rsid w:val="00010FEC"/>
    <w:rsid w:val="000127F1"/>
    <w:rsid w:val="00012BAC"/>
    <w:rsid w:val="00012D16"/>
    <w:rsid w:val="00013A7F"/>
    <w:rsid w:val="000155BB"/>
    <w:rsid w:val="00015845"/>
    <w:rsid w:val="00015E42"/>
    <w:rsid w:val="000168A7"/>
    <w:rsid w:val="00016D99"/>
    <w:rsid w:val="0001754B"/>
    <w:rsid w:val="00017E6B"/>
    <w:rsid w:val="00017FAA"/>
    <w:rsid w:val="00022B26"/>
    <w:rsid w:val="0002346D"/>
    <w:rsid w:val="00024B09"/>
    <w:rsid w:val="00025D86"/>
    <w:rsid w:val="00025F8A"/>
    <w:rsid w:val="00026295"/>
    <w:rsid w:val="00026486"/>
    <w:rsid w:val="00026733"/>
    <w:rsid w:val="0003158F"/>
    <w:rsid w:val="0003177D"/>
    <w:rsid w:val="00031BB0"/>
    <w:rsid w:val="00033C3F"/>
    <w:rsid w:val="00034A43"/>
    <w:rsid w:val="00034B98"/>
    <w:rsid w:val="00036B15"/>
    <w:rsid w:val="0003714D"/>
    <w:rsid w:val="0003715C"/>
    <w:rsid w:val="00037525"/>
    <w:rsid w:val="0004033E"/>
    <w:rsid w:val="00041042"/>
    <w:rsid w:val="00041449"/>
    <w:rsid w:val="00042513"/>
    <w:rsid w:val="0004297B"/>
    <w:rsid w:val="00042D89"/>
    <w:rsid w:val="00043F6A"/>
    <w:rsid w:val="00044254"/>
    <w:rsid w:val="00045BCD"/>
    <w:rsid w:val="00046536"/>
    <w:rsid w:val="000471AC"/>
    <w:rsid w:val="00050B1C"/>
    <w:rsid w:val="00050F4E"/>
    <w:rsid w:val="000529AD"/>
    <w:rsid w:val="00053B4D"/>
    <w:rsid w:val="000552C8"/>
    <w:rsid w:val="00056CBF"/>
    <w:rsid w:val="00056F7F"/>
    <w:rsid w:val="00057914"/>
    <w:rsid w:val="00060130"/>
    <w:rsid w:val="0006046C"/>
    <w:rsid w:val="00061487"/>
    <w:rsid w:val="00062270"/>
    <w:rsid w:val="00063C21"/>
    <w:rsid w:val="00064C93"/>
    <w:rsid w:val="0006632A"/>
    <w:rsid w:val="00066FDE"/>
    <w:rsid w:val="00067ADA"/>
    <w:rsid w:val="00070E02"/>
    <w:rsid w:val="00071F63"/>
    <w:rsid w:val="00072C4B"/>
    <w:rsid w:val="00072E81"/>
    <w:rsid w:val="00074F33"/>
    <w:rsid w:val="000767C6"/>
    <w:rsid w:val="00076CAB"/>
    <w:rsid w:val="000833B8"/>
    <w:rsid w:val="00083747"/>
    <w:rsid w:val="0008390A"/>
    <w:rsid w:val="00083A52"/>
    <w:rsid w:val="00085518"/>
    <w:rsid w:val="00085F6E"/>
    <w:rsid w:val="00087F49"/>
    <w:rsid w:val="00090AAF"/>
    <w:rsid w:val="00090FFA"/>
    <w:rsid w:val="00091E91"/>
    <w:rsid w:val="00091F6D"/>
    <w:rsid w:val="00092535"/>
    <w:rsid w:val="000927AB"/>
    <w:rsid w:val="0009397D"/>
    <w:rsid w:val="00093B81"/>
    <w:rsid w:val="00093FDE"/>
    <w:rsid w:val="00094226"/>
    <w:rsid w:val="000953F9"/>
    <w:rsid w:val="00096BE7"/>
    <w:rsid w:val="000A0695"/>
    <w:rsid w:val="000A0BA0"/>
    <w:rsid w:val="000A2208"/>
    <w:rsid w:val="000A42B8"/>
    <w:rsid w:val="000A4A40"/>
    <w:rsid w:val="000A52AF"/>
    <w:rsid w:val="000A5B7D"/>
    <w:rsid w:val="000A79E8"/>
    <w:rsid w:val="000B0174"/>
    <w:rsid w:val="000B0639"/>
    <w:rsid w:val="000B270E"/>
    <w:rsid w:val="000B2C4D"/>
    <w:rsid w:val="000B3875"/>
    <w:rsid w:val="000B5BB5"/>
    <w:rsid w:val="000B6125"/>
    <w:rsid w:val="000B6350"/>
    <w:rsid w:val="000C00B4"/>
    <w:rsid w:val="000C12A1"/>
    <w:rsid w:val="000C14C1"/>
    <w:rsid w:val="000C2079"/>
    <w:rsid w:val="000C2CC3"/>
    <w:rsid w:val="000C3656"/>
    <w:rsid w:val="000C36A2"/>
    <w:rsid w:val="000C7287"/>
    <w:rsid w:val="000C7BAD"/>
    <w:rsid w:val="000D153A"/>
    <w:rsid w:val="000D1B8F"/>
    <w:rsid w:val="000D2F29"/>
    <w:rsid w:val="000D35D3"/>
    <w:rsid w:val="000D36D6"/>
    <w:rsid w:val="000D37F7"/>
    <w:rsid w:val="000D3F6A"/>
    <w:rsid w:val="000D4AEA"/>
    <w:rsid w:val="000D4DFD"/>
    <w:rsid w:val="000D5141"/>
    <w:rsid w:val="000D5301"/>
    <w:rsid w:val="000D6DB3"/>
    <w:rsid w:val="000E10F8"/>
    <w:rsid w:val="000E1285"/>
    <w:rsid w:val="000E29C3"/>
    <w:rsid w:val="000E3B86"/>
    <w:rsid w:val="000E50AA"/>
    <w:rsid w:val="000E529B"/>
    <w:rsid w:val="000E56BA"/>
    <w:rsid w:val="000E60A5"/>
    <w:rsid w:val="000F08A4"/>
    <w:rsid w:val="000F09C2"/>
    <w:rsid w:val="000F253F"/>
    <w:rsid w:val="000F387B"/>
    <w:rsid w:val="000F3ADD"/>
    <w:rsid w:val="000F3CDE"/>
    <w:rsid w:val="000F6C44"/>
    <w:rsid w:val="000F6C75"/>
    <w:rsid w:val="000F6DB5"/>
    <w:rsid w:val="000F6E08"/>
    <w:rsid w:val="0010151B"/>
    <w:rsid w:val="0010368B"/>
    <w:rsid w:val="00104E2F"/>
    <w:rsid w:val="00104FF9"/>
    <w:rsid w:val="001057A3"/>
    <w:rsid w:val="001058C0"/>
    <w:rsid w:val="00106F6E"/>
    <w:rsid w:val="00107389"/>
    <w:rsid w:val="001077A6"/>
    <w:rsid w:val="00107940"/>
    <w:rsid w:val="00107D45"/>
    <w:rsid w:val="001110CA"/>
    <w:rsid w:val="00111845"/>
    <w:rsid w:val="001119EC"/>
    <w:rsid w:val="00112A27"/>
    <w:rsid w:val="00113A26"/>
    <w:rsid w:val="00114A5C"/>
    <w:rsid w:val="00114D46"/>
    <w:rsid w:val="00115A3F"/>
    <w:rsid w:val="0011613D"/>
    <w:rsid w:val="0011718E"/>
    <w:rsid w:val="00117B46"/>
    <w:rsid w:val="0012076C"/>
    <w:rsid w:val="00121032"/>
    <w:rsid w:val="00122606"/>
    <w:rsid w:val="00122BBD"/>
    <w:rsid w:val="00124D7F"/>
    <w:rsid w:val="001269EB"/>
    <w:rsid w:val="001271D1"/>
    <w:rsid w:val="00127B7D"/>
    <w:rsid w:val="0013100B"/>
    <w:rsid w:val="00131024"/>
    <w:rsid w:val="00132AB9"/>
    <w:rsid w:val="00134FC0"/>
    <w:rsid w:val="00135E7F"/>
    <w:rsid w:val="00135FC6"/>
    <w:rsid w:val="00136CCC"/>
    <w:rsid w:val="00137CCC"/>
    <w:rsid w:val="00142712"/>
    <w:rsid w:val="00142A9D"/>
    <w:rsid w:val="00142C90"/>
    <w:rsid w:val="00142D1C"/>
    <w:rsid w:val="0014656D"/>
    <w:rsid w:val="00146762"/>
    <w:rsid w:val="00146C7B"/>
    <w:rsid w:val="0015128D"/>
    <w:rsid w:val="00151E48"/>
    <w:rsid w:val="001550CB"/>
    <w:rsid w:val="00155EE7"/>
    <w:rsid w:val="00155FEA"/>
    <w:rsid w:val="0015671C"/>
    <w:rsid w:val="00156974"/>
    <w:rsid w:val="00157029"/>
    <w:rsid w:val="00157133"/>
    <w:rsid w:val="001578B7"/>
    <w:rsid w:val="00157BDC"/>
    <w:rsid w:val="0016014E"/>
    <w:rsid w:val="00160927"/>
    <w:rsid w:val="00160FC2"/>
    <w:rsid w:val="0016498F"/>
    <w:rsid w:val="0016523D"/>
    <w:rsid w:val="0016650A"/>
    <w:rsid w:val="00166682"/>
    <w:rsid w:val="00167A58"/>
    <w:rsid w:val="00170688"/>
    <w:rsid w:val="001720B0"/>
    <w:rsid w:val="001721C1"/>
    <w:rsid w:val="0017249C"/>
    <w:rsid w:val="00172C0C"/>
    <w:rsid w:val="0017321B"/>
    <w:rsid w:val="00173F83"/>
    <w:rsid w:val="00174D87"/>
    <w:rsid w:val="00174F73"/>
    <w:rsid w:val="001757D0"/>
    <w:rsid w:val="001822B3"/>
    <w:rsid w:val="0018266C"/>
    <w:rsid w:val="00185C15"/>
    <w:rsid w:val="0018647E"/>
    <w:rsid w:val="00186E43"/>
    <w:rsid w:val="00187D74"/>
    <w:rsid w:val="00192492"/>
    <w:rsid w:val="001926A5"/>
    <w:rsid w:val="00192BF9"/>
    <w:rsid w:val="00193B98"/>
    <w:rsid w:val="001949F1"/>
    <w:rsid w:val="001951F1"/>
    <w:rsid w:val="00197D5B"/>
    <w:rsid w:val="00197D7B"/>
    <w:rsid w:val="001A14A1"/>
    <w:rsid w:val="001A26E2"/>
    <w:rsid w:val="001A2AC4"/>
    <w:rsid w:val="001A3F75"/>
    <w:rsid w:val="001A4B60"/>
    <w:rsid w:val="001A4C21"/>
    <w:rsid w:val="001A6E64"/>
    <w:rsid w:val="001A789F"/>
    <w:rsid w:val="001B0CD8"/>
    <w:rsid w:val="001B124F"/>
    <w:rsid w:val="001B135D"/>
    <w:rsid w:val="001B22BE"/>
    <w:rsid w:val="001B2D4D"/>
    <w:rsid w:val="001B30D7"/>
    <w:rsid w:val="001B3976"/>
    <w:rsid w:val="001B3A87"/>
    <w:rsid w:val="001B4294"/>
    <w:rsid w:val="001B600C"/>
    <w:rsid w:val="001B7C45"/>
    <w:rsid w:val="001C0402"/>
    <w:rsid w:val="001C081E"/>
    <w:rsid w:val="001C1001"/>
    <w:rsid w:val="001C1FBD"/>
    <w:rsid w:val="001C2674"/>
    <w:rsid w:val="001C42A4"/>
    <w:rsid w:val="001C5187"/>
    <w:rsid w:val="001C53BF"/>
    <w:rsid w:val="001C5A83"/>
    <w:rsid w:val="001C5D66"/>
    <w:rsid w:val="001C5F5B"/>
    <w:rsid w:val="001C6018"/>
    <w:rsid w:val="001C7AAE"/>
    <w:rsid w:val="001C7D4D"/>
    <w:rsid w:val="001D0CAB"/>
    <w:rsid w:val="001D0F06"/>
    <w:rsid w:val="001D2F6A"/>
    <w:rsid w:val="001D3697"/>
    <w:rsid w:val="001D37B9"/>
    <w:rsid w:val="001D421A"/>
    <w:rsid w:val="001D42A2"/>
    <w:rsid w:val="001D48CC"/>
    <w:rsid w:val="001D4AAE"/>
    <w:rsid w:val="001D5062"/>
    <w:rsid w:val="001D721A"/>
    <w:rsid w:val="001D725F"/>
    <w:rsid w:val="001D729A"/>
    <w:rsid w:val="001D760A"/>
    <w:rsid w:val="001E0642"/>
    <w:rsid w:val="001E21A1"/>
    <w:rsid w:val="001E225C"/>
    <w:rsid w:val="001E2C1D"/>
    <w:rsid w:val="001E55D9"/>
    <w:rsid w:val="001E5CC0"/>
    <w:rsid w:val="001E6356"/>
    <w:rsid w:val="001E6643"/>
    <w:rsid w:val="001E6B2A"/>
    <w:rsid w:val="001E6F85"/>
    <w:rsid w:val="001F0ECE"/>
    <w:rsid w:val="001F1684"/>
    <w:rsid w:val="001F3E9D"/>
    <w:rsid w:val="001F6477"/>
    <w:rsid w:val="001F69A0"/>
    <w:rsid w:val="001F6B16"/>
    <w:rsid w:val="001F7407"/>
    <w:rsid w:val="001F7A1E"/>
    <w:rsid w:val="001F7F62"/>
    <w:rsid w:val="002014E3"/>
    <w:rsid w:val="0020346E"/>
    <w:rsid w:val="002038B9"/>
    <w:rsid w:val="00204108"/>
    <w:rsid w:val="00204346"/>
    <w:rsid w:val="00204525"/>
    <w:rsid w:val="00204999"/>
    <w:rsid w:val="00211E5C"/>
    <w:rsid w:val="00212129"/>
    <w:rsid w:val="002138F8"/>
    <w:rsid w:val="00214425"/>
    <w:rsid w:val="00214C4B"/>
    <w:rsid w:val="00215053"/>
    <w:rsid w:val="00215254"/>
    <w:rsid w:val="00215299"/>
    <w:rsid w:val="00215307"/>
    <w:rsid w:val="00215DAF"/>
    <w:rsid w:val="00217137"/>
    <w:rsid w:val="002213B4"/>
    <w:rsid w:val="00221737"/>
    <w:rsid w:val="002226A8"/>
    <w:rsid w:val="00222C5F"/>
    <w:rsid w:val="00225403"/>
    <w:rsid w:val="00227066"/>
    <w:rsid w:val="002276D7"/>
    <w:rsid w:val="0023015E"/>
    <w:rsid w:val="002329E7"/>
    <w:rsid w:val="00234375"/>
    <w:rsid w:val="00235F54"/>
    <w:rsid w:val="00236DFC"/>
    <w:rsid w:val="00236E38"/>
    <w:rsid w:val="00245966"/>
    <w:rsid w:val="00246076"/>
    <w:rsid w:val="00246B36"/>
    <w:rsid w:val="00252A37"/>
    <w:rsid w:val="0025451E"/>
    <w:rsid w:val="00255547"/>
    <w:rsid w:val="00255709"/>
    <w:rsid w:val="002559D4"/>
    <w:rsid w:val="00257204"/>
    <w:rsid w:val="00260A83"/>
    <w:rsid w:val="00263025"/>
    <w:rsid w:val="002640A7"/>
    <w:rsid w:val="002649C2"/>
    <w:rsid w:val="00266753"/>
    <w:rsid w:val="002670CD"/>
    <w:rsid w:val="002670E4"/>
    <w:rsid w:val="00267111"/>
    <w:rsid w:val="00267162"/>
    <w:rsid w:val="002677F7"/>
    <w:rsid w:val="00271AE2"/>
    <w:rsid w:val="00274633"/>
    <w:rsid w:val="00275856"/>
    <w:rsid w:val="0027765E"/>
    <w:rsid w:val="002810B7"/>
    <w:rsid w:val="0028229B"/>
    <w:rsid w:val="00282FDD"/>
    <w:rsid w:val="00284D5D"/>
    <w:rsid w:val="00286E57"/>
    <w:rsid w:val="00287022"/>
    <w:rsid w:val="002874AC"/>
    <w:rsid w:val="00287B9C"/>
    <w:rsid w:val="002909B7"/>
    <w:rsid w:val="002917A3"/>
    <w:rsid w:val="00294E2E"/>
    <w:rsid w:val="0029502D"/>
    <w:rsid w:val="00296EB2"/>
    <w:rsid w:val="002A15BF"/>
    <w:rsid w:val="002A2051"/>
    <w:rsid w:val="002A2218"/>
    <w:rsid w:val="002A2FA1"/>
    <w:rsid w:val="002A45D9"/>
    <w:rsid w:val="002A4EF7"/>
    <w:rsid w:val="002A5040"/>
    <w:rsid w:val="002A67A9"/>
    <w:rsid w:val="002B0097"/>
    <w:rsid w:val="002B0B39"/>
    <w:rsid w:val="002B0D70"/>
    <w:rsid w:val="002B3578"/>
    <w:rsid w:val="002B5B1A"/>
    <w:rsid w:val="002B6972"/>
    <w:rsid w:val="002B765E"/>
    <w:rsid w:val="002C0173"/>
    <w:rsid w:val="002C11EE"/>
    <w:rsid w:val="002C1663"/>
    <w:rsid w:val="002C245A"/>
    <w:rsid w:val="002C329C"/>
    <w:rsid w:val="002C36B1"/>
    <w:rsid w:val="002C3A17"/>
    <w:rsid w:val="002C4BF0"/>
    <w:rsid w:val="002C531C"/>
    <w:rsid w:val="002C6810"/>
    <w:rsid w:val="002C6854"/>
    <w:rsid w:val="002C6E1B"/>
    <w:rsid w:val="002C7458"/>
    <w:rsid w:val="002C7E6E"/>
    <w:rsid w:val="002D01E1"/>
    <w:rsid w:val="002D1EFF"/>
    <w:rsid w:val="002D1F93"/>
    <w:rsid w:val="002D240E"/>
    <w:rsid w:val="002D2C08"/>
    <w:rsid w:val="002D2E1E"/>
    <w:rsid w:val="002D328E"/>
    <w:rsid w:val="002D402B"/>
    <w:rsid w:val="002D598A"/>
    <w:rsid w:val="002D5EC3"/>
    <w:rsid w:val="002D5F37"/>
    <w:rsid w:val="002E39EA"/>
    <w:rsid w:val="002E3A54"/>
    <w:rsid w:val="002E3EAC"/>
    <w:rsid w:val="002E4808"/>
    <w:rsid w:val="002E5E28"/>
    <w:rsid w:val="002E6CAB"/>
    <w:rsid w:val="002E7363"/>
    <w:rsid w:val="002E76E5"/>
    <w:rsid w:val="002E7C9B"/>
    <w:rsid w:val="002F0668"/>
    <w:rsid w:val="002F07F0"/>
    <w:rsid w:val="002F1B93"/>
    <w:rsid w:val="002F237A"/>
    <w:rsid w:val="002F3B6F"/>
    <w:rsid w:val="002F41A8"/>
    <w:rsid w:val="002F61EF"/>
    <w:rsid w:val="002F63E5"/>
    <w:rsid w:val="002F7DE5"/>
    <w:rsid w:val="002F7EA0"/>
    <w:rsid w:val="0030190C"/>
    <w:rsid w:val="00301E70"/>
    <w:rsid w:val="00302359"/>
    <w:rsid w:val="00302783"/>
    <w:rsid w:val="00302ACB"/>
    <w:rsid w:val="003040C3"/>
    <w:rsid w:val="00304589"/>
    <w:rsid w:val="0030529B"/>
    <w:rsid w:val="00305974"/>
    <w:rsid w:val="003061CE"/>
    <w:rsid w:val="00311444"/>
    <w:rsid w:val="00311B53"/>
    <w:rsid w:val="00311BC0"/>
    <w:rsid w:val="003125F1"/>
    <w:rsid w:val="00313479"/>
    <w:rsid w:val="0031428C"/>
    <w:rsid w:val="00315A94"/>
    <w:rsid w:val="00316511"/>
    <w:rsid w:val="003172F4"/>
    <w:rsid w:val="00317EFF"/>
    <w:rsid w:val="0032067A"/>
    <w:rsid w:val="00321782"/>
    <w:rsid w:val="00321C8E"/>
    <w:rsid w:val="003221E6"/>
    <w:rsid w:val="003226C5"/>
    <w:rsid w:val="003267D4"/>
    <w:rsid w:val="0032797C"/>
    <w:rsid w:val="003309D8"/>
    <w:rsid w:val="00331887"/>
    <w:rsid w:val="00331F92"/>
    <w:rsid w:val="003322B4"/>
    <w:rsid w:val="003324A5"/>
    <w:rsid w:val="003343C8"/>
    <w:rsid w:val="003351F6"/>
    <w:rsid w:val="00336059"/>
    <w:rsid w:val="003361F2"/>
    <w:rsid w:val="00336B32"/>
    <w:rsid w:val="00337BFB"/>
    <w:rsid w:val="00341631"/>
    <w:rsid w:val="00341A13"/>
    <w:rsid w:val="003426C3"/>
    <w:rsid w:val="00343567"/>
    <w:rsid w:val="00344655"/>
    <w:rsid w:val="003446B6"/>
    <w:rsid w:val="00347654"/>
    <w:rsid w:val="00350F1A"/>
    <w:rsid w:val="00351E14"/>
    <w:rsid w:val="00352F58"/>
    <w:rsid w:val="003536DE"/>
    <w:rsid w:val="00354D53"/>
    <w:rsid w:val="00356A05"/>
    <w:rsid w:val="003578F5"/>
    <w:rsid w:val="00357C24"/>
    <w:rsid w:val="00357DAA"/>
    <w:rsid w:val="003636DB"/>
    <w:rsid w:val="003663C9"/>
    <w:rsid w:val="0036680F"/>
    <w:rsid w:val="003678EE"/>
    <w:rsid w:val="003707EB"/>
    <w:rsid w:val="00370943"/>
    <w:rsid w:val="00370DA0"/>
    <w:rsid w:val="0037118D"/>
    <w:rsid w:val="003716EE"/>
    <w:rsid w:val="003730DC"/>
    <w:rsid w:val="00374960"/>
    <w:rsid w:val="00375C37"/>
    <w:rsid w:val="00375C68"/>
    <w:rsid w:val="00376F00"/>
    <w:rsid w:val="003805E8"/>
    <w:rsid w:val="00381343"/>
    <w:rsid w:val="0038169E"/>
    <w:rsid w:val="00381834"/>
    <w:rsid w:val="00381A2E"/>
    <w:rsid w:val="00381E3A"/>
    <w:rsid w:val="003834D5"/>
    <w:rsid w:val="0038553D"/>
    <w:rsid w:val="00385835"/>
    <w:rsid w:val="00385FB3"/>
    <w:rsid w:val="00386B10"/>
    <w:rsid w:val="00390B18"/>
    <w:rsid w:val="00391012"/>
    <w:rsid w:val="00393D23"/>
    <w:rsid w:val="00394A12"/>
    <w:rsid w:val="00394BEF"/>
    <w:rsid w:val="00394F7E"/>
    <w:rsid w:val="00395ED6"/>
    <w:rsid w:val="00396262"/>
    <w:rsid w:val="00396698"/>
    <w:rsid w:val="00396A72"/>
    <w:rsid w:val="003975C7"/>
    <w:rsid w:val="003A07C3"/>
    <w:rsid w:val="003A13E7"/>
    <w:rsid w:val="003A4B4F"/>
    <w:rsid w:val="003A5D75"/>
    <w:rsid w:val="003A6675"/>
    <w:rsid w:val="003A7CB5"/>
    <w:rsid w:val="003B052A"/>
    <w:rsid w:val="003B0795"/>
    <w:rsid w:val="003B14E3"/>
    <w:rsid w:val="003B1673"/>
    <w:rsid w:val="003B16B3"/>
    <w:rsid w:val="003B1AB1"/>
    <w:rsid w:val="003B2849"/>
    <w:rsid w:val="003B3CD7"/>
    <w:rsid w:val="003B48C5"/>
    <w:rsid w:val="003B5647"/>
    <w:rsid w:val="003B5C0B"/>
    <w:rsid w:val="003B60BA"/>
    <w:rsid w:val="003B742D"/>
    <w:rsid w:val="003C2956"/>
    <w:rsid w:val="003C2E9D"/>
    <w:rsid w:val="003C3696"/>
    <w:rsid w:val="003C3ED4"/>
    <w:rsid w:val="003C40C1"/>
    <w:rsid w:val="003C4D73"/>
    <w:rsid w:val="003C51D8"/>
    <w:rsid w:val="003C652C"/>
    <w:rsid w:val="003C6FFC"/>
    <w:rsid w:val="003C79A7"/>
    <w:rsid w:val="003C7D5A"/>
    <w:rsid w:val="003D1445"/>
    <w:rsid w:val="003D1D52"/>
    <w:rsid w:val="003D31B0"/>
    <w:rsid w:val="003D3D32"/>
    <w:rsid w:val="003D7034"/>
    <w:rsid w:val="003D76D4"/>
    <w:rsid w:val="003E05D7"/>
    <w:rsid w:val="003E1AD4"/>
    <w:rsid w:val="003E20FD"/>
    <w:rsid w:val="003E25C3"/>
    <w:rsid w:val="003E4660"/>
    <w:rsid w:val="003E53CF"/>
    <w:rsid w:val="003E5518"/>
    <w:rsid w:val="003E55FD"/>
    <w:rsid w:val="003E5D27"/>
    <w:rsid w:val="003E69CA"/>
    <w:rsid w:val="003E715E"/>
    <w:rsid w:val="003F0BBD"/>
    <w:rsid w:val="003F27A0"/>
    <w:rsid w:val="003F2E70"/>
    <w:rsid w:val="003F42EE"/>
    <w:rsid w:val="003F5ACF"/>
    <w:rsid w:val="003F6F00"/>
    <w:rsid w:val="003F73FB"/>
    <w:rsid w:val="003F7583"/>
    <w:rsid w:val="004001F1"/>
    <w:rsid w:val="00400272"/>
    <w:rsid w:val="00402740"/>
    <w:rsid w:val="00402C8D"/>
    <w:rsid w:val="00403431"/>
    <w:rsid w:val="004045D3"/>
    <w:rsid w:val="00404700"/>
    <w:rsid w:val="004063FC"/>
    <w:rsid w:val="00406AAD"/>
    <w:rsid w:val="00406D0F"/>
    <w:rsid w:val="00407033"/>
    <w:rsid w:val="004107AD"/>
    <w:rsid w:val="00410E4C"/>
    <w:rsid w:val="004117BA"/>
    <w:rsid w:val="0041205A"/>
    <w:rsid w:val="004129C3"/>
    <w:rsid w:val="00412A13"/>
    <w:rsid w:val="004135C1"/>
    <w:rsid w:val="00414142"/>
    <w:rsid w:val="004145B8"/>
    <w:rsid w:val="00416BF3"/>
    <w:rsid w:val="00417262"/>
    <w:rsid w:val="00424128"/>
    <w:rsid w:val="00424329"/>
    <w:rsid w:val="00424B32"/>
    <w:rsid w:val="00425A43"/>
    <w:rsid w:val="00426AE0"/>
    <w:rsid w:val="00427A5F"/>
    <w:rsid w:val="00430B76"/>
    <w:rsid w:val="00431122"/>
    <w:rsid w:val="0043161F"/>
    <w:rsid w:val="004320F2"/>
    <w:rsid w:val="00433156"/>
    <w:rsid w:val="00433252"/>
    <w:rsid w:val="00433E66"/>
    <w:rsid w:val="00436B28"/>
    <w:rsid w:val="004424FD"/>
    <w:rsid w:val="00442B0E"/>
    <w:rsid w:val="0044358C"/>
    <w:rsid w:val="00444F2A"/>
    <w:rsid w:val="00445279"/>
    <w:rsid w:val="004468AD"/>
    <w:rsid w:val="00452DE8"/>
    <w:rsid w:val="00453578"/>
    <w:rsid w:val="00454AF9"/>
    <w:rsid w:val="00454CD2"/>
    <w:rsid w:val="0045544C"/>
    <w:rsid w:val="00455457"/>
    <w:rsid w:val="00457F16"/>
    <w:rsid w:val="00457F65"/>
    <w:rsid w:val="0046071C"/>
    <w:rsid w:val="00462673"/>
    <w:rsid w:val="00464ACF"/>
    <w:rsid w:val="00464DBB"/>
    <w:rsid w:val="004660E0"/>
    <w:rsid w:val="004710C2"/>
    <w:rsid w:val="0047189A"/>
    <w:rsid w:val="00473952"/>
    <w:rsid w:val="00474236"/>
    <w:rsid w:val="004748CA"/>
    <w:rsid w:val="00477101"/>
    <w:rsid w:val="0048047F"/>
    <w:rsid w:val="0048161F"/>
    <w:rsid w:val="004818F9"/>
    <w:rsid w:val="004821DC"/>
    <w:rsid w:val="0048359E"/>
    <w:rsid w:val="004840FE"/>
    <w:rsid w:val="004856EE"/>
    <w:rsid w:val="00485786"/>
    <w:rsid w:val="004862E2"/>
    <w:rsid w:val="004871EB"/>
    <w:rsid w:val="004874E1"/>
    <w:rsid w:val="00487562"/>
    <w:rsid w:val="0049053F"/>
    <w:rsid w:val="004912D9"/>
    <w:rsid w:val="004917CE"/>
    <w:rsid w:val="0049198D"/>
    <w:rsid w:val="00491BC8"/>
    <w:rsid w:val="00492FAA"/>
    <w:rsid w:val="00493394"/>
    <w:rsid w:val="004935BD"/>
    <w:rsid w:val="00493C46"/>
    <w:rsid w:val="004945F4"/>
    <w:rsid w:val="00494756"/>
    <w:rsid w:val="0049490D"/>
    <w:rsid w:val="00496351"/>
    <w:rsid w:val="00496758"/>
    <w:rsid w:val="00496D2D"/>
    <w:rsid w:val="004A0787"/>
    <w:rsid w:val="004A17B7"/>
    <w:rsid w:val="004A3466"/>
    <w:rsid w:val="004A4173"/>
    <w:rsid w:val="004A4317"/>
    <w:rsid w:val="004A4357"/>
    <w:rsid w:val="004A4E71"/>
    <w:rsid w:val="004A5F24"/>
    <w:rsid w:val="004A7202"/>
    <w:rsid w:val="004B0241"/>
    <w:rsid w:val="004B09E5"/>
    <w:rsid w:val="004B0DA6"/>
    <w:rsid w:val="004B1979"/>
    <w:rsid w:val="004B2C1F"/>
    <w:rsid w:val="004B53CB"/>
    <w:rsid w:val="004B55AB"/>
    <w:rsid w:val="004B5B0E"/>
    <w:rsid w:val="004B60CC"/>
    <w:rsid w:val="004B7079"/>
    <w:rsid w:val="004C1B83"/>
    <w:rsid w:val="004C2858"/>
    <w:rsid w:val="004C4ACF"/>
    <w:rsid w:val="004C54CD"/>
    <w:rsid w:val="004C63B1"/>
    <w:rsid w:val="004C7C04"/>
    <w:rsid w:val="004D03F8"/>
    <w:rsid w:val="004D1801"/>
    <w:rsid w:val="004D2AB5"/>
    <w:rsid w:val="004D3754"/>
    <w:rsid w:val="004D45DC"/>
    <w:rsid w:val="004D543A"/>
    <w:rsid w:val="004D6125"/>
    <w:rsid w:val="004D6EE6"/>
    <w:rsid w:val="004E0E9D"/>
    <w:rsid w:val="004E5673"/>
    <w:rsid w:val="004E60EB"/>
    <w:rsid w:val="004F0DF6"/>
    <w:rsid w:val="004F1808"/>
    <w:rsid w:val="004F3D4F"/>
    <w:rsid w:val="004F4A96"/>
    <w:rsid w:val="004F5F04"/>
    <w:rsid w:val="004F6523"/>
    <w:rsid w:val="00500250"/>
    <w:rsid w:val="00502CF3"/>
    <w:rsid w:val="00502FC4"/>
    <w:rsid w:val="00503C3E"/>
    <w:rsid w:val="00504539"/>
    <w:rsid w:val="005054AB"/>
    <w:rsid w:val="00505E7A"/>
    <w:rsid w:val="00506621"/>
    <w:rsid w:val="005105CA"/>
    <w:rsid w:val="00510626"/>
    <w:rsid w:val="005107BA"/>
    <w:rsid w:val="005110FA"/>
    <w:rsid w:val="00511179"/>
    <w:rsid w:val="00511A40"/>
    <w:rsid w:val="00511A59"/>
    <w:rsid w:val="0051203E"/>
    <w:rsid w:val="005121D3"/>
    <w:rsid w:val="00512B8C"/>
    <w:rsid w:val="00512DA0"/>
    <w:rsid w:val="005138E1"/>
    <w:rsid w:val="00514BCC"/>
    <w:rsid w:val="00515737"/>
    <w:rsid w:val="00516404"/>
    <w:rsid w:val="00521B95"/>
    <w:rsid w:val="005239BD"/>
    <w:rsid w:val="005239D9"/>
    <w:rsid w:val="005240F8"/>
    <w:rsid w:val="00525361"/>
    <w:rsid w:val="005259DB"/>
    <w:rsid w:val="00526A5E"/>
    <w:rsid w:val="00527879"/>
    <w:rsid w:val="00527FCD"/>
    <w:rsid w:val="00531038"/>
    <w:rsid w:val="00531853"/>
    <w:rsid w:val="00534478"/>
    <w:rsid w:val="00536EF0"/>
    <w:rsid w:val="00536F32"/>
    <w:rsid w:val="00541486"/>
    <w:rsid w:val="00541BF0"/>
    <w:rsid w:val="005425ED"/>
    <w:rsid w:val="00543A32"/>
    <w:rsid w:val="005441CB"/>
    <w:rsid w:val="00544F1D"/>
    <w:rsid w:val="005452F4"/>
    <w:rsid w:val="005457C5"/>
    <w:rsid w:val="00546CC8"/>
    <w:rsid w:val="005511AC"/>
    <w:rsid w:val="005511B6"/>
    <w:rsid w:val="005512BE"/>
    <w:rsid w:val="00551666"/>
    <w:rsid w:val="00552A54"/>
    <w:rsid w:val="005530F3"/>
    <w:rsid w:val="00553140"/>
    <w:rsid w:val="0055395A"/>
    <w:rsid w:val="00554F3D"/>
    <w:rsid w:val="00557BA4"/>
    <w:rsid w:val="00557F34"/>
    <w:rsid w:val="00557FE7"/>
    <w:rsid w:val="00560A5B"/>
    <w:rsid w:val="005628DF"/>
    <w:rsid w:val="00566192"/>
    <w:rsid w:val="005666DA"/>
    <w:rsid w:val="00566B09"/>
    <w:rsid w:val="00566BDA"/>
    <w:rsid w:val="005673A2"/>
    <w:rsid w:val="00570A77"/>
    <w:rsid w:val="00571438"/>
    <w:rsid w:val="00571DF4"/>
    <w:rsid w:val="005744BE"/>
    <w:rsid w:val="00575FA5"/>
    <w:rsid w:val="005763A6"/>
    <w:rsid w:val="0057795D"/>
    <w:rsid w:val="0058153B"/>
    <w:rsid w:val="00581C86"/>
    <w:rsid w:val="005824FE"/>
    <w:rsid w:val="00582980"/>
    <w:rsid w:val="00582D7B"/>
    <w:rsid w:val="005843F1"/>
    <w:rsid w:val="00584E83"/>
    <w:rsid w:val="00584F6D"/>
    <w:rsid w:val="005862FF"/>
    <w:rsid w:val="005875B3"/>
    <w:rsid w:val="0058797C"/>
    <w:rsid w:val="005901AB"/>
    <w:rsid w:val="0059027E"/>
    <w:rsid w:val="005908BE"/>
    <w:rsid w:val="00591270"/>
    <w:rsid w:val="0059151A"/>
    <w:rsid w:val="00591EC5"/>
    <w:rsid w:val="005924A8"/>
    <w:rsid w:val="0059371A"/>
    <w:rsid w:val="00593B0D"/>
    <w:rsid w:val="00595A70"/>
    <w:rsid w:val="005967C1"/>
    <w:rsid w:val="00596E25"/>
    <w:rsid w:val="00597468"/>
    <w:rsid w:val="005A0E38"/>
    <w:rsid w:val="005A155D"/>
    <w:rsid w:val="005A29B8"/>
    <w:rsid w:val="005A3FD9"/>
    <w:rsid w:val="005A689E"/>
    <w:rsid w:val="005A74BD"/>
    <w:rsid w:val="005B0FF4"/>
    <w:rsid w:val="005B1A2B"/>
    <w:rsid w:val="005B30ED"/>
    <w:rsid w:val="005B4934"/>
    <w:rsid w:val="005B67A1"/>
    <w:rsid w:val="005B691A"/>
    <w:rsid w:val="005B7F7D"/>
    <w:rsid w:val="005C0989"/>
    <w:rsid w:val="005C176E"/>
    <w:rsid w:val="005C19C7"/>
    <w:rsid w:val="005C1A0C"/>
    <w:rsid w:val="005C223A"/>
    <w:rsid w:val="005C2796"/>
    <w:rsid w:val="005C2992"/>
    <w:rsid w:val="005C2C2D"/>
    <w:rsid w:val="005C3005"/>
    <w:rsid w:val="005C3089"/>
    <w:rsid w:val="005C3556"/>
    <w:rsid w:val="005C4A4E"/>
    <w:rsid w:val="005C5019"/>
    <w:rsid w:val="005C5307"/>
    <w:rsid w:val="005C56BE"/>
    <w:rsid w:val="005C5FA7"/>
    <w:rsid w:val="005C7192"/>
    <w:rsid w:val="005D0EA7"/>
    <w:rsid w:val="005D0F15"/>
    <w:rsid w:val="005D1E3F"/>
    <w:rsid w:val="005D320C"/>
    <w:rsid w:val="005D4A30"/>
    <w:rsid w:val="005D52B7"/>
    <w:rsid w:val="005D5AC5"/>
    <w:rsid w:val="005D637D"/>
    <w:rsid w:val="005D71A4"/>
    <w:rsid w:val="005D73E6"/>
    <w:rsid w:val="005D7AD5"/>
    <w:rsid w:val="005E1507"/>
    <w:rsid w:val="005E1B29"/>
    <w:rsid w:val="005E35DB"/>
    <w:rsid w:val="005E4022"/>
    <w:rsid w:val="005E4205"/>
    <w:rsid w:val="005E47FD"/>
    <w:rsid w:val="005E58FF"/>
    <w:rsid w:val="005E5ADD"/>
    <w:rsid w:val="005E68CB"/>
    <w:rsid w:val="005F05A1"/>
    <w:rsid w:val="005F146F"/>
    <w:rsid w:val="005F2BB3"/>
    <w:rsid w:val="005F2EC3"/>
    <w:rsid w:val="005F3879"/>
    <w:rsid w:val="005F4FDC"/>
    <w:rsid w:val="005F570F"/>
    <w:rsid w:val="005F59E1"/>
    <w:rsid w:val="005F68AB"/>
    <w:rsid w:val="005F7695"/>
    <w:rsid w:val="00600BB6"/>
    <w:rsid w:val="00601443"/>
    <w:rsid w:val="00601797"/>
    <w:rsid w:val="00601941"/>
    <w:rsid w:val="00602A04"/>
    <w:rsid w:val="00603A94"/>
    <w:rsid w:val="0060440D"/>
    <w:rsid w:val="006052CC"/>
    <w:rsid w:val="00605BCD"/>
    <w:rsid w:val="00605DE2"/>
    <w:rsid w:val="006061DF"/>
    <w:rsid w:val="00610209"/>
    <w:rsid w:val="00610245"/>
    <w:rsid w:val="0061098D"/>
    <w:rsid w:val="006130FD"/>
    <w:rsid w:val="00615CB5"/>
    <w:rsid w:val="00616144"/>
    <w:rsid w:val="006178AB"/>
    <w:rsid w:val="00617EDD"/>
    <w:rsid w:val="006217BE"/>
    <w:rsid w:val="00621849"/>
    <w:rsid w:val="0062252C"/>
    <w:rsid w:val="00624CA0"/>
    <w:rsid w:val="00624ED9"/>
    <w:rsid w:val="006273A8"/>
    <w:rsid w:val="00630033"/>
    <w:rsid w:val="00630F76"/>
    <w:rsid w:val="00631260"/>
    <w:rsid w:val="00631488"/>
    <w:rsid w:val="00632821"/>
    <w:rsid w:val="00632C21"/>
    <w:rsid w:val="006341EB"/>
    <w:rsid w:val="00634D71"/>
    <w:rsid w:val="00635441"/>
    <w:rsid w:val="00636463"/>
    <w:rsid w:val="006365DD"/>
    <w:rsid w:val="006369AE"/>
    <w:rsid w:val="00636B16"/>
    <w:rsid w:val="00636BB0"/>
    <w:rsid w:val="00636F23"/>
    <w:rsid w:val="00637A13"/>
    <w:rsid w:val="0064299D"/>
    <w:rsid w:val="00643E81"/>
    <w:rsid w:val="00644234"/>
    <w:rsid w:val="00644D84"/>
    <w:rsid w:val="00645094"/>
    <w:rsid w:val="006457D6"/>
    <w:rsid w:val="0064707A"/>
    <w:rsid w:val="006473FB"/>
    <w:rsid w:val="00647EC9"/>
    <w:rsid w:val="00650254"/>
    <w:rsid w:val="00650BCA"/>
    <w:rsid w:val="00650F31"/>
    <w:rsid w:val="0065159B"/>
    <w:rsid w:val="006531ED"/>
    <w:rsid w:val="006534DE"/>
    <w:rsid w:val="00654E0A"/>
    <w:rsid w:val="00655570"/>
    <w:rsid w:val="0065782D"/>
    <w:rsid w:val="00657B46"/>
    <w:rsid w:val="006602B3"/>
    <w:rsid w:val="00660D76"/>
    <w:rsid w:val="006626B2"/>
    <w:rsid w:val="00662988"/>
    <w:rsid w:val="00664F13"/>
    <w:rsid w:val="006674E1"/>
    <w:rsid w:val="006679D0"/>
    <w:rsid w:val="00667C5E"/>
    <w:rsid w:val="006713C1"/>
    <w:rsid w:val="00671E20"/>
    <w:rsid w:val="00672477"/>
    <w:rsid w:val="00672F85"/>
    <w:rsid w:val="00673537"/>
    <w:rsid w:val="006738A6"/>
    <w:rsid w:val="0067526E"/>
    <w:rsid w:val="00675554"/>
    <w:rsid w:val="006801F3"/>
    <w:rsid w:val="0068086A"/>
    <w:rsid w:val="00680B1B"/>
    <w:rsid w:val="0068275C"/>
    <w:rsid w:val="00682DEB"/>
    <w:rsid w:val="0068341C"/>
    <w:rsid w:val="00683D23"/>
    <w:rsid w:val="00690767"/>
    <w:rsid w:val="00690EA5"/>
    <w:rsid w:val="00691149"/>
    <w:rsid w:val="006917C0"/>
    <w:rsid w:val="006924FF"/>
    <w:rsid w:val="006955E0"/>
    <w:rsid w:val="00696044"/>
    <w:rsid w:val="006A103F"/>
    <w:rsid w:val="006A138B"/>
    <w:rsid w:val="006A26F7"/>
    <w:rsid w:val="006A55AF"/>
    <w:rsid w:val="006A5B5F"/>
    <w:rsid w:val="006A74B9"/>
    <w:rsid w:val="006B05BA"/>
    <w:rsid w:val="006B24B5"/>
    <w:rsid w:val="006B29AF"/>
    <w:rsid w:val="006B3654"/>
    <w:rsid w:val="006B5433"/>
    <w:rsid w:val="006B704E"/>
    <w:rsid w:val="006C08E9"/>
    <w:rsid w:val="006C09C3"/>
    <w:rsid w:val="006C0CA4"/>
    <w:rsid w:val="006C20C7"/>
    <w:rsid w:val="006C387E"/>
    <w:rsid w:val="006C524D"/>
    <w:rsid w:val="006C65EE"/>
    <w:rsid w:val="006C70B9"/>
    <w:rsid w:val="006C7C6E"/>
    <w:rsid w:val="006D0656"/>
    <w:rsid w:val="006D06B1"/>
    <w:rsid w:val="006D0723"/>
    <w:rsid w:val="006D0E11"/>
    <w:rsid w:val="006D1663"/>
    <w:rsid w:val="006D1764"/>
    <w:rsid w:val="006D47E7"/>
    <w:rsid w:val="006D4D3D"/>
    <w:rsid w:val="006D7931"/>
    <w:rsid w:val="006E0455"/>
    <w:rsid w:val="006E0A76"/>
    <w:rsid w:val="006E10E6"/>
    <w:rsid w:val="006E1BB0"/>
    <w:rsid w:val="006E2DA5"/>
    <w:rsid w:val="006E4A94"/>
    <w:rsid w:val="006E4F47"/>
    <w:rsid w:val="006F00A7"/>
    <w:rsid w:val="006F1AED"/>
    <w:rsid w:val="006F47DF"/>
    <w:rsid w:val="006F486E"/>
    <w:rsid w:val="006F6E8E"/>
    <w:rsid w:val="006F78CB"/>
    <w:rsid w:val="00700E3D"/>
    <w:rsid w:val="007012A5"/>
    <w:rsid w:val="00702230"/>
    <w:rsid w:val="007025E3"/>
    <w:rsid w:val="00703803"/>
    <w:rsid w:val="00703ADA"/>
    <w:rsid w:val="00705FF3"/>
    <w:rsid w:val="00707D54"/>
    <w:rsid w:val="00710F15"/>
    <w:rsid w:val="007113A8"/>
    <w:rsid w:val="00712BB6"/>
    <w:rsid w:val="00712F85"/>
    <w:rsid w:val="0071344B"/>
    <w:rsid w:val="007137A4"/>
    <w:rsid w:val="00714441"/>
    <w:rsid w:val="00714748"/>
    <w:rsid w:val="00716F5B"/>
    <w:rsid w:val="00717F03"/>
    <w:rsid w:val="00720CE5"/>
    <w:rsid w:val="007219EB"/>
    <w:rsid w:val="00721DDF"/>
    <w:rsid w:val="007230C1"/>
    <w:rsid w:val="007244A3"/>
    <w:rsid w:val="007245E2"/>
    <w:rsid w:val="00725104"/>
    <w:rsid w:val="00725336"/>
    <w:rsid w:val="00725AE7"/>
    <w:rsid w:val="007263E5"/>
    <w:rsid w:val="00726A2C"/>
    <w:rsid w:val="007276E3"/>
    <w:rsid w:val="00727710"/>
    <w:rsid w:val="00732A14"/>
    <w:rsid w:val="0073385C"/>
    <w:rsid w:val="007344FC"/>
    <w:rsid w:val="00734C07"/>
    <w:rsid w:val="00734D1D"/>
    <w:rsid w:val="007356D2"/>
    <w:rsid w:val="00735C45"/>
    <w:rsid w:val="00735FF4"/>
    <w:rsid w:val="007366E7"/>
    <w:rsid w:val="00736B38"/>
    <w:rsid w:val="007377BB"/>
    <w:rsid w:val="007413E2"/>
    <w:rsid w:val="0074158F"/>
    <w:rsid w:val="00745BA5"/>
    <w:rsid w:val="00746D41"/>
    <w:rsid w:val="007470F4"/>
    <w:rsid w:val="00747821"/>
    <w:rsid w:val="0075034B"/>
    <w:rsid w:val="00751305"/>
    <w:rsid w:val="0075148F"/>
    <w:rsid w:val="00751C0B"/>
    <w:rsid w:val="00752766"/>
    <w:rsid w:val="0075276E"/>
    <w:rsid w:val="00753284"/>
    <w:rsid w:val="0075372F"/>
    <w:rsid w:val="007539CF"/>
    <w:rsid w:val="00755A21"/>
    <w:rsid w:val="00756AE6"/>
    <w:rsid w:val="00756D27"/>
    <w:rsid w:val="007606C1"/>
    <w:rsid w:val="00761202"/>
    <w:rsid w:val="007615D2"/>
    <w:rsid w:val="00761C30"/>
    <w:rsid w:val="007625AC"/>
    <w:rsid w:val="0076410F"/>
    <w:rsid w:val="00764C35"/>
    <w:rsid w:val="00764D50"/>
    <w:rsid w:val="0076577F"/>
    <w:rsid w:val="00765A64"/>
    <w:rsid w:val="00765F14"/>
    <w:rsid w:val="00766293"/>
    <w:rsid w:val="00766A7D"/>
    <w:rsid w:val="00766F0F"/>
    <w:rsid w:val="00767BF9"/>
    <w:rsid w:val="00770C54"/>
    <w:rsid w:val="00772145"/>
    <w:rsid w:val="00772FA6"/>
    <w:rsid w:val="007734A8"/>
    <w:rsid w:val="00774640"/>
    <w:rsid w:val="007755D8"/>
    <w:rsid w:val="00777370"/>
    <w:rsid w:val="007829EE"/>
    <w:rsid w:val="0078309E"/>
    <w:rsid w:val="007831CE"/>
    <w:rsid w:val="00783DC8"/>
    <w:rsid w:val="00784AFF"/>
    <w:rsid w:val="00786940"/>
    <w:rsid w:val="00786D60"/>
    <w:rsid w:val="00787BE7"/>
    <w:rsid w:val="00791545"/>
    <w:rsid w:val="00794508"/>
    <w:rsid w:val="00795050"/>
    <w:rsid w:val="00797B2F"/>
    <w:rsid w:val="007A3883"/>
    <w:rsid w:val="007A3D56"/>
    <w:rsid w:val="007A3D81"/>
    <w:rsid w:val="007A7463"/>
    <w:rsid w:val="007B0968"/>
    <w:rsid w:val="007B1A39"/>
    <w:rsid w:val="007B4BE2"/>
    <w:rsid w:val="007B5AAF"/>
    <w:rsid w:val="007C0412"/>
    <w:rsid w:val="007C174D"/>
    <w:rsid w:val="007C18E3"/>
    <w:rsid w:val="007C1C43"/>
    <w:rsid w:val="007C2A95"/>
    <w:rsid w:val="007C7241"/>
    <w:rsid w:val="007C7EE0"/>
    <w:rsid w:val="007D0905"/>
    <w:rsid w:val="007D1418"/>
    <w:rsid w:val="007D1560"/>
    <w:rsid w:val="007D320D"/>
    <w:rsid w:val="007D406E"/>
    <w:rsid w:val="007D4527"/>
    <w:rsid w:val="007D45F4"/>
    <w:rsid w:val="007D5A87"/>
    <w:rsid w:val="007E094D"/>
    <w:rsid w:val="007E23EF"/>
    <w:rsid w:val="007E3027"/>
    <w:rsid w:val="007E3B62"/>
    <w:rsid w:val="007E3C1E"/>
    <w:rsid w:val="007E4B6A"/>
    <w:rsid w:val="007E7B48"/>
    <w:rsid w:val="007E7C79"/>
    <w:rsid w:val="007E7E62"/>
    <w:rsid w:val="007F03FF"/>
    <w:rsid w:val="007F0A7D"/>
    <w:rsid w:val="007F1D18"/>
    <w:rsid w:val="007F28A3"/>
    <w:rsid w:val="007F469B"/>
    <w:rsid w:val="007F471C"/>
    <w:rsid w:val="007F5484"/>
    <w:rsid w:val="007F57C8"/>
    <w:rsid w:val="007F6218"/>
    <w:rsid w:val="007F626B"/>
    <w:rsid w:val="0080112A"/>
    <w:rsid w:val="008016A4"/>
    <w:rsid w:val="00803913"/>
    <w:rsid w:val="0080409A"/>
    <w:rsid w:val="008049BF"/>
    <w:rsid w:val="00805694"/>
    <w:rsid w:val="00806216"/>
    <w:rsid w:val="008067FB"/>
    <w:rsid w:val="00807EDF"/>
    <w:rsid w:val="00810039"/>
    <w:rsid w:val="00811CF3"/>
    <w:rsid w:val="00811E59"/>
    <w:rsid w:val="008127BB"/>
    <w:rsid w:val="00813F38"/>
    <w:rsid w:val="00813FF3"/>
    <w:rsid w:val="0081484D"/>
    <w:rsid w:val="00814B90"/>
    <w:rsid w:val="0081629D"/>
    <w:rsid w:val="0081674D"/>
    <w:rsid w:val="0081750A"/>
    <w:rsid w:val="00817664"/>
    <w:rsid w:val="00821267"/>
    <w:rsid w:val="00822E4E"/>
    <w:rsid w:val="0082308C"/>
    <w:rsid w:val="008234EB"/>
    <w:rsid w:val="00823674"/>
    <w:rsid w:val="008241E9"/>
    <w:rsid w:val="00826018"/>
    <w:rsid w:val="008263A2"/>
    <w:rsid w:val="008319F5"/>
    <w:rsid w:val="00831ADA"/>
    <w:rsid w:val="00833275"/>
    <w:rsid w:val="00833D97"/>
    <w:rsid w:val="00833EE0"/>
    <w:rsid w:val="00834AF6"/>
    <w:rsid w:val="00834ECF"/>
    <w:rsid w:val="00835180"/>
    <w:rsid w:val="0083652D"/>
    <w:rsid w:val="0083723B"/>
    <w:rsid w:val="008405A7"/>
    <w:rsid w:val="0084123C"/>
    <w:rsid w:val="00841A43"/>
    <w:rsid w:val="00841FE0"/>
    <w:rsid w:val="0084304E"/>
    <w:rsid w:val="00843F2B"/>
    <w:rsid w:val="00845408"/>
    <w:rsid w:val="008462A9"/>
    <w:rsid w:val="00846E77"/>
    <w:rsid w:val="00847E4D"/>
    <w:rsid w:val="00850225"/>
    <w:rsid w:val="008504C5"/>
    <w:rsid w:val="0085299F"/>
    <w:rsid w:val="008530FA"/>
    <w:rsid w:val="00854F16"/>
    <w:rsid w:val="008558D5"/>
    <w:rsid w:val="00855ED6"/>
    <w:rsid w:val="00856F03"/>
    <w:rsid w:val="008614F1"/>
    <w:rsid w:val="0086281C"/>
    <w:rsid w:val="00862AF9"/>
    <w:rsid w:val="00862E23"/>
    <w:rsid w:val="00863AB2"/>
    <w:rsid w:val="00864378"/>
    <w:rsid w:val="008648E5"/>
    <w:rsid w:val="00864B0C"/>
    <w:rsid w:val="00866386"/>
    <w:rsid w:val="008667F5"/>
    <w:rsid w:val="00866F8A"/>
    <w:rsid w:val="00867172"/>
    <w:rsid w:val="00867C36"/>
    <w:rsid w:val="00867E54"/>
    <w:rsid w:val="00867FBE"/>
    <w:rsid w:val="00871C45"/>
    <w:rsid w:val="00871CE8"/>
    <w:rsid w:val="0087258E"/>
    <w:rsid w:val="00872673"/>
    <w:rsid w:val="0087344F"/>
    <w:rsid w:val="00875E28"/>
    <w:rsid w:val="008764D5"/>
    <w:rsid w:val="008771B4"/>
    <w:rsid w:val="00881016"/>
    <w:rsid w:val="008810E8"/>
    <w:rsid w:val="00882F2E"/>
    <w:rsid w:val="00885A0E"/>
    <w:rsid w:val="008900C1"/>
    <w:rsid w:val="00891901"/>
    <w:rsid w:val="0089306C"/>
    <w:rsid w:val="0089381A"/>
    <w:rsid w:val="00893CD2"/>
    <w:rsid w:val="00894CB4"/>
    <w:rsid w:val="00896928"/>
    <w:rsid w:val="00897746"/>
    <w:rsid w:val="008A00E8"/>
    <w:rsid w:val="008A1DA0"/>
    <w:rsid w:val="008A237F"/>
    <w:rsid w:val="008A3164"/>
    <w:rsid w:val="008A3344"/>
    <w:rsid w:val="008A4271"/>
    <w:rsid w:val="008A5710"/>
    <w:rsid w:val="008A5D0C"/>
    <w:rsid w:val="008A5F79"/>
    <w:rsid w:val="008A6207"/>
    <w:rsid w:val="008B0E2D"/>
    <w:rsid w:val="008B1CE2"/>
    <w:rsid w:val="008B286D"/>
    <w:rsid w:val="008B2E5D"/>
    <w:rsid w:val="008B4252"/>
    <w:rsid w:val="008B57E7"/>
    <w:rsid w:val="008B63FD"/>
    <w:rsid w:val="008B6CA5"/>
    <w:rsid w:val="008B6EC6"/>
    <w:rsid w:val="008B6F60"/>
    <w:rsid w:val="008B7325"/>
    <w:rsid w:val="008B7F79"/>
    <w:rsid w:val="008C0532"/>
    <w:rsid w:val="008C06D9"/>
    <w:rsid w:val="008C08D7"/>
    <w:rsid w:val="008C288E"/>
    <w:rsid w:val="008C2F0E"/>
    <w:rsid w:val="008C3484"/>
    <w:rsid w:val="008C381D"/>
    <w:rsid w:val="008C4D39"/>
    <w:rsid w:val="008D0237"/>
    <w:rsid w:val="008D025D"/>
    <w:rsid w:val="008D3BF6"/>
    <w:rsid w:val="008D6289"/>
    <w:rsid w:val="008D7E10"/>
    <w:rsid w:val="008E0277"/>
    <w:rsid w:val="008E2680"/>
    <w:rsid w:val="008E2C7F"/>
    <w:rsid w:val="008E3352"/>
    <w:rsid w:val="008E36C6"/>
    <w:rsid w:val="008E472F"/>
    <w:rsid w:val="008E4DF6"/>
    <w:rsid w:val="008E5598"/>
    <w:rsid w:val="008E58F6"/>
    <w:rsid w:val="008E5AE1"/>
    <w:rsid w:val="008E6105"/>
    <w:rsid w:val="008E6B53"/>
    <w:rsid w:val="008E71E9"/>
    <w:rsid w:val="008E75F9"/>
    <w:rsid w:val="008F0BA3"/>
    <w:rsid w:val="008F1D44"/>
    <w:rsid w:val="008F252C"/>
    <w:rsid w:val="008F282B"/>
    <w:rsid w:val="008F421D"/>
    <w:rsid w:val="008F4768"/>
    <w:rsid w:val="008F4B0B"/>
    <w:rsid w:val="008F4C34"/>
    <w:rsid w:val="008F5066"/>
    <w:rsid w:val="008F54A0"/>
    <w:rsid w:val="008F5E53"/>
    <w:rsid w:val="008F5EC9"/>
    <w:rsid w:val="008F6807"/>
    <w:rsid w:val="008F6C24"/>
    <w:rsid w:val="008F6E30"/>
    <w:rsid w:val="008F6FF0"/>
    <w:rsid w:val="008F751B"/>
    <w:rsid w:val="00900F8E"/>
    <w:rsid w:val="0090100C"/>
    <w:rsid w:val="00901A00"/>
    <w:rsid w:val="0090555B"/>
    <w:rsid w:val="00906AC5"/>
    <w:rsid w:val="009072A5"/>
    <w:rsid w:val="009075D0"/>
    <w:rsid w:val="009100E6"/>
    <w:rsid w:val="00910232"/>
    <w:rsid w:val="00910ED9"/>
    <w:rsid w:val="00911A53"/>
    <w:rsid w:val="00912B21"/>
    <w:rsid w:val="00913EE1"/>
    <w:rsid w:val="009142E0"/>
    <w:rsid w:val="00914B61"/>
    <w:rsid w:val="00915296"/>
    <w:rsid w:val="00915548"/>
    <w:rsid w:val="00916495"/>
    <w:rsid w:val="009164FD"/>
    <w:rsid w:val="009179D1"/>
    <w:rsid w:val="00921F9D"/>
    <w:rsid w:val="00923930"/>
    <w:rsid w:val="00926099"/>
    <w:rsid w:val="009275F5"/>
    <w:rsid w:val="00931C48"/>
    <w:rsid w:val="00932079"/>
    <w:rsid w:val="00934BD2"/>
    <w:rsid w:val="0093573C"/>
    <w:rsid w:val="00935C45"/>
    <w:rsid w:val="009408EC"/>
    <w:rsid w:val="00940F11"/>
    <w:rsid w:val="00942742"/>
    <w:rsid w:val="00942A45"/>
    <w:rsid w:val="00944EC2"/>
    <w:rsid w:val="00951228"/>
    <w:rsid w:val="009520FE"/>
    <w:rsid w:val="009534D8"/>
    <w:rsid w:val="00953749"/>
    <w:rsid w:val="00953E18"/>
    <w:rsid w:val="00953E66"/>
    <w:rsid w:val="009549D7"/>
    <w:rsid w:val="00954BE8"/>
    <w:rsid w:val="00954DB3"/>
    <w:rsid w:val="00961BAF"/>
    <w:rsid w:val="009621F9"/>
    <w:rsid w:val="009629B5"/>
    <w:rsid w:val="00962B7D"/>
    <w:rsid w:val="009661DB"/>
    <w:rsid w:val="00966518"/>
    <w:rsid w:val="00966778"/>
    <w:rsid w:val="009669D6"/>
    <w:rsid w:val="00970BBD"/>
    <w:rsid w:val="0097149D"/>
    <w:rsid w:val="009741A9"/>
    <w:rsid w:val="00976AFF"/>
    <w:rsid w:val="0098000F"/>
    <w:rsid w:val="00980D4F"/>
    <w:rsid w:val="00980E93"/>
    <w:rsid w:val="00983DF4"/>
    <w:rsid w:val="009856D9"/>
    <w:rsid w:val="009871BF"/>
    <w:rsid w:val="00987553"/>
    <w:rsid w:val="00990238"/>
    <w:rsid w:val="00990E46"/>
    <w:rsid w:val="009912CE"/>
    <w:rsid w:val="00991E49"/>
    <w:rsid w:val="0099279D"/>
    <w:rsid w:val="00992B5F"/>
    <w:rsid w:val="00994ABB"/>
    <w:rsid w:val="00995141"/>
    <w:rsid w:val="009970D2"/>
    <w:rsid w:val="00997A66"/>
    <w:rsid w:val="00997F6B"/>
    <w:rsid w:val="009A18A2"/>
    <w:rsid w:val="009A3512"/>
    <w:rsid w:val="009A3F77"/>
    <w:rsid w:val="009A5A9F"/>
    <w:rsid w:val="009A5CBF"/>
    <w:rsid w:val="009B1DC3"/>
    <w:rsid w:val="009B314D"/>
    <w:rsid w:val="009B342D"/>
    <w:rsid w:val="009B4169"/>
    <w:rsid w:val="009B43BE"/>
    <w:rsid w:val="009C1DD7"/>
    <w:rsid w:val="009C375D"/>
    <w:rsid w:val="009C6D45"/>
    <w:rsid w:val="009D03B2"/>
    <w:rsid w:val="009D0753"/>
    <w:rsid w:val="009D203B"/>
    <w:rsid w:val="009D2A45"/>
    <w:rsid w:val="009D34CE"/>
    <w:rsid w:val="009D3748"/>
    <w:rsid w:val="009D488D"/>
    <w:rsid w:val="009E039F"/>
    <w:rsid w:val="009E2B46"/>
    <w:rsid w:val="009E2FA6"/>
    <w:rsid w:val="009E3C6B"/>
    <w:rsid w:val="009E3FF4"/>
    <w:rsid w:val="009E4F68"/>
    <w:rsid w:val="009E61D4"/>
    <w:rsid w:val="009E79BD"/>
    <w:rsid w:val="009F0345"/>
    <w:rsid w:val="009F03DF"/>
    <w:rsid w:val="009F0D7B"/>
    <w:rsid w:val="009F1794"/>
    <w:rsid w:val="009F20D6"/>
    <w:rsid w:val="009F295B"/>
    <w:rsid w:val="009F4BBB"/>
    <w:rsid w:val="009F53B3"/>
    <w:rsid w:val="009F68F0"/>
    <w:rsid w:val="00A00071"/>
    <w:rsid w:val="00A00832"/>
    <w:rsid w:val="00A0084E"/>
    <w:rsid w:val="00A01D6C"/>
    <w:rsid w:val="00A02A6E"/>
    <w:rsid w:val="00A10FB7"/>
    <w:rsid w:val="00A10FE5"/>
    <w:rsid w:val="00A13E3B"/>
    <w:rsid w:val="00A13FAF"/>
    <w:rsid w:val="00A1464D"/>
    <w:rsid w:val="00A14A79"/>
    <w:rsid w:val="00A2013E"/>
    <w:rsid w:val="00A20DA0"/>
    <w:rsid w:val="00A20F6F"/>
    <w:rsid w:val="00A21188"/>
    <w:rsid w:val="00A21299"/>
    <w:rsid w:val="00A215D8"/>
    <w:rsid w:val="00A24769"/>
    <w:rsid w:val="00A25A71"/>
    <w:rsid w:val="00A26F46"/>
    <w:rsid w:val="00A278B5"/>
    <w:rsid w:val="00A27922"/>
    <w:rsid w:val="00A34495"/>
    <w:rsid w:val="00A34673"/>
    <w:rsid w:val="00A349FE"/>
    <w:rsid w:val="00A34AFC"/>
    <w:rsid w:val="00A35870"/>
    <w:rsid w:val="00A3597F"/>
    <w:rsid w:val="00A37753"/>
    <w:rsid w:val="00A37828"/>
    <w:rsid w:val="00A431CD"/>
    <w:rsid w:val="00A4349A"/>
    <w:rsid w:val="00A43662"/>
    <w:rsid w:val="00A44AF3"/>
    <w:rsid w:val="00A466D2"/>
    <w:rsid w:val="00A474D7"/>
    <w:rsid w:val="00A47759"/>
    <w:rsid w:val="00A47A00"/>
    <w:rsid w:val="00A5051C"/>
    <w:rsid w:val="00A5222B"/>
    <w:rsid w:val="00A524CA"/>
    <w:rsid w:val="00A530B4"/>
    <w:rsid w:val="00A53E55"/>
    <w:rsid w:val="00A542E2"/>
    <w:rsid w:val="00A543F8"/>
    <w:rsid w:val="00A54BB4"/>
    <w:rsid w:val="00A56561"/>
    <w:rsid w:val="00A56FFA"/>
    <w:rsid w:val="00A60B1C"/>
    <w:rsid w:val="00A61691"/>
    <w:rsid w:val="00A6373A"/>
    <w:rsid w:val="00A63D06"/>
    <w:rsid w:val="00A6429D"/>
    <w:rsid w:val="00A645B4"/>
    <w:rsid w:val="00A654B4"/>
    <w:rsid w:val="00A66EDC"/>
    <w:rsid w:val="00A67AF4"/>
    <w:rsid w:val="00A7186C"/>
    <w:rsid w:val="00A71C1A"/>
    <w:rsid w:val="00A71D26"/>
    <w:rsid w:val="00A73E02"/>
    <w:rsid w:val="00A73ECA"/>
    <w:rsid w:val="00A75574"/>
    <w:rsid w:val="00A7593C"/>
    <w:rsid w:val="00A75CC1"/>
    <w:rsid w:val="00A7670D"/>
    <w:rsid w:val="00A8164A"/>
    <w:rsid w:val="00A82069"/>
    <w:rsid w:val="00A835FD"/>
    <w:rsid w:val="00A83CB0"/>
    <w:rsid w:val="00A83F0F"/>
    <w:rsid w:val="00A83F1A"/>
    <w:rsid w:val="00A84550"/>
    <w:rsid w:val="00A84F85"/>
    <w:rsid w:val="00A8563C"/>
    <w:rsid w:val="00A85B0A"/>
    <w:rsid w:val="00A86BA1"/>
    <w:rsid w:val="00A877EB"/>
    <w:rsid w:val="00A87A8C"/>
    <w:rsid w:val="00A87C0C"/>
    <w:rsid w:val="00A90368"/>
    <w:rsid w:val="00A90EE4"/>
    <w:rsid w:val="00A91121"/>
    <w:rsid w:val="00A91D2F"/>
    <w:rsid w:val="00A9204E"/>
    <w:rsid w:val="00A93466"/>
    <w:rsid w:val="00A93779"/>
    <w:rsid w:val="00A94DE4"/>
    <w:rsid w:val="00A95047"/>
    <w:rsid w:val="00A95833"/>
    <w:rsid w:val="00A95850"/>
    <w:rsid w:val="00A968C8"/>
    <w:rsid w:val="00A97467"/>
    <w:rsid w:val="00AA09A9"/>
    <w:rsid w:val="00AA1E95"/>
    <w:rsid w:val="00AA2E40"/>
    <w:rsid w:val="00AA4531"/>
    <w:rsid w:val="00AA5660"/>
    <w:rsid w:val="00AA5AE1"/>
    <w:rsid w:val="00AB12D6"/>
    <w:rsid w:val="00AB15BC"/>
    <w:rsid w:val="00AB3CEE"/>
    <w:rsid w:val="00AB45CB"/>
    <w:rsid w:val="00AB5D53"/>
    <w:rsid w:val="00AB6330"/>
    <w:rsid w:val="00AC4127"/>
    <w:rsid w:val="00AC465F"/>
    <w:rsid w:val="00AC6541"/>
    <w:rsid w:val="00AD051E"/>
    <w:rsid w:val="00AD0781"/>
    <w:rsid w:val="00AD096A"/>
    <w:rsid w:val="00AD0C76"/>
    <w:rsid w:val="00AD20F1"/>
    <w:rsid w:val="00AD3548"/>
    <w:rsid w:val="00AD3BEB"/>
    <w:rsid w:val="00AD4DD0"/>
    <w:rsid w:val="00AD5E27"/>
    <w:rsid w:val="00AD6D0E"/>
    <w:rsid w:val="00AE1747"/>
    <w:rsid w:val="00AE1815"/>
    <w:rsid w:val="00AE1867"/>
    <w:rsid w:val="00AE265D"/>
    <w:rsid w:val="00AE33E4"/>
    <w:rsid w:val="00AE5E3B"/>
    <w:rsid w:val="00AE6E8E"/>
    <w:rsid w:val="00AE794B"/>
    <w:rsid w:val="00AF0A9D"/>
    <w:rsid w:val="00AF17AD"/>
    <w:rsid w:val="00AF1D42"/>
    <w:rsid w:val="00AF2B9B"/>
    <w:rsid w:val="00AF4DD1"/>
    <w:rsid w:val="00B00083"/>
    <w:rsid w:val="00B00D35"/>
    <w:rsid w:val="00B016CA"/>
    <w:rsid w:val="00B01E76"/>
    <w:rsid w:val="00B02741"/>
    <w:rsid w:val="00B028B8"/>
    <w:rsid w:val="00B1019F"/>
    <w:rsid w:val="00B1029B"/>
    <w:rsid w:val="00B103E8"/>
    <w:rsid w:val="00B1057B"/>
    <w:rsid w:val="00B138E7"/>
    <w:rsid w:val="00B1439E"/>
    <w:rsid w:val="00B153AA"/>
    <w:rsid w:val="00B15F7A"/>
    <w:rsid w:val="00B161C3"/>
    <w:rsid w:val="00B218D3"/>
    <w:rsid w:val="00B21C9A"/>
    <w:rsid w:val="00B22DF2"/>
    <w:rsid w:val="00B236CC"/>
    <w:rsid w:val="00B24F94"/>
    <w:rsid w:val="00B257A7"/>
    <w:rsid w:val="00B258D5"/>
    <w:rsid w:val="00B265C0"/>
    <w:rsid w:val="00B275C0"/>
    <w:rsid w:val="00B278E3"/>
    <w:rsid w:val="00B3201E"/>
    <w:rsid w:val="00B323F1"/>
    <w:rsid w:val="00B3266B"/>
    <w:rsid w:val="00B32B3D"/>
    <w:rsid w:val="00B3432A"/>
    <w:rsid w:val="00B3489E"/>
    <w:rsid w:val="00B360C1"/>
    <w:rsid w:val="00B360EB"/>
    <w:rsid w:val="00B3687A"/>
    <w:rsid w:val="00B37080"/>
    <w:rsid w:val="00B37125"/>
    <w:rsid w:val="00B37560"/>
    <w:rsid w:val="00B41ADF"/>
    <w:rsid w:val="00B42239"/>
    <w:rsid w:val="00B42E64"/>
    <w:rsid w:val="00B435A1"/>
    <w:rsid w:val="00B436C7"/>
    <w:rsid w:val="00B448BF"/>
    <w:rsid w:val="00B454DF"/>
    <w:rsid w:val="00B45B93"/>
    <w:rsid w:val="00B45F66"/>
    <w:rsid w:val="00B47903"/>
    <w:rsid w:val="00B47D15"/>
    <w:rsid w:val="00B50D17"/>
    <w:rsid w:val="00B51C75"/>
    <w:rsid w:val="00B51EFE"/>
    <w:rsid w:val="00B524BE"/>
    <w:rsid w:val="00B52C9E"/>
    <w:rsid w:val="00B53874"/>
    <w:rsid w:val="00B53AAE"/>
    <w:rsid w:val="00B57245"/>
    <w:rsid w:val="00B61F38"/>
    <w:rsid w:val="00B630F8"/>
    <w:rsid w:val="00B63B63"/>
    <w:rsid w:val="00B6442C"/>
    <w:rsid w:val="00B64E1D"/>
    <w:rsid w:val="00B64FA4"/>
    <w:rsid w:val="00B672F9"/>
    <w:rsid w:val="00B6774C"/>
    <w:rsid w:val="00B71EDA"/>
    <w:rsid w:val="00B7213E"/>
    <w:rsid w:val="00B73377"/>
    <w:rsid w:val="00B73FB5"/>
    <w:rsid w:val="00B75D3F"/>
    <w:rsid w:val="00B76EF2"/>
    <w:rsid w:val="00B77645"/>
    <w:rsid w:val="00B77C98"/>
    <w:rsid w:val="00B814C4"/>
    <w:rsid w:val="00B836A5"/>
    <w:rsid w:val="00B837FB"/>
    <w:rsid w:val="00B855F9"/>
    <w:rsid w:val="00B90292"/>
    <w:rsid w:val="00B921B8"/>
    <w:rsid w:val="00B93143"/>
    <w:rsid w:val="00B93C2C"/>
    <w:rsid w:val="00B94FC8"/>
    <w:rsid w:val="00B96279"/>
    <w:rsid w:val="00BA024F"/>
    <w:rsid w:val="00BA051A"/>
    <w:rsid w:val="00BA106F"/>
    <w:rsid w:val="00BA1501"/>
    <w:rsid w:val="00BA74BF"/>
    <w:rsid w:val="00BB21BD"/>
    <w:rsid w:val="00BB4031"/>
    <w:rsid w:val="00BB41AC"/>
    <w:rsid w:val="00BB5BF9"/>
    <w:rsid w:val="00BB5F22"/>
    <w:rsid w:val="00BB5FAF"/>
    <w:rsid w:val="00BB6030"/>
    <w:rsid w:val="00BB725D"/>
    <w:rsid w:val="00BB7ACE"/>
    <w:rsid w:val="00BB7B77"/>
    <w:rsid w:val="00BC12FF"/>
    <w:rsid w:val="00BC130A"/>
    <w:rsid w:val="00BC39F3"/>
    <w:rsid w:val="00BC5B1F"/>
    <w:rsid w:val="00BC7EB8"/>
    <w:rsid w:val="00BD0FA2"/>
    <w:rsid w:val="00BD0FEB"/>
    <w:rsid w:val="00BD161E"/>
    <w:rsid w:val="00BD163A"/>
    <w:rsid w:val="00BD1E3E"/>
    <w:rsid w:val="00BD20E8"/>
    <w:rsid w:val="00BD28DE"/>
    <w:rsid w:val="00BD42E7"/>
    <w:rsid w:val="00BD4830"/>
    <w:rsid w:val="00BD5B21"/>
    <w:rsid w:val="00BD772C"/>
    <w:rsid w:val="00BE0A1B"/>
    <w:rsid w:val="00BE218F"/>
    <w:rsid w:val="00BE22A3"/>
    <w:rsid w:val="00BE3A35"/>
    <w:rsid w:val="00BE3ED2"/>
    <w:rsid w:val="00BF0137"/>
    <w:rsid w:val="00BF128F"/>
    <w:rsid w:val="00BF129E"/>
    <w:rsid w:val="00BF1BE5"/>
    <w:rsid w:val="00BF2093"/>
    <w:rsid w:val="00BF21D3"/>
    <w:rsid w:val="00BF2CED"/>
    <w:rsid w:val="00BF2EE7"/>
    <w:rsid w:val="00BF3010"/>
    <w:rsid w:val="00BF404C"/>
    <w:rsid w:val="00BF53B1"/>
    <w:rsid w:val="00BF5702"/>
    <w:rsid w:val="00BF63B3"/>
    <w:rsid w:val="00BF6D7E"/>
    <w:rsid w:val="00BF6EF7"/>
    <w:rsid w:val="00C000A8"/>
    <w:rsid w:val="00C000E0"/>
    <w:rsid w:val="00C03E0F"/>
    <w:rsid w:val="00C04110"/>
    <w:rsid w:val="00C05112"/>
    <w:rsid w:val="00C07313"/>
    <w:rsid w:val="00C076E1"/>
    <w:rsid w:val="00C126DD"/>
    <w:rsid w:val="00C12FA9"/>
    <w:rsid w:val="00C140A5"/>
    <w:rsid w:val="00C16CAC"/>
    <w:rsid w:val="00C16ED9"/>
    <w:rsid w:val="00C174C3"/>
    <w:rsid w:val="00C17537"/>
    <w:rsid w:val="00C20739"/>
    <w:rsid w:val="00C22549"/>
    <w:rsid w:val="00C23B54"/>
    <w:rsid w:val="00C245C5"/>
    <w:rsid w:val="00C24CD9"/>
    <w:rsid w:val="00C257A2"/>
    <w:rsid w:val="00C26432"/>
    <w:rsid w:val="00C276B9"/>
    <w:rsid w:val="00C27793"/>
    <w:rsid w:val="00C3228B"/>
    <w:rsid w:val="00C327FA"/>
    <w:rsid w:val="00C32D22"/>
    <w:rsid w:val="00C33FF3"/>
    <w:rsid w:val="00C34FBA"/>
    <w:rsid w:val="00C35525"/>
    <w:rsid w:val="00C35DFD"/>
    <w:rsid w:val="00C361E9"/>
    <w:rsid w:val="00C36E4D"/>
    <w:rsid w:val="00C37AA4"/>
    <w:rsid w:val="00C37C01"/>
    <w:rsid w:val="00C404D6"/>
    <w:rsid w:val="00C412F8"/>
    <w:rsid w:val="00C42A9F"/>
    <w:rsid w:val="00C4404F"/>
    <w:rsid w:val="00C45122"/>
    <w:rsid w:val="00C46006"/>
    <w:rsid w:val="00C464B1"/>
    <w:rsid w:val="00C46A75"/>
    <w:rsid w:val="00C46B7D"/>
    <w:rsid w:val="00C5292B"/>
    <w:rsid w:val="00C52E28"/>
    <w:rsid w:val="00C5307B"/>
    <w:rsid w:val="00C530A6"/>
    <w:rsid w:val="00C5359E"/>
    <w:rsid w:val="00C5385D"/>
    <w:rsid w:val="00C53CF7"/>
    <w:rsid w:val="00C5451C"/>
    <w:rsid w:val="00C54947"/>
    <w:rsid w:val="00C54BE3"/>
    <w:rsid w:val="00C55749"/>
    <w:rsid w:val="00C55C19"/>
    <w:rsid w:val="00C5692C"/>
    <w:rsid w:val="00C56EC4"/>
    <w:rsid w:val="00C57353"/>
    <w:rsid w:val="00C60162"/>
    <w:rsid w:val="00C6073A"/>
    <w:rsid w:val="00C61871"/>
    <w:rsid w:val="00C62615"/>
    <w:rsid w:val="00C70879"/>
    <w:rsid w:val="00C70B38"/>
    <w:rsid w:val="00C712EE"/>
    <w:rsid w:val="00C719DD"/>
    <w:rsid w:val="00C7254D"/>
    <w:rsid w:val="00C731FF"/>
    <w:rsid w:val="00C73C6C"/>
    <w:rsid w:val="00C747B8"/>
    <w:rsid w:val="00C77589"/>
    <w:rsid w:val="00C77BFA"/>
    <w:rsid w:val="00C80019"/>
    <w:rsid w:val="00C80324"/>
    <w:rsid w:val="00C807CB"/>
    <w:rsid w:val="00C8227C"/>
    <w:rsid w:val="00C82A0E"/>
    <w:rsid w:val="00C83973"/>
    <w:rsid w:val="00C84CE6"/>
    <w:rsid w:val="00C84D4F"/>
    <w:rsid w:val="00C85569"/>
    <w:rsid w:val="00C85C33"/>
    <w:rsid w:val="00C867C3"/>
    <w:rsid w:val="00C8728D"/>
    <w:rsid w:val="00C91576"/>
    <w:rsid w:val="00C927FA"/>
    <w:rsid w:val="00C92948"/>
    <w:rsid w:val="00C96735"/>
    <w:rsid w:val="00C96A07"/>
    <w:rsid w:val="00C9734A"/>
    <w:rsid w:val="00CA0E26"/>
    <w:rsid w:val="00CA25FF"/>
    <w:rsid w:val="00CA461F"/>
    <w:rsid w:val="00CA550E"/>
    <w:rsid w:val="00CA6612"/>
    <w:rsid w:val="00CA6A35"/>
    <w:rsid w:val="00CA6DD3"/>
    <w:rsid w:val="00CA6E61"/>
    <w:rsid w:val="00CA70D4"/>
    <w:rsid w:val="00CB12FF"/>
    <w:rsid w:val="00CB3186"/>
    <w:rsid w:val="00CB321B"/>
    <w:rsid w:val="00CB3C24"/>
    <w:rsid w:val="00CB59CD"/>
    <w:rsid w:val="00CB62A7"/>
    <w:rsid w:val="00CB6657"/>
    <w:rsid w:val="00CC09DA"/>
    <w:rsid w:val="00CC0A80"/>
    <w:rsid w:val="00CC28C9"/>
    <w:rsid w:val="00CC2B46"/>
    <w:rsid w:val="00CC31A3"/>
    <w:rsid w:val="00CC36A5"/>
    <w:rsid w:val="00CC5E3D"/>
    <w:rsid w:val="00CC6BC1"/>
    <w:rsid w:val="00CC6C71"/>
    <w:rsid w:val="00CD03DC"/>
    <w:rsid w:val="00CD0410"/>
    <w:rsid w:val="00CD052E"/>
    <w:rsid w:val="00CD0B4B"/>
    <w:rsid w:val="00CD25B4"/>
    <w:rsid w:val="00CD51EC"/>
    <w:rsid w:val="00CD6141"/>
    <w:rsid w:val="00CD6409"/>
    <w:rsid w:val="00CD6F19"/>
    <w:rsid w:val="00CD7593"/>
    <w:rsid w:val="00CD77B9"/>
    <w:rsid w:val="00CE0B8D"/>
    <w:rsid w:val="00CE2480"/>
    <w:rsid w:val="00CE25B7"/>
    <w:rsid w:val="00CE4FA8"/>
    <w:rsid w:val="00CE5A5C"/>
    <w:rsid w:val="00CF0E34"/>
    <w:rsid w:val="00CF1501"/>
    <w:rsid w:val="00CF2185"/>
    <w:rsid w:val="00CF2715"/>
    <w:rsid w:val="00CF2F32"/>
    <w:rsid w:val="00CF3CB9"/>
    <w:rsid w:val="00CF5B3D"/>
    <w:rsid w:val="00CF6D30"/>
    <w:rsid w:val="00CF6E6F"/>
    <w:rsid w:val="00CF6FD2"/>
    <w:rsid w:val="00CF7569"/>
    <w:rsid w:val="00CF77A8"/>
    <w:rsid w:val="00D00BC0"/>
    <w:rsid w:val="00D0125D"/>
    <w:rsid w:val="00D03FAC"/>
    <w:rsid w:val="00D048A6"/>
    <w:rsid w:val="00D04CFF"/>
    <w:rsid w:val="00D056C6"/>
    <w:rsid w:val="00D0591B"/>
    <w:rsid w:val="00D05EE5"/>
    <w:rsid w:val="00D0648D"/>
    <w:rsid w:val="00D1146D"/>
    <w:rsid w:val="00D1194D"/>
    <w:rsid w:val="00D11AB6"/>
    <w:rsid w:val="00D139F4"/>
    <w:rsid w:val="00D13AB5"/>
    <w:rsid w:val="00D13C5E"/>
    <w:rsid w:val="00D13CC2"/>
    <w:rsid w:val="00D13D55"/>
    <w:rsid w:val="00D1419C"/>
    <w:rsid w:val="00D14299"/>
    <w:rsid w:val="00D17259"/>
    <w:rsid w:val="00D20219"/>
    <w:rsid w:val="00D2037D"/>
    <w:rsid w:val="00D206A0"/>
    <w:rsid w:val="00D21BA0"/>
    <w:rsid w:val="00D22713"/>
    <w:rsid w:val="00D2371F"/>
    <w:rsid w:val="00D2450C"/>
    <w:rsid w:val="00D24FDF"/>
    <w:rsid w:val="00D269ED"/>
    <w:rsid w:val="00D26F35"/>
    <w:rsid w:val="00D3038E"/>
    <w:rsid w:val="00D33AA4"/>
    <w:rsid w:val="00D33FE0"/>
    <w:rsid w:val="00D33FF6"/>
    <w:rsid w:val="00D34C44"/>
    <w:rsid w:val="00D34DA9"/>
    <w:rsid w:val="00D35FB8"/>
    <w:rsid w:val="00D36914"/>
    <w:rsid w:val="00D4062E"/>
    <w:rsid w:val="00D41655"/>
    <w:rsid w:val="00D424BA"/>
    <w:rsid w:val="00D42ABC"/>
    <w:rsid w:val="00D451E8"/>
    <w:rsid w:val="00D4520F"/>
    <w:rsid w:val="00D454CE"/>
    <w:rsid w:val="00D4671A"/>
    <w:rsid w:val="00D4707D"/>
    <w:rsid w:val="00D4796B"/>
    <w:rsid w:val="00D51518"/>
    <w:rsid w:val="00D51F05"/>
    <w:rsid w:val="00D538D6"/>
    <w:rsid w:val="00D543EC"/>
    <w:rsid w:val="00D55416"/>
    <w:rsid w:val="00D555B0"/>
    <w:rsid w:val="00D55E35"/>
    <w:rsid w:val="00D56939"/>
    <w:rsid w:val="00D61E0B"/>
    <w:rsid w:val="00D63300"/>
    <w:rsid w:val="00D63A1A"/>
    <w:rsid w:val="00D6400B"/>
    <w:rsid w:val="00D64961"/>
    <w:rsid w:val="00D64E3A"/>
    <w:rsid w:val="00D66E7A"/>
    <w:rsid w:val="00D67198"/>
    <w:rsid w:val="00D701A5"/>
    <w:rsid w:val="00D71864"/>
    <w:rsid w:val="00D71AE0"/>
    <w:rsid w:val="00D72023"/>
    <w:rsid w:val="00D724B1"/>
    <w:rsid w:val="00D747CD"/>
    <w:rsid w:val="00D74A15"/>
    <w:rsid w:val="00D75003"/>
    <w:rsid w:val="00D7586A"/>
    <w:rsid w:val="00D75B9E"/>
    <w:rsid w:val="00D768A0"/>
    <w:rsid w:val="00D7788E"/>
    <w:rsid w:val="00D77936"/>
    <w:rsid w:val="00D814E7"/>
    <w:rsid w:val="00D9073B"/>
    <w:rsid w:val="00D92766"/>
    <w:rsid w:val="00D92D5C"/>
    <w:rsid w:val="00D93608"/>
    <w:rsid w:val="00D93BD5"/>
    <w:rsid w:val="00D95366"/>
    <w:rsid w:val="00D95F62"/>
    <w:rsid w:val="00D963B6"/>
    <w:rsid w:val="00D97976"/>
    <w:rsid w:val="00D97AC6"/>
    <w:rsid w:val="00DA0C92"/>
    <w:rsid w:val="00DA11ED"/>
    <w:rsid w:val="00DA1D75"/>
    <w:rsid w:val="00DA1E9C"/>
    <w:rsid w:val="00DA28C3"/>
    <w:rsid w:val="00DA2E2C"/>
    <w:rsid w:val="00DA2F83"/>
    <w:rsid w:val="00DA3285"/>
    <w:rsid w:val="00DA4411"/>
    <w:rsid w:val="00DA4419"/>
    <w:rsid w:val="00DA5362"/>
    <w:rsid w:val="00DA640D"/>
    <w:rsid w:val="00DA69F5"/>
    <w:rsid w:val="00DA71A9"/>
    <w:rsid w:val="00DB00EC"/>
    <w:rsid w:val="00DB046C"/>
    <w:rsid w:val="00DB06DF"/>
    <w:rsid w:val="00DB0CBC"/>
    <w:rsid w:val="00DB1A42"/>
    <w:rsid w:val="00DB1DEA"/>
    <w:rsid w:val="00DB2CB1"/>
    <w:rsid w:val="00DB2FCD"/>
    <w:rsid w:val="00DB3935"/>
    <w:rsid w:val="00DB69C1"/>
    <w:rsid w:val="00DB7835"/>
    <w:rsid w:val="00DC115E"/>
    <w:rsid w:val="00DC3155"/>
    <w:rsid w:val="00DC35D7"/>
    <w:rsid w:val="00DC3630"/>
    <w:rsid w:val="00DC4167"/>
    <w:rsid w:val="00DC4519"/>
    <w:rsid w:val="00DC580A"/>
    <w:rsid w:val="00DC5B41"/>
    <w:rsid w:val="00DC6BF9"/>
    <w:rsid w:val="00DC7042"/>
    <w:rsid w:val="00DC7404"/>
    <w:rsid w:val="00DD19E6"/>
    <w:rsid w:val="00DD39E6"/>
    <w:rsid w:val="00DD3F8D"/>
    <w:rsid w:val="00DD4D50"/>
    <w:rsid w:val="00DD5005"/>
    <w:rsid w:val="00DD620D"/>
    <w:rsid w:val="00DE2187"/>
    <w:rsid w:val="00DE333C"/>
    <w:rsid w:val="00DE3857"/>
    <w:rsid w:val="00DE4A88"/>
    <w:rsid w:val="00DE56D7"/>
    <w:rsid w:val="00DE5AFB"/>
    <w:rsid w:val="00DE5D39"/>
    <w:rsid w:val="00DE5E84"/>
    <w:rsid w:val="00DE6820"/>
    <w:rsid w:val="00DE72D3"/>
    <w:rsid w:val="00DE77F6"/>
    <w:rsid w:val="00DE7B2C"/>
    <w:rsid w:val="00DF171A"/>
    <w:rsid w:val="00DF1884"/>
    <w:rsid w:val="00DF3C0D"/>
    <w:rsid w:val="00DF43C7"/>
    <w:rsid w:val="00DF496A"/>
    <w:rsid w:val="00DF58DC"/>
    <w:rsid w:val="00DF5A36"/>
    <w:rsid w:val="00DF7800"/>
    <w:rsid w:val="00DF7C71"/>
    <w:rsid w:val="00DF7CFF"/>
    <w:rsid w:val="00E0027C"/>
    <w:rsid w:val="00E05EF4"/>
    <w:rsid w:val="00E0607D"/>
    <w:rsid w:val="00E06D25"/>
    <w:rsid w:val="00E06EF8"/>
    <w:rsid w:val="00E07C5F"/>
    <w:rsid w:val="00E109D1"/>
    <w:rsid w:val="00E10A6B"/>
    <w:rsid w:val="00E10D05"/>
    <w:rsid w:val="00E11D5B"/>
    <w:rsid w:val="00E12BC9"/>
    <w:rsid w:val="00E13F94"/>
    <w:rsid w:val="00E14990"/>
    <w:rsid w:val="00E14AC1"/>
    <w:rsid w:val="00E14DFA"/>
    <w:rsid w:val="00E157EB"/>
    <w:rsid w:val="00E15F94"/>
    <w:rsid w:val="00E1610A"/>
    <w:rsid w:val="00E16A5A"/>
    <w:rsid w:val="00E16CF1"/>
    <w:rsid w:val="00E174E9"/>
    <w:rsid w:val="00E21A5F"/>
    <w:rsid w:val="00E2219B"/>
    <w:rsid w:val="00E230A4"/>
    <w:rsid w:val="00E26B98"/>
    <w:rsid w:val="00E26C1C"/>
    <w:rsid w:val="00E26C9B"/>
    <w:rsid w:val="00E27ABD"/>
    <w:rsid w:val="00E27EAE"/>
    <w:rsid w:val="00E3075B"/>
    <w:rsid w:val="00E32881"/>
    <w:rsid w:val="00E3782A"/>
    <w:rsid w:val="00E3783C"/>
    <w:rsid w:val="00E45D8E"/>
    <w:rsid w:val="00E45EC8"/>
    <w:rsid w:val="00E51E23"/>
    <w:rsid w:val="00E55B47"/>
    <w:rsid w:val="00E63E64"/>
    <w:rsid w:val="00E66F3B"/>
    <w:rsid w:val="00E674D2"/>
    <w:rsid w:val="00E71070"/>
    <w:rsid w:val="00E7179D"/>
    <w:rsid w:val="00E72BCF"/>
    <w:rsid w:val="00E73C14"/>
    <w:rsid w:val="00E73C55"/>
    <w:rsid w:val="00E745A6"/>
    <w:rsid w:val="00E747E1"/>
    <w:rsid w:val="00E75021"/>
    <w:rsid w:val="00E76184"/>
    <w:rsid w:val="00E771E0"/>
    <w:rsid w:val="00E77C08"/>
    <w:rsid w:val="00E80520"/>
    <w:rsid w:val="00E81743"/>
    <w:rsid w:val="00E822DB"/>
    <w:rsid w:val="00E834AF"/>
    <w:rsid w:val="00E8465B"/>
    <w:rsid w:val="00E84A94"/>
    <w:rsid w:val="00E84FB3"/>
    <w:rsid w:val="00E8517B"/>
    <w:rsid w:val="00E851FF"/>
    <w:rsid w:val="00E86769"/>
    <w:rsid w:val="00E86809"/>
    <w:rsid w:val="00E86E0A"/>
    <w:rsid w:val="00E90C70"/>
    <w:rsid w:val="00E90EAA"/>
    <w:rsid w:val="00E920AA"/>
    <w:rsid w:val="00E92B81"/>
    <w:rsid w:val="00E92F51"/>
    <w:rsid w:val="00E93BA5"/>
    <w:rsid w:val="00E94E2A"/>
    <w:rsid w:val="00E95CAC"/>
    <w:rsid w:val="00E95CF1"/>
    <w:rsid w:val="00E96810"/>
    <w:rsid w:val="00E97008"/>
    <w:rsid w:val="00E97A63"/>
    <w:rsid w:val="00E97A88"/>
    <w:rsid w:val="00EA06E6"/>
    <w:rsid w:val="00EA1EF4"/>
    <w:rsid w:val="00EA20DE"/>
    <w:rsid w:val="00EA2507"/>
    <w:rsid w:val="00EA377F"/>
    <w:rsid w:val="00EA3FD3"/>
    <w:rsid w:val="00EA45F4"/>
    <w:rsid w:val="00EA4B5D"/>
    <w:rsid w:val="00EA4DEC"/>
    <w:rsid w:val="00EA5B4A"/>
    <w:rsid w:val="00EA624D"/>
    <w:rsid w:val="00EB004A"/>
    <w:rsid w:val="00EB0188"/>
    <w:rsid w:val="00EB04DF"/>
    <w:rsid w:val="00EB22AF"/>
    <w:rsid w:val="00EB2C63"/>
    <w:rsid w:val="00EB4B13"/>
    <w:rsid w:val="00EB55D1"/>
    <w:rsid w:val="00EB61A0"/>
    <w:rsid w:val="00EB709B"/>
    <w:rsid w:val="00EC037B"/>
    <w:rsid w:val="00EC3942"/>
    <w:rsid w:val="00EC5815"/>
    <w:rsid w:val="00EC5989"/>
    <w:rsid w:val="00EC6F27"/>
    <w:rsid w:val="00EC72A2"/>
    <w:rsid w:val="00ED2138"/>
    <w:rsid w:val="00ED2B5D"/>
    <w:rsid w:val="00ED2BF9"/>
    <w:rsid w:val="00ED347E"/>
    <w:rsid w:val="00ED35A4"/>
    <w:rsid w:val="00ED3AF7"/>
    <w:rsid w:val="00ED3F10"/>
    <w:rsid w:val="00ED4625"/>
    <w:rsid w:val="00ED6440"/>
    <w:rsid w:val="00ED726F"/>
    <w:rsid w:val="00ED77A6"/>
    <w:rsid w:val="00EE27C2"/>
    <w:rsid w:val="00EE2D12"/>
    <w:rsid w:val="00EE3B27"/>
    <w:rsid w:val="00EE3E46"/>
    <w:rsid w:val="00EE3EC6"/>
    <w:rsid w:val="00EE4986"/>
    <w:rsid w:val="00EE5044"/>
    <w:rsid w:val="00EE5590"/>
    <w:rsid w:val="00EF0681"/>
    <w:rsid w:val="00EF0C7B"/>
    <w:rsid w:val="00EF1ADA"/>
    <w:rsid w:val="00EF28A1"/>
    <w:rsid w:val="00EF3DBC"/>
    <w:rsid w:val="00EF3F46"/>
    <w:rsid w:val="00EF42B6"/>
    <w:rsid w:val="00EF42D4"/>
    <w:rsid w:val="00EF4994"/>
    <w:rsid w:val="00EF5406"/>
    <w:rsid w:val="00EF552B"/>
    <w:rsid w:val="00EF6128"/>
    <w:rsid w:val="00EF670F"/>
    <w:rsid w:val="00EF75FC"/>
    <w:rsid w:val="00F02AAD"/>
    <w:rsid w:val="00F033AE"/>
    <w:rsid w:val="00F04ED2"/>
    <w:rsid w:val="00F063FC"/>
    <w:rsid w:val="00F06485"/>
    <w:rsid w:val="00F076D1"/>
    <w:rsid w:val="00F07EC0"/>
    <w:rsid w:val="00F109C5"/>
    <w:rsid w:val="00F10C9C"/>
    <w:rsid w:val="00F10DCF"/>
    <w:rsid w:val="00F128A5"/>
    <w:rsid w:val="00F12B97"/>
    <w:rsid w:val="00F12E62"/>
    <w:rsid w:val="00F12EAD"/>
    <w:rsid w:val="00F13E68"/>
    <w:rsid w:val="00F14A27"/>
    <w:rsid w:val="00F14D27"/>
    <w:rsid w:val="00F1740A"/>
    <w:rsid w:val="00F20F5C"/>
    <w:rsid w:val="00F2210A"/>
    <w:rsid w:val="00F22139"/>
    <w:rsid w:val="00F231D3"/>
    <w:rsid w:val="00F24B1A"/>
    <w:rsid w:val="00F30CB6"/>
    <w:rsid w:val="00F31393"/>
    <w:rsid w:val="00F31C01"/>
    <w:rsid w:val="00F33E08"/>
    <w:rsid w:val="00F340E8"/>
    <w:rsid w:val="00F34101"/>
    <w:rsid w:val="00F344E0"/>
    <w:rsid w:val="00F34E47"/>
    <w:rsid w:val="00F34ECF"/>
    <w:rsid w:val="00F3521B"/>
    <w:rsid w:val="00F40D16"/>
    <w:rsid w:val="00F423CB"/>
    <w:rsid w:val="00F42554"/>
    <w:rsid w:val="00F435FC"/>
    <w:rsid w:val="00F43784"/>
    <w:rsid w:val="00F45D61"/>
    <w:rsid w:val="00F461D0"/>
    <w:rsid w:val="00F51F98"/>
    <w:rsid w:val="00F554E4"/>
    <w:rsid w:val="00F55D99"/>
    <w:rsid w:val="00F55F9A"/>
    <w:rsid w:val="00F57062"/>
    <w:rsid w:val="00F57A6F"/>
    <w:rsid w:val="00F60602"/>
    <w:rsid w:val="00F6091F"/>
    <w:rsid w:val="00F60A1B"/>
    <w:rsid w:val="00F61414"/>
    <w:rsid w:val="00F6199B"/>
    <w:rsid w:val="00F63F30"/>
    <w:rsid w:val="00F6430E"/>
    <w:rsid w:val="00F64EB6"/>
    <w:rsid w:val="00F65F2A"/>
    <w:rsid w:val="00F6640F"/>
    <w:rsid w:val="00F67BAC"/>
    <w:rsid w:val="00F67C43"/>
    <w:rsid w:val="00F707AA"/>
    <w:rsid w:val="00F70CBF"/>
    <w:rsid w:val="00F7159D"/>
    <w:rsid w:val="00F71D5F"/>
    <w:rsid w:val="00F75A59"/>
    <w:rsid w:val="00F774F3"/>
    <w:rsid w:val="00F806AD"/>
    <w:rsid w:val="00F80982"/>
    <w:rsid w:val="00F8190E"/>
    <w:rsid w:val="00F81966"/>
    <w:rsid w:val="00F823E4"/>
    <w:rsid w:val="00F82EC8"/>
    <w:rsid w:val="00F83F8C"/>
    <w:rsid w:val="00F842A1"/>
    <w:rsid w:val="00F859B0"/>
    <w:rsid w:val="00F872BC"/>
    <w:rsid w:val="00F878AE"/>
    <w:rsid w:val="00F87BE1"/>
    <w:rsid w:val="00F900F9"/>
    <w:rsid w:val="00F90287"/>
    <w:rsid w:val="00F927D8"/>
    <w:rsid w:val="00F93D78"/>
    <w:rsid w:val="00F94545"/>
    <w:rsid w:val="00F96AF1"/>
    <w:rsid w:val="00F970DB"/>
    <w:rsid w:val="00FA1C0B"/>
    <w:rsid w:val="00FA6153"/>
    <w:rsid w:val="00FA69C7"/>
    <w:rsid w:val="00FA6E8D"/>
    <w:rsid w:val="00FA7633"/>
    <w:rsid w:val="00FA76DB"/>
    <w:rsid w:val="00FA79FC"/>
    <w:rsid w:val="00FB0432"/>
    <w:rsid w:val="00FB21BC"/>
    <w:rsid w:val="00FB3734"/>
    <w:rsid w:val="00FB552E"/>
    <w:rsid w:val="00FB607C"/>
    <w:rsid w:val="00FB73BB"/>
    <w:rsid w:val="00FB7538"/>
    <w:rsid w:val="00FB7DC5"/>
    <w:rsid w:val="00FC05E0"/>
    <w:rsid w:val="00FC07CD"/>
    <w:rsid w:val="00FC17E5"/>
    <w:rsid w:val="00FC360D"/>
    <w:rsid w:val="00FC4030"/>
    <w:rsid w:val="00FC4C96"/>
    <w:rsid w:val="00FC53CA"/>
    <w:rsid w:val="00FC591A"/>
    <w:rsid w:val="00FC5E03"/>
    <w:rsid w:val="00FC5FBE"/>
    <w:rsid w:val="00FC622C"/>
    <w:rsid w:val="00FC6B27"/>
    <w:rsid w:val="00FC6B9F"/>
    <w:rsid w:val="00FC7A01"/>
    <w:rsid w:val="00FD07FB"/>
    <w:rsid w:val="00FD0817"/>
    <w:rsid w:val="00FD1C8C"/>
    <w:rsid w:val="00FD1DCA"/>
    <w:rsid w:val="00FD3867"/>
    <w:rsid w:val="00FD3CC2"/>
    <w:rsid w:val="00FD54E2"/>
    <w:rsid w:val="00FD575A"/>
    <w:rsid w:val="00FD6DCD"/>
    <w:rsid w:val="00FD79AC"/>
    <w:rsid w:val="00FE187E"/>
    <w:rsid w:val="00FE281B"/>
    <w:rsid w:val="00FE3D93"/>
    <w:rsid w:val="00FE4702"/>
    <w:rsid w:val="00FE4711"/>
    <w:rsid w:val="00FF14D6"/>
    <w:rsid w:val="00FF22C8"/>
    <w:rsid w:val="00FF3DF5"/>
    <w:rsid w:val="00FF47B2"/>
    <w:rsid w:val="00FF5849"/>
    <w:rsid w:val="00FF7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7F8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C7B"/>
  </w:style>
  <w:style w:type="paragraph" w:styleId="Heading1">
    <w:name w:val="heading 1"/>
    <w:basedOn w:val="Normal"/>
    <w:next w:val="Normal"/>
    <w:link w:val="Heading1Char"/>
    <w:uiPriority w:val="9"/>
    <w:qFormat/>
    <w:rsid w:val="008D02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0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D02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025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D025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D025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02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8D025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D025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D025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D025D"/>
    <w:rPr>
      <w:rFonts w:asciiTheme="majorHAnsi" w:eastAsiaTheme="majorEastAsia" w:hAnsiTheme="majorHAnsi" w:cstheme="majorBidi"/>
      <w:color w:val="1F3763" w:themeColor="accent1" w:themeShade="7F"/>
    </w:rPr>
  </w:style>
  <w:style w:type="paragraph" w:styleId="Header">
    <w:name w:val="header"/>
    <w:aliases w:val="Page Header,Header title,he=header,cntr/bld"/>
    <w:basedOn w:val="Normal"/>
    <w:link w:val="HeaderChar"/>
    <w:unhideWhenUsed/>
    <w:rsid w:val="008D025D"/>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rsid w:val="008D025D"/>
  </w:style>
  <w:style w:type="paragraph" w:styleId="Footer">
    <w:name w:val="footer"/>
    <w:basedOn w:val="Normal"/>
    <w:link w:val="FooterChar"/>
    <w:uiPriority w:val="99"/>
    <w:unhideWhenUsed/>
    <w:rsid w:val="008D0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25D"/>
  </w:style>
  <w:style w:type="table" w:styleId="TableGrid">
    <w:name w:val="Table Grid"/>
    <w:basedOn w:val="TableNormal"/>
    <w:uiPriority w:val="39"/>
    <w:rsid w:val="008D025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D025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025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D025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D025D"/>
    <w:rPr>
      <w:vertAlign w:val="superscript"/>
    </w:rPr>
  </w:style>
  <w:style w:type="character" w:customStyle="1" w:styleId="Hyperlink1">
    <w:name w:val="Hyperlink1"/>
    <w:basedOn w:val="DefaultParagraphFont"/>
    <w:uiPriority w:val="99"/>
    <w:unhideWhenUsed/>
    <w:rsid w:val="008D025D"/>
    <w:rPr>
      <w:color w:val="0563C1"/>
      <w:u w:val="single"/>
    </w:rPr>
  </w:style>
  <w:style w:type="character" w:styleId="Hyperlink">
    <w:name w:val="Hyperlink"/>
    <w:basedOn w:val="DefaultParagraphFont"/>
    <w:uiPriority w:val="99"/>
    <w:unhideWhenUsed/>
    <w:rsid w:val="008D025D"/>
    <w:rPr>
      <w:color w:val="0563C1" w:themeColor="hyperlink"/>
      <w:u w:val="single"/>
    </w:rPr>
  </w:style>
  <w:style w:type="paragraph" w:styleId="ListParagraph">
    <w:name w:val="List Paragraph"/>
    <w:basedOn w:val="Normal"/>
    <w:link w:val="ListParagraphChar"/>
    <w:uiPriority w:val="34"/>
    <w:qFormat/>
    <w:rsid w:val="008D025D"/>
    <w:pPr>
      <w:ind w:left="720"/>
      <w:contextualSpacing/>
    </w:pPr>
  </w:style>
  <w:style w:type="paragraph" w:customStyle="1" w:styleId="2Sections">
    <w:name w:val="2. Sections"/>
    <w:qFormat/>
    <w:rsid w:val="008D025D"/>
    <w:pPr>
      <w:spacing w:before="240" w:after="120" w:line="240" w:lineRule="auto"/>
      <w:outlineLvl w:val="0"/>
    </w:pPr>
    <w:rPr>
      <w:rFonts w:eastAsia="Times New Roman" w:cs="Arial"/>
      <w:b/>
      <w:snapToGrid w:val="0"/>
      <w:sz w:val="32"/>
      <w:szCs w:val="32"/>
    </w:rPr>
  </w:style>
  <w:style w:type="paragraph" w:customStyle="1" w:styleId="3Bodytext">
    <w:name w:val="3. Body text"/>
    <w:basedOn w:val="ListParagraph"/>
    <w:link w:val="3BodytextChar"/>
    <w:qFormat/>
    <w:rsid w:val="008D025D"/>
    <w:pPr>
      <w:spacing w:after="120" w:line="240" w:lineRule="auto"/>
      <w:ind w:hanging="720"/>
      <w:contextualSpacing w:val="0"/>
      <w:jc w:val="both"/>
    </w:pPr>
    <w:rPr>
      <w:sz w:val="24"/>
    </w:rPr>
  </w:style>
  <w:style w:type="character" w:customStyle="1" w:styleId="3BodytextChar">
    <w:name w:val="3. Body text Char"/>
    <w:basedOn w:val="DefaultParagraphFont"/>
    <w:link w:val="3Bodytext"/>
    <w:rsid w:val="008D025D"/>
    <w:rPr>
      <w:sz w:val="24"/>
    </w:rPr>
  </w:style>
  <w:style w:type="paragraph" w:customStyle="1" w:styleId="PBACHeading1">
    <w:name w:val="PBAC Heading 1"/>
    <w:qFormat/>
    <w:rsid w:val="008D025D"/>
    <w:pPr>
      <w:keepNext/>
      <w:keepLines/>
      <w:spacing w:after="120" w:line="240" w:lineRule="auto"/>
      <w:ind w:left="720" w:hanging="720"/>
      <w:outlineLvl w:val="0"/>
    </w:pPr>
    <w:rPr>
      <w:rFonts w:eastAsia="Times New Roman" w:cstheme="minorHAnsi"/>
      <w:b/>
      <w:snapToGrid w:val="0"/>
      <w:sz w:val="32"/>
      <w:szCs w:val="28"/>
    </w:rPr>
  </w:style>
  <w:style w:type="paragraph" w:customStyle="1" w:styleId="4Bodytextnumbered">
    <w:name w:val="4. Body text numbered"/>
    <w:basedOn w:val="ListParagraph"/>
    <w:qFormat/>
    <w:rsid w:val="008D025D"/>
    <w:pPr>
      <w:spacing w:after="120" w:line="240" w:lineRule="auto"/>
      <w:ind w:hanging="720"/>
      <w:contextualSpacing w:val="0"/>
      <w:jc w:val="both"/>
    </w:pPr>
    <w:rPr>
      <w:sz w:val="24"/>
    </w:rPr>
  </w:style>
  <w:style w:type="character" w:styleId="UnresolvedMention">
    <w:name w:val="Unresolved Mention"/>
    <w:basedOn w:val="DefaultParagraphFont"/>
    <w:uiPriority w:val="99"/>
    <w:semiHidden/>
    <w:unhideWhenUsed/>
    <w:rsid w:val="008D025D"/>
    <w:rPr>
      <w:color w:val="605E5C"/>
      <w:shd w:val="clear" w:color="auto" w:fill="E1DFDD"/>
    </w:rPr>
  </w:style>
  <w:style w:type="character" w:styleId="CommentReference">
    <w:name w:val="annotation reference"/>
    <w:basedOn w:val="DefaultParagraphFont"/>
    <w:uiPriority w:val="99"/>
    <w:semiHidden/>
    <w:unhideWhenUsed/>
    <w:rsid w:val="008D025D"/>
    <w:rPr>
      <w:sz w:val="16"/>
      <w:szCs w:val="16"/>
    </w:rPr>
  </w:style>
  <w:style w:type="paragraph" w:styleId="CommentText">
    <w:name w:val="annotation text"/>
    <w:basedOn w:val="Normal"/>
    <w:link w:val="CommentTextChar"/>
    <w:uiPriority w:val="99"/>
    <w:unhideWhenUsed/>
    <w:rsid w:val="008D025D"/>
    <w:pPr>
      <w:spacing w:line="240" w:lineRule="auto"/>
    </w:pPr>
    <w:rPr>
      <w:sz w:val="20"/>
      <w:szCs w:val="20"/>
    </w:rPr>
  </w:style>
  <w:style w:type="character" w:customStyle="1" w:styleId="CommentTextChar">
    <w:name w:val="Comment Text Char"/>
    <w:basedOn w:val="DefaultParagraphFont"/>
    <w:link w:val="CommentText"/>
    <w:uiPriority w:val="99"/>
    <w:rsid w:val="008D025D"/>
    <w:rPr>
      <w:sz w:val="20"/>
      <w:szCs w:val="20"/>
    </w:rPr>
  </w:style>
  <w:style w:type="paragraph" w:styleId="CommentSubject">
    <w:name w:val="annotation subject"/>
    <w:basedOn w:val="CommentText"/>
    <w:next w:val="CommentText"/>
    <w:link w:val="CommentSubjectChar"/>
    <w:uiPriority w:val="99"/>
    <w:semiHidden/>
    <w:unhideWhenUsed/>
    <w:rsid w:val="008D025D"/>
    <w:rPr>
      <w:b/>
      <w:bCs/>
    </w:rPr>
  </w:style>
  <w:style w:type="character" w:customStyle="1" w:styleId="CommentSubjectChar">
    <w:name w:val="Comment Subject Char"/>
    <w:basedOn w:val="CommentTextChar"/>
    <w:link w:val="CommentSubject"/>
    <w:uiPriority w:val="99"/>
    <w:semiHidden/>
    <w:rsid w:val="008D025D"/>
    <w:rPr>
      <w:b/>
      <w:bCs/>
      <w:sz w:val="20"/>
      <w:szCs w:val="20"/>
    </w:rPr>
  </w:style>
  <w:style w:type="paragraph" w:styleId="Revision">
    <w:name w:val="Revision"/>
    <w:hidden/>
    <w:uiPriority w:val="99"/>
    <w:semiHidden/>
    <w:rsid w:val="008D025D"/>
    <w:pPr>
      <w:spacing w:after="0" w:line="240" w:lineRule="auto"/>
    </w:pPr>
  </w:style>
  <w:style w:type="character" w:styleId="FollowedHyperlink">
    <w:name w:val="FollowedHyperlink"/>
    <w:basedOn w:val="DefaultParagraphFont"/>
    <w:uiPriority w:val="99"/>
    <w:semiHidden/>
    <w:unhideWhenUsed/>
    <w:rsid w:val="00C46A75"/>
    <w:rPr>
      <w:color w:val="954F72" w:themeColor="followedHyperlink"/>
      <w:u w:val="single"/>
    </w:rPr>
  </w:style>
  <w:style w:type="character" w:customStyle="1" w:styleId="ListParagraphChar">
    <w:name w:val="List Paragraph Char"/>
    <w:basedOn w:val="DefaultParagraphFont"/>
    <w:link w:val="ListParagraph"/>
    <w:uiPriority w:val="34"/>
    <w:locked/>
    <w:rsid w:val="003E5518"/>
  </w:style>
  <w:style w:type="paragraph" w:customStyle="1" w:styleId="Bodycopy">
    <w:name w:val="Body copy"/>
    <w:basedOn w:val="Normal"/>
    <w:link w:val="BodycopyChar"/>
    <w:qFormat/>
    <w:rsid w:val="003E5518"/>
    <w:pPr>
      <w:spacing w:after="120" w:line="240" w:lineRule="auto"/>
    </w:pPr>
    <w:rPr>
      <w:rFonts w:ascii="Arial" w:eastAsia="Calibri" w:hAnsi="Arial" w:cs="Arial"/>
      <w:bCs/>
      <w:sz w:val="18"/>
      <w:szCs w:val="20"/>
    </w:rPr>
  </w:style>
  <w:style w:type="character" w:customStyle="1" w:styleId="BodycopyChar">
    <w:name w:val="Body copy Char"/>
    <w:basedOn w:val="DefaultParagraphFont"/>
    <w:link w:val="Bodycopy"/>
    <w:rsid w:val="003E5518"/>
    <w:rPr>
      <w:rFonts w:ascii="Arial" w:eastAsia="Calibri" w:hAnsi="Arial" w:cs="Arial"/>
      <w:bCs/>
      <w:sz w:val="18"/>
      <w:szCs w:val="20"/>
    </w:rPr>
  </w:style>
  <w:style w:type="character" w:styleId="Mention">
    <w:name w:val="Mention"/>
    <w:basedOn w:val="DefaultParagraphFont"/>
    <w:uiPriority w:val="99"/>
    <w:unhideWhenUsed/>
    <w:rsid w:val="000D37F7"/>
    <w:rPr>
      <w:color w:val="2B579A"/>
      <w:shd w:val="clear" w:color="auto" w:fill="E1DFDD"/>
    </w:rPr>
  </w:style>
  <w:style w:type="paragraph" w:customStyle="1" w:styleId="2-SectionHeading">
    <w:name w:val="2-Section Heading"/>
    <w:next w:val="Normal"/>
    <w:qFormat/>
    <w:rsid w:val="00F31393"/>
    <w:pPr>
      <w:keepNext/>
      <w:numPr>
        <w:numId w:val="6"/>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Normal"/>
    <w:rsid w:val="00347654"/>
    <w:pPr>
      <w:numPr>
        <w:ilvl w:val="1"/>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459">
      <w:bodyDiv w:val="1"/>
      <w:marLeft w:val="0"/>
      <w:marRight w:val="0"/>
      <w:marTop w:val="0"/>
      <w:marBottom w:val="0"/>
      <w:divBdr>
        <w:top w:val="none" w:sz="0" w:space="0" w:color="auto"/>
        <w:left w:val="none" w:sz="0" w:space="0" w:color="auto"/>
        <w:bottom w:val="none" w:sz="0" w:space="0" w:color="auto"/>
        <w:right w:val="none" w:sz="0" w:space="0" w:color="auto"/>
      </w:divBdr>
    </w:div>
    <w:div w:id="36513041">
      <w:bodyDiv w:val="1"/>
      <w:marLeft w:val="0"/>
      <w:marRight w:val="0"/>
      <w:marTop w:val="0"/>
      <w:marBottom w:val="0"/>
      <w:divBdr>
        <w:top w:val="none" w:sz="0" w:space="0" w:color="auto"/>
        <w:left w:val="none" w:sz="0" w:space="0" w:color="auto"/>
        <w:bottom w:val="none" w:sz="0" w:space="0" w:color="auto"/>
        <w:right w:val="none" w:sz="0" w:space="0" w:color="auto"/>
      </w:divBdr>
    </w:div>
    <w:div w:id="41490522">
      <w:bodyDiv w:val="1"/>
      <w:marLeft w:val="0"/>
      <w:marRight w:val="0"/>
      <w:marTop w:val="0"/>
      <w:marBottom w:val="0"/>
      <w:divBdr>
        <w:top w:val="none" w:sz="0" w:space="0" w:color="auto"/>
        <w:left w:val="none" w:sz="0" w:space="0" w:color="auto"/>
        <w:bottom w:val="none" w:sz="0" w:space="0" w:color="auto"/>
        <w:right w:val="none" w:sz="0" w:space="0" w:color="auto"/>
      </w:divBdr>
    </w:div>
    <w:div w:id="214244581">
      <w:bodyDiv w:val="1"/>
      <w:marLeft w:val="0"/>
      <w:marRight w:val="0"/>
      <w:marTop w:val="0"/>
      <w:marBottom w:val="0"/>
      <w:divBdr>
        <w:top w:val="none" w:sz="0" w:space="0" w:color="auto"/>
        <w:left w:val="none" w:sz="0" w:space="0" w:color="auto"/>
        <w:bottom w:val="none" w:sz="0" w:space="0" w:color="auto"/>
        <w:right w:val="none" w:sz="0" w:space="0" w:color="auto"/>
      </w:divBdr>
    </w:div>
    <w:div w:id="217211915">
      <w:bodyDiv w:val="1"/>
      <w:marLeft w:val="0"/>
      <w:marRight w:val="0"/>
      <w:marTop w:val="0"/>
      <w:marBottom w:val="0"/>
      <w:divBdr>
        <w:top w:val="none" w:sz="0" w:space="0" w:color="auto"/>
        <w:left w:val="none" w:sz="0" w:space="0" w:color="auto"/>
        <w:bottom w:val="none" w:sz="0" w:space="0" w:color="auto"/>
        <w:right w:val="none" w:sz="0" w:space="0" w:color="auto"/>
      </w:divBdr>
    </w:div>
    <w:div w:id="245848115">
      <w:bodyDiv w:val="1"/>
      <w:marLeft w:val="0"/>
      <w:marRight w:val="0"/>
      <w:marTop w:val="0"/>
      <w:marBottom w:val="0"/>
      <w:divBdr>
        <w:top w:val="none" w:sz="0" w:space="0" w:color="auto"/>
        <w:left w:val="none" w:sz="0" w:space="0" w:color="auto"/>
        <w:bottom w:val="none" w:sz="0" w:space="0" w:color="auto"/>
        <w:right w:val="none" w:sz="0" w:space="0" w:color="auto"/>
      </w:divBdr>
    </w:div>
    <w:div w:id="344871508">
      <w:bodyDiv w:val="1"/>
      <w:marLeft w:val="0"/>
      <w:marRight w:val="0"/>
      <w:marTop w:val="0"/>
      <w:marBottom w:val="0"/>
      <w:divBdr>
        <w:top w:val="none" w:sz="0" w:space="0" w:color="auto"/>
        <w:left w:val="none" w:sz="0" w:space="0" w:color="auto"/>
        <w:bottom w:val="none" w:sz="0" w:space="0" w:color="auto"/>
        <w:right w:val="none" w:sz="0" w:space="0" w:color="auto"/>
      </w:divBdr>
    </w:div>
    <w:div w:id="417795519">
      <w:bodyDiv w:val="1"/>
      <w:marLeft w:val="0"/>
      <w:marRight w:val="0"/>
      <w:marTop w:val="0"/>
      <w:marBottom w:val="0"/>
      <w:divBdr>
        <w:top w:val="none" w:sz="0" w:space="0" w:color="auto"/>
        <w:left w:val="none" w:sz="0" w:space="0" w:color="auto"/>
        <w:bottom w:val="none" w:sz="0" w:space="0" w:color="auto"/>
        <w:right w:val="none" w:sz="0" w:space="0" w:color="auto"/>
      </w:divBdr>
    </w:div>
    <w:div w:id="442267848">
      <w:bodyDiv w:val="1"/>
      <w:marLeft w:val="0"/>
      <w:marRight w:val="0"/>
      <w:marTop w:val="0"/>
      <w:marBottom w:val="0"/>
      <w:divBdr>
        <w:top w:val="none" w:sz="0" w:space="0" w:color="auto"/>
        <w:left w:val="none" w:sz="0" w:space="0" w:color="auto"/>
        <w:bottom w:val="none" w:sz="0" w:space="0" w:color="auto"/>
        <w:right w:val="none" w:sz="0" w:space="0" w:color="auto"/>
      </w:divBdr>
    </w:div>
    <w:div w:id="444081450">
      <w:bodyDiv w:val="1"/>
      <w:marLeft w:val="0"/>
      <w:marRight w:val="0"/>
      <w:marTop w:val="0"/>
      <w:marBottom w:val="0"/>
      <w:divBdr>
        <w:top w:val="none" w:sz="0" w:space="0" w:color="auto"/>
        <w:left w:val="none" w:sz="0" w:space="0" w:color="auto"/>
        <w:bottom w:val="none" w:sz="0" w:space="0" w:color="auto"/>
        <w:right w:val="none" w:sz="0" w:space="0" w:color="auto"/>
      </w:divBdr>
    </w:div>
    <w:div w:id="589310065">
      <w:bodyDiv w:val="1"/>
      <w:marLeft w:val="0"/>
      <w:marRight w:val="0"/>
      <w:marTop w:val="0"/>
      <w:marBottom w:val="0"/>
      <w:divBdr>
        <w:top w:val="none" w:sz="0" w:space="0" w:color="auto"/>
        <w:left w:val="none" w:sz="0" w:space="0" w:color="auto"/>
        <w:bottom w:val="none" w:sz="0" w:space="0" w:color="auto"/>
        <w:right w:val="none" w:sz="0" w:space="0" w:color="auto"/>
      </w:divBdr>
    </w:div>
    <w:div w:id="596015271">
      <w:bodyDiv w:val="1"/>
      <w:marLeft w:val="0"/>
      <w:marRight w:val="0"/>
      <w:marTop w:val="0"/>
      <w:marBottom w:val="0"/>
      <w:divBdr>
        <w:top w:val="none" w:sz="0" w:space="0" w:color="auto"/>
        <w:left w:val="none" w:sz="0" w:space="0" w:color="auto"/>
        <w:bottom w:val="none" w:sz="0" w:space="0" w:color="auto"/>
        <w:right w:val="none" w:sz="0" w:space="0" w:color="auto"/>
      </w:divBdr>
    </w:div>
    <w:div w:id="673460630">
      <w:bodyDiv w:val="1"/>
      <w:marLeft w:val="0"/>
      <w:marRight w:val="0"/>
      <w:marTop w:val="0"/>
      <w:marBottom w:val="0"/>
      <w:divBdr>
        <w:top w:val="none" w:sz="0" w:space="0" w:color="auto"/>
        <w:left w:val="none" w:sz="0" w:space="0" w:color="auto"/>
        <w:bottom w:val="none" w:sz="0" w:space="0" w:color="auto"/>
        <w:right w:val="none" w:sz="0" w:space="0" w:color="auto"/>
      </w:divBdr>
      <w:divsChild>
        <w:div w:id="81420009">
          <w:marLeft w:val="0"/>
          <w:marRight w:val="0"/>
          <w:marTop w:val="0"/>
          <w:marBottom w:val="0"/>
          <w:divBdr>
            <w:top w:val="none" w:sz="0" w:space="0" w:color="C4DEEE"/>
            <w:left w:val="none" w:sz="0" w:space="0" w:color="C4DEEE"/>
            <w:bottom w:val="none" w:sz="0" w:space="0" w:color="C4DEEE"/>
            <w:right w:val="none" w:sz="0" w:space="0" w:color="C4DEEE"/>
          </w:divBdr>
          <w:divsChild>
            <w:div w:id="120266571">
              <w:marLeft w:val="0"/>
              <w:marRight w:val="0"/>
              <w:marTop w:val="0"/>
              <w:marBottom w:val="0"/>
              <w:divBdr>
                <w:top w:val="none" w:sz="0" w:space="0" w:color="C4DEEE"/>
                <w:left w:val="none" w:sz="0" w:space="8" w:color="C4DEEE"/>
                <w:bottom w:val="none" w:sz="0" w:space="0" w:color="C4DEEE"/>
                <w:right w:val="none" w:sz="0" w:space="0" w:color="C4DEEE"/>
              </w:divBdr>
              <w:divsChild>
                <w:div w:id="866337019">
                  <w:marLeft w:val="0"/>
                  <w:marRight w:val="0"/>
                  <w:marTop w:val="0"/>
                  <w:marBottom w:val="0"/>
                  <w:divBdr>
                    <w:top w:val="none" w:sz="0" w:space="0" w:color="C4DEEE"/>
                    <w:left w:val="none" w:sz="0" w:space="0" w:color="C4DEEE"/>
                    <w:bottom w:val="none" w:sz="0" w:space="0" w:color="C4DEEE"/>
                    <w:right w:val="none" w:sz="0" w:space="0" w:color="C4DEEE"/>
                  </w:divBdr>
                  <w:divsChild>
                    <w:div w:id="1095401390">
                      <w:marLeft w:val="0"/>
                      <w:marRight w:val="0"/>
                      <w:marTop w:val="0"/>
                      <w:marBottom w:val="0"/>
                      <w:divBdr>
                        <w:top w:val="none" w:sz="0" w:space="0" w:color="C4DEEE"/>
                        <w:left w:val="none" w:sz="0" w:space="0" w:color="C4DEEE"/>
                        <w:bottom w:val="none" w:sz="0" w:space="0" w:color="C4DEEE"/>
                        <w:right w:val="none" w:sz="0" w:space="0" w:color="C4DEEE"/>
                      </w:divBdr>
                    </w:div>
                    <w:div w:id="1423137506">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 w:id="364985083">
          <w:marLeft w:val="0"/>
          <w:marRight w:val="0"/>
          <w:marTop w:val="0"/>
          <w:marBottom w:val="0"/>
          <w:divBdr>
            <w:top w:val="none" w:sz="0" w:space="0" w:color="C4DEEE"/>
            <w:left w:val="none" w:sz="0" w:space="8" w:color="C4DEEE"/>
            <w:bottom w:val="none" w:sz="0" w:space="0" w:color="C4DEEE"/>
            <w:right w:val="none" w:sz="0" w:space="0" w:color="C4DEEE"/>
          </w:divBdr>
        </w:div>
      </w:divsChild>
    </w:div>
    <w:div w:id="688916228">
      <w:bodyDiv w:val="1"/>
      <w:marLeft w:val="0"/>
      <w:marRight w:val="0"/>
      <w:marTop w:val="0"/>
      <w:marBottom w:val="0"/>
      <w:divBdr>
        <w:top w:val="none" w:sz="0" w:space="0" w:color="auto"/>
        <w:left w:val="none" w:sz="0" w:space="0" w:color="auto"/>
        <w:bottom w:val="none" w:sz="0" w:space="0" w:color="auto"/>
        <w:right w:val="none" w:sz="0" w:space="0" w:color="auto"/>
      </w:divBdr>
    </w:div>
    <w:div w:id="693725866">
      <w:bodyDiv w:val="1"/>
      <w:marLeft w:val="0"/>
      <w:marRight w:val="0"/>
      <w:marTop w:val="0"/>
      <w:marBottom w:val="0"/>
      <w:divBdr>
        <w:top w:val="none" w:sz="0" w:space="0" w:color="auto"/>
        <w:left w:val="none" w:sz="0" w:space="0" w:color="auto"/>
        <w:bottom w:val="none" w:sz="0" w:space="0" w:color="auto"/>
        <w:right w:val="none" w:sz="0" w:space="0" w:color="auto"/>
      </w:divBdr>
    </w:div>
    <w:div w:id="813569772">
      <w:bodyDiv w:val="1"/>
      <w:marLeft w:val="0"/>
      <w:marRight w:val="0"/>
      <w:marTop w:val="0"/>
      <w:marBottom w:val="0"/>
      <w:divBdr>
        <w:top w:val="none" w:sz="0" w:space="0" w:color="auto"/>
        <w:left w:val="none" w:sz="0" w:space="0" w:color="auto"/>
        <w:bottom w:val="none" w:sz="0" w:space="0" w:color="auto"/>
        <w:right w:val="none" w:sz="0" w:space="0" w:color="auto"/>
      </w:divBdr>
    </w:div>
    <w:div w:id="927888538">
      <w:bodyDiv w:val="1"/>
      <w:marLeft w:val="0"/>
      <w:marRight w:val="0"/>
      <w:marTop w:val="0"/>
      <w:marBottom w:val="0"/>
      <w:divBdr>
        <w:top w:val="none" w:sz="0" w:space="0" w:color="auto"/>
        <w:left w:val="none" w:sz="0" w:space="0" w:color="auto"/>
        <w:bottom w:val="none" w:sz="0" w:space="0" w:color="auto"/>
        <w:right w:val="none" w:sz="0" w:space="0" w:color="auto"/>
      </w:divBdr>
    </w:div>
    <w:div w:id="981346669">
      <w:bodyDiv w:val="1"/>
      <w:marLeft w:val="0"/>
      <w:marRight w:val="0"/>
      <w:marTop w:val="0"/>
      <w:marBottom w:val="0"/>
      <w:divBdr>
        <w:top w:val="none" w:sz="0" w:space="0" w:color="auto"/>
        <w:left w:val="none" w:sz="0" w:space="0" w:color="auto"/>
        <w:bottom w:val="none" w:sz="0" w:space="0" w:color="auto"/>
        <w:right w:val="none" w:sz="0" w:space="0" w:color="auto"/>
      </w:divBdr>
      <w:divsChild>
        <w:div w:id="244726709">
          <w:marLeft w:val="0"/>
          <w:marRight w:val="0"/>
          <w:marTop w:val="0"/>
          <w:marBottom w:val="0"/>
          <w:divBdr>
            <w:top w:val="none" w:sz="0" w:space="0" w:color="C4DEEE"/>
            <w:left w:val="none" w:sz="0" w:space="0" w:color="C4DEEE"/>
            <w:bottom w:val="none" w:sz="0" w:space="0" w:color="C4DEEE"/>
            <w:right w:val="none" w:sz="0" w:space="0" w:color="C4DEEE"/>
          </w:divBdr>
          <w:divsChild>
            <w:div w:id="945697986">
              <w:marLeft w:val="0"/>
              <w:marRight w:val="0"/>
              <w:marTop w:val="0"/>
              <w:marBottom w:val="0"/>
              <w:divBdr>
                <w:top w:val="none" w:sz="0" w:space="0" w:color="C4DEEE"/>
                <w:left w:val="none" w:sz="0" w:space="8" w:color="C4DEEE"/>
                <w:bottom w:val="none" w:sz="0" w:space="0" w:color="C4DEEE"/>
                <w:right w:val="none" w:sz="0" w:space="0" w:color="C4DEEE"/>
              </w:divBdr>
              <w:divsChild>
                <w:div w:id="1890874381">
                  <w:marLeft w:val="0"/>
                  <w:marRight w:val="0"/>
                  <w:marTop w:val="0"/>
                  <w:marBottom w:val="0"/>
                  <w:divBdr>
                    <w:top w:val="none" w:sz="0" w:space="0" w:color="C4DEEE"/>
                    <w:left w:val="none" w:sz="0" w:space="0" w:color="C4DEEE"/>
                    <w:bottom w:val="none" w:sz="0" w:space="0" w:color="C4DEEE"/>
                    <w:right w:val="none" w:sz="0" w:space="0" w:color="C4DEEE"/>
                  </w:divBdr>
                  <w:divsChild>
                    <w:div w:id="622813180">
                      <w:marLeft w:val="0"/>
                      <w:marRight w:val="0"/>
                      <w:marTop w:val="0"/>
                      <w:marBottom w:val="0"/>
                      <w:divBdr>
                        <w:top w:val="none" w:sz="0" w:space="0" w:color="C4DEEE"/>
                        <w:left w:val="none" w:sz="0" w:space="0" w:color="C4DEEE"/>
                        <w:bottom w:val="none" w:sz="0" w:space="0" w:color="C4DEEE"/>
                        <w:right w:val="none" w:sz="0" w:space="0" w:color="C4DEEE"/>
                      </w:divBdr>
                    </w:div>
                    <w:div w:id="958343682">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 w:id="376517403">
          <w:marLeft w:val="0"/>
          <w:marRight w:val="0"/>
          <w:marTop w:val="0"/>
          <w:marBottom w:val="0"/>
          <w:divBdr>
            <w:top w:val="none" w:sz="0" w:space="0" w:color="C4DEEE"/>
            <w:left w:val="none" w:sz="0" w:space="8" w:color="C4DEEE"/>
            <w:bottom w:val="none" w:sz="0" w:space="0" w:color="C4DEEE"/>
            <w:right w:val="none" w:sz="0" w:space="0" w:color="C4DEEE"/>
          </w:divBdr>
        </w:div>
      </w:divsChild>
    </w:div>
    <w:div w:id="985354579">
      <w:bodyDiv w:val="1"/>
      <w:marLeft w:val="0"/>
      <w:marRight w:val="0"/>
      <w:marTop w:val="0"/>
      <w:marBottom w:val="0"/>
      <w:divBdr>
        <w:top w:val="none" w:sz="0" w:space="0" w:color="auto"/>
        <w:left w:val="none" w:sz="0" w:space="0" w:color="auto"/>
        <w:bottom w:val="none" w:sz="0" w:space="0" w:color="auto"/>
        <w:right w:val="none" w:sz="0" w:space="0" w:color="auto"/>
      </w:divBdr>
    </w:div>
    <w:div w:id="995299339">
      <w:bodyDiv w:val="1"/>
      <w:marLeft w:val="0"/>
      <w:marRight w:val="0"/>
      <w:marTop w:val="0"/>
      <w:marBottom w:val="0"/>
      <w:divBdr>
        <w:top w:val="none" w:sz="0" w:space="0" w:color="auto"/>
        <w:left w:val="none" w:sz="0" w:space="0" w:color="auto"/>
        <w:bottom w:val="none" w:sz="0" w:space="0" w:color="auto"/>
        <w:right w:val="none" w:sz="0" w:space="0" w:color="auto"/>
      </w:divBdr>
    </w:div>
    <w:div w:id="1012103225">
      <w:bodyDiv w:val="1"/>
      <w:marLeft w:val="0"/>
      <w:marRight w:val="0"/>
      <w:marTop w:val="0"/>
      <w:marBottom w:val="0"/>
      <w:divBdr>
        <w:top w:val="none" w:sz="0" w:space="0" w:color="auto"/>
        <w:left w:val="none" w:sz="0" w:space="0" w:color="auto"/>
        <w:bottom w:val="none" w:sz="0" w:space="0" w:color="auto"/>
        <w:right w:val="none" w:sz="0" w:space="0" w:color="auto"/>
      </w:divBdr>
    </w:div>
    <w:div w:id="1044061870">
      <w:bodyDiv w:val="1"/>
      <w:marLeft w:val="0"/>
      <w:marRight w:val="0"/>
      <w:marTop w:val="0"/>
      <w:marBottom w:val="0"/>
      <w:divBdr>
        <w:top w:val="none" w:sz="0" w:space="0" w:color="auto"/>
        <w:left w:val="none" w:sz="0" w:space="0" w:color="auto"/>
        <w:bottom w:val="none" w:sz="0" w:space="0" w:color="auto"/>
        <w:right w:val="none" w:sz="0" w:space="0" w:color="auto"/>
      </w:divBdr>
    </w:div>
    <w:div w:id="1140348542">
      <w:bodyDiv w:val="1"/>
      <w:marLeft w:val="0"/>
      <w:marRight w:val="0"/>
      <w:marTop w:val="0"/>
      <w:marBottom w:val="0"/>
      <w:divBdr>
        <w:top w:val="none" w:sz="0" w:space="0" w:color="auto"/>
        <w:left w:val="none" w:sz="0" w:space="0" w:color="auto"/>
        <w:bottom w:val="none" w:sz="0" w:space="0" w:color="auto"/>
        <w:right w:val="none" w:sz="0" w:space="0" w:color="auto"/>
      </w:divBdr>
    </w:div>
    <w:div w:id="1277365985">
      <w:bodyDiv w:val="1"/>
      <w:marLeft w:val="0"/>
      <w:marRight w:val="0"/>
      <w:marTop w:val="0"/>
      <w:marBottom w:val="0"/>
      <w:divBdr>
        <w:top w:val="none" w:sz="0" w:space="0" w:color="auto"/>
        <w:left w:val="none" w:sz="0" w:space="0" w:color="auto"/>
        <w:bottom w:val="none" w:sz="0" w:space="0" w:color="auto"/>
        <w:right w:val="none" w:sz="0" w:space="0" w:color="auto"/>
      </w:divBdr>
    </w:div>
    <w:div w:id="1345747066">
      <w:bodyDiv w:val="1"/>
      <w:marLeft w:val="0"/>
      <w:marRight w:val="0"/>
      <w:marTop w:val="0"/>
      <w:marBottom w:val="0"/>
      <w:divBdr>
        <w:top w:val="none" w:sz="0" w:space="0" w:color="auto"/>
        <w:left w:val="none" w:sz="0" w:space="0" w:color="auto"/>
        <w:bottom w:val="none" w:sz="0" w:space="0" w:color="auto"/>
        <w:right w:val="none" w:sz="0" w:space="0" w:color="auto"/>
      </w:divBdr>
    </w:div>
    <w:div w:id="1395422419">
      <w:bodyDiv w:val="1"/>
      <w:marLeft w:val="0"/>
      <w:marRight w:val="0"/>
      <w:marTop w:val="0"/>
      <w:marBottom w:val="0"/>
      <w:divBdr>
        <w:top w:val="none" w:sz="0" w:space="0" w:color="auto"/>
        <w:left w:val="none" w:sz="0" w:space="0" w:color="auto"/>
        <w:bottom w:val="none" w:sz="0" w:space="0" w:color="auto"/>
        <w:right w:val="none" w:sz="0" w:space="0" w:color="auto"/>
      </w:divBdr>
    </w:div>
    <w:div w:id="1604219083">
      <w:bodyDiv w:val="1"/>
      <w:marLeft w:val="0"/>
      <w:marRight w:val="0"/>
      <w:marTop w:val="0"/>
      <w:marBottom w:val="0"/>
      <w:divBdr>
        <w:top w:val="none" w:sz="0" w:space="0" w:color="auto"/>
        <w:left w:val="none" w:sz="0" w:space="0" w:color="auto"/>
        <w:bottom w:val="none" w:sz="0" w:space="0" w:color="auto"/>
        <w:right w:val="none" w:sz="0" w:space="0" w:color="auto"/>
      </w:divBdr>
    </w:div>
    <w:div w:id="1720322518">
      <w:bodyDiv w:val="1"/>
      <w:marLeft w:val="0"/>
      <w:marRight w:val="0"/>
      <w:marTop w:val="0"/>
      <w:marBottom w:val="0"/>
      <w:divBdr>
        <w:top w:val="none" w:sz="0" w:space="0" w:color="auto"/>
        <w:left w:val="none" w:sz="0" w:space="0" w:color="auto"/>
        <w:bottom w:val="none" w:sz="0" w:space="0" w:color="auto"/>
        <w:right w:val="none" w:sz="0" w:space="0" w:color="auto"/>
      </w:divBdr>
    </w:div>
    <w:div w:id="1742366771">
      <w:bodyDiv w:val="1"/>
      <w:marLeft w:val="0"/>
      <w:marRight w:val="0"/>
      <w:marTop w:val="0"/>
      <w:marBottom w:val="0"/>
      <w:divBdr>
        <w:top w:val="none" w:sz="0" w:space="0" w:color="auto"/>
        <w:left w:val="none" w:sz="0" w:space="0" w:color="auto"/>
        <w:bottom w:val="none" w:sz="0" w:space="0" w:color="auto"/>
        <w:right w:val="none" w:sz="0" w:space="0" w:color="auto"/>
      </w:divBdr>
    </w:div>
    <w:div w:id="1752966951">
      <w:bodyDiv w:val="1"/>
      <w:marLeft w:val="0"/>
      <w:marRight w:val="0"/>
      <w:marTop w:val="0"/>
      <w:marBottom w:val="0"/>
      <w:divBdr>
        <w:top w:val="none" w:sz="0" w:space="0" w:color="auto"/>
        <w:left w:val="none" w:sz="0" w:space="0" w:color="auto"/>
        <w:bottom w:val="none" w:sz="0" w:space="0" w:color="auto"/>
        <w:right w:val="none" w:sz="0" w:space="0" w:color="auto"/>
      </w:divBdr>
    </w:div>
    <w:div w:id="1805731365">
      <w:bodyDiv w:val="1"/>
      <w:marLeft w:val="0"/>
      <w:marRight w:val="0"/>
      <w:marTop w:val="0"/>
      <w:marBottom w:val="0"/>
      <w:divBdr>
        <w:top w:val="none" w:sz="0" w:space="0" w:color="auto"/>
        <w:left w:val="none" w:sz="0" w:space="0" w:color="auto"/>
        <w:bottom w:val="none" w:sz="0" w:space="0" w:color="auto"/>
        <w:right w:val="none" w:sz="0" w:space="0" w:color="auto"/>
      </w:divBdr>
    </w:div>
    <w:div w:id="1828135079">
      <w:bodyDiv w:val="1"/>
      <w:marLeft w:val="0"/>
      <w:marRight w:val="0"/>
      <w:marTop w:val="0"/>
      <w:marBottom w:val="0"/>
      <w:divBdr>
        <w:top w:val="none" w:sz="0" w:space="0" w:color="auto"/>
        <w:left w:val="none" w:sz="0" w:space="0" w:color="auto"/>
        <w:bottom w:val="none" w:sz="0" w:space="0" w:color="auto"/>
        <w:right w:val="none" w:sz="0" w:space="0" w:color="auto"/>
      </w:divBdr>
    </w:div>
    <w:div w:id="1830320079">
      <w:bodyDiv w:val="1"/>
      <w:marLeft w:val="0"/>
      <w:marRight w:val="0"/>
      <w:marTop w:val="0"/>
      <w:marBottom w:val="0"/>
      <w:divBdr>
        <w:top w:val="none" w:sz="0" w:space="0" w:color="auto"/>
        <w:left w:val="none" w:sz="0" w:space="0" w:color="auto"/>
        <w:bottom w:val="none" w:sz="0" w:space="0" w:color="auto"/>
        <w:right w:val="none" w:sz="0" w:space="0" w:color="auto"/>
      </w:divBdr>
    </w:div>
    <w:div w:id="1860851308">
      <w:bodyDiv w:val="1"/>
      <w:marLeft w:val="0"/>
      <w:marRight w:val="0"/>
      <w:marTop w:val="0"/>
      <w:marBottom w:val="0"/>
      <w:divBdr>
        <w:top w:val="none" w:sz="0" w:space="0" w:color="auto"/>
        <w:left w:val="none" w:sz="0" w:space="0" w:color="auto"/>
        <w:bottom w:val="none" w:sz="0" w:space="0" w:color="auto"/>
        <w:right w:val="none" w:sz="0" w:space="0" w:color="auto"/>
      </w:divBdr>
    </w:div>
    <w:div w:id="1914198054">
      <w:bodyDiv w:val="1"/>
      <w:marLeft w:val="0"/>
      <w:marRight w:val="0"/>
      <w:marTop w:val="0"/>
      <w:marBottom w:val="0"/>
      <w:divBdr>
        <w:top w:val="none" w:sz="0" w:space="0" w:color="auto"/>
        <w:left w:val="none" w:sz="0" w:space="0" w:color="auto"/>
        <w:bottom w:val="none" w:sz="0" w:space="0" w:color="auto"/>
        <w:right w:val="none" w:sz="0" w:space="0" w:color="auto"/>
      </w:divBdr>
      <w:divsChild>
        <w:div w:id="177736778">
          <w:marLeft w:val="0"/>
          <w:marRight w:val="0"/>
          <w:marTop w:val="0"/>
          <w:marBottom w:val="0"/>
          <w:divBdr>
            <w:top w:val="none" w:sz="0" w:space="0" w:color="C4DEEE"/>
            <w:left w:val="none" w:sz="0" w:space="0" w:color="C4DEEE"/>
            <w:bottom w:val="none" w:sz="0" w:space="0" w:color="C4DEEE"/>
            <w:right w:val="none" w:sz="0" w:space="0" w:color="C4DEEE"/>
          </w:divBdr>
          <w:divsChild>
            <w:div w:id="746733613">
              <w:marLeft w:val="0"/>
              <w:marRight w:val="0"/>
              <w:marTop w:val="0"/>
              <w:marBottom w:val="0"/>
              <w:divBdr>
                <w:top w:val="none" w:sz="0" w:space="0" w:color="C4DEEE"/>
                <w:left w:val="none" w:sz="0" w:space="8" w:color="C4DEEE"/>
                <w:bottom w:val="none" w:sz="0" w:space="0" w:color="C4DEEE"/>
                <w:right w:val="none" w:sz="0" w:space="0" w:color="C4DEEE"/>
              </w:divBdr>
              <w:divsChild>
                <w:div w:id="1555385377">
                  <w:marLeft w:val="0"/>
                  <w:marRight w:val="0"/>
                  <w:marTop w:val="0"/>
                  <w:marBottom w:val="0"/>
                  <w:divBdr>
                    <w:top w:val="none" w:sz="0" w:space="0" w:color="C4DEEE"/>
                    <w:left w:val="none" w:sz="0" w:space="0" w:color="C4DEEE"/>
                    <w:bottom w:val="none" w:sz="0" w:space="0" w:color="C4DEEE"/>
                    <w:right w:val="none" w:sz="0" w:space="0" w:color="C4DEEE"/>
                  </w:divBdr>
                  <w:divsChild>
                    <w:div w:id="1758288948">
                      <w:marLeft w:val="0"/>
                      <w:marRight w:val="0"/>
                      <w:marTop w:val="0"/>
                      <w:marBottom w:val="0"/>
                      <w:divBdr>
                        <w:top w:val="none" w:sz="0" w:space="0" w:color="C4DEEE"/>
                        <w:left w:val="none" w:sz="0" w:space="0" w:color="C4DEEE"/>
                        <w:bottom w:val="none" w:sz="0" w:space="0" w:color="C4DEEE"/>
                        <w:right w:val="none" w:sz="0" w:space="0" w:color="C4DEEE"/>
                      </w:divBdr>
                    </w:div>
                    <w:div w:id="1845901772">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 w:id="1941982249">
          <w:marLeft w:val="0"/>
          <w:marRight w:val="0"/>
          <w:marTop w:val="0"/>
          <w:marBottom w:val="0"/>
          <w:divBdr>
            <w:top w:val="none" w:sz="0" w:space="0" w:color="C4DEEE"/>
            <w:left w:val="none" w:sz="0" w:space="8" w:color="C4DEEE"/>
            <w:bottom w:val="none" w:sz="0" w:space="0" w:color="C4DEEE"/>
            <w:right w:val="none" w:sz="0" w:space="0" w:color="C4DEEE"/>
          </w:divBdr>
        </w:div>
      </w:divsChild>
    </w:div>
    <w:div w:id="1931890482">
      <w:bodyDiv w:val="1"/>
      <w:marLeft w:val="0"/>
      <w:marRight w:val="0"/>
      <w:marTop w:val="0"/>
      <w:marBottom w:val="0"/>
      <w:divBdr>
        <w:top w:val="none" w:sz="0" w:space="0" w:color="auto"/>
        <w:left w:val="none" w:sz="0" w:space="0" w:color="auto"/>
        <w:bottom w:val="none" w:sz="0" w:space="0" w:color="auto"/>
        <w:right w:val="none" w:sz="0" w:space="0" w:color="auto"/>
      </w:divBdr>
    </w:div>
    <w:div w:id="1964769945">
      <w:bodyDiv w:val="1"/>
      <w:marLeft w:val="0"/>
      <w:marRight w:val="0"/>
      <w:marTop w:val="0"/>
      <w:marBottom w:val="0"/>
      <w:divBdr>
        <w:top w:val="none" w:sz="0" w:space="0" w:color="auto"/>
        <w:left w:val="none" w:sz="0" w:space="0" w:color="auto"/>
        <w:bottom w:val="none" w:sz="0" w:space="0" w:color="auto"/>
        <w:right w:val="none" w:sz="0" w:space="0" w:color="auto"/>
      </w:divBdr>
    </w:div>
    <w:div w:id="1993945312">
      <w:bodyDiv w:val="1"/>
      <w:marLeft w:val="0"/>
      <w:marRight w:val="0"/>
      <w:marTop w:val="0"/>
      <w:marBottom w:val="0"/>
      <w:divBdr>
        <w:top w:val="none" w:sz="0" w:space="0" w:color="auto"/>
        <w:left w:val="none" w:sz="0" w:space="0" w:color="auto"/>
        <w:bottom w:val="none" w:sz="0" w:space="0" w:color="auto"/>
        <w:right w:val="none" w:sz="0" w:space="0" w:color="auto"/>
      </w:divBdr>
    </w:div>
    <w:div w:id="212468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DA67-DB44-4A2D-AA89-80A1B75B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3902</Words>
  <Characters>20768</Characters>
  <Application>Microsoft Office Word</Application>
  <DocSecurity>0</DocSecurity>
  <Lines>800</Lines>
  <Paragraphs>551</Paragraphs>
  <ScaleCrop>false</ScaleCrop>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2026-03-23T23:06:00Z</dcterms:created>
  <dcterms:modified xsi:type="dcterms:W3CDTF">2026-03-31T03:21:00Z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6a6cf725,5fd5a737,7182625b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c835619,218824a8,147774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2026-03-23T23:06:23Z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151ff7e7-051c-42a7-9633-765e81830613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