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B6" w:rsidRPr="004B3AEF" w:rsidRDefault="00346BB6" w:rsidP="004B3AEF">
      <w:pPr>
        <w:pStyle w:val="Heading1"/>
        <w:rPr>
          <w:b w:val="0"/>
          <w:bCs w:val="0"/>
        </w:rPr>
      </w:pPr>
      <w:bookmarkStart w:id="0" w:name="_GoBack"/>
      <w:bookmarkEnd w:id="0"/>
      <w:r w:rsidRPr="00BB5493">
        <w:t>App</w:t>
      </w:r>
      <w:r w:rsidR="005B6022" w:rsidRPr="004B3AEF">
        <w:t>endix H – Public Consultation</w:t>
      </w:r>
    </w:p>
    <w:p w:rsidR="00BB5493" w:rsidRDefault="00BB5493" w:rsidP="004B3AEF">
      <w:pPr>
        <w:rPr>
          <w:rFonts w:eastAsiaTheme="majorEastAsia"/>
        </w:rPr>
      </w:pPr>
    </w:p>
    <w:p w:rsidR="005B6022" w:rsidRPr="004B3AEF" w:rsidRDefault="005B6022" w:rsidP="004B3AEF">
      <w:pPr>
        <w:pStyle w:val="Heading2"/>
        <w:rPr>
          <w:b w:val="0"/>
          <w:bCs w:val="0"/>
        </w:rPr>
      </w:pPr>
      <w:r w:rsidRPr="004B3AEF">
        <w:t>Review Terms of Reference</w:t>
      </w:r>
    </w:p>
    <w:p w:rsidR="00E814ED" w:rsidRPr="005B6022" w:rsidRDefault="00E814ED" w:rsidP="004B3AEF">
      <w:pPr>
        <w:spacing w:after="200"/>
        <w:jc w:val="both"/>
        <w:rPr>
          <w:rFonts w:asciiTheme="minorHAnsi" w:eastAsiaTheme="minorHAnsi" w:hAnsiTheme="minorHAnsi" w:cstheme="minorBidi"/>
        </w:rPr>
      </w:pPr>
      <w:r w:rsidRPr="005B6022">
        <w:rPr>
          <w:rFonts w:asciiTheme="minorHAnsi" w:hAnsiTheme="minorHAnsi" w:cs="Arial"/>
        </w:rPr>
        <w:t xml:space="preserve">Public consultation on the draft Review Terms of Reference was open between 16 October and 13 November 2015.  To view </w:t>
      </w:r>
      <w:r>
        <w:rPr>
          <w:rFonts w:asciiTheme="minorHAnsi" w:hAnsiTheme="minorHAnsi" w:cs="Arial"/>
        </w:rPr>
        <w:t xml:space="preserve">the </w:t>
      </w:r>
      <w:r w:rsidRPr="005B6022">
        <w:rPr>
          <w:rFonts w:asciiTheme="minorHAnsi" w:hAnsiTheme="minorHAnsi" w:cs="Arial"/>
        </w:rPr>
        <w:t>submissions</w:t>
      </w:r>
      <w:r>
        <w:rPr>
          <w:rFonts w:asciiTheme="minorHAnsi" w:hAnsiTheme="minorHAnsi" w:cs="Arial"/>
        </w:rPr>
        <w:t>,</w:t>
      </w:r>
      <w:r w:rsidRPr="005B6022">
        <w:rPr>
          <w:rFonts w:asciiTheme="minorHAnsi" w:hAnsiTheme="minorHAnsi" w:cs="Arial"/>
        </w:rPr>
        <w:t xml:space="preserve"> please go to the </w:t>
      </w:r>
      <w:hyperlink r:id="rId6" w:tooltip="Public Consultation page" w:history="1">
        <w:r w:rsidRPr="005B6022">
          <w:rPr>
            <w:rStyle w:val="Hyperlink"/>
            <w:rFonts w:asciiTheme="minorHAnsi" w:hAnsiTheme="minorHAnsi" w:cs="Arial"/>
          </w:rPr>
          <w:t xml:space="preserve">Public Consultation </w:t>
        </w:r>
        <w:r>
          <w:rPr>
            <w:rStyle w:val="Hyperlink"/>
            <w:rFonts w:asciiTheme="minorHAnsi" w:hAnsiTheme="minorHAnsi" w:cs="Arial"/>
          </w:rPr>
          <w:t>website</w:t>
        </w:r>
      </w:hyperlink>
      <w:r w:rsidRPr="005B6022">
        <w:rPr>
          <w:rFonts w:asciiTheme="minorHAnsi" w:hAnsiTheme="minorHAnsi" w:cs="Arial"/>
        </w:rPr>
        <w:t>.</w:t>
      </w:r>
    </w:p>
    <w:p w:rsidR="00E814ED" w:rsidRPr="00346BB6" w:rsidRDefault="00E814ED" w:rsidP="00E814ED">
      <w:pPr>
        <w:keepNext/>
        <w:keepLines/>
        <w:spacing w:before="200" w:after="20"/>
        <w:outlineLvl w:val="1"/>
        <w:rPr>
          <w:rFonts w:asciiTheme="minorHAnsi" w:eastAsiaTheme="majorEastAsia" w:hAnsiTheme="minorHAnsi" w:cstheme="majorBidi"/>
          <w:b/>
          <w:bCs/>
          <w:szCs w:val="26"/>
        </w:rPr>
      </w:pPr>
      <w:r w:rsidRPr="00346BB6">
        <w:rPr>
          <w:rFonts w:asciiTheme="minorHAnsi" w:eastAsiaTheme="majorEastAsia" w:hAnsiTheme="minorHAnsi" w:cstheme="majorBidi"/>
          <w:b/>
          <w:bCs/>
          <w:szCs w:val="26"/>
        </w:rPr>
        <w:t>Table of Submissions addressing draft Terms of Reference</w:t>
      </w:r>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5882"/>
        <w:gridCol w:w="1276"/>
      </w:tblGrid>
      <w:tr w:rsidR="00E814ED" w:rsidRPr="00346BB6" w:rsidTr="009B1B2A">
        <w:trPr>
          <w:tblHeader/>
        </w:trPr>
        <w:tc>
          <w:tcPr>
            <w:tcW w:w="1221" w:type="dxa"/>
            <w:shd w:val="clear" w:color="auto" w:fill="BFBFBF" w:themeFill="background1" w:themeFillShade="BF"/>
            <w:hideMark/>
          </w:tcPr>
          <w:p w:rsidR="00E814ED" w:rsidRPr="00346BB6" w:rsidRDefault="00E814ED" w:rsidP="009B1B2A">
            <w:pPr>
              <w:spacing w:before="60" w:after="60"/>
              <w:rPr>
                <w:rFonts w:asciiTheme="minorHAnsi" w:hAnsiTheme="minorHAnsi" w:cstheme="minorHAnsi"/>
                <w:b/>
                <w:bCs/>
                <w:sz w:val="20"/>
                <w:szCs w:val="20"/>
                <w:lang w:eastAsia="en-AU"/>
              </w:rPr>
            </w:pPr>
            <w:r w:rsidRPr="00346BB6">
              <w:rPr>
                <w:rFonts w:asciiTheme="minorHAnsi" w:hAnsiTheme="minorHAnsi" w:cstheme="minorHAnsi"/>
                <w:b/>
                <w:bCs/>
                <w:sz w:val="20"/>
                <w:szCs w:val="20"/>
                <w:lang w:eastAsia="en-AU"/>
              </w:rPr>
              <w:t>Submission</w:t>
            </w:r>
          </w:p>
        </w:tc>
        <w:tc>
          <w:tcPr>
            <w:tcW w:w="5882" w:type="dxa"/>
            <w:shd w:val="clear" w:color="auto" w:fill="BFBFBF" w:themeFill="background1" w:themeFillShade="BF"/>
            <w:hideMark/>
          </w:tcPr>
          <w:p w:rsidR="00E814ED" w:rsidRPr="00346BB6" w:rsidRDefault="00E814ED" w:rsidP="009B1B2A">
            <w:pPr>
              <w:spacing w:before="60" w:after="60"/>
              <w:rPr>
                <w:rFonts w:asciiTheme="minorHAnsi" w:hAnsiTheme="minorHAnsi" w:cstheme="minorHAnsi"/>
                <w:b/>
                <w:bCs/>
                <w:sz w:val="20"/>
                <w:szCs w:val="20"/>
                <w:lang w:eastAsia="en-AU"/>
              </w:rPr>
            </w:pPr>
            <w:r w:rsidRPr="00346BB6">
              <w:rPr>
                <w:rFonts w:asciiTheme="minorHAnsi" w:hAnsiTheme="minorHAnsi" w:cstheme="minorHAnsi"/>
                <w:b/>
                <w:bCs/>
                <w:sz w:val="20"/>
                <w:szCs w:val="20"/>
                <w:lang w:eastAsia="en-AU"/>
              </w:rPr>
              <w:t>Author Name</w:t>
            </w:r>
          </w:p>
        </w:tc>
        <w:tc>
          <w:tcPr>
            <w:tcW w:w="1276" w:type="dxa"/>
            <w:shd w:val="clear" w:color="auto" w:fill="BFBFBF" w:themeFill="background1" w:themeFillShade="BF"/>
            <w:hideMark/>
          </w:tcPr>
          <w:p w:rsidR="00E814ED" w:rsidRPr="00346BB6" w:rsidRDefault="00E814ED" w:rsidP="009B1B2A">
            <w:pPr>
              <w:spacing w:before="60" w:after="60"/>
              <w:rPr>
                <w:rFonts w:asciiTheme="minorHAnsi" w:hAnsiTheme="minorHAnsi" w:cstheme="minorHAnsi"/>
                <w:b/>
                <w:bCs/>
                <w:sz w:val="20"/>
                <w:szCs w:val="20"/>
                <w:lang w:eastAsia="en-AU"/>
              </w:rPr>
            </w:pPr>
            <w:r w:rsidRPr="00346BB6">
              <w:rPr>
                <w:rFonts w:asciiTheme="minorHAnsi" w:hAnsiTheme="minorHAnsi" w:cstheme="minorHAnsi"/>
                <w:b/>
                <w:bCs/>
                <w:sz w:val="20"/>
                <w:szCs w:val="20"/>
                <w:lang w:eastAsia="en-AU"/>
              </w:rPr>
              <w:t>Date Received</w:t>
            </w:r>
          </w:p>
        </w:tc>
      </w:tr>
      <w:tr w:rsidR="00E814ED" w:rsidRPr="00346BB6" w:rsidTr="009B1B2A">
        <w:tc>
          <w:tcPr>
            <w:tcW w:w="1221"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1</w:t>
            </w:r>
          </w:p>
        </w:tc>
        <w:tc>
          <w:tcPr>
            <w:tcW w:w="5882"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Academic/ Health professional</w:t>
            </w:r>
          </w:p>
        </w:tc>
        <w:tc>
          <w:tcPr>
            <w:tcW w:w="1276"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30/10/2015</w:t>
            </w:r>
          </w:p>
        </w:tc>
      </w:tr>
      <w:tr w:rsidR="00E814ED" w:rsidRPr="00346BB6" w:rsidTr="009B1B2A">
        <w:tc>
          <w:tcPr>
            <w:tcW w:w="1221"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w:t>
            </w:r>
          </w:p>
        </w:tc>
        <w:tc>
          <w:tcPr>
            <w:tcW w:w="5882"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proofErr w:type="spellStart"/>
            <w:r w:rsidRPr="00346BB6">
              <w:rPr>
                <w:rFonts w:asciiTheme="minorHAnsi" w:hAnsiTheme="minorHAnsi" w:cstheme="minorHAnsi"/>
                <w:sz w:val="20"/>
                <w:szCs w:val="20"/>
                <w:lang w:eastAsia="en-AU"/>
              </w:rPr>
              <w:t>Prof.</w:t>
            </w:r>
            <w:proofErr w:type="spellEnd"/>
            <w:r w:rsidRPr="00346BB6">
              <w:rPr>
                <w:rFonts w:asciiTheme="minorHAnsi" w:hAnsiTheme="minorHAnsi" w:cstheme="minorHAnsi"/>
                <w:sz w:val="20"/>
                <w:szCs w:val="20"/>
                <w:lang w:eastAsia="en-AU"/>
              </w:rPr>
              <w:t xml:space="preserve"> Paul Nestel</w:t>
            </w:r>
          </w:p>
        </w:tc>
        <w:tc>
          <w:tcPr>
            <w:tcW w:w="1276"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5/11/2015</w:t>
            </w:r>
          </w:p>
        </w:tc>
      </w:tr>
      <w:tr w:rsidR="00E814ED" w:rsidRPr="00346BB6" w:rsidTr="009B1B2A">
        <w:tc>
          <w:tcPr>
            <w:tcW w:w="1221"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3</w:t>
            </w:r>
          </w:p>
        </w:tc>
        <w:tc>
          <w:tcPr>
            <w:tcW w:w="5882"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Academic/ Health professional</w:t>
            </w:r>
          </w:p>
        </w:tc>
        <w:tc>
          <w:tcPr>
            <w:tcW w:w="1276"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5/11/2015</w:t>
            </w:r>
          </w:p>
        </w:tc>
      </w:tr>
      <w:tr w:rsidR="00E814ED" w:rsidRPr="00346BB6" w:rsidTr="009B1B2A">
        <w:tc>
          <w:tcPr>
            <w:tcW w:w="1221"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4</w:t>
            </w:r>
          </w:p>
        </w:tc>
        <w:tc>
          <w:tcPr>
            <w:tcW w:w="5882"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Merck Sharpe &amp; Dohme (Australia) Pty Limited</w:t>
            </w:r>
          </w:p>
        </w:tc>
        <w:tc>
          <w:tcPr>
            <w:tcW w:w="1276"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13/11/2015</w:t>
            </w:r>
          </w:p>
        </w:tc>
      </w:tr>
      <w:tr w:rsidR="00E814ED" w:rsidRPr="00346BB6" w:rsidTr="009B1B2A">
        <w:tc>
          <w:tcPr>
            <w:tcW w:w="1221"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5</w:t>
            </w:r>
          </w:p>
        </w:tc>
        <w:tc>
          <w:tcPr>
            <w:tcW w:w="5882"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Medicines Australia</w:t>
            </w:r>
          </w:p>
        </w:tc>
        <w:tc>
          <w:tcPr>
            <w:tcW w:w="1276"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13/11/2015</w:t>
            </w:r>
          </w:p>
        </w:tc>
      </w:tr>
      <w:tr w:rsidR="00E814ED" w:rsidRPr="00346BB6" w:rsidTr="009B1B2A">
        <w:tc>
          <w:tcPr>
            <w:tcW w:w="1221"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6</w:t>
            </w:r>
          </w:p>
        </w:tc>
        <w:tc>
          <w:tcPr>
            <w:tcW w:w="5882"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Kidney Health Australia</w:t>
            </w:r>
          </w:p>
        </w:tc>
        <w:tc>
          <w:tcPr>
            <w:tcW w:w="1276" w:type="dxa"/>
            <w:shd w:val="clear" w:color="auto" w:fill="auto"/>
            <w:vAlign w:val="center"/>
            <w:hideMark/>
          </w:tcPr>
          <w:p w:rsidR="00E814ED" w:rsidRPr="00346BB6" w:rsidRDefault="00E814ED" w:rsidP="009B1B2A">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16/11/2015</w:t>
            </w:r>
          </w:p>
        </w:tc>
      </w:tr>
    </w:tbl>
    <w:p w:rsidR="00094ACA" w:rsidRDefault="00094ACA" w:rsidP="004B3AEF"/>
    <w:p w:rsidR="005B6022" w:rsidRPr="004B3AEF" w:rsidRDefault="00CA247E" w:rsidP="004B3AEF">
      <w:pPr>
        <w:spacing w:after="200"/>
        <w:rPr>
          <w:rFonts w:asciiTheme="minorHAnsi" w:eastAsiaTheme="majorEastAsia" w:hAnsiTheme="minorHAnsi" w:cstheme="majorBidi"/>
          <w:b/>
          <w:bCs/>
        </w:rPr>
      </w:pPr>
      <w:r w:rsidRPr="004B3AEF">
        <w:rPr>
          <w:rFonts w:asciiTheme="minorHAnsi" w:hAnsiTheme="minorHAnsi"/>
        </w:rPr>
        <w:t xml:space="preserve">Public consultation addressing the final Review Terms of Reference was open between 4 March and 22 April 2016. To view </w:t>
      </w:r>
      <w:r w:rsidR="00E814ED" w:rsidRPr="004B3AEF">
        <w:rPr>
          <w:rFonts w:asciiTheme="minorHAnsi" w:hAnsiTheme="minorHAnsi"/>
        </w:rPr>
        <w:t xml:space="preserve">the </w:t>
      </w:r>
      <w:r w:rsidRPr="004B3AEF">
        <w:rPr>
          <w:rFonts w:asciiTheme="minorHAnsi" w:hAnsiTheme="minorHAnsi"/>
        </w:rPr>
        <w:t>submissions</w:t>
      </w:r>
      <w:r w:rsidR="00E814ED" w:rsidRPr="004B3AEF">
        <w:rPr>
          <w:rFonts w:asciiTheme="minorHAnsi" w:hAnsiTheme="minorHAnsi"/>
        </w:rPr>
        <w:t>,</w:t>
      </w:r>
      <w:r w:rsidRPr="004B3AEF">
        <w:rPr>
          <w:rFonts w:asciiTheme="minorHAnsi" w:hAnsiTheme="minorHAnsi"/>
        </w:rPr>
        <w:t xml:space="preserve"> please go to the </w:t>
      </w:r>
      <w:hyperlink r:id="rId7" w:tooltip="Public Consultation page" w:history="1">
        <w:r w:rsidRPr="00094ACA">
          <w:rPr>
            <w:rStyle w:val="Hyperlink"/>
            <w:rFonts w:asciiTheme="minorHAnsi" w:hAnsiTheme="minorHAnsi" w:cs="Arial"/>
          </w:rPr>
          <w:t xml:space="preserve">Public Consultation </w:t>
        </w:r>
        <w:r w:rsidR="00E814ED" w:rsidRPr="00094ACA">
          <w:rPr>
            <w:rStyle w:val="Hyperlink"/>
            <w:rFonts w:asciiTheme="minorHAnsi" w:hAnsiTheme="minorHAnsi" w:cs="Arial"/>
          </w:rPr>
          <w:t>website</w:t>
        </w:r>
      </w:hyperlink>
      <w:r w:rsidRPr="004B3AEF">
        <w:rPr>
          <w:rFonts w:asciiTheme="minorHAnsi" w:hAnsiTheme="minorHAnsi"/>
        </w:rPr>
        <w:t>.</w:t>
      </w:r>
    </w:p>
    <w:p w:rsidR="00346BB6" w:rsidRPr="004B3AEF" w:rsidRDefault="00346BB6" w:rsidP="004B3AEF">
      <w:pPr>
        <w:rPr>
          <w:rFonts w:asciiTheme="minorHAnsi" w:eastAsiaTheme="majorEastAsia" w:hAnsiTheme="minorHAnsi" w:cstheme="majorBidi"/>
          <w:b/>
          <w:bCs/>
          <w:szCs w:val="26"/>
        </w:rPr>
      </w:pPr>
      <w:r w:rsidRPr="004B3AEF">
        <w:rPr>
          <w:rFonts w:asciiTheme="minorHAnsi" w:eastAsiaTheme="majorEastAsia" w:hAnsiTheme="minorHAnsi" w:cstheme="majorBidi"/>
          <w:b/>
          <w:bCs/>
          <w:szCs w:val="26"/>
        </w:rPr>
        <w:t>Table of Submissions addressing final Terms of Reference</w:t>
      </w:r>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5882"/>
        <w:gridCol w:w="1276"/>
      </w:tblGrid>
      <w:tr w:rsidR="00346BB6" w:rsidRPr="00346BB6" w:rsidTr="00CA247E">
        <w:trPr>
          <w:tblHeader/>
        </w:trPr>
        <w:tc>
          <w:tcPr>
            <w:tcW w:w="1221" w:type="dxa"/>
            <w:shd w:val="clear" w:color="auto" w:fill="BFBFBF" w:themeFill="background1" w:themeFillShade="BF"/>
            <w:hideMark/>
          </w:tcPr>
          <w:p w:rsidR="00346BB6" w:rsidRPr="00346BB6" w:rsidRDefault="00346BB6" w:rsidP="00346BB6">
            <w:pPr>
              <w:spacing w:before="60" w:after="60"/>
              <w:rPr>
                <w:rFonts w:asciiTheme="minorHAnsi" w:hAnsiTheme="minorHAnsi" w:cstheme="minorHAnsi"/>
                <w:b/>
                <w:bCs/>
                <w:sz w:val="20"/>
                <w:szCs w:val="20"/>
                <w:lang w:eastAsia="en-AU"/>
              </w:rPr>
            </w:pPr>
            <w:r w:rsidRPr="00346BB6">
              <w:rPr>
                <w:rFonts w:asciiTheme="minorHAnsi" w:hAnsiTheme="minorHAnsi" w:cstheme="minorHAnsi"/>
                <w:b/>
                <w:bCs/>
                <w:sz w:val="20"/>
                <w:szCs w:val="20"/>
                <w:lang w:eastAsia="en-AU"/>
              </w:rPr>
              <w:t>Submission</w:t>
            </w:r>
          </w:p>
        </w:tc>
        <w:tc>
          <w:tcPr>
            <w:tcW w:w="5882" w:type="dxa"/>
            <w:shd w:val="clear" w:color="auto" w:fill="BFBFBF" w:themeFill="background1" w:themeFillShade="BF"/>
            <w:hideMark/>
          </w:tcPr>
          <w:p w:rsidR="00346BB6" w:rsidRPr="00346BB6" w:rsidRDefault="00346BB6" w:rsidP="00346BB6">
            <w:pPr>
              <w:spacing w:before="60" w:after="60"/>
              <w:rPr>
                <w:rFonts w:asciiTheme="minorHAnsi" w:hAnsiTheme="minorHAnsi" w:cstheme="minorHAnsi"/>
                <w:b/>
                <w:bCs/>
                <w:sz w:val="20"/>
                <w:szCs w:val="20"/>
                <w:lang w:eastAsia="en-AU"/>
              </w:rPr>
            </w:pPr>
            <w:r w:rsidRPr="00346BB6">
              <w:rPr>
                <w:rFonts w:asciiTheme="minorHAnsi" w:hAnsiTheme="minorHAnsi" w:cstheme="minorHAnsi"/>
                <w:b/>
                <w:bCs/>
                <w:sz w:val="20"/>
                <w:szCs w:val="20"/>
                <w:lang w:eastAsia="en-AU"/>
              </w:rPr>
              <w:t>Author Name</w:t>
            </w:r>
          </w:p>
        </w:tc>
        <w:tc>
          <w:tcPr>
            <w:tcW w:w="1276" w:type="dxa"/>
            <w:shd w:val="clear" w:color="auto" w:fill="BFBFBF" w:themeFill="background1" w:themeFillShade="BF"/>
            <w:hideMark/>
          </w:tcPr>
          <w:p w:rsidR="00346BB6" w:rsidRPr="00346BB6" w:rsidRDefault="00346BB6" w:rsidP="00346BB6">
            <w:pPr>
              <w:spacing w:before="60" w:after="60"/>
              <w:rPr>
                <w:rFonts w:asciiTheme="minorHAnsi" w:hAnsiTheme="minorHAnsi" w:cstheme="minorHAnsi"/>
                <w:b/>
                <w:bCs/>
                <w:sz w:val="20"/>
                <w:szCs w:val="20"/>
                <w:lang w:eastAsia="en-AU"/>
              </w:rPr>
            </w:pPr>
            <w:r w:rsidRPr="00346BB6">
              <w:rPr>
                <w:rFonts w:asciiTheme="minorHAnsi" w:hAnsiTheme="minorHAnsi" w:cstheme="minorHAnsi"/>
                <w:b/>
                <w:bCs/>
                <w:sz w:val="20"/>
                <w:szCs w:val="20"/>
                <w:lang w:eastAsia="en-AU"/>
              </w:rPr>
              <w:t>Date Received</w:t>
            </w:r>
          </w:p>
        </w:tc>
      </w:tr>
      <w:tr w:rsidR="00346BB6" w:rsidRPr="00346BB6" w:rsidTr="00CA247E">
        <w:tc>
          <w:tcPr>
            <w:tcW w:w="1221"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1</w:t>
            </w:r>
          </w:p>
        </w:tc>
        <w:tc>
          <w:tcPr>
            <w:tcW w:w="5882"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Council of Australian Therapeutic Advisory Groups (CATAG)</w:t>
            </w:r>
          </w:p>
        </w:tc>
        <w:tc>
          <w:tcPr>
            <w:tcW w:w="1276"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20/04/2016</w:t>
            </w:r>
          </w:p>
        </w:tc>
      </w:tr>
      <w:tr w:rsidR="00346BB6" w:rsidRPr="00346BB6" w:rsidTr="00CA247E">
        <w:tc>
          <w:tcPr>
            <w:tcW w:w="1221"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w:t>
            </w:r>
          </w:p>
        </w:tc>
        <w:tc>
          <w:tcPr>
            <w:tcW w:w="5882"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Assoc. Prof. John Amerena</w:t>
            </w:r>
          </w:p>
        </w:tc>
        <w:tc>
          <w:tcPr>
            <w:tcW w:w="1276"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21/04/2016</w:t>
            </w:r>
          </w:p>
        </w:tc>
      </w:tr>
      <w:tr w:rsidR="00346BB6" w:rsidRPr="00346BB6" w:rsidTr="00CA247E">
        <w:tc>
          <w:tcPr>
            <w:tcW w:w="1221"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3</w:t>
            </w:r>
          </w:p>
        </w:tc>
        <w:tc>
          <w:tcPr>
            <w:tcW w:w="5882"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Amgen Australia Pty Ltd</w:t>
            </w:r>
          </w:p>
        </w:tc>
        <w:tc>
          <w:tcPr>
            <w:tcW w:w="1276"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22/04/2016</w:t>
            </w:r>
          </w:p>
        </w:tc>
      </w:tr>
      <w:tr w:rsidR="00346BB6" w:rsidRPr="00346BB6" w:rsidTr="00CA247E">
        <w:tc>
          <w:tcPr>
            <w:tcW w:w="1221"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4</w:t>
            </w:r>
          </w:p>
        </w:tc>
        <w:tc>
          <w:tcPr>
            <w:tcW w:w="5882"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Sanofi</w:t>
            </w:r>
          </w:p>
        </w:tc>
        <w:tc>
          <w:tcPr>
            <w:tcW w:w="1276"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22/04/2016</w:t>
            </w:r>
          </w:p>
        </w:tc>
      </w:tr>
      <w:tr w:rsidR="00346BB6" w:rsidRPr="00346BB6" w:rsidTr="00CA247E">
        <w:tc>
          <w:tcPr>
            <w:tcW w:w="1221"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5</w:t>
            </w:r>
          </w:p>
        </w:tc>
        <w:tc>
          <w:tcPr>
            <w:tcW w:w="5882"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Merck Sharp &amp; Dohme (Australia) Pty Limited</w:t>
            </w:r>
          </w:p>
        </w:tc>
        <w:tc>
          <w:tcPr>
            <w:tcW w:w="1276"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22/04/2016</w:t>
            </w:r>
          </w:p>
        </w:tc>
      </w:tr>
      <w:tr w:rsidR="00346BB6" w:rsidRPr="00346BB6" w:rsidTr="00CA247E">
        <w:tc>
          <w:tcPr>
            <w:tcW w:w="1221"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6</w:t>
            </w:r>
          </w:p>
        </w:tc>
        <w:tc>
          <w:tcPr>
            <w:tcW w:w="5882"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Medicines Australia</w:t>
            </w:r>
          </w:p>
        </w:tc>
        <w:tc>
          <w:tcPr>
            <w:tcW w:w="1276" w:type="dxa"/>
            <w:shd w:val="clear" w:color="auto" w:fill="auto"/>
            <w:vAlign w:val="center"/>
            <w:hideMark/>
          </w:tcPr>
          <w:p w:rsidR="00346BB6" w:rsidRPr="00346BB6" w:rsidRDefault="00346BB6" w:rsidP="00346BB6">
            <w:pPr>
              <w:spacing w:before="60" w:after="60"/>
              <w:rPr>
                <w:rFonts w:asciiTheme="minorHAnsi" w:hAnsiTheme="minorHAnsi" w:cstheme="minorHAnsi"/>
                <w:sz w:val="20"/>
                <w:szCs w:val="20"/>
                <w:lang w:eastAsia="en-AU"/>
              </w:rPr>
            </w:pPr>
            <w:r w:rsidRPr="00346BB6">
              <w:rPr>
                <w:rFonts w:asciiTheme="minorHAnsi" w:hAnsiTheme="minorHAnsi" w:cstheme="minorHAnsi"/>
                <w:sz w:val="20"/>
                <w:szCs w:val="20"/>
                <w:lang w:eastAsia="en-AU"/>
              </w:rPr>
              <w:t>22/04/2016</w:t>
            </w:r>
          </w:p>
        </w:tc>
      </w:tr>
    </w:tbl>
    <w:p w:rsidR="00003743" w:rsidRDefault="00003743" w:rsidP="002F3AE3"/>
    <w:p w:rsidR="00D237CB" w:rsidRDefault="00D237CB" w:rsidP="004B3AEF">
      <w:pPr>
        <w:pStyle w:val="Heading2"/>
      </w:pPr>
      <w:r>
        <w:t>Draft Report</w:t>
      </w:r>
    </w:p>
    <w:p w:rsidR="000256B9" w:rsidRPr="004B3AEF" w:rsidRDefault="00886E9A" w:rsidP="004B3AEF">
      <w:pPr>
        <w:jc w:val="both"/>
        <w:rPr>
          <w:rFonts w:asciiTheme="minorHAnsi" w:hAnsiTheme="minorHAnsi"/>
        </w:rPr>
      </w:pPr>
      <w:r w:rsidRPr="004B3AEF">
        <w:rPr>
          <w:rFonts w:asciiTheme="minorHAnsi" w:hAnsiTheme="minorHAnsi"/>
        </w:rPr>
        <w:t>The draft Report on the Post-market Review of Ezetimibe was made available for public comment from 30 January to 10 February 2017. Fourteen submissions were received</w:t>
      </w:r>
      <w:r w:rsidR="007E7DAB" w:rsidRPr="004B3AEF">
        <w:rPr>
          <w:rFonts w:asciiTheme="minorHAnsi" w:hAnsiTheme="minorHAnsi"/>
        </w:rPr>
        <w:t>, including from the sponsor</w:t>
      </w:r>
      <w:r w:rsidR="00E814ED" w:rsidRPr="004B3AEF">
        <w:rPr>
          <w:rFonts w:asciiTheme="minorHAnsi" w:hAnsiTheme="minorHAnsi"/>
        </w:rPr>
        <w:t>,</w:t>
      </w:r>
      <w:r w:rsidR="007E7DAB" w:rsidRPr="004B3AEF">
        <w:rPr>
          <w:rFonts w:asciiTheme="minorHAnsi" w:hAnsiTheme="minorHAnsi"/>
        </w:rPr>
        <w:t xml:space="preserve"> </w:t>
      </w:r>
      <w:r w:rsidR="00E814ED" w:rsidRPr="004B3AEF">
        <w:rPr>
          <w:rFonts w:asciiTheme="minorHAnsi" w:hAnsiTheme="minorHAnsi"/>
        </w:rPr>
        <w:t xml:space="preserve">Merck Sharpe &amp; Dohme </w:t>
      </w:r>
      <w:r w:rsidR="007E7DAB" w:rsidRPr="004B3AEF">
        <w:rPr>
          <w:rFonts w:asciiTheme="minorHAnsi" w:hAnsiTheme="minorHAnsi"/>
        </w:rPr>
        <w:t>(MSD)</w:t>
      </w:r>
      <w:r w:rsidR="00E814ED" w:rsidRPr="004B3AEF">
        <w:rPr>
          <w:rFonts w:asciiTheme="minorHAnsi" w:hAnsiTheme="minorHAnsi"/>
        </w:rPr>
        <w:t>;</w:t>
      </w:r>
      <w:r w:rsidR="007E7DAB" w:rsidRPr="004B3AEF">
        <w:rPr>
          <w:rFonts w:asciiTheme="minorHAnsi" w:hAnsiTheme="minorHAnsi"/>
        </w:rPr>
        <w:t xml:space="preserve"> industry (2)</w:t>
      </w:r>
      <w:r w:rsidR="00E814ED" w:rsidRPr="004B3AEF">
        <w:rPr>
          <w:rFonts w:asciiTheme="minorHAnsi" w:hAnsiTheme="minorHAnsi"/>
        </w:rPr>
        <w:t>;</w:t>
      </w:r>
      <w:r w:rsidR="007E7DAB" w:rsidRPr="004B3AEF">
        <w:rPr>
          <w:rFonts w:asciiTheme="minorHAnsi" w:hAnsiTheme="minorHAnsi"/>
        </w:rPr>
        <w:t xml:space="preserve"> individual health professionals (7)</w:t>
      </w:r>
      <w:r w:rsidR="00E814ED" w:rsidRPr="004B3AEF">
        <w:rPr>
          <w:rFonts w:asciiTheme="minorHAnsi" w:hAnsiTheme="minorHAnsi"/>
        </w:rPr>
        <w:t>;</w:t>
      </w:r>
      <w:r w:rsidR="007E7DAB" w:rsidRPr="004B3AEF">
        <w:rPr>
          <w:rFonts w:asciiTheme="minorHAnsi" w:hAnsiTheme="minorHAnsi"/>
        </w:rPr>
        <w:t xml:space="preserve"> Medicines Australia</w:t>
      </w:r>
      <w:r w:rsidR="00E814ED" w:rsidRPr="004B3AEF">
        <w:rPr>
          <w:rFonts w:asciiTheme="minorHAnsi" w:hAnsiTheme="minorHAnsi"/>
        </w:rPr>
        <w:t>;</w:t>
      </w:r>
      <w:r w:rsidR="007E7DAB" w:rsidRPr="004B3AEF">
        <w:rPr>
          <w:rFonts w:asciiTheme="minorHAnsi" w:hAnsiTheme="minorHAnsi"/>
        </w:rPr>
        <w:t xml:space="preserve"> and professional peak bodies</w:t>
      </w:r>
      <w:r w:rsidR="005B6022" w:rsidRPr="004B3AEF">
        <w:rPr>
          <w:rFonts w:asciiTheme="minorHAnsi" w:hAnsiTheme="minorHAnsi"/>
        </w:rPr>
        <w:t xml:space="preserve"> (3). Key points were included in the revised draft </w:t>
      </w:r>
      <w:r w:rsidR="00E814ED" w:rsidRPr="004B3AEF">
        <w:rPr>
          <w:rFonts w:asciiTheme="minorHAnsi" w:hAnsiTheme="minorHAnsi"/>
        </w:rPr>
        <w:t>R</w:t>
      </w:r>
      <w:r w:rsidR="005B6022" w:rsidRPr="004B3AEF">
        <w:rPr>
          <w:rFonts w:asciiTheme="minorHAnsi" w:hAnsiTheme="minorHAnsi"/>
        </w:rPr>
        <w:t>eport.</w:t>
      </w:r>
    </w:p>
    <w:p w:rsidR="00E744B2" w:rsidRPr="005B6022" w:rsidRDefault="00E744B2" w:rsidP="004B3AEF">
      <w:pPr>
        <w:spacing w:line="276" w:lineRule="auto"/>
        <w:jc w:val="both"/>
        <w:rPr>
          <w:rFonts w:ascii="Calibri" w:hAnsi="Calibri"/>
        </w:rPr>
      </w:pPr>
      <w:r w:rsidRPr="005B6022">
        <w:rPr>
          <w:rFonts w:ascii="Calibri" w:hAnsi="Calibri"/>
        </w:rPr>
        <w:br w:type="page"/>
      </w:r>
    </w:p>
    <w:p w:rsidR="000256B9" w:rsidRDefault="000256B9" w:rsidP="000256B9"/>
    <w:p w:rsidR="000256B9" w:rsidRDefault="001735E5" w:rsidP="004B3AEF">
      <w:pPr>
        <w:pStyle w:val="Heading2"/>
      </w:pPr>
      <w:r w:rsidRPr="00346BB6">
        <w:t>Revi</w:t>
      </w:r>
      <w:r>
        <w:t>sed Draft Report</w:t>
      </w:r>
    </w:p>
    <w:p w:rsidR="000256B9" w:rsidRPr="004B3AEF" w:rsidRDefault="000256B9" w:rsidP="004B3AEF">
      <w:pPr>
        <w:pStyle w:val="Heading3"/>
      </w:pPr>
      <w:r w:rsidRPr="004B3AEF">
        <w:t>Summary of Stakeholder Submissions</w:t>
      </w:r>
    </w:p>
    <w:p w:rsidR="000256B9" w:rsidRPr="003759A6" w:rsidRDefault="00886E9A">
      <w:pPr>
        <w:jc w:val="both"/>
        <w:rPr>
          <w:rFonts w:ascii="Calibri" w:hAnsi="Calibri"/>
        </w:rPr>
      </w:pPr>
      <w:r>
        <w:rPr>
          <w:rFonts w:ascii="Calibri" w:hAnsi="Calibri"/>
        </w:rPr>
        <w:t>T</w:t>
      </w:r>
      <w:r w:rsidR="00FF78B8">
        <w:rPr>
          <w:rFonts w:ascii="Calibri" w:hAnsi="Calibri"/>
        </w:rPr>
        <w:t xml:space="preserve">he </w:t>
      </w:r>
      <w:r w:rsidR="000256B9" w:rsidRPr="003759A6">
        <w:rPr>
          <w:rFonts w:ascii="Calibri" w:hAnsi="Calibri"/>
        </w:rPr>
        <w:t xml:space="preserve">revised draft </w:t>
      </w:r>
      <w:r w:rsidR="00E814ED">
        <w:rPr>
          <w:rFonts w:ascii="Calibri" w:hAnsi="Calibri"/>
        </w:rPr>
        <w:t>R</w:t>
      </w:r>
      <w:r w:rsidR="000256B9" w:rsidRPr="003759A6">
        <w:rPr>
          <w:rFonts w:ascii="Calibri" w:hAnsi="Calibri"/>
        </w:rPr>
        <w:t>eport</w:t>
      </w:r>
      <w:r>
        <w:rPr>
          <w:rFonts w:ascii="Calibri" w:hAnsi="Calibri"/>
        </w:rPr>
        <w:t xml:space="preserve"> was made available for public </w:t>
      </w:r>
      <w:r w:rsidR="007E7DAB">
        <w:rPr>
          <w:rFonts w:ascii="Calibri" w:hAnsi="Calibri"/>
        </w:rPr>
        <w:t>comment between</w:t>
      </w:r>
      <w:r w:rsidR="00FF78B8">
        <w:rPr>
          <w:rFonts w:ascii="Calibri" w:hAnsi="Calibri"/>
        </w:rPr>
        <w:t xml:space="preserve"> </w:t>
      </w:r>
      <w:r w:rsidR="000256B9" w:rsidRPr="003759A6">
        <w:rPr>
          <w:rFonts w:ascii="Calibri" w:hAnsi="Calibri"/>
        </w:rPr>
        <w:t>23 May and 6 June 2017</w:t>
      </w:r>
      <w:r w:rsidR="001F6AB4" w:rsidRPr="003759A6">
        <w:rPr>
          <w:rFonts w:ascii="Calibri" w:hAnsi="Calibri"/>
        </w:rPr>
        <w:t>.</w:t>
      </w:r>
      <w:r w:rsidR="000256B9" w:rsidRPr="003759A6">
        <w:rPr>
          <w:rFonts w:ascii="Calibri" w:hAnsi="Calibri"/>
        </w:rPr>
        <w:t xml:space="preserve"> </w:t>
      </w:r>
      <w:r w:rsidR="00354744" w:rsidRPr="003759A6">
        <w:rPr>
          <w:rFonts w:ascii="Calibri" w:hAnsi="Calibri"/>
        </w:rPr>
        <w:t xml:space="preserve">Eight </w:t>
      </w:r>
      <w:r w:rsidR="000256B9" w:rsidRPr="003759A6">
        <w:rPr>
          <w:rFonts w:ascii="Calibri" w:hAnsi="Calibri"/>
        </w:rPr>
        <w:t>submissions were received</w:t>
      </w:r>
      <w:r w:rsidR="007E7DAB">
        <w:rPr>
          <w:rFonts w:ascii="Calibri" w:hAnsi="Calibri"/>
        </w:rPr>
        <w:t xml:space="preserve">, including from </w:t>
      </w:r>
      <w:r w:rsidR="00354744" w:rsidRPr="003759A6">
        <w:rPr>
          <w:rFonts w:ascii="Calibri" w:hAnsi="Calibri"/>
        </w:rPr>
        <w:t>the sponsor</w:t>
      </w:r>
      <w:r w:rsidR="00E814ED">
        <w:rPr>
          <w:rFonts w:ascii="Calibri" w:hAnsi="Calibri"/>
        </w:rPr>
        <w:t xml:space="preserve">, </w:t>
      </w:r>
      <w:r w:rsidR="003759A6">
        <w:rPr>
          <w:rFonts w:ascii="Calibri" w:hAnsi="Calibri"/>
        </w:rPr>
        <w:t>MSD</w:t>
      </w:r>
      <w:r w:rsidR="00E814ED">
        <w:rPr>
          <w:rFonts w:ascii="Calibri" w:hAnsi="Calibri"/>
        </w:rPr>
        <w:t>;</w:t>
      </w:r>
      <w:r w:rsidR="000256B9" w:rsidRPr="003759A6">
        <w:rPr>
          <w:rFonts w:ascii="Calibri" w:hAnsi="Calibri"/>
        </w:rPr>
        <w:t xml:space="preserve"> industry</w:t>
      </w:r>
      <w:r w:rsidR="007E7DAB">
        <w:rPr>
          <w:rFonts w:ascii="Calibri" w:hAnsi="Calibri"/>
        </w:rPr>
        <w:t xml:space="preserve"> (1)</w:t>
      </w:r>
      <w:r w:rsidR="00E814ED">
        <w:rPr>
          <w:rFonts w:ascii="Calibri" w:hAnsi="Calibri"/>
        </w:rPr>
        <w:t>;</w:t>
      </w:r>
      <w:r w:rsidR="000256B9" w:rsidRPr="003759A6">
        <w:rPr>
          <w:rFonts w:ascii="Calibri" w:hAnsi="Calibri"/>
        </w:rPr>
        <w:t xml:space="preserve"> </w:t>
      </w:r>
      <w:r w:rsidR="00354744" w:rsidRPr="003759A6">
        <w:rPr>
          <w:rFonts w:ascii="Calibri" w:hAnsi="Calibri"/>
        </w:rPr>
        <w:t>individual</w:t>
      </w:r>
      <w:r w:rsidR="001F6AB4" w:rsidRPr="003759A6">
        <w:rPr>
          <w:rFonts w:ascii="Calibri" w:hAnsi="Calibri"/>
        </w:rPr>
        <w:t xml:space="preserve"> </w:t>
      </w:r>
      <w:r w:rsidR="000256B9" w:rsidRPr="003759A6">
        <w:rPr>
          <w:rFonts w:ascii="Calibri" w:hAnsi="Calibri"/>
        </w:rPr>
        <w:t>health professionals</w:t>
      </w:r>
      <w:r w:rsidR="007E7DAB">
        <w:rPr>
          <w:rFonts w:ascii="Calibri" w:hAnsi="Calibri"/>
        </w:rPr>
        <w:t xml:space="preserve"> (3)</w:t>
      </w:r>
      <w:r w:rsidR="00E814ED">
        <w:rPr>
          <w:rFonts w:ascii="Calibri" w:hAnsi="Calibri"/>
        </w:rPr>
        <w:t>;</w:t>
      </w:r>
      <w:r w:rsidR="000256B9" w:rsidRPr="003759A6">
        <w:rPr>
          <w:rFonts w:ascii="Calibri" w:hAnsi="Calibri"/>
        </w:rPr>
        <w:t xml:space="preserve"> Medicines Australia</w:t>
      </w:r>
      <w:r w:rsidR="00E814ED">
        <w:rPr>
          <w:rFonts w:ascii="Calibri" w:hAnsi="Calibri"/>
        </w:rPr>
        <w:t>;</w:t>
      </w:r>
      <w:r w:rsidR="000256B9" w:rsidRPr="003759A6">
        <w:rPr>
          <w:rFonts w:ascii="Calibri" w:hAnsi="Calibri"/>
        </w:rPr>
        <w:t xml:space="preserve"> and professional peak bodies</w:t>
      </w:r>
      <w:r w:rsidR="007E7DAB">
        <w:rPr>
          <w:rFonts w:ascii="Calibri" w:hAnsi="Calibri"/>
        </w:rPr>
        <w:t xml:space="preserve"> (2)</w:t>
      </w:r>
      <w:r w:rsidR="000256B9" w:rsidRPr="003759A6">
        <w:rPr>
          <w:rFonts w:ascii="Calibri" w:hAnsi="Calibri"/>
        </w:rPr>
        <w:t>.</w:t>
      </w:r>
      <w:r w:rsidR="001F6AB4" w:rsidRPr="003759A6">
        <w:rPr>
          <w:rFonts w:ascii="Calibri" w:hAnsi="Calibri"/>
        </w:rPr>
        <w:t xml:space="preserve"> </w:t>
      </w:r>
      <w:r w:rsidR="005B6022">
        <w:rPr>
          <w:rFonts w:ascii="Calibri" w:hAnsi="Calibri"/>
        </w:rPr>
        <w:t xml:space="preserve">Stakeholder submissions were compiled for PBAC consideration. </w:t>
      </w:r>
      <w:r w:rsidR="00FF78B8">
        <w:rPr>
          <w:rFonts w:ascii="Calibri" w:hAnsi="Calibri"/>
        </w:rPr>
        <w:t xml:space="preserve">Key </w:t>
      </w:r>
      <w:r w:rsidR="00BF427B">
        <w:rPr>
          <w:rFonts w:ascii="Calibri" w:hAnsi="Calibri"/>
        </w:rPr>
        <w:t>comment</w:t>
      </w:r>
      <w:r w:rsidR="00FF78B8">
        <w:rPr>
          <w:rFonts w:ascii="Calibri" w:hAnsi="Calibri"/>
        </w:rPr>
        <w:t>s included:</w:t>
      </w:r>
    </w:p>
    <w:p w:rsidR="0004646F" w:rsidRPr="00A028C0" w:rsidRDefault="0004646F" w:rsidP="004B3AEF">
      <w:pPr>
        <w:pStyle w:val="Heading3"/>
      </w:pPr>
      <w:r w:rsidRPr="00A028C0">
        <w:t>T</w:t>
      </w:r>
      <w:r w:rsidR="003759A6" w:rsidRPr="00A028C0">
        <w:t xml:space="preserve">erm </w:t>
      </w:r>
      <w:r w:rsidRPr="00A028C0">
        <w:t>o</w:t>
      </w:r>
      <w:r w:rsidR="003759A6" w:rsidRPr="00A028C0">
        <w:t xml:space="preserve">f </w:t>
      </w:r>
      <w:r w:rsidRPr="00A028C0">
        <w:t>R</w:t>
      </w:r>
      <w:r w:rsidR="003759A6" w:rsidRPr="00A028C0">
        <w:t xml:space="preserve">eference </w:t>
      </w:r>
      <w:r w:rsidRPr="00A028C0">
        <w:t>1</w:t>
      </w:r>
    </w:p>
    <w:p w:rsidR="0004646F" w:rsidRPr="003759A6" w:rsidRDefault="003759A6" w:rsidP="004B3AEF">
      <w:pPr>
        <w:pStyle w:val="ListParagraph"/>
      </w:pPr>
      <w:r>
        <w:t xml:space="preserve">There are </w:t>
      </w:r>
      <w:r w:rsidRPr="00BB5493">
        <w:t>a</w:t>
      </w:r>
      <w:r w:rsidR="0004646F" w:rsidRPr="00BB5493">
        <w:t>dditional</w:t>
      </w:r>
      <w:r w:rsidR="0004646F" w:rsidRPr="003759A6">
        <w:t xml:space="preserve"> factors </w:t>
      </w:r>
      <w:r>
        <w:t xml:space="preserve">that </w:t>
      </w:r>
      <w:r w:rsidR="0004646F" w:rsidRPr="003759A6">
        <w:t>contribute to the ‘uncertain’ proportion of ezetimibe use outside PBS restriction</w:t>
      </w:r>
      <w:r>
        <w:t>:</w:t>
      </w:r>
    </w:p>
    <w:p w:rsidR="0004646F" w:rsidRPr="009A4962" w:rsidRDefault="0004646F" w:rsidP="004B3AEF">
      <w:pPr>
        <w:pStyle w:val="ListParagraph"/>
        <w:numPr>
          <w:ilvl w:val="0"/>
          <w:numId w:val="10"/>
        </w:numPr>
        <w:ind w:left="709" w:hanging="425"/>
      </w:pPr>
      <w:r w:rsidRPr="009A4962">
        <w:t xml:space="preserve">Patients refuse statin therapy due to misinformation on the internet. Ezetimibe is the only alternative effective medicine for this group. </w:t>
      </w:r>
    </w:p>
    <w:p w:rsidR="0004646F" w:rsidRPr="009A4962" w:rsidRDefault="0004646F" w:rsidP="004B3AEF">
      <w:pPr>
        <w:pStyle w:val="ListParagraph"/>
        <w:numPr>
          <w:ilvl w:val="0"/>
          <w:numId w:val="10"/>
        </w:numPr>
        <w:ind w:left="709" w:hanging="425"/>
      </w:pPr>
      <w:r w:rsidRPr="009A4962">
        <w:t>A clinical situation for adding ezetimibe to suboptimal statin doses is to avoid dose dependent statin adverse effects</w:t>
      </w:r>
      <w:r w:rsidR="0004128E">
        <w:t>. For example, a</w:t>
      </w:r>
      <w:r w:rsidRPr="009A4962">
        <w:t>fter inadequate reduction in LDL-C from initial therapy of 40 mg atorvastatin</w:t>
      </w:r>
      <w:r w:rsidR="0004128E">
        <w:t>,</w:t>
      </w:r>
      <w:r w:rsidRPr="009A4962">
        <w:t xml:space="preserve"> options include increasing the dose to 80 mg (6% further LDL-C decrease) or adding ezetimibe (20% further decrease in LDL-C). </w:t>
      </w:r>
    </w:p>
    <w:p w:rsidR="00FF78B8" w:rsidRDefault="0004646F" w:rsidP="004B3AEF">
      <w:pPr>
        <w:pStyle w:val="ListParagraph"/>
        <w:numPr>
          <w:ilvl w:val="0"/>
          <w:numId w:val="10"/>
        </w:numPr>
        <w:ind w:left="709" w:hanging="425"/>
      </w:pPr>
      <w:r w:rsidRPr="00FF78B8">
        <w:t>The atorvastatin-ezetimibe combination is frequently adequate and reduces the likelihood of myalgia, necessitating cessation of statin.</w:t>
      </w:r>
      <w:r w:rsidR="00FF78B8" w:rsidRPr="00FF78B8">
        <w:t xml:space="preserve"> Statin doses can be increase</w:t>
      </w:r>
      <w:r w:rsidR="0004128E">
        <w:t>d</w:t>
      </w:r>
      <w:r w:rsidR="00FF78B8" w:rsidRPr="00FF78B8">
        <w:t xml:space="preserve"> where response is inadequate.</w:t>
      </w:r>
      <w:r w:rsidRPr="00FF78B8">
        <w:t xml:space="preserve"> </w:t>
      </w:r>
    </w:p>
    <w:p w:rsidR="00B479DF" w:rsidRPr="00FF78B8" w:rsidRDefault="003759A6" w:rsidP="004B3AEF">
      <w:pPr>
        <w:pStyle w:val="ListParagraph"/>
      </w:pPr>
      <w:r w:rsidRPr="00FF78B8">
        <w:t>E</w:t>
      </w:r>
      <w:r w:rsidR="00B479DF" w:rsidRPr="00FF78B8">
        <w:t>zetimibe use outside the prescribing restrictions is more likely 10% than up to 50%</w:t>
      </w:r>
      <w:r w:rsidR="00FF78B8">
        <w:t>.</w:t>
      </w:r>
      <w:r w:rsidR="00B479DF" w:rsidRPr="00FF78B8">
        <w:t xml:space="preserve"> </w:t>
      </w:r>
      <w:r w:rsidR="00FF78B8">
        <w:t>U</w:t>
      </w:r>
      <w:r w:rsidR="00B479DF" w:rsidRPr="00FF78B8">
        <w:t>nderutilisation is more prevalent than inappropriate use, particularly in secondary prevention and patients with familial hypercholesterolaemia.</w:t>
      </w:r>
    </w:p>
    <w:p w:rsidR="00BB57A0" w:rsidRPr="00BB57A0" w:rsidRDefault="00473E80" w:rsidP="004B3AEF">
      <w:pPr>
        <w:pStyle w:val="ListParagraph"/>
      </w:pPr>
      <w:r>
        <w:t>M</w:t>
      </w:r>
      <w:r w:rsidR="00BB57A0" w:rsidRPr="00BB57A0">
        <w:t>any patients do not tolerate statins (up to 10% of real world patients), do not achieve current LDL targets on statin therapy</w:t>
      </w:r>
      <w:r w:rsidR="0004128E">
        <w:t>,</w:t>
      </w:r>
      <w:r w:rsidR="00BB57A0" w:rsidRPr="00BB57A0">
        <w:t xml:space="preserve"> or do not want to take statins due to real/perceived side effects.</w:t>
      </w:r>
    </w:p>
    <w:p w:rsidR="00B479DF" w:rsidRPr="009A4962" w:rsidRDefault="00473E80" w:rsidP="004B3AEF">
      <w:pPr>
        <w:pStyle w:val="ListParagraph"/>
      </w:pPr>
      <w:r>
        <w:t>Stakeholders c</w:t>
      </w:r>
      <w:r w:rsidR="00B479DF" w:rsidRPr="009A4962">
        <w:t>onfirm</w:t>
      </w:r>
      <w:r>
        <w:t xml:space="preserve">ed </w:t>
      </w:r>
      <w:r w:rsidR="003759A6">
        <w:t xml:space="preserve">that </w:t>
      </w:r>
      <w:r w:rsidR="00FF78B8">
        <w:t xml:space="preserve">addition of </w:t>
      </w:r>
      <w:r w:rsidR="00B479DF" w:rsidRPr="009A4962">
        <w:t>ezetimibe</w:t>
      </w:r>
      <w:r w:rsidR="003759A6">
        <w:t xml:space="preserve"> </w:t>
      </w:r>
      <w:r w:rsidR="00B479DF" w:rsidRPr="009A4962">
        <w:t xml:space="preserve">to low dose statins </w:t>
      </w:r>
      <w:r w:rsidR="00FF78B8">
        <w:t xml:space="preserve">occurs </w:t>
      </w:r>
      <w:r w:rsidR="00B479DF" w:rsidRPr="009A4962">
        <w:t>ahead of statin up-titration for patients at high risk of adverse events.</w:t>
      </w:r>
    </w:p>
    <w:p w:rsidR="009A4962" w:rsidRDefault="00473E80" w:rsidP="004B3AEF">
      <w:pPr>
        <w:pStyle w:val="ListParagraph"/>
      </w:pPr>
      <w:r>
        <w:t>Some stakeholders maintained that t</w:t>
      </w:r>
      <w:r w:rsidR="003759A6">
        <w:t xml:space="preserve">he </w:t>
      </w:r>
      <w:r w:rsidR="009A4962" w:rsidRPr="009A4962">
        <w:t>utilisation analysis was not conducted over an appropriate time period prior to ezetimibe initiation.</w:t>
      </w:r>
    </w:p>
    <w:p w:rsidR="00F105F2" w:rsidRPr="009A4962" w:rsidRDefault="00473E80" w:rsidP="004B3AEF">
      <w:pPr>
        <w:pStyle w:val="ListParagraph"/>
      </w:pPr>
      <w:r>
        <w:t>T</w:t>
      </w:r>
      <w:r w:rsidR="00F105F2" w:rsidRPr="009A4962">
        <w:t>he report findings rely on restricting the observed prior statin period to two years</w:t>
      </w:r>
      <w:r>
        <w:t xml:space="preserve">. This </w:t>
      </w:r>
      <w:r w:rsidR="00F105F2" w:rsidRPr="009A4962">
        <w:t>is relevant to interpretation but may not be relevant when determining a price variation</w:t>
      </w:r>
      <w:r>
        <w:t>.</w:t>
      </w:r>
    </w:p>
    <w:p w:rsidR="009A4962" w:rsidRPr="009A4962" w:rsidRDefault="00FF78B8" w:rsidP="004B3AEF">
      <w:pPr>
        <w:pStyle w:val="ListParagraph"/>
      </w:pPr>
      <w:r w:rsidRPr="009A4962">
        <w:t xml:space="preserve">The evidence should support </w:t>
      </w:r>
      <w:r w:rsidR="0004128E">
        <w:t>R</w:t>
      </w:r>
      <w:r w:rsidRPr="009A4962">
        <w:t>eport recommendations adopted by the PBAC</w:t>
      </w:r>
      <w:r w:rsidR="009A4962" w:rsidRPr="009A4962">
        <w:t>. Price reductions based on uncertain utilisation would be inappropriate.</w:t>
      </w:r>
    </w:p>
    <w:p w:rsidR="009A4962" w:rsidRPr="009A4962" w:rsidRDefault="00473E80" w:rsidP="004B3AEF">
      <w:pPr>
        <w:pStyle w:val="ListParagraph"/>
      </w:pPr>
      <w:r>
        <w:t>There was c</w:t>
      </w:r>
      <w:r w:rsidR="009A4962" w:rsidRPr="009A4962">
        <w:t>oncern</w:t>
      </w:r>
      <w:r>
        <w:t xml:space="preserve"> </w:t>
      </w:r>
      <w:r w:rsidR="009A4962" w:rsidRPr="009A4962">
        <w:t xml:space="preserve">that the </w:t>
      </w:r>
      <w:r w:rsidR="0004128E">
        <w:t>R</w:t>
      </w:r>
      <w:r w:rsidR="009A4962" w:rsidRPr="009A4962">
        <w:t>eport advises the PBAC to consider a pricing recommendation informed by a wide utilisation range, despite finding the use of ezetimibe largely consistent with PBS restrictions and clinical guidelines.</w:t>
      </w:r>
    </w:p>
    <w:p w:rsidR="0004646F" w:rsidRDefault="0004646F">
      <w:pPr>
        <w:jc w:val="both"/>
        <w:rPr>
          <w:rFonts w:ascii="Calibri" w:hAnsi="Calibri"/>
          <w:color w:val="FF0000"/>
        </w:rPr>
      </w:pPr>
    </w:p>
    <w:p w:rsidR="0004646F" w:rsidRPr="00A028C0" w:rsidRDefault="0004646F" w:rsidP="004B3AEF">
      <w:pPr>
        <w:pStyle w:val="Heading3"/>
      </w:pPr>
      <w:r w:rsidRPr="00A028C0">
        <w:lastRenderedPageBreak/>
        <w:t>T</w:t>
      </w:r>
      <w:r w:rsidR="002D420D" w:rsidRPr="00A028C0">
        <w:t>erm of Reference 2</w:t>
      </w:r>
    </w:p>
    <w:p w:rsidR="0060080B" w:rsidRPr="00FA064C" w:rsidRDefault="0060080B">
      <w:pPr>
        <w:jc w:val="both"/>
        <w:rPr>
          <w:rFonts w:ascii="Calibri" w:hAnsi="Calibri"/>
        </w:rPr>
      </w:pPr>
      <w:r w:rsidRPr="00FA064C">
        <w:rPr>
          <w:rFonts w:ascii="Calibri" w:hAnsi="Calibri"/>
        </w:rPr>
        <w:t xml:space="preserve">Submissions </w:t>
      </w:r>
      <w:r w:rsidR="00E765E1" w:rsidRPr="00FA064C">
        <w:rPr>
          <w:rFonts w:ascii="Calibri" w:hAnsi="Calibri"/>
        </w:rPr>
        <w:t xml:space="preserve">acknowledged that statins are established </w:t>
      </w:r>
      <w:r w:rsidRPr="00FA064C">
        <w:rPr>
          <w:rFonts w:ascii="Calibri" w:hAnsi="Calibri"/>
        </w:rPr>
        <w:t xml:space="preserve">as first-line treatment, </w:t>
      </w:r>
      <w:r w:rsidR="00E765E1" w:rsidRPr="00FA064C">
        <w:rPr>
          <w:rFonts w:ascii="Calibri" w:hAnsi="Calibri"/>
        </w:rPr>
        <w:t xml:space="preserve">and broadly agreed that ezetimibe be maintained </w:t>
      </w:r>
      <w:r w:rsidRPr="00FA064C">
        <w:rPr>
          <w:rFonts w:ascii="Calibri" w:hAnsi="Calibri"/>
        </w:rPr>
        <w:t>as second</w:t>
      </w:r>
      <w:r w:rsidR="0004128E">
        <w:rPr>
          <w:rFonts w:ascii="Calibri" w:hAnsi="Calibri"/>
        </w:rPr>
        <w:t>-</w:t>
      </w:r>
      <w:r w:rsidRPr="00FA064C">
        <w:rPr>
          <w:rFonts w:ascii="Calibri" w:hAnsi="Calibri"/>
        </w:rPr>
        <w:t>line therapy</w:t>
      </w:r>
      <w:r w:rsidR="00E765E1" w:rsidRPr="00FA064C">
        <w:rPr>
          <w:rFonts w:ascii="Calibri" w:hAnsi="Calibri"/>
        </w:rPr>
        <w:t xml:space="preserve">, </w:t>
      </w:r>
      <w:r w:rsidR="00473E80">
        <w:rPr>
          <w:rFonts w:ascii="Calibri" w:hAnsi="Calibri"/>
        </w:rPr>
        <w:t xml:space="preserve">that </w:t>
      </w:r>
      <w:r w:rsidR="00E765E1" w:rsidRPr="00FA064C">
        <w:rPr>
          <w:rFonts w:ascii="Calibri" w:hAnsi="Calibri"/>
        </w:rPr>
        <w:t>statins be de-restricted</w:t>
      </w:r>
      <w:r w:rsidR="0004128E">
        <w:rPr>
          <w:rFonts w:ascii="Calibri" w:hAnsi="Calibri"/>
        </w:rPr>
        <w:t>,</w:t>
      </w:r>
      <w:r w:rsidR="00E765E1" w:rsidRPr="00FA064C">
        <w:rPr>
          <w:rFonts w:ascii="Calibri" w:hAnsi="Calibri"/>
        </w:rPr>
        <w:t xml:space="preserve"> and </w:t>
      </w:r>
      <w:r w:rsidR="0004128E">
        <w:rPr>
          <w:rFonts w:ascii="Calibri" w:hAnsi="Calibri"/>
        </w:rPr>
        <w:t xml:space="preserve">that </w:t>
      </w:r>
      <w:r w:rsidR="00E765E1" w:rsidRPr="00FA064C">
        <w:rPr>
          <w:rFonts w:ascii="Calibri" w:hAnsi="Calibri"/>
        </w:rPr>
        <w:t>the General Statement on Lipid Lowering Drugs be removed</w:t>
      </w:r>
      <w:r w:rsidR="0004128E">
        <w:rPr>
          <w:rFonts w:ascii="Calibri" w:hAnsi="Calibri"/>
        </w:rPr>
        <w:t xml:space="preserve"> from the PBS</w:t>
      </w:r>
      <w:r w:rsidRPr="00FA064C">
        <w:rPr>
          <w:rFonts w:ascii="Calibri" w:hAnsi="Calibri"/>
        </w:rPr>
        <w:t>. There was support for an absolute approach in assessing cardiovascular risk, noting the short comings of risk calculators in certain circumstances</w:t>
      </w:r>
      <w:r w:rsidR="00BF427B">
        <w:rPr>
          <w:rFonts w:ascii="Calibri" w:hAnsi="Calibri"/>
        </w:rPr>
        <w:t>, including</w:t>
      </w:r>
      <w:r w:rsidRPr="00FA064C">
        <w:rPr>
          <w:rFonts w:ascii="Calibri" w:hAnsi="Calibri"/>
        </w:rPr>
        <w:t>:</w:t>
      </w:r>
    </w:p>
    <w:p w:rsidR="00354744" w:rsidRPr="00BB5493" w:rsidRDefault="00EA0516" w:rsidP="004B3AEF">
      <w:pPr>
        <w:pStyle w:val="ListParagraph"/>
      </w:pPr>
      <w:r w:rsidRPr="00BB5493">
        <w:t>A</w:t>
      </w:r>
      <w:r w:rsidR="00354744" w:rsidRPr="00BB5493">
        <w:t>n inflexible risk assessment score will be confusing for prescribers in the absence of statin restrictions.</w:t>
      </w:r>
    </w:p>
    <w:p w:rsidR="00354744" w:rsidRPr="00BB5493" w:rsidRDefault="00354744" w:rsidP="004B3AEF">
      <w:pPr>
        <w:pStyle w:val="ListParagraph"/>
      </w:pPr>
      <w:r w:rsidRPr="00BB5493">
        <w:t xml:space="preserve">Risk calculators are susceptible to error, with analyses finding significant numbers of patients requiring statins excluded. </w:t>
      </w:r>
      <w:r w:rsidR="00FA064C" w:rsidRPr="00BB5493">
        <w:t>There may be s</w:t>
      </w:r>
      <w:r w:rsidRPr="00BB5493">
        <w:t>imilar outcomes for ezetimibe</w:t>
      </w:r>
      <w:r w:rsidR="00FA064C" w:rsidRPr="00BB5493">
        <w:t>.</w:t>
      </w:r>
    </w:p>
    <w:p w:rsidR="009A4962" w:rsidRPr="00BB5493" w:rsidRDefault="00EA0516" w:rsidP="004B3AEF">
      <w:pPr>
        <w:pStyle w:val="ListParagraph"/>
      </w:pPr>
      <w:r w:rsidRPr="00BB5493">
        <w:t>R</w:t>
      </w:r>
      <w:r w:rsidR="009A4962" w:rsidRPr="00BB5493">
        <w:t xml:space="preserve">estricting ezetimibe to secondary and primary prevention in patients who have a </w:t>
      </w:r>
      <w:r w:rsidR="00FA064C" w:rsidRPr="00BB5493">
        <w:t xml:space="preserve">greater than </w:t>
      </w:r>
      <w:r w:rsidR="009A4962" w:rsidRPr="00BB5493">
        <w:t>15%/5 years risk, would disadvantage patients where risk calculators underestimate risk.</w:t>
      </w:r>
    </w:p>
    <w:p w:rsidR="00E765E1" w:rsidRPr="00BB5493" w:rsidRDefault="00473E80" w:rsidP="004B3AEF">
      <w:pPr>
        <w:pStyle w:val="ListParagraph"/>
      </w:pPr>
      <w:r w:rsidRPr="00BB5493">
        <w:t xml:space="preserve">Whilst there </w:t>
      </w:r>
      <w:r w:rsidR="00FA064C" w:rsidRPr="00BB5493">
        <w:t>was support for i</w:t>
      </w:r>
      <w:r w:rsidR="00EA0516" w:rsidRPr="00BB5493">
        <w:t xml:space="preserve">nclusion of the </w:t>
      </w:r>
      <w:r w:rsidR="00E765E1" w:rsidRPr="00BB5493">
        <w:t xml:space="preserve">Australian Absolute Cardiovascular Disease Risk calculator in </w:t>
      </w:r>
      <w:r w:rsidR="00EA0516" w:rsidRPr="00BB5493">
        <w:t xml:space="preserve">the </w:t>
      </w:r>
      <w:r w:rsidR="00E765E1" w:rsidRPr="00BB5493">
        <w:t>ezetimibe PBS restrictions</w:t>
      </w:r>
      <w:r w:rsidR="00FA064C" w:rsidRPr="00BB5493">
        <w:t xml:space="preserve">, </w:t>
      </w:r>
      <w:r w:rsidR="00E765E1" w:rsidRPr="00BB5493">
        <w:t>increased prescriber education would be required. A K</w:t>
      </w:r>
      <w:r w:rsidR="00E744B2" w:rsidRPr="00BB5493">
        <w:t xml:space="preserve">idney </w:t>
      </w:r>
      <w:r w:rsidR="00E765E1" w:rsidRPr="00BB5493">
        <w:t>H</w:t>
      </w:r>
      <w:r w:rsidR="00E744B2" w:rsidRPr="00BB5493">
        <w:t>ealth</w:t>
      </w:r>
      <w:r w:rsidRPr="00BB5493">
        <w:t xml:space="preserve"> </w:t>
      </w:r>
      <w:r w:rsidR="00E765E1" w:rsidRPr="00BB5493">
        <w:t>A</w:t>
      </w:r>
      <w:r w:rsidR="00E744B2" w:rsidRPr="00BB5493">
        <w:t>ustralia</w:t>
      </w:r>
      <w:r w:rsidR="00E765E1" w:rsidRPr="00BB5493">
        <w:t xml:space="preserve"> survey of 656 G</w:t>
      </w:r>
      <w:r w:rsidR="00EA0516" w:rsidRPr="00BB5493">
        <w:t xml:space="preserve">eneral </w:t>
      </w:r>
      <w:r w:rsidR="00E765E1" w:rsidRPr="00BB5493">
        <w:t>P</w:t>
      </w:r>
      <w:r w:rsidR="00EA0516" w:rsidRPr="00BB5493">
        <w:t>ractitioners</w:t>
      </w:r>
      <w:r w:rsidR="00E765E1" w:rsidRPr="00BB5493">
        <w:t xml:space="preserve"> found 32% of respondents were unable to correctly identify when and how to use the calculator.</w:t>
      </w:r>
    </w:p>
    <w:p w:rsidR="00E765E1" w:rsidRPr="004B3AEF" w:rsidRDefault="00EA0516" w:rsidP="004B3AEF">
      <w:pPr>
        <w:pStyle w:val="Heading4"/>
      </w:pPr>
      <w:r w:rsidRPr="004B3AEF">
        <w:t>C</w:t>
      </w:r>
      <w:r w:rsidR="00E744B2" w:rsidRPr="004B3AEF">
        <w:t xml:space="preserve">linical </w:t>
      </w:r>
      <w:r w:rsidR="00915D6E">
        <w:t>g</w:t>
      </w:r>
      <w:r w:rsidR="00E744B2" w:rsidRPr="004B3AEF">
        <w:t>uidelines</w:t>
      </w:r>
    </w:p>
    <w:p w:rsidR="00FA064C" w:rsidRPr="00FA064C" w:rsidRDefault="00FA064C" w:rsidP="004B3AEF">
      <w:pPr>
        <w:pStyle w:val="ListParagraph"/>
      </w:pPr>
      <w:r w:rsidRPr="00FA064C">
        <w:t>Ezetimibe is well tolerated and especially effective in combination with statins as it targets one of the two main mechanisms of cholesterol absorption. It is an important therapeutic tool in subgroups of patients.</w:t>
      </w:r>
    </w:p>
    <w:p w:rsidR="00354744" w:rsidRPr="00FA064C" w:rsidRDefault="00EA0516" w:rsidP="004B3AEF">
      <w:pPr>
        <w:pStyle w:val="ListParagraph"/>
      </w:pPr>
      <w:r w:rsidRPr="00FA064C">
        <w:t xml:space="preserve">The </w:t>
      </w:r>
      <w:r w:rsidR="00354744" w:rsidRPr="00FA064C">
        <w:t>Kidney Disease Improving Global Outcomes Group</w:t>
      </w:r>
      <w:r w:rsidRPr="00FA064C">
        <w:t xml:space="preserve"> (KDIGOG</w:t>
      </w:r>
      <w:r w:rsidR="00354744" w:rsidRPr="00FA064C">
        <w:t>)</w:t>
      </w:r>
      <w:r w:rsidRPr="00FA064C">
        <w:t xml:space="preserve"> clinical practice guidelines</w:t>
      </w:r>
      <w:r w:rsidR="00354744" w:rsidRPr="00FA064C">
        <w:t xml:space="preserve"> recommend adults with </w:t>
      </w:r>
      <w:r w:rsidRPr="00FA064C">
        <w:t xml:space="preserve">chronic kidney disease (CKD) </w:t>
      </w:r>
      <w:r w:rsidR="00354744" w:rsidRPr="00FA064C">
        <w:t>are treated with statin</w:t>
      </w:r>
      <w:r w:rsidRPr="00FA064C">
        <w:t>s</w:t>
      </w:r>
      <w:r w:rsidR="00354744" w:rsidRPr="00FA064C">
        <w:t xml:space="preserve"> or ezetimibe/statin combination.</w:t>
      </w:r>
    </w:p>
    <w:p w:rsidR="00354744" w:rsidRPr="00FA064C" w:rsidRDefault="002D420D" w:rsidP="004B3AEF">
      <w:pPr>
        <w:pStyle w:val="ListParagraph"/>
      </w:pPr>
      <w:r w:rsidRPr="00FA064C">
        <w:t>There was support for i</w:t>
      </w:r>
      <w:r w:rsidR="00354744" w:rsidRPr="00FA064C">
        <w:t>mproved access to statin-ezetimibe co-packs</w:t>
      </w:r>
      <w:r w:rsidR="00EA0516" w:rsidRPr="00FA064C">
        <w:t xml:space="preserve"> </w:t>
      </w:r>
      <w:r w:rsidR="00354744" w:rsidRPr="00FA064C">
        <w:t>to improve patient compliance.</w:t>
      </w:r>
    </w:p>
    <w:p w:rsidR="00FA064C" w:rsidRPr="00FA064C" w:rsidRDefault="00FA064C" w:rsidP="004B3AEF">
      <w:pPr>
        <w:pStyle w:val="ListParagraph"/>
      </w:pPr>
      <w:r w:rsidRPr="00FA064C">
        <w:t>There was also support for education initiatives to improve prescribing of lipid lowering medicines and patient compliance</w:t>
      </w:r>
      <w:r w:rsidR="00BF427B">
        <w:t>.</w:t>
      </w:r>
      <w:r w:rsidRPr="00FA064C">
        <w:t xml:space="preserve"> </w:t>
      </w:r>
    </w:p>
    <w:p w:rsidR="00E744B2" w:rsidRPr="00FA064C" w:rsidRDefault="00EA0516" w:rsidP="004B3AEF">
      <w:pPr>
        <w:pStyle w:val="ListParagraph"/>
      </w:pPr>
      <w:r w:rsidRPr="00FA064C">
        <w:t xml:space="preserve">There was agreement that LDL cholesterol is an </w:t>
      </w:r>
      <w:r w:rsidR="00E744B2" w:rsidRPr="00FA064C">
        <w:t>important and treatable risk f</w:t>
      </w:r>
      <w:r w:rsidRPr="00FA064C">
        <w:t xml:space="preserve">actor and </w:t>
      </w:r>
      <w:r w:rsidR="002D420D" w:rsidRPr="00FA064C">
        <w:t xml:space="preserve">the </w:t>
      </w:r>
      <w:r w:rsidRPr="00FA064C">
        <w:t>target of therapy in coronary heart disease</w:t>
      </w:r>
      <w:r w:rsidR="00E744B2" w:rsidRPr="00FA064C">
        <w:t>, stroke</w:t>
      </w:r>
      <w:r w:rsidRPr="00FA064C">
        <w:t xml:space="preserve"> </w:t>
      </w:r>
      <w:r w:rsidR="00E744B2" w:rsidRPr="00FA064C">
        <w:t xml:space="preserve">and </w:t>
      </w:r>
      <w:r w:rsidRPr="00FA064C">
        <w:t>peripheral vascular disease patients. S</w:t>
      </w:r>
      <w:r w:rsidR="00E744B2" w:rsidRPr="00FA064C">
        <w:t>tatins will remain first</w:t>
      </w:r>
      <w:r w:rsidR="00BF427B">
        <w:t>-</w:t>
      </w:r>
      <w:r w:rsidR="00E744B2" w:rsidRPr="00FA064C">
        <w:t>line therapy for</w:t>
      </w:r>
      <w:r w:rsidRPr="00FA064C">
        <w:t xml:space="preserve"> </w:t>
      </w:r>
      <w:r w:rsidR="002D420D" w:rsidRPr="00FA064C">
        <w:t>the foreseeable</w:t>
      </w:r>
      <w:r w:rsidR="00E744B2" w:rsidRPr="00FA064C">
        <w:t xml:space="preserve"> future.</w:t>
      </w:r>
    </w:p>
    <w:p w:rsidR="00E744B2" w:rsidRPr="00FA064C" w:rsidRDefault="00E744B2" w:rsidP="004B3AEF">
      <w:pPr>
        <w:pStyle w:val="ListParagraph"/>
      </w:pPr>
      <w:r w:rsidRPr="00FA064C">
        <w:t>Ezetimibe is the only currently available cholesterol absorption inhibitor and only therapy for sitosterolemia</w:t>
      </w:r>
      <w:r w:rsidR="002D420D" w:rsidRPr="00FA064C">
        <w:t xml:space="preserve">. While </w:t>
      </w:r>
      <w:r w:rsidRPr="00FA064C">
        <w:t>not as effective as statins</w:t>
      </w:r>
      <w:r w:rsidR="002D420D" w:rsidRPr="00FA064C">
        <w:t xml:space="preserve">, it </w:t>
      </w:r>
      <w:r w:rsidRPr="00FA064C">
        <w:t>is</w:t>
      </w:r>
      <w:r w:rsidR="002D420D" w:rsidRPr="00FA064C">
        <w:t xml:space="preserve"> a well-tolerated</w:t>
      </w:r>
      <w:r w:rsidRPr="00FA064C">
        <w:t xml:space="preserve"> and effective</w:t>
      </w:r>
      <w:r w:rsidR="002D420D" w:rsidRPr="00FA064C">
        <w:t xml:space="preserve"> second</w:t>
      </w:r>
      <w:r w:rsidR="00BF427B">
        <w:t>-</w:t>
      </w:r>
      <w:r w:rsidR="002D420D" w:rsidRPr="00FA064C">
        <w:t>line therapy.</w:t>
      </w:r>
    </w:p>
    <w:p w:rsidR="00E744B2" w:rsidRPr="006758B4" w:rsidRDefault="00E744B2" w:rsidP="004B3AEF">
      <w:pPr>
        <w:pStyle w:val="Heading4"/>
      </w:pPr>
      <w:r w:rsidRPr="006758B4">
        <w:t>PBS restrictions</w:t>
      </w:r>
    </w:p>
    <w:p w:rsidR="002D420D" w:rsidRPr="006758B4" w:rsidRDefault="002D420D" w:rsidP="004B3AEF">
      <w:pPr>
        <w:pStyle w:val="ListParagraph"/>
      </w:pPr>
      <w:r w:rsidRPr="00A028C0">
        <w:t>There was support for the existing PBS restriction criteria for ezetimibe initiation after statin intolerance. CKD patients have a higher rate of intolerance to high-dose statin therapy.</w:t>
      </w:r>
    </w:p>
    <w:p w:rsidR="00354744" w:rsidRPr="00E744B2" w:rsidRDefault="002D420D" w:rsidP="004B3AEF">
      <w:pPr>
        <w:pStyle w:val="ListParagraph"/>
      </w:pPr>
      <w:r w:rsidRPr="00A028C0">
        <w:lastRenderedPageBreak/>
        <w:t xml:space="preserve">There was agreement that </w:t>
      </w:r>
      <w:r w:rsidR="00354744" w:rsidRPr="00A028C0">
        <w:t>ezetimibe be restricted to second</w:t>
      </w:r>
      <w:r w:rsidR="00BF427B">
        <w:t>-</w:t>
      </w:r>
      <w:r w:rsidR="00354744" w:rsidRPr="00A028C0">
        <w:t>line</w:t>
      </w:r>
      <w:r w:rsidRPr="00A028C0">
        <w:t xml:space="preserve"> therapy</w:t>
      </w:r>
      <w:r w:rsidR="00354744" w:rsidRPr="00A028C0">
        <w:t xml:space="preserve"> after maximum tolerated doses of statins due to </w:t>
      </w:r>
      <w:r w:rsidR="00BF427B">
        <w:t xml:space="preserve">the </w:t>
      </w:r>
      <w:r w:rsidR="00354744" w:rsidRPr="00A028C0">
        <w:t xml:space="preserve">wealth of evidence </w:t>
      </w:r>
      <w:r w:rsidR="00354744" w:rsidRPr="00E744B2">
        <w:t xml:space="preserve">supporting statin therapy for </w:t>
      </w:r>
      <w:r>
        <w:t xml:space="preserve">cardiovascular (CV) </w:t>
      </w:r>
      <w:r w:rsidR="00354744" w:rsidRPr="00E744B2">
        <w:t>risk reduction.</w:t>
      </w:r>
    </w:p>
    <w:p w:rsidR="00E744B2" w:rsidRPr="00E744B2" w:rsidRDefault="002D420D" w:rsidP="004B3AEF">
      <w:pPr>
        <w:pStyle w:val="ListParagraph"/>
      </w:pPr>
      <w:r>
        <w:t>The</w:t>
      </w:r>
      <w:r w:rsidR="00FA064C">
        <w:t xml:space="preserve">re was support for the </w:t>
      </w:r>
      <w:r>
        <w:t xml:space="preserve">de-restriction </w:t>
      </w:r>
      <w:r w:rsidR="00E744B2" w:rsidRPr="00E744B2">
        <w:t>of statins</w:t>
      </w:r>
      <w:r w:rsidR="00BF427B">
        <w:t xml:space="preserve"> on the PBS</w:t>
      </w:r>
      <w:r w:rsidR="00FA064C">
        <w:t>.</w:t>
      </w:r>
    </w:p>
    <w:p w:rsidR="00354744" w:rsidRPr="00E744B2" w:rsidRDefault="00354744" w:rsidP="004B3AEF">
      <w:pPr>
        <w:pStyle w:val="ListParagraph"/>
      </w:pPr>
      <w:r w:rsidRPr="00E744B2">
        <w:t>The proposed definition for ‘inadequate control of hypercholesterolaemia’ in ezetimibe PBS restrictions is inappropriate because</w:t>
      </w:r>
      <w:r w:rsidR="00BF427B">
        <w:t>:</w:t>
      </w:r>
      <w:r w:rsidRPr="00E744B2">
        <w:t xml:space="preserve"> </w:t>
      </w:r>
    </w:p>
    <w:p w:rsidR="00354744" w:rsidRPr="00E744B2" w:rsidRDefault="00354744" w:rsidP="004B3AEF">
      <w:pPr>
        <w:pStyle w:val="ListParagraph"/>
        <w:numPr>
          <w:ilvl w:val="0"/>
          <w:numId w:val="11"/>
        </w:numPr>
        <w:ind w:left="709" w:hanging="425"/>
      </w:pPr>
      <w:r w:rsidRPr="00E744B2">
        <w:t>guidelines target LDL cholesterol (versus total cholesterol) for reduced CV risk</w:t>
      </w:r>
      <w:r w:rsidR="00BF427B">
        <w:t>;</w:t>
      </w:r>
      <w:r w:rsidRPr="00E744B2">
        <w:t xml:space="preserve"> and</w:t>
      </w:r>
    </w:p>
    <w:p w:rsidR="00886E9A" w:rsidRDefault="00354744" w:rsidP="004B3AEF">
      <w:pPr>
        <w:pStyle w:val="ListParagraph"/>
        <w:numPr>
          <w:ilvl w:val="0"/>
          <w:numId w:val="11"/>
        </w:numPr>
        <w:ind w:left="709" w:hanging="425"/>
      </w:pPr>
      <w:r w:rsidRPr="00CA247E">
        <w:t>major guidelines that use LDL targets set a target of &lt;1.8</w:t>
      </w:r>
      <w:r w:rsidR="00BF427B">
        <w:t xml:space="preserve"> </w:t>
      </w:r>
      <w:proofErr w:type="spellStart"/>
      <w:r w:rsidRPr="00CA247E">
        <w:t>mmol</w:t>
      </w:r>
      <w:proofErr w:type="spellEnd"/>
      <w:r w:rsidRPr="00CA247E">
        <w:t>/L for high risk patients, therefore defining inadequate control of hypercholesterolaemia for high risk patients at that level would be more appropriate.</w:t>
      </w:r>
    </w:p>
    <w:p w:rsidR="0004646F" w:rsidRPr="006758B4" w:rsidRDefault="0004646F" w:rsidP="004B3AEF">
      <w:pPr>
        <w:pStyle w:val="Heading4"/>
      </w:pPr>
      <w:r w:rsidRPr="006758B4">
        <w:t>I</w:t>
      </w:r>
      <w:r w:rsidR="00FA064C" w:rsidRPr="006758B4">
        <w:t>MPROVE-IT study</w:t>
      </w:r>
    </w:p>
    <w:p w:rsidR="00B479DF" w:rsidRPr="00BF427B" w:rsidRDefault="00A028C0" w:rsidP="004B3AEF">
      <w:pPr>
        <w:pStyle w:val="ListParagraph"/>
      </w:pPr>
      <w:r w:rsidRPr="00BF427B">
        <w:t>Stakeholders were reassured that the CV outcomes reported from the IMPROVE-IT trial were accepted by the Review</w:t>
      </w:r>
      <w:r w:rsidR="006758B4" w:rsidRPr="00BF427B">
        <w:t>, and t</w:t>
      </w:r>
      <w:r w:rsidRPr="00BF427B">
        <w:t>here was acknowledgement that ezetimibe p</w:t>
      </w:r>
      <w:r w:rsidR="00B479DF" w:rsidRPr="00BF427B">
        <w:t>erformed as expected in lowering CV events in the IMPROVE-IT study</w:t>
      </w:r>
      <w:r w:rsidR="006758B4" w:rsidRPr="00BF427B">
        <w:t xml:space="preserve">. </w:t>
      </w:r>
    </w:p>
    <w:p w:rsidR="00B479DF" w:rsidRPr="00A028C0" w:rsidRDefault="00A028C0" w:rsidP="004B3AEF">
      <w:pPr>
        <w:pStyle w:val="ListParagraph"/>
      </w:pPr>
      <w:r w:rsidRPr="00A028C0">
        <w:t>T</w:t>
      </w:r>
      <w:r w:rsidR="00B479DF" w:rsidRPr="00A028C0">
        <w:t>he IMPROVE-IT study is not representative of the PBS population and broad ranging risk stratification conclusions drawn from the analysis are difficult to support.</w:t>
      </w:r>
    </w:p>
    <w:p w:rsidR="009A4962" w:rsidRPr="00A028C0" w:rsidRDefault="009A4962" w:rsidP="004B3AEF">
      <w:pPr>
        <w:pStyle w:val="ListParagraph"/>
      </w:pPr>
      <w:r w:rsidRPr="00A028C0">
        <w:t>The IMPROVE-IT study design was flawed</w:t>
      </w:r>
      <w:r w:rsidR="00FF78B8">
        <w:t>. T</w:t>
      </w:r>
      <w:r w:rsidRPr="00A028C0">
        <w:t xml:space="preserve">he placebo group had a much higher rate of up-titration of simvastatin, diminishing the apparent efficacy of ezetimibe. </w:t>
      </w:r>
      <w:r w:rsidR="00C126C2">
        <w:t>In effect, t</w:t>
      </w:r>
      <w:r w:rsidRPr="00A028C0">
        <w:t>he trial compared simvastatin 40 mg + ezetimibe to simvastatin 40-80</w:t>
      </w:r>
      <w:r w:rsidR="00C126C2">
        <w:t> </w:t>
      </w:r>
      <w:r w:rsidRPr="00A028C0">
        <w:t>mg.</w:t>
      </w:r>
    </w:p>
    <w:p w:rsidR="009A4962" w:rsidRPr="00A028C0" w:rsidRDefault="00A028C0" w:rsidP="004B3AEF">
      <w:pPr>
        <w:pStyle w:val="ListParagraph"/>
      </w:pPr>
      <w:r w:rsidRPr="00A028C0">
        <w:t xml:space="preserve">One stakeholder noted the </w:t>
      </w:r>
      <w:r w:rsidR="009A4962" w:rsidRPr="00A028C0">
        <w:t xml:space="preserve">excellent results (RRR 27%, ARR 8%, </w:t>
      </w:r>
      <w:r w:rsidR="00FF78B8" w:rsidRPr="00A028C0">
        <w:t>and NNT</w:t>
      </w:r>
      <w:r w:rsidR="009A4962" w:rsidRPr="00A028C0">
        <w:t xml:space="preserve"> 22) in the cohort of subjects from Australia and New Zealand, contained in </w:t>
      </w:r>
      <w:r w:rsidR="00C126C2">
        <w:t xml:space="preserve">the </w:t>
      </w:r>
      <w:r w:rsidR="009A4962" w:rsidRPr="00A028C0">
        <w:t>IMPROVE-IT study appendix.</w:t>
      </w:r>
    </w:p>
    <w:p w:rsidR="0004646F" w:rsidRPr="00E120A2" w:rsidRDefault="006758B4" w:rsidP="004B3AEF">
      <w:pPr>
        <w:pStyle w:val="ListParagraph"/>
      </w:pPr>
      <w:r>
        <w:t xml:space="preserve">Another stakeholder </w:t>
      </w:r>
      <w:r w:rsidR="00A028C0" w:rsidRPr="00E120A2">
        <w:t>noted the effect of ezetimibe in the diabet</w:t>
      </w:r>
      <w:r w:rsidR="00C126C2">
        <w:t>es</w:t>
      </w:r>
      <w:r w:rsidR="00A028C0" w:rsidRPr="00E120A2">
        <w:t xml:space="preserve"> population as shown in the Bohula et al</w:t>
      </w:r>
      <w:r w:rsidR="00C126C2">
        <w:t>.</w:t>
      </w:r>
      <w:r w:rsidR="00A028C0" w:rsidRPr="00E120A2">
        <w:t xml:space="preserve"> analysis of the IMPROVE-IT study was impressive and understated. Diabetes management should be </w:t>
      </w:r>
      <w:proofErr w:type="gramStart"/>
      <w:r w:rsidR="00A028C0" w:rsidRPr="00E120A2">
        <w:t xml:space="preserve">a special category in any revised ezetimibe prescribing guidelines, noting a large percentage of patients in the high risk category </w:t>
      </w:r>
      <w:r w:rsidR="00C126C2">
        <w:t>have</w:t>
      </w:r>
      <w:proofErr w:type="gramEnd"/>
      <w:r w:rsidR="00A028C0" w:rsidRPr="00E120A2">
        <w:t xml:space="preserve"> diabet</w:t>
      </w:r>
      <w:r w:rsidR="00C126C2">
        <w:t>es</w:t>
      </w:r>
      <w:r w:rsidR="00A028C0" w:rsidRPr="00E120A2">
        <w:t>.</w:t>
      </w:r>
    </w:p>
    <w:p w:rsidR="0004646F" w:rsidRPr="00CA247E" w:rsidRDefault="009A4962" w:rsidP="004B3AEF">
      <w:pPr>
        <w:pStyle w:val="Heading3"/>
      </w:pPr>
      <w:r w:rsidRPr="00CA247E">
        <w:t>T</w:t>
      </w:r>
      <w:r w:rsidR="00BB57A0" w:rsidRPr="00CA247E">
        <w:t>erm of Reference 3</w:t>
      </w:r>
    </w:p>
    <w:p w:rsidR="005F0B1D" w:rsidRPr="004B3AEF" w:rsidRDefault="005F0B1D" w:rsidP="004B3AEF">
      <w:pPr>
        <w:ind w:firstLine="1"/>
        <w:rPr>
          <w:rFonts w:asciiTheme="minorHAnsi" w:hAnsiTheme="minorHAnsi"/>
        </w:rPr>
      </w:pPr>
      <w:r w:rsidRPr="004B3AEF">
        <w:rPr>
          <w:rFonts w:asciiTheme="minorHAnsi" w:hAnsiTheme="minorHAnsi"/>
        </w:rPr>
        <w:t>Stakeholders expressed views on cost-effectiveness and the appropriate comparator in a cost-effective analysis of ezetimibe, including:</w:t>
      </w:r>
    </w:p>
    <w:p w:rsidR="009A4962" w:rsidRPr="00E120A2" w:rsidRDefault="00E120A2" w:rsidP="004B3AEF">
      <w:pPr>
        <w:pStyle w:val="ListParagraph"/>
      </w:pPr>
      <w:r w:rsidRPr="00E120A2">
        <w:t>U</w:t>
      </w:r>
      <w:r w:rsidR="009A4962" w:rsidRPr="00E120A2">
        <w:t>p-titration of statin</w:t>
      </w:r>
      <w:r w:rsidRPr="00E120A2">
        <w:t xml:space="preserve"> monotherapy</w:t>
      </w:r>
      <w:r w:rsidR="009A4962" w:rsidRPr="00E120A2">
        <w:t xml:space="preserve"> is not a valid comparator</w:t>
      </w:r>
      <w:r w:rsidRPr="00E120A2">
        <w:t xml:space="preserve"> as ezetimibe should be used second</w:t>
      </w:r>
      <w:r w:rsidR="00C126C2">
        <w:t>-</w:t>
      </w:r>
      <w:r w:rsidRPr="00E120A2">
        <w:t>line</w:t>
      </w:r>
      <w:r w:rsidR="009A4962" w:rsidRPr="00E120A2">
        <w:t>. Ezetimibe has a special treatment role for high risk patients.</w:t>
      </w:r>
    </w:p>
    <w:p w:rsidR="009A4962" w:rsidRPr="00E120A2" w:rsidRDefault="009A4962" w:rsidP="004B3AEF">
      <w:pPr>
        <w:pStyle w:val="ListParagraph"/>
      </w:pPr>
      <w:r w:rsidRPr="00E120A2">
        <w:t xml:space="preserve">The most appropriate non statin comparator is cholestyramine. </w:t>
      </w:r>
    </w:p>
    <w:p w:rsidR="0060080B" w:rsidRPr="00E120A2" w:rsidRDefault="00E120A2" w:rsidP="004B3AEF">
      <w:pPr>
        <w:pStyle w:val="ListParagraph"/>
      </w:pPr>
      <w:r w:rsidRPr="00E120A2">
        <w:t>T</w:t>
      </w:r>
      <w:r w:rsidR="0060080B" w:rsidRPr="00E120A2">
        <w:t>he only other therapy to allow patients to achieve LDL targets in difficult clinical scenarios (e</w:t>
      </w:r>
      <w:r w:rsidR="00BB57A0" w:rsidRPr="00E120A2">
        <w:t>.</w:t>
      </w:r>
      <w:r w:rsidR="0060080B" w:rsidRPr="00E120A2">
        <w:t>g</w:t>
      </w:r>
      <w:r w:rsidR="00BB57A0" w:rsidRPr="00E120A2">
        <w:t>.</w:t>
      </w:r>
      <w:r w:rsidR="0060080B" w:rsidRPr="00E120A2">
        <w:t xml:space="preserve"> statin intolerance and genetic </w:t>
      </w:r>
      <w:r w:rsidR="00FF78B8" w:rsidRPr="00E120A2">
        <w:t>dyslipidaemia</w:t>
      </w:r>
      <w:r w:rsidR="0060080B" w:rsidRPr="00E120A2">
        <w:t>) is PCSK9 inhibition which is expensive and</w:t>
      </w:r>
      <w:r w:rsidRPr="00E120A2">
        <w:t xml:space="preserve"> only available for homozygous familial hypercholesterolaemia. </w:t>
      </w:r>
      <w:r w:rsidR="0060080B" w:rsidRPr="00E120A2">
        <w:t xml:space="preserve">PCSK9 inhibitors </w:t>
      </w:r>
      <w:r w:rsidR="00FF78B8">
        <w:t xml:space="preserve">would be appropriate </w:t>
      </w:r>
      <w:r w:rsidR="0060080B" w:rsidRPr="00E120A2">
        <w:t>comparator</w:t>
      </w:r>
      <w:r w:rsidR="00FF78B8">
        <w:t>s</w:t>
      </w:r>
      <w:r w:rsidR="0060080B" w:rsidRPr="00E120A2">
        <w:t xml:space="preserve"> in</w:t>
      </w:r>
      <w:r w:rsidR="00FF78B8">
        <w:t xml:space="preserve"> a </w:t>
      </w:r>
      <w:r w:rsidR="00FF78B8" w:rsidRPr="00E120A2">
        <w:t>cost</w:t>
      </w:r>
      <w:r w:rsidR="00FF78B8">
        <w:t>-</w:t>
      </w:r>
      <w:r w:rsidR="0060080B" w:rsidRPr="00E120A2">
        <w:t>effectiveness analysis.</w:t>
      </w:r>
    </w:p>
    <w:p w:rsidR="005F0B1D" w:rsidRDefault="005F0B1D" w:rsidP="004B3AEF">
      <w:pPr>
        <w:pStyle w:val="ListParagraph"/>
      </w:pPr>
      <w:r>
        <w:t>R</w:t>
      </w:r>
      <w:r w:rsidR="00BB57A0" w:rsidRPr="00E120A2">
        <w:t xml:space="preserve">eport conclusions on cost-effectiveness rely on assumptions and analysis that would be difficult to sustain in a new listing submission.  </w:t>
      </w:r>
    </w:p>
    <w:p w:rsidR="006758B4" w:rsidRDefault="005F0B1D" w:rsidP="004B3AEF">
      <w:pPr>
        <w:pStyle w:val="ListParagraph"/>
      </w:pPr>
      <w:r>
        <w:t>S</w:t>
      </w:r>
      <w:r w:rsidR="00BB57A0" w:rsidRPr="00E120A2">
        <w:t xml:space="preserve">uggested alterations to the time horizon </w:t>
      </w:r>
      <w:r>
        <w:t xml:space="preserve">of the model </w:t>
      </w:r>
      <w:r w:rsidR="00BB57A0" w:rsidRPr="00E120A2">
        <w:t>and comparator in the original submission</w:t>
      </w:r>
      <w:r>
        <w:t xml:space="preserve"> are </w:t>
      </w:r>
      <w:r w:rsidR="00BB57A0" w:rsidRPr="00E120A2">
        <w:t>at variance to PBAC guidelines (Version 5).</w:t>
      </w:r>
    </w:p>
    <w:p w:rsidR="001F6AB4" w:rsidRPr="008B6563" w:rsidRDefault="001F6AB4" w:rsidP="004B3AEF">
      <w:pPr>
        <w:pStyle w:val="Heading4"/>
      </w:pPr>
      <w:r w:rsidRPr="008B6563">
        <w:lastRenderedPageBreak/>
        <w:t>Post-market review process</w:t>
      </w:r>
    </w:p>
    <w:p w:rsidR="00BA79EC" w:rsidRPr="006758B4" w:rsidRDefault="008B6563" w:rsidP="004B3AEF">
      <w:pPr>
        <w:pStyle w:val="ListParagraph"/>
        <w:numPr>
          <w:ilvl w:val="0"/>
          <w:numId w:val="5"/>
        </w:numPr>
      </w:pPr>
      <w:r>
        <w:t>S</w:t>
      </w:r>
      <w:r w:rsidR="00BA79EC" w:rsidRPr="00BA79EC">
        <w:t xml:space="preserve">upport for the </w:t>
      </w:r>
      <w:r w:rsidR="00C126C2">
        <w:t>P</w:t>
      </w:r>
      <w:r w:rsidR="00BA79EC" w:rsidRPr="00BA79EC">
        <w:t xml:space="preserve">ost-market </w:t>
      </w:r>
      <w:r w:rsidR="00C126C2">
        <w:t>R</w:t>
      </w:r>
      <w:r w:rsidR="00BA79EC" w:rsidRPr="00BA79EC">
        <w:t>eview</w:t>
      </w:r>
      <w:r w:rsidR="00C126C2">
        <w:t xml:space="preserve"> (PMR)</w:t>
      </w:r>
      <w:r w:rsidR="00BA79EC" w:rsidRPr="00BA79EC">
        <w:t xml:space="preserve"> </w:t>
      </w:r>
      <w:r w:rsidR="00C126C2">
        <w:t>F</w:t>
      </w:r>
      <w:r w:rsidR="00BA79EC" w:rsidRPr="00BA79EC">
        <w:t>ramework</w:t>
      </w:r>
      <w:r w:rsidR="00BA79EC">
        <w:t xml:space="preserve"> and acknowledgment </w:t>
      </w:r>
      <w:r w:rsidR="00BA79EC" w:rsidRPr="00BA79EC">
        <w:t xml:space="preserve">that the </w:t>
      </w:r>
      <w:r w:rsidR="00C126C2">
        <w:t>R</w:t>
      </w:r>
      <w:r w:rsidR="00BA79EC" w:rsidRPr="00BA79EC">
        <w:t>eview has followed the procedural guidelines in the Framework, resulting in greater consultation and predictability</w:t>
      </w:r>
      <w:r>
        <w:t>.</w:t>
      </w:r>
      <w:r w:rsidR="00BA79EC" w:rsidRPr="00BA79EC">
        <w:t xml:space="preserve"> </w:t>
      </w:r>
    </w:p>
    <w:p w:rsidR="001F6AB4" w:rsidRDefault="006758B4" w:rsidP="004B3AEF">
      <w:pPr>
        <w:pStyle w:val="ListParagraph"/>
        <w:numPr>
          <w:ilvl w:val="0"/>
          <w:numId w:val="5"/>
        </w:numPr>
      </w:pPr>
      <w:r>
        <w:t>The R</w:t>
      </w:r>
      <w:r w:rsidR="001F6AB4" w:rsidRPr="00B479DF">
        <w:t>eview should give equal consideration to patient health outcomes as to treatment safety and efficacy</w:t>
      </w:r>
      <w:r>
        <w:t>.</w:t>
      </w:r>
    </w:p>
    <w:p w:rsidR="001F6AB4" w:rsidRPr="00B479DF" w:rsidRDefault="00FF78B8" w:rsidP="004B3AEF">
      <w:pPr>
        <w:pStyle w:val="ListParagraph"/>
        <w:numPr>
          <w:ilvl w:val="0"/>
          <w:numId w:val="5"/>
        </w:numPr>
      </w:pPr>
      <w:r>
        <w:t xml:space="preserve">Stakeholders acknowledged </w:t>
      </w:r>
      <w:r w:rsidR="00C126C2">
        <w:t xml:space="preserve">PMR </w:t>
      </w:r>
      <w:r w:rsidR="008B6563">
        <w:t xml:space="preserve">goals </w:t>
      </w:r>
      <w:r w:rsidR="001F6AB4" w:rsidRPr="00B479DF">
        <w:t>including improving the quality use of medicines, PBS viability and patient safety</w:t>
      </w:r>
      <w:r>
        <w:t xml:space="preserve">. </w:t>
      </w:r>
      <w:r w:rsidR="006758B4">
        <w:t>C</w:t>
      </w:r>
      <w:r w:rsidR="001F6AB4" w:rsidRPr="00B479DF">
        <w:t>linicians should be prescribing robustly evidence based medicines in pursuit of improved patient treatment outcomes.</w:t>
      </w:r>
    </w:p>
    <w:p w:rsidR="001F6AB4" w:rsidRDefault="00BA79EC" w:rsidP="004B3AEF">
      <w:pPr>
        <w:pStyle w:val="ListParagraph"/>
        <w:numPr>
          <w:ilvl w:val="0"/>
          <w:numId w:val="5"/>
        </w:numPr>
      </w:pPr>
      <w:r>
        <w:t xml:space="preserve">Implementation of </w:t>
      </w:r>
      <w:r w:rsidR="001F6AB4" w:rsidRPr="00B479DF">
        <w:t xml:space="preserve">outcomes from </w:t>
      </w:r>
      <w:r w:rsidR="00C126C2">
        <w:t xml:space="preserve">PMRs </w:t>
      </w:r>
      <w:r w:rsidR="001F6AB4" w:rsidRPr="00B479DF">
        <w:t>should be collaborative over appropriate timeframes</w:t>
      </w:r>
      <w:r>
        <w:t xml:space="preserve">. The </w:t>
      </w:r>
      <w:r w:rsidR="001F6AB4" w:rsidRPr="00B479DF">
        <w:t xml:space="preserve">process of implementing review outcomes is not resolved through the PMR </w:t>
      </w:r>
      <w:r w:rsidR="00C126C2">
        <w:t>F</w:t>
      </w:r>
      <w:r w:rsidR="001F6AB4" w:rsidRPr="00B479DF">
        <w:t>ramework.</w:t>
      </w:r>
    </w:p>
    <w:p w:rsidR="00BA79EC" w:rsidRPr="00B479DF" w:rsidRDefault="00BA79EC" w:rsidP="004B3AEF">
      <w:pPr>
        <w:pStyle w:val="ListParagraph"/>
        <w:numPr>
          <w:ilvl w:val="0"/>
          <w:numId w:val="5"/>
        </w:numPr>
      </w:pPr>
      <w:r w:rsidRPr="00B479DF">
        <w:t xml:space="preserve">Communication and consultation associated with implementation of PBAC outcomes from </w:t>
      </w:r>
      <w:r w:rsidR="00C126C2">
        <w:t xml:space="preserve">PMRs </w:t>
      </w:r>
      <w:r w:rsidRPr="00B479DF">
        <w:t>needs improvement to minimise disruption to stakeholders</w:t>
      </w:r>
    </w:p>
    <w:p w:rsidR="008B6563" w:rsidRDefault="00BA79EC" w:rsidP="004B3AEF">
      <w:pPr>
        <w:pStyle w:val="ListParagraph"/>
        <w:numPr>
          <w:ilvl w:val="0"/>
          <w:numId w:val="5"/>
        </w:numPr>
      </w:pPr>
      <w:r>
        <w:t xml:space="preserve">There was </w:t>
      </w:r>
      <w:r w:rsidR="001F6AB4" w:rsidRPr="00B479DF">
        <w:t xml:space="preserve">insufficient time to review the new data introduced in the final </w:t>
      </w:r>
      <w:r w:rsidR="00C126C2">
        <w:t>R</w:t>
      </w:r>
      <w:r w:rsidR="001F6AB4" w:rsidRPr="00B479DF">
        <w:t>eport.</w:t>
      </w:r>
    </w:p>
    <w:p w:rsidR="008B6563" w:rsidRPr="00243A24" w:rsidRDefault="00243A24" w:rsidP="004B3AEF">
      <w:pPr>
        <w:pStyle w:val="Heading4"/>
      </w:pPr>
      <w:r w:rsidRPr="00243A24">
        <w:t>Pricing policy</w:t>
      </w:r>
    </w:p>
    <w:p w:rsidR="001F6AB4" w:rsidRDefault="00BA79EC" w:rsidP="004B3AEF">
      <w:pPr>
        <w:pStyle w:val="ListParagraph"/>
        <w:numPr>
          <w:ilvl w:val="0"/>
          <w:numId w:val="5"/>
        </w:numPr>
      </w:pPr>
      <w:r>
        <w:t xml:space="preserve">The </w:t>
      </w:r>
      <w:r w:rsidR="001F6AB4" w:rsidRPr="00B479DF">
        <w:t xml:space="preserve">formulary separation of drugs (F1 &amp; F2) for clinical and cost-effectiveness may be eroded by the </w:t>
      </w:r>
      <w:r w:rsidR="00C126C2">
        <w:t>R</w:t>
      </w:r>
      <w:r w:rsidR="001F6AB4" w:rsidRPr="00B479DF">
        <w:t>eview.</w:t>
      </w:r>
      <w:r w:rsidR="005F0B1D">
        <w:t xml:space="preserve"> </w:t>
      </w:r>
      <w:r w:rsidR="005F0B1D" w:rsidRPr="00B479DF">
        <w:t>Erosion of pricing policy would have ramifications</w:t>
      </w:r>
      <w:r w:rsidR="008B6563">
        <w:t>.</w:t>
      </w:r>
    </w:p>
    <w:p w:rsidR="00BA79EC" w:rsidRDefault="00FF78B8" w:rsidP="004B3AEF">
      <w:pPr>
        <w:pStyle w:val="ListParagraph"/>
        <w:numPr>
          <w:ilvl w:val="0"/>
          <w:numId w:val="5"/>
        </w:numPr>
      </w:pPr>
      <w:r>
        <w:t>R</w:t>
      </w:r>
      <w:r w:rsidR="00BA79EC" w:rsidRPr="005F0B1D">
        <w:t>eferencing the price of ezetimibe (F1 medicine) against statins (F2 medicine)</w:t>
      </w:r>
      <w:r w:rsidR="008B6563">
        <w:t xml:space="preserve"> was raised</w:t>
      </w:r>
      <w:r w:rsidR="00BA79EC" w:rsidRPr="005F0B1D">
        <w:t xml:space="preserve">. Ezetimibe will soon be off patent and it would be appropriate for </w:t>
      </w:r>
      <w:r>
        <w:t xml:space="preserve">price reductions to </w:t>
      </w:r>
      <w:r w:rsidR="00886E9A">
        <w:t xml:space="preserve">occur </w:t>
      </w:r>
      <w:r w:rsidR="00BA79EC" w:rsidRPr="005F0B1D">
        <w:t xml:space="preserve">via agreed measures applied to F2 medicines rather than other means. </w:t>
      </w:r>
    </w:p>
    <w:p w:rsidR="005F0B1D" w:rsidRDefault="00CD31DD" w:rsidP="004B3AEF">
      <w:pPr>
        <w:pStyle w:val="ListParagraph"/>
        <w:numPr>
          <w:ilvl w:val="0"/>
          <w:numId w:val="5"/>
        </w:numPr>
      </w:pPr>
      <w:r>
        <w:t>Questioned t</w:t>
      </w:r>
      <w:r w:rsidR="005F0B1D">
        <w:t xml:space="preserve">he time </w:t>
      </w:r>
      <w:r w:rsidR="005F0B1D" w:rsidRPr="00B479DF">
        <w:t>and expense involved in review of a medicine approaching patent expiry and associated price reductions.</w:t>
      </w:r>
    </w:p>
    <w:p w:rsidR="008B6563" w:rsidRPr="00243A24" w:rsidRDefault="00243A24" w:rsidP="004B3AEF">
      <w:pPr>
        <w:pStyle w:val="Heading4"/>
      </w:pPr>
      <w:r>
        <w:t>Q</w:t>
      </w:r>
      <w:r w:rsidRPr="00243A24">
        <w:t>uality of evidence</w:t>
      </w:r>
    </w:p>
    <w:p w:rsidR="001F6AB4" w:rsidRPr="008B6563" w:rsidRDefault="00886E9A" w:rsidP="004B3AEF">
      <w:pPr>
        <w:pStyle w:val="ListParagraph"/>
        <w:numPr>
          <w:ilvl w:val="0"/>
          <w:numId w:val="5"/>
        </w:numPr>
      </w:pPr>
      <w:r>
        <w:t>T</w:t>
      </w:r>
      <w:r w:rsidR="001F6AB4" w:rsidRPr="008B6563">
        <w:t>he same evidentiary standards that apply to PBAC evaluations</w:t>
      </w:r>
      <w:r>
        <w:t xml:space="preserve"> should apply to PMRs</w:t>
      </w:r>
      <w:r w:rsidR="001F6AB4" w:rsidRPr="008B6563">
        <w:t>.</w:t>
      </w:r>
    </w:p>
    <w:p w:rsidR="00094ACA" w:rsidRPr="00B479DF" w:rsidRDefault="008B6563" w:rsidP="004B3AEF">
      <w:pPr>
        <w:pStyle w:val="ListParagraph"/>
        <w:numPr>
          <w:ilvl w:val="0"/>
          <w:numId w:val="5"/>
        </w:numPr>
      </w:pPr>
      <w:r>
        <w:t>T</w:t>
      </w:r>
      <w:r w:rsidR="001F6AB4" w:rsidRPr="00B479DF">
        <w:t xml:space="preserve">he </w:t>
      </w:r>
      <w:r w:rsidR="00C126C2">
        <w:t>R</w:t>
      </w:r>
      <w:r w:rsidR="001F6AB4" w:rsidRPr="00B479DF">
        <w:t>eview makes recommendations using data and analysis which do not represent the full body of evidence</w:t>
      </w:r>
      <w:r>
        <w:t xml:space="preserve"> and the </w:t>
      </w:r>
      <w:r w:rsidR="001F6AB4" w:rsidRPr="00B479DF">
        <w:t>data may not be as robust as that required in a new listing submission</w:t>
      </w:r>
      <w:r>
        <w:t>. T</w:t>
      </w:r>
      <w:r w:rsidR="001F6AB4" w:rsidRPr="00B479DF">
        <w:t>here is a need for greater data collection and sharing.</w:t>
      </w:r>
    </w:p>
    <w:p w:rsidR="00D237CB" w:rsidRPr="001F6AB4" w:rsidRDefault="00AB68F4" w:rsidP="004B3AEF">
      <w:pPr>
        <w:pStyle w:val="ListParagraph"/>
        <w:numPr>
          <w:ilvl w:val="0"/>
          <w:numId w:val="5"/>
        </w:numPr>
      </w:pPr>
      <w:r>
        <w:t>A</w:t>
      </w:r>
      <w:r w:rsidR="001F6AB4" w:rsidRPr="00B479DF">
        <w:t xml:space="preserve">n appropriate evidence base </w:t>
      </w:r>
      <w:r>
        <w:t xml:space="preserve">is needed </w:t>
      </w:r>
      <w:r w:rsidR="001F6AB4" w:rsidRPr="00B479DF">
        <w:t xml:space="preserve">when making value for money recommendations, including </w:t>
      </w:r>
      <w:r>
        <w:t xml:space="preserve">evidence on </w:t>
      </w:r>
      <w:r w:rsidR="001F6AB4" w:rsidRPr="00B479DF">
        <w:t>the applicability to the Australian population</w:t>
      </w:r>
      <w:r w:rsidR="00886E9A">
        <w:t xml:space="preserve">, </w:t>
      </w:r>
      <w:r w:rsidR="001F6AB4" w:rsidRPr="00B479DF">
        <w:t xml:space="preserve">patient outcomes </w:t>
      </w:r>
      <w:r w:rsidR="00886E9A">
        <w:t xml:space="preserve">and </w:t>
      </w:r>
      <w:r w:rsidR="001F6AB4" w:rsidRPr="00B479DF">
        <w:t>utilisation.</w:t>
      </w:r>
    </w:p>
    <w:sectPr w:rsidR="00D237CB" w:rsidRPr="001F6AB4" w:rsidSect="00CA247E">
      <w:pgSz w:w="11906" w:h="16838"/>
      <w:pgMar w:top="1440" w:right="1800"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8F1"/>
    <w:multiLevelType w:val="hybridMultilevel"/>
    <w:tmpl w:val="2F4846E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4750EBC"/>
    <w:multiLevelType w:val="hybridMultilevel"/>
    <w:tmpl w:val="E05CE23A"/>
    <w:lvl w:ilvl="0" w:tplc="12EC3DC4">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A5856FE"/>
    <w:multiLevelType w:val="hybridMultilevel"/>
    <w:tmpl w:val="3C865702"/>
    <w:lvl w:ilvl="0" w:tplc="0C090003">
      <w:start w:val="1"/>
      <w:numFmt w:val="bullet"/>
      <w:lvlText w:val="o"/>
      <w:lvlJc w:val="left"/>
      <w:pPr>
        <w:ind w:left="22" w:hanging="360"/>
      </w:pPr>
      <w:rPr>
        <w:rFonts w:ascii="Courier New" w:hAnsi="Courier New" w:cs="Courier New" w:hint="default"/>
      </w:rPr>
    </w:lvl>
    <w:lvl w:ilvl="1" w:tplc="0C090003" w:tentative="1">
      <w:start w:val="1"/>
      <w:numFmt w:val="bullet"/>
      <w:lvlText w:val="o"/>
      <w:lvlJc w:val="left"/>
      <w:pPr>
        <w:ind w:left="742" w:hanging="360"/>
      </w:pPr>
      <w:rPr>
        <w:rFonts w:ascii="Courier New" w:hAnsi="Courier New" w:cs="Courier New" w:hint="default"/>
      </w:rPr>
    </w:lvl>
    <w:lvl w:ilvl="2" w:tplc="0C090005" w:tentative="1">
      <w:start w:val="1"/>
      <w:numFmt w:val="bullet"/>
      <w:lvlText w:val=""/>
      <w:lvlJc w:val="left"/>
      <w:pPr>
        <w:ind w:left="1462" w:hanging="360"/>
      </w:pPr>
      <w:rPr>
        <w:rFonts w:ascii="Wingdings" w:hAnsi="Wingdings" w:hint="default"/>
      </w:rPr>
    </w:lvl>
    <w:lvl w:ilvl="3" w:tplc="0C090001" w:tentative="1">
      <w:start w:val="1"/>
      <w:numFmt w:val="bullet"/>
      <w:lvlText w:val=""/>
      <w:lvlJc w:val="left"/>
      <w:pPr>
        <w:ind w:left="2182" w:hanging="360"/>
      </w:pPr>
      <w:rPr>
        <w:rFonts w:ascii="Symbol" w:hAnsi="Symbol" w:hint="default"/>
      </w:rPr>
    </w:lvl>
    <w:lvl w:ilvl="4" w:tplc="0C090003" w:tentative="1">
      <w:start w:val="1"/>
      <w:numFmt w:val="bullet"/>
      <w:lvlText w:val="o"/>
      <w:lvlJc w:val="left"/>
      <w:pPr>
        <w:ind w:left="2902" w:hanging="360"/>
      </w:pPr>
      <w:rPr>
        <w:rFonts w:ascii="Courier New" w:hAnsi="Courier New" w:cs="Courier New" w:hint="default"/>
      </w:rPr>
    </w:lvl>
    <w:lvl w:ilvl="5" w:tplc="0C090005" w:tentative="1">
      <w:start w:val="1"/>
      <w:numFmt w:val="bullet"/>
      <w:lvlText w:val=""/>
      <w:lvlJc w:val="left"/>
      <w:pPr>
        <w:ind w:left="3622" w:hanging="360"/>
      </w:pPr>
      <w:rPr>
        <w:rFonts w:ascii="Wingdings" w:hAnsi="Wingdings" w:hint="default"/>
      </w:rPr>
    </w:lvl>
    <w:lvl w:ilvl="6" w:tplc="0C090001" w:tentative="1">
      <w:start w:val="1"/>
      <w:numFmt w:val="bullet"/>
      <w:lvlText w:val=""/>
      <w:lvlJc w:val="left"/>
      <w:pPr>
        <w:ind w:left="4342" w:hanging="360"/>
      </w:pPr>
      <w:rPr>
        <w:rFonts w:ascii="Symbol" w:hAnsi="Symbol" w:hint="default"/>
      </w:rPr>
    </w:lvl>
    <w:lvl w:ilvl="7" w:tplc="0C090003" w:tentative="1">
      <w:start w:val="1"/>
      <w:numFmt w:val="bullet"/>
      <w:lvlText w:val="o"/>
      <w:lvlJc w:val="left"/>
      <w:pPr>
        <w:ind w:left="5062" w:hanging="360"/>
      </w:pPr>
      <w:rPr>
        <w:rFonts w:ascii="Courier New" w:hAnsi="Courier New" w:cs="Courier New" w:hint="default"/>
      </w:rPr>
    </w:lvl>
    <w:lvl w:ilvl="8" w:tplc="0C090005" w:tentative="1">
      <w:start w:val="1"/>
      <w:numFmt w:val="bullet"/>
      <w:lvlText w:val=""/>
      <w:lvlJc w:val="left"/>
      <w:pPr>
        <w:ind w:left="5782" w:hanging="360"/>
      </w:pPr>
      <w:rPr>
        <w:rFonts w:ascii="Wingdings" w:hAnsi="Wingdings" w:hint="default"/>
      </w:rPr>
    </w:lvl>
  </w:abstractNum>
  <w:abstractNum w:abstractNumId="3">
    <w:nsid w:val="250E346F"/>
    <w:multiLevelType w:val="hybridMultilevel"/>
    <w:tmpl w:val="76587A1E"/>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4">
    <w:nsid w:val="288B27D6"/>
    <w:multiLevelType w:val="hybridMultilevel"/>
    <w:tmpl w:val="D8BE9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BA5742"/>
    <w:multiLevelType w:val="hybridMultilevel"/>
    <w:tmpl w:val="E2BA7A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6AB09AB"/>
    <w:multiLevelType w:val="hybridMultilevel"/>
    <w:tmpl w:val="71925F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C26DD1"/>
    <w:multiLevelType w:val="hybridMultilevel"/>
    <w:tmpl w:val="953CB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8A38B7"/>
    <w:multiLevelType w:val="hybridMultilevel"/>
    <w:tmpl w:val="0A164288"/>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nsid w:val="537B5D47"/>
    <w:multiLevelType w:val="hybridMultilevel"/>
    <w:tmpl w:val="8346A9E2"/>
    <w:lvl w:ilvl="0" w:tplc="ED8804C0">
      <w:start w:val="1"/>
      <w:numFmt w:val="bullet"/>
      <w:pStyle w:val="ListParagraph"/>
      <w:lvlText w:val=""/>
      <w:lvlJc w:val="left"/>
      <w:pPr>
        <w:ind w:left="4276" w:hanging="360"/>
      </w:pPr>
      <w:rPr>
        <w:rFonts w:ascii="Symbol" w:hAnsi="Symbol" w:hint="default"/>
      </w:rPr>
    </w:lvl>
    <w:lvl w:ilvl="1" w:tplc="0C090003">
      <w:start w:val="1"/>
      <w:numFmt w:val="bullet"/>
      <w:lvlText w:val="o"/>
      <w:lvlJc w:val="left"/>
      <w:pPr>
        <w:ind w:left="4996" w:hanging="360"/>
      </w:pPr>
      <w:rPr>
        <w:rFonts w:ascii="Courier New" w:hAnsi="Courier New" w:cs="Courier New" w:hint="default"/>
      </w:rPr>
    </w:lvl>
    <w:lvl w:ilvl="2" w:tplc="0C090005" w:tentative="1">
      <w:start w:val="1"/>
      <w:numFmt w:val="bullet"/>
      <w:lvlText w:val=""/>
      <w:lvlJc w:val="left"/>
      <w:pPr>
        <w:ind w:left="5716" w:hanging="360"/>
      </w:pPr>
      <w:rPr>
        <w:rFonts w:ascii="Wingdings" w:hAnsi="Wingdings" w:hint="default"/>
      </w:rPr>
    </w:lvl>
    <w:lvl w:ilvl="3" w:tplc="0C090001" w:tentative="1">
      <w:start w:val="1"/>
      <w:numFmt w:val="bullet"/>
      <w:lvlText w:val=""/>
      <w:lvlJc w:val="left"/>
      <w:pPr>
        <w:ind w:left="6436" w:hanging="360"/>
      </w:pPr>
      <w:rPr>
        <w:rFonts w:ascii="Symbol" w:hAnsi="Symbol" w:hint="default"/>
      </w:rPr>
    </w:lvl>
    <w:lvl w:ilvl="4" w:tplc="0C090003" w:tentative="1">
      <w:start w:val="1"/>
      <w:numFmt w:val="bullet"/>
      <w:lvlText w:val="o"/>
      <w:lvlJc w:val="left"/>
      <w:pPr>
        <w:ind w:left="7156" w:hanging="360"/>
      </w:pPr>
      <w:rPr>
        <w:rFonts w:ascii="Courier New" w:hAnsi="Courier New" w:cs="Courier New" w:hint="default"/>
      </w:rPr>
    </w:lvl>
    <w:lvl w:ilvl="5" w:tplc="0C090005" w:tentative="1">
      <w:start w:val="1"/>
      <w:numFmt w:val="bullet"/>
      <w:lvlText w:val=""/>
      <w:lvlJc w:val="left"/>
      <w:pPr>
        <w:ind w:left="7876" w:hanging="360"/>
      </w:pPr>
      <w:rPr>
        <w:rFonts w:ascii="Wingdings" w:hAnsi="Wingdings" w:hint="default"/>
      </w:rPr>
    </w:lvl>
    <w:lvl w:ilvl="6" w:tplc="0C090001" w:tentative="1">
      <w:start w:val="1"/>
      <w:numFmt w:val="bullet"/>
      <w:lvlText w:val=""/>
      <w:lvlJc w:val="left"/>
      <w:pPr>
        <w:ind w:left="8596" w:hanging="360"/>
      </w:pPr>
      <w:rPr>
        <w:rFonts w:ascii="Symbol" w:hAnsi="Symbol" w:hint="default"/>
      </w:rPr>
    </w:lvl>
    <w:lvl w:ilvl="7" w:tplc="0C090003" w:tentative="1">
      <w:start w:val="1"/>
      <w:numFmt w:val="bullet"/>
      <w:lvlText w:val="o"/>
      <w:lvlJc w:val="left"/>
      <w:pPr>
        <w:ind w:left="9316" w:hanging="360"/>
      </w:pPr>
      <w:rPr>
        <w:rFonts w:ascii="Courier New" w:hAnsi="Courier New" w:cs="Courier New" w:hint="default"/>
      </w:rPr>
    </w:lvl>
    <w:lvl w:ilvl="8" w:tplc="0C090005" w:tentative="1">
      <w:start w:val="1"/>
      <w:numFmt w:val="bullet"/>
      <w:lvlText w:val=""/>
      <w:lvlJc w:val="left"/>
      <w:pPr>
        <w:ind w:left="10036" w:hanging="360"/>
      </w:pPr>
      <w:rPr>
        <w:rFonts w:ascii="Wingdings" w:hAnsi="Wingdings" w:hint="default"/>
      </w:rPr>
    </w:lvl>
  </w:abstractNum>
  <w:abstractNum w:abstractNumId="10">
    <w:nsid w:val="5F656E34"/>
    <w:multiLevelType w:val="hybridMultilevel"/>
    <w:tmpl w:val="130AADE8"/>
    <w:lvl w:ilvl="0" w:tplc="0C090001">
      <w:start w:val="1"/>
      <w:numFmt w:val="bullet"/>
      <w:lvlText w:val=""/>
      <w:lvlJc w:val="left"/>
      <w:pPr>
        <w:ind w:left="361" w:hanging="360"/>
      </w:pPr>
      <w:rPr>
        <w:rFonts w:ascii="Symbol" w:hAnsi="Symbol" w:hint="default"/>
      </w:rPr>
    </w:lvl>
    <w:lvl w:ilvl="1" w:tplc="0C090003">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1">
    <w:nsid w:val="71B04E3F"/>
    <w:multiLevelType w:val="hybridMultilevel"/>
    <w:tmpl w:val="4BF41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BEA1517"/>
    <w:multiLevelType w:val="hybridMultilevel"/>
    <w:tmpl w:val="8938A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11"/>
  </w:num>
  <w:num w:numId="5">
    <w:abstractNumId w:val="10"/>
  </w:num>
  <w:num w:numId="6">
    <w:abstractNumId w:val="1"/>
  </w:num>
  <w:num w:numId="7">
    <w:abstractNumId w:val="7"/>
  </w:num>
  <w:num w:numId="8">
    <w:abstractNumId w:val="5"/>
  </w:num>
  <w:num w:numId="9">
    <w:abstractNumId w:val="3"/>
  </w:num>
  <w:num w:numId="10">
    <w:abstractNumId w:val="0"/>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5D"/>
    <w:rsid w:val="00003743"/>
    <w:rsid w:val="000256B9"/>
    <w:rsid w:val="0004128E"/>
    <w:rsid w:val="0004646F"/>
    <w:rsid w:val="00056585"/>
    <w:rsid w:val="00067456"/>
    <w:rsid w:val="00094ACA"/>
    <w:rsid w:val="001735E5"/>
    <w:rsid w:val="001B3443"/>
    <w:rsid w:val="001F6AB4"/>
    <w:rsid w:val="00243A24"/>
    <w:rsid w:val="002D420D"/>
    <w:rsid w:val="002F3AE3"/>
    <w:rsid w:val="0030786C"/>
    <w:rsid w:val="00346BB6"/>
    <w:rsid w:val="00354744"/>
    <w:rsid w:val="003759A6"/>
    <w:rsid w:val="00393825"/>
    <w:rsid w:val="003D17F9"/>
    <w:rsid w:val="00473E80"/>
    <w:rsid w:val="004867E2"/>
    <w:rsid w:val="004B3AEF"/>
    <w:rsid w:val="005B585D"/>
    <w:rsid w:val="005B6022"/>
    <w:rsid w:val="005F0B1D"/>
    <w:rsid w:val="0060080B"/>
    <w:rsid w:val="006758B4"/>
    <w:rsid w:val="006F2EB6"/>
    <w:rsid w:val="0072163A"/>
    <w:rsid w:val="007E7DAB"/>
    <w:rsid w:val="0082315F"/>
    <w:rsid w:val="008264EB"/>
    <w:rsid w:val="00886E9A"/>
    <w:rsid w:val="008B6563"/>
    <w:rsid w:val="00915D6E"/>
    <w:rsid w:val="009A4962"/>
    <w:rsid w:val="00A028C0"/>
    <w:rsid w:val="00A4512D"/>
    <w:rsid w:val="00A705AF"/>
    <w:rsid w:val="00AB68F4"/>
    <w:rsid w:val="00B42851"/>
    <w:rsid w:val="00B479DF"/>
    <w:rsid w:val="00BA79EC"/>
    <w:rsid w:val="00BB5493"/>
    <w:rsid w:val="00BB57A0"/>
    <w:rsid w:val="00BF04E8"/>
    <w:rsid w:val="00BF427B"/>
    <w:rsid w:val="00C126C2"/>
    <w:rsid w:val="00CA247E"/>
    <w:rsid w:val="00CB5B1A"/>
    <w:rsid w:val="00CD31DD"/>
    <w:rsid w:val="00D237CB"/>
    <w:rsid w:val="00E120A2"/>
    <w:rsid w:val="00E744B2"/>
    <w:rsid w:val="00E765E1"/>
    <w:rsid w:val="00E814ED"/>
    <w:rsid w:val="00EA0516"/>
    <w:rsid w:val="00F105F2"/>
    <w:rsid w:val="00F54FB7"/>
    <w:rsid w:val="00FA064C"/>
    <w:rsid w:val="00FF78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9EC"/>
    <w:rPr>
      <w:sz w:val="24"/>
      <w:szCs w:val="24"/>
      <w:lang w:eastAsia="en-US"/>
    </w:rPr>
  </w:style>
  <w:style w:type="paragraph" w:styleId="Heading1">
    <w:name w:val="heading 1"/>
    <w:basedOn w:val="Normal"/>
    <w:next w:val="Normal"/>
    <w:qFormat/>
    <w:rsid w:val="00BB5493"/>
    <w:pPr>
      <w:keepNext/>
      <w:spacing w:before="240" w:after="60"/>
      <w:jc w:val="center"/>
      <w:outlineLvl w:val="0"/>
    </w:pPr>
    <w:rPr>
      <w:rFonts w:asciiTheme="minorHAnsi" w:eastAsiaTheme="majorEastAsia" w:hAnsiTheme="minorHAnsi" w:cs="Arial"/>
      <w:b/>
      <w:bCs/>
      <w:color w:val="548DD4" w:themeColor="text2" w:themeTint="99"/>
      <w:kern w:val="28"/>
      <w:sz w:val="40"/>
      <w:szCs w:val="40"/>
    </w:rPr>
  </w:style>
  <w:style w:type="paragraph" w:styleId="Heading2">
    <w:name w:val="heading 2"/>
    <w:basedOn w:val="Normal"/>
    <w:next w:val="Normal"/>
    <w:qFormat/>
    <w:rsid w:val="00BB5493"/>
    <w:pPr>
      <w:keepNext/>
      <w:spacing w:before="240" w:after="60"/>
      <w:outlineLvl w:val="1"/>
    </w:pPr>
    <w:rPr>
      <w:rFonts w:asciiTheme="minorHAnsi" w:eastAsiaTheme="majorEastAsia" w:hAnsiTheme="minorHAnsi" w:cs="Arial"/>
      <w:b/>
      <w:bCs/>
      <w:iCs/>
      <w:color w:val="548DD4" w:themeColor="text2" w:themeTint="99"/>
      <w:sz w:val="40"/>
      <w:szCs w:val="40"/>
    </w:rPr>
  </w:style>
  <w:style w:type="paragraph" w:styleId="Heading3">
    <w:name w:val="heading 3"/>
    <w:basedOn w:val="Normal"/>
    <w:next w:val="Normal"/>
    <w:qFormat/>
    <w:rsid w:val="00BB5493"/>
    <w:pPr>
      <w:keepNext/>
      <w:spacing w:before="240" w:after="60"/>
      <w:outlineLvl w:val="2"/>
    </w:pPr>
    <w:rPr>
      <w:rFonts w:asciiTheme="minorHAnsi" w:hAnsiTheme="minorHAnsi" w:cs="Arial"/>
      <w:b/>
      <w:bCs/>
      <w:szCs w:val="26"/>
    </w:rPr>
  </w:style>
  <w:style w:type="paragraph" w:styleId="Heading4">
    <w:name w:val="heading 4"/>
    <w:basedOn w:val="Normal"/>
    <w:next w:val="Normal"/>
    <w:qFormat/>
    <w:rsid w:val="00BB5493"/>
    <w:pPr>
      <w:keepNext/>
      <w:spacing w:before="240" w:after="60"/>
      <w:outlineLvl w:val="3"/>
    </w:pPr>
    <w:rPr>
      <w:rFonts w:ascii="Calibri" w:hAnsi="Calibri"/>
      <w:b/>
      <w:bCs/>
      <w:i/>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BB5493"/>
    <w:pPr>
      <w:numPr>
        <w:numId w:val="2"/>
      </w:numPr>
      <w:ind w:left="284" w:hanging="283"/>
      <w:contextualSpacing/>
      <w:jc w:val="both"/>
    </w:pPr>
    <w:rPr>
      <w:rFonts w:ascii="Calibri" w:hAnsi="Calibri"/>
    </w:rPr>
  </w:style>
  <w:style w:type="character" w:styleId="CommentReference">
    <w:name w:val="annotation reference"/>
    <w:basedOn w:val="DefaultParagraphFont"/>
    <w:rsid w:val="00BF04E8"/>
    <w:rPr>
      <w:sz w:val="16"/>
      <w:szCs w:val="16"/>
    </w:rPr>
  </w:style>
  <w:style w:type="paragraph" w:styleId="CommentText">
    <w:name w:val="annotation text"/>
    <w:basedOn w:val="Normal"/>
    <w:link w:val="CommentTextChar"/>
    <w:rsid w:val="00BF04E8"/>
    <w:rPr>
      <w:sz w:val="20"/>
      <w:szCs w:val="20"/>
    </w:rPr>
  </w:style>
  <w:style w:type="character" w:customStyle="1" w:styleId="CommentTextChar">
    <w:name w:val="Comment Text Char"/>
    <w:basedOn w:val="DefaultParagraphFont"/>
    <w:link w:val="CommentText"/>
    <w:rsid w:val="00BF04E8"/>
    <w:rPr>
      <w:lang w:eastAsia="en-US"/>
    </w:rPr>
  </w:style>
  <w:style w:type="paragraph" w:styleId="CommentSubject">
    <w:name w:val="annotation subject"/>
    <w:basedOn w:val="CommentText"/>
    <w:next w:val="CommentText"/>
    <w:link w:val="CommentSubjectChar"/>
    <w:rsid w:val="00BF04E8"/>
    <w:rPr>
      <w:b/>
      <w:bCs/>
    </w:rPr>
  </w:style>
  <w:style w:type="character" w:customStyle="1" w:styleId="CommentSubjectChar">
    <w:name w:val="Comment Subject Char"/>
    <w:basedOn w:val="CommentTextChar"/>
    <w:link w:val="CommentSubject"/>
    <w:rsid w:val="00BF04E8"/>
    <w:rPr>
      <w:b/>
      <w:bCs/>
      <w:lang w:eastAsia="en-US"/>
    </w:rPr>
  </w:style>
  <w:style w:type="paragraph" w:styleId="BalloonText">
    <w:name w:val="Balloon Text"/>
    <w:basedOn w:val="Normal"/>
    <w:link w:val="BalloonTextChar"/>
    <w:rsid w:val="00BF04E8"/>
    <w:rPr>
      <w:rFonts w:ascii="Tahoma" w:hAnsi="Tahoma" w:cs="Tahoma"/>
      <w:sz w:val="16"/>
      <w:szCs w:val="16"/>
    </w:rPr>
  </w:style>
  <w:style w:type="character" w:customStyle="1" w:styleId="BalloonTextChar">
    <w:name w:val="Balloon Text Char"/>
    <w:basedOn w:val="DefaultParagraphFont"/>
    <w:link w:val="BalloonText"/>
    <w:rsid w:val="00BF04E8"/>
    <w:rPr>
      <w:rFonts w:ascii="Tahoma" w:hAnsi="Tahoma" w:cs="Tahoma"/>
      <w:sz w:val="16"/>
      <w:szCs w:val="16"/>
      <w:lang w:eastAsia="en-US"/>
    </w:rPr>
  </w:style>
  <w:style w:type="table" w:styleId="TableGrid">
    <w:name w:val="Table Grid"/>
    <w:basedOn w:val="TableNormal"/>
    <w:uiPriority w:val="59"/>
    <w:rsid w:val="00025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coHeading">
    <w:name w:val="Minco Heading"/>
    <w:basedOn w:val="Normal"/>
    <w:rsid w:val="000256B9"/>
    <w:pPr>
      <w:overflowPunct w:val="0"/>
      <w:autoSpaceDE w:val="0"/>
      <w:autoSpaceDN w:val="0"/>
      <w:adjustRightInd w:val="0"/>
      <w:jc w:val="center"/>
    </w:pPr>
    <w:rPr>
      <w:rFonts w:ascii="Arial" w:hAnsi="Arial"/>
      <w:b/>
      <w:bCs/>
    </w:rPr>
  </w:style>
  <w:style w:type="character" w:styleId="Hyperlink">
    <w:name w:val="Hyperlink"/>
    <w:basedOn w:val="DefaultParagraphFont"/>
    <w:uiPriority w:val="99"/>
    <w:unhideWhenUsed/>
    <w:rsid w:val="005B6022"/>
    <w:rPr>
      <w:strike w:val="0"/>
      <w:dstrike w:val="0"/>
      <w:color w:val="72A8F6"/>
      <w:u w:val="single"/>
      <w:effect w:val="none"/>
    </w:rPr>
  </w:style>
  <w:style w:type="character" w:styleId="FollowedHyperlink">
    <w:name w:val="FollowedHyperlink"/>
    <w:basedOn w:val="DefaultParagraphFont"/>
    <w:rsid w:val="00E814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9EC"/>
    <w:rPr>
      <w:sz w:val="24"/>
      <w:szCs w:val="24"/>
      <w:lang w:eastAsia="en-US"/>
    </w:rPr>
  </w:style>
  <w:style w:type="paragraph" w:styleId="Heading1">
    <w:name w:val="heading 1"/>
    <w:basedOn w:val="Normal"/>
    <w:next w:val="Normal"/>
    <w:qFormat/>
    <w:rsid w:val="00BB5493"/>
    <w:pPr>
      <w:keepNext/>
      <w:spacing w:before="240" w:after="60"/>
      <w:jc w:val="center"/>
      <w:outlineLvl w:val="0"/>
    </w:pPr>
    <w:rPr>
      <w:rFonts w:asciiTheme="minorHAnsi" w:eastAsiaTheme="majorEastAsia" w:hAnsiTheme="minorHAnsi" w:cs="Arial"/>
      <w:b/>
      <w:bCs/>
      <w:color w:val="548DD4" w:themeColor="text2" w:themeTint="99"/>
      <w:kern w:val="28"/>
      <w:sz w:val="40"/>
      <w:szCs w:val="40"/>
    </w:rPr>
  </w:style>
  <w:style w:type="paragraph" w:styleId="Heading2">
    <w:name w:val="heading 2"/>
    <w:basedOn w:val="Normal"/>
    <w:next w:val="Normal"/>
    <w:qFormat/>
    <w:rsid w:val="00BB5493"/>
    <w:pPr>
      <w:keepNext/>
      <w:spacing w:before="240" w:after="60"/>
      <w:outlineLvl w:val="1"/>
    </w:pPr>
    <w:rPr>
      <w:rFonts w:asciiTheme="minorHAnsi" w:eastAsiaTheme="majorEastAsia" w:hAnsiTheme="minorHAnsi" w:cs="Arial"/>
      <w:b/>
      <w:bCs/>
      <w:iCs/>
      <w:color w:val="548DD4" w:themeColor="text2" w:themeTint="99"/>
      <w:sz w:val="40"/>
      <w:szCs w:val="40"/>
    </w:rPr>
  </w:style>
  <w:style w:type="paragraph" w:styleId="Heading3">
    <w:name w:val="heading 3"/>
    <w:basedOn w:val="Normal"/>
    <w:next w:val="Normal"/>
    <w:qFormat/>
    <w:rsid w:val="00BB5493"/>
    <w:pPr>
      <w:keepNext/>
      <w:spacing w:before="240" w:after="60"/>
      <w:outlineLvl w:val="2"/>
    </w:pPr>
    <w:rPr>
      <w:rFonts w:asciiTheme="minorHAnsi" w:hAnsiTheme="minorHAnsi" w:cs="Arial"/>
      <w:b/>
      <w:bCs/>
      <w:szCs w:val="26"/>
    </w:rPr>
  </w:style>
  <w:style w:type="paragraph" w:styleId="Heading4">
    <w:name w:val="heading 4"/>
    <w:basedOn w:val="Normal"/>
    <w:next w:val="Normal"/>
    <w:qFormat/>
    <w:rsid w:val="00BB5493"/>
    <w:pPr>
      <w:keepNext/>
      <w:spacing w:before="240" w:after="60"/>
      <w:outlineLvl w:val="3"/>
    </w:pPr>
    <w:rPr>
      <w:rFonts w:ascii="Calibri" w:hAnsi="Calibri"/>
      <w:b/>
      <w:bCs/>
      <w:i/>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BB5493"/>
    <w:pPr>
      <w:numPr>
        <w:numId w:val="2"/>
      </w:numPr>
      <w:ind w:left="284" w:hanging="283"/>
      <w:contextualSpacing/>
      <w:jc w:val="both"/>
    </w:pPr>
    <w:rPr>
      <w:rFonts w:ascii="Calibri" w:hAnsi="Calibri"/>
    </w:rPr>
  </w:style>
  <w:style w:type="character" w:styleId="CommentReference">
    <w:name w:val="annotation reference"/>
    <w:basedOn w:val="DefaultParagraphFont"/>
    <w:rsid w:val="00BF04E8"/>
    <w:rPr>
      <w:sz w:val="16"/>
      <w:szCs w:val="16"/>
    </w:rPr>
  </w:style>
  <w:style w:type="paragraph" w:styleId="CommentText">
    <w:name w:val="annotation text"/>
    <w:basedOn w:val="Normal"/>
    <w:link w:val="CommentTextChar"/>
    <w:rsid w:val="00BF04E8"/>
    <w:rPr>
      <w:sz w:val="20"/>
      <w:szCs w:val="20"/>
    </w:rPr>
  </w:style>
  <w:style w:type="character" w:customStyle="1" w:styleId="CommentTextChar">
    <w:name w:val="Comment Text Char"/>
    <w:basedOn w:val="DefaultParagraphFont"/>
    <w:link w:val="CommentText"/>
    <w:rsid w:val="00BF04E8"/>
    <w:rPr>
      <w:lang w:eastAsia="en-US"/>
    </w:rPr>
  </w:style>
  <w:style w:type="paragraph" w:styleId="CommentSubject">
    <w:name w:val="annotation subject"/>
    <w:basedOn w:val="CommentText"/>
    <w:next w:val="CommentText"/>
    <w:link w:val="CommentSubjectChar"/>
    <w:rsid w:val="00BF04E8"/>
    <w:rPr>
      <w:b/>
      <w:bCs/>
    </w:rPr>
  </w:style>
  <w:style w:type="character" w:customStyle="1" w:styleId="CommentSubjectChar">
    <w:name w:val="Comment Subject Char"/>
    <w:basedOn w:val="CommentTextChar"/>
    <w:link w:val="CommentSubject"/>
    <w:rsid w:val="00BF04E8"/>
    <w:rPr>
      <w:b/>
      <w:bCs/>
      <w:lang w:eastAsia="en-US"/>
    </w:rPr>
  </w:style>
  <w:style w:type="paragraph" w:styleId="BalloonText">
    <w:name w:val="Balloon Text"/>
    <w:basedOn w:val="Normal"/>
    <w:link w:val="BalloonTextChar"/>
    <w:rsid w:val="00BF04E8"/>
    <w:rPr>
      <w:rFonts w:ascii="Tahoma" w:hAnsi="Tahoma" w:cs="Tahoma"/>
      <w:sz w:val="16"/>
      <w:szCs w:val="16"/>
    </w:rPr>
  </w:style>
  <w:style w:type="character" w:customStyle="1" w:styleId="BalloonTextChar">
    <w:name w:val="Balloon Text Char"/>
    <w:basedOn w:val="DefaultParagraphFont"/>
    <w:link w:val="BalloonText"/>
    <w:rsid w:val="00BF04E8"/>
    <w:rPr>
      <w:rFonts w:ascii="Tahoma" w:hAnsi="Tahoma" w:cs="Tahoma"/>
      <w:sz w:val="16"/>
      <w:szCs w:val="16"/>
      <w:lang w:eastAsia="en-US"/>
    </w:rPr>
  </w:style>
  <w:style w:type="table" w:styleId="TableGrid">
    <w:name w:val="Table Grid"/>
    <w:basedOn w:val="TableNormal"/>
    <w:uiPriority w:val="59"/>
    <w:rsid w:val="00025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coHeading">
    <w:name w:val="Minco Heading"/>
    <w:basedOn w:val="Normal"/>
    <w:rsid w:val="000256B9"/>
    <w:pPr>
      <w:overflowPunct w:val="0"/>
      <w:autoSpaceDE w:val="0"/>
      <w:autoSpaceDN w:val="0"/>
      <w:adjustRightInd w:val="0"/>
      <w:jc w:val="center"/>
    </w:pPr>
    <w:rPr>
      <w:rFonts w:ascii="Arial" w:hAnsi="Arial"/>
      <w:b/>
      <w:bCs/>
    </w:rPr>
  </w:style>
  <w:style w:type="character" w:styleId="Hyperlink">
    <w:name w:val="Hyperlink"/>
    <w:basedOn w:val="DefaultParagraphFont"/>
    <w:uiPriority w:val="99"/>
    <w:unhideWhenUsed/>
    <w:rsid w:val="005B6022"/>
    <w:rPr>
      <w:strike w:val="0"/>
      <w:dstrike w:val="0"/>
      <w:color w:val="72A8F6"/>
      <w:u w:val="single"/>
      <w:effect w:val="none"/>
    </w:rPr>
  </w:style>
  <w:style w:type="character" w:styleId="FollowedHyperlink">
    <w:name w:val="FollowedHyperlink"/>
    <w:basedOn w:val="DefaultParagraphFont"/>
    <w:rsid w:val="00E814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bs.gov.au/info/reviews/ezetimibe-review-public-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gov.au/info/reviews/ezetimibe-review-public-consult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2017-12-08T02:26:00Z</dcterms:created>
  <dcterms:modified xsi:type="dcterms:W3CDTF">2017-12-08T02:26:00Z</dcterms:modified>
</cp:coreProperties>
</file>