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6B0" w:rsidRPr="00C826B0" w:rsidRDefault="00C826B0" w:rsidP="00AD0D08">
      <w:pPr>
        <w:spacing w:after="200" w:line="276" w:lineRule="auto"/>
        <w:jc w:val="center"/>
        <w:rPr>
          <w:rFonts w:eastAsiaTheme="majorEastAsia" w:cstheme="majorBidi"/>
          <w:b/>
          <w:bCs/>
          <w:color w:val="4F81BD" w:themeColor="accent1"/>
          <w:sz w:val="40"/>
          <w:szCs w:val="40"/>
        </w:rPr>
      </w:pPr>
      <w:bookmarkStart w:id="0" w:name="_GoBack"/>
      <w:bookmarkEnd w:id="0"/>
      <w:r w:rsidRPr="00C826B0">
        <w:rPr>
          <w:rFonts w:eastAsiaTheme="majorEastAsia" w:cstheme="majorBidi"/>
          <w:b/>
          <w:bCs/>
          <w:color w:val="4F81BD" w:themeColor="accent1"/>
          <w:sz w:val="40"/>
          <w:szCs w:val="40"/>
        </w:rPr>
        <w:t>Appendix F – Ezetimibe Stakeholder Forum Outcome Statement</w:t>
      </w:r>
    </w:p>
    <w:p w:rsidR="00C826B0" w:rsidRPr="00C826B0" w:rsidRDefault="00C826B0" w:rsidP="00C826B0">
      <w:pPr>
        <w:spacing w:after="200" w:line="276" w:lineRule="auto"/>
        <w:rPr>
          <w:rFonts w:ascii="Cambria" w:eastAsiaTheme="minorHAnsi" w:hAnsi="Cambria" w:cstheme="minorBidi"/>
          <w:szCs w:val="22"/>
        </w:rPr>
      </w:pPr>
    </w:p>
    <w:p w:rsidR="00C826B0" w:rsidRPr="00C826B0" w:rsidRDefault="00C826B0" w:rsidP="00C826B0">
      <w:pPr>
        <w:spacing w:after="200" w:line="276" w:lineRule="auto"/>
        <w:rPr>
          <w:rFonts w:ascii="Cambria" w:eastAsiaTheme="minorHAnsi" w:hAnsi="Cambria" w:cstheme="minorBidi"/>
          <w:szCs w:val="22"/>
        </w:rPr>
      </w:pPr>
    </w:p>
    <w:p w:rsidR="00C826B0" w:rsidRPr="00C826B0" w:rsidRDefault="00C826B0" w:rsidP="00C826B0">
      <w:pPr>
        <w:framePr w:w="8335" w:h="2833" w:hRule="exact" w:hSpace="181" w:wrap="notBeside" w:vAnchor="page" w:hAnchor="text" w:x="1" w:y="4254"/>
        <w:spacing w:before="120" w:after="240" w:line="480" w:lineRule="atLeast"/>
        <w:rPr>
          <w:rFonts w:ascii="Arial Bold" w:hAnsi="Arial Bold" w:cs="Arial"/>
          <w:b/>
          <w:bCs/>
          <w:caps/>
          <w:color w:val="C0504D" w:themeColor="accent2"/>
          <w:spacing w:val="20"/>
          <w:kern w:val="28"/>
          <w:sz w:val="40"/>
          <w:szCs w:val="40"/>
          <w:lang w:eastAsia="en-AU"/>
        </w:rPr>
      </w:pPr>
      <w:r w:rsidRPr="00C826B0">
        <w:rPr>
          <w:rFonts w:ascii="Arial Bold" w:hAnsi="Arial Bold" w:cs="Arial"/>
          <w:b/>
          <w:bCs/>
          <w:caps/>
          <w:color w:val="C0504D" w:themeColor="accent2"/>
          <w:spacing w:val="20"/>
          <w:kern w:val="28"/>
          <w:sz w:val="40"/>
          <w:szCs w:val="40"/>
          <w:lang w:eastAsia="en-AU"/>
        </w:rPr>
        <w:t>Department of Health</w:t>
      </w:r>
    </w:p>
    <w:p w:rsidR="00C826B0" w:rsidRPr="00C826B0" w:rsidRDefault="00C826B0" w:rsidP="00C826B0">
      <w:pPr>
        <w:framePr w:w="8335" w:h="2833" w:hRule="exact" w:hSpace="181" w:wrap="notBeside" w:vAnchor="page" w:hAnchor="text" w:x="1" w:y="4254"/>
        <w:tabs>
          <w:tab w:val="left" w:pos="425"/>
        </w:tabs>
        <w:spacing w:before="120" w:line="300" w:lineRule="atLeast"/>
        <w:rPr>
          <w:rFonts w:ascii="Arial Bold" w:hAnsi="Arial Bold" w:cs="Arial"/>
          <w:caps/>
          <w:color w:val="C0504D" w:themeColor="accent2"/>
          <w:spacing w:val="20"/>
          <w:kern w:val="28"/>
          <w:szCs w:val="40"/>
          <w:lang w:eastAsia="en-AU"/>
        </w:rPr>
      </w:pPr>
      <w:r w:rsidRPr="00C826B0">
        <w:rPr>
          <w:rFonts w:ascii="Arial Bold" w:hAnsi="Arial Bold" w:cs="Arial"/>
          <w:caps/>
          <w:color w:val="C0504D" w:themeColor="accent2"/>
          <w:spacing w:val="20"/>
          <w:kern w:val="28"/>
          <w:szCs w:val="40"/>
          <w:lang w:eastAsia="en-AU"/>
        </w:rPr>
        <w:t>Review of Ezetimibe Stakeholder Forum</w:t>
      </w:r>
    </w:p>
    <w:p w:rsidR="00C826B0" w:rsidRPr="00C826B0" w:rsidRDefault="00C826B0" w:rsidP="00C826B0">
      <w:pPr>
        <w:framePr w:w="8335" w:h="2833" w:hRule="exact" w:hSpace="181" w:wrap="notBeside" w:vAnchor="page" w:hAnchor="text" w:x="1" w:y="4254"/>
        <w:tabs>
          <w:tab w:val="left" w:pos="425"/>
        </w:tabs>
        <w:spacing w:before="120" w:line="300" w:lineRule="atLeast"/>
        <w:rPr>
          <w:rFonts w:ascii="Arial Bold" w:hAnsi="Arial Bold" w:cs="Arial"/>
          <w:caps/>
          <w:color w:val="1F497D" w:themeColor="text2"/>
          <w:spacing w:val="20"/>
          <w:kern w:val="28"/>
          <w:szCs w:val="40"/>
          <w:lang w:eastAsia="en-AU"/>
        </w:rPr>
      </w:pPr>
      <w:r w:rsidRPr="00C826B0">
        <w:rPr>
          <w:rFonts w:ascii="Arial Bold" w:hAnsi="Arial Bold" w:cs="Arial"/>
          <w:caps/>
          <w:color w:val="1F497D" w:themeColor="text2"/>
          <w:spacing w:val="20"/>
          <w:kern w:val="28"/>
          <w:szCs w:val="40"/>
          <w:lang w:eastAsia="en-AU"/>
        </w:rPr>
        <w:t>11 November 2016</w:t>
      </w:r>
    </w:p>
    <w:p w:rsidR="00C826B0" w:rsidRPr="00C826B0" w:rsidRDefault="00C826B0" w:rsidP="00C826B0">
      <w:pPr>
        <w:spacing w:after="120" w:line="276" w:lineRule="auto"/>
        <w:rPr>
          <w:rFonts w:ascii="Cambria" w:eastAsiaTheme="minorHAnsi" w:hAnsi="Cambria" w:cstheme="minorBidi"/>
          <w:szCs w:val="22"/>
        </w:rPr>
      </w:pPr>
      <w:r w:rsidRPr="00C826B0">
        <w:rPr>
          <w:rFonts w:ascii="Cambria" w:eastAsiaTheme="minorHAnsi" w:hAnsi="Cambria" w:cstheme="minorBidi"/>
          <w:noProof/>
          <w:szCs w:val="22"/>
          <w:lang w:eastAsia="en-AU"/>
        </w:rPr>
        <w:drawing>
          <wp:inline distT="0" distB="0" distL="0" distR="0" wp14:anchorId="3144D403" wp14:editId="38864E75">
            <wp:extent cx="5181600" cy="1724025"/>
            <wp:effectExtent l="0" t="0" r="0" b="9525"/>
            <wp:docPr id="1" name="Picture 1" descr="Tempo Strategie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mpo Strategies RGB"/>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81600" cy="1724025"/>
                    </a:xfrm>
                    <a:prstGeom prst="rect">
                      <a:avLst/>
                    </a:prstGeom>
                    <a:noFill/>
                  </pic:spPr>
                </pic:pic>
              </a:graphicData>
            </a:graphic>
          </wp:inline>
        </w:drawing>
      </w:r>
    </w:p>
    <w:p w:rsidR="00C826B0" w:rsidRPr="00C826B0" w:rsidRDefault="00C826B0" w:rsidP="00C826B0">
      <w:pPr>
        <w:spacing w:after="200" w:line="276" w:lineRule="auto"/>
        <w:jc w:val="center"/>
        <w:rPr>
          <w:rFonts w:ascii="Cambria" w:eastAsiaTheme="minorHAnsi" w:hAnsi="Cambria" w:cstheme="minorBidi"/>
          <w:szCs w:val="22"/>
        </w:rPr>
      </w:pPr>
    </w:p>
    <w:p w:rsidR="00C826B0" w:rsidRPr="00C826B0" w:rsidRDefault="00C826B0" w:rsidP="00C826B0">
      <w:pPr>
        <w:spacing w:after="200" w:line="276" w:lineRule="auto"/>
        <w:rPr>
          <w:rFonts w:ascii="Cambria" w:eastAsiaTheme="minorHAnsi" w:hAnsi="Cambria" w:cstheme="minorBidi"/>
          <w:szCs w:val="22"/>
        </w:rPr>
        <w:sectPr w:rsidR="00C826B0" w:rsidRPr="00C826B0" w:rsidSect="004B3B5D">
          <w:headerReference w:type="default" r:id="rId10"/>
          <w:endnotePr>
            <w:numFmt w:val="decimal"/>
          </w:endnotePr>
          <w:pgSz w:w="11900" w:h="16840" w:code="9"/>
          <w:pgMar w:top="2041" w:right="1361" w:bottom="1418" w:left="1418" w:header="851" w:footer="567" w:gutter="0"/>
          <w:cols w:space="708"/>
        </w:sectPr>
      </w:pPr>
    </w:p>
    <w:p w:rsidR="00C826B0" w:rsidRPr="00C826B0" w:rsidRDefault="00C826B0" w:rsidP="00C826B0">
      <w:pPr>
        <w:spacing w:after="120" w:line="276" w:lineRule="auto"/>
        <w:rPr>
          <w:rFonts w:ascii="Cambria" w:eastAsiaTheme="minorHAnsi" w:hAnsi="Cambria" w:cstheme="minorBidi"/>
          <w:szCs w:val="22"/>
        </w:rPr>
      </w:pPr>
    </w:p>
    <w:p w:rsidR="00C826B0" w:rsidRPr="00C826B0" w:rsidRDefault="00C826B0" w:rsidP="00C826B0">
      <w:pPr>
        <w:spacing w:before="480" w:after="480" w:line="360" w:lineRule="atLeast"/>
        <w:rPr>
          <w:b/>
          <w:caps/>
          <w:sz w:val="32"/>
          <w:szCs w:val="32"/>
          <w:lang w:eastAsia="en-AU"/>
        </w:rPr>
      </w:pPr>
      <w:r w:rsidRPr="00C826B0">
        <w:rPr>
          <w:b/>
          <w:caps/>
          <w:sz w:val="32"/>
          <w:szCs w:val="32"/>
          <w:lang w:eastAsia="en-AU"/>
        </w:rPr>
        <w:t>Contents</w:t>
      </w:r>
    </w:p>
    <w:p w:rsidR="00BA3C4A" w:rsidRDefault="005A4DBE">
      <w:pPr>
        <w:pStyle w:val="TOC1"/>
        <w:tabs>
          <w:tab w:val="right" w:leader="dot" w:pos="8296"/>
        </w:tabs>
        <w:rPr>
          <w:rFonts w:eastAsiaTheme="minorEastAsia" w:cstheme="minorBidi"/>
          <w:noProof/>
          <w:sz w:val="22"/>
          <w:szCs w:val="22"/>
          <w:lang w:eastAsia="en-AU"/>
        </w:rPr>
      </w:pPr>
      <w:r>
        <w:rPr>
          <w:rFonts w:ascii="Cambria" w:eastAsiaTheme="minorHAnsi" w:hAnsi="Cambria" w:cstheme="minorBidi"/>
          <w:szCs w:val="22"/>
        </w:rPr>
        <w:fldChar w:fldCharType="begin"/>
      </w:r>
      <w:r>
        <w:rPr>
          <w:rFonts w:ascii="Cambria" w:eastAsiaTheme="minorHAnsi" w:hAnsi="Cambria" w:cstheme="minorBidi"/>
          <w:szCs w:val="22"/>
        </w:rPr>
        <w:instrText xml:space="preserve"> TOC \o "1-2" \h \z \u </w:instrText>
      </w:r>
      <w:r>
        <w:rPr>
          <w:rFonts w:ascii="Cambria" w:eastAsiaTheme="minorHAnsi" w:hAnsi="Cambria" w:cstheme="minorBidi"/>
          <w:szCs w:val="22"/>
        </w:rPr>
        <w:fldChar w:fldCharType="separate"/>
      </w:r>
      <w:hyperlink w:anchor="_Toc490042957" w:history="1">
        <w:r w:rsidR="00BA3C4A" w:rsidRPr="00130A50">
          <w:rPr>
            <w:rStyle w:val="Hyperlink"/>
            <w:noProof/>
          </w:rPr>
          <w:t>Background and Purpose</w:t>
        </w:r>
        <w:r w:rsidR="00BA3C4A">
          <w:rPr>
            <w:noProof/>
            <w:webHidden/>
          </w:rPr>
          <w:tab/>
        </w:r>
        <w:r w:rsidR="00BA3C4A">
          <w:rPr>
            <w:noProof/>
            <w:webHidden/>
          </w:rPr>
          <w:fldChar w:fldCharType="begin"/>
        </w:r>
        <w:r w:rsidR="00BA3C4A">
          <w:rPr>
            <w:noProof/>
            <w:webHidden/>
          </w:rPr>
          <w:instrText xml:space="preserve"> PAGEREF _Toc490042957 \h </w:instrText>
        </w:r>
        <w:r w:rsidR="00BA3C4A">
          <w:rPr>
            <w:noProof/>
            <w:webHidden/>
          </w:rPr>
        </w:r>
        <w:r w:rsidR="00BA3C4A">
          <w:rPr>
            <w:noProof/>
            <w:webHidden/>
          </w:rPr>
          <w:fldChar w:fldCharType="separate"/>
        </w:r>
        <w:r w:rsidR="00BA3C4A">
          <w:rPr>
            <w:noProof/>
            <w:webHidden/>
          </w:rPr>
          <w:t>3</w:t>
        </w:r>
        <w:r w:rsidR="00BA3C4A">
          <w:rPr>
            <w:noProof/>
            <w:webHidden/>
          </w:rPr>
          <w:fldChar w:fldCharType="end"/>
        </w:r>
      </w:hyperlink>
    </w:p>
    <w:p w:rsidR="00BA3C4A" w:rsidRDefault="005C786B">
      <w:pPr>
        <w:pStyle w:val="TOC1"/>
        <w:tabs>
          <w:tab w:val="right" w:leader="dot" w:pos="8296"/>
        </w:tabs>
        <w:rPr>
          <w:rFonts w:eastAsiaTheme="minorEastAsia" w:cstheme="minorBidi"/>
          <w:noProof/>
          <w:sz w:val="22"/>
          <w:szCs w:val="22"/>
          <w:lang w:eastAsia="en-AU"/>
        </w:rPr>
      </w:pPr>
      <w:hyperlink w:anchor="_Toc490042958" w:history="1">
        <w:r w:rsidR="00BA3C4A" w:rsidRPr="00130A50">
          <w:rPr>
            <w:rStyle w:val="Hyperlink"/>
            <w:noProof/>
          </w:rPr>
          <w:t>Term of Reference One - Utilisation</w:t>
        </w:r>
        <w:r w:rsidR="00BA3C4A">
          <w:rPr>
            <w:noProof/>
            <w:webHidden/>
          </w:rPr>
          <w:tab/>
        </w:r>
        <w:r w:rsidR="00BA3C4A">
          <w:rPr>
            <w:noProof/>
            <w:webHidden/>
          </w:rPr>
          <w:fldChar w:fldCharType="begin"/>
        </w:r>
        <w:r w:rsidR="00BA3C4A">
          <w:rPr>
            <w:noProof/>
            <w:webHidden/>
          </w:rPr>
          <w:instrText xml:space="preserve"> PAGEREF _Toc490042958 \h </w:instrText>
        </w:r>
        <w:r w:rsidR="00BA3C4A">
          <w:rPr>
            <w:noProof/>
            <w:webHidden/>
          </w:rPr>
        </w:r>
        <w:r w:rsidR="00BA3C4A">
          <w:rPr>
            <w:noProof/>
            <w:webHidden/>
          </w:rPr>
          <w:fldChar w:fldCharType="separate"/>
        </w:r>
        <w:r w:rsidR="00BA3C4A">
          <w:rPr>
            <w:noProof/>
            <w:webHidden/>
          </w:rPr>
          <w:t>3</w:t>
        </w:r>
        <w:r w:rsidR="00BA3C4A">
          <w:rPr>
            <w:noProof/>
            <w:webHidden/>
          </w:rPr>
          <w:fldChar w:fldCharType="end"/>
        </w:r>
      </w:hyperlink>
    </w:p>
    <w:p w:rsidR="00BA3C4A" w:rsidRDefault="005C786B">
      <w:pPr>
        <w:pStyle w:val="TOC2"/>
        <w:tabs>
          <w:tab w:val="right" w:leader="dot" w:pos="8296"/>
        </w:tabs>
        <w:rPr>
          <w:rFonts w:eastAsiaTheme="minorEastAsia" w:cstheme="minorBidi"/>
          <w:noProof/>
          <w:sz w:val="22"/>
          <w:szCs w:val="22"/>
          <w:lang w:eastAsia="en-AU"/>
        </w:rPr>
      </w:pPr>
      <w:hyperlink w:anchor="_Toc490042959" w:history="1">
        <w:r w:rsidR="00BA3C4A" w:rsidRPr="00130A50">
          <w:rPr>
            <w:rStyle w:val="Hyperlink"/>
            <w:noProof/>
          </w:rPr>
          <w:t>Presentation on Utilisation Evidence</w:t>
        </w:r>
        <w:r w:rsidR="00BA3C4A">
          <w:rPr>
            <w:noProof/>
            <w:webHidden/>
          </w:rPr>
          <w:tab/>
        </w:r>
        <w:r w:rsidR="00BA3C4A">
          <w:rPr>
            <w:noProof/>
            <w:webHidden/>
          </w:rPr>
          <w:fldChar w:fldCharType="begin"/>
        </w:r>
        <w:r w:rsidR="00BA3C4A">
          <w:rPr>
            <w:noProof/>
            <w:webHidden/>
          </w:rPr>
          <w:instrText xml:space="preserve"> PAGEREF _Toc490042959 \h </w:instrText>
        </w:r>
        <w:r w:rsidR="00BA3C4A">
          <w:rPr>
            <w:noProof/>
            <w:webHidden/>
          </w:rPr>
        </w:r>
        <w:r w:rsidR="00BA3C4A">
          <w:rPr>
            <w:noProof/>
            <w:webHidden/>
          </w:rPr>
          <w:fldChar w:fldCharType="separate"/>
        </w:r>
        <w:r w:rsidR="00BA3C4A">
          <w:rPr>
            <w:noProof/>
            <w:webHidden/>
          </w:rPr>
          <w:t>3</w:t>
        </w:r>
        <w:r w:rsidR="00BA3C4A">
          <w:rPr>
            <w:noProof/>
            <w:webHidden/>
          </w:rPr>
          <w:fldChar w:fldCharType="end"/>
        </w:r>
      </w:hyperlink>
    </w:p>
    <w:p w:rsidR="00BA3C4A" w:rsidRDefault="005C786B">
      <w:pPr>
        <w:pStyle w:val="TOC2"/>
        <w:tabs>
          <w:tab w:val="right" w:leader="dot" w:pos="8296"/>
        </w:tabs>
        <w:rPr>
          <w:rFonts w:eastAsiaTheme="minorEastAsia" w:cstheme="minorBidi"/>
          <w:noProof/>
          <w:sz w:val="22"/>
          <w:szCs w:val="22"/>
          <w:lang w:eastAsia="en-AU"/>
        </w:rPr>
      </w:pPr>
      <w:hyperlink w:anchor="_Toc490042960" w:history="1">
        <w:r w:rsidR="00BA3C4A" w:rsidRPr="00130A50">
          <w:rPr>
            <w:rStyle w:val="Hyperlink"/>
            <w:noProof/>
          </w:rPr>
          <w:t>Reference Group Questions</w:t>
        </w:r>
        <w:r w:rsidR="00BA3C4A">
          <w:rPr>
            <w:noProof/>
            <w:webHidden/>
          </w:rPr>
          <w:tab/>
        </w:r>
        <w:r w:rsidR="00BA3C4A">
          <w:rPr>
            <w:noProof/>
            <w:webHidden/>
          </w:rPr>
          <w:fldChar w:fldCharType="begin"/>
        </w:r>
        <w:r w:rsidR="00BA3C4A">
          <w:rPr>
            <w:noProof/>
            <w:webHidden/>
          </w:rPr>
          <w:instrText xml:space="preserve"> PAGEREF _Toc490042960 \h </w:instrText>
        </w:r>
        <w:r w:rsidR="00BA3C4A">
          <w:rPr>
            <w:noProof/>
            <w:webHidden/>
          </w:rPr>
        </w:r>
        <w:r w:rsidR="00BA3C4A">
          <w:rPr>
            <w:noProof/>
            <w:webHidden/>
          </w:rPr>
          <w:fldChar w:fldCharType="separate"/>
        </w:r>
        <w:r w:rsidR="00BA3C4A">
          <w:rPr>
            <w:noProof/>
            <w:webHidden/>
          </w:rPr>
          <w:t>4</w:t>
        </w:r>
        <w:r w:rsidR="00BA3C4A">
          <w:rPr>
            <w:noProof/>
            <w:webHidden/>
          </w:rPr>
          <w:fldChar w:fldCharType="end"/>
        </w:r>
      </w:hyperlink>
    </w:p>
    <w:p w:rsidR="00BA3C4A" w:rsidRDefault="005C786B">
      <w:pPr>
        <w:pStyle w:val="TOC1"/>
        <w:tabs>
          <w:tab w:val="right" w:leader="dot" w:pos="8296"/>
        </w:tabs>
        <w:rPr>
          <w:rFonts w:eastAsiaTheme="minorEastAsia" w:cstheme="minorBidi"/>
          <w:noProof/>
          <w:sz w:val="22"/>
          <w:szCs w:val="22"/>
          <w:lang w:eastAsia="en-AU"/>
        </w:rPr>
      </w:pPr>
      <w:hyperlink w:anchor="_Toc490042961" w:history="1">
        <w:r w:rsidR="00BA3C4A" w:rsidRPr="00130A50">
          <w:rPr>
            <w:rStyle w:val="Hyperlink"/>
            <w:noProof/>
          </w:rPr>
          <w:t>Term of Reference Two - Guidelines</w:t>
        </w:r>
        <w:r w:rsidR="00BA3C4A">
          <w:rPr>
            <w:noProof/>
            <w:webHidden/>
          </w:rPr>
          <w:tab/>
        </w:r>
        <w:r w:rsidR="00BA3C4A">
          <w:rPr>
            <w:noProof/>
            <w:webHidden/>
          </w:rPr>
          <w:fldChar w:fldCharType="begin"/>
        </w:r>
        <w:r w:rsidR="00BA3C4A">
          <w:rPr>
            <w:noProof/>
            <w:webHidden/>
          </w:rPr>
          <w:instrText xml:space="preserve"> PAGEREF _Toc490042961 \h </w:instrText>
        </w:r>
        <w:r w:rsidR="00BA3C4A">
          <w:rPr>
            <w:noProof/>
            <w:webHidden/>
          </w:rPr>
        </w:r>
        <w:r w:rsidR="00BA3C4A">
          <w:rPr>
            <w:noProof/>
            <w:webHidden/>
          </w:rPr>
          <w:fldChar w:fldCharType="separate"/>
        </w:r>
        <w:r w:rsidR="00BA3C4A">
          <w:rPr>
            <w:noProof/>
            <w:webHidden/>
          </w:rPr>
          <w:t>5</w:t>
        </w:r>
        <w:r w:rsidR="00BA3C4A">
          <w:rPr>
            <w:noProof/>
            <w:webHidden/>
          </w:rPr>
          <w:fldChar w:fldCharType="end"/>
        </w:r>
      </w:hyperlink>
    </w:p>
    <w:p w:rsidR="00BA3C4A" w:rsidRDefault="005C786B">
      <w:pPr>
        <w:pStyle w:val="TOC2"/>
        <w:tabs>
          <w:tab w:val="right" w:leader="dot" w:pos="8296"/>
        </w:tabs>
        <w:rPr>
          <w:rFonts w:eastAsiaTheme="minorEastAsia" w:cstheme="minorBidi"/>
          <w:noProof/>
          <w:sz w:val="22"/>
          <w:szCs w:val="22"/>
          <w:lang w:eastAsia="en-AU"/>
        </w:rPr>
      </w:pPr>
      <w:hyperlink w:anchor="_Toc490042962" w:history="1">
        <w:r w:rsidR="00BA3C4A" w:rsidRPr="00130A50">
          <w:rPr>
            <w:rStyle w:val="Hyperlink"/>
            <w:noProof/>
          </w:rPr>
          <w:t>Presentation on Clinical Guidelines</w:t>
        </w:r>
        <w:r w:rsidR="00BA3C4A">
          <w:rPr>
            <w:noProof/>
            <w:webHidden/>
          </w:rPr>
          <w:tab/>
        </w:r>
        <w:r w:rsidR="00BA3C4A">
          <w:rPr>
            <w:noProof/>
            <w:webHidden/>
          </w:rPr>
          <w:fldChar w:fldCharType="begin"/>
        </w:r>
        <w:r w:rsidR="00BA3C4A">
          <w:rPr>
            <w:noProof/>
            <w:webHidden/>
          </w:rPr>
          <w:instrText xml:space="preserve"> PAGEREF _Toc490042962 \h </w:instrText>
        </w:r>
        <w:r w:rsidR="00BA3C4A">
          <w:rPr>
            <w:noProof/>
            <w:webHidden/>
          </w:rPr>
        </w:r>
        <w:r w:rsidR="00BA3C4A">
          <w:rPr>
            <w:noProof/>
            <w:webHidden/>
          </w:rPr>
          <w:fldChar w:fldCharType="separate"/>
        </w:r>
        <w:r w:rsidR="00BA3C4A">
          <w:rPr>
            <w:noProof/>
            <w:webHidden/>
          </w:rPr>
          <w:t>5</w:t>
        </w:r>
        <w:r w:rsidR="00BA3C4A">
          <w:rPr>
            <w:noProof/>
            <w:webHidden/>
          </w:rPr>
          <w:fldChar w:fldCharType="end"/>
        </w:r>
      </w:hyperlink>
    </w:p>
    <w:p w:rsidR="00BA3C4A" w:rsidRDefault="005C786B">
      <w:pPr>
        <w:pStyle w:val="TOC2"/>
        <w:tabs>
          <w:tab w:val="right" w:leader="dot" w:pos="8296"/>
        </w:tabs>
        <w:rPr>
          <w:rFonts w:eastAsiaTheme="minorEastAsia" w:cstheme="minorBidi"/>
          <w:noProof/>
          <w:sz w:val="22"/>
          <w:szCs w:val="22"/>
          <w:lang w:eastAsia="en-AU"/>
        </w:rPr>
      </w:pPr>
      <w:hyperlink w:anchor="_Toc490042963" w:history="1">
        <w:r w:rsidR="00BA3C4A" w:rsidRPr="00130A50">
          <w:rPr>
            <w:rStyle w:val="Hyperlink"/>
            <w:noProof/>
          </w:rPr>
          <w:t>Reference Group Questions</w:t>
        </w:r>
        <w:r w:rsidR="00BA3C4A">
          <w:rPr>
            <w:noProof/>
            <w:webHidden/>
          </w:rPr>
          <w:tab/>
        </w:r>
        <w:r w:rsidR="00BA3C4A">
          <w:rPr>
            <w:noProof/>
            <w:webHidden/>
          </w:rPr>
          <w:fldChar w:fldCharType="begin"/>
        </w:r>
        <w:r w:rsidR="00BA3C4A">
          <w:rPr>
            <w:noProof/>
            <w:webHidden/>
          </w:rPr>
          <w:instrText xml:space="preserve"> PAGEREF _Toc490042963 \h </w:instrText>
        </w:r>
        <w:r w:rsidR="00BA3C4A">
          <w:rPr>
            <w:noProof/>
            <w:webHidden/>
          </w:rPr>
        </w:r>
        <w:r w:rsidR="00BA3C4A">
          <w:rPr>
            <w:noProof/>
            <w:webHidden/>
          </w:rPr>
          <w:fldChar w:fldCharType="separate"/>
        </w:r>
        <w:r w:rsidR="00BA3C4A">
          <w:rPr>
            <w:noProof/>
            <w:webHidden/>
          </w:rPr>
          <w:t>5</w:t>
        </w:r>
        <w:r w:rsidR="00BA3C4A">
          <w:rPr>
            <w:noProof/>
            <w:webHidden/>
          </w:rPr>
          <w:fldChar w:fldCharType="end"/>
        </w:r>
      </w:hyperlink>
    </w:p>
    <w:p w:rsidR="00BA3C4A" w:rsidRDefault="005C786B">
      <w:pPr>
        <w:pStyle w:val="TOC1"/>
        <w:tabs>
          <w:tab w:val="right" w:leader="dot" w:pos="8296"/>
        </w:tabs>
        <w:rPr>
          <w:rFonts w:eastAsiaTheme="minorEastAsia" w:cstheme="minorBidi"/>
          <w:noProof/>
          <w:sz w:val="22"/>
          <w:szCs w:val="22"/>
          <w:lang w:eastAsia="en-AU"/>
        </w:rPr>
      </w:pPr>
      <w:hyperlink w:anchor="_Toc490042964" w:history="1">
        <w:r w:rsidR="00BA3C4A" w:rsidRPr="00130A50">
          <w:rPr>
            <w:rStyle w:val="Hyperlink"/>
            <w:noProof/>
          </w:rPr>
          <w:t>Term of Reference Three – Clinical Studies</w:t>
        </w:r>
        <w:r w:rsidR="00BA3C4A">
          <w:rPr>
            <w:noProof/>
            <w:webHidden/>
          </w:rPr>
          <w:tab/>
        </w:r>
        <w:r w:rsidR="00BA3C4A">
          <w:rPr>
            <w:noProof/>
            <w:webHidden/>
          </w:rPr>
          <w:fldChar w:fldCharType="begin"/>
        </w:r>
        <w:r w:rsidR="00BA3C4A">
          <w:rPr>
            <w:noProof/>
            <w:webHidden/>
          </w:rPr>
          <w:instrText xml:space="preserve"> PAGEREF _Toc490042964 \h </w:instrText>
        </w:r>
        <w:r w:rsidR="00BA3C4A">
          <w:rPr>
            <w:noProof/>
            <w:webHidden/>
          </w:rPr>
        </w:r>
        <w:r w:rsidR="00BA3C4A">
          <w:rPr>
            <w:noProof/>
            <w:webHidden/>
          </w:rPr>
          <w:fldChar w:fldCharType="separate"/>
        </w:r>
        <w:r w:rsidR="00BA3C4A">
          <w:rPr>
            <w:noProof/>
            <w:webHidden/>
          </w:rPr>
          <w:t>6</w:t>
        </w:r>
        <w:r w:rsidR="00BA3C4A">
          <w:rPr>
            <w:noProof/>
            <w:webHidden/>
          </w:rPr>
          <w:fldChar w:fldCharType="end"/>
        </w:r>
      </w:hyperlink>
    </w:p>
    <w:p w:rsidR="00BA3C4A" w:rsidRDefault="005C786B">
      <w:pPr>
        <w:pStyle w:val="TOC2"/>
        <w:tabs>
          <w:tab w:val="right" w:leader="dot" w:pos="8296"/>
        </w:tabs>
        <w:rPr>
          <w:rFonts w:eastAsiaTheme="minorEastAsia" w:cstheme="minorBidi"/>
          <w:noProof/>
          <w:sz w:val="22"/>
          <w:szCs w:val="22"/>
          <w:lang w:eastAsia="en-AU"/>
        </w:rPr>
      </w:pPr>
      <w:hyperlink w:anchor="_Toc490042965" w:history="1">
        <w:r w:rsidR="00BA3C4A" w:rsidRPr="00130A50">
          <w:rPr>
            <w:rStyle w:val="Hyperlink"/>
            <w:noProof/>
          </w:rPr>
          <w:t>Presentation on Clinical Studies</w:t>
        </w:r>
        <w:r w:rsidR="00BA3C4A">
          <w:rPr>
            <w:noProof/>
            <w:webHidden/>
          </w:rPr>
          <w:tab/>
        </w:r>
        <w:r w:rsidR="00BA3C4A">
          <w:rPr>
            <w:noProof/>
            <w:webHidden/>
          </w:rPr>
          <w:fldChar w:fldCharType="begin"/>
        </w:r>
        <w:r w:rsidR="00BA3C4A">
          <w:rPr>
            <w:noProof/>
            <w:webHidden/>
          </w:rPr>
          <w:instrText xml:space="preserve"> PAGEREF _Toc490042965 \h </w:instrText>
        </w:r>
        <w:r w:rsidR="00BA3C4A">
          <w:rPr>
            <w:noProof/>
            <w:webHidden/>
          </w:rPr>
        </w:r>
        <w:r w:rsidR="00BA3C4A">
          <w:rPr>
            <w:noProof/>
            <w:webHidden/>
          </w:rPr>
          <w:fldChar w:fldCharType="separate"/>
        </w:r>
        <w:r w:rsidR="00BA3C4A">
          <w:rPr>
            <w:noProof/>
            <w:webHidden/>
          </w:rPr>
          <w:t>6</w:t>
        </w:r>
        <w:r w:rsidR="00BA3C4A">
          <w:rPr>
            <w:noProof/>
            <w:webHidden/>
          </w:rPr>
          <w:fldChar w:fldCharType="end"/>
        </w:r>
      </w:hyperlink>
    </w:p>
    <w:p w:rsidR="00BA3C4A" w:rsidRDefault="005C786B">
      <w:pPr>
        <w:pStyle w:val="TOC2"/>
        <w:tabs>
          <w:tab w:val="right" w:leader="dot" w:pos="8296"/>
        </w:tabs>
        <w:rPr>
          <w:rFonts w:eastAsiaTheme="minorEastAsia" w:cstheme="minorBidi"/>
          <w:noProof/>
          <w:sz w:val="22"/>
          <w:szCs w:val="22"/>
          <w:lang w:eastAsia="en-AU"/>
        </w:rPr>
      </w:pPr>
      <w:hyperlink w:anchor="_Toc490042966" w:history="1">
        <w:r w:rsidR="00BA3C4A" w:rsidRPr="00130A50">
          <w:rPr>
            <w:rStyle w:val="Hyperlink"/>
            <w:noProof/>
          </w:rPr>
          <w:t>Reference Group Questions</w:t>
        </w:r>
        <w:r w:rsidR="00BA3C4A">
          <w:rPr>
            <w:noProof/>
            <w:webHidden/>
          </w:rPr>
          <w:tab/>
        </w:r>
        <w:r w:rsidR="00BA3C4A">
          <w:rPr>
            <w:noProof/>
            <w:webHidden/>
          </w:rPr>
          <w:fldChar w:fldCharType="begin"/>
        </w:r>
        <w:r w:rsidR="00BA3C4A">
          <w:rPr>
            <w:noProof/>
            <w:webHidden/>
          </w:rPr>
          <w:instrText xml:space="preserve"> PAGEREF _Toc490042966 \h </w:instrText>
        </w:r>
        <w:r w:rsidR="00BA3C4A">
          <w:rPr>
            <w:noProof/>
            <w:webHidden/>
          </w:rPr>
        </w:r>
        <w:r w:rsidR="00BA3C4A">
          <w:rPr>
            <w:noProof/>
            <w:webHidden/>
          </w:rPr>
          <w:fldChar w:fldCharType="separate"/>
        </w:r>
        <w:r w:rsidR="00BA3C4A">
          <w:rPr>
            <w:noProof/>
            <w:webHidden/>
          </w:rPr>
          <w:t>7</w:t>
        </w:r>
        <w:r w:rsidR="00BA3C4A">
          <w:rPr>
            <w:noProof/>
            <w:webHidden/>
          </w:rPr>
          <w:fldChar w:fldCharType="end"/>
        </w:r>
      </w:hyperlink>
    </w:p>
    <w:p w:rsidR="00C826B0" w:rsidRPr="00C826B0" w:rsidRDefault="005A4DBE" w:rsidP="00C826B0">
      <w:pPr>
        <w:tabs>
          <w:tab w:val="center" w:pos="4249"/>
        </w:tabs>
        <w:spacing w:after="120"/>
        <w:rPr>
          <w:rFonts w:ascii="Cambria" w:eastAsiaTheme="minorHAnsi" w:hAnsi="Cambria" w:cstheme="minorBidi"/>
          <w:szCs w:val="22"/>
        </w:rPr>
      </w:pPr>
      <w:r>
        <w:rPr>
          <w:rFonts w:ascii="Cambria" w:eastAsiaTheme="minorHAnsi" w:hAnsi="Cambria" w:cstheme="minorBidi"/>
          <w:szCs w:val="22"/>
        </w:rPr>
        <w:fldChar w:fldCharType="end"/>
      </w:r>
      <w:r w:rsidR="00C826B0" w:rsidRPr="00C826B0">
        <w:rPr>
          <w:rFonts w:ascii="Cambria" w:eastAsiaTheme="minorHAnsi" w:hAnsi="Cambria" w:cstheme="minorBidi"/>
          <w:szCs w:val="22"/>
        </w:rPr>
        <w:tab/>
      </w:r>
    </w:p>
    <w:p w:rsidR="00C826B0" w:rsidRPr="00C826B0" w:rsidRDefault="00C826B0" w:rsidP="00AD0D08">
      <w:pPr>
        <w:rPr>
          <w:rFonts w:eastAsiaTheme="minorHAnsi"/>
        </w:rPr>
      </w:pPr>
    </w:p>
    <w:p w:rsidR="00C826B0" w:rsidRPr="00AD0D08" w:rsidRDefault="00C826B0" w:rsidP="00AD0D08">
      <w:pPr>
        <w:pStyle w:val="Heading1"/>
        <w:rPr>
          <w:b w:val="0"/>
          <w:bCs w:val="0"/>
        </w:rPr>
      </w:pPr>
      <w:r w:rsidRPr="00C826B0">
        <w:rPr>
          <w:color w:val="4F81BD" w:themeColor="accent1"/>
        </w:rPr>
        <w:br w:type="page"/>
      </w:r>
      <w:bookmarkStart w:id="1" w:name="_Toc490042957"/>
      <w:r w:rsidRPr="00B01DC5">
        <w:lastRenderedPageBreak/>
        <w:t>Background and Purpose</w:t>
      </w:r>
      <w:bookmarkEnd w:id="1"/>
    </w:p>
    <w:p w:rsidR="00C826B0" w:rsidRPr="00C826B0" w:rsidRDefault="00C826B0" w:rsidP="00C826B0">
      <w:pPr>
        <w:spacing w:after="200"/>
        <w:rPr>
          <w:rFonts w:eastAsiaTheme="minorHAnsi" w:cstheme="minorBidi"/>
          <w:szCs w:val="22"/>
        </w:rPr>
      </w:pPr>
      <w:bookmarkStart w:id="2" w:name="_Toc255887090"/>
      <w:r w:rsidRPr="00C826B0">
        <w:rPr>
          <w:rFonts w:eastAsiaTheme="minorHAnsi" w:cstheme="minorBidi"/>
          <w:szCs w:val="22"/>
        </w:rPr>
        <w:t xml:space="preserve">During 2016, the Australian Government is conducting a Post-market Review of Ezetimibe, which is listed on the Pharmaceutical Benefits Scheme (PBS) for the treatment of high cholesterol in certain patient populations. The Review is focused on the cost-effectiveness of ezetimibe in the context of </w:t>
      </w:r>
      <w:r w:rsidR="000945DB">
        <w:rPr>
          <w:rFonts w:eastAsiaTheme="minorHAnsi" w:cstheme="minorBidi"/>
          <w:szCs w:val="22"/>
        </w:rPr>
        <w:t xml:space="preserve">the </w:t>
      </w:r>
      <w:r w:rsidRPr="00C826B0">
        <w:rPr>
          <w:rFonts w:eastAsiaTheme="minorHAnsi" w:cstheme="minorBidi"/>
          <w:szCs w:val="22"/>
        </w:rPr>
        <w:t xml:space="preserve">latest available evidence and best clinical practice. As part of the </w:t>
      </w:r>
      <w:r w:rsidR="000945DB">
        <w:rPr>
          <w:rFonts w:eastAsiaTheme="minorHAnsi" w:cstheme="minorBidi"/>
          <w:szCs w:val="22"/>
        </w:rPr>
        <w:t>R</w:t>
      </w:r>
      <w:r w:rsidRPr="00C826B0">
        <w:rPr>
          <w:rFonts w:eastAsiaTheme="minorHAnsi" w:cstheme="minorBidi"/>
          <w:szCs w:val="22"/>
        </w:rPr>
        <w:t>eview process, the Reference Group of the Post-market Review of Ezetimibe convened a targeted stakeholder consultation forum in Canberra to present initial findings of the Review’s evidence evaluation</w:t>
      </w:r>
      <w:r w:rsidR="000945DB">
        <w:rPr>
          <w:rFonts w:eastAsiaTheme="minorHAnsi" w:cstheme="minorBidi"/>
          <w:szCs w:val="22"/>
        </w:rPr>
        <w:t>s</w:t>
      </w:r>
      <w:r w:rsidRPr="00C826B0">
        <w:rPr>
          <w:rFonts w:eastAsiaTheme="minorHAnsi" w:cstheme="minorBidi"/>
          <w:szCs w:val="22"/>
        </w:rPr>
        <w:t xml:space="preserve"> and elicit stakeholder feedback on these findings.</w:t>
      </w:r>
    </w:p>
    <w:p w:rsidR="00C826B0" w:rsidRPr="00C826B0" w:rsidRDefault="00C826B0" w:rsidP="00C826B0">
      <w:pPr>
        <w:spacing w:after="200"/>
        <w:rPr>
          <w:rFonts w:eastAsiaTheme="minorHAnsi" w:cstheme="minorBidi"/>
          <w:szCs w:val="22"/>
        </w:rPr>
      </w:pPr>
      <w:r w:rsidRPr="00C826B0">
        <w:rPr>
          <w:rFonts w:eastAsiaTheme="minorHAnsi" w:cstheme="minorBidi"/>
          <w:szCs w:val="22"/>
        </w:rPr>
        <w:t>The forum program included presentation of findings by the Reference Group Chair, Emeritus Professor Lloyd Sansom, followed by discussion</w:t>
      </w:r>
      <w:r w:rsidR="000945DB">
        <w:rPr>
          <w:rFonts w:eastAsiaTheme="minorHAnsi" w:cstheme="minorBidi"/>
          <w:szCs w:val="22"/>
        </w:rPr>
        <w:t>,</w:t>
      </w:r>
      <w:r w:rsidRPr="00C826B0">
        <w:rPr>
          <w:rFonts w:eastAsiaTheme="minorHAnsi" w:cstheme="minorBidi"/>
          <w:szCs w:val="22"/>
        </w:rPr>
        <w:t xml:space="preserve"> and was structured around the Review’s three Terms of Reference and questions identified by the Reference Group.</w:t>
      </w:r>
    </w:p>
    <w:p w:rsidR="00C826B0" w:rsidRPr="00C826B0" w:rsidRDefault="00C826B0" w:rsidP="00C826B0">
      <w:pPr>
        <w:spacing w:after="200"/>
        <w:rPr>
          <w:rFonts w:eastAsiaTheme="minorHAnsi" w:cstheme="minorBidi"/>
          <w:szCs w:val="22"/>
        </w:rPr>
      </w:pPr>
      <w:r w:rsidRPr="00C826B0">
        <w:rPr>
          <w:rFonts w:eastAsiaTheme="minorHAnsi" w:cstheme="minorBidi"/>
          <w:szCs w:val="22"/>
        </w:rPr>
        <w:t xml:space="preserve">Forum participants included representatives from </w:t>
      </w:r>
      <w:r w:rsidR="000945DB">
        <w:rPr>
          <w:rFonts w:eastAsiaTheme="minorHAnsi" w:cstheme="minorBidi"/>
          <w:szCs w:val="22"/>
        </w:rPr>
        <w:t xml:space="preserve">medicine </w:t>
      </w:r>
      <w:r w:rsidRPr="00C826B0">
        <w:rPr>
          <w:rFonts w:eastAsiaTheme="minorHAnsi" w:cstheme="minorBidi"/>
          <w:szCs w:val="22"/>
        </w:rPr>
        <w:t>sponsors, Medicines Australia, the Pharmacy Guild of Australia, NPS MedicineWise and Diabetes Australia.</w:t>
      </w:r>
    </w:p>
    <w:p w:rsidR="00C826B0" w:rsidRPr="00C826B0" w:rsidRDefault="00C826B0" w:rsidP="00C826B0">
      <w:pPr>
        <w:spacing w:after="200"/>
        <w:rPr>
          <w:rFonts w:eastAsiaTheme="minorHAnsi" w:cstheme="minorBidi"/>
          <w:szCs w:val="22"/>
        </w:rPr>
      </w:pPr>
      <w:r w:rsidRPr="00C826B0">
        <w:rPr>
          <w:rFonts w:eastAsiaTheme="minorHAnsi" w:cstheme="minorBidi"/>
          <w:szCs w:val="22"/>
        </w:rPr>
        <w:t>Douglas Smith from Tempo Strategies facilitated the forum, which was scribed by Emma Pankhurst. Douglas and Emma prepared this summary report.</w:t>
      </w:r>
    </w:p>
    <w:p w:rsidR="00C826B0" w:rsidRPr="00C826B0" w:rsidRDefault="00C826B0" w:rsidP="00AD0D08">
      <w:pPr>
        <w:pStyle w:val="Heading1"/>
      </w:pPr>
      <w:bookmarkStart w:id="3" w:name="_Toc490042958"/>
      <w:bookmarkEnd w:id="2"/>
      <w:r w:rsidRPr="00C826B0">
        <w:t>Term of Reference One - Utilisation</w:t>
      </w:r>
      <w:bookmarkEnd w:id="3"/>
    </w:p>
    <w:p w:rsidR="00C826B0" w:rsidRPr="00C826B0" w:rsidRDefault="00C826B0" w:rsidP="00C826B0">
      <w:pPr>
        <w:spacing w:after="200"/>
        <w:rPr>
          <w:rFonts w:eastAsiaTheme="minorHAnsi" w:cs="Arial"/>
          <w:i/>
          <w:color w:val="000000"/>
          <w:szCs w:val="22"/>
        </w:rPr>
      </w:pPr>
      <w:r w:rsidRPr="00C826B0">
        <w:rPr>
          <w:rFonts w:eastAsiaTheme="minorHAnsi" w:cs="Arial"/>
          <w:i/>
          <w:color w:val="000000"/>
          <w:szCs w:val="22"/>
        </w:rPr>
        <w:t xml:space="preserve">Review current utilisation of Pharmaceutical Benefits Scheme (PBS) - listed ezetimibe and ezetimibe combination products. Any review will consider additional data sources that may inform the current utilisation of ezetimibe. </w:t>
      </w:r>
    </w:p>
    <w:p w:rsidR="00C826B0" w:rsidRPr="00B01DC5" w:rsidRDefault="00C826B0" w:rsidP="00AD0D08">
      <w:pPr>
        <w:pStyle w:val="Heading2"/>
        <w:rPr>
          <w:b w:val="0"/>
          <w:bCs w:val="0"/>
          <w:i w:val="0"/>
        </w:rPr>
      </w:pPr>
      <w:bookmarkStart w:id="4" w:name="_Toc490042959"/>
      <w:r w:rsidRPr="00B01DC5">
        <w:t>Presentation on Utilisation Evidence</w:t>
      </w:r>
      <w:bookmarkEnd w:id="4"/>
    </w:p>
    <w:p w:rsidR="00C826B0" w:rsidRPr="00C826B0" w:rsidRDefault="00C826B0" w:rsidP="00C826B0">
      <w:pPr>
        <w:spacing w:after="200"/>
        <w:rPr>
          <w:rFonts w:eastAsiaTheme="minorHAnsi" w:cstheme="minorBidi"/>
          <w:szCs w:val="22"/>
        </w:rPr>
      </w:pPr>
      <w:r w:rsidRPr="00C826B0">
        <w:rPr>
          <w:rFonts w:eastAsiaTheme="minorHAnsi" w:cstheme="minorBidi"/>
          <w:szCs w:val="22"/>
        </w:rPr>
        <w:t xml:space="preserve">Professor Sansom outlined the current PBS restrictions for ezetimibe, which </w:t>
      </w:r>
      <w:r w:rsidR="000945DB">
        <w:rPr>
          <w:rFonts w:eastAsiaTheme="minorHAnsi" w:cstheme="minorBidi"/>
          <w:szCs w:val="22"/>
        </w:rPr>
        <w:t>are</w:t>
      </w:r>
      <w:r w:rsidRPr="00C826B0">
        <w:rPr>
          <w:rFonts w:eastAsiaTheme="minorHAnsi" w:cstheme="minorBidi"/>
          <w:szCs w:val="22"/>
        </w:rPr>
        <w:t xml:space="preserve"> based on an absolute risk approach. The evidence evaluation of utilisation focused on the period 1 April 2014 to 1 April 2015, during which time 45,645 patients were initiated on ezetimibe monotherapy or combination </w:t>
      </w:r>
      <w:r w:rsidR="000945DB">
        <w:rPr>
          <w:rFonts w:eastAsiaTheme="minorHAnsi" w:cstheme="minorBidi"/>
          <w:szCs w:val="22"/>
        </w:rPr>
        <w:t xml:space="preserve">use </w:t>
      </w:r>
      <w:r w:rsidRPr="00C826B0">
        <w:rPr>
          <w:rFonts w:eastAsiaTheme="minorHAnsi" w:cstheme="minorBidi"/>
          <w:szCs w:val="22"/>
        </w:rPr>
        <w:t>with a statin. The evaluation identified two cohorts:</w:t>
      </w:r>
    </w:p>
    <w:p w:rsidR="00C826B0" w:rsidRPr="00B01DC5" w:rsidRDefault="00C826B0" w:rsidP="00AD0D08">
      <w:pPr>
        <w:pStyle w:val="ListParagraph"/>
        <w:numPr>
          <w:ilvl w:val="0"/>
          <w:numId w:val="1"/>
        </w:numPr>
        <w:spacing w:after="120"/>
        <w:rPr>
          <w:lang w:eastAsia="en-AU"/>
        </w:rPr>
      </w:pPr>
      <w:r w:rsidRPr="00B01DC5">
        <w:rPr>
          <w:lang w:eastAsia="en-AU"/>
        </w:rPr>
        <w:t xml:space="preserve">Cohort 1 – no history of a statin or other </w:t>
      </w:r>
      <w:r w:rsidR="000945DB" w:rsidRPr="000768B5">
        <w:rPr>
          <w:lang w:eastAsia="en-AU"/>
        </w:rPr>
        <w:t xml:space="preserve">lipid-lowering therapy </w:t>
      </w:r>
      <w:r w:rsidR="000945DB">
        <w:rPr>
          <w:lang w:eastAsia="en-AU"/>
        </w:rPr>
        <w:t>(</w:t>
      </w:r>
      <w:r w:rsidRPr="00B01DC5">
        <w:rPr>
          <w:lang w:eastAsia="en-AU"/>
        </w:rPr>
        <w:t>LLT</w:t>
      </w:r>
      <w:r w:rsidR="000945DB">
        <w:rPr>
          <w:lang w:eastAsia="en-AU"/>
        </w:rPr>
        <w:t>)</w:t>
      </w:r>
      <w:r w:rsidRPr="00B01DC5">
        <w:rPr>
          <w:lang w:eastAsia="en-AU"/>
        </w:rPr>
        <w:t xml:space="preserve"> in the previous two years (15% of patients)</w:t>
      </w:r>
      <w:r w:rsidR="000945DB">
        <w:rPr>
          <w:lang w:eastAsia="en-AU"/>
        </w:rPr>
        <w:t>.</w:t>
      </w:r>
    </w:p>
    <w:p w:rsidR="00C826B0" w:rsidRPr="00B01DC5" w:rsidRDefault="00C826B0" w:rsidP="00AD0D08">
      <w:pPr>
        <w:pStyle w:val="ListParagraph"/>
        <w:numPr>
          <w:ilvl w:val="0"/>
          <w:numId w:val="1"/>
        </w:numPr>
        <w:spacing w:after="120"/>
        <w:rPr>
          <w:lang w:eastAsia="en-AU"/>
        </w:rPr>
      </w:pPr>
      <w:r w:rsidRPr="00B01DC5">
        <w:rPr>
          <w:lang w:eastAsia="en-AU"/>
        </w:rPr>
        <w:t>Cohort 2 – a history of a statin or other LLT in the previous two years (85% of patients).</w:t>
      </w:r>
    </w:p>
    <w:p w:rsidR="00C826B0" w:rsidRPr="00C826B0" w:rsidRDefault="00C826B0" w:rsidP="00C826B0">
      <w:pPr>
        <w:spacing w:after="200"/>
        <w:rPr>
          <w:rFonts w:eastAsiaTheme="minorHAnsi" w:cstheme="minorBidi"/>
          <w:szCs w:val="22"/>
        </w:rPr>
      </w:pPr>
      <w:r w:rsidRPr="00C826B0">
        <w:rPr>
          <w:rFonts w:eastAsiaTheme="minorHAnsi" w:cstheme="minorBidi"/>
          <w:szCs w:val="22"/>
        </w:rPr>
        <w:t>Other findings from the review of the utilisation data included:</w:t>
      </w:r>
    </w:p>
    <w:p w:rsidR="00C826B0" w:rsidRPr="00B01DC5" w:rsidRDefault="00C826B0" w:rsidP="00AD0D08">
      <w:pPr>
        <w:pStyle w:val="ListParagraph"/>
        <w:numPr>
          <w:ilvl w:val="0"/>
          <w:numId w:val="2"/>
        </w:numPr>
        <w:spacing w:after="120"/>
        <w:rPr>
          <w:lang w:eastAsia="en-AU"/>
        </w:rPr>
      </w:pPr>
      <w:r w:rsidRPr="00B01DC5">
        <w:rPr>
          <w:lang w:eastAsia="en-AU"/>
        </w:rPr>
        <w:t>for Cohort 2, a significant proportion (70%) had not changed statin dose in the two years preceding ezetimibe initiation</w:t>
      </w:r>
    </w:p>
    <w:p w:rsidR="00C826B0" w:rsidRPr="00B01DC5" w:rsidRDefault="00C826B0" w:rsidP="00AD0D08">
      <w:pPr>
        <w:pStyle w:val="ListParagraph"/>
        <w:numPr>
          <w:ilvl w:val="0"/>
          <w:numId w:val="2"/>
        </w:numPr>
        <w:spacing w:after="120"/>
        <w:rPr>
          <w:lang w:eastAsia="en-AU"/>
        </w:rPr>
      </w:pPr>
      <w:r w:rsidRPr="00B01DC5">
        <w:rPr>
          <w:lang w:eastAsia="en-AU"/>
        </w:rPr>
        <w:t>Cohort 1 (the proportion of patients initiating on ezetimibe without a prior history of statin or other LLT) is much larger than that expected from the reported incidence of contraindications to statins and may indicate either:</w:t>
      </w:r>
    </w:p>
    <w:p w:rsidR="00C826B0" w:rsidRPr="00AD0D08" w:rsidRDefault="00C826B0" w:rsidP="00AD0D08">
      <w:pPr>
        <w:pStyle w:val="ListParagraph"/>
        <w:numPr>
          <w:ilvl w:val="1"/>
          <w:numId w:val="2"/>
        </w:numPr>
        <w:spacing w:after="120"/>
        <w:rPr>
          <w:rFonts w:eastAsiaTheme="minorHAnsi" w:cstheme="minorBidi"/>
        </w:rPr>
      </w:pPr>
      <w:r w:rsidRPr="0051021B">
        <w:rPr>
          <w:rFonts w:eastAsiaTheme="minorHAnsi" w:cstheme="minorBidi"/>
        </w:rPr>
        <w:lastRenderedPageBreak/>
        <w:t>significant use outside PBS restrictions</w:t>
      </w:r>
      <w:r w:rsidR="000945DB">
        <w:rPr>
          <w:rFonts w:eastAsiaTheme="minorHAnsi" w:cstheme="minorBidi"/>
        </w:rPr>
        <w:t>;</w:t>
      </w:r>
      <w:r w:rsidRPr="00AD0D08">
        <w:rPr>
          <w:rFonts w:eastAsiaTheme="minorHAnsi" w:cstheme="minorBidi"/>
        </w:rPr>
        <w:t xml:space="preserve"> or</w:t>
      </w:r>
    </w:p>
    <w:p w:rsidR="00C826B0" w:rsidRPr="00AD0D08" w:rsidRDefault="00C826B0" w:rsidP="00AD0D08">
      <w:pPr>
        <w:pStyle w:val="ListParagraph"/>
        <w:numPr>
          <w:ilvl w:val="1"/>
          <w:numId w:val="2"/>
        </w:numPr>
        <w:spacing w:after="120"/>
        <w:rPr>
          <w:rFonts w:eastAsiaTheme="minorHAnsi" w:cstheme="minorBidi"/>
        </w:rPr>
      </w:pPr>
      <w:r w:rsidRPr="00AD0D08">
        <w:rPr>
          <w:rFonts w:eastAsiaTheme="minorHAnsi" w:cstheme="minorBidi"/>
        </w:rPr>
        <w:t>a prior history of statin or other LLT</w:t>
      </w:r>
      <w:r w:rsidR="000945DB">
        <w:rPr>
          <w:rFonts w:eastAsiaTheme="minorHAnsi" w:cstheme="minorBidi"/>
        </w:rPr>
        <w:t xml:space="preserve"> use</w:t>
      </w:r>
      <w:r w:rsidRPr="00AD0D08">
        <w:rPr>
          <w:rFonts w:eastAsiaTheme="minorHAnsi" w:cstheme="minorBidi"/>
        </w:rPr>
        <w:t xml:space="preserve"> beyond the two years prior to the study period</w:t>
      </w:r>
    </w:p>
    <w:p w:rsidR="00C826B0" w:rsidRPr="00B01DC5" w:rsidRDefault="00C826B0" w:rsidP="00AD0D08">
      <w:pPr>
        <w:pStyle w:val="ListParagraph"/>
        <w:numPr>
          <w:ilvl w:val="0"/>
          <w:numId w:val="2"/>
        </w:numPr>
        <w:spacing w:after="120"/>
        <w:rPr>
          <w:lang w:eastAsia="en-AU"/>
        </w:rPr>
      </w:pPr>
      <w:r w:rsidRPr="00B01DC5">
        <w:rPr>
          <w:lang w:eastAsia="en-AU"/>
        </w:rPr>
        <w:t xml:space="preserve">for both cohorts, there were low levels of persistence </w:t>
      </w:r>
      <w:r w:rsidR="000945DB">
        <w:rPr>
          <w:lang w:eastAsia="en-AU"/>
        </w:rPr>
        <w:t>for</w:t>
      </w:r>
      <w:r w:rsidRPr="00B01DC5">
        <w:rPr>
          <w:lang w:eastAsia="en-AU"/>
        </w:rPr>
        <w:t xml:space="preserve"> all LLTs after initiation on ezetimibe, with 44% of Cohort 1 and 12% of Cohort 2 ceasing all LLTs in the 12 months following initiation of ezetimibe.</w:t>
      </w:r>
    </w:p>
    <w:p w:rsidR="00C826B0" w:rsidRPr="00C826B0" w:rsidRDefault="00C826B0" w:rsidP="00C826B0">
      <w:pPr>
        <w:spacing w:after="200"/>
        <w:rPr>
          <w:rFonts w:eastAsiaTheme="minorHAnsi" w:cstheme="minorBidi"/>
          <w:szCs w:val="22"/>
        </w:rPr>
      </w:pPr>
      <w:r w:rsidRPr="00C826B0">
        <w:rPr>
          <w:rFonts w:eastAsiaTheme="minorHAnsi" w:cstheme="minorBidi"/>
          <w:szCs w:val="22"/>
        </w:rPr>
        <w:t xml:space="preserve">In discussing the methodology for the analysis of the utilisation data and the true size of the statin contraindicated population, representatives for the sponsor suggested the use of a different denominator for the study, </w:t>
      </w:r>
      <w:r w:rsidR="000945DB">
        <w:rPr>
          <w:rFonts w:eastAsiaTheme="minorHAnsi" w:cstheme="minorBidi"/>
          <w:szCs w:val="22"/>
        </w:rPr>
        <w:t xml:space="preserve">and agreed to </w:t>
      </w:r>
      <w:r w:rsidRPr="00C826B0">
        <w:rPr>
          <w:rFonts w:eastAsiaTheme="minorHAnsi" w:cstheme="minorBidi"/>
          <w:szCs w:val="22"/>
        </w:rPr>
        <w:t xml:space="preserve">provide further information on this to the Review Secretariat. </w:t>
      </w:r>
    </w:p>
    <w:p w:rsidR="00C826B0" w:rsidRPr="00C826B0" w:rsidRDefault="00C826B0" w:rsidP="00C826B0">
      <w:pPr>
        <w:spacing w:after="200"/>
        <w:rPr>
          <w:rFonts w:eastAsiaTheme="minorHAnsi" w:cstheme="minorBidi"/>
          <w:szCs w:val="22"/>
        </w:rPr>
      </w:pPr>
      <w:r w:rsidRPr="00C826B0">
        <w:rPr>
          <w:rFonts w:eastAsiaTheme="minorHAnsi" w:cstheme="minorBidi"/>
          <w:szCs w:val="22"/>
        </w:rPr>
        <w:t xml:space="preserve">In relation to the study findings that 70% of Cohort 2 patients had not had their statin dose increased, it was suggested that this is similar to the experience globally, and that clinicians are choosing to not titrate to the maximum tolerated dose, which may be sub-optimal in terms of </w:t>
      </w:r>
      <w:r w:rsidR="000945DB">
        <w:rPr>
          <w:rFonts w:eastAsiaTheme="minorHAnsi" w:cstheme="minorBidi"/>
          <w:szCs w:val="22"/>
        </w:rPr>
        <w:t>low-density lipoprotein cholesterol (</w:t>
      </w:r>
      <w:r w:rsidRPr="00C826B0">
        <w:rPr>
          <w:rFonts w:eastAsiaTheme="minorHAnsi" w:cstheme="minorBidi"/>
          <w:szCs w:val="22"/>
        </w:rPr>
        <w:t>LDL-C</w:t>
      </w:r>
      <w:r w:rsidR="000945DB">
        <w:rPr>
          <w:rFonts w:eastAsiaTheme="minorHAnsi" w:cstheme="minorBidi"/>
          <w:szCs w:val="22"/>
        </w:rPr>
        <w:t>)</w:t>
      </w:r>
      <w:r w:rsidRPr="00C826B0">
        <w:rPr>
          <w:rFonts w:eastAsiaTheme="minorHAnsi" w:cstheme="minorBidi"/>
          <w:szCs w:val="22"/>
        </w:rPr>
        <w:t xml:space="preserve"> reduction outcomes. This may be to avoid side-effects such as muscle aches and pains.</w:t>
      </w:r>
    </w:p>
    <w:p w:rsidR="00C826B0" w:rsidRPr="00C826B0" w:rsidRDefault="00C826B0" w:rsidP="00C826B0">
      <w:pPr>
        <w:spacing w:after="200"/>
        <w:rPr>
          <w:rFonts w:eastAsiaTheme="minorHAnsi" w:cstheme="minorBidi"/>
          <w:szCs w:val="22"/>
        </w:rPr>
      </w:pPr>
      <w:r w:rsidRPr="00C826B0">
        <w:rPr>
          <w:rFonts w:eastAsiaTheme="minorHAnsi" w:cstheme="minorBidi"/>
          <w:szCs w:val="22"/>
        </w:rPr>
        <w:t xml:space="preserve">While contraindication to statins remains a valid reason for initiating ezetimibe without first trialling a statin, the negative publicity from the </w:t>
      </w:r>
      <w:r w:rsidRPr="00C826B0">
        <w:rPr>
          <w:rFonts w:eastAsiaTheme="minorHAnsi" w:cstheme="minorBidi"/>
          <w:i/>
          <w:szCs w:val="22"/>
        </w:rPr>
        <w:t>Catalyst</w:t>
      </w:r>
      <w:r w:rsidRPr="00C826B0">
        <w:rPr>
          <w:rFonts w:eastAsiaTheme="minorHAnsi" w:cstheme="minorBidi"/>
          <w:szCs w:val="22"/>
        </w:rPr>
        <w:t xml:space="preserve"> program (ABC, October 2013) has had a significant impact on patient perceptions and preferences (although it predates the data period used in this study). </w:t>
      </w:r>
    </w:p>
    <w:p w:rsidR="00C826B0" w:rsidRPr="00C826B0" w:rsidRDefault="00C826B0" w:rsidP="00AD0D08">
      <w:pPr>
        <w:pStyle w:val="Heading2"/>
      </w:pPr>
      <w:bookmarkStart w:id="5" w:name="_Toc490042960"/>
      <w:r w:rsidRPr="00C826B0">
        <w:t>Reference Group Questions</w:t>
      </w:r>
      <w:bookmarkEnd w:id="5"/>
      <w:r w:rsidRPr="00C826B0">
        <w:t xml:space="preserve"> </w:t>
      </w:r>
    </w:p>
    <w:p w:rsidR="00C826B0" w:rsidRPr="00C826B0" w:rsidRDefault="00C826B0" w:rsidP="00C826B0">
      <w:pPr>
        <w:spacing w:after="200"/>
        <w:rPr>
          <w:rFonts w:eastAsiaTheme="minorHAnsi" w:cstheme="minorBidi"/>
          <w:szCs w:val="22"/>
        </w:rPr>
      </w:pPr>
      <w:r w:rsidRPr="00C826B0">
        <w:rPr>
          <w:rFonts w:eastAsiaTheme="minorHAnsi" w:cstheme="minorBidi"/>
          <w:szCs w:val="22"/>
        </w:rPr>
        <w:t>The Reference Group identified questions for discussion at the forum.</w:t>
      </w:r>
    </w:p>
    <w:p w:rsidR="00B01DC5" w:rsidRDefault="00B01DC5" w:rsidP="00AD0D08">
      <w:pPr>
        <w:pStyle w:val="Heading3"/>
      </w:pPr>
      <w:r>
        <w:t xml:space="preserve">Question </w:t>
      </w:r>
      <w:r w:rsidR="00C826B0" w:rsidRPr="00C826B0">
        <w:t>1</w:t>
      </w:r>
    </w:p>
    <w:p w:rsidR="00C826B0" w:rsidRPr="00AD0D08" w:rsidRDefault="00C826B0" w:rsidP="00AD0D08">
      <w:pPr>
        <w:rPr>
          <w:rFonts w:eastAsiaTheme="majorEastAsia"/>
          <w:b/>
          <w:i/>
        </w:rPr>
      </w:pPr>
      <w:r w:rsidRPr="0051021B">
        <w:rPr>
          <w:rFonts w:eastAsiaTheme="majorEastAsia"/>
          <w:b/>
          <w:i/>
        </w:rPr>
        <w:t>What might be the rationale for initiating a Fixed Dose Combination (FDC) of ezetimibe with a statin, without first trialling a statin alone?</w:t>
      </w:r>
    </w:p>
    <w:p w:rsidR="00B01DC5" w:rsidRDefault="00B01DC5" w:rsidP="00AD0D08">
      <w:pPr>
        <w:rPr>
          <w:rFonts w:eastAsiaTheme="minorHAnsi" w:cstheme="minorBidi"/>
          <w:szCs w:val="22"/>
        </w:rPr>
      </w:pPr>
    </w:p>
    <w:p w:rsidR="00C826B0" w:rsidRPr="00C826B0" w:rsidRDefault="00C826B0" w:rsidP="00C826B0">
      <w:pPr>
        <w:spacing w:after="200"/>
        <w:rPr>
          <w:rFonts w:eastAsiaTheme="minorHAnsi" w:cstheme="minorBidi"/>
          <w:szCs w:val="22"/>
        </w:rPr>
      </w:pPr>
      <w:r w:rsidRPr="00C826B0">
        <w:rPr>
          <w:rFonts w:eastAsiaTheme="minorHAnsi" w:cstheme="minorBidi"/>
          <w:szCs w:val="22"/>
        </w:rPr>
        <w:t>Participants suggested that the figure of 15% (of patients initiated without a history of statins o</w:t>
      </w:r>
      <w:r w:rsidR="00530C86">
        <w:rPr>
          <w:rFonts w:eastAsiaTheme="minorHAnsi" w:cstheme="minorBidi"/>
          <w:szCs w:val="22"/>
        </w:rPr>
        <w:t>r</w:t>
      </w:r>
      <w:r w:rsidRPr="00C826B0">
        <w:rPr>
          <w:rFonts w:eastAsiaTheme="minorHAnsi" w:cstheme="minorBidi"/>
          <w:szCs w:val="22"/>
        </w:rPr>
        <w:t xml:space="preserve"> other LLTs) needs to be understood in the context of:</w:t>
      </w:r>
    </w:p>
    <w:p w:rsidR="00C826B0" w:rsidRPr="00B01DC5" w:rsidRDefault="00C826B0" w:rsidP="00AD0D08">
      <w:pPr>
        <w:pStyle w:val="ListParagraph"/>
        <w:numPr>
          <w:ilvl w:val="0"/>
          <w:numId w:val="3"/>
        </w:numPr>
        <w:spacing w:after="120"/>
        <w:rPr>
          <w:lang w:eastAsia="en-AU"/>
        </w:rPr>
      </w:pPr>
      <w:r w:rsidRPr="00B01DC5">
        <w:rPr>
          <w:lang w:eastAsia="en-AU"/>
        </w:rPr>
        <w:t>the number of patients who are genuinely contraindicated</w:t>
      </w:r>
    </w:p>
    <w:p w:rsidR="00C826B0" w:rsidRPr="00B01DC5" w:rsidRDefault="00C826B0" w:rsidP="00AD0D08">
      <w:pPr>
        <w:pStyle w:val="ListParagraph"/>
        <w:numPr>
          <w:ilvl w:val="0"/>
          <w:numId w:val="3"/>
        </w:numPr>
        <w:spacing w:after="120"/>
        <w:rPr>
          <w:lang w:eastAsia="en-AU"/>
        </w:rPr>
      </w:pPr>
      <w:r w:rsidRPr="00B01DC5">
        <w:rPr>
          <w:lang w:eastAsia="en-AU"/>
        </w:rPr>
        <w:t>the number of patients who had a history of statins or other LLTs beyond the two years preceding initiation of ezetimibe</w:t>
      </w:r>
    </w:p>
    <w:p w:rsidR="00C826B0" w:rsidRPr="00B01DC5" w:rsidRDefault="00C826B0" w:rsidP="00AD0D08">
      <w:pPr>
        <w:pStyle w:val="ListParagraph"/>
        <w:numPr>
          <w:ilvl w:val="0"/>
          <w:numId w:val="3"/>
        </w:numPr>
        <w:spacing w:after="120"/>
        <w:rPr>
          <w:lang w:eastAsia="en-AU"/>
        </w:rPr>
      </w:pPr>
      <w:r w:rsidRPr="00B01DC5">
        <w:rPr>
          <w:lang w:eastAsia="en-AU"/>
        </w:rPr>
        <w:t xml:space="preserve">the number of patients who were dispensed statins privately as the price for some products is below the </w:t>
      </w:r>
      <w:r w:rsidR="00530C86">
        <w:rPr>
          <w:lang w:eastAsia="en-AU"/>
        </w:rPr>
        <w:t xml:space="preserve">general </w:t>
      </w:r>
      <w:r w:rsidRPr="00B01DC5">
        <w:rPr>
          <w:lang w:eastAsia="en-AU"/>
        </w:rPr>
        <w:t>co-payment</w:t>
      </w:r>
    </w:p>
    <w:p w:rsidR="00C826B0" w:rsidRPr="00B01DC5" w:rsidRDefault="00C826B0" w:rsidP="00AD0D08">
      <w:pPr>
        <w:pStyle w:val="ListParagraph"/>
        <w:numPr>
          <w:ilvl w:val="0"/>
          <w:numId w:val="3"/>
        </w:numPr>
        <w:spacing w:after="120"/>
        <w:rPr>
          <w:lang w:eastAsia="en-AU"/>
        </w:rPr>
      </w:pPr>
      <w:r w:rsidRPr="00B01DC5">
        <w:rPr>
          <w:lang w:eastAsia="en-AU"/>
        </w:rPr>
        <w:t xml:space="preserve">the number of patients who are prescribed ezetimibe and whose scripts are not dispensed – this was considered to be a very small percentage and not highly relevant. </w:t>
      </w:r>
    </w:p>
    <w:p w:rsidR="00C826B0" w:rsidRPr="00C826B0" w:rsidRDefault="00C826B0" w:rsidP="00C826B0">
      <w:pPr>
        <w:spacing w:after="200"/>
        <w:rPr>
          <w:rFonts w:eastAsiaTheme="minorHAnsi" w:cstheme="minorBidi"/>
          <w:szCs w:val="22"/>
        </w:rPr>
      </w:pPr>
      <w:r w:rsidRPr="00C826B0">
        <w:rPr>
          <w:rFonts w:eastAsiaTheme="minorHAnsi" w:cstheme="minorBidi"/>
          <w:szCs w:val="22"/>
        </w:rPr>
        <w:t>Some clinicians commented that initiation to a statin + ezetimibe combination without a statin trial may occur in the clinical situation where LDL-C is high and needs to be reduced quickly.</w:t>
      </w:r>
    </w:p>
    <w:p w:rsidR="00B01DC5" w:rsidRDefault="00B01DC5" w:rsidP="00AD0D08">
      <w:pPr>
        <w:pStyle w:val="Heading3"/>
      </w:pPr>
      <w:r>
        <w:lastRenderedPageBreak/>
        <w:t xml:space="preserve">Question </w:t>
      </w:r>
      <w:r w:rsidR="00C826B0" w:rsidRPr="0051021B">
        <w:t>2</w:t>
      </w:r>
    </w:p>
    <w:p w:rsidR="00B01DC5" w:rsidRPr="0051021B" w:rsidRDefault="00C826B0" w:rsidP="00AD0D08">
      <w:pPr>
        <w:rPr>
          <w:rFonts w:eastAsiaTheme="majorEastAsia"/>
          <w:b/>
          <w:i/>
        </w:rPr>
      </w:pPr>
      <w:r w:rsidRPr="00AD0D08">
        <w:rPr>
          <w:rFonts w:eastAsiaTheme="majorEastAsia"/>
          <w:b/>
          <w:i/>
        </w:rPr>
        <w:t>What evidence is available to assist in determining the size of the population truly contraindicated to statins?</w:t>
      </w:r>
    </w:p>
    <w:p w:rsidR="00B01DC5" w:rsidRDefault="00B01DC5" w:rsidP="00AD0D08">
      <w:pPr>
        <w:rPr>
          <w:rFonts w:eastAsiaTheme="minorHAnsi" w:cstheme="minorBidi"/>
          <w:szCs w:val="22"/>
        </w:rPr>
      </w:pPr>
    </w:p>
    <w:p w:rsidR="00B01DC5" w:rsidRDefault="00C826B0" w:rsidP="00AD0D08">
      <w:pPr>
        <w:rPr>
          <w:rFonts w:eastAsiaTheme="minorHAnsi" w:cstheme="minorBidi"/>
          <w:szCs w:val="22"/>
        </w:rPr>
      </w:pPr>
      <w:r w:rsidRPr="00C826B0">
        <w:rPr>
          <w:rFonts w:eastAsiaTheme="minorHAnsi" w:cstheme="minorBidi"/>
          <w:szCs w:val="22"/>
        </w:rPr>
        <w:t>While participants were not able to point to specific sources in discussion, it was acknowledged that there were studies available and participants agreed to provide suggestions to the Review Secretariat.</w:t>
      </w:r>
    </w:p>
    <w:p w:rsidR="00B01DC5" w:rsidRPr="00C826B0" w:rsidRDefault="00B01DC5" w:rsidP="00AD0D08">
      <w:pPr>
        <w:rPr>
          <w:rFonts w:eastAsiaTheme="minorHAnsi" w:cstheme="minorBidi"/>
          <w:szCs w:val="22"/>
        </w:rPr>
      </w:pPr>
    </w:p>
    <w:p w:rsidR="00C826B0" w:rsidRPr="00C826B0" w:rsidRDefault="00C826B0" w:rsidP="00AD0D08">
      <w:pPr>
        <w:rPr>
          <w:rFonts w:eastAsiaTheme="minorHAnsi" w:cstheme="minorBidi"/>
          <w:szCs w:val="22"/>
        </w:rPr>
      </w:pPr>
      <w:r w:rsidRPr="00C826B0">
        <w:rPr>
          <w:rFonts w:eastAsiaTheme="minorHAnsi" w:cstheme="minorBidi"/>
          <w:szCs w:val="22"/>
        </w:rPr>
        <w:t>It was suggested that intolerance is somewhat different from contraindication. Experience indicates that while a large number of patients suggest that they are intolerant, only a small proportion are, and information from trials shows that 1-5% are intolerant. It is also possible that up to 10% are partially intolerant.</w:t>
      </w:r>
    </w:p>
    <w:p w:rsidR="00C826B0" w:rsidRPr="00C826B0" w:rsidRDefault="00C826B0" w:rsidP="00AD0D08">
      <w:pPr>
        <w:pStyle w:val="Heading1"/>
      </w:pPr>
      <w:bookmarkStart w:id="6" w:name="_Toc490042961"/>
      <w:r w:rsidRPr="00C826B0">
        <w:t>Term of Reference Two - Guidelines</w:t>
      </w:r>
      <w:bookmarkEnd w:id="6"/>
    </w:p>
    <w:p w:rsidR="00C826B0" w:rsidRPr="00C826B0" w:rsidRDefault="00C826B0" w:rsidP="00C826B0">
      <w:pPr>
        <w:autoSpaceDE w:val="0"/>
        <w:autoSpaceDN w:val="0"/>
        <w:adjustRightInd w:val="0"/>
        <w:spacing w:after="200" w:line="276" w:lineRule="auto"/>
        <w:ind w:left="15"/>
        <w:rPr>
          <w:rFonts w:ascii="Cambria" w:eastAsiaTheme="minorHAnsi" w:hAnsi="Cambria" w:cs="Arial"/>
          <w:i/>
          <w:color w:val="000000"/>
          <w:szCs w:val="22"/>
        </w:rPr>
      </w:pPr>
      <w:r w:rsidRPr="00C826B0">
        <w:rPr>
          <w:rFonts w:ascii="Cambria" w:eastAsiaTheme="minorHAnsi" w:hAnsi="Cambria" w:cs="Arial"/>
          <w:i/>
          <w:color w:val="000000"/>
          <w:szCs w:val="22"/>
        </w:rPr>
        <w:t>Review recent clinical guidelines for the treatment of hypercholesterolaemia and compare this to how ezetimibe is currently used on the PBS.</w:t>
      </w:r>
    </w:p>
    <w:p w:rsidR="00C826B0" w:rsidRPr="00C826B0" w:rsidRDefault="00C826B0" w:rsidP="00AD0D08">
      <w:pPr>
        <w:pStyle w:val="Heading2"/>
      </w:pPr>
      <w:bookmarkStart w:id="7" w:name="_Toc490042962"/>
      <w:r w:rsidRPr="00C826B0">
        <w:t>Presentation on Clinical Guidelines</w:t>
      </w:r>
      <w:bookmarkEnd w:id="7"/>
    </w:p>
    <w:p w:rsidR="00C826B0" w:rsidRPr="00C826B0" w:rsidRDefault="00C826B0" w:rsidP="00C826B0">
      <w:pPr>
        <w:autoSpaceDE w:val="0"/>
        <w:autoSpaceDN w:val="0"/>
        <w:adjustRightInd w:val="0"/>
        <w:spacing w:after="200"/>
        <w:ind w:left="15"/>
        <w:rPr>
          <w:rFonts w:eastAsiaTheme="minorHAnsi" w:cstheme="minorBidi"/>
          <w:szCs w:val="22"/>
        </w:rPr>
      </w:pPr>
      <w:r w:rsidRPr="00C826B0">
        <w:rPr>
          <w:rFonts w:eastAsiaTheme="minorHAnsi" w:cstheme="minorBidi"/>
          <w:szCs w:val="22"/>
        </w:rPr>
        <w:t>Professor Sansom outlined the findings from the review of clinical guidelines. The main conclusions from this review were:</w:t>
      </w:r>
    </w:p>
    <w:p w:rsidR="00C826B0" w:rsidRPr="00C826B0" w:rsidRDefault="00C826B0" w:rsidP="00AD0D08">
      <w:pPr>
        <w:pStyle w:val="ListParagraph"/>
        <w:numPr>
          <w:ilvl w:val="0"/>
          <w:numId w:val="4"/>
        </w:numPr>
        <w:spacing w:after="120"/>
        <w:rPr>
          <w:lang w:eastAsia="en-AU"/>
        </w:rPr>
      </w:pPr>
      <w:r w:rsidRPr="00C826B0">
        <w:rPr>
          <w:lang w:eastAsia="en-AU"/>
        </w:rPr>
        <w:t>all guidelines continue to recommend statins as first line therapy reserving non-statins including ezetimibe for second line therapy except in those patients intolerant / contraindicated to statins</w:t>
      </w:r>
    </w:p>
    <w:p w:rsidR="00C826B0" w:rsidRPr="00C826B0" w:rsidRDefault="00C826B0" w:rsidP="00AD0D08">
      <w:pPr>
        <w:pStyle w:val="ListParagraph"/>
        <w:numPr>
          <w:ilvl w:val="0"/>
          <w:numId w:val="4"/>
        </w:numPr>
        <w:spacing w:after="120"/>
        <w:rPr>
          <w:lang w:eastAsia="en-AU"/>
        </w:rPr>
      </w:pPr>
      <w:r w:rsidRPr="00C826B0">
        <w:rPr>
          <w:lang w:eastAsia="en-AU"/>
        </w:rPr>
        <w:t>this recommendation results from the very large data on the clinical benefits of statin use compared to the limited data on patient-relevant outcomes for ezetimibe.</w:t>
      </w:r>
    </w:p>
    <w:p w:rsidR="00C826B0" w:rsidRPr="00C826B0" w:rsidRDefault="00C826B0" w:rsidP="00AD0D08">
      <w:pPr>
        <w:pStyle w:val="Heading2"/>
      </w:pPr>
      <w:bookmarkStart w:id="8" w:name="_Toc490042963"/>
      <w:r w:rsidRPr="00C826B0">
        <w:t>Reference Group Questions</w:t>
      </w:r>
      <w:bookmarkEnd w:id="8"/>
    </w:p>
    <w:p w:rsidR="00B01DC5" w:rsidRDefault="00B01DC5" w:rsidP="00AD0D08">
      <w:pPr>
        <w:pStyle w:val="Heading3"/>
      </w:pPr>
      <w:r>
        <w:t xml:space="preserve">Question </w:t>
      </w:r>
      <w:r w:rsidR="00C826B0" w:rsidRPr="00C826B0">
        <w:t>1</w:t>
      </w:r>
    </w:p>
    <w:p w:rsidR="00C826B0" w:rsidRPr="00AD0D08" w:rsidRDefault="00C826B0" w:rsidP="00AD0D08">
      <w:pPr>
        <w:rPr>
          <w:b/>
          <w:i/>
        </w:rPr>
      </w:pPr>
      <w:r w:rsidRPr="00AD0D08">
        <w:rPr>
          <w:rFonts w:eastAsiaTheme="majorEastAsia"/>
          <w:b/>
          <w:i/>
        </w:rPr>
        <w:t>The Silverman et al. systematic review and meta-analysis suggests the order of lipid lowering therapy used to achieve a reduction in LDL-C is not important in reducing patients’ risk of cardiovascular events. Why then should ezetimibe continue to be positioned as second line therapy through PBS restrictions?</w:t>
      </w:r>
    </w:p>
    <w:p w:rsidR="00B01DC5" w:rsidRPr="00AD0D08" w:rsidRDefault="00B01DC5" w:rsidP="00AD0D08">
      <w:pPr>
        <w:rPr>
          <w:rFonts w:eastAsiaTheme="majorEastAsia"/>
        </w:rPr>
      </w:pPr>
    </w:p>
    <w:p w:rsidR="00C826B0" w:rsidRPr="00C826B0" w:rsidRDefault="00C826B0" w:rsidP="00C826B0">
      <w:pPr>
        <w:spacing w:after="200"/>
        <w:rPr>
          <w:rFonts w:eastAsiaTheme="minorHAnsi" w:cstheme="minorBidi"/>
          <w:szCs w:val="22"/>
        </w:rPr>
      </w:pPr>
      <w:r w:rsidRPr="00C826B0">
        <w:rPr>
          <w:rFonts w:eastAsiaTheme="minorHAnsi" w:cstheme="minorBidi"/>
          <w:szCs w:val="22"/>
        </w:rPr>
        <w:t>Comments made by participants in relation to this question included:</w:t>
      </w:r>
    </w:p>
    <w:p w:rsidR="00C826B0" w:rsidRPr="00C826B0" w:rsidRDefault="00C826B0" w:rsidP="00AD0D08">
      <w:pPr>
        <w:pStyle w:val="ListParagraph"/>
        <w:numPr>
          <w:ilvl w:val="0"/>
          <w:numId w:val="5"/>
        </w:numPr>
        <w:spacing w:after="120"/>
        <w:rPr>
          <w:lang w:eastAsia="en-AU"/>
        </w:rPr>
      </w:pPr>
      <w:r w:rsidRPr="00C826B0">
        <w:rPr>
          <w:lang w:eastAsia="en-AU"/>
        </w:rPr>
        <w:t>its use is supported by internationally-accepted standards and guidelines</w:t>
      </w:r>
    </w:p>
    <w:p w:rsidR="00C826B0" w:rsidRPr="00C826B0" w:rsidRDefault="00C826B0" w:rsidP="00AD0D08">
      <w:pPr>
        <w:pStyle w:val="ListParagraph"/>
        <w:numPr>
          <w:ilvl w:val="0"/>
          <w:numId w:val="5"/>
        </w:numPr>
        <w:spacing w:after="120"/>
        <w:rPr>
          <w:lang w:eastAsia="en-AU"/>
        </w:rPr>
      </w:pPr>
      <w:r w:rsidRPr="00C826B0">
        <w:rPr>
          <w:lang w:eastAsia="en-AU"/>
        </w:rPr>
        <w:t>while the Silverman et al. paper showed that lowering LDL</w:t>
      </w:r>
      <w:r w:rsidR="00530C86">
        <w:rPr>
          <w:lang w:eastAsia="en-AU"/>
        </w:rPr>
        <w:t>-</w:t>
      </w:r>
      <w:r w:rsidRPr="00C826B0">
        <w:rPr>
          <w:lang w:eastAsia="en-AU"/>
        </w:rPr>
        <w:t>C resulted in a greater reduction of risk, it did not discuss the ordering of these drugs</w:t>
      </w:r>
    </w:p>
    <w:p w:rsidR="00C826B0" w:rsidRPr="00C826B0" w:rsidRDefault="00C826B0" w:rsidP="00AD0D08">
      <w:pPr>
        <w:pStyle w:val="ListParagraph"/>
        <w:numPr>
          <w:ilvl w:val="0"/>
          <w:numId w:val="5"/>
        </w:numPr>
        <w:spacing w:after="120"/>
        <w:rPr>
          <w:lang w:eastAsia="en-AU"/>
        </w:rPr>
      </w:pPr>
      <w:r w:rsidRPr="00C826B0">
        <w:rPr>
          <w:lang w:eastAsia="en-AU"/>
        </w:rPr>
        <w:t>recent EU and USA guidelines promoting the current hierarchy in treatment have also been supported by other papers</w:t>
      </w:r>
    </w:p>
    <w:p w:rsidR="00C826B0" w:rsidRPr="00C826B0" w:rsidRDefault="00C826B0" w:rsidP="00AD0D08">
      <w:pPr>
        <w:pStyle w:val="ListParagraph"/>
        <w:numPr>
          <w:ilvl w:val="0"/>
          <w:numId w:val="5"/>
        </w:numPr>
        <w:spacing w:after="120"/>
        <w:rPr>
          <w:lang w:eastAsia="en-AU"/>
        </w:rPr>
      </w:pPr>
      <w:r w:rsidRPr="00C826B0">
        <w:rPr>
          <w:lang w:eastAsia="en-AU"/>
        </w:rPr>
        <w:t>there is more confidence in the greater LDL-C lowering effect of statins than ezetimibe</w:t>
      </w:r>
    </w:p>
    <w:p w:rsidR="00C826B0" w:rsidRPr="00C826B0" w:rsidRDefault="00C826B0" w:rsidP="00AD0D08">
      <w:pPr>
        <w:pStyle w:val="ListParagraph"/>
        <w:numPr>
          <w:ilvl w:val="0"/>
          <w:numId w:val="5"/>
        </w:numPr>
        <w:spacing w:after="120"/>
        <w:rPr>
          <w:lang w:eastAsia="en-AU"/>
        </w:rPr>
      </w:pPr>
      <w:r w:rsidRPr="00C826B0">
        <w:rPr>
          <w:lang w:eastAsia="en-AU"/>
        </w:rPr>
        <w:lastRenderedPageBreak/>
        <w:t>ezetimibe as a second line therapy may be justified due to the significant reductions in the price of statins, resulting in ezetimibe’s price relative to statin therapy, being higher than at the time of initial</w:t>
      </w:r>
      <w:r w:rsidR="00530C86">
        <w:rPr>
          <w:lang w:eastAsia="en-AU"/>
        </w:rPr>
        <w:t xml:space="preserve"> PBS</w:t>
      </w:r>
      <w:r w:rsidRPr="00C826B0">
        <w:rPr>
          <w:lang w:eastAsia="en-AU"/>
        </w:rPr>
        <w:t xml:space="preserve"> listing.</w:t>
      </w:r>
    </w:p>
    <w:p w:rsidR="00B01DC5" w:rsidRDefault="00B01DC5" w:rsidP="00AD0D08">
      <w:pPr>
        <w:pStyle w:val="Heading3"/>
      </w:pPr>
      <w:r>
        <w:t xml:space="preserve">Question </w:t>
      </w:r>
      <w:r w:rsidR="00C826B0" w:rsidRPr="00C826B0">
        <w:t>2</w:t>
      </w:r>
    </w:p>
    <w:p w:rsidR="00C826B0" w:rsidRPr="00AD0D08" w:rsidRDefault="00C826B0" w:rsidP="00AD0D08">
      <w:pPr>
        <w:rPr>
          <w:rFonts w:eastAsiaTheme="majorEastAsia"/>
          <w:b/>
          <w:i/>
        </w:rPr>
      </w:pPr>
      <w:r w:rsidRPr="00AD0D08">
        <w:rPr>
          <w:rFonts w:eastAsiaTheme="majorEastAsia"/>
          <w:b/>
          <w:i/>
        </w:rPr>
        <w:t>Is the General Statement for Lipid-Lowering Drugs still relevant and if so should it be revised</w:t>
      </w:r>
      <w:r w:rsidR="00B01DC5" w:rsidRPr="00AD0D08">
        <w:rPr>
          <w:b/>
          <w:i/>
        </w:rPr>
        <w:t>?</w:t>
      </w:r>
    </w:p>
    <w:p w:rsidR="00B01DC5" w:rsidRDefault="00B01DC5" w:rsidP="00AD0D08">
      <w:pPr>
        <w:rPr>
          <w:rFonts w:eastAsiaTheme="minorHAnsi" w:cstheme="minorBidi"/>
          <w:szCs w:val="22"/>
        </w:rPr>
      </w:pPr>
    </w:p>
    <w:p w:rsidR="00C826B0" w:rsidRPr="00C826B0" w:rsidRDefault="00C826B0" w:rsidP="00C826B0">
      <w:pPr>
        <w:spacing w:after="200"/>
        <w:rPr>
          <w:rFonts w:eastAsiaTheme="minorHAnsi" w:cstheme="minorBidi"/>
          <w:szCs w:val="22"/>
        </w:rPr>
      </w:pPr>
      <w:r w:rsidRPr="00C826B0">
        <w:rPr>
          <w:rFonts w:eastAsiaTheme="minorHAnsi" w:cstheme="minorBidi"/>
          <w:szCs w:val="22"/>
        </w:rPr>
        <w:t>In discussing this question, participants noted that while the General Statement did not explicitly refer to ezetimibe, it did cross-reference the ezetimibe PBS restrictions, and as ha</w:t>
      </w:r>
      <w:r w:rsidR="00530C86">
        <w:rPr>
          <w:rFonts w:eastAsiaTheme="minorHAnsi" w:cstheme="minorBidi"/>
          <w:szCs w:val="22"/>
        </w:rPr>
        <w:t>d</w:t>
      </w:r>
      <w:r w:rsidRPr="00C826B0">
        <w:rPr>
          <w:rFonts w:eastAsiaTheme="minorHAnsi" w:cstheme="minorBidi"/>
          <w:szCs w:val="22"/>
        </w:rPr>
        <w:t xml:space="preserve"> been previously discussed in the forum, the PBS restrictions do not fully reflect prescribing practice.</w:t>
      </w:r>
    </w:p>
    <w:p w:rsidR="00C826B0" w:rsidRPr="00C826B0" w:rsidRDefault="00C826B0" w:rsidP="00C826B0">
      <w:pPr>
        <w:spacing w:after="200"/>
        <w:rPr>
          <w:rFonts w:eastAsiaTheme="minorHAnsi" w:cstheme="minorBidi"/>
          <w:szCs w:val="22"/>
        </w:rPr>
      </w:pPr>
      <w:r w:rsidRPr="00C826B0">
        <w:rPr>
          <w:rFonts w:eastAsiaTheme="minorHAnsi" w:cstheme="minorBidi"/>
          <w:szCs w:val="22"/>
        </w:rPr>
        <w:t>While it was suggested that the General Statement remains relevant, it was also noted that PBS restrictions can enable clinical guidelines only as far as considerations of cost-effectiveness allow (cost</w:t>
      </w:r>
      <w:r w:rsidR="00530C86">
        <w:rPr>
          <w:rFonts w:eastAsiaTheme="minorHAnsi" w:cstheme="minorBidi"/>
          <w:szCs w:val="22"/>
        </w:rPr>
        <w:t>-</w:t>
      </w:r>
      <w:r w:rsidRPr="00C826B0">
        <w:rPr>
          <w:rFonts w:eastAsiaTheme="minorHAnsi" w:cstheme="minorBidi"/>
          <w:szCs w:val="22"/>
        </w:rPr>
        <w:t xml:space="preserve">effectiveness is a legislative requirement of the </w:t>
      </w:r>
      <w:r w:rsidRPr="00C826B0">
        <w:rPr>
          <w:rFonts w:eastAsiaTheme="minorHAnsi" w:cstheme="minorBidi"/>
          <w:i/>
          <w:szCs w:val="22"/>
        </w:rPr>
        <w:t>National Health Act</w:t>
      </w:r>
      <w:r w:rsidRPr="00C826B0">
        <w:rPr>
          <w:rFonts w:eastAsiaTheme="minorHAnsi" w:cstheme="minorBidi"/>
          <w:szCs w:val="22"/>
        </w:rPr>
        <w:t xml:space="preserve"> </w:t>
      </w:r>
      <w:r w:rsidRPr="00C826B0">
        <w:rPr>
          <w:rFonts w:eastAsiaTheme="minorHAnsi" w:cstheme="minorBidi"/>
          <w:i/>
          <w:szCs w:val="22"/>
        </w:rPr>
        <w:t>1953</w:t>
      </w:r>
      <w:r w:rsidRPr="00C826B0">
        <w:rPr>
          <w:rFonts w:eastAsiaTheme="minorHAnsi" w:cstheme="minorBidi"/>
          <w:szCs w:val="22"/>
        </w:rPr>
        <w:t>).</w:t>
      </w:r>
    </w:p>
    <w:p w:rsidR="00C826B0" w:rsidRPr="00C826B0" w:rsidRDefault="00C826B0" w:rsidP="00C826B0">
      <w:pPr>
        <w:spacing w:after="200"/>
        <w:rPr>
          <w:rFonts w:eastAsiaTheme="minorHAnsi" w:cstheme="minorBidi"/>
          <w:szCs w:val="22"/>
        </w:rPr>
      </w:pPr>
      <w:r w:rsidRPr="00C826B0">
        <w:rPr>
          <w:rFonts w:eastAsiaTheme="minorHAnsi" w:cstheme="minorBidi"/>
          <w:szCs w:val="22"/>
        </w:rPr>
        <w:t>Participants also emphasised the importance of lifestyle changes such as healthy diet and exercise in conjunction with LLT.</w:t>
      </w:r>
    </w:p>
    <w:p w:rsidR="00C826B0" w:rsidRPr="00C826B0" w:rsidRDefault="00C826B0" w:rsidP="00C826B0">
      <w:pPr>
        <w:spacing w:after="200"/>
        <w:rPr>
          <w:rFonts w:eastAsiaTheme="minorHAnsi" w:cstheme="minorBidi"/>
          <w:szCs w:val="22"/>
        </w:rPr>
      </w:pPr>
      <w:r w:rsidRPr="00C826B0">
        <w:rPr>
          <w:rFonts w:eastAsiaTheme="minorHAnsi" w:cstheme="minorBidi"/>
          <w:szCs w:val="22"/>
        </w:rPr>
        <w:t>Other comments included the need for clinician education on the guidelines as well as a focus on patient compliance.</w:t>
      </w:r>
    </w:p>
    <w:p w:rsidR="00C826B0" w:rsidRPr="00C826B0" w:rsidRDefault="00C826B0" w:rsidP="00C826B0">
      <w:pPr>
        <w:spacing w:after="200"/>
        <w:rPr>
          <w:rFonts w:eastAsiaTheme="minorHAnsi" w:cstheme="minorBidi"/>
          <w:szCs w:val="22"/>
        </w:rPr>
      </w:pPr>
      <w:r w:rsidRPr="00C826B0">
        <w:rPr>
          <w:rFonts w:eastAsiaTheme="minorHAnsi" w:cstheme="minorBidi"/>
          <w:szCs w:val="22"/>
        </w:rPr>
        <w:t xml:space="preserve">Some participants commented that the </w:t>
      </w:r>
      <w:r w:rsidR="00530C86">
        <w:rPr>
          <w:rFonts w:eastAsiaTheme="minorHAnsi" w:cstheme="minorBidi"/>
          <w:szCs w:val="22"/>
        </w:rPr>
        <w:t>G</w:t>
      </w:r>
      <w:r w:rsidRPr="00C826B0">
        <w:rPr>
          <w:rFonts w:eastAsiaTheme="minorHAnsi" w:cstheme="minorBidi"/>
          <w:szCs w:val="22"/>
        </w:rPr>
        <w:t xml:space="preserve">eneral </w:t>
      </w:r>
      <w:r w:rsidR="00530C86">
        <w:rPr>
          <w:rFonts w:eastAsiaTheme="minorHAnsi" w:cstheme="minorBidi"/>
          <w:szCs w:val="22"/>
        </w:rPr>
        <w:t>S</w:t>
      </w:r>
      <w:r w:rsidRPr="00C826B0">
        <w:rPr>
          <w:rFonts w:eastAsiaTheme="minorHAnsi" w:cstheme="minorBidi"/>
          <w:szCs w:val="22"/>
        </w:rPr>
        <w:t>tatement is complicated and revision may be beneficial.</w:t>
      </w:r>
    </w:p>
    <w:p w:rsidR="00C826B0" w:rsidRPr="00C826B0" w:rsidRDefault="00C826B0" w:rsidP="00AD0D08">
      <w:pPr>
        <w:pStyle w:val="Heading1"/>
      </w:pPr>
      <w:bookmarkStart w:id="9" w:name="_Toc490042964"/>
      <w:r w:rsidRPr="00C826B0">
        <w:t xml:space="preserve">Term of Reference Three </w:t>
      </w:r>
      <w:r w:rsidR="00530C86">
        <w:t>–</w:t>
      </w:r>
      <w:r w:rsidRPr="00C826B0">
        <w:t xml:space="preserve"> </w:t>
      </w:r>
      <w:r w:rsidR="00530C86">
        <w:t xml:space="preserve">Clinical </w:t>
      </w:r>
      <w:r w:rsidRPr="00C826B0">
        <w:t>Studies</w:t>
      </w:r>
      <w:bookmarkEnd w:id="9"/>
    </w:p>
    <w:p w:rsidR="00C826B0" w:rsidRPr="00C826B0" w:rsidRDefault="00C826B0" w:rsidP="00C826B0">
      <w:pPr>
        <w:spacing w:after="200"/>
        <w:rPr>
          <w:rFonts w:eastAsiaTheme="minorHAnsi" w:cstheme="minorBidi"/>
          <w:i/>
          <w:szCs w:val="22"/>
        </w:rPr>
      </w:pPr>
      <w:r w:rsidRPr="00C826B0">
        <w:rPr>
          <w:rFonts w:eastAsiaTheme="minorHAnsi" w:cstheme="minorBidi"/>
          <w:i/>
          <w:szCs w:val="22"/>
        </w:rPr>
        <w:t>Collate and evaluate any recent clinical studies of ezetimibe that report on long term patient relevant outcomes, and use this data to review the cost-effectiveness of ezetimibe.</w:t>
      </w:r>
    </w:p>
    <w:p w:rsidR="00C826B0" w:rsidRPr="00C826B0" w:rsidRDefault="00C826B0" w:rsidP="00AD0D08">
      <w:pPr>
        <w:pStyle w:val="Heading2"/>
      </w:pPr>
      <w:bookmarkStart w:id="10" w:name="_Toc490042965"/>
      <w:r w:rsidRPr="00C826B0">
        <w:t>Presentation on Clinical Studies</w:t>
      </w:r>
      <w:bookmarkEnd w:id="10"/>
    </w:p>
    <w:p w:rsidR="00C826B0" w:rsidRPr="00C826B0" w:rsidRDefault="00C826B0" w:rsidP="00C826B0">
      <w:pPr>
        <w:autoSpaceDE w:val="0"/>
        <w:autoSpaceDN w:val="0"/>
        <w:adjustRightInd w:val="0"/>
        <w:spacing w:after="200"/>
        <w:ind w:left="15"/>
        <w:rPr>
          <w:rFonts w:eastAsiaTheme="minorHAnsi" w:cstheme="minorBidi"/>
          <w:szCs w:val="22"/>
        </w:rPr>
      </w:pPr>
      <w:r w:rsidRPr="00C826B0">
        <w:rPr>
          <w:rFonts w:eastAsiaTheme="minorHAnsi" w:cstheme="minorBidi"/>
          <w:szCs w:val="22"/>
        </w:rPr>
        <w:t>Professor Sansom outlined the findings from the review of a number of key clinical studies, which demonstrate that outcomes are either inconclusive or not generalisable to the Australian population. The Reference Group’s main conclusions from this review were:</w:t>
      </w:r>
    </w:p>
    <w:p w:rsidR="00C826B0" w:rsidRPr="00C826B0" w:rsidRDefault="0046548F" w:rsidP="00AD0D08">
      <w:pPr>
        <w:pStyle w:val="ListParagraph"/>
        <w:numPr>
          <w:ilvl w:val="0"/>
          <w:numId w:val="6"/>
        </w:numPr>
        <w:spacing w:before="120" w:line="300" w:lineRule="atLeast"/>
        <w:rPr>
          <w:lang w:eastAsia="en-AU"/>
        </w:rPr>
      </w:pPr>
      <w:r>
        <w:rPr>
          <w:lang w:eastAsia="en-AU"/>
        </w:rPr>
        <w:t>T</w:t>
      </w:r>
      <w:r w:rsidR="00C826B0" w:rsidRPr="00C826B0">
        <w:rPr>
          <w:lang w:eastAsia="en-AU"/>
        </w:rPr>
        <w:t>he clinical outcomes of the IMPROVE-IT trial confirm the acceptability of absolute reduction in LDL-C as a valid surrogate for the reduction of the relative risk of major vascular events</w:t>
      </w:r>
      <w:r>
        <w:rPr>
          <w:lang w:eastAsia="en-AU"/>
        </w:rPr>
        <w:t>. T</w:t>
      </w:r>
      <w:r w:rsidR="00C826B0" w:rsidRPr="00C826B0">
        <w:rPr>
          <w:lang w:eastAsia="en-AU"/>
        </w:rPr>
        <w:t>he reduction in event rate was as predicted by the known relationship between absolute reduction in LDL-C and the relative risk reduction</w:t>
      </w:r>
      <w:r>
        <w:rPr>
          <w:lang w:eastAsia="en-AU"/>
        </w:rPr>
        <w:t>.</w:t>
      </w:r>
      <w:r w:rsidR="00C826B0" w:rsidRPr="00C826B0">
        <w:rPr>
          <w:lang w:eastAsia="en-AU"/>
        </w:rPr>
        <w:t xml:space="preserve">  </w:t>
      </w:r>
    </w:p>
    <w:p w:rsidR="00C826B0" w:rsidRPr="00C826B0" w:rsidRDefault="0046548F" w:rsidP="00AD0D08">
      <w:pPr>
        <w:pStyle w:val="ListParagraph"/>
        <w:numPr>
          <w:ilvl w:val="0"/>
          <w:numId w:val="6"/>
        </w:numPr>
        <w:spacing w:before="120" w:line="300" w:lineRule="atLeast"/>
        <w:rPr>
          <w:lang w:eastAsia="en-AU"/>
        </w:rPr>
      </w:pPr>
      <w:r>
        <w:rPr>
          <w:lang w:eastAsia="en-AU"/>
        </w:rPr>
        <w:t>T</w:t>
      </w:r>
      <w:r w:rsidR="00C826B0" w:rsidRPr="00C826B0">
        <w:rPr>
          <w:lang w:eastAsia="en-AU"/>
        </w:rPr>
        <w:t>he mechanism by which LDL-C is reduced is not relevant and there is no strong evidence for a particular order of use of LLT other than the greater body of evidence for statin use.</w:t>
      </w:r>
    </w:p>
    <w:p w:rsidR="00C826B0" w:rsidRPr="00C826B0" w:rsidRDefault="00C826B0" w:rsidP="00AD0D08">
      <w:pPr>
        <w:pStyle w:val="Heading2"/>
      </w:pPr>
      <w:bookmarkStart w:id="11" w:name="_Toc490042966"/>
      <w:r w:rsidRPr="00C826B0">
        <w:lastRenderedPageBreak/>
        <w:t>Reference Group Questions</w:t>
      </w:r>
      <w:bookmarkEnd w:id="11"/>
    </w:p>
    <w:p w:rsidR="00B01DC5" w:rsidRDefault="00B01DC5" w:rsidP="00AD0D08">
      <w:pPr>
        <w:pStyle w:val="Heading3"/>
      </w:pPr>
      <w:r>
        <w:t xml:space="preserve">Question </w:t>
      </w:r>
      <w:r w:rsidR="00C826B0" w:rsidRPr="0051021B">
        <w:t>1</w:t>
      </w:r>
    </w:p>
    <w:p w:rsidR="00C826B0" w:rsidRDefault="00C826B0" w:rsidP="00AD0D08">
      <w:pPr>
        <w:rPr>
          <w:rFonts w:eastAsiaTheme="majorEastAsia"/>
          <w:b/>
          <w:i/>
        </w:rPr>
      </w:pPr>
      <w:r w:rsidRPr="00AD0D08">
        <w:rPr>
          <w:rFonts w:eastAsiaTheme="majorEastAsia"/>
          <w:b/>
          <w:i/>
        </w:rPr>
        <w:t>The Review aims to comprehensively consider the most recent relevant evidence. Is there further recent evidence that should be considered by the Reference Group prior to making findings?</w:t>
      </w:r>
    </w:p>
    <w:p w:rsidR="00B01DC5" w:rsidRPr="0051021B" w:rsidRDefault="00B01DC5" w:rsidP="00AD0D08">
      <w:pPr>
        <w:rPr>
          <w:rFonts w:eastAsiaTheme="majorEastAsia"/>
          <w:b/>
          <w:i/>
        </w:rPr>
      </w:pPr>
    </w:p>
    <w:p w:rsidR="00C826B0" w:rsidRPr="00C826B0" w:rsidRDefault="00C826B0" w:rsidP="00C826B0">
      <w:pPr>
        <w:spacing w:after="200"/>
        <w:rPr>
          <w:rFonts w:eastAsiaTheme="minorHAnsi" w:cstheme="minorBidi"/>
          <w:szCs w:val="22"/>
        </w:rPr>
      </w:pPr>
      <w:r w:rsidRPr="00C826B0">
        <w:rPr>
          <w:rFonts w:eastAsiaTheme="minorHAnsi" w:cstheme="minorBidi"/>
          <w:szCs w:val="22"/>
        </w:rPr>
        <w:t>Participants agreed to provide suggestions of other relevant studies to the Review Secretariat. Specific comments made by participants included:</w:t>
      </w:r>
    </w:p>
    <w:p w:rsidR="00C826B0" w:rsidRPr="00C826B0" w:rsidRDefault="00C826B0" w:rsidP="00AD0D08">
      <w:pPr>
        <w:pStyle w:val="ListParagraph"/>
        <w:numPr>
          <w:ilvl w:val="0"/>
          <w:numId w:val="7"/>
        </w:numPr>
        <w:spacing w:after="120"/>
        <w:rPr>
          <w:lang w:eastAsia="en-AU"/>
        </w:rPr>
      </w:pPr>
      <w:r w:rsidRPr="00C826B0">
        <w:rPr>
          <w:lang w:eastAsia="en-AU"/>
        </w:rPr>
        <w:t>in using any studies, it is important to consider the depth of evidence and applicability to the Australian context</w:t>
      </w:r>
    </w:p>
    <w:p w:rsidR="00C826B0" w:rsidRPr="00C826B0" w:rsidRDefault="00C826B0" w:rsidP="00AD0D08">
      <w:pPr>
        <w:pStyle w:val="ListParagraph"/>
        <w:numPr>
          <w:ilvl w:val="0"/>
          <w:numId w:val="7"/>
        </w:numPr>
        <w:spacing w:after="120"/>
        <w:rPr>
          <w:lang w:eastAsia="en-AU"/>
        </w:rPr>
      </w:pPr>
      <w:r w:rsidRPr="00C826B0">
        <w:rPr>
          <w:lang w:eastAsia="en-AU"/>
        </w:rPr>
        <w:t>despite its limitations, IMPROVE-IT is the most up-to-date and well-run study, and also addressed questions in relation to the safety of ezetimibe</w:t>
      </w:r>
    </w:p>
    <w:p w:rsidR="00C826B0" w:rsidRPr="00C826B0" w:rsidRDefault="00C826B0" w:rsidP="00AD0D08">
      <w:pPr>
        <w:pStyle w:val="ListParagraph"/>
        <w:numPr>
          <w:ilvl w:val="0"/>
          <w:numId w:val="7"/>
        </w:numPr>
        <w:spacing w:after="120"/>
        <w:rPr>
          <w:lang w:eastAsia="en-AU"/>
        </w:rPr>
      </w:pPr>
      <w:r w:rsidRPr="00C826B0">
        <w:rPr>
          <w:lang w:eastAsia="en-AU"/>
        </w:rPr>
        <w:t xml:space="preserve">the experiences of failed studies (studies that did not demonstrate outcomes) </w:t>
      </w:r>
      <w:r w:rsidR="0046548F">
        <w:rPr>
          <w:lang w:eastAsia="en-AU"/>
        </w:rPr>
        <w:t>are</w:t>
      </w:r>
      <w:r w:rsidRPr="00C826B0">
        <w:rPr>
          <w:lang w:eastAsia="en-AU"/>
        </w:rPr>
        <w:t xml:space="preserve"> also relevant to this Review.</w:t>
      </w:r>
    </w:p>
    <w:p w:rsidR="00003743" w:rsidRPr="002F3AE3" w:rsidRDefault="00003743" w:rsidP="002F3AE3"/>
    <w:sectPr w:rsidR="00003743" w:rsidRPr="002F3AE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86B" w:rsidRDefault="005C786B">
      <w:r>
        <w:separator/>
      </w:r>
    </w:p>
  </w:endnote>
  <w:endnote w:type="continuationSeparator" w:id="0">
    <w:p w:rsidR="005C786B" w:rsidRDefault="005C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86B" w:rsidRDefault="005C786B">
      <w:r>
        <w:separator/>
      </w:r>
    </w:p>
  </w:footnote>
  <w:footnote w:type="continuationSeparator" w:id="0">
    <w:p w:rsidR="005C786B" w:rsidRDefault="005C7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F3" w:rsidRDefault="005C786B" w:rsidP="00F2271E">
    <w:pPr>
      <w:pStyle w:val="Foot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04C20"/>
    <w:multiLevelType w:val="hybridMultilevel"/>
    <w:tmpl w:val="6E3A4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2A083D95"/>
    <w:multiLevelType w:val="hybridMultilevel"/>
    <w:tmpl w:val="95B603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30877AD3"/>
    <w:multiLevelType w:val="hybridMultilevel"/>
    <w:tmpl w:val="817A9F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0FC6300"/>
    <w:multiLevelType w:val="hybridMultilevel"/>
    <w:tmpl w:val="8B3856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260516D"/>
    <w:multiLevelType w:val="hybridMultilevel"/>
    <w:tmpl w:val="06A09378"/>
    <w:lvl w:ilvl="0" w:tplc="0C090001">
      <w:start w:val="1"/>
      <w:numFmt w:val="bullet"/>
      <w:lvlText w:val=""/>
      <w:lvlJc w:val="left"/>
      <w:pPr>
        <w:ind w:left="375" w:hanging="360"/>
      </w:pPr>
      <w:rPr>
        <w:rFonts w:ascii="Symbol" w:hAnsi="Symbol" w:hint="default"/>
      </w:rPr>
    </w:lvl>
    <w:lvl w:ilvl="1" w:tplc="0C090003" w:tentative="1">
      <w:start w:val="1"/>
      <w:numFmt w:val="bullet"/>
      <w:lvlText w:val="o"/>
      <w:lvlJc w:val="left"/>
      <w:pPr>
        <w:ind w:left="1095" w:hanging="360"/>
      </w:pPr>
      <w:rPr>
        <w:rFonts w:ascii="Courier New" w:hAnsi="Courier New" w:cs="Courier New" w:hint="default"/>
      </w:rPr>
    </w:lvl>
    <w:lvl w:ilvl="2" w:tplc="0C090005" w:tentative="1">
      <w:start w:val="1"/>
      <w:numFmt w:val="bullet"/>
      <w:lvlText w:val=""/>
      <w:lvlJc w:val="left"/>
      <w:pPr>
        <w:ind w:left="1815" w:hanging="360"/>
      </w:pPr>
      <w:rPr>
        <w:rFonts w:ascii="Wingdings" w:hAnsi="Wingdings" w:hint="default"/>
      </w:rPr>
    </w:lvl>
    <w:lvl w:ilvl="3" w:tplc="0C090001" w:tentative="1">
      <w:start w:val="1"/>
      <w:numFmt w:val="bullet"/>
      <w:lvlText w:val=""/>
      <w:lvlJc w:val="left"/>
      <w:pPr>
        <w:ind w:left="2535" w:hanging="360"/>
      </w:pPr>
      <w:rPr>
        <w:rFonts w:ascii="Symbol" w:hAnsi="Symbol" w:hint="default"/>
      </w:rPr>
    </w:lvl>
    <w:lvl w:ilvl="4" w:tplc="0C090003" w:tentative="1">
      <w:start w:val="1"/>
      <w:numFmt w:val="bullet"/>
      <w:lvlText w:val="o"/>
      <w:lvlJc w:val="left"/>
      <w:pPr>
        <w:ind w:left="3255" w:hanging="360"/>
      </w:pPr>
      <w:rPr>
        <w:rFonts w:ascii="Courier New" w:hAnsi="Courier New" w:cs="Courier New" w:hint="default"/>
      </w:rPr>
    </w:lvl>
    <w:lvl w:ilvl="5" w:tplc="0C090005" w:tentative="1">
      <w:start w:val="1"/>
      <w:numFmt w:val="bullet"/>
      <w:lvlText w:val=""/>
      <w:lvlJc w:val="left"/>
      <w:pPr>
        <w:ind w:left="3975" w:hanging="360"/>
      </w:pPr>
      <w:rPr>
        <w:rFonts w:ascii="Wingdings" w:hAnsi="Wingdings" w:hint="default"/>
      </w:rPr>
    </w:lvl>
    <w:lvl w:ilvl="6" w:tplc="0C090001" w:tentative="1">
      <w:start w:val="1"/>
      <w:numFmt w:val="bullet"/>
      <w:lvlText w:val=""/>
      <w:lvlJc w:val="left"/>
      <w:pPr>
        <w:ind w:left="4695" w:hanging="360"/>
      </w:pPr>
      <w:rPr>
        <w:rFonts w:ascii="Symbol" w:hAnsi="Symbol" w:hint="default"/>
      </w:rPr>
    </w:lvl>
    <w:lvl w:ilvl="7" w:tplc="0C090003" w:tentative="1">
      <w:start w:val="1"/>
      <w:numFmt w:val="bullet"/>
      <w:lvlText w:val="o"/>
      <w:lvlJc w:val="left"/>
      <w:pPr>
        <w:ind w:left="5415" w:hanging="360"/>
      </w:pPr>
      <w:rPr>
        <w:rFonts w:ascii="Courier New" w:hAnsi="Courier New" w:cs="Courier New" w:hint="default"/>
      </w:rPr>
    </w:lvl>
    <w:lvl w:ilvl="8" w:tplc="0C090005" w:tentative="1">
      <w:start w:val="1"/>
      <w:numFmt w:val="bullet"/>
      <w:lvlText w:val=""/>
      <w:lvlJc w:val="left"/>
      <w:pPr>
        <w:ind w:left="6135" w:hanging="360"/>
      </w:pPr>
      <w:rPr>
        <w:rFonts w:ascii="Wingdings" w:hAnsi="Wingdings" w:hint="default"/>
      </w:rPr>
    </w:lvl>
  </w:abstractNum>
  <w:abstractNum w:abstractNumId="5">
    <w:nsid w:val="3DBA4B0E"/>
    <w:multiLevelType w:val="hybridMultilevel"/>
    <w:tmpl w:val="24F4E6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7F081C29"/>
    <w:multiLevelType w:val="hybridMultilevel"/>
    <w:tmpl w:val="2B2CB860"/>
    <w:lvl w:ilvl="0" w:tplc="0C090001">
      <w:start w:val="1"/>
      <w:numFmt w:val="bullet"/>
      <w:lvlText w:val=""/>
      <w:lvlJc w:val="left"/>
      <w:pPr>
        <w:ind w:left="375" w:hanging="360"/>
      </w:pPr>
      <w:rPr>
        <w:rFonts w:ascii="Symbol" w:hAnsi="Symbol" w:hint="default"/>
      </w:rPr>
    </w:lvl>
    <w:lvl w:ilvl="1" w:tplc="0C090003" w:tentative="1">
      <w:start w:val="1"/>
      <w:numFmt w:val="bullet"/>
      <w:lvlText w:val="o"/>
      <w:lvlJc w:val="left"/>
      <w:pPr>
        <w:ind w:left="1095" w:hanging="360"/>
      </w:pPr>
      <w:rPr>
        <w:rFonts w:ascii="Courier New" w:hAnsi="Courier New" w:cs="Courier New" w:hint="default"/>
      </w:rPr>
    </w:lvl>
    <w:lvl w:ilvl="2" w:tplc="0C090005" w:tentative="1">
      <w:start w:val="1"/>
      <w:numFmt w:val="bullet"/>
      <w:lvlText w:val=""/>
      <w:lvlJc w:val="left"/>
      <w:pPr>
        <w:ind w:left="1815" w:hanging="360"/>
      </w:pPr>
      <w:rPr>
        <w:rFonts w:ascii="Wingdings" w:hAnsi="Wingdings" w:hint="default"/>
      </w:rPr>
    </w:lvl>
    <w:lvl w:ilvl="3" w:tplc="0C090001" w:tentative="1">
      <w:start w:val="1"/>
      <w:numFmt w:val="bullet"/>
      <w:lvlText w:val=""/>
      <w:lvlJc w:val="left"/>
      <w:pPr>
        <w:ind w:left="2535" w:hanging="360"/>
      </w:pPr>
      <w:rPr>
        <w:rFonts w:ascii="Symbol" w:hAnsi="Symbol" w:hint="default"/>
      </w:rPr>
    </w:lvl>
    <w:lvl w:ilvl="4" w:tplc="0C090003" w:tentative="1">
      <w:start w:val="1"/>
      <w:numFmt w:val="bullet"/>
      <w:lvlText w:val="o"/>
      <w:lvlJc w:val="left"/>
      <w:pPr>
        <w:ind w:left="3255" w:hanging="360"/>
      </w:pPr>
      <w:rPr>
        <w:rFonts w:ascii="Courier New" w:hAnsi="Courier New" w:cs="Courier New" w:hint="default"/>
      </w:rPr>
    </w:lvl>
    <w:lvl w:ilvl="5" w:tplc="0C090005" w:tentative="1">
      <w:start w:val="1"/>
      <w:numFmt w:val="bullet"/>
      <w:lvlText w:val=""/>
      <w:lvlJc w:val="left"/>
      <w:pPr>
        <w:ind w:left="3975" w:hanging="360"/>
      </w:pPr>
      <w:rPr>
        <w:rFonts w:ascii="Wingdings" w:hAnsi="Wingdings" w:hint="default"/>
      </w:rPr>
    </w:lvl>
    <w:lvl w:ilvl="6" w:tplc="0C090001" w:tentative="1">
      <w:start w:val="1"/>
      <w:numFmt w:val="bullet"/>
      <w:lvlText w:val=""/>
      <w:lvlJc w:val="left"/>
      <w:pPr>
        <w:ind w:left="4695" w:hanging="360"/>
      </w:pPr>
      <w:rPr>
        <w:rFonts w:ascii="Symbol" w:hAnsi="Symbol" w:hint="default"/>
      </w:rPr>
    </w:lvl>
    <w:lvl w:ilvl="7" w:tplc="0C090003" w:tentative="1">
      <w:start w:val="1"/>
      <w:numFmt w:val="bullet"/>
      <w:lvlText w:val="o"/>
      <w:lvlJc w:val="left"/>
      <w:pPr>
        <w:ind w:left="5415" w:hanging="360"/>
      </w:pPr>
      <w:rPr>
        <w:rFonts w:ascii="Courier New" w:hAnsi="Courier New" w:cs="Courier New" w:hint="default"/>
      </w:rPr>
    </w:lvl>
    <w:lvl w:ilvl="8" w:tplc="0C090005" w:tentative="1">
      <w:start w:val="1"/>
      <w:numFmt w:val="bullet"/>
      <w:lvlText w:val=""/>
      <w:lvlJc w:val="left"/>
      <w:pPr>
        <w:ind w:left="6135"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6C2"/>
    <w:rsid w:val="00003743"/>
    <w:rsid w:val="00067456"/>
    <w:rsid w:val="000945DB"/>
    <w:rsid w:val="001B3443"/>
    <w:rsid w:val="002F3AE3"/>
    <w:rsid w:val="0030786C"/>
    <w:rsid w:val="003D17F9"/>
    <w:rsid w:val="004036C2"/>
    <w:rsid w:val="0046548F"/>
    <w:rsid w:val="004867E2"/>
    <w:rsid w:val="004D4D68"/>
    <w:rsid w:val="0051021B"/>
    <w:rsid w:val="00530C86"/>
    <w:rsid w:val="005A4DBE"/>
    <w:rsid w:val="005C786B"/>
    <w:rsid w:val="008264EB"/>
    <w:rsid w:val="00A4512D"/>
    <w:rsid w:val="00A705AF"/>
    <w:rsid w:val="00AD0D08"/>
    <w:rsid w:val="00B01DC5"/>
    <w:rsid w:val="00B0203F"/>
    <w:rsid w:val="00B079DC"/>
    <w:rsid w:val="00B42851"/>
    <w:rsid w:val="00BA3C4A"/>
    <w:rsid w:val="00C826B0"/>
    <w:rsid w:val="00CB5B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DC5"/>
    <w:pPr>
      <w:jc w:val="both"/>
    </w:pPr>
    <w:rPr>
      <w:rFonts w:asciiTheme="minorHAnsi" w:hAnsiTheme="minorHAnsi"/>
      <w:sz w:val="24"/>
      <w:szCs w:val="24"/>
      <w:lang w:eastAsia="en-US"/>
    </w:rPr>
  </w:style>
  <w:style w:type="paragraph" w:styleId="Heading1">
    <w:name w:val="heading 1"/>
    <w:basedOn w:val="Normal"/>
    <w:next w:val="Normal"/>
    <w:qFormat/>
    <w:rsid w:val="00B01DC5"/>
    <w:pPr>
      <w:keepNext/>
      <w:keepLines/>
      <w:spacing w:before="240" w:after="200"/>
      <w:jc w:val="center"/>
      <w:outlineLvl w:val="0"/>
    </w:pPr>
    <w:rPr>
      <w:rFonts w:asciiTheme="majorHAnsi" w:eastAsiaTheme="majorEastAsia" w:hAnsiTheme="majorHAnsi" w:cstheme="majorBidi"/>
      <w:b/>
      <w:bCs/>
      <w:color w:val="548DD4" w:themeColor="text2" w:themeTint="99"/>
      <w:sz w:val="32"/>
      <w:szCs w:val="26"/>
    </w:rPr>
  </w:style>
  <w:style w:type="paragraph" w:styleId="Heading2">
    <w:name w:val="heading 2"/>
    <w:basedOn w:val="Normal"/>
    <w:next w:val="Normal"/>
    <w:qFormat/>
    <w:rsid w:val="00B01DC5"/>
    <w:pPr>
      <w:keepNext/>
      <w:keepLines/>
      <w:spacing w:before="240" w:after="200"/>
      <w:outlineLvl w:val="1"/>
    </w:pPr>
    <w:rPr>
      <w:rFonts w:eastAsiaTheme="majorEastAsia" w:cstheme="majorBidi"/>
      <w:b/>
      <w:bCs/>
      <w:i/>
      <w:sz w:val="28"/>
      <w:szCs w:val="28"/>
    </w:rPr>
  </w:style>
  <w:style w:type="paragraph" w:styleId="Heading3">
    <w:name w:val="heading 3"/>
    <w:basedOn w:val="Normal"/>
    <w:next w:val="Normal"/>
    <w:qFormat/>
    <w:rsid w:val="00B01DC5"/>
    <w:pPr>
      <w:keepNext/>
      <w:keepLines/>
      <w:tabs>
        <w:tab w:val="left" w:pos="284"/>
      </w:tabs>
      <w:spacing w:after="200"/>
      <w:ind w:left="284" w:hanging="284"/>
      <w:outlineLvl w:val="2"/>
    </w:pPr>
    <w:rPr>
      <w:rFonts w:eastAsiaTheme="majorEastAsia" w:cstheme="majorBidi"/>
      <w:b/>
      <w:bCs/>
      <w:i/>
      <w:iCs/>
      <w:szCs w:val="22"/>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Footer">
    <w:name w:val="footer"/>
    <w:basedOn w:val="Normal"/>
    <w:link w:val="FooterChar"/>
    <w:uiPriority w:val="99"/>
    <w:unhideWhenUsed/>
    <w:rsid w:val="00C826B0"/>
    <w:pPr>
      <w:tabs>
        <w:tab w:val="center" w:pos="4513"/>
        <w:tab w:val="right" w:pos="9026"/>
      </w:tabs>
    </w:pPr>
    <w:rPr>
      <w:rFonts w:ascii="Cambria" w:eastAsiaTheme="minorHAnsi" w:hAnsi="Cambria" w:cstheme="minorBidi"/>
      <w:szCs w:val="22"/>
    </w:rPr>
  </w:style>
  <w:style w:type="character" w:customStyle="1" w:styleId="FooterChar">
    <w:name w:val="Footer Char"/>
    <w:basedOn w:val="DefaultParagraphFont"/>
    <w:link w:val="Footer"/>
    <w:uiPriority w:val="99"/>
    <w:rsid w:val="00C826B0"/>
    <w:rPr>
      <w:rFonts w:ascii="Cambria" w:eastAsiaTheme="minorHAnsi" w:hAnsi="Cambria" w:cstheme="minorBidi"/>
      <w:sz w:val="24"/>
      <w:szCs w:val="22"/>
      <w:lang w:eastAsia="en-US"/>
    </w:rPr>
  </w:style>
  <w:style w:type="paragraph" w:styleId="BalloonText">
    <w:name w:val="Balloon Text"/>
    <w:basedOn w:val="Normal"/>
    <w:link w:val="BalloonTextChar"/>
    <w:rsid w:val="00C826B0"/>
    <w:rPr>
      <w:rFonts w:ascii="Tahoma" w:hAnsi="Tahoma" w:cs="Tahoma"/>
      <w:sz w:val="16"/>
      <w:szCs w:val="16"/>
    </w:rPr>
  </w:style>
  <w:style w:type="character" w:customStyle="1" w:styleId="BalloonTextChar">
    <w:name w:val="Balloon Text Char"/>
    <w:basedOn w:val="DefaultParagraphFont"/>
    <w:link w:val="BalloonText"/>
    <w:rsid w:val="00C826B0"/>
    <w:rPr>
      <w:rFonts w:ascii="Tahoma" w:hAnsi="Tahoma" w:cs="Tahoma"/>
      <w:sz w:val="16"/>
      <w:szCs w:val="16"/>
      <w:lang w:eastAsia="en-US"/>
    </w:rPr>
  </w:style>
  <w:style w:type="paragraph" w:styleId="TOC1">
    <w:name w:val="toc 1"/>
    <w:basedOn w:val="Normal"/>
    <w:next w:val="Normal"/>
    <w:autoRedefine/>
    <w:uiPriority w:val="39"/>
    <w:rsid w:val="005A4DBE"/>
    <w:pPr>
      <w:spacing w:after="100"/>
    </w:pPr>
  </w:style>
  <w:style w:type="paragraph" w:styleId="TOC2">
    <w:name w:val="toc 2"/>
    <w:basedOn w:val="Normal"/>
    <w:next w:val="Normal"/>
    <w:autoRedefine/>
    <w:uiPriority w:val="39"/>
    <w:rsid w:val="005A4DBE"/>
    <w:pPr>
      <w:spacing w:after="100"/>
      <w:ind w:left="240"/>
    </w:pPr>
  </w:style>
  <w:style w:type="character" w:styleId="Hyperlink">
    <w:name w:val="Hyperlink"/>
    <w:basedOn w:val="DefaultParagraphFont"/>
    <w:uiPriority w:val="99"/>
    <w:unhideWhenUsed/>
    <w:rsid w:val="005A4D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DC5"/>
    <w:pPr>
      <w:jc w:val="both"/>
    </w:pPr>
    <w:rPr>
      <w:rFonts w:asciiTheme="minorHAnsi" w:hAnsiTheme="minorHAnsi"/>
      <w:sz w:val="24"/>
      <w:szCs w:val="24"/>
      <w:lang w:eastAsia="en-US"/>
    </w:rPr>
  </w:style>
  <w:style w:type="paragraph" w:styleId="Heading1">
    <w:name w:val="heading 1"/>
    <w:basedOn w:val="Normal"/>
    <w:next w:val="Normal"/>
    <w:qFormat/>
    <w:rsid w:val="00B01DC5"/>
    <w:pPr>
      <w:keepNext/>
      <w:keepLines/>
      <w:spacing w:before="240" w:after="200"/>
      <w:jc w:val="center"/>
      <w:outlineLvl w:val="0"/>
    </w:pPr>
    <w:rPr>
      <w:rFonts w:asciiTheme="majorHAnsi" w:eastAsiaTheme="majorEastAsia" w:hAnsiTheme="majorHAnsi" w:cstheme="majorBidi"/>
      <w:b/>
      <w:bCs/>
      <w:color w:val="548DD4" w:themeColor="text2" w:themeTint="99"/>
      <w:sz w:val="32"/>
      <w:szCs w:val="26"/>
    </w:rPr>
  </w:style>
  <w:style w:type="paragraph" w:styleId="Heading2">
    <w:name w:val="heading 2"/>
    <w:basedOn w:val="Normal"/>
    <w:next w:val="Normal"/>
    <w:qFormat/>
    <w:rsid w:val="00B01DC5"/>
    <w:pPr>
      <w:keepNext/>
      <w:keepLines/>
      <w:spacing w:before="240" w:after="200"/>
      <w:outlineLvl w:val="1"/>
    </w:pPr>
    <w:rPr>
      <w:rFonts w:eastAsiaTheme="majorEastAsia" w:cstheme="majorBidi"/>
      <w:b/>
      <w:bCs/>
      <w:i/>
      <w:sz w:val="28"/>
      <w:szCs w:val="28"/>
    </w:rPr>
  </w:style>
  <w:style w:type="paragraph" w:styleId="Heading3">
    <w:name w:val="heading 3"/>
    <w:basedOn w:val="Normal"/>
    <w:next w:val="Normal"/>
    <w:qFormat/>
    <w:rsid w:val="00B01DC5"/>
    <w:pPr>
      <w:keepNext/>
      <w:keepLines/>
      <w:tabs>
        <w:tab w:val="left" w:pos="284"/>
      </w:tabs>
      <w:spacing w:after="200"/>
      <w:ind w:left="284" w:hanging="284"/>
      <w:outlineLvl w:val="2"/>
    </w:pPr>
    <w:rPr>
      <w:rFonts w:eastAsiaTheme="majorEastAsia" w:cstheme="majorBidi"/>
      <w:b/>
      <w:bCs/>
      <w:i/>
      <w:iCs/>
      <w:szCs w:val="22"/>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Footer">
    <w:name w:val="footer"/>
    <w:basedOn w:val="Normal"/>
    <w:link w:val="FooterChar"/>
    <w:uiPriority w:val="99"/>
    <w:unhideWhenUsed/>
    <w:rsid w:val="00C826B0"/>
    <w:pPr>
      <w:tabs>
        <w:tab w:val="center" w:pos="4513"/>
        <w:tab w:val="right" w:pos="9026"/>
      </w:tabs>
    </w:pPr>
    <w:rPr>
      <w:rFonts w:ascii="Cambria" w:eastAsiaTheme="minorHAnsi" w:hAnsi="Cambria" w:cstheme="minorBidi"/>
      <w:szCs w:val="22"/>
    </w:rPr>
  </w:style>
  <w:style w:type="character" w:customStyle="1" w:styleId="FooterChar">
    <w:name w:val="Footer Char"/>
    <w:basedOn w:val="DefaultParagraphFont"/>
    <w:link w:val="Footer"/>
    <w:uiPriority w:val="99"/>
    <w:rsid w:val="00C826B0"/>
    <w:rPr>
      <w:rFonts w:ascii="Cambria" w:eastAsiaTheme="minorHAnsi" w:hAnsi="Cambria" w:cstheme="minorBidi"/>
      <w:sz w:val="24"/>
      <w:szCs w:val="22"/>
      <w:lang w:eastAsia="en-US"/>
    </w:rPr>
  </w:style>
  <w:style w:type="paragraph" w:styleId="BalloonText">
    <w:name w:val="Balloon Text"/>
    <w:basedOn w:val="Normal"/>
    <w:link w:val="BalloonTextChar"/>
    <w:rsid w:val="00C826B0"/>
    <w:rPr>
      <w:rFonts w:ascii="Tahoma" w:hAnsi="Tahoma" w:cs="Tahoma"/>
      <w:sz w:val="16"/>
      <w:szCs w:val="16"/>
    </w:rPr>
  </w:style>
  <w:style w:type="character" w:customStyle="1" w:styleId="BalloonTextChar">
    <w:name w:val="Balloon Text Char"/>
    <w:basedOn w:val="DefaultParagraphFont"/>
    <w:link w:val="BalloonText"/>
    <w:rsid w:val="00C826B0"/>
    <w:rPr>
      <w:rFonts w:ascii="Tahoma" w:hAnsi="Tahoma" w:cs="Tahoma"/>
      <w:sz w:val="16"/>
      <w:szCs w:val="16"/>
      <w:lang w:eastAsia="en-US"/>
    </w:rPr>
  </w:style>
  <w:style w:type="paragraph" w:styleId="TOC1">
    <w:name w:val="toc 1"/>
    <w:basedOn w:val="Normal"/>
    <w:next w:val="Normal"/>
    <w:autoRedefine/>
    <w:uiPriority w:val="39"/>
    <w:rsid w:val="005A4DBE"/>
    <w:pPr>
      <w:spacing w:after="100"/>
    </w:pPr>
  </w:style>
  <w:style w:type="paragraph" w:styleId="TOC2">
    <w:name w:val="toc 2"/>
    <w:basedOn w:val="Normal"/>
    <w:next w:val="Normal"/>
    <w:autoRedefine/>
    <w:uiPriority w:val="39"/>
    <w:rsid w:val="005A4DBE"/>
    <w:pPr>
      <w:spacing w:after="100"/>
      <w:ind w:left="240"/>
    </w:pPr>
  </w:style>
  <w:style w:type="character" w:styleId="Hyperlink">
    <w:name w:val="Hyperlink"/>
    <w:basedOn w:val="DefaultParagraphFont"/>
    <w:uiPriority w:val="99"/>
    <w:unhideWhenUsed/>
    <w:rsid w:val="005A4D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64404-398C-4C36-BDE1-43527A55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2017-12-08T02:27:00Z</dcterms:created>
  <dcterms:modified xsi:type="dcterms:W3CDTF">2017-12-08T02:27:00Z</dcterms:modified>
</cp:coreProperties>
</file>