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D7877" w14:textId="7EEBA538" w:rsidR="00F45A57" w:rsidRPr="00A06E2D" w:rsidRDefault="00F45A57" w:rsidP="00A23AED">
      <w:pPr>
        <w:pStyle w:val="1MainTitle"/>
        <w:ind w:left="1440" w:hanging="1440"/>
        <w:jc w:val="both"/>
      </w:pPr>
      <w:r w:rsidRPr="00A06E2D">
        <w:t>9.0</w:t>
      </w:r>
      <w:r w:rsidR="00612359" w:rsidRPr="00A06E2D">
        <w:t>4</w:t>
      </w:r>
      <w:r w:rsidR="00B0026B">
        <w:tab/>
      </w:r>
      <w:r w:rsidRPr="00A06E2D">
        <w:rPr>
          <w:bCs/>
        </w:rPr>
        <w:t>Updates to the restrictions for ezetimibe and its fixed</w:t>
      </w:r>
      <w:r w:rsidR="00A36C7A" w:rsidRPr="00A06E2D">
        <w:rPr>
          <w:bCs/>
        </w:rPr>
        <w:t xml:space="preserve"> </w:t>
      </w:r>
      <w:r w:rsidRPr="00A06E2D">
        <w:rPr>
          <w:bCs/>
        </w:rPr>
        <w:t>dose combinations (FDCs)</w:t>
      </w:r>
    </w:p>
    <w:p w14:paraId="49A80C9C" w14:textId="77777777" w:rsidR="00F45A57" w:rsidRPr="00A06E2D" w:rsidRDefault="00F45A57" w:rsidP="00B30A03">
      <w:pPr>
        <w:pStyle w:val="2Sections"/>
      </w:pPr>
      <w:r w:rsidRPr="00A06E2D">
        <w:t>Purpose of item</w:t>
      </w:r>
    </w:p>
    <w:p w14:paraId="755A27CB" w14:textId="77777777" w:rsidR="00F45A57" w:rsidRPr="00A06E2D" w:rsidRDefault="00F45A57" w:rsidP="00A36C7A">
      <w:pPr>
        <w:pStyle w:val="3Bodytext"/>
        <w:numPr>
          <w:ilvl w:val="0"/>
          <w:numId w:val="0"/>
        </w:numPr>
      </w:pPr>
      <w:r w:rsidRPr="00A06E2D">
        <w:t>To request that the PBAC:</w:t>
      </w:r>
    </w:p>
    <w:p w14:paraId="7AC2FE48" w14:textId="77777777" w:rsidR="003B4649" w:rsidRPr="00A06E2D" w:rsidRDefault="003B4649" w:rsidP="003B4649">
      <w:pPr>
        <w:pStyle w:val="3Bodytext"/>
      </w:pPr>
      <w:r w:rsidRPr="00A06E2D">
        <w:rPr>
          <w:b/>
        </w:rPr>
        <w:t>PROVIDE ADVICE</w:t>
      </w:r>
      <w:r w:rsidRPr="00A06E2D">
        <w:t xml:space="preserve"> regarding proposed changes to simplify the PBS restrictions for ezetimibe and its FDCs, and any likely impacts on utilisation.</w:t>
      </w:r>
    </w:p>
    <w:p w14:paraId="25A1F84F" w14:textId="77777777" w:rsidR="003B4649" w:rsidRPr="00A06E2D" w:rsidRDefault="003B4649" w:rsidP="003B4649">
      <w:pPr>
        <w:pStyle w:val="3Bodytext"/>
        <w:rPr>
          <w:bCs w:val="0"/>
        </w:rPr>
      </w:pPr>
      <w:r w:rsidRPr="00A06E2D">
        <w:rPr>
          <w:b/>
        </w:rPr>
        <w:t xml:space="preserve">PROVIDE ADVICE </w:t>
      </w:r>
      <w:r w:rsidRPr="00A06E2D">
        <w:rPr>
          <w:bCs w:val="0"/>
        </w:rPr>
        <w:t>on the need to consult relevant prescriber and consumer groups regarding the proposed restriction changes, and/or any further research on this topic that the PBAC requires to inform its recommendation.</w:t>
      </w:r>
    </w:p>
    <w:p w14:paraId="51BFB4C2" w14:textId="5B54F4BC" w:rsidR="003B4649" w:rsidRPr="00A06E2D" w:rsidRDefault="003B4649" w:rsidP="003B4649">
      <w:pPr>
        <w:pStyle w:val="3Bodytext"/>
      </w:pPr>
      <w:r w:rsidRPr="00A06E2D">
        <w:rPr>
          <w:b/>
        </w:rPr>
        <w:t xml:space="preserve">NOTE </w:t>
      </w:r>
      <w:r w:rsidRPr="00A06E2D">
        <w:t>that if restriction changes are recommended, the Department would consult with sponsors</w:t>
      </w:r>
      <w:r w:rsidR="00B5003C">
        <w:t xml:space="preserve"> prior to implementation</w:t>
      </w:r>
      <w:r w:rsidRPr="00A06E2D">
        <w:t>.</w:t>
      </w:r>
    </w:p>
    <w:p w14:paraId="41AB512A" w14:textId="77777777" w:rsidR="00F45A57" w:rsidRPr="00A06E2D" w:rsidRDefault="00B44090" w:rsidP="0030719F">
      <w:pPr>
        <w:pStyle w:val="2Sections"/>
        <w:keepNext/>
        <w:keepLines/>
      </w:pPr>
      <w:r w:rsidRPr="00A06E2D">
        <w:t>Background</w:t>
      </w:r>
    </w:p>
    <w:p w14:paraId="7EFC11DE" w14:textId="4AFC0727" w:rsidR="00535C41" w:rsidRPr="00B0026B" w:rsidRDefault="00B44090" w:rsidP="0030719F">
      <w:pPr>
        <w:pStyle w:val="Heading2"/>
        <w:keepLines/>
        <w:rPr>
          <w:i/>
          <w:iCs/>
        </w:rPr>
      </w:pPr>
      <w:r w:rsidRPr="00B0026B">
        <w:rPr>
          <w:i/>
          <w:iCs/>
        </w:rPr>
        <w:t>Restriction reviews for low-cost medicines</w:t>
      </w:r>
    </w:p>
    <w:p w14:paraId="283A2741" w14:textId="77777777" w:rsidR="00B44090" w:rsidRPr="00A06E2D" w:rsidRDefault="00B44090" w:rsidP="00C722AB">
      <w:pPr>
        <w:pStyle w:val="3Bodytext"/>
        <w:keepNext/>
        <w:keepLines/>
      </w:pPr>
      <w:r w:rsidRPr="00A06E2D">
        <w:t xml:space="preserve">The PMR of Authority Required (AR) PBS Listings (2014-2015) considered the criteria to determine AR listings, </w:t>
      </w:r>
      <w:r w:rsidRPr="00A06E2D">
        <w:rPr>
          <w:color w:val="222222"/>
          <w:shd w:val="clear" w:color="auto" w:fill="FFFFFF"/>
        </w:rPr>
        <w:t xml:space="preserve">and reviewed all AR listings, with the objective of reducing the administrative burden on prescribers and dispensers. </w:t>
      </w:r>
      <w:r w:rsidRPr="00A06E2D">
        <w:t>The PBAC recommended that there should be two key criteria for determining whether a pharmaceutical benefit requires an AR listing:</w:t>
      </w:r>
    </w:p>
    <w:p w14:paraId="5A00BB2F" w14:textId="77777777" w:rsidR="00B44090" w:rsidRPr="00A06E2D" w:rsidRDefault="00B44090" w:rsidP="0073076F">
      <w:pPr>
        <w:pStyle w:val="ListParagraph"/>
        <w:numPr>
          <w:ilvl w:val="0"/>
          <w:numId w:val="17"/>
        </w:numPr>
        <w:jc w:val="both"/>
      </w:pPr>
      <w:r w:rsidRPr="00A06E2D">
        <w:t>Potential for use in a population in which the medicines is not cost effective or where the PBAC has not determined the comparative effectiveness and cost.</w:t>
      </w:r>
    </w:p>
    <w:p w14:paraId="6919DA5B" w14:textId="77777777" w:rsidR="00B44090" w:rsidRPr="00A06E2D" w:rsidRDefault="00B44090" w:rsidP="0073076F">
      <w:pPr>
        <w:pStyle w:val="ListParagraph"/>
        <w:numPr>
          <w:ilvl w:val="0"/>
          <w:numId w:val="17"/>
        </w:numPr>
        <w:jc w:val="both"/>
      </w:pPr>
      <w:r w:rsidRPr="00A06E2D">
        <w:t>Potential for high cost per patient or high total cost to the health system and Government’s budget.</w:t>
      </w:r>
    </w:p>
    <w:p w14:paraId="1FDABE8F" w14:textId="77777777" w:rsidR="00B44090" w:rsidRPr="00A06E2D" w:rsidRDefault="00B44090" w:rsidP="00A36C7A">
      <w:pPr>
        <w:pStyle w:val="3Bodytext"/>
      </w:pPr>
      <w:r w:rsidRPr="00A06E2D">
        <w:t xml:space="preserve">The PBAC noted that other important factors to be considered on a case-by-case basis included: quality use of medicines (QUM), safety, and administrative burden. </w:t>
      </w:r>
    </w:p>
    <w:p w14:paraId="77F7BCAE" w14:textId="77777777" w:rsidR="00F45A57" w:rsidRPr="00A06E2D" w:rsidRDefault="00B44090" w:rsidP="00A36C7A">
      <w:pPr>
        <w:pStyle w:val="3Bodytext"/>
        <w:rPr>
          <w:shd w:val="clear" w:color="auto" w:fill="FFFFFF"/>
        </w:rPr>
      </w:pPr>
      <w:r w:rsidRPr="00A06E2D">
        <w:rPr>
          <w:shd w:val="clear" w:color="auto" w:fill="FFFFFF"/>
        </w:rPr>
        <w:t xml:space="preserve">In December 2014, when considering the basis on which to review an AR listing, the PBAC considered that one reason to prompt a review of the authority level was a recommendation by the PBAC of an application for a generic formulation of an existing PBS listing that would result in a price reduction in the listed product (including products moving to the F2 formulary or following price negotiations). </w:t>
      </w:r>
    </w:p>
    <w:p w14:paraId="4CDBCCAF" w14:textId="6F842B97" w:rsidR="00B44090" w:rsidRPr="00A06E2D" w:rsidRDefault="00B44090" w:rsidP="00A36C7A">
      <w:pPr>
        <w:pStyle w:val="3Bodytext"/>
      </w:pPr>
      <w:r w:rsidRPr="00A06E2D">
        <w:t>In September 2023, as part of consideration of the PMR Work</w:t>
      </w:r>
      <w:r w:rsidR="00A23AED">
        <w:t>p</w:t>
      </w:r>
      <w:r w:rsidRPr="00A06E2D">
        <w:t xml:space="preserve">lan, the PBAC recommended that the Department </w:t>
      </w:r>
      <w:r w:rsidR="007D70F1" w:rsidRPr="00A06E2D">
        <w:t xml:space="preserve">consider on a rolling basis whether </w:t>
      </w:r>
      <w:r w:rsidRPr="00A06E2D">
        <w:t xml:space="preserve">medicines that have moved to the F2 formulary </w:t>
      </w:r>
      <w:r w:rsidR="007D70F1" w:rsidRPr="00A06E2D">
        <w:t>would be suitable for</w:t>
      </w:r>
      <w:r w:rsidRPr="00A06E2D">
        <w:t xml:space="preserve"> a restriction review. </w:t>
      </w:r>
    </w:p>
    <w:p w14:paraId="6BFEE80D" w14:textId="5FBBCB87" w:rsidR="00F45A57" w:rsidRPr="00B0026B" w:rsidRDefault="00955478" w:rsidP="00B0026B">
      <w:pPr>
        <w:pStyle w:val="Heading2"/>
        <w:rPr>
          <w:i/>
          <w:iCs/>
        </w:rPr>
      </w:pPr>
      <w:r w:rsidRPr="00B0026B">
        <w:rPr>
          <w:i/>
          <w:iCs/>
        </w:rPr>
        <w:lastRenderedPageBreak/>
        <w:t>PBS listing</w:t>
      </w:r>
      <w:r w:rsidR="00087805">
        <w:rPr>
          <w:i/>
          <w:iCs/>
        </w:rPr>
        <w:t>s</w:t>
      </w:r>
      <w:r w:rsidRPr="00B0026B">
        <w:rPr>
          <w:i/>
          <w:iCs/>
        </w:rPr>
        <w:t xml:space="preserve"> </w:t>
      </w:r>
    </w:p>
    <w:p w14:paraId="13C5C3E8" w14:textId="13387998" w:rsidR="007D70F1" w:rsidRPr="00A06E2D" w:rsidRDefault="007D70F1" w:rsidP="0030719F">
      <w:pPr>
        <w:pStyle w:val="3Bodytext"/>
      </w:pPr>
      <w:r w:rsidRPr="00A06E2D">
        <w:t xml:space="preserve">Ezetimibe is PBS listed as a second-line medication to </w:t>
      </w:r>
      <w:r w:rsidR="00087805">
        <w:t>HMG-CoA reductase inhibitors (</w:t>
      </w:r>
      <w:r w:rsidRPr="00A06E2D">
        <w:t>statins</w:t>
      </w:r>
      <w:r w:rsidR="00087805">
        <w:t>)</w:t>
      </w:r>
      <w:r w:rsidRPr="00A06E2D">
        <w:t xml:space="preserve"> for the treatment of hypercholesterolaemia. Use through the PBS is restricted to a specific range of patients through an Authority Required (STREAMLINED) restriction. </w:t>
      </w:r>
    </w:p>
    <w:p w14:paraId="2D192100" w14:textId="789D898B" w:rsidR="00F45A57" w:rsidRPr="00A06E2D" w:rsidRDefault="00F45A57" w:rsidP="0030719F">
      <w:pPr>
        <w:pStyle w:val="3Bodytext"/>
      </w:pPr>
      <w:r w:rsidRPr="00A06E2D">
        <w:t xml:space="preserve">Ezetimibe has been on the list of drugs subject to price disclosure since October 2019. </w:t>
      </w:r>
      <w:r w:rsidR="00945C0D">
        <w:t>On</w:t>
      </w:r>
      <w:r w:rsidRPr="00A06E2D">
        <w:t xml:space="preserve"> 1 M</w:t>
      </w:r>
      <w:r w:rsidR="00CD4426" w:rsidRPr="00A06E2D">
        <w:t>ay</w:t>
      </w:r>
      <w:r w:rsidRPr="00A06E2D">
        <w:t xml:space="preserve"> 2024, ezetimibe was listed on the PBS with a dispensed price for maximum quantity (</w:t>
      </w:r>
      <w:r w:rsidR="00A06E2D" w:rsidRPr="00A06E2D">
        <w:t>DPMQ</w:t>
      </w:r>
      <w:r w:rsidRPr="00A06E2D">
        <w:t xml:space="preserve">) of </w:t>
      </w:r>
      <w:r w:rsidR="00CD4426" w:rsidRPr="00A06E2D">
        <w:t>$18.63</w:t>
      </w:r>
      <w:r w:rsidRPr="00A06E2D">
        <w:t xml:space="preserve">/pack (1 pack of 30, 10 mg tablets, excluding brand premiums). Fixed dose combinations (FDCs) or co-packaged combination products are available through the PBS in combination with rosuvastatin, atorvastatin and simvastatin with a </w:t>
      </w:r>
      <w:r w:rsidR="00A06E2D" w:rsidRPr="00A06E2D">
        <w:t>DPMQ</w:t>
      </w:r>
      <w:r w:rsidRPr="00A06E2D">
        <w:t xml:space="preserve"> of a</w:t>
      </w:r>
      <w:r w:rsidR="008F15B2" w:rsidRPr="00A06E2D">
        <w:t>pproximately</w:t>
      </w:r>
      <w:r w:rsidRPr="00A06E2D">
        <w:t xml:space="preserve"> $21-25/pack (varying dose of statin, excluding brand premiums). Sixty-day prescriptions are available for all products containing ezetimibe. </w:t>
      </w:r>
    </w:p>
    <w:p w14:paraId="612ECA03" w14:textId="2E60610F" w:rsidR="00C254CB" w:rsidRPr="00A06E2D" w:rsidRDefault="00C254CB" w:rsidP="00A36C7A">
      <w:pPr>
        <w:pStyle w:val="3Bodytext"/>
        <w:rPr>
          <w:rFonts w:cstheme="minorHAnsi"/>
          <w:szCs w:val="24"/>
        </w:rPr>
      </w:pPr>
      <w:r w:rsidRPr="00A06E2D">
        <w:rPr>
          <w:szCs w:val="24"/>
        </w:rPr>
        <w:t xml:space="preserve">The Department conducted a Post-market Review (PMR) of Ezetimibe in 2017-18. In October 2018, the PBS restrictions for ezetimibe were revised to be more succinct and align with contemporary treatment guidelines, </w:t>
      </w:r>
      <w:r w:rsidRPr="00A06E2D">
        <w:t>allowing</w:t>
      </w:r>
      <w:r w:rsidRPr="00A06E2D">
        <w:rPr>
          <w:szCs w:val="24"/>
        </w:rPr>
        <w:t xml:space="preserve"> access to patients with high </w:t>
      </w:r>
      <w:r w:rsidR="00BF77F3">
        <w:rPr>
          <w:szCs w:val="24"/>
        </w:rPr>
        <w:t>cardiovascular (</w:t>
      </w:r>
      <w:r w:rsidRPr="00A06E2D">
        <w:rPr>
          <w:szCs w:val="24"/>
        </w:rPr>
        <w:t>CV</w:t>
      </w:r>
      <w:r w:rsidR="00BF77F3">
        <w:rPr>
          <w:szCs w:val="24"/>
        </w:rPr>
        <w:t>)</w:t>
      </w:r>
      <w:r w:rsidRPr="00A06E2D">
        <w:rPr>
          <w:szCs w:val="24"/>
        </w:rPr>
        <w:t xml:space="preserve"> risk (&gt;15% absolute risk of a CV event over 5 years) who did not qualify for access under other clinical criteria at the time. </w:t>
      </w:r>
      <w:r w:rsidRPr="00A06E2D">
        <w:rPr>
          <w:color w:val="222222"/>
          <w:szCs w:val="24"/>
        </w:rPr>
        <w:t xml:space="preserve">The PBAC agreed </w:t>
      </w:r>
      <w:r w:rsidR="00087805" w:rsidRPr="00A06E2D">
        <w:rPr>
          <w:rFonts w:cstheme="minorHAnsi"/>
          <w:color w:val="222222"/>
          <w:szCs w:val="24"/>
        </w:rPr>
        <w:t xml:space="preserve">at that time </w:t>
      </w:r>
      <w:r w:rsidR="00087805">
        <w:rPr>
          <w:rFonts w:cstheme="minorHAnsi"/>
          <w:color w:val="222222"/>
          <w:szCs w:val="24"/>
        </w:rPr>
        <w:t xml:space="preserve">that </w:t>
      </w:r>
      <w:r w:rsidRPr="00A06E2D">
        <w:rPr>
          <w:rFonts w:cstheme="minorHAnsi"/>
          <w:color w:val="222222"/>
          <w:szCs w:val="24"/>
        </w:rPr>
        <w:t xml:space="preserve">the </w:t>
      </w:r>
      <w:r w:rsidRPr="00A06E2D">
        <w:rPr>
          <w:rFonts w:cstheme="minorHAnsi"/>
          <w:i/>
          <w:iCs/>
          <w:color w:val="222222"/>
          <w:szCs w:val="24"/>
        </w:rPr>
        <w:t xml:space="preserve">Australian Absolute Cardiovascular Disease Risk Calculator (National Vascular Disease Prevention Alliance) </w:t>
      </w:r>
      <w:r w:rsidRPr="00A06E2D">
        <w:rPr>
          <w:rFonts w:cstheme="minorHAnsi"/>
          <w:color w:val="222222"/>
          <w:szCs w:val="24"/>
        </w:rPr>
        <w:t xml:space="preserve">was the best way of objectively assessing </w:t>
      </w:r>
      <w:r w:rsidR="00C230A0">
        <w:rPr>
          <w:rFonts w:cstheme="minorHAnsi"/>
          <w:color w:val="222222"/>
          <w:szCs w:val="24"/>
        </w:rPr>
        <w:t xml:space="preserve">that </w:t>
      </w:r>
      <w:r w:rsidRPr="00A06E2D">
        <w:rPr>
          <w:rFonts w:cstheme="minorHAnsi"/>
          <w:color w:val="222222"/>
          <w:szCs w:val="24"/>
        </w:rPr>
        <w:t>risk. The</w:t>
      </w:r>
      <w:r w:rsidRPr="00A06E2D">
        <w:rPr>
          <w:color w:val="222222"/>
        </w:rPr>
        <w:t xml:space="preserve"> PBAC noted the</w:t>
      </w:r>
      <w:r w:rsidRPr="00A06E2D">
        <w:rPr>
          <w:rFonts w:cstheme="minorHAnsi"/>
          <w:color w:val="222222"/>
          <w:szCs w:val="24"/>
        </w:rPr>
        <w:t xml:space="preserve"> risk of references like this in PBS restrictions becoming outdated</w:t>
      </w:r>
      <w:r w:rsidRPr="00A06E2D">
        <w:rPr>
          <w:color w:val="222222"/>
        </w:rPr>
        <w:t>.</w:t>
      </w:r>
      <w:r w:rsidR="000E3E73" w:rsidRPr="00A06E2D">
        <w:rPr>
          <w:color w:val="222222"/>
        </w:rPr>
        <w:t xml:space="preserve"> </w:t>
      </w:r>
    </w:p>
    <w:p w14:paraId="6BCF8BA8" w14:textId="4278401C" w:rsidR="00F45A57" w:rsidRPr="00A06E2D" w:rsidRDefault="00C254CB" w:rsidP="00A36C7A">
      <w:pPr>
        <w:pStyle w:val="3Bodytext"/>
        <w:rPr>
          <w:rFonts w:cs="Arial"/>
          <w:snapToGrid w:val="0"/>
          <w:lang w:eastAsia="en-AU"/>
        </w:rPr>
      </w:pPr>
      <w:r w:rsidRPr="00A06E2D">
        <w:t xml:space="preserve">The </w:t>
      </w:r>
      <w:r w:rsidRPr="00A06E2D">
        <w:rPr>
          <w:rStyle w:val="3-BodyTextChar"/>
          <w:rFonts w:eastAsiaTheme="minorHAnsi"/>
          <w:i/>
          <w:iCs/>
        </w:rPr>
        <w:t>Australian Absolute Cardiovascular Disease Risk Calculator</w:t>
      </w:r>
      <w:r w:rsidRPr="00A06E2D">
        <w:rPr>
          <w:rStyle w:val="3-BodyTextChar"/>
          <w:rFonts w:eastAsiaTheme="minorHAnsi"/>
        </w:rPr>
        <w:t xml:space="preserve"> (1 April 2018) (‘the Calculator’) </w:t>
      </w:r>
      <w:r w:rsidR="00F45A57" w:rsidRPr="00A06E2D">
        <w:rPr>
          <w:rStyle w:val="3-BodyTextChar"/>
          <w:rFonts w:eastAsiaTheme="minorHAnsi"/>
        </w:rPr>
        <w:t xml:space="preserve">has </w:t>
      </w:r>
      <w:r w:rsidRPr="00A06E2D">
        <w:rPr>
          <w:rStyle w:val="3-BodyTextChar"/>
          <w:rFonts w:eastAsiaTheme="minorHAnsi"/>
        </w:rPr>
        <w:t xml:space="preserve">subsequently </w:t>
      </w:r>
      <w:r w:rsidR="00F45A57" w:rsidRPr="00A06E2D">
        <w:rPr>
          <w:rStyle w:val="3-BodyTextChar"/>
          <w:rFonts w:eastAsiaTheme="minorHAnsi"/>
        </w:rPr>
        <w:t xml:space="preserve">been updated, with ‘high’ risk now defined as a </w:t>
      </w:r>
      <w:r w:rsidR="00F45A57" w:rsidRPr="00A06E2D">
        <w:rPr>
          <w:rStyle w:val="3-BodyTextChar"/>
          <w:rFonts w:eastAsiaTheme="minorHAnsi" w:cstheme="minorHAnsi"/>
        </w:rPr>
        <w:t>≥</w:t>
      </w:r>
      <w:r w:rsidR="00F45A57" w:rsidRPr="00A06E2D">
        <w:rPr>
          <w:rStyle w:val="3-BodyTextChar"/>
          <w:rFonts w:eastAsiaTheme="minorHAnsi"/>
        </w:rPr>
        <w:t xml:space="preserve">10% </w:t>
      </w:r>
      <w:r w:rsidRPr="00A06E2D">
        <w:rPr>
          <w:rStyle w:val="3-BodyTextChar"/>
          <w:rFonts w:eastAsiaTheme="minorHAnsi"/>
        </w:rPr>
        <w:t xml:space="preserve">absolute </w:t>
      </w:r>
      <w:r w:rsidR="00F45A57" w:rsidRPr="00A06E2D">
        <w:rPr>
          <w:rStyle w:val="3-BodyTextChar"/>
          <w:rFonts w:eastAsiaTheme="minorHAnsi"/>
        </w:rPr>
        <w:t xml:space="preserve">risk </w:t>
      </w:r>
      <w:r w:rsidRPr="00A06E2D">
        <w:rPr>
          <w:rStyle w:val="3-BodyTextChar"/>
          <w:rFonts w:eastAsiaTheme="minorHAnsi"/>
        </w:rPr>
        <w:t xml:space="preserve">of a CV event </w:t>
      </w:r>
      <w:r w:rsidR="00F45A57" w:rsidRPr="00A06E2D">
        <w:rPr>
          <w:rStyle w:val="3-BodyTextChar"/>
          <w:rFonts w:eastAsiaTheme="minorHAnsi"/>
        </w:rPr>
        <w:t>over 5 years, noting that ‘…</w:t>
      </w:r>
      <w:r w:rsidR="00F45A57" w:rsidRPr="00A06E2D">
        <w:rPr>
          <w:rFonts w:cs="Arial"/>
          <w:snapToGrid w:val="0"/>
          <w:lang w:eastAsia="en-AU"/>
        </w:rPr>
        <w:t>this risk level for initiating treatment is likely to be comparable to the previously recommended 15% CV risk level calculated using the Framingham equation”.</w:t>
      </w:r>
      <w:r w:rsidR="00F45A57" w:rsidRPr="00A06E2D">
        <w:rPr>
          <w:rStyle w:val="FootnoteReference"/>
          <w:rFonts w:cs="Arial"/>
          <w:snapToGrid w:val="0"/>
          <w:lang w:eastAsia="en-AU"/>
        </w:rPr>
        <w:footnoteReference w:id="1"/>
      </w:r>
      <w:r w:rsidR="00F45A57" w:rsidRPr="00A06E2D">
        <w:rPr>
          <w:rFonts w:cs="Arial"/>
          <w:snapToGrid w:val="0"/>
          <w:lang w:eastAsia="en-AU"/>
        </w:rPr>
        <w:t xml:space="preserve"> The </w:t>
      </w:r>
      <w:r w:rsidRPr="00A06E2D">
        <w:rPr>
          <w:rFonts w:cs="Arial"/>
          <w:snapToGrid w:val="0"/>
          <w:lang w:eastAsia="en-AU"/>
        </w:rPr>
        <w:t xml:space="preserve">current </w:t>
      </w:r>
      <w:r w:rsidR="00F45A57" w:rsidRPr="00A06E2D">
        <w:rPr>
          <w:rFonts w:cs="Arial"/>
          <w:snapToGrid w:val="0"/>
          <w:lang w:eastAsia="en-AU"/>
        </w:rPr>
        <w:t>Calculator provides a percentage risk</w:t>
      </w:r>
      <w:r w:rsidR="00C230A0">
        <w:rPr>
          <w:rFonts w:cs="Arial"/>
          <w:snapToGrid w:val="0"/>
          <w:lang w:eastAsia="en-AU"/>
        </w:rPr>
        <w:t>,</w:t>
      </w:r>
      <w:r w:rsidR="00F45A57" w:rsidRPr="00A06E2D">
        <w:rPr>
          <w:rFonts w:cs="Arial"/>
          <w:snapToGrid w:val="0"/>
          <w:lang w:eastAsia="en-AU"/>
        </w:rPr>
        <w:t xml:space="preserve"> so can still be used to determine &gt;15% risk, but the PBS restriction no longer refers to the current Calculator.</w:t>
      </w:r>
      <w:r w:rsidR="00955478" w:rsidRPr="00A06E2D">
        <w:rPr>
          <w:rFonts w:cs="Arial"/>
          <w:snapToGrid w:val="0"/>
          <w:lang w:eastAsia="en-AU"/>
        </w:rPr>
        <w:t xml:space="preserve"> </w:t>
      </w:r>
    </w:p>
    <w:p w14:paraId="0C2E74B1" w14:textId="1A404CD6" w:rsidR="00A6708C" w:rsidRPr="00A06E2D" w:rsidRDefault="00A6708C" w:rsidP="00A36C7A">
      <w:pPr>
        <w:pStyle w:val="3Bodytext"/>
      </w:pPr>
      <w:r w:rsidRPr="00A06E2D">
        <w:t xml:space="preserve">When considering the PMR of Ezetimibe in July 2017, the PBAC recommended that the PBS listings for statins, fenofibrate, gemfibrozil, and atorvastatin + amlodipine FDC could be changed to Unrestricted listings, as it was considered that the clinical place of these medications was well </w:t>
      </w:r>
      <w:r w:rsidR="00C0085C" w:rsidRPr="00A06E2D">
        <w:t>established</w:t>
      </w:r>
      <w:r w:rsidRPr="00A06E2D">
        <w:t xml:space="preserve"> and </w:t>
      </w:r>
      <w:r w:rsidR="00C0085C">
        <w:t xml:space="preserve">that </w:t>
      </w:r>
      <w:r w:rsidRPr="00A06E2D">
        <w:t>derestriction was unlikely to result in inappropriate prescribing or changes in prescribing patterns.</w:t>
      </w:r>
    </w:p>
    <w:p w14:paraId="0A6C2CB6" w14:textId="0F32E8E3" w:rsidR="000E3E73" w:rsidRPr="00A06E2D" w:rsidRDefault="000E3E73" w:rsidP="00A36C7A">
      <w:pPr>
        <w:pStyle w:val="3Bodytext"/>
      </w:pPr>
      <w:r w:rsidRPr="00A06E2D">
        <w:lastRenderedPageBreak/>
        <w:t xml:space="preserve">The PMR of Ezetimibe also resulted in a price reduction to ezetimibe of 35% </w:t>
      </w:r>
      <w:r w:rsidR="00945C0D">
        <w:t xml:space="preserve">to account for </w:t>
      </w:r>
      <w:r w:rsidRPr="00A06E2D">
        <w:t xml:space="preserve">use of ezetimibe outside of the PBS restrictions, specifically use in patients without prior use of a statin. </w:t>
      </w:r>
    </w:p>
    <w:p w14:paraId="7A22777C" w14:textId="77777777" w:rsidR="00F45A57" w:rsidRPr="00B0026B" w:rsidRDefault="00F45A57" w:rsidP="00B0026B">
      <w:pPr>
        <w:pStyle w:val="Heading2"/>
        <w:rPr>
          <w:i/>
          <w:iCs/>
        </w:rPr>
      </w:pPr>
      <w:r w:rsidRPr="00B0026B">
        <w:rPr>
          <w:i/>
          <w:iCs/>
        </w:rPr>
        <w:t xml:space="preserve">Therapeutic Goods Administration (TGA) indication </w:t>
      </w:r>
    </w:p>
    <w:p w14:paraId="174ECF81" w14:textId="77777777" w:rsidR="00F45A57" w:rsidRPr="00A06E2D" w:rsidRDefault="00F45A57" w:rsidP="000E3E73">
      <w:pPr>
        <w:pStyle w:val="3Bodytext"/>
        <w:keepNext/>
        <w:keepLines/>
      </w:pPr>
      <w:r w:rsidRPr="00A06E2D">
        <w:t xml:space="preserve">The TGA indication for ezetimibe is broader than the PBS listing, with ezetimibe indicated for the treatment of primary hypercholesterolaemia, administered alone or with a statin, as adjunctive therapy to diet in adults with primary (heterozygous familial and non-familial) hypercholesterolaemia. It is also indicated for the treatment of: </w:t>
      </w:r>
    </w:p>
    <w:p w14:paraId="457B3A4A" w14:textId="77777777" w:rsidR="00F45A57" w:rsidRPr="00A06E2D" w:rsidRDefault="00F45A57" w:rsidP="00F45A57">
      <w:pPr>
        <w:pStyle w:val="ListParagraph"/>
        <w:numPr>
          <w:ilvl w:val="0"/>
          <w:numId w:val="18"/>
        </w:numPr>
      </w:pPr>
      <w:r w:rsidRPr="00A06E2D">
        <w:t>homozygous familial hypercholesterolaemia (HoFH) in adults</w:t>
      </w:r>
    </w:p>
    <w:p w14:paraId="23780C17" w14:textId="77777777" w:rsidR="00F45A57" w:rsidRPr="00A06E2D" w:rsidRDefault="00F45A57" w:rsidP="00F45A57">
      <w:pPr>
        <w:pStyle w:val="ListParagraph"/>
        <w:numPr>
          <w:ilvl w:val="0"/>
          <w:numId w:val="18"/>
        </w:numPr>
      </w:pPr>
      <w:r w:rsidRPr="00A06E2D">
        <w:t>prevention of cardiovascular disease (CVD) in adult patients with coronary heart disease or history of acute coronary syndrome</w:t>
      </w:r>
    </w:p>
    <w:p w14:paraId="4F7494B6" w14:textId="77777777" w:rsidR="00F45A57" w:rsidRPr="00A06E2D" w:rsidRDefault="00F45A57" w:rsidP="00F45A57">
      <w:pPr>
        <w:pStyle w:val="ListParagraph"/>
        <w:numPr>
          <w:ilvl w:val="0"/>
          <w:numId w:val="18"/>
        </w:numPr>
      </w:pPr>
      <w:r w:rsidRPr="00A06E2D">
        <w:t>HoFH or heterozygous familial hypercholesterolaemia (HeFH) in patients aged 10-17 years.</w:t>
      </w:r>
      <w:r w:rsidRPr="00A06E2D">
        <w:rPr>
          <w:rStyle w:val="FootnoteReference"/>
        </w:rPr>
        <w:footnoteReference w:id="2"/>
      </w:r>
    </w:p>
    <w:p w14:paraId="5DE82684" w14:textId="77777777" w:rsidR="00A6708C" w:rsidRPr="00B0026B" w:rsidRDefault="00A6708C" w:rsidP="00B0026B">
      <w:pPr>
        <w:pStyle w:val="Heading2"/>
        <w:rPr>
          <w:i/>
          <w:iCs/>
        </w:rPr>
      </w:pPr>
      <w:r w:rsidRPr="00B0026B">
        <w:rPr>
          <w:i/>
          <w:iCs/>
        </w:rPr>
        <w:t>R/PBS utilisation and expenditure</w:t>
      </w:r>
    </w:p>
    <w:p w14:paraId="2E1A8513" w14:textId="23628C6F" w:rsidR="00A6708C" w:rsidRDefault="00945C0D" w:rsidP="003B0D7A">
      <w:pPr>
        <w:pStyle w:val="3Bodytext"/>
      </w:pPr>
      <w:r>
        <w:t xml:space="preserve">Annual </w:t>
      </w:r>
      <w:r w:rsidR="00A6708C" w:rsidRPr="00A06E2D">
        <w:t xml:space="preserve">R/PBS expenditure on ezetimibe and ezetimibe + statin FDCs peaked in 2014 at around $185 million, declining to around $59 million in 2023. Utilisation generally increased to 2017, but then remained relatively stable between 2017 to 2019. Utilisation declined in 2020-2021, likely associated with the COVID-19 pandemic, but by 2023 had returned to pre-pandemic levels with little impact on expenditure </w:t>
      </w:r>
      <w:r w:rsidR="003B0D7A" w:rsidRPr="00A06E2D">
        <w:t>because</w:t>
      </w:r>
      <w:r w:rsidR="00A6708C" w:rsidRPr="00A06E2D">
        <w:t xml:space="preserve"> of price reductions (Figures 1 and 2).</w:t>
      </w:r>
    </w:p>
    <w:p w14:paraId="00A7F933" w14:textId="77777777" w:rsidR="00BB70A8" w:rsidRPr="00A06E2D" w:rsidRDefault="00BB70A8" w:rsidP="00BB70A8">
      <w:pPr>
        <w:pStyle w:val="3Bodytext"/>
        <w:numPr>
          <w:ilvl w:val="0"/>
          <w:numId w:val="0"/>
        </w:numPr>
      </w:pPr>
    </w:p>
    <w:p w14:paraId="4A6FEBB0" w14:textId="77C494E0" w:rsidR="00A6708C" w:rsidRPr="00A06E2D" w:rsidRDefault="00A6708C" w:rsidP="00B0026B">
      <w:pPr>
        <w:keepNext/>
        <w:keepLines/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A06E2D">
        <w:rPr>
          <w:rFonts w:ascii="Arial Narrow" w:hAnsi="Arial Narrow" w:cs="Arial"/>
          <w:b/>
          <w:bCs/>
          <w:sz w:val="20"/>
          <w:szCs w:val="20"/>
        </w:rPr>
        <w:lastRenderedPageBreak/>
        <w:t xml:space="preserve">Figure 1: </w:t>
      </w:r>
      <w:r w:rsidR="00C0085C">
        <w:rPr>
          <w:rFonts w:ascii="Arial Narrow" w:hAnsi="Arial Narrow" w:cs="Arial"/>
          <w:b/>
          <w:bCs/>
          <w:sz w:val="20"/>
          <w:szCs w:val="20"/>
        </w:rPr>
        <w:t xml:space="preserve">Annual </w:t>
      </w:r>
      <w:r w:rsidRPr="00A06E2D">
        <w:rPr>
          <w:rFonts w:ascii="Arial Narrow" w:hAnsi="Arial Narrow" w:cs="Arial"/>
          <w:b/>
          <w:bCs/>
          <w:sz w:val="20"/>
          <w:szCs w:val="20"/>
        </w:rPr>
        <w:t>R/PBS prescriptions supplied for ezetimibe and ezetimibe FDCs – 2012 to 2023.</w:t>
      </w:r>
    </w:p>
    <w:p w14:paraId="42B1AB36" w14:textId="77777777" w:rsidR="00A6708C" w:rsidRPr="00A06E2D" w:rsidRDefault="00A6708C" w:rsidP="00B0026B">
      <w:pPr>
        <w:spacing w:after="0"/>
        <w:rPr>
          <w:rFonts w:ascii="Arial Narrow" w:hAnsi="Arial Narrow"/>
          <w:sz w:val="22"/>
          <w:szCs w:val="22"/>
        </w:rPr>
      </w:pPr>
      <w:r w:rsidRPr="003B4649">
        <w:rPr>
          <w:noProof/>
        </w:rPr>
        <w:drawing>
          <wp:inline distT="0" distB="0" distL="0" distR="0" wp14:anchorId="787ED437" wp14:editId="7D05E92A">
            <wp:extent cx="5905500" cy="3479800"/>
            <wp:effectExtent l="0" t="0" r="0" b="6350"/>
            <wp:docPr id="8" name="Chart 8" descr="Figure showing annual R/PBS prescriptions supplied for ezetimibe and ezetimibe FDCs between 2012 and 2023. Utilisation relatively stable since 2017, with declines in 2020 and 2021 likely due to the COVID-19 pandemic.">
              <a:extLst xmlns:a="http://schemas.openxmlformats.org/drawingml/2006/main">
                <a:ext uri="{FF2B5EF4-FFF2-40B4-BE49-F238E27FC236}">
                  <a16:creationId xmlns:a16="http://schemas.microsoft.com/office/drawing/2014/main" id="{3A9EB5DB-61DF-4BDC-1E1A-2C5CE9F125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01FC27" w14:textId="77777777" w:rsidR="00A6708C" w:rsidRPr="00B0026B" w:rsidRDefault="00A6708C" w:rsidP="00B0026B">
      <w:pPr>
        <w:spacing w:after="120"/>
        <w:rPr>
          <w:rFonts w:ascii="Arial Narrow" w:hAnsi="Arial Narrow" w:cs="Arial"/>
          <w:sz w:val="18"/>
          <w:szCs w:val="18"/>
        </w:rPr>
      </w:pPr>
      <w:r w:rsidRPr="00B0026B">
        <w:rPr>
          <w:rFonts w:ascii="Arial Narrow" w:hAnsi="Arial Narrow" w:cs="Arial"/>
          <w:sz w:val="18"/>
          <w:szCs w:val="18"/>
        </w:rPr>
        <w:t>Source: Services Australia, PBS Item Reports, accessed 15 April 2024. Includes 60-day prescriptions from September 2023.</w:t>
      </w:r>
    </w:p>
    <w:p w14:paraId="4422B5E0" w14:textId="77777777" w:rsidR="00C230A0" w:rsidRDefault="00C230A0" w:rsidP="00B0026B">
      <w:pPr>
        <w:keepNext/>
        <w:keepLines/>
        <w:spacing w:after="0"/>
        <w:rPr>
          <w:rFonts w:ascii="Arial Narrow" w:hAnsi="Arial Narrow"/>
          <w:b/>
          <w:bCs/>
          <w:sz w:val="20"/>
          <w:szCs w:val="20"/>
        </w:rPr>
      </w:pPr>
    </w:p>
    <w:p w14:paraId="28332D3A" w14:textId="0B2C78CB" w:rsidR="00A6708C" w:rsidRPr="00A06E2D" w:rsidRDefault="00A6708C" w:rsidP="00B0026B">
      <w:pPr>
        <w:keepNext/>
        <w:keepLines/>
        <w:spacing w:after="0"/>
        <w:rPr>
          <w:rFonts w:ascii="Arial Narrow" w:hAnsi="Arial Narrow"/>
          <w:b/>
          <w:bCs/>
          <w:sz w:val="20"/>
          <w:szCs w:val="20"/>
        </w:rPr>
      </w:pPr>
      <w:r w:rsidRPr="00A06E2D">
        <w:rPr>
          <w:rFonts w:ascii="Arial Narrow" w:hAnsi="Arial Narrow"/>
          <w:b/>
          <w:bCs/>
          <w:sz w:val="20"/>
          <w:szCs w:val="20"/>
        </w:rPr>
        <w:t xml:space="preserve">Figure 2: </w:t>
      </w:r>
      <w:r w:rsidR="00C0085C">
        <w:rPr>
          <w:rFonts w:ascii="Arial Narrow" w:hAnsi="Arial Narrow"/>
          <w:b/>
          <w:bCs/>
          <w:sz w:val="20"/>
          <w:szCs w:val="20"/>
        </w:rPr>
        <w:t xml:space="preserve">Annual </w:t>
      </w:r>
      <w:r w:rsidRPr="00A06E2D">
        <w:rPr>
          <w:rFonts w:ascii="Arial Narrow" w:hAnsi="Arial Narrow"/>
          <w:b/>
          <w:bCs/>
          <w:sz w:val="20"/>
          <w:szCs w:val="20"/>
        </w:rPr>
        <w:t>R/PBS expenditure for ezetimibe and ezetimibe FDCs – 2012 to 2023.</w:t>
      </w:r>
    </w:p>
    <w:p w14:paraId="4E5AC15E" w14:textId="77777777" w:rsidR="00A6708C" w:rsidRPr="00A06E2D" w:rsidRDefault="00A6708C" w:rsidP="00B0026B">
      <w:pPr>
        <w:keepNext/>
        <w:keepLines/>
        <w:spacing w:after="0"/>
        <w:rPr>
          <w:rFonts w:ascii="Arial Narrow" w:hAnsi="Arial Narrow"/>
          <w:sz w:val="22"/>
          <w:szCs w:val="22"/>
        </w:rPr>
      </w:pPr>
      <w:r w:rsidRPr="003B4649">
        <w:rPr>
          <w:noProof/>
        </w:rPr>
        <w:drawing>
          <wp:inline distT="0" distB="0" distL="0" distR="0" wp14:anchorId="043749E4" wp14:editId="12D44DB9">
            <wp:extent cx="5918200" cy="3181350"/>
            <wp:effectExtent l="0" t="0" r="6350" b="0"/>
            <wp:docPr id="1" name="Chart 1" descr="Figure showing annual R/PBS expenditure for ezetimibe and ezetimibe FDCs between 2012 and 2023. Expenditure declined between 2017 and 2021 and then stablised.">
              <a:extLst xmlns:a="http://schemas.openxmlformats.org/drawingml/2006/main">
                <a:ext uri="{FF2B5EF4-FFF2-40B4-BE49-F238E27FC236}">
                  <a16:creationId xmlns:a16="http://schemas.microsoft.com/office/drawing/2014/main" id="{6C6E4A75-5741-C2CE-6D7C-0C5F4797D1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B90EF0" w14:textId="77777777" w:rsidR="00A6708C" w:rsidRPr="00B0026B" w:rsidRDefault="00A6708C" w:rsidP="00C230A0">
      <w:pPr>
        <w:rPr>
          <w:rFonts w:ascii="Arial Narrow" w:hAnsi="Arial Narrow" w:cs="Arial"/>
          <w:sz w:val="18"/>
          <w:szCs w:val="18"/>
        </w:rPr>
      </w:pPr>
      <w:r w:rsidRPr="00B0026B">
        <w:rPr>
          <w:rFonts w:ascii="Arial Narrow" w:hAnsi="Arial Narrow" w:cs="Arial"/>
          <w:sz w:val="18"/>
          <w:szCs w:val="18"/>
        </w:rPr>
        <w:t>Source: Services Australia, PBS Item Reports, accessed 15 April 2024. Includes 60-day prescriptions from September 2023.</w:t>
      </w:r>
    </w:p>
    <w:p w14:paraId="5C7201F6" w14:textId="3A571604" w:rsidR="009F7CEF" w:rsidRPr="00B0026B" w:rsidRDefault="009F7CEF" w:rsidP="00C230A0">
      <w:pPr>
        <w:pStyle w:val="Heading2"/>
        <w:keepLines/>
        <w:rPr>
          <w:i/>
          <w:iCs/>
        </w:rPr>
      </w:pPr>
      <w:r w:rsidRPr="00B0026B">
        <w:rPr>
          <w:i/>
          <w:iCs/>
        </w:rPr>
        <w:lastRenderedPageBreak/>
        <w:t>Clinical guidelines</w:t>
      </w:r>
    </w:p>
    <w:p w14:paraId="1CC22179" w14:textId="636FEEA3" w:rsidR="009F7CEF" w:rsidRPr="00A06E2D" w:rsidRDefault="009F7CEF" w:rsidP="00C230A0">
      <w:pPr>
        <w:pStyle w:val="3Bodytext"/>
        <w:keepNext/>
        <w:keepLines/>
      </w:pPr>
      <w:r w:rsidRPr="00A06E2D">
        <w:t>The recommendations for ezetimibe use in clinical guidelines are broader than the PBS listings.</w:t>
      </w:r>
      <w:r w:rsidR="00C230A0">
        <w:t xml:space="preserve"> </w:t>
      </w:r>
      <w:r w:rsidRPr="00A06E2D">
        <w:t>The Australian Therapeutic Guidelines for Lipid Modification state that ezetimibe should be considered as an add-on therapy to the maximum tolerated dose of statin if low-density lipoprotein cholesterol (LDL-C) targets are not met after six weeks; no specific patient populations are listed. These guidelines note that:</w:t>
      </w:r>
    </w:p>
    <w:p w14:paraId="5E8AE709" w14:textId="77777777" w:rsidR="009F7CEF" w:rsidRPr="00A06E2D" w:rsidRDefault="009F7CEF" w:rsidP="00C230A0">
      <w:pPr>
        <w:pStyle w:val="ListParagraph"/>
        <w:keepNext/>
        <w:keepLines/>
        <w:numPr>
          <w:ilvl w:val="0"/>
          <w:numId w:val="18"/>
        </w:numPr>
      </w:pPr>
      <w:r w:rsidRPr="00A06E2D">
        <w:t>addition of ezetimibe to statin therapy can further reduce LDL-C by 20-25%</w:t>
      </w:r>
    </w:p>
    <w:p w14:paraId="11CE3A6F" w14:textId="3E2D9892" w:rsidR="009F7CEF" w:rsidRPr="00A06E2D" w:rsidRDefault="009F7CEF" w:rsidP="009F7CEF">
      <w:pPr>
        <w:pStyle w:val="ListParagraph"/>
        <w:numPr>
          <w:ilvl w:val="0"/>
          <w:numId w:val="18"/>
        </w:numPr>
      </w:pPr>
      <w:r w:rsidRPr="00A06E2D">
        <w:t>in patients with acute coronary syndrome (ACS)</w:t>
      </w:r>
      <w:r w:rsidR="00C0085C">
        <w:t>,</w:t>
      </w:r>
      <w:r w:rsidRPr="00A06E2D">
        <w:t xml:space="preserve"> the addition of ezetimibe to statin therapy is associated with a modest reduction in CV events over 7 years, but no reduction in mortality</w:t>
      </w:r>
    </w:p>
    <w:p w14:paraId="2FA478F6" w14:textId="2106FD21" w:rsidR="009F7CEF" w:rsidRPr="00A06E2D" w:rsidRDefault="009F7CEF" w:rsidP="009F7CEF">
      <w:pPr>
        <w:pStyle w:val="ListParagraph"/>
        <w:numPr>
          <w:ilvl w:val="0"/>
          <w:numId w:val="18"/>
        </w:numPr>
      </w:pPr>
      <w:r w:rsidRPr="00A06E2D">
        <w:t>for primary prevention of atherosclerotic cardiovascular disease (ASCVD)</w:t>
      </w:r>
      <w:r w:rsidR="00C0085C">
        <w:t>,</w:t>
      </w:r>
      <w:r w:rsidRPr="00A06E2D">
        <w:t xml:space="preserve"> the effect of ezetimibe on CV outcomes has not been studied, although some evidence suggests reduced risk of coronary artery disease.</w:t>
      </w:r>
      <w:r w:rsidRPr="00A06E2D">
        <w:rPr>
          <w:rStyle w:val="FootnoteReference"/>
          <w:bCs/>
          <w:sz w:val="22"/>
          <w:szCs w:val="22"/>
        </w:rPr>
        <w:footnoteReference w:id="3"/>
      </w:r>
      <w:r w:rsidRPr="00A06E2D">
        <w:t xml:space="preserve"> </w:t>
      </w:r>
    </w:p>
    <w:p w14:paraId="53C13787" w14:textId="77777777" w:rsidR="009F7CEF" w:rsidRPr="00A06E2D" w:rsidRDefault="009F7CEF" w:rsidP="003B0D7A">
      <w:pPr>
        <w:pStyle w:val="3Bodytext"/>
      </w:pPr>
      <w:r w:rsidRPr="00A06E2D">
        <w:t>The UK National Institute for Health Care Excellence (NICE) Technology appraisal guidance for ezetimibe for treating primary hypercholesterolaemia (2016) recommends ezetimibe co-administered with a statin as an option for the treatment of adults with primary hypercholesterolaemia when serum total cholesterol or LDL-C is not appropriately controlled after statin dose titration, or where a change from initial statin therapy to an alternative statin is being considered. Intolerance to a statin is defined as ‘…the presence of a clinically significant adverse effect that represents an unacceptable risk to the patient or that may reduce compliance with therapy’. However, cost-effectiveness was modelled on LDL-C reductions associated with ezetimibe linked to CV outcome data based on statin use.</w:t>
      </w:r>
      <w:r w:rsidRPr="00A06E2D">
        <w:rPr>
          <w:rStyle w:val="FootnoteReference"/>
        </w:rPr>
        <w:footnoteReference w:id="4"/>
      </w:r>
    </w:p>
    <w:p w14:paraId="367C1ECB" w14:textId="0B84325A" w:rsidR="009F7CEF" w:rsidRDefault="009F7CEF" w:rsidP="003B0D7A">
      <w:pPr>
        <w:pStyle w:val="3Bodytext"/>
      </w:pPr>
      <w:r w:rsidRPr="00A06E2D">
        <w:t>A clinical practice guideline published in the British Medical Journal in 2022 recommended against the use of ezetimibe in patients with low-moderate CV risk (&lt;15% risk of major adverse CV events [MACE] within 5 years) irrespective of statin use; and recommended addition of ezetimibe to high-dose statin therapy, or use of ezetimibe in those intolerant to statins, for patients with high and very high CV risk (≥15% risk of MACE within 5 years). This guideline was based on a systematic review and network meta-analysis and concluded that ezetimibe probably reduced myocardial infarction (MI) and stroke, but not mortality, in patients with high and very high CV risk, but not patients with low-moderate CV risk.</w:t>
      </w:r>
      <w:r w:rsidR="004E1F39">
        <w:rPr>
          <w:rStyle w:val="FootnoteReference"/>
        </w:rPr>
        <w:footnoteReference w:id="5"/>
      </w:r>
    </w:p>
    <w:p w14:paraId="50ABD1DF" w14:textId="6DE9C175" w:rsidR="00CB4BBB" w:rsidRPr="008E4CC2" w:rsidRDefault="00CB4BBB" w:rsidP="00CB4BBB">
      <w:pPr>
        <w:pStyle w:val="3-BodyText"/>
      </w:pPr>
      <w:r w:rsidRPr="00CB4BBB">
        <w:rPr>
          <w:i/>
          <w:iCs/>
        </w:rPr>
        <w:lastRenderedPageBreak/>
        <w:t>For more detail on PBAC’s view, see section 5 PBAC outcome</w:t>
      </w:r>
      <w:r>
        <w:rPr>
          <w:i/>
          <w:iCs/>
        </w:rPr>
        <w:t>.</w:t>
      </w:r>
    </w:p>
    <w:p w14:paraId="5B55CD58" w14:textId="0225A196" w:rsidR="00A6708C" w:rsidRPr="00A06E2D" w:rsidRDefault="00A6708C" w:rsidP="0030719F">
      <w:pPr>
        <w:pStyle w:val="2Sections"/>
      </w:pPr>
      <w:r w:rsidRPr="00A06E2D">
        <w:t>Issues</w:t>
      </w:r>
    </w:p>
    <w:p w14:paraId="0187A409" w14:textId="2E8F9DA6" w:rsidR="00087805" w:rsidRDefault="00087805" w:rsidP="0030719F">
      <w:pPr>
        <w:pStyle w:val="3Bodytext"/>
      </w:pPr>
      <w:r w:rsidRPr="00A06E2D">
        <w:t xml:space="preserve">The </w:t>
      </w:r>
      <w:r w:rsidR="008E409F">
        <w:t xml:space="preserve">PBAC noted that the </w:t>
      </w:r>
      <w:r w:rsidRPr="00A06E2D">
        <w:t>Department ha</w:t>
      </w:r>
      <w:r w:rsidR="008E409F">
        <w:t>d</w:t>
      </w:r>
      <w:r w:rsidRPr="00A06E2D">
        <w:t xml:space="preserve"> received correspondence from a cardiologist raising the issue that the CV</w:t>
      </w:r>
      <w:r w:rsidR="00DB02D9">
        <w:t xml:space="preserve">D </w:t>
      </w:r>
      <w:r w:rsidRPr="00A06E2D">
        <w:t>risk calculator referenced in the PBS restrictions for ezetimibe was no longer current and that the definition of high risk had also changed since the restrictions were implemented</w:t>
      </w:r>
      <w:r w:rsidR="008E409F">
        <w:t>.</w:t>
      </w:r>
    </w:p>
    <w:p w14:paraId="4CF562D8" w14:textId="7CF34C27" w:rsidR="008E409F" w:rsidRPr="00A06E2D" w:rsidRDefault="008E409F" w:rsidP="0030719F">
      <w:pPr>
        <w:pStyle w:val="3Bodytext"/>
      </w:pPr>
      <w:r>
        <w:t>The PBAC noted that e</w:t>
      </w:r>
      <w:r w:rsidRPr="00A06E2D">
        <w:t xml:space="preserve">zetimibe and ezetimibe FDCs are </w:t>
      </w:r>
      <w:r>
        <w:t xml:space="preserve">listed on the F2 formulary, </w:t>
      </w:r>
      <w:r w:rsidRPr="00A06E2D">
        <w:t xml:space="preserve">subject to price disclosure and have reduced substantially in price. </w:t>
      </w:r>
      <w:r>
        <w:t>The PBAC noted that on</w:t>
      </w:r>
      <w:r w:rsidRPr="00A06E2D">
        <w:t xml:space="preserve"> 1 May 2024, the listed DPMQ of ezetimibe was $16.63/pack</w:t>
      </w:r>
      <w:r>
        <w:t xml:space="preserve">, and that this was comparable to the DMPQs for </w:t>
      </w:r>
      <w:r w:rsidRPr="00A06E2D">
        <w:t>statins ($16-$17/pack), fenofibrate ($19</w:t>
      </w:r>
      <w:r w:rsidRPr="00A06E2D">
        <w:noBreakHyphen/>
        <w:t xml:space="preserve">22/pack) and gemfibrozil ($22.89/pack), </w:t>
      </w:r>
      <w:r>
        <w:t xml:space="preserve">other treatments for hypercholesterolaemia </w:t>
      </w:r>
      <w:r w:rsidRPr="00A06E2D">
        <w:t xml:space="preserve">which all have Unrestricted PBS listings (apart from the 60-day prescription items which are Restricted Benefit listings). </w:t>
      </w:r>
    </w:p>
    <w:p w14:paraId="696E8816" w14:textId="2B0426F6" w:rsidR="008E409F" w:rsidRPr="00A06E2D" w:rsidRDefault="008E409F" w:rsidP="0030719F">
      <w:pPr>
        <w:pStyle w:val="3Bodytext"/>
      </w:pPr>
      <w:r w:rsidRPr="00A06E2D">
        <w:t xml:space="preserve">The </w:t>
      </w:r>
      <w:r>
        <w:t xml:space="preserve">PBAC noted that the </w:t>
      </w:r>
      <w:r w:rsidRPr="00A06E2D">
        <w:t>PBS restrictions for ezetimibe are complex, reference a CV</w:t>
      </w:r>
      <w:r w:rsidR="00DB02D9">
        <w:t>D</w:t>
      </w:r>
      <w:r w:rsidRPr="00A06E2D">
        <w:t xml:space="preserve"> risk calculator that is no longer current, and are more restrictive than some current Australian and international clinical guidelines. </w:t>
      </w:r>
    </w:p>
    <w:p w14:paraId="208F1999" w14:textId="5C2D05CF" w:rsidR="008E4CC2" w:rsidRPr="008E4CC2" w:rsidRDefault="008E4CC2" w:rsidP="0030719F">
      <w:pPr>
        <w:pStyle w:val="3Bodytext"/>
        <w:numPr>
          <w:ilvl w:val="0"/>
          <w:numId w:val="0"/>
        </w:numPr>
        <w:rPr>
          <w:i/>
          <w:iCs/>
        </w:rPr>
      </w:pPr>
      <w:bookmarkStart w:id="0" w:name="_Hlk76375324"/>
      <w:r w:rsidRPr="008E4CC2">
        <w:rPr>
          <w:i/>
          <w:iCs/>
        </w:rPr>
        <w:t xml:space="preserve">For more detail on PBAC’s view, see section </w:t>
      </w:r>
      <w:r w:rsidR="00CB4BBB">
        <w:rPr>
          <w:i/>
          <w:iCs/>
        </w:rPr>
        <w:t>5</w:t>
      </w:r>
      <w:r w:rsidRPr="008E4CC2">
        <w:rPr>
          <w:i/>
          <w:iCs/>
        </w:rPr>
        <w:t xml:space="preserve"> PBAC outcome.</w:t>
      </w:r>
    </w:p>
    <w:bookmarkEnd w:id="0"/>
    <w:p w14:paraId="4A489EA3" w14:textId="1F033F4D" w:rsidR="009F7CEF" w:rsidRPr="00B0026B" w:rsidRDefault="009F7CEF" w:rsidP="0030719F">
      <w:pPr>
        <w:pStyle w:val="2Sections"/>
      </w:pPr>
      <w:r w:rsidRPr="00B0026B">
        <w:t>Proposed PBS listing changes</w:t>
      </w:r>
    </w:p>
    <w:p w14:paraId="608E5C3D" w14:textId="47710503" w:rsidR="003B0D7A" w:rsidRPr="00A06E2D" w:rsidRDefault="003B0D7A" w:rsidP="0030719F">
      <w:pPr>
        <w:pStyle w:val="3Bodytext"/>
      </w:pPr>
      <w:r w:rsidRPr="00A06E2D">
        <w:t xml:space="preserve">The PBAC </w:t>
      </w:r>
      <w:r w:rsidR="00CB4BBB">
        <w:t>was</w:t>
      </w:r>
      <w:r w:rsidRPr="00A06E2D">
        <w:t xml:space="preserve"> requested to provide advice on </w:t>
      </w:r>
      <w:r w:rsidR="0030719F">
        <w:t>t</w:t>
      </w:r>
      <w:r w:rsidRPr="00A06E2D">
        <w:t xml:space="preserve">wo options for proposed changes to </w:t>
      </w:r>
      <w:r w:rsidR="0030719F">
        <w:t xml:space="preserve">simplify </w:t>
      </w:r>
      <w:r w:rsidRPr="00A06E2D">
        <w:t>the PBS restrictions for ezetimibe and ezetimibe FDC</w:t>
      </w:r>
      <w:r w:rsidR="00CB4BBB">
        <w:t>s</w:t>
      </w:r>
      <w:r w:rsidRPr="00A06E2D">
        <w:t>.</w:t>
      </w:r>
    </w:p>
    <w:p w14:paraId="5063940D" w14:textId="77777777" w:rsidR="009F7CEF" w:rsidRPr="00A06E2D" w:rsidRDefault="009F7CEF" w:rsidP="0030719F">
      <w:pPr>
        <w:rPr>
          <w:u w:val="single"/>
        </w:rPr>
      </w:pPr>
      <w:r w:rsidRPr="00A06E2D">
        <w:rPr>
          <w:u w:val="single"/>
        </w:rPr>
        <w:t>Option 1: Simplified Authority Required (STREAMLINED) listings</w:t>
      </w:r>
    </w:p>
    <w:p w14:paraId="1733A4A5" w14:textId="59577E50" w:rsidR="009F7CEF" w:rsidRPr="00A06E2D" w:rsidRDefault="009F7CEF" w:rsidP="0030719F">
      <w:pPr>
        <w:jc w:val="both"/>
      </w:pPr>
      <w:r w:rsidRPr="00A06E2D">
        <w:t xml:space="preserve">Option 1 </w:t>
      </w:r>
      <w:r w:rsidR="00CB4BBB">
        <w:t xml:space="preserve">proposed subsidising </w:t>
      </w:r>
      <w:r w:rsidRPr="00A06E2D">
        <w:t>use of ezetimibe in patients on the maximum tolerated dose of statin, or who are contraindicated/intolerant to a statin, and who have high CV risk, without specifying a CV</w:t>
      </w:r>
      <w:r w:rsidR="00DB02D9">
        <w:t>D</w:t>
      </w:r>
      <w:r w:rsidRPr="00A06E2D">
        <w:t xml:space="preserve"> risk calculator or definition of high CV risk or intolerance (Table</w:t>
      </w:r>
      <w:r w:rsidR="0097372E" w:rsidRPr="00A06E2D">
        <w:t xml:space="preserve"> 1</w:t>
      </w:r>
      <w:r w:rsidRPr="00A06E2D">
        <w:t xml:space="preserve">). The 60-day prescription items would include an additional clinical criterion requiring the patient’s condition to be stable. </w:t>
      </w:r>
    </w:p>
    <w:p w14:paraId="33401353" w14:textId="649B1793" w:rsidR="009F7CEF" w:rsidRPr="00A06E2D" w:rsidRDefault="009F7CEF" w:rsidP="00B0026B">
      <w:pPr>
        <w:keepNext/>
        <w:keepLines/>
        <w:spacing w:after="0"/>
        <w:rPr>
          <w:rFonts w:ascii="Arial Narrow" w:hAnsi="Arial Narrow"/>
          <w:b/>
          <w:bCs/>
          <w:sz w:val="20"/>
          <w:szCs w:val="20"/>
        </w:rPr>
      </w:pPr>
      <w:r w:rsidRPr="00A06E2D">
        <w:rPr>
          <w:rFonts w:ascii="Arial Narrow" w:hAnsi="Arial Narrow"/>
          <w:b/>
          <w:bCs/>
          <w:sz w:val="20"/>
          <w:szCs w:val="20"/>
        </w:rPr>
        <w:lastRenderedPageBreak/>
        <w:t xml:space="preserve">Table </w:t>
      </w:r>
      <w:r w:rsidR="0097372E" w:rsidRPr="00A06E2D">
        <w:rPr>
          <w:rFonts w:ascii="Arial Narrow" w:hAnsi="Arial Narrow"/>
          <w:b/>
          <w:bCs/>
          <w:sz w:val="20"/>
          <w:szCs w:val="20"/>
        </w:rPr>
        <w:t>1</w:t>
      </w:r>
      <w:r w:rsidRPr="00A06E2D">
        <w:rPr>
          <w:rFonts w:ascii="Arial Narrow" w:hAnsi="Arial Narrow"/>
          <w:b/>
          <w:bCs/>
          <w:sz w:val="20"/>
          <w:szCs w:val="20"/>
        </w:rPr>
        <w:t>: Proposed PBS restrictions for ezetimibe and ezetimibe FDCs – Option 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45"/>
      </w:tblGrid>
      <w:tr w:rsidR="009F7CEF" w:rsidRPr="00A06E2D" w14:paraId="1AF8BB27" w14:textId="77777777" w:rsidTr="003B0D7A">
        <w:tc>
          <w:tcPr>
            <w:tcW w:w="1276" w:type="dxa"/>
          </w:tcPr>
          <w:p w14:paraId="3C3238A2" w14:textId="77777777" w:rsidR="009F7CEF" w:rsidRPr="00A06E2D" w:rsidRDefault="009F7CEF" w:rsidP="00BD1147">
            <w:pPr>
              <w:keepNext/>
              <w:keepLines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Medicine</w:t>
            </w:r>
          </w:p>
        </w:tc>
        <w:tc>
          <w:tcPr>
            <w:tcW w:w="7745" w:type="dxa"/>
          </w:tcPr>
          <w:p w14:paraId="6DB384C0" w14:textId="77777777" w:rsidR="009F7CEF" w:rsidRPr="00A06E2D" w:rsidRDefault="009F7CEF" w:rsidP="00BD1147">
            <w:pPr>
              <w:keepNext/>
              <w:keepLines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Proposed PBS restriction text</w:t>
            </w:r>
          </w:p>
        </w:tc>
      </w:tr>
      <w:tr w:rsidR="009F7CEF" w:rsidRPr="00A06E2D" w14:paraId="711B887C" w14:textId="77777777" w:rsidTr="003B0D7A">
        <w:tc>
          <w:tcPr>
            <w:tcW w:w="1276" w:type="dxa"/>
            <w:vMerge w:val="restart"/>
          </w:tcPr>
          <w:p w14:paraId="53309551" w14:textId="77777777" w:rsidR="009F7CEF" w:rsidRPr="00A06E2D" w:rsidRDefault="009F7CEF" w:rsidP="00BD1147">
            <w:pPr>
              <w:keepNext/>
              <w:keepLines/>
              <w:rPr>
                <w:rFonts w:ascii="Arial Narrow" w:hAnsi="Arial Narrow"/>
                <w:sz w:val="20"/>
                <w:szCs w:val="20"/>
              </w:rPr>
            </w:pPr>
            <w:r w:rsidRPr="00A06E2D">
              <w:rPr>
                <w:rFonts w:ascii="Arial Narrow" w:hAnsi="Arial Narrow"/>
                <w:sz w:val="20"/>
                <w:szCs w:val="20"/>
              </w:rPr>
              <w:t>Ezetimibe</w:t>
            </w:r>
          </w:p>
        </w:tc>
        <w:tc>
          <w:tcPr>
            <w:tcW w:w="7745" w:type="dxa"/>
          </w:tcPr>
          <w:p w14:paraId="09DD2F94" w14:textId="77777777" w:rsidR="009F7CEF" w:rsidRPr="00A06E2D" w:rsidRDefault="009F7CEF" w:rsidP="00BD1147">
            <w:pPr>
              <w:keepNext/>
              <w:keepLines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Hypercholesterolaemia</w:t>
            </w:r>
          </w:p>
          <w:p w14:paraId="0576EA81" w14:textId="77777777" w:rsidR="009F7CEF" w:rsidRPr="00A06E2D" w:rsidRDefault="009F7CEF" w:rsidP="00BD1147">
            <w:pPr>
              <w:keepNext/>
              <w:keepLines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E0F1102" w14:textId="77777777" w:rsidR="009F7CEF" w:rsidRPr="00A06E2D" w:rsidRDefault="009F7CEF" w:rsidP="00BD1147">
            <w:pPr>
              <w:keepNext/>
              <w:keepLines/>
              <w:rPr>
                <w:rFonts w:ascii="Arial Narrow" w:hAnsi="Arial Narrow"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Clinical criteria:</w:t>
            </w:r>
          </w:p>
          <w:p w14:paraId="630C51C4" w14:textId="77777777" w:rsidR="009F7CEF" w:rsidRPr="00A06E2D" w:rsidRDefault="009F7CEF" w:rsidP="00BD1147">
            <w:pPr>
              <w:keepNext/>
              <w:keepLines/>
              <w:numPr>
                <w:ilvl w:val="0"/>
                <w:numId w:val="25"/>
              </w:numPr>
              <w:rPr>
                <w:rFonts w:ascii="Arial Narrow" w:hAnsi="Arial Narrow"/>
                <w:sz w:val="20"/>
                <w:szCs w:val="20"/>
              </w:rPr>
            </w:pPr>
            <w:r w:rsidRPr="00A06E2D">
              <w:rPr>
                <w:rFonts w:ascii="Arial Narrow" w:hAnsi="Arial Narrow"/>
                <w:sz w:val="20"/>
                <w:szCs w:val="20"/>
              </w:rPr>
              <w:t>The treatment must be co-administered with the maximum tolerated dose of an HMG CoA reductase inhibitor (statin), OR</w:t>
            </w:r>
          </w:p>
          <w:p w14:paraId="6AA9B673" w14:textId="77777777" w:rsidR="009F7CEF" w:rsidRPr="00A06E2D" w:rsidRDefault="009F7CEF" w:rsidP="00BD1147">
            <w:pPr>
              <w:keepNext/>
              <w:keepLines/>
              <w:numPr>
                <w:ilvl w:val="0"/>
                <w:numId w:val="25"/>
              </w:numPr>
              <w:rPr>
                <w:rFonts w:ascii="Arial Narrow" w:hAnsi="Arial Narrow"/>
                <w:sz w:val="20"/>
                <w:szCs w:val="20"/>
              </w:rPr>
            </w:pPr>
            <w:r w:rsidRPr="00A06E2D">
              <w:rPr>
                <w:rFonts w:ascii="Arial Narrow" w:hAnsi="Arial Narrow"/>
                <w:sz w:val="20"/>
                <w:szCs w:val="20"/>
              </w:rPr>
              <w:t>Patient must be contraindicated/intolerant to treatment with an HMG CoA reductase inhibitor (statin)</w:t>
            </w:r>
          </w:p>
          <w:p w14:paraId="0BC94959" w14:textId="77777777" w:rsidR="009F7CEF" w:rsidRPr="00A06E2D" w:rsidRDefault="009F7CEF" w:rsidP="00BD1147">
            <w:pPr>
              <w:keepNext/>
              <w:keepLines/>
              <w:rPr>
                <w:rFonts w:ascii="Arial Narrow" w:hAnsi="Arial Narrow"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AND</w:t>
            </w:r>
          </w:p>
          <w:p w14:paraId="268FAE39" w14:textId="50F33492" w:rsidR="009F7CEF" w:rsidRPr="00A06E2D" w:rsidRDefault="009F7CEF" w:rsidP="00BD1147">
            <w:pPr>
              <w:keepNext/>
              <w:keepLines/>
              <w:numPr>
                <w:ilvl w:val="0"/>
                <w:numId w:val="27"/>
              </w:numPr>
              <w:rPr>
                <w:rFonts w:ascii="Arial Narrow" w:hAnsi="Arial Narrow"/>
                <w:sz w:val="20"/>
                <w:szCs w:val="20"/>
              </w:rPr>
            </w:pPr>
            <w:r w:rsidRPr="00A06E2D">
              <w:rPr>
                <w:rFonts w:ascii="Arial Narrow" w:hAnsi="Arial Narrow"/>
                <w:sz w:val="20"/>
                <w:szCs w:val="20"/>
              </w:rPr>
              <w:t>Patient must be considered at high risk of a cardiovascular event.</w:t>
            </w:r>
          </w:p>
        </w:tc>
      </w:tr>
      <w:tr w:rsidR="009F7CEF" w:rsidRPr="00A06E2D" w14:paraId="27EDB202" w14:textId="77777777" w:rsidTr="003B4649">
        <w:trPr>
          <w:cantSplit/>
        </w:trPr>
        <w:tc>
          <w:tcPr>
            <w:tcW w:w="1276" w:type="dxa"/>
            <w:vMerge/>
          </w:tcPr>
          <w:p w14:paraId="484FFDB3" w14:textId="77777777" w:rsidR="009F7CEF" w:rsidRPr="00A06E2D" w:rsidRDefault="009F7CEF" w:rsidP="00BD11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5" w:type="dxa"/>
          </w:tcPr>
          <w:p w14:paraId="3FC49139" w14:textId="77777777" w:rsidR="009F7CEF" w:rsidRPr="00A06E2D" w:rsidRDefault="009F7CEF" w:rsidP="00BD114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Hypercholesterolaemia</w:t>
            </w:r>
          </w:p>
          <w:p w14:paraId="7303FF56" w14:textId="77777777" w:rsidR="009F7CEF" w:rsidRPr="00A06E2D" w:rsidRDefault="009F7CEF" w:rsidP="00BD114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B6778F4" w14:textId="77777777" w:rsidR="009F7CEF" w:rsidRPr="00A06E2D" w:rsidRDefault="009F7CEF" w:rsidP="00BD114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Clinical criteria:</w:t>
            </w:r>
          </w:p>
          <w:p w14:paraId="4B982C70" w14:textId="77777777" w:rsidR="009F7CEF" w:rsidRPr="00A06E2D" w:rsidRDefault="009F7CEF" w:rsidP="00BD114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06E2D">
              <w:rPr>
                <w:rFonts w:ascii="Arial Narrow" w:hAnsi="Arial Narrow"/>
                <w:sz w:val="20"/>
                <w:szCs w:val="20"/>
              </w:rPr>
              <w:t>Patient must have homozygous sitosterolaemia.</w:t>
            </w:r>
          </w:p>
        </w:tc>
      </w:tr>
      <w:tr w:rsidR="009F7CEF" w:rsidRPr="00A06E2D" w14:paraId="728D9033" w14:textId="77777777" w:rsidTr="003B0D7A">
        <w:tc>
          <w:tcPr>
            <w:tcW w:w="1276" w:type="dxa"/>
          </w:tcPr>
          <w:p w14:paraId="64D2D117" w14:textId="77777777" w:rsidR="009F7CEF" w:rsidRPr="00A06E2D" w:rsidRDefault="009F7CEF" w:rsidP="00BD1147">
            <w:pPr>
              <w:rPr>
                <w:rFonts w:ascii="Arial Narrow" w:hAnsi="Arial Narrow"/>
                <w:sz w:val="20"/>
                <w:szCs w:val="20"/>
              </w:rPr>
            </w:pPr>
            <w:r w:rsidRPr="00A06E2D">
              <w:rPr>
                <w:rFonts w:ascii="Arial Narrow" w:hAnsi="Arial Narrow"/>
                <w:sz w:val="20"/>
                <w:szCs w:val="20"/>
              </w:rPr>
              <w:t>Ezetimibe + Statin FDC</w:t>
            </w:r>
          </w:p>
        </w:tc>
        <w:tc>
          <w:tcPr>
            <w:tcW w:w="7745" w:type="dxa"/>
          </w:tcPr>
          <w:p w14:paraId="06AC3B72" w14:textId="77777777" w:rsidR="009F7CEF" w:rsidRPr="00A06E2D" w:rsidRDefault="009F7CEF" w:rsidP="00BD114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Hypercholesterolaemia</w:t>
            </w:r>
          </w:p>
          <w:p w14:paraId="187140F5" w14:textId="77777777" w:rsidR="009F7CEF" w:rsidRPr="00A06E2D" w:rsidRDefault="009F7CEF" w:rsidP="00BD114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BD5C7DA" w14:textId="77777777" w:rsidR="009F7CEF" w:rsidRPr="00A06E2D" w:rsidRDefault="009F7CEF" w:rsidP="00BD114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Clinical criteria:</w:t>
            </w:r>
          </w:p>
          <w:p w14:paraId="6360CFA8" w14:textId="77777777" w:rsidR="009F7CEF" w:rsidRPr="00A06E2D" w:rsidRDefault="009F7CEF" w:rsidP="00BD1147">
            <w:pPr>
              <w:numPr>
                <w:ilvl w:val="0"/>
                <w:numId w:val="32"/>
              </w:numPr>
              <w:rPr>
                <w:rFonts w:ascii="Arial Narrow" w:hAnsi="Arial Narrow"/>
                <w:sz w:val="20"/>
                <w:szCs w:val="20"/>
              </w:rPr>
            </w:pPr>
            <w:r w:rsidRPr="00A06E2D">
              <w:rPr>
                <w:rFonts w:ascii="Arial Narrow" w:hAnsi="Arial Narrow"/>
                <w:sz w:val="20"/>
                <w:szCs w:val="20"/>
              </w:rPr>
              <w:t>Patient must have cholesterol concentrations that are inadequately controlled with the maximum tolerated dose of an HMG CoA reductase inhibitor (statin),</w:t>
            </w:r>
          </w:p>
          <w:p w14:paraId="140B5B97" w14:textId="77777777" w:rsidR="009F7CEF" w:rsidRPr="00A06E2D" w:rsidRDefault="009F7CEF" w:rsidP="00BD114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06E2D">
              <w:rPr>
                <w:rFonts w:ascii="Arial Narrow" w:hAnsi="Arial Narrow"/>
                <w:b/>
                <w:bCs/>
                <w:sz w:val="20"/>
                <w:szCs w:val="20"/>
              </w:rPr>
              <w:t>AND</w:t>
            </w:r>
          </w:p>
          <w:p w14:paraId="3C85C2C3" w14:textId="1D3496CA" w:rsidR="009F7CEF" w:rsidRPr="00A06E2D" w:rsidRDefault="009F7CEF" w:rsidP="00BD1147">
            <w:pPr>
              <w:numPr>
                <w:ilvl w:val="0"/>
                <w:numId w:val="34"/>
              </w:numPr>
              <w:rPr>
                <w:rFonts w:ascii="Arial Narrow" w:hAnsi="Arial Narrow"/>
                <w:sz w:val="20"/>
                <w:szCs w:val="20"/>
              </w:rPr>
            </w:pPr>
            <w:r w:rsidRPr="00A06E2D">
              <w:rPr>
                <w:rFonts w:ascii="Arial Narrow" w:hAnsi="Arial Narrow"/>
                <w:sz w:val="20"/>
                <w:szCs w:val="20"/>
              </w:rPr>
              <w:t>Patient must be considered at high risk of a cardiovascular event.</w:t>
            </w:r>
          </w:p>
        </w:tc>
      </w:tr>
    </w:tbl>
    <w:p w14:paraId="6293E86D" w14:textId="77777777" w:rsidR="009F7CEF" w:rsidRPr="00A06E2D" w:rsidRDefault="009F7CEF" w:rsidP="00B0026B">
      <w:pPr>
        <w:keepNext/>
        <w:keepLines/>
        <w:spacing w:before="120" w:after="120"/>
        <w:rPr>
          <w:u w:val="single"/>
        </w:rPr>
      </w:pPr>
      <w:r w:rsidRPr="00A06E2D">
        <w:rPr>
          <w:u w:val="single"/>
        </w:rPr>
        <w:t>Option 2: Unrestricted listings</w:t>
      </w:r>
    </w:p>
    <w:p w14:paraId="5F488466" w14:textId="3E61B854" w:rsidR="009F7CEF" w:rsidRDefault="009F7CEF" w:rsidP="0073076F">
      <w:pPr>
        <w:keepNext/>
        <w:keepLines/>
        <w:jc w:val="both"/>
      </w:pPr>
      <w:r w:rsidRPr="00A06E2D">
        <w:t>Option 2 propose</w:t>
      </w:r>
      <w:r w:rsidR="00CB4BBB">
        <w:t>d</w:t>
      </w:r>
      <w:r w:rsidRPr="00A06E2D">
        <w:t xml:space="preserve"> changing the authority type for all ezetimibe and ezetimibe FDC products to Unrestricted listings</w:t>
      </w:r>
      <w:r w:rsidR="00CB4BBB">
        <w:t xml:space="preserve">, to align with the Unrestricted listings </w:t>
      </w:r>
      <w:r w:rsidRPr="00A06E2D">
        <w:t>for statins, fenofibrate and gemfibrozil on the PBS. Under this option, the 60-day prescription items would be changed to Restricted Benefit listings and include a clinical criterion requiring the patient’s condition to be stable.</w:t>
      </w:r>
    </w:p>
    <w:p w14:paraId="6B1C61A4" w14:textId="77777777" w:rsidR="00BB70A8" w:rsidRDefault="00BB70A8" w:rsidP="00BB70A8">
      <w:pPr>
        <w:pStyle w:val="3-BodyText"/>
        <w:rPr>
          <w:i/>
          <w:iCs/>
        </w:rPr>
      </w:pPr>
      <w:r w:rsidRPr="00CB4BBB">
        <w:rPr>
          <w:i/>
          <w:iCs/>
        </w:rPr>
        <w:t>For more detail on PBAC’s view, see section 5 PBAC outcome.</w:t>
      </w:r>
    </w:p>
    <w:p w14:paraId="780D92E5" w14:textId="77777777" w:rsidR="009F7CEF" w:rsidRPr="00B0026B" w:rsidRDefault="009F7CEF" w:rsidP="00B0026B">
      <w:pPr>
        <w:pStyle w:val="Heading2"/>
        <w:rPr>
          <w:i/>
          <w:iCs/>
        </w:rPr>
      </w:pPr>
      <w:r w:rsidRPr="00B0026B">
        <w:rPr>
          <w:i/>
          <w:iCs/>
        </w:rPr>
        <w:t>Sponsor consultation</w:t>
      </w:r>
    </w:p>
    <w:p w14:paraId="3BC94404" w14:textId="0D8A610B" w:rsidR="009F7CEF" w:rsidRDefault="00820A33" w:rsidP="003B0D7A">
      <w:pPr>
        <w:pStyle w:val="3Bodytext"/>
      </w:pPr>
      <w:r>
        <w:t>The PBAC noted that s</w:t>
      </w:r>
      <w:r w:rsidR="009F7CEF" w:rsidRPr="00A06E2D">
        <w:t>ponsors of PBS-listed ezetimibe and ezetimibe FDC products</w:t>
      </w:r>
      <w:r w:rsidR="009D1AD9" w:rsidRPr="00A06E2D">
        <w:t xml:space="preserve"> </w:t>
      </w:r>
      <w:r>
        <w:t xml:space="preserve">were not </w:t>
      </w:r>
      <w:r w:rsidR="009D1AD9" w:rsidRPr="00A06E2D">
        <w:t>consulted on this item</w:t>
      </w:r>
      <w:r w:rsidR="009F7CEF" w:rsidRPr="00A06E2D">
        <w:t>.</w:t>
      </w:r>
    </w:p>
    <w:p w14:paraId="33432BCA" w14:textId="4D9C1702" w:rsidR="009F7CEF" w:rsidRPr="00B30A03" w:rsidRDefault="008E4CC2" w:rsidP="00B30A03">
      <w:pPr>
        <w:pStyle w:val="2Sections"/>
      </w:pPr>
      <w:r w:rsidRPr="00B30A03">
        <w:t>PBAC Outcome</w:t>
      </w:r>
    </w:p>
    <w:p w14:paraId="636C9C45" w14:textId="2A043CB8" w:rsidR="0097372E" w:rsidRDefault="008E4CC2" w:rsidP="008E287D">
      <w:pPr>
        <w:pStyle w:val="3Bodytext"/>
      </w:pPr>
      <w:r>
        <w:t xml:space="preserve">The PBAC recommended that the </w:t>
      </w:r>
      <w:r w:rsidR="00BF77F3">
        <w:t xml:space="preserve">restriction level </w:t>
      </w:r>
      <w:r>
        <w:t>for ezetimibe and ezetimibe + statin FDCs be changed from Authority Required (STREAMLINED) to Unrestricted benefit listings.</w:t>
      </w:r>
      <w:r w:rsidR="008E287D">
        <w:t xml:space="preserve"> The PBAC noted that this would involve the deletion of some PBS </w:t>
      </w:r>
      <w:r w:rsidR="00BF77F3">
        <w:t xml:space="preserve">Authority Required (Streamlined) </w:t>
      </w:r>
      <w:r w:rsidR="00BB70A8">
        <w:t>codes</w:t>
      </w:r>
      <w:r w:rsidR="008E287D">
        <w:t>.</w:t>
      </w:r>
    </w:p>
    <w:p w14:paraId="0BD91749" w14:textId="48044E2E" w:rsidR="008E287D" w:rsidRDefault="008E287D" w:rsidP="008E287D">
      <w:pPr>
        <w:pStyle w:val="3Bodytext"/>
      </w:pPr>
      <w:r>
        <w:t xml:space="preserve">The PBAC considered that utilisation of ezetimibe and its FDCs had stabilised </w:t>
      </w:r>
      <w:r w:rsidR="00B5003C">
        <w:t xml:space="preserve">(factoring in fluctuations that were likely attributable to the </w:t>
      </w:r>
      <w:r w:rsidR="00B5003C" w:rsidRPr="00A06E2D">
        <w:t>COVID-19 pandemic</w:t>
      </w:r>
      <w:r w:rsidR="00B5003C">
        <w:t xml:space="preserve">) </w:t>
      </w:r>
      <w:r>
        <w:t xml:space="preserve">and noted that expenditure had reduced significantly since 2014. The PBAC considered that </w:t>
      </w:r>
      <w:r w:rsidR="00820A33">
        <w:t xml:space="preserve">the </w:t>
      </w:r>
      <w:r w:rsidR="00820A33">
        <w:lastRenderedPageBreak/>
        <w:t xml:space="preserve">clinical place of ezetimibe and its FDCs was well established and that </w:t>
      </w:r>
      <w:r>
        <w:t xml:space="preserve">the change </w:t>
      </w:r>
      <w:r w:rsidR="00820A33">
        <w:t xml:space="preserve">to an Unrestricted PBS listing </w:t>
      </w:r>
      <w:r>
        <w:t xml:space="preserve">was unlikely to result in </w:t>
      </w:r>
      <w:r w:rsidR="00820A33">
        <w:t xml:space="preserve">increased </w:t>
      </w:r>
      <w:r>
        <w:t>utilisation or expenditure.</w:t>
      </w:r>
    </w:p>
    <w:p w14:paraId="382FFADE" w14:textId="01DCCCDC" w:rsidR="00CB4BBB" w:rsidRDefault="00CB4BBB" w:rsidP="008E409F">
      <w:pPr>
        <w:pStyle w:val="3Bodytext"/>
      </w:pPr>
      <w:r>
        <w:t xml:space="preserve">The PBAC noted that the TGA-registered indication for ezetimibe was broader than the current PBS restrictions and that some clinical guidelines also recommended broader use of ezetimibe than </w:t>
      </w:r>
      <w:r w:rsidR="0030719F">
        <w:t xml:space="preserve">subsidised </w:t>
      </w:r>
      <w:r>
        <w:t xml:space="preserve">under the current PBS restrictions. </w:t>
      </w:r>
    </w:p>
    <w:p w14:paraId="5E9A6630" w14:textId="7B3C03C8" w:rsidR="008E409F" w:rsidRDefault="009D6CD6" w:rsidP="00B30A03">
      <w:pPr>
        <w:pStyle w:val="3Bodytext"/>
      </w:pPr>
      <w:r>
        <w:t xml:space="preserve">The PBAC </w:t>
      </w:r>
      <w:r w:rsidR="0030719F">
        <w:t xml:space="preserve">considered </w:t>
      </w:r>
      <w:r>
        <w:t xml:space="preserve">that while there was limited clinical trial evidence to support the </w:t>
      </w:r>
      <w:r w:rsidR="00BB70A8">
        <w:t xml:space="preserve">CV </w:t>
      </w:r>
      <w:r>
        <w:t>benefits of ezetimibe monotherapy, addition of ezetimibe to a statin was associated with a 20-25% reduction in LDL-C,</w:t>
      </w:r>
      <w:r w:rsidR="0030719F">
        <w:rPr>
          <w:rStyle w:val="FootnoteReference"/>
        </w:rPr>
        <w:footnoteReference w:id="6"/>
      </w:r>
      <w:r>
        <w:t xml:space="preserve"> and a reduced </w:t>
      </w:r>
      <w:r w:rsidRPr="009D6CD6">
        <w:t xml:space="preserve">risk of MACE (RR 0.94, 95% CI: 0.90 to 0.98), non-fatal </w:t>
      </w:r>
      <w:r>
        <w:t>myocardial infarction</w:t>
      </w:r>
      <w:r w:rsidRPr="009D6CD6">
        <w:t xml:space="preserve"> (RR 0.88, 95% CI: 0.81 to 0.95), and non-fatal stroke (RR 0.83, 95%CI: 0.71 to 0.97) versus statins alone</w:t>
      </w:r>
      <w:r>
        <w:t>.</w:t>
      </w:r>
      <w:r w:rsidR="008E409F" w:rsidRPr="00A06E2D">
        <w:rPr>
          <w:rStyle w:val="FootnoteReference"/>
        </w:rPr>
        <w:footnoteReference w:id="7"/>
      </w:r>
      <w:r w:rsidR="008E409F" w:rsidRPr="00A06E2D">
        <w:t xml:space="preserve"> </w:t>
      </w:r>
      <w:r w:rsidR="0030719F">
        <w:t xml:space="preserve">The PBAC considered that it was plausible that ezetimibe monotherapy lowers the risk of </w:t>
      </w:r>
      <w:r w:rsidR="009877A3">
        <w:t xml:space="preserve">adverse </w:t>
      </w:r>
      <w:r w:rsidR="0030719F">
        <w:t xml:space="preserve">CV outcomes. </w:t>
      </w:r>
    </w:p>
    <w:p w14:paraId="0426C976" w14:textId="4E1A2889" w:rsidR="00820A33" w:rsidRDefault="00820A33" w:rsidP="00820A33">
      <w:pPr>
        <w:pStyle w:val="3Bodytext"/>
      </w:pPr>
      <w:r>
        <w:t>The PBAC did not consider that any further research on the utilisation or cost</w:t>
      </w:r>
      <w:r w:rsidR="00B5003C">
        <w:noBreakHyphen/>
      </w:r>
      <w:r>
        <w:t>effectiveness of ezetimibe was required to inform its recommendation.</w:t>
      </w:r>
    </w:p>
    <w:p w14:paraId="641AE560" w14:textId="0709203F" w:rsidR="00820A33" w:rsidRDefault="00820A33" w:rsidP="00820A33">
      <w:pPr>
        <w:pStyle w:val="3Bodytext"/>
      </w:pPr>
      <w:r>
        <w:t>The PBAC considered that consultation with prescriber and consumer groups on the authority type change was unnecessary, as these groups were unlikely to object to a broader PBS listing.</w:t>
      </w:r>
    </w:p>
    <w:p w14:paraId="6A66B7FE" w14:textId="2249D6FB" w:rsidR="00820A33" w:rsidRDefault="00E429B1" w:rsidP="008E287D">
      <w:pPr>
        <w:pStyle w:val="3Bodytext"/>
      </w:pPr>
      <w:r>
        <w:t xml:space="preserve">The PBAC noted that sponsors </w:t>
      </w:r>
      <w:r w:rsidR="00820A33">
        <w:t xml:space="preserve">would be consulted on the </w:t>
      </w:r>
      <w:r w:rsidR="00BF77F3">
        <w:t xml:space="preserve">restriction level </w:t>
      </w:r>
      <w:r w:rsidR="00820A33">
        <w:t>change and if any objections were raised, these would be brought to the PBAC at a future meeting.</w:t>
      </w:r>
    </w:p>
    <w:p w14:paraId="0BB75B3E" w14:textId="3F74AC65" w:rsidR="00F154B6" w:rsidRPr="00A06E2D" w:rsidRDefault="00F154B6" w:rsidP="008E287D">
      <w:pPr>
        <w:pStyle w:val="3Bodytext"/>
      </w:pPr>
      <w:r>
        <w:t>The PBAC noted that this work would be included on the published PMR Work Plan.</w:t>
      </w:r>
    </w:p>
    <w:p w14:paraId="18C18C0D" w14:textId="77777777" w:rsidR="00E429B1" w:rsidRPr="00525B39" w:rsidRDefault="00E429B1" w:rsidP="00E429B1">
      <w:pPr>
        <w:spacing w:before="240" w:after="0"/>
        <w:jc w:val="both"/>
        <w:rPr>
          <w:rFonts w:cs="Arial"/>
          <w:b/>
          <w:bCs/>
          <w:snapToGrid w:val="0"/>
          <w:lang w:val="en-GB"/>
        </w:rPr>
      </w:pPr>
      <w:r w:rsidRPr="00525B39">
        <w:rPr>
          <w:rFonts w:cs="Arial"/>
          <w:b/>
          <w:bCs/>
          <w:snapToGrid w:val="0"/>
          <w:lang w:val="en-GB"/>
        </w:rPr>
        <w:t>Outcome:</w:t>
      </w:r>
    </w:p>
    <w:p w14:paraId="6AFCBD9E" w14:textId="54268FFC" w:rsidR="00E429B1" w:rsidRDefault="00E429B1" w:rsidP="00E429B1">
      <w:pPr>
        <w:keepNext/>
        <w:keepLines/>
        <w:rPr>
          <w:rFonts w:cs="Arial"/>
          <w:bCs/>
          <w:snapToGrid w:val="0"/>
          <w:lang w:val="en-GB"/>
        </w:rPr>
      </w:pPr>
      <w:r w:rsidRPr="00525B39">
        <w:rPr>
          <w:rFonts w:cs="Arial"/>
          <w:bCs/>
          <w:snapToGrid w:val="0"/>
          <w:lang w:val="en-GB"/>
        </w:rPr>
        <w:t>Recommended</w:t>
      </w:r>
    </w:p>
    <w:p w14:paraId="0A6A3349" w14:textId="013ABC46" w:rsidR="0068774C" w:rsidRDefault="0068774C">
      <w:r>
        <w:br w:type="page"/>
      </w:r>
    </w:p>
    <w:p w14:paraId="608C5425" w14:textId="6B9B25FE" w:rsidR="000E5A98" w:rsidRPr="00A06E2D" w:rsidRDefault="000E5A98" w:rsidP="00B30A03">
      <w:pPr>
        <w:pStyle w:val="2Sections"/>
      </w:pPr>
      <w:r>
        <w:lastRenderedPageBreak/>
        <w:t>Recommended Listing</w:t>
      </w:r>
    </w:p>
    <w:p w14:paraId="084DC05C" w14:textId="4F505A22" w:rsidR="000E5A98" w:rsidRPr="00525B39" w:rsidRDefault="000E5A98" w:rsidP="0051180C">
      <w:pPr>
        <w:pStyle w:val="3Bodytext"/>
        <w:rPr>
          <w:snapToGrid w:val="0"/>
        </w:rPr>
      </w:pPr>
      <w:r w:rsidRPr="00525B39">
        <w:rPr>
          <w:snapToGrid w:val="0"/>
        </w:rPr>
        <w:t>Amend existing/recommended listing</w:t>
      </w:r>
      <w:r w:rsidR="0051180C">
        <w:rPr>
          <w:snapToGrid w:val="0"/>
        </w:rPr>
        <w:t>s</w:t>
      </w:r>
      <w:r w:rsidRPr="00525B39">
        <w:rPr>
          <w:snapToGrid w:val="0"/>
        </w:rPr>
        <w:t xml:space="preserve"> as follows:</w:t>
      </w:r>
    </w:p>
    <w:p w14:paraId="2725A6EB" w14:textId="125DC08E" w:rsidR="0051180C" w:rsidRDefault="0051180C" w:rsidP="0051180C">
      <w:pPr>
        <w:pStyle w:val="Heading3"/>
      </w:pPr>
      <w:r>
        <w:t>Ezetimibe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51"/>
        <w:gridCol w:w="1270"/>
        <w:gridCol w:w="1129"/>
        <w:gridCol w:w="988"/>
        <w:gridCol w:w="847"/>
        <w:gridCol w:w="2531"/>
      </w:tblGrid>
      <w:tr w:rsidR="0051180C" w:rsidRPr="00DD6E51" w14:paraId="67219189" w14:textId="77777777" w:rsidTr="003C041C">
        <w:trPr>
          <w:trHeight w:val="31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0AA1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Category / Program:   </w:t>
            </w:r>
            <w:r w:rsidRPr="00DD6E51">
              <w:rPr>
                <w:rFonts w:ascii="Arial Narrow" w:hAnsi="Arial Narrow"/>
                <w:bCs/>
                <w:sz w:val="18"/>
                <w:szCs w:val="18"/>
              </w:rPr>
              <w:t>GENERAL – General Schedule (Code GE)</w:t>
            </w:r>
          </w:p>
        </w:tc>
      </w:tr>
      <w:tr w:rsidR="0051180C" w:rsidRPr="0094383D" w14:paraId="7D52853B" w14:textId="77777777" w:rsidTr="003C041C">
        <w:trPr>
          <w:trHeight w:val="47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26D0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</w:t>
            </w:r>
          </w:p>
          <w:p w14:paraId="5EB2BE92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 pack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CC0C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PBS item code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9624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packs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BC3E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units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634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№.of</w:t>
            </w:r>
          </w:p>
          <w:p w14:paraId="141EA75F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Rpts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B25D" w14:textId="77777777" w:rsidR="0051180C" w:rsidRPr="0094383D" w:rsidRDefault="0051180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Available brands</w:t>
            </w:r>
          </w:p>
        </w:tc>
      </w:tr>
      <w:tr w:rsidR="0051180C" w:rsidRPr="00DD6E51" w14:paraId="39F7699F" w14:textId="77777777" w:rsidTr="003C041C">
        <w:trPr>
          <w:trHeight w:val="37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148E" w14:textId="4CFCDB5D" w:rsidR="0051180C" w:rsidRPr="00DD6E51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</w:t>
            </w:r>
          </w:p>
        </w:tc>
      </w:tr>
      <w:tr w:rsidR="0051180C" w:rsidRPr="00DD6E51" w14:paraId="0E3F9414" w14:textId="77777777" w:rsidTr="003C041C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D107" w14:textId="25B62FF5" w:rsidR="0051180C" w:rsidRPr="00DD6E51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</w:t>
            </w:r>
            <w:r w:rsidR="0051180C" w:rsidRPr="00DD6E51"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D255" w14:textId="083D5B0C" w:rsidR="0051180C" w:rsidRPr="00DD6E51" w:rsidRDefault="0051180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8</w:t>
            </w:r>
            <w:r w:rsidR="00DA5208">
              <w:rPr>
                <w:rFonts w:ascii="Arial Narrow" w:hAnsi="Arial Narrow"/>
                <w:sz w:val="18"/>
                <w:szCs w:val="18"/>
              </w:rPr>
              <w:t>757X</w:t>
            </w:r>
          </w:p>
          <w:p w14:paraId="2CC7EA16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  <w:vertAlign w:val="subscript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145A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89AD" w14:textId="02B2A80C" w:rsidR="0051180C" w:rsidRPr="00DD6E51" w:rsidRDefault="00DA5208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888A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0A75F60B" w14:textId="77777777" w:rsidR="0051180C" w:rsidRPr="00DD6E51" w:rsidRDefault="0051180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E20A" w14:textId="29FFE79B" w:rsidR="00DA5208" w:rsidRPr="00DA5208" w:rsidRDefault="0051180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A5208"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="00DA5208" w:rsidRPr="00DA5208">
              <w:rPr>
                <w:rFonts w:ascii="Arial Narrow" w:hAnsi="Arial Narrow"/>
                <w:sz w:val="18"/>
                <w:szCs w:val="18"/>
              </w:rPr>
              <w:t xml:space="preserve"> APO-Ezetimibe</w:t>
            </w:r>
          </w:p>
          <w:p w14:paraId="0C7F4312" w14:textId="51A135E6" w:rsidR="00DA5208" w:rsidRPr="00DA5208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BTC Ezetimibe</w:t>
            </w:r>
          </w:p>
          <w:p w14:paraId="093CCE2D" w14:textId="5C1A38C9" w:rsidR="00DA5208" w:rsidRPr="00DA5208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Blooms The Chemist Ezetimibe</w:t>
            </w:r>
          </w:p>
          <w:p w14:paraId="7CBE5682" w14:textId="745E2E11" w:rsidR="00DA5208" w:rsidRPr="00DA5208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EZEMICHOL</w:t>
            </w:r>
          </w:p>
          <w:p w14:paraId="2D09A1FA" w14:textId="3D4AA9BB" w:rsidR="00DA5208" w:rsidRPr="00DA5208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Ezetimibe GH</w:t>
            </w:r>
          </w:p>
          <w:p w14:paraId="6597CB42" w14:textId="1F3B341B" w:rsidR="00DA5208" w:rsidRPr="00DA5208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Ezetimibe Sandoz</w:t>
            </w:r>
          </w:p>
          <w:p w14:paraId="0B5DA235" w14:textId="5B1DBF27" w:rsidR="00DA5208" w:rsidRPr="00DA5208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Pharmacor Ezetimibe 10</w:t>
            </w:r>
          </w:p>
          <w:p w14:paraId="22248F11" w14:textId="5B4AAEB8" w:rsidR="00DA5208" w:rsidRPr="00DA5208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Zient 10mg</w:t>
            </w:r>
          </w:p>
          <w:p w14:paraId="655F25F2" w14:textId="13D130D2" w:rsidR="00DA5208" w:rsidRPr="00DD6E51" w:rsidRDefault="00DA5208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Ezetrol</w:t>
            </w:r>
          </w:p>
        </w:tc>
      </w:tr>
      <w:tr w:rsidR="0051180C" w:rsidRPr="00DD6E51" w14:paraId="3975CC9C" w14:textId="77777777" w:rsidTr="003C041C">
        <w:trPr>
          <w:trHeight w:val="54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1D59" w14:textId="73CFF347" w:rsidR="0051180C" w:rsidRPr="00DD6E51" w:rsidRDefault="00B714A3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Remove the following restriction summaries</w:t>
            </w:r>
            <w:r w:rsidR="0051180C" w:rsidRPr="00DD6E51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142AA756" w14:textId="6C77FB19" w:rsidR="0051180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7996</w:t>
            </w:r>
            <w:r w:rsidR="0051180C"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hypercholesterolaemia, statin coadministration</w:t>
            </w:r>
            <w:r w:rsidR="0051180C" w:rsidRPr="00DD6E51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436243F2" w14:textId="59AE58C8" w:rsidR="0051180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7966</w:t>
            </w:r>
            <w:r w:rsidR="0051180C"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hypercholesterolaemia, statin intolerance/contraindication/dose reduction</w:t>
            </w:r>
            <w:r w:rsidR="0051180C" w:rsidRPr="00DD6E51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2BD585AB" w14:textId="6EF2F4E1" w:rsidR="0051180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7990</w:t>
            </w:r>
            <w:r w:rsidR="0051180C"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homozygous sitosterolaemia</w:t>
            </w:r>
            <w:r w:rsidR="0051180C" w:rsidRPr="00DD6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8C771D" w:rsidRPr="00DD6E51" w14:paraId="2235AB12" w14:textId="77777777" w:rsidTr="00A3235F">
        <w:trPr>
          <w:trHeight w:val="381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F8AB" w14:textId="77777777" w:rsidR="00B714A3" w:rsidRPr="006668CE" w:rsidRDefault="008C771D" w:rsidP="00B714A3">
            <w:pPr>
              <w:pStyle w:val="pf0"/>
              <w:spacing w:before="0" w:beforeAutospacing="0" w:after="0" w:afterAutospacing="0"/>
              <w:rPr>
                <w:rFonts w:ascii="Arial Narrow" w:hAnsi="Arial Narrow" w:cs="Segoe UI"/>
                <w:b/>
                <w:bCs/>
                <w:sz w:val="18"/>
                <w:szCs w:val="18"/>
              </w:rPr>
            </w:pPr>
            <w:r w:rsidRPr="00887DBA">
              <w:rPr>
                <w:rFonts w:ascii="Arial Narrow" w:hAnsi="Arial Narrow"/>
                <w:b/>
                <w:bCs/>
                <w:sz w:val="18"/>
                <w:szCs w:val="18"/>
              </w:rPr>
              <w:t>Administrative Advice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B714A3" w:rsidRPr="00E57A7D">
              <w:rPr>
                <w:rStyle w:val="cf11"/>
                <w:rFonts w:ascii="Arial Narrow" w:hAnsi="Arial Narrow"/>
              </w:rPr>
              <w:t>Continuing Therapy Only:</w:t>
            </w:r>
          </w:p>
          <w:p w14:paraId="4B3097A0" w14:textId="65EA9F25" w:rsidR="008C771D" w:rsidRPr="00DD6E51" w:rsidRDefault="00B714A3" w:rsidP="00B714A3">
            <w:pPr>
              <w:spacing w:after="0" w:line="240" w:lineRule="auto"/>
              <w:ind w:left="-57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57A7D">
              <w:rPr>
                <w:rStyle w:val="cf01"/>
                <w:rFonts w:ascii="Arial Narrow" w:hAnsi="Arial Narrow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</w:tc>
      </w:tr>
    </w:tbl>
    <w:p w14:paraId="6C9531B6" w14:textId="77777777" w:rsidR="0051180C" w:rsidRDefault="0051180C" w:rsidP="00B714A3">
      <w:pPr>
        <w:spacing w:after="0"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51"/>
        <w:gridCol w:w="1270"/>
        <w:gridCol w:w="1129"/>
        <w:gridCol w:w="988"/>
        <w:gridCol w:w="847"/>
        <w:gridCol w:w="2531"/>
      </w:tblGrid>
      <w:tr w:rsidR="003C041C" w:rsidRPr="00DD6E51" w14:paraId="53DF786D" w14:textId="77777777" w:rsidTr="000F4274">
        <w:trPr>
          <w:trHeight w:val="31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BB90" w14:textId="77777777" w:rsidR="003C041C" w:rsidRPr="00DD6E51" w:rsidRDefault="003C041C" w:rsidP="00B714A3">
            <w:pPr>
              <w:keepNext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Category / Program:   </w:t>
            </w:r>
            <w:r w:rsidRPr="00DD6E51">
              <w:rPr>
                <w:rFonts w:ascii="Arial Narrow" w:hAnsi="Arial Narrow"/>
                <w:bCs/>
                <w:sz w:val="18"/>
                <w:szCs w:val="18"/>
              </w:rPr>
              <w:t>GENERAL – General Schedule (Code GE)</w:t>
            </w:r>
          </w:p>
        </w:tc>
      </w:tr>
      <w:tr w:rsidR="003C041C" w:rsidRPr="0094383D" w14:paraId="634E9B90" w14:textId="77777777" w:rsidTr="000F4274">
        <w:trPr>
          <w:trHeight w:val="47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C3D7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</w:t>
            </w:r>
          </w:p>
          <w:p w14:paraId="2734EB92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 pack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90F" w14:textId="77777777" w:rsidR="003C041C" w:rsidRPr="00DD6E51" w:rsidRDefault="003C041C" w:rsidP="00B714A3">
            <w:pPr>
              <w:keepNext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PBS item code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970E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packs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CF6D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units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4C2F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№.of</w:t>
            </w:r>
          </w:p>
          <w:p w14:paraId="30E07AC5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Rpts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AD49" w14:textId="77777777" w:rsidR="003C041C" w:rsidRPr="0094383D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Available brands</w:t>
            </w:r>
          </w:p>
        </w:tc>
      </w:tr>
      <w:tr w:rsidR="003C041C" w:rsidRPr="00DD6E51" w14:paraId="3E36B77B" w14:textId="77777777" w:rsidTr="000F4274">
        <w:trPr>
          <w:trHeight w:val="37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DF8B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</w:t>
            </w:r>
          </w:p>
        </w:tc>
      </w:tr>
      <w:tr w:rsidR="003C041C" w:rsidRPr="00DD6E51" w14:paraId="79A622A9" w14:textId="77777777" w:rsidTr="000F4274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B74F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326E" w14:textId="27A38BA7" w:rsidR="003C041C" w:rsidRPr="00DD6E51" w:rsidRDefault="003C041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13440J</w:t>
            </w:r>
          </w:p>
          <w:p w14:paraId="081D92E9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  <w:vertAlign w:val="subscript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AC2A" w14:textId="26415165" w:rsidR="003C041C" w:rsidRPr="00DD6E51" w:rsidRDefault="003C041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B7F4" w14:textId="4BB2849F" w:rsidR="003C041C" w:rsidRPr="00DD6E51" w:rsidRDefault="003C041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64F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512BA727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76EF" w14:textId="77777777" w:rsidR="003C041C" w:rsidRPr="00DA5208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APO-Ezetimibe</w:t>
            </w:r>
          </w:p>
          <w:p w14:paraId="49B77AA7" w14:textId="77777777" w:rsidR="003C041C" w:rsidRPr="00DA5208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BTC Ezetimibe</w:t>
            </w:r>
          </w:p>
          <w:p w14:paraId="1EE92B9E" w14:textId="77777777" w:rsidR="003C041C" w:rsidRPr="00DA5208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Blooms The Chemist Ezetimibe</w:t>
            </w:r>
          </w:p>
          <w:p w14:paraId="723B02CB" w14:textId="77777777" w:rsidR="003C041C" w:rsidRPr="00DA5208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EZEMICHOL</w:t>
            </w:r>
          </w:p>
          <w:p w14:paraId="5CE72100" w14:textId="77777777" w:rsidR="003C041C" w:rsidRPr="00DA5208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Ezetimibe GH</w:t>
            </w:r>
          </w:p>
          <w:p w14:paraId="29E9F590" w14:textId="77777777" w:rsidR="003C041C" w:rsidRPr="00DA5208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Ezetimibe Sandoz</w:t>
            </w:r>
          </w:p>
          <w:p w14:paraId="0F7E52C2" w14:textId="77777777" w:rsidR="003C041C" w:rsidRPr="00DA5208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Pharmacor Ezetimibe 10</w:t>
            </w:r>
          </w:p>
          <w:p w14:paraId="7C398DDA" w14:textId="77777777" w:rsidR="003C041C" w:rsidRPr="00DA5208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Zient 10mg</w:t>
            </w:r>
          </w:p>
          <w:p w14:paraId="4703D8EF" w14:textId="77777777" w:rsidR="003C041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DA5208">
              <w:rPr>
                <w:rFonts w:ascii="Arial Narrow" w:hAnsi="Arial Narrow"/>
                <w:sz w:val="18"/>
                <w:szCs w:val="18"/>
              </w:rPr>
              <w:t xml:space="preserve"> Ezetrol</w:t>
            </w:r>
          </w:p>
        </w:tc>
      </w:tr>
      <w:tr w:rsidR="003C041C" w:rsidRPr="00DD6E51" w14:paraId="2C09EEAF" w14:textId="77777777" w:rsidTr="000F4274">
        <w:trPr>
          <w:trHeight w:val="54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4C12" w14:textId="79568532" w:rsidR="003C041C" w:rsidRPr="00DD6E51" w:rsidRDefault="00B714A3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Remove the following restriction summaries</w:t>
            </w:r>
            <w:r w:rsidR="003C041C" w:rsidRPr="00DD6E51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1F6A39B0" w14:textId="78B1F662" w:rsidR="003C041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14249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hypercholesterolaemia, statin coadministration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4933E52F" w14:textId="504BB464" w:rsidR="003C041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14238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hypercholesterolaemia, statin intolerance/contraindication/dose reduction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3FB8B524" w14:textId="48B07330" w:rsidR="003C041C" w:rsidRPr="00DD6E51" w:rsidRDefault="003C041C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7990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homozygous sitosterolaemia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3C041C" w:rsidRPr="00DD6E51" w14:paraId="0B685929" w14:textId="77777777" w:rsidTr="000F4274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BB0" w14:textId="458D1D5E" w:rsidR="003C041C" w:rsidRPr="00DD6E51" w:rsidRDefault="003C041C" w:rsidP="00B714A3">
            <w:pPr>
              <w:spacing w:after="0" w:line="240" w:lineRule="auto"/>
              <w:ind w:left="-57"/>
              <w:rPr>
                <w:rFonts w:ascii="Arial Narrow" w:hAnsi="Arial Narrow" w:cs="Open Sans"/>
                <w:sz w:val="18"/>
                <w:szCs w:val="18"/>
              </w:rPr>
            </w:pPr>
            <w:r w:rsidRPr="00DD6E51">
              <w:rPr>
                <w:rFonts w:ascii="Arial Narrow" w:hAnsi="Arial Narrow" w:cs="Calibri"/>
                <w:b/>
                <w:bCs/>
                <w:sz w:val="18"/>
                <w:szCs w:val="18"/>
              </w:rPr>
              <w:t>Restriction</w:t>
            </w:r>
            <w:r w:rsidR="00B714A3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Restricted Benefit</w:t>
            </w:r>
          </w:p>
        </w:tc>
      </w:tr>
      <w:tr w:rsidR="00B714A3" w:rsidRPr="00DD6E51" w14:paraId="214AECE2" w14:textId="77777777" w:rsidTr="00F67A2A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E899" w14:textId="6A742611" w:rsidR="00B714A3" w:rsidRPr="00DD6E51" w:rsidRDefault="00B714A3" w:rsidP="00B714A3">
            <w:pPr>
              <w:spacing w:after="0" w:line="240" w:lineRule="auto"/>
              <w:ind w:left="-57"/>
              <w:rPr>
                <w:rFonts w:ascii="Arial Narrow" w:hAnsi="Arial Narrow" w:cs="Open Sans"/>
                <w:sz w:val="18"/>
                <w:szCs w:val="18"/>
              </w:rPr>
            </w:pPr>
            <w:r w:rsidRPr="00B714A3">
              <w:rPr>
                <w:rFonts w:ascii="Arial Narrow" w:hAnsi="Arial Narrow" w:cs="Open Sans"/>
                <w:b/>
                <w:bCs/>
                <w:sz w:val="18"/>
                <w:szCs w:val="18"/>
              </w:rPr>
              <w:t>Indication:</w:t>
            </w:r>
            <w:r>
              <w:rPr>
                <w:rFonts w:ascii="Arial Narrow" w:hAnsi="Arial Narrow" w:cs="Open Sans"/>
                <w:sz w:val="18"/>
                <w:szCs w:val="18"/>
              </w:rPr>
              <w:t xml:space="preserve"> </w:t>
            </w:r>
            <w:r w:rsidRPr="003C041C">
              <w:rPr>
                <w:rFonts w:ascii="Arial Narrow" w:hAnsi="Arial Narrow" w:cs="Open Sans"/>
                <w:sz w:val="18"/>
                <w:szCs w:val="18"/>
              </w:rPr>
              <w:t>The condition must be stable for the prescriber to consider the listed maximum quantity of this medicine suitable for this patient</w:t>
            </w:r>
            <w:r>
              <w:rPr>
                <w:rFonts w:ascii="Arial Narrow" w:hAnsi="Arial Narrow" w:cs="Open Sans"/>
                <w:sz w:val="18"/>
                <w:szCs w:val="18"/>
              </w:rPr>
              <w:t>.</w:t>
            </w:r>
          </w:p>
        </w:tc>
      </w:tr>
      <w:tr w:rsidR="00B714A3" w:rsidRPr="00DD6E51" w14:paraId="530D835D" w14:textId="77777777" w:rsidTr="00F67A2A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E4C" w14:textId="77777777" w:rsidR="00B714A3" w:rsidRPr="006668CE" w:rsidRDefault="00B714A3" w:rsidP="00B714A3">
            <w:pPr>
              <w:pStyle w:val="pf0"/>
              <w:spacing w:before="0" w:beforeAutospacing="0" w:after="0" w:afterAutospacing="0"/>
              <w:rPr>
                <w:rFonts w:ascii="Arial Narrow" w:hAnsi="Arial Narrow" w:cs="Segoe UI"/>
                <w:b/>
                <w:bCs/>
                <w:sz w:val="18"/>
                <w:szCs w:val="18"/>
              </w:rPr>
            </w:pPr>
            <w:r w:rsidRPr="00E57A7D">
              <w:rPr>
                <w:rStyle w:val="cf11"/>
                <w:rFonts w:ascii="Arial Narrow" w:hAnsi="Arial Narrow"/>
              </w:rPr>
              <w:t>Administrative Advice:</w:t>
            </w:r>
            <w:r>
              <w:rPr>
                <w:rStyle w:val="cf11"/>
                <w:rFonts w:ascii="Arial Narrow" w:hAnsi="Arial Narrow"/>
              </w:rPr>
              <w:t xml:space="preserve"> </w:t>
            </w:r>
            <w:r w:rsidRPr="00E57A7D">
              <w:rPr>
                <w:rStyle w:val="cf11"/>
                <w:rFonts w:ascii="Arial Narrow" w:hAnsi="Arial Narrow"/>
              </w:rPr>
              <w:t>Continuing Therapy Only:</w:t>
            </w:r>
          </w:p>
          <w:p w14:paraId="189624C6" w14:textId="20B29D8F" w:rsidR="00B714A3" w:rsidRPr="00B714A3" w:rsidRDefault="00B714A3" w:rsidP="00B714A3">
            <w:pPr>
              <w:spacing w:after="0" w:line="240" w:lineRule="auto"/>
              <w:ind w:left="-57"/>
              <w:rPr>
                <w:rFonts w:ascii="Arial Narrow" w:hAnsi="Arial Narrow" w:cs="Open Sans"/>
                <w:b/>
                <w:bCs/>
                <w:sz w:val="18"/>
                <w:szCs w:val="18"/>
              </w:rPr>
            </w:pPr>
            <w:r w:rsidRPr="00E57A7D">
              <w:rPr>
                <w:rStyle w:val="cf01"/>
                <w:rFonts w:ascii="Arial Narrow" w:hAnsi="Arial Narrow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</w:tc>
      </w:tr>
    </w:tbl>
    <w:p w14:paraId="4C791C48" w14:textId="067D05CC" w:rsidR="00E82AFC" w:rsidRDefault="00F10B2B" w:rsidP="00B714A3">
      <w:pPr>
        <w:pStyle w:val="Heading3"/>
        <w:keepNext/>
        <w:keepLines/>
      </w:pPr>
      <w:r>
        <w:lastRenderedPageBreak/>
        <w:t>Ezetimibe (&amp;) rosuvastatin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116"/>
        <w:gridCol w:w="1129"/>
        <w:gridCol w:w="988"/>
        <w:gridCol w:w="594"/>
        <w:gridCol w:w="2784"/>
      </w:tblGrid>
      <w:tr w:rsidR="00F10B2B" w:rsidRPr="00DD6E51" w14:paraId="507EF542" w14:textId="77777777" w:rsidTr="000F4274">
        <w:trPr>
          <w:trHeight w:val="31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6065" w14:textId="77777777" w:rsidR="00F10B2B" w:rsidRPr="00DD6E51" w:rsidRDefault="00F10B2B" w:rsidP="00B714A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Category / Program:   </w:t>
            </w:r>
            <w:r w:rsidRPr="00DD6E51">
              <w:rPr>
                <w:rFonts w:ascii="Arial Narrow" w:hAnsi="Arial Narrow"/>
                <w:bCs/>
                <w:sz w:val="18"/>
                <w:szCs w:val="18"/>
              </w:rPr>
              <w:t>GENERAL – General Schedule (Code GE)</w:t>
            </w:r>
          </w:p>
        </w:tc>
      </w:tr>
      <w:tr w:rsidR="00F10B2B" w:rsidRPr="0094383D" w14:paraId="6E9F5466" w14:textId="77777777" w:rsidTr="00A44423">
        <w:trPr>
          <w:trHeight w:val="4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B467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</w:t>
            </w:r>
          </w:p>
          <w:p w14:paraId="0A7C9B94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 pack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2D2B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PBS item code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B180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packs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3E09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units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C480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№.of</w:t>
            </w:r>
          </w:p>
          <w:p w14:paraId="689B3C30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Rpts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E78A" w14:textId="77777777" w:rsidR="00F10B2B" w:rsidRPr="0094383D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Available brands</w:t>
            </w:r>
          </w:p>
        </w:tc>
      </w:tr>
      <w:tr w:rsidR="00F10B2B" w:rsidRPr="00DD6E51" w14:paraId="4D75E423" w14:textId="77777777" w:rsidTr="000F4274">
        <w:trPr>
          <w:trHeight w:val="37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C0E4" w14:textId="7011492A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(&amp;) ROSUVASTATIN</w:t>
            </w:r>
          </w:p>
        </w:tc>
      </w:tr>
      <w:tr w:rsidR="00F10B2B" w:rsidRPr="00DD6E51" w14:paraId="2068D9F4" w14:textId="77777777" w:rsidTr="00A44423">
        <w:trPr>
          <w:trHeight w:val="2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9B8" w14:textId="791E2412" w:rsid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[30] (&amp;) rosuvastatin 5 mg tablet [30], 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7F0" w14:textId="0F2967E4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10204C</w:t>
            </w:r>
          </w:p>
          <w:p w14:paraId="10A26C5C" w14:textId="52083A1D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A48" w14:textId="20AA41E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38" w14:textId="38B02318" w:rsidR="00F10B2B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5DB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04CC7E19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B3E" w14:textId="05C9A3AA" w:rsidR="00F10B2B" w:rsidRP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Ezalo Composite Pack 10mg+5mg</w:t>
            </w:r>
          </w:p>
          <w:p w14:paraId="340E3736" w14:textId="70E799C4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Rosuzet Composite Pack</w:t>
            </w:r>
          </w:p>
        </w:tc>
      </w:tr>
      <w:tr w:rsidR="00F10B2B" w:rsidRPr="00DD6E51" w14:paraId="52A0C767" w14:textId="77777777" w:rsidTr="00A44423">
        <w:trPr>
          <w:trHeight w:val="4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EF8D" w14:textId="1074495F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[30] (&amp;) rosuvastatin 10 mg tablet [30], 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6A0" w14:textId="59004DF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10208G</w:t>
            </w:r>
          </w:p>
          <w:p w14:paraId="4F8AA9FE" w14:textId="0E9D5F80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  <w:vertAlign w:val="subscript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27D" w14:textId="14C7A5CA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762" w14:textId="4A2FE5F6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552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65968870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6AA" w14:textId="2414D789" w:rsid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Ezalo Composite Pack 10mg+</w:t>
            </w: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F10B2B">
              <w:rPr>
                <w:rFonts w:ascii="Arial Narrow" w:hAnsi="Arial Narrow"/>
                <w:sz w:val="18"/>
                <w:szCs w:val="18"/>
              </w:rPr>
              <w:t>mg</w:t>
            </w:r>
          </w:p>
          <w:p w14:paraId="2E0E0D19" w14:textId="637C1B8F" w:rsidR="00F10B2B" w:rsidRP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F10B2B">
              <w:rPr>
                <w:rFonts w:ascii="Arial Narrow" w:hAnsi="Arial Narrow"/>
                <w:sz w:val="18"/>
                <w:szCs w:val="18"/>
              </w:rPr>
              <w:t xml:space="preserve"> Pharmacor Ezetimibe Rosuvastatin Composite Pack</w:t>
            </w:r>
          </w:p>
          <w:p w14:paraId="41075DA8" w14:textId="2B3A269A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Rosuzet Composite Pack</w:t>
            </w:r>
          </w:p>
        </w:tc>
      </w:tr>
      <w:tr w:rsidR="00F10B2B" w:rsidRPr="00DD6E51" w14:paraId="3EC46EF3" w14:textId="77777777" w:rsidTr="00A44423">
        <w:trPr>
          <w:trHeight w:val="4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C2C" w14:textId="3A235A58" w:rsid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[30] (&amp;) rosuvastatin 20 mg tablet [30], 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6DE4" w14:textId="243952FB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10201X</w:t>
            </w:r>
          </w:p>
          <w:p w14:paraId="1594DE29" w14:textId="3C35AD1A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D22" w14:textId="279896B3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1AB5" w14:textId="23DA2074" w:rsidR="00F10B2B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A4D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5AC764EC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2D1" w14:textId="15060347" w:rsid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Ezalo Composite Pack 10mg+</w:t>
            </w:r>
            <w:r>
              <w:rPr>
                <w:rFonts w:ascii="Arial Narrow" w:hAnsi="Arial Narrow"/>
                <w:sz w:val="18"/>
                <w:szCs w:val="18"/>
              </w:rPr>
              <w:t>20</w:t>
            </w:r>
            <w:r w:rsidRPr="00F10B2B">
              <w:rPr>
                <w:rFonts w:ascii="Arial Narrow" w:hAnsi="Arial Narrow"/>
                <w:sz w:val="18"/>
                <w:szCs w:val="18"/>
              </w:rPr>
              <w:t>mg</w:t>
            </w:r>
          </w:p>
          <w:p w14:paraId="09605937" w14:textId="77777777" w:rsidR="00F10B2B" w:rsidRP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F10B2B">
              <w:rPr>
                <w:rFonts w:ascii="Arial Narrow" w:hAnsi="Arial Narrow"/>
                <w:sz w:val="18"/>
                <w:szCs w:val="18"/>
              </w:rPr>
              <w:t xml:space="preserve"> Pharmacor Ezetimibe Rosuvastatin Composite Pack</w:t>
            </w:r>
          </w:p>
          <w:p w14:paraId="2E77A367" w14:textId="504B4BED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Rosuzet Composite Pack</w:t>
            </w:r>
          </w:p>
        </w:tc>
      </w:tr>
      <w:tr w:rsidR="00F10B2B" w:rsidRPr="00DD6E51" w14:paraId="658BCF9C" w14:textId="77777777" w:rsidTr="00A44423">
        <w:trPr>
          <w:trHeight w:val="4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4BB" w14:textId="2A6B317B" w:rsid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[30] (&amp;) rosuvastatin 40 mg tablet [30], 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026" w14:textId="43719D04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10207F</w:t>
            </w:r>
          </w:p>
          <w:p w14:paraId="4661FFD5" w14:textId="6792CC9C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8A2" w14:textId="067B1EC4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8EA" w14:textId="3C57E799" w:rsidR="00F10B2B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A5F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7949AF95" w14:textId="77777777" w:rsidR="00F10B2B" w:rsidRPr="00DD6E51" w:rsidRDefault="00F10B2B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EBB" w14:textId="17150E21" w:rsid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Ezalo Composite Pack 10mg+</w:t>
            </w:r>
            <w:r>
              <w:rPr>
                <w:rFonts w:ascii="Arial Narrow" w:hAnsi="Arial Narrow"/>
                <w:sz w:val="18"/>
                <w:szCs w:val="18"/>
              </w:rPr>
              <w:t>40</w:t>
            </w:r>
            <w:r w:rsidRPr="00F10B2B">
              <w:rPr>
                <w:rFonts w:ascii="Arial Narrow" w:hAnsi="Arial Narrow"/>
                <w:sz w:val="18"/>
                <w:szCs w:val="18"/>
              </w:rPr>
              <w:t>mg</w:t>
            </w:r>
          </w:p>
          <w:p w14:paraId="405271C1" w14:textId="77777777" w:rsidR="00F10B2B" w:rsidRP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F10B2B">
              <w:rPr>
                <w:rFonts w:ascii="Arial Narrow" w:hAnsi="Arial Narrow"/>
                <w:sz w:val="18"/>
                <w:szCs w:val="18"/>
              </w:rPr>
              <w:t xml:space="preserve"> Pharmacor Ezetimibe Rosuvastatin Composite Pack</w:t>
            </w:r>
          </w:p>
          <w:p w14:paraId="1AE1DA99" w14:textId="35E2E2D7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Rosuzet Composite Pack</w:t>
            </w:r>
          </w:p>
        </w:tc>
      </w:tr>
      <w:tr w:rsidR="00F10B2B" w:rsidRPr="00DD6E51" w14:paraId="6852A206" w14:textId="77777777" w:rsidTr="000F4274">
        <w:trPr>
          <w:trHeight w:val="54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0216" w14:textId="22ECD4E0" w:rsidR="00F10B2B" w:rsidRDefault="00A44423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Remove the following restriction summaries</w:t>
            </w:r>
            <w:r w:rsidR="00F10B2B" w:rsidRPr="00DD6E51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498227BD" w14:textId="4AC3D0B1" w:rsidR="00F10B2B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7958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hypercholesterolaemia</w:t>
            </w:r>
            <w:r w:rsidR="00E600E0">
              <w:rPr>
                <w:rFonts w:ascii="Arial Narrow" w:hAnsi="Arial Narrow"/>
                <w:sz w:val="18"/>
                <w:szCs w:val="18"/>
              </w:rPr>
              <w:t>, reduced statin dose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 w:rsidR="00E600E0">
              <w:rPr>
                <w:rFonts w:ascii="Arial Narrow" w:hAnsi="Arial Narrow"/>
                <w:sz w:val="18"/>
                <w:szCs w:val="18"/>
              </w:rPr>
              <w:t xml:space="preserve"> – for item 10204C</w:t>
            </w:r>
          </w:p>
          <w:p w14:paraId="2FA1AC10" w14:textId="027009E8" w:rsidR="00F10B2B" w:rsidRPr="00DD6E51" w:rsidRDefault="00F10B2B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7957 </w:t>
            </w:r>
            <w:r w:rsidRPr="00DD6E51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hypercholesterolaemia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 w:rsidR="00E600E0">
              <w:rPr>
                <w:rFonts w:ascii="Arial Narrow" w:hAnsi="Arial Narrow"/>
                <w:sz w:val="18"/>
                <w:szCs w:val="18"/>
              </w:rPr>
              <w:t xml:space="preserve"> – for items 10208G, 10201X and 10207F</w:t>
            </w:r>
          </w:p>
        </w:tc>
      </w:tr>
      <w:tr w:rsidR="00A44423" w:rsidRPr="00DD6E51" w14:paraId="5F238B60" w14:textId="77777777" w:rsidTr="00E817DC">
        <w:trPr>
          <w:trHeight w:val="381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7657" w14:textId="77777777" w:rsidR="00A44423" w:rsidRPr="006668CE" w:rsidRDefault="00A44423" w:rsidP="00A44423">
            <w:pPr>
              <w:pStyle w:val="pf0"/>
              <w:spacing w:before="0" w:beforeAutospacing="0" w:after="0" w:afterAutospacing="0"/>
              <w:rPr>
                <w:rFonts w:ascii="Arial Narrow" w:hAnsi="Arial Narrow" w:cs="Segoe UI"/>
                <w:b/>
                <w:bCs/>
                <w:sz w:val="18"/>
                <w:szCs w:val="18"/>
              </w:rPr>
            </w:pPr>
            <w:r w:rsidRPr="00E57A7D">
              <w:rPr>
                <w:rStyle w:val="cf11"/>
                <w:rFonts w:ascii="Arial Narrow" w:hAnsi="Arial Narrow"/>
              </w:rPr>
              <w:t>Administrative Advice:</w:t>
            </w:r>
            <w:r>
              <w:rPr>
                <w:rStyle w:val="cf11"/>
                <w:rFonts w:ascii="Arial Narrow" w:hAnsi="Arial Narrow"/>
              </w:rPr>
              <w:t xml:space="preserve"> </w:t>
            </w:r>
            <w:r w:rsidRPr="00E57A7D">
              <w:rPr>
                <w:rStyle w:val="cf11"/>
                <w:rFonts w:ascii="Arial Narrow" w:hAnsi="Arial Narrow"/>
              </w:rPr>
              <w:t>Continuing Therapy Only:</w:t>
            </w:r>
          </w:p>
          <w:p w14:paraId="59745667" w14:textId="32A8EF27" w:rsidR="00A44423" w:rsidRPr="00DD6E51" w:rsidRDefault="00A44423" w:rsidP="00A44423">
            <w:pPr>
              <w:spacing w:after="0" w:line="240" w:lineRule="auto"/>
              <w:ind w:left="-57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57A7D">
              <w:rPr>
                <w:rStyle w:val="cf01"/>
                <w:rFonts w:ascii="Arial Narrow" w:hAnsi="Arial Narrow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</w:tc>
      </w:tr>
    </w:tbl>
    <w:p w14:paraId="6DA6F09B" w14:textId="77777777" w:rsidR="00F10B2B" w:rsidRDefault="00F10B2B" w:rsidP="00B714A3">
      <w:pPr>
        <w:spacing w:after="0"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116"/>
        <w:gridCol w:w="1129"/>
        <w:gridCol w:w="988"/>
        <w:gridCol w:w="594"/>
        <w:gridCol w:w="2784"/>
      </w:tblGrid>
      <w:tr w:rsidR="00E600E0" w:rsidRPr="00DD6E51" w14:paraId="6E773BF4" w14:textId="77777777" w:rsidTr="000F4274">
        <w:trPr>
          <w:trHeight w:val="31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4711" w14:textId="77777777" w:rsidR="00E600E0" w:rsidRPr="00DD6E51" w:rsidRDefault="00E600E0" w:rsidP="00B714A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Category / Program:   </w:t>
            </w:r>
            <w:r w:rsidRPr="00DD6E51">
              <w:rPr>
                <w:rFonts w:ascii="Arial Narrow" w:hAnsi="Arial Narrow"/>
                <w:bCs/>
                <w:sz w:val="18"/>
                <w:szCs w:val="18"/>
              </w:rPr>
              <w:t>GENERAL – General Schedule (Code GE)</w:t>
            </w:r>
          </w:p>
        </w:tc>
      </w:tr>
      <w:tr w:rsidR="00E600E0" w:rsidRPr="0094383D" w14:paraId="14070132" w14:textId="77777777" w:rsidTr="00A44423">
        <w:trPr>
          <w:trHeight w:val="4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E53E" w14:textId="77777777" w:rsidR="00E600E0" w:rsidRPr="00DD6E51" w:rsidRDefault="00E600E0" w:rsidP="00B714A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</w:t>
            </w:r>
          </w:p>
          <w:p w14:paraId="1ABE610E" w14:textId="77777777" w:rsidR="00E600E0" w:rsidRPr="00DD6E51" w:rsidRDefault="00E600E0" w:rsidP="00B714A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 pack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0E5C" w14:textId="77777777" w:rsidR="00E600E0" w:rsidRPr="00DD6E51" w:rsidRDefault="00E600E0" w:rsidP="00B714A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PBS item code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A2B6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packs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D7F1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units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864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№.of</w:t>
            </w:r>
          </w:p>
          <w:p w14:paraId="2D68E4E1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Rpts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4955" w14:textId="77777777" w:rsidR="00E600E0" w:rsidRPr="0094383D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Available brands</w:t>
            </w:r>
          </w:p>
        </w:tc>
      </w:tr>
      <w:tr w:rsidR="00E600E0" w:rsidRPr="00DD6E51" w14:paraId="17C9BB0D" w14:textId="77777777" w:rsidTr="000F4274">
        <w:trPr>
          <w:trHeight w:val="37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A14B" w14:textId="77777777" w:rsidR="00E600E0" w:rsidRPr="00DD6E51" w:rsidRDefault="00E600E0" w:rsidP="00B714A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(&amp;) ROSUVASTATIN</w:t>
            </w:r>
          </w:p>
        </w:tc>
      </w:tr>
      <w:tr w:rsidR="00E600E0" w:rsidRPr="00DD6E51" w14:paraId="59BC0860" w14:textId="77777777" w:rsidTr="00A44423">
        <w:trPr>
          <w:trHeight w:val="3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E7E" w14:textId="77777777" w:rsidR="00E600E0" w:rsidRDefault="00E600E0" w:rsidP="00B714A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[30] (&amp;) rosuvastatin 5 mg tablet [30], 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72A" w14:textId="0880981A" w:rsidR="00E600E0" w:rsidRPr="00DD6E51" w:rsidRDefault="00E600E0" w:rsidP="00B714A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13629H</w:t>
            </w:r>
          </w:p>
          <w:p w14:paraId="0039A35D" w14:textId="77777777" w:rsidR="00E600E0" w:rsidRPr="00DD6E51" w:rsidRDefault="00E600E0" w:rsidP="00B714A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6BD" w14:textId="2607D803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418" w14:textId="3355D985" w:rsidR="00E600E0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002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0840048D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5510" w14:textId="77777777" w:rsidR="00E600E0" w:rsidRPr="00F10B2B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Ezalo Composite Pack 10mg+5mg</w:t>
            </w:r>
          </w:p>
          <w:p w14:paraId="36FB175C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Rosuzet Composite Pack</w:t>
            </w:r>
          </w:p>
        </w:tc>
      </w:tr>
      <w:tr w:rsidR="00E600E0" w:rsidRPr="00DD6E51" w14:paraId="5B5284ED" w14:textId="77777777" w:rsidTr="00A44423">
        <w:trPr>
          <w:trHeight w:val="4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08E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[30] (&amp;) rosuvastatin 10 mg tablet [30], 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DB8" w14:textId="52F7A614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13569E</w:t>
            </w:r>
          </w:p>
          <w:p w14:paraId="67F4D648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  <w:vertAlign w:val="subscript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B36" w14:textId="1C5BD45D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568" w14:textId="26C3E249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D06D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2B96E686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6EC5" w14:textId="77777777" w:rsidR="00E600E0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Ezalo Composite Pack 10mg+</w:t>
            </w: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F10B2B">
              <w:rPr>
                <w:rFonts w:ascii="Arial Narrow" w:hAnsi="Arial Narrow"/>
                <w:sz w:val="18"/>
                <w:szCs w:val="18"/>
              </w:rPr>
              <w:t>mg</w:t>
            </w:r>
          </w:p>
          <w:p w14:paraId="12A453B9" w14:textId="77777777" w:rsidR="00E600E0" w:rsidRPr="00F10B2B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F10B2B">
              <w:rPr>
                <w:rFonts w:ascii="Arial Narrow" w:hAnsi="Arial Narrow"/>
                <w:sz w:val="18"/>
                <w:szCs w:val="18"/>
              </w:rPr>
              <w:t xml:space="preserve"> Pharmacor Ezetimibe Rosuvastatin Composite Pack</w:t>
            </w:r>
          </w:p>
          <w:p w14:paraId="452C9B67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Rosuzet Composite Pack</w:t>
            </w:r>
          </w:p>
        </w:tc>
      </w:tr>
      <w:tr w:rsidR="00E600E0" w:rsidRPr="00DD6E51" w14:paraId="3CCB2709" w14:textId="77777777" w:rsidTr="00A44423">
        <w:trPr>
          <w:trHeight w:val="4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F05" w14:textId="77777777" w:rsidR="00E600E0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[30] (&amp;) rosuvastatin 20 mg tablet [30], 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AE7" w14:textId="5DC7C2E4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13480L</w:t>
            </w:r>
          </w:p>
          <w:p w14:paraId="693AF093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D62" w14:textId="31293FED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43E" w14:textId="374DCAAC" w:rsidR="00E600E0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ED8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61E6C2A8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E17" w14:textId="77777777" w:rsidR="00E600E0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Ezalo Composite Pack 10mg+</w:t>
            </w:r>
            <w:r>
              <w:rPr>
                <w:rFonts w:ascii="Arial Narrow" w:hAnsi="Arial Narrow"/>
                <w:sz w:val="18"/>
                <w:szCs w:val="18"/>
              </w:rPr>
              <w:t>20</w:t>
            </w:r>
            <w:r w:rsidRPr="00F10B2B">
              <w:rPr>
                <w:rFonts w:ascii="Arial Narrow" w:hAnsi="Arial Narrow"/>
                <w:sz w:val="18"/>
                <w:szCs w:val="18"/>
              </w:rPr>
              <w:t>mg</w:t>
            </w:r>
          </w:p>
          <w:p w14:paraId="1AABCA40" w14:textId="77777777" w:rsidR="00E600E0" w:rsidRPr="00F10B2B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F10B2B">
              <w:rPr>
                <w:rFonts w:ascii="Arial Narrow" w:hAnsi="Arial Narrow"/>
                <w:sz w:val="18"/>
                <w:szCs w:val="18"/>
              </w:rPr>
              <w:t xml:space="preserve"> Pharmacor Ezetimibe Rosuvastatin Composite Pack</w:t>
            </w:r>
          </w:p>
          <w:p w14:paraId="4B7AB052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Rosuzet Composite Pack</w:t>
            </w:r>
          </w:p>
        </w:tc>
      </w:tr>
      <w:tr w:rsidR="00E600E0" w:rsidRPr="00DD6E51" w14:paraId="6A2E71A9" w14:textId="77777777" w:rsidTr="00A44423">
        <w:trPr>
          <w:trHeight w:val="4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7AA" w14:textId="77777777" w:rsidR="00E600E0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[30] (&amp;) rosuvastatin 40 mg tablet [30], 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4F7" w14:textId="5F8BE4D3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13537L</w:t>
            </w:r>
          </w:p>
          <w:p w14:paraId="3D628A43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0B6" w14:textId="2DA26A10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DD3" w14:textId="065AEF23" w:rsidR="00E600E0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EBF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0C036BB3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250" w14:textId="77777777" w:rsidR="00E600E0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Ezalo Composite Pack 10mg+</w:t>
            </w:r>
            <w:r>
              <w:rPr>
                <w:rFonts w:ascii="Arial Narrow" w:hAnsi="Arial Narrow"/>
                <w:sz w:val="18"/>
                <w:szCs w:val="18"/>
              </w:rPr>
              <w:t>40</w:t>
            </w:r>
            <w:r w:rsidRPr="00F10B2B">
              <w:rPr>
                <w:rFonts w:ascii="Arial Narrow" w:hAnsi="Arial Narrow"/>
                <w:sz w:val="18"/>
                <w:szCs w:val="18"/>
              </w:rPr>
              <w:t>mg</w:t>
            </w:r>
          </w:p>
          <w:p w14:paraId="21F9616C" w14:textId="77777777" w:rsidR="00E600E0" w:rsidRPr="00F10B2B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>a</w:t>
            </w:r>
            <w:r w:rsidRPr="00F10B2B">
              <w:rPr>
                <w:rFonts w:ascii="Arial Narrow" w:hAnsi="Arial Narrow"/>
                <w:sz w:val="18"/>
                <w:szCs w:val="18"/>
              </w:rPr>
              <w:t xml:space="preserve"> Pharmacor Ezetimibe Rosuvastatin Composite Pack</w:t>
            </w:r>
          </w:p>
          <w:p w14:paraId="771B3789" w14:textId="77777777" w:rsidR="00E600E0" w:rsidRPr="00DD6E51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F10B2B">
              <w:rPr>
                <w:rFonts w:ascii="Arial Narrow" w:hAnsi="Arial Narrow"/>
                <w:sz w:val="18"/>
                <w:szCs w:val="18"/>
              </w:rPr>
              <w:t>Rosuzet Composite Pack</w:t>
            </w:r>
          </w:p>
        </w:tc>
      </w:tr>
      <w:tr w:rsidR="00E600E0" w:rsidRPr="00DD6E51" w14:paraId="3F7D14BF" w14:textId="77777777" w:rsidTr="000F4274">
        <w:trPr>
          <w:trHeight w:val="54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21CB" w14:textId="77777777" w:rsidR="00A44423" w:rsidRDefault="00A44423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Remove the following restriction summaries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1E48AAA3" w14:textId="683FA78F" w:rsidR="00E600E0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14350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hypercholesterolaemia, reduced statin dose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 13629H</w:t>
            </w:r>
          </w:p>
          <w:p w14:paraId="64C6F39F" w14:textId="58088C17" w:rsidR="00E600E0" w:rsidRPr="00DD6E51" w:rsidRDefault="00E600E0" w:rsidP="00B714A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14284 </w:t>
            </w:r>
            <w:r w:rsidRPr="00DD6E51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hypercholesterolaemia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items 13569E, 13480L and 13537L</w:t>
            </w:r>
          </w:p>
        </w:tc>
      </w:tr>
      <w:tr w:rsidR="00E600E0" w:rsidRPr="00DD6E51" w14:paraId="3A5A11EC" w14:textId="77777777" w:rsidTr="00A44423">
        <w:trPr>
          <w:trHeight w:val="5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DDBB" w14:textId="6F4DB3B7" w:rsidR="00E600E0" w:rsidRPr="00A44423" w:rsidRDefault="00E600E0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bookmarkStart w:id="1" w:name="_Hlk166836510"/>
            <w:r w:rsidRPr="00E600E0">
              <w:rPr>
                <w:rFonts w:ascii="Arial Narrow" w:hAnsi="Arial Narrow"/>
                <w:b/>
                <w:bCs/>
                <w:sz w:val="18"/>
                <w:szCs w:val="18"/>
              </w:rPr>
              <w:t>Restriction: Restricted Benefit</w:t>
            </w:r>
          </w:p>
        </w:tc>
      </w:tr>
      <w:tr w:rsidR="00A44423" w:rsidRPr="00DD6E51" w14:paraId="5F11299F" w14:textId="77777777" w:rsidTr="00F81713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95AF" w14:textId="637114DC" w:rsidR="00A44423" w:rsidRPr="00DD6E51" w:rsidRDefault="00A44423" w:rsidP="00B714A3">
            <w:pPr>
              <w:spacing w:after="0" w:line="240" w:lineRule="auto"/>
              <w:ind w:left="-57"/>
              <w:textAlignment w:val="baseline"/>
              <w:rPr>
                <w:rFonts w:ascii="Arial Narrow" w:hAnsi="Arial Narrow" w:cs="Open Sans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D6E51">
              <w:rPr>
                <w:rFonts w:ascii="Arial Narrow" w:hAnsi="Arial Narrow" w:cs="Open Sans"/>
                <w:b/>
                <w:bCs/>
                <w:sz w:val="18"/>
                <w:szCs w:val="18"/>
                <w:bdr w:val="none" w:sz="0" w:space="0" w:color="auto" w:frame="1"/>
              </w:rPr>
              <w:t xml:space="preserve">Indication: </w:t>
            </w:r>
            <w:r w:rsidRPr="003C041C">
              <w:rPr>
                <w:rFonts w:ascii="Arial Narrow" w:hAnsi="Arial Narrow" w:cs="Open Sans"/>
                <w:sz w:val="18"/>
                <w:szCs w:val="18"/>
              </w:rPr>
              <w:t>The condition must be stable for the prescriber to consider the listed maximum quantity of this medicine suitable for this patient</w:t>
            </w:r>
            <w:r>
              <w:rPr>
                <w:rFonts w:ascii="Arial Narrow" w:hAnsi="Arial Narrow" w:cs="Open Sans"/>
                <w:sz w:val="18"/>
                <w:szCs w:val="18"/>
              </w:rPr>
              <w:t>.</w:t>
            </w:r>
          </w:p>
        </w:tc>
      </w:tr>
      <w:tr w:rsidR="00A44423" w:rsidRPr="00DD6E51" w14:paraId="66801039" w14:textId="77777777" w:rsidTr="001E253E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6D0" w14:textId="77777777" w:rsidR="00A44423" w:rsidRPr="006668CE" w:rsidRDefault="00A44423" w:rsidP="00A44423">
            <w:pPr>
              <w:pStyle w:val="pf0"/>
              <w:spacing w:before="0" w:beforeAutospacing="0" w:after="0" w:afterAutospacing="0"/>
              <w:rPr>
                <w:rFonts w:ascii="Arial Narrow" w:hAnsi="Arial Narrow" w:cs="Segoe UI"/>
                <w:b/>
                <w:bCs/>
                <w:sz w:val="18"/>
                <w:szCs w:val="18"/>
              </w:rPr>
            </w:pPr>
            <w:r w:rsidRPr="00E57A7D">
              <w:rPr>
                <w:rStyle w:val="cf11"/>
                <w:rFonts w:ascii="Arial Narrow" w:hAnsi="Arial Narrow"/>
              </w:rPr>
              <w:t>Administrative Advice:</w:t>
            </w:r>
            <w:r>
              <w:rPr>
                <w:rStyle w:val="cf11"/>
                <w:rFonts w:ascii="Arial Narrow" w:hAnsi="Arial Narrow"/>
              </w:rPr>
              <w:t xml:space="preserve"> </w:t>
            </w:r>
            <w:r w:rsidRPr="00E57A7D">
              <w:rPr>
                <w:rStyle w:val="cf11"/>
                <w:rFonts w:ascii="Arial Narrow" w:hAnsi="Arial Narrow"/>
              </w:rPr>
              <w:t>Continuing Therapy Only:</w:t>
            </w:r>
          </w:p>
          <w:p w14:paraId="534DB0AF" w14:textId="2D1C7B6D" w:rsidR="00A44423" w:rsidRPr="00DD6E51" w:rsidRDefault="00A44423" w:rsidP="00A44423">
            <w:pPr>
              <w:spacing w:after="0" w:line="240" w:lineRule="auto"/>
              <w:ind w:left="-57"/>
              <w:rPr>
                <w:rFonts w:ascii="Arial Narrow" w:hAnsi="Arial Narrow" w:cs="Open Sans"/>
                <w:sz w:val="18"/>
                <w:szCs w:val="18"/>
              </w:rPr>
            </w:pPr>
            <w:r w:rsidRPr="00E57A7D">
              <w:rPr>
                <w:rStyle w:val="cf01"/>
                <w:rFonts w:ascii="Arial Narrow" w:hAnsi="Arial Narrow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</w:tc>
      </w:tr>
    </w:tbl>
    <w:bookmarkEnd w:id="1"/>
    <w:p w14:paraId="3EFC4AB6" w14:textId="69FB9D03" w:rsidR="00F611DA" w:rsidRDefault="00F611DA" w:rsidP="00F611DA">
      <w:pPr>
        <w:pStyle w:val="Heading3"/>
      </w:pPr>
      <w:r>
        <w:lastRenderedPageBreak/>
        <w:t>Ezetimibe + atorvastatin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51"/>
        <w:gridCol w:w="1270"/>
        <w:gridCol w:w="1129"/>
        <w:gridCol w:w="988"/>
        <w:gridCol w:w="847"/>
        <w:gridCol w:w="2531"/>
      </w:tblGrid>
      <w:tr w:rsidR="00F611DA" w:rsidRPr="00DD6E51" w14:paraId="58F492BD" w14:textId="77777777" w:rsidTr="000F4274">
        <w:trPr>
          <w:trHeight w:val="31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FA63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Category / Program:   </w:t>
            </w:r>
            <w:r w:rsidRPr="00DD6E51">
              <w:rPr>
                <w:rFonts w:ascii="Arial Narrow" w:hAnsi="Arial Narrow"/>
                <w:bCs/>
                <w:sz w:val="18"/>
                <w:szCs w:val="18"/>
              </w:rPr>
              <w:t>GENERAL – General Schedule (Code GE)</w:t>
            </w:r>
          </w:p>
        </w:tc>
      </w:tr>
      <w:tr w:rsidR="00F611DA" w:rsidRPr="0094383D" w14:paraId="5AA1BFB4" w14:textId="77777777" w:rsidTr="000F4274">
        <w:trPr>
          <w:trHeight w:val="47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305B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</w:t>
            </w:r>
          </w:p>
          <w:p w14:paraId="6A81E8C6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 pack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EC58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PBS item code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9B79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packs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50F1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units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FB41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№.of</w:t>
            </w:r>
          </w:p>
          <w:p w14:paraId="3DFBADF4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Rpts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2C19" w14:textId="77777777" w:rsidR="00F611DA" w:rsidRPr="0094383D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Available brands</w:t>
            </w:r>
          </w:p>
        </w:tc>
      </w:tr>
      <w:tr w:rsidR="00F611DA" w:rsidRPr="00DD6E51" w14:paraId="78CCA57A" w14:textId="77777777" w:rsidTr="000F4274">
        <w:trPr>
          <w:trHeight w:val="37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49B7" w14:textId="5E83ED31" w:rsidR="00F611DA" w:rsidRPr="00DD6E51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+ ATORVASTATIN</w:t>
            </w:r>
          </w:p>
        </w:tc>
      </w:tr>
      <w:tr w:rsidR="00F611DA" w:rsidRPr="00DD6E51" w14:paraId="6866B709" w14:textId="77777777" w:rsidTr="00F47900">
        <w:trPr>
          <w:trHeight w:val="56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BC5" w14:textId="0A7A03B1" w:rsidR="00F611DA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atorvastatin 10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78C" w14:textId="09A61D49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AE7289">
              <w:rPr>
                <w:rFonts w:ascii="Arial Narrow" w:hAnsi="Arial Narrow"/>
                <w:sz w:val="18"/>
                <w:szCs w:val="18"/>
              </w:rPr>
              <w:t>0392Y</w:t>
            </w:r>
          </w:p>
          <w:p w14:paraId="1C13EDAE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DB31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C5E" w14:textId="4D730664" w:rsidR="00F611DA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CA0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76F54DDE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198" w14:textId="6C77AF9F" w:rsidR="00F611DA" w:rsidRPr="00AE7289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Ezetast</w:t>
            </w:r>
          </w:p>
          <w:p w14:paraId="2CF3C539" w14:textId="32366970" w:rsidR="00F611DA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="00F611DA" w:rsidRPr="00AE7289">
              <w:rPr>
                <w:rFonts w:ascii="Arial Narrow" w:hAnsi="Arial Narrow"/>
                <w:sz w:val="18"/>
                <w:szCs w:val="18"/>
              </w:rPr>
              <w:t>Ezetimibe/Atorvastatin GH 10/10</w:t>
            </w:r>
          </w:p>
          <w:p w14:paraId="4D559CA1" w14:textId="03CEDE65" w:rsidR="00F611DA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="00F611DA" w:rsidRPr="00AE7289">
              <w:rPr>
                <w:rFonts w:ascii="Arial Narrow" w:hAnsi="Arial Narrow"/>
                <w:sz w:val="18"/>
                <w:szCs w:val="18"/>
              </w:rPr>
              <w:t>Atozet</w:t>
            </w:r>
          </w:p>
        </w:tc>
      </w:tr>
      <w:tr w:rsidR="00F611DA" w:rsidRPr="00DD6E51" w14:paraId="43D9CF7F" w14:textId="77777777" w:rsidTr="000F4274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959" w14:textId="29D5F51A" w:rsidR="00F611DA" w:rsidRPr="00DD6E51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atorvastatin 20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671" w14:textId="5849ECE5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AE7289">
              <w:rPr>
                <w:rFonts w:ascii="Arial Narrow" w:hAnsi="Arial Narrow"/>
                <w:sz w:val="18"/>
                <w:szCs w:val="18"/>
              </w:rPr>
              <w:t>0393B</w:t>
            </w:r>
          </w:p>
          <w:p w14:paraId="78D5F874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  <w:vertAlign w:val="subscript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090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90E" w14:textId="38B5691C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3B83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A8A2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74E433ED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D24" w14:textId="77777777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AE7289">
              <w:rPr>
                <w:rFonts w:ascii="Arial Narrow" w:hAnsi="Arial Narrow"/>
                <w:sz w:val="18"/>
                <w:szCs w:val="18"/>
              </w:rPr>
              <w:t>Ezetast</w:t>
            </w:r>
          </w:p>
          <w:p w14:paraId="0FB01EB4" w14:textId="77FAEB7E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Ezetimibe/Atorvastatin GH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AE7289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23064D8D" w14:textId="181C82D6" w:rsidR="00F611DA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Atozet</w:t>
            </w:r>
          </w:p>
        </w:tc>
      </w:tr>
      <w:tr w:rsidR="00F611DA" w:rsidRPr="00DD6E51" w14:paraId="689A46E9" w14:textId="77777777" w:rsidTr="000F4274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A99" w14:textId="0285CED0" w:rsidR="00F611DA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atorvastatin 40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2CB" w14:textId="5C457088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AE7289">
              <w:rPr>
                <w:rFonts w:ascii="Arial Narrow" w:hAnsi="Arial Narrow"/>
                <w:sz w:val="18"/>
                <w:szCs w:val="18"/>
              </w:rPr>
              <w:t>0377E</w:t>
            </w:r>
          </w:p>
          <w:p w14:paraId="0FD29CF7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3B1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D7A" w14:textId="40B69765" w:rsidR="00F611DA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3B83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26F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2F40803F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7E9" w14:textId="77777777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AE7289">
              <w:rPr>
                <w:rFonts w:ascii="Arial Narrow" w:hAnsi="Arial Narrow"/>
                <w:sz w:val="18"/>
                <w:szCs w:val="18"/>
              </w:rPr>
              <w:t>Ezetast</w:t>
            </w:r>
          </w:p>
          <w:p w14:paraId="20E62BDB" w14:textId="79C86753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Ezetimibe/Atorvastatin GH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AE7289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3351EA67" w14:textId="392D2B9A" w:rsidR="00F611DA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Atozet</w:t>
            </w:r>
          </w:p>
        </w:tc>
      </w:tr>
      <w:tr w:rsidR="00F611DA" w:rsidRPr="00DD6E51" w14:paraId="620AF6AA" w14:textId="77777777" w:rsidTr="000F4274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C27" w14:textId="7384EF12" w:rsidR="00F611DA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atorvastatin 80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009" w14:textId="4DF22600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AE7289">
              <w:rPr>
                <w:rFonts w:ascii="Arial Narrow" w:hAnsi="Arial Narrow"/>
                <w:sz w:val="18"/>
                <w:szCs w:val="18"/>
              </w:rPr>
              <w:t>0376D</w:t>
            </w:r>
          </w:p>
          <w:p w14:paraId="4C181821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DA4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CC0" w14:textId="62F85DA7" w:rsidR="00F611DA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3B83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200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35E0794E" w14:textId="77777777" w:rsidR="00F611DA" w:rsidRPr="00DD6E51" w:rsidRDefault="00F611DA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3E6" w14:textId="77777777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AE7289">
              <w:rPr>
                <w:rFonts w:ascii="Arial Narrow" w:hAnsi="Arial Narrow"/>
                <w:sz w:val="18"/>
                <w:szCs w:val="18"/>
              </w:rPr>
              <w:t>Ezetast</w:t>
            </w:r>
          </w:p>
          <w:p w14:paraId="24BC9C42" w14:textId="257E8241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Ezetimibe/Atorvastatin GH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AE7289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3296E639" w14:textId="72C35150" w:rsidR="00F611DA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Atozet</w:t>
            </w:r>
          </w:p>
        </w:tc>
      </w:tr>
      <w:tr w:rsidR="00F611DA" w:rsidRPr="00DD6E51" w14:paraId="36E8EC4A" w14:textId="77777777" w:rsidTr="000F4274">
        <w:trPr>
          <w:trHeight w:val="54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D7E6" w14:textId="77777777" w:rsidR="00F47900" w:rsidRDefault="00F47900" w:rsidP="00F47900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Remove the following restriction summaries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491318C8" w14:textId="3EC8221D" w:rsidR="00F611DA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7958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hypercholesterolaemia, reduced statin dose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 </w:t>
            </w:r>
            <w:r w:rsidR="00AE7289">
              <w:rPr>
                <w:rFonts w:ascii="Arial Narrow" w:hAnsi="Arial Narrow"/>
                <w:sz w:val="18"/>
                <w:szCs w:val="18"/>
              </w:rPr>
              <w:t>10392Y</w:t>
            </w:r>
          </w:p>
          <w:p w14:paraId="7CAA937C" w14:textId="2571A21D" w:rsidR="00F611DA" w:rsidRPr="00DD6E51" w:rsidRDefault="00F611DA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7957 </w:t>
            </w:r>
            <w:r w:rsidRPr="00DD6E51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hypercholesterolaemia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items </w:t>
            </w:r>
            <w:r w:rsidR="00AE7289">
              <w:rPr>
                <w:rFonts w:ascii="Arial Narrow" w:hAnsi="Arial Narrow"/>
                <w:sz w:val="18"/>
                <w:szCs w:val="18"/>
              </w:rPr>
              <w:t>10393B, 10377E and 10376D</w:t>
            </w:r>
          </w:p>
        </w:tc>
      </w:tr>
      <w:tr w:rsidR="00F47900" w:rsidRPr="00DD6E51" w14:paraId="66FEC395" w14:textId="77777777" w:rsidTr="008157D8">
        <w:trPr>
          <w:trHeight w:val="381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DA08" w14:textId="77777777" w:rsidR="00F47900" w:rsidRPr="006668CE" w:rsidRDefault="00F47900" w:rsidP="00F47900">
            <w:pPr>
              <w:pStyle w:val="pf0"/>
              <w:spacing w:before="0" w:beforeAutospacing="0" w:after="0" w:afterAutospacing="0"/>
              <w:rPr>
                <w:rFonts w:ascii="Arial Narrow" w:hAnsi="Arial Narrow" w:cs="Segoe UI"/>
                <w:b/>
                <w:bCs/>
                <w:sz w:val="18"/>
                <w:szCs w:val="18"/>
              </w:rPr>
            </w:pPr>
            <w:r w:rsidRPr="00E57A7D">
              <w:rPr>
                <w:rStyle w:val="cf11"/>
                <w:rFonts w:ascii="Arial Narrow" w:hAnsi="Arial Narrow"/>
              </w:rPr>
              <w:t>Administrative Advice:</w:t>
            </w:r>
            <w:r>
              <w:rPr>
                <w:rStyle w:val="cf11"/>
                <w:rFonts w:ascii="Arial Narrow" w:hAnsi="Arial Narrow"/>
              </w:rPr>
              <w:t xml:space="preserve"> </w:t>
            </w:r>
            <w:r w:rsidRPr="00E57A7D">
              <w:rPr>
                <w:rStyle w:val="cf11"/>
                <w:rFonts w:ascii="Arial Narrow" w:hAnsi="Arial Narrow"/>
              </w:rPr>
              <w:t>Continuing Therapy Only:</w:t>
            </w:r>
          </w:p>
          <w:p w14:paraId="3D93B7CB" w14:textId="6B620ABE" w:rsidR="00F47900" w:rsidRPr="00DD6E51" w:rsidRDefault="00F47900" w:rsidP="00F47900">
            <w:pPr>
              <w:spacing w:after="0" w:line="240" w:lineRule="auto"/>
              <w:ind w:left="-57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57A7D">
              <w:rPr>
                <w:rStyle w:val="cf01"/>
                <w:rFonts w:ascii="Arial Narrow" w:hAnsi="Arial Narrow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</w:tc>
      </w:tr>
    </w:tbl>
    <w:p w14:paraId="32E60FE3" w14:textId="77777777" w:rsidR="00F611DA" w:rsidRDefault="00F611DA" w:rsidP="00A44423">
      <w:pPr>
        <w:spacing w:after="0"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51"/>
        <w:gridCol w:w="1270"/>
        <w:gridCol w:w="1129"/>
        <w:gridCol w:w="988"/>
        <w:gridCol w:w="847"/>
        <w:gridCol w:w="2531"/>
      </w:tblGrid>
      <w:tr w:rsidR="00AE7289" w:rsidRPr="00DD6E51" w14:paraId="54AB3797" w14:textId="77777777" w:rsidTr="000F4274">
        <w:trPr>
          <w:trHeight w:val="31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29C5" w14:textId="77777777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Category / Program:   </w:t>
            </w:r>
            <w:r w:rsidRPr="00DD6E51">
              <w:rPr>
                <w:rFonts w:ascii="Arial Narrow" w:hAnsi="Arial Narrow"/>
                <w:bCs/>
                <w:sz w:val="18"/>
                <w:szCs w:val="18"/>
              </w:rPr>
              <w:t>GENERAL – General Schedule (Code GE)</w:t>
            </w:r>
          </w:p>
        </w:tc>
      </w:tr>
      <w:tr w:rsidR="00AE7289" w:rsidRPr="0094383D" w14:paraId="2902E62A" w14:textId="77777777" w:rsidTr="000F4274">
        <w:trPr>
          <w:trHeight w:val="47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9191" w14:textId="77777777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</w:t>
            </w:r>
          </w:p>
          <w:p w14:paraId="2A5D4F3A" w14:textId="77777777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 pack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3EF5" w14:textId="77777777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PBS item code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2382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packs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F84A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units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DBFD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№.of</w:t>
            </w:r>
          </w:p>
          <w:p w14:paraId="5EA06016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Rpts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0A67" w14:textId="77777777" w:rsidR="00AE7289" w:rsidRPr="0094383D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Available brands</w:t>
            </w:r>
          </w:p>
        </w:tc>
      </w:tr>
      <w:tr w:rsidR="00AE7289" w:rsidRPr="00DD6E51" w14:paraId="3658DD21" w14:textId="77777777" w:rsidTr="000F4274">
        <w:trPr>
          <w:trHeight w:val="37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9D71" w14:textId="77777777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+ ATORVASTATIN</w:t>
            </w:r>
          </w:p>
        </w:tc>
      </w:tr>
      <w:tr w:rsidR="00AE7289" w:rsidRPr="00DD6E51" w14:paraId="3E5553E7" w14:textId="77777777" w:rsidTr="00F47900">
        <w:trPr>
          <w:trHeight w:val="55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62E" w14:textId="77777777" w:rsidR="00AE7289" w:rsidRDefault="00AE7289" w:rsidP="00A4442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atorvastatin 10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85C" w14:textId="1CB7A913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13539N</w:t>
            </w:r>
          </w:p>
          <w:p w14:paraId="55CCDD5C" w14:textId="77777777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764" w14:textId="768077F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06A" w14:textId="1344370F" w:rsidR="00AE7289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A196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2442D3BB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76A" w14:textId="77777777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Ezetast</w:t>
            </w:r>
          </w:p>
          <w:p w14:paraId="430EE61D" w14:textId="77777777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Ezetimibe/Atorvastatin GH 10/10</w:t>
            </w:r>
          </w:p>
          <w:p w14:paraId="2D9EC0C0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Atozet</w:t>
            </w:r>
          </w:p>
        </w:tc>
      </w:tr>
      <w:tr w:rsidR="00AE7289" w:rsidRPr="00DD6E51" w14:paraId="128AB30E" w14:textId="77777777" w:rsidTr="000F4274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9B3" w14:textId="77777777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atorvastatin 20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E7D" w14:textId="072EDD38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13622Y</w:t>
            </w:r>
          </w:p>
          <w:p w14:paraId="1B7A31EC" w14:textId="77777777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  <w:vertAlign w:val="subscript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C6A" w14:textId="68357E5D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9264" w14:textId="43567549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F5E6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0C633DDE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1CC" w14:textId="77777777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AE7289">
              <w:rPr>
                <w:rFonts w:ascii="Arial Narrow" w:hAnsi="Arial Narrow"/>
                <w:sz w:val="18"/>
                <w:szCs w:val="18"/>
              </w:rPr>
              <w:t>Ezetast</w:t>
            </w:r>
          </w:p>
          <w:p w14:paraId="4EA27922" w14:textId="33BE2F41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Ezetimibe/Atorvastatin GH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AE7289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4A0DE804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Atozet</w:t>
            </w:r>
          </w:p>
        </w:tc>
      </w:tr>
      <w:tr w:rsidR="00AE7289" w:rsidRPr="00DD6E51" w14:paraId="1B083B17" w14:textId="77777777" w:rsidTr="000F4274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C24" w14:textId="77777777" w:rsidR="00AE7289" w:rsidRDefault="00AE7289" w:rsidP="00A44423">
            <w:pPr>
              <w:keepNext/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atorvastatin 40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9CA" w14:textId="27995FA5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13416D</w:t>
            </w:r>
          </w:p>
          <w:p w14:paraId="0D3C05D7" w14:textId="77777777" w:rsidR="00AE7289" w:rsidRPr="00DD6E51" w:rsidRDefault="00AE7289" w:rsidP="00A44423">
            <w:pPr>
              <w:keepNext/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935" w14:textId="76269ACF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7A0" w14:textId="2DCD5119" w:rsidR="00AE7289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1C8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1D823963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BD" w14:textId="77777777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AE7289">
              <w:rPr>
                <w:rFonts w:ascii="Arial Narrow" w:hAnsi="Arial Narrow"/>
                <w:sz w:val="18"/>
                <w:szCs w:val="18"/>
              </w:rPr>
              <w:t>Ezetast</w:t>
            </w:r>
          </w:p>
          <w:p w14:paraId="652C3427" w14:textId="67FDB7A6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Ezetimibe/Atorvastatin GH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AE7289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6BD9BBD8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Atozet</w:t>
            </w:r>
          </w:p>
        </w:tc>
      </w:tr>
      <w:tr w:rsidR="00AE7289" w:rsidRPr="00DD6E51" w14:paraId="3AC08368" w14:textId="77777777" w:rsidTr="000F4274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14E" w14:textId="77777777" w:rsid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atorvastatin 80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FE9" w14:textId="64DDD8BB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13538M</w:t>
            </w:r>
          </w:p>
          <w:p w14:paraId="2B21D791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8D0" w14:textId="3322AC52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3CF" w14:textId="3F800E40" w:rsidR="00AE7289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7AA6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477BDBBD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CCA8" w14:textId="77777777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AE7289">
              <w:rPr>
                <w:rFonts w:ascii="Arial Narrow" w:hAnsi="Arial Narrow"/>
                <w:sz w:val="18"/>
                <w:szCs w:val="18"/>
              </w:rPr>
              <w:t>Ezetast</w:t>
            </w:r>
          </w:p>
          <w:p w14:paraId="0E1D318F" w14:textId="14DE7E1C" w:rsidR="00AE7289" w:rsidRP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Ezetimibe/Atorvastatin GH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AE7289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1102FD6A" w14:textId="77777777" w:rsidR="00AE7289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AE7289">
              <w:rPr>
                <w:rFonts w:ascii="Arial Narrow" w:hAnsi="Arial Narrow"/>
                <w:sz w:val="18"/>
                <w:szCs w:val="18"/>
              </w:rPr>
              <w:t>Atozet</w:t>
            </w:r>
          </w:p>
        </w:tc>
      </w:tr>
      <w:tr w:rsidR="00AE7289" w:rsidRPr="00DD6E51" w14:paraId="0F250135" w14:textId="77777777" w:rsidTr="000F4274">
        <w:trPr>
          <w:trHeight w:val="54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6FB2" w14:textId="77777777" w:rsidR="00F47900" w:rsidRDefault="00F47900" w:rsidP="00F47900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Remove the following restriction summaries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717AD61B" w14:textId="4F1731A6" w:rsidR="00AE7289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14269 </w:t>
            </w:r>
            <w:r w:rsidRPr="00DD6E51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hypercholesterolaemia, reduced statin dose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 13539N</w:t>
            </w:r>
          </w:p>
          <w:p w14:paraId="1B6F127D" w14:textId="4D8C4FBF" w:rsidR="00AE7289" w:rsidRPr="00DD6E51" w:rsidRDefault="00AE7289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14284 </w:t>
            </w:r>
            <w:r w:rsidRPr="00DD6E51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hypercholesterolaemia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items 13622Y,13416D and 13538M</w:t>
            </w:r>
          </w:p>
        </w:tc>
      </w:tr>
      <w:tr w:rsidR="00AE7289" w:rsidRPr="00E600E0" w14:paraId="2A9FBE4B" w14:textId="77777777" w:rsidTr="00F47900">
        <w:trPr>
          <w:trHeight w:val="94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6C18" w14:textId="616C2608" w:rsidR="00AE7289" w:rsidRPr="00E600E0" w:rsidRDefault="00AE7289" w:rsidP="00F47900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E600E0">
              <w:rPr>
                <w:rFonts w:ascii="Arial Narrow" w:hAnsi="Arial Narrow"/>
                <w:b/>
                <w:bCs/>
                <w:sz w:val="18"/>
                <w:szCs w:val="18"/>
              </w:rPr>
              <w:t>Restriction</w:t>
            </w:r>
            <w:r w:rsidR="00F4790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Pr="00E600E0">
              <w:rPr>
                <w:rFonts w:ascii="Arial Narrow" w:hAnsi="Arial Narrow"/>
                <w:b/>
                <w:bCs/>
                <w:sz w:val="18"/>
                <w:szCs w:val="18"/>
              </w:rPr>
              <w:t>Restricted Benefit</w:t>
            </w:r>
          </w:p>
        </w:tc>
      </w:tr>
      <w:tr w:rsidR="00F47900" w:rsidRPr="00DD6E51" w14:paraId="342226FA" w14:textId="77777777" w:rsidTr="007B4351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0B31" w14:textId="7DF73A5B" w:rsidR="00F47900" w:rsidRPr="00DD6E51" w:rsidRDefault="00F47900" w:rsidP="00F47900">
            <w:pPr>
              <w:spacing w:after="0" w:line="240" w:lineRule="auto"/>
              <w:ind w:left="-57"/>
              <w:textAlignment w:val="baseline"/>
              <w:rPr>
                <w:rFonts w:ascii="Arial Narrow" w:hAnsi="Arial Narrow" w:cs="Open Sans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D6E51">
              <w:rPr>
                <w:rFonts w:ascii="Arial Narrow" w:hAnsi="Arial Narrow" w:cs="Open Sans"/>
                <w:b/>
                <w:bCs/>
                <w:sz w:val="18"/>
                <w:szCs w:val="18"/>
                <w:bdr w:val="none" w:sz="0" w:space="0" w:color="auto" w:frame="1"/>
              </w:rPr>
              <w:t xml:space="preserve">Indication: </w:t>
            </w:r>
            <w:r w:rsidRPr="003C041C">
              <w:rPr>
                <w:rFonts w:ascii="Arial Narrow" w:hAnsi="Arial Narrow" w:cs="Open Sans"/>
                <w:sz w:val="18"/>
                <w:szCs w:val="18"/>
              </w:rPr>
              <w:t>The condition must be stable for the prescriber to consider the listed maximum quantity of this medicine suitable for this patient</w:t>
            </w:r>
            <w:r>
              <w:rPr>
                <w:rFonts w:ascii="Arial Narrow" w:hAnsi="Arial Narrow" w:cs="Open Sans"/>
                <w:sz w:val="18"/>
                <w:szCs w:val="18"/>
              </w:rPr>
              <w:t>.</w:t>
            </w:r>
          </w:p>
        </w:tc>
      </w:tr>
      <w:tr w:rsidR="00F47900" w:rsidRPr="00DD6E51" w14:paraId="2E8FE4A6" w14:textId="77777777" w:rsidTr="005715D8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BE3" w14:textId="77777777" w:rsidR="00F47900" w:rsidRPr="006668CE" w:rsidRDefault="00F47900" w:rsidP="00F47900">
            <w:pPr>
              <w:pStyle w:val="pf0"/>
              <w:spacing w:before="0" w:beforeAutospacing="0" w:after="0" w:afterAutospacing="0"/>
              <w:rPr>
                <w:rFonts w:ascii="Arial Narrow" w:hAnsi="Arial Narrow" w:cs="Segoe UI"/>
                <w:b/>
                <w:bCs/>
                <w:sz w:val="18"/>
                <w:szCs w:val="18"/>
              </w:rPr>
            </w:pPr>
            <w:r w:rsidRPr="00E57A7D">
              <w:rPr>
                <w:rStyle w:val="cf11"/>
                <w:rFonts w:ascii="Arial Narrow" w:hAnsi="Arial Narrow"/>
              </w:rPr>
              <w:t>Administrative Advice:</w:t>
            </w:r>
            <w:r>
              <w:rPr>
                <w:rStyle w:val="cf11"/>
                <w:rFonts w:ascii="Arial Narrow" w:hAnsi="Arial Narrow"/>
              </w:rPr>
              <w:t xml:space="preserve"> </w:t>
            </w:r>
            <w:r w:rsidRPr="00E57A7D">
              <w:rPr>
                <w:rStyle w:val="cf11"/>
                <w:rFonts w:ascii="Arial Narrow" w:hAnsi="Arial Narrow"/>
              </w:rPr>
              <w:t>Continuing Therapy Only:</w:t>
            </w:r>
          </w:p>
          <w:p w14:paraId="6F7675BE" w14:textId="45C6C40E" w:rsidR="00F47900" w:rsidRPr="00DD6E51" w:rsidRDefault="00F47900" w:rsidP="00F47900">
            <w:pPr>
              <w:spacing w:after="0" w:line="240" w:lineRule="auto"/>
              <w:ind w:left="-57"/>
              <w:rPr>
                <w:rFonts w:ascii="Arial Narrow" w:hAnsi="Arial Narrow" w:cs="Open Sans"/>
                <w:sz w:val="18"/>
                <w:szCs w:val="18"/>
              </w:rPr>
            </w:pPr>
            <w:r w:rsidRPr="00E57A7D">
              <w:rPr>
                <w:rStyle w:val="cf01"/>
                <w:rFonts w:ascii="Arial Narrow" w:hAnsi="Arial Narrow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</w:tc>
      </w:tr>
    </w:tbl>
    <w:p w14:paraId="255D9AE6" w14:textId="77777777" w:rsidR="00AE7289" w:rsidRDefault="00AE7289" w:rsidP="00F10B2B"/>
    <w:p w14:paraId="7AD0CED6" w14:textId="77777777" w:rsidR="00C0085C" w:rsidRDefault="00C0085C">
      <w:pPr>
        <w:rPr>
          <w:b/>
          <w:i/>
          <w:iCs/>
          <w:sz w:val="28"/>
          <w:szCs w:val="28"/>
        </w:rPr>
      </w:pPr>
      <w:r>
        <w:br w:type="page"/>
      </w:r>
    </w:p>
    <w:p w14:paraId="31F51AAF" w14:textId="340D3C58" w:rsidR="007122A1" w:rsidRDefault="007122A1" w:rsidP="007122A1">
      <w:pPr>
        <w:pStyle w:val="Heading3"/>
      </w:pPr>
      <w:r>
        <w:lastRenderedPageBreak/>
        <w:t>Ezetimibe + simvastatin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51"/>
        <w:gridCol w:w="1270"/>
        <w:gridCol w:w="1129"/>
        <w:gridCol w:w="988"/>
        <w:gridCol w:w="594"/>
        <w:gridCol w:w="2784"/>
      </w:tblGrid>
      <w:tr w:rsidR="007122A1" w:rsidRPr="00DD6E51" w14:paraId="56122438" w14:textId="77777777" w:rsidTr="000F4274">
        <w:trPr>
          <w:trHeight w:val="31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736F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Category / Program:   </w:t>
            </w:r>
            <w:r w:rsidRPr="00DD6E51">
              <w:rPr>
                <w:rFonts w:ascii="Arial Narrow" w:hAnsi="Arial Narrow"/>
                <w:bCs/>
                <w:sz w:val="18"/>
                <w:szCs w:val="18"/>
              </w:rPr>
              <w:t>GENERAL – General Schedule (Code GE)</w:t>
            </w:r>
          </w:p>
        </w:tc>
      </w:tr>
      <w:tr w:rsidR="007122A1" w:rsidRPr="0094383D" w14:paraId="0CE47D0C" w14:textId="77777777" w:rsidTr="007A2D1D">
        <w:trPr>
          <w:trHeight w:val="47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4958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</w:t>
            </w:r>
          </w:p>
          <w:p w14:paraId="6C7E7601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 pack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F7AD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PBS item code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96AA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packs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EA65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units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2199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№.of</w:t>
            </w:r>
          </w:p>
          <w:p w14:paraId="4631BCA1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Rpts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425A" w14:textId="77777777" w:rsidR="007122A1" w:rsidRPr="0094383D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Available brands</w:t>
            </w:r>
          </w:p>
        </w:tc>
      </w:tr>
      <w:tr w:rsidR="007122A1" w:rsidRPr="00DD6E51" w14:paraId="2728805E" w14:textId="77777777" w:rsidTr="000F4274">
        <w:trPr>
          <w:trHeight w:val="37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DCB3" w14:textId="57ACF0BD" w:rsidR="007122A1" w:rsidRPr="00DD6E5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EZETIMIBE + </w:t>
            </w:r>
            <w:r w:rsidR="004E7398">
              <w:rPr>
                <w:rFonts w:ascii="Arial Narrow" w:hAnsi="Arial Narrow"/>
                <w:sz w:val="18"/>
                <w:szCs w:val="18"/>
              </w:rPr>
              <w:t>SIM</w:t>
            </w:r>
            <w:r>
              <w:rPr>
                <w:rFonts w:ascii="Arial Narrow" w:hAnsi="Arial Narrow"/>
                <w:sz w:val="18"/>
                <w:szCs w:val="18"/>
              </w:rPr>
              <w:t>VASTATIN</w:t>
            </w:r>
          </w:p>
        </w:tc>
      </w:tr>
      <w:tr w:rsidR="007122A1" w:rsidRPr="00DD6E51" w14:paraId="1422E2B6" w14:textId="77777777" w:rsidTr="007A2D1D">
        <w:trPr>
          <w:trHeight w:val="94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589C" w14:textId="70956D02" w:rsidR="007122A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Ezetimibe 10 mg tablet + </w:t>
            </w:r>
            <w:r w:rsidR="004E7398">
              <w:rPr>
                <w:rFonts w:ascii="Arial Narrow" w:hAnsi="Arial Narrow"/>
                <w:sz w:val="18"/>
                <w:szCs w:val="18"/>
              </w:rPr>
              <w:t>sim</w:t>
            </w:r>
            <w:r>
              <w:rPr>
                <w:rFonts w:ascii="Arial Narrow" w:hAnsi="Arial Narrow"/>
                <w:sz w:val="18"/>
                <w:szCs w:val="18"/>
              </w:rPr>
              <w:t>vastatin 10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36EF" w14:textId="02F138F2" w:rsidR="007122A1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9483D</w:t>
            </w:r>
          </w:p>
          <w:p w14:paraId="01E535A3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447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0C20" w14:textId="77777777" w:rsidR="007122A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A6C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36DDD00F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437" w14:textId="7F7E67D2" w:rsidR="004E7398" w:rsidRPr="004E7398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="004E7398" w:rsidRPr="004E7398">
              <w:rPr>
                <w:rFonts w:ascii="Arial Narrow" w:hAnsi="Arial Narrow"/>
                <w:sz w:val="18"/>
                <w:szCs w:val="18"/>
              </w:rPr>
              <w:t>APO-Ezetimibe/Simvastatin 10/10</w:t>
            </w:r>
          </w:p>
          <w:p w14:paraId="02A50974" w14:textId="05C0CB53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EZETIMIBE/SIMVASTATIN SANDOZ</w:t>
            </w:r>
          </w:p>
          <w:p w14:paraId="10686A34" w14:textId="5044EC5E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EZETORIN</w:t>
            </w:r>
          </w:p>
          <w:p w14:paraId="10BF162D" w14:textId="7F2CBB58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EzSimva GH 10/10</w:t>
            </w:r>
          </w:p>
          <w:p w14:paraId="0DC27931" w14:textId="721C2011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Pharmacor Ezetimibe Simvastatin 10/10</w:t>
            </w:r>
          </w:p>
          <w:p w14:paraId="78B01328" w14:textId="3C072B2E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Vytorin</w:t>
            </w:r>
          </w:p>
          <w:p w14:paraId="15DBD4E1" w14:textId="7A10590D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Zeklen 10/10 mg</w:t>
            </w:r>
          </w:p>
          <w:p w14:paraId="4B804D50" w14:textId="7B225528" w:rsidR="007122A1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Zimybe 10/10</w:t>
            </w:r>
          </w:p>
        </w:tc>
      </w:tr>
      <w:tr w:rsidR="007122A1" w:rsidRPr="00DD6E51" w14:paraId="76CE0F5E" w14:textId="77777777" w:rsidTr="007A2D1D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222" w14:textId="26917828" w:rsidR="007122A1" w:rsidRPr="00DD6E5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Ezetimibe 10 mg tablet + </w:t>
            </w:r>
            <w:r w:rsidR="004E7398">
              <w:rPr>
                <w:rFonts w:ascii="Arial Narrow" w:hAnsi="Arial Narrow"/>
                <w:sz w:val="18"/>
                <w:szCs w:val="18"/>
              </w:rPr>
              <w:t>sim</w:t>
            </w:r>
            <w:r>
              <w:rPr>
                <w:rFonts w:ascii="Arial Narrow" w:hAnsi="Arial Narrow"/>
                <w:sz w:val="18"/>
                <w:szCs w:val="18"/>
              </w:rPr>
              <w:t>vastatin 20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6CE" w14:textId="6B367CB1" w:rsidR="007122A1" w:rsidRPr="00DD6E51" w:rsidRDefault="00F16CC3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9484E</w:t>
            </w:r>
          </w:p>
          <w:p w14:paraId="587F6601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  <w:vertAlign w:val="subscript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4E8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B61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3B83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C93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49D2100E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9A2F" w14:textId="71ACA56B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APO-Ezetimibe/Simvastatin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1F89E574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EZETIMIBE/SIMVASTATIN SANDOZ</w:t>
            </w:r>
          </w:p>
          <w:p w14:paraId="08344798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EZETORIN</w:t>
            </w:r>
          </w:p>
          <w:p w14:paraId="58AB4B63" w14:textId="1516FF3D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EzSimva GH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3E780582" w14:textId="7C241BCE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Pharmacor Ezetimibe Simvastatin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1D781F53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Vytorin</w:t>
            </w:r>
          </w:p>
          <w:p w14:paraId="2456777D" w14:textId="3F6109D6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Zeklen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 mg</w:t>
            </w:r>
          </w:p>
          <w:p w14:paraId="2BC31A20" w14:textId="4145CBA8" w:rsidR="007122A1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Zimybe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7122A1" w:rsidRPr="00DD6E51" w14:paraId="6A86E73C" w14:textId="77777777" w:rsidTr="007A2D1D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FDE" w14:textId="6127B273" w:rsidR="007122A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Ezetimibe 10 mg tablet + </w:t>
            </w:r>
            <w:r w:rsidR="004E7398">
              <w:rPr>
                <w:rFonts w:ascii="Arial Narrow" w:hAnsi="Arial Narrow"/>
                <w:sz w:val="18"/>
                <w:szCs w:val="18"/>
              </w:rPr>
              <w:t>sim</w:t>
            </w:r>
            <w:r>
              <w:rPr>
                <w:rFonts w:ascii="Arial Narrow" w:hAnsi="Arial Narrow"/>
                <w:sz w:val="18"/>
                <w:szCs w:val="18"/>
              </w:rPr>
              <w:t>vastatin 40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845" w14:textId="6EC223C1" w:rsidR="007122A1" w:rsidRPr="00DD6E51" w:rsidRDefault="007E15B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8881K</w:t>
            </w:r>
          </w:p>
          <w:p w14:paraId="317192C5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FC7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78AE" w14:textId="77777777" w:rsidR="007122A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3B83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0EC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62C56549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25F" w14:textId="595FA43E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APO-Ezetimibe/Simvastatin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1E26292A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EZETIMIBE/SIMVASTATIN SANDOZ</w:t>
            </w:r>
          </w:p>
          <w:p w14:paraId="39060201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EZETORIN</w:t>
            </w:r>
          </w:p>
          <w:p w14:paraId="3687C0B9" w14:textId="60812FC2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EzSimva GH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10F94350" w14:textId="6817FC9F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Pharmacor Ezetimibe Simvastatin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45982031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Vytorin</w:t>
            </w:r>
          </w:p>
          <w:p w14:paraId="7817C041" w14:textId="61528915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Zeklen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 mg</w:t>
            </w:r>
          </w:p>
          <w:p w14:paraId="5E291E93" w14:textId="649A8923" w:rsidR="007122A1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Zimybe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7122A1" w:rsidRPr="00DD6E51" w14:paraId="78858F90" w14:textId="77777777" w:rsidTr="007A2D1D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FF9" w14:textId="2EDC1670" w:rsidR="007122A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Ezetimibe 10 mg tablet + </w:t>
            </w:r>
            <w:r w:rsidR="004E7398">
              <w:rPr>
                <w:rFonts w:ascii="Arial Narrow" w:hAnsi="Arial Narrow"/>
                <w:sz w:val="18"/>
                <w:szCs w:val="18"/>
              </w:rPr>
              <w:t>sim</w:t>
            </w:r>
            <w:r>
              <w:rPr>
                <w:rFonts w:ascii="Arial Narrow" w:hAnsi="Arial Narrow"/>
                <w:sz w:val="18"/>
                <w:szCs w:val="18"/>
              </w:rPr>
              <w:t>vastatin 80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1DE" w14:textId="6A444B4E" w:rsidR="007122A1" w:rsidRPr="00DD6E51" w:rsidRDefault="007E15B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8882L</w:t>
            </w:r>
          </w:p>
          <w:p w14:paraId="56DB5664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4E1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A74" w14:textId="77777777" w:rsidR="007122A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3B83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F41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6EA015A8" w14:textId="77777777" w:rsidR="007122A1" w:rsidRPr="00DD6E51" w:rsidRDefault="007122A1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481" w14:textId="41146592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APO-Ezetimibe/Simvastatin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026917C4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EZETIMIBE/SIMVASTATIN SANDOZ</w:t>
            </w:r>
          </w:p>
          <w:p w14:paraId="14C177F2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EZETORIN</w:t>
            </w:r>
          </w:p>
          <w:p w14:paraId="5D234C2B" w14:textId="1E6FE5C5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EzSimva GH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2E2DE284" w14:textId="1CEC00F8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Pharmacor Ezetimibe Simvastatin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3157B413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Vytorin</w:t>
            </w:r>
          </w:p>
          <w:p w14:paraId="0CA419BE" w14:textId="570EBC8B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Zeklen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 mg</w:t>
            </w:r>
          </w:p>
          <w:p w14:paraId="7E8612A0" w14:textId="761A2051" w:rsidR="007122A1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Zimybe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7122A1" w:rsidRPr="00DD6E51" w14:paraId="25E40EB8" w14:textId="77777777" w:rsidTr="000F4274">
        <w:trPr>
          <w:trHeight w:val="54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7845" w14:textId="77777777" w:rsidR="007A2D1D" w:rsidRDefault="007A2D1D" w:rsidP="007A2D1D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Remove the following restriction summaries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054C6260" w14:textId="280B3874" w:rsidR="007122A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7958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hypercholesterolaemia, reduced statin dose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 </w:t>
            </w:r>
            <w:r w:rsidR="004E7398">
              <w:rPr>
                <w:rFonts w:ascii="Arial Narrow" w:hAnsi="Arial Narrow"/>
                <w:sz w:val="18"/>
                <w:szCs w:val="18"/>
              </w:rPr>
              <w:t>9483D</w:t>
            </w:r>
            <w:r w:rsidR="00F16CC3">
              <w:rPr>
                <w:rFonts w:ascii="Arial Narrow" w:hAnsi="Arial Narrow"/>
                <w:sz w:val="18"/>
                <w:szCs w:val="18"/>
              </w:rPr>
              <w:t xml:space="preserve"> and 9484E</w:t>
            </w:r>
          </w:p>
          <w:p w14:paraId="5E66B96A" w14:textId="760E56E0" w:rsidR="007122A1" w:rsidRPr="00DD6E51" w:rsidRDefault="007122A1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7957 </w:t>
            </w:r>
            <w:r w:rsidRPr="00DD6E51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hypercholesterolaemia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items </w:t>
            </w:r>
            <w:r w:rsidR="007E15B8">
              <w:rPr>
                <w:rFonts w:ascii="Arial Narrow" w:hAnsi="Arial Narrow"/>
                <w:sz w:val="18"/>
                <w:szCs w:val="18"/>
              </w:rPr>
              <w:t>8881K and 8882L</w:t>
            </w:r>
          </w:p>
        </w:tc>
      </w:tr>
      <w:tr w:rsidR="007A2D1D" w:rsidRPr="00DD6E51" w14:paraId="57B722A1" w14:textId="77777777" w:rsidTr="004A6640">
        <w:trPr>
          <w:trHeight w:val="381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F18D" w14:textId="77777777" w:rsidR="007A2D1D" w:rsidRPr="006668CE" w:rsidRDefault="007A2D1D" w:rsidP="007A2D1D">
            <w:pPr>
              <w:pStyle w:val="pf0"/>
              <w:spacing w:before="0" w:beforeAutospacing="0" w:after="0" w:afterAutospacing="0"/>
              <w:rPr>
                <w:rFonts w:ascii="Arial Narrow" w:hAnsi="Arial Narrow" w:cs="Segoe UI"/>
                <w:b/>
                <w:bCs/>
                <w:sz w:val="18"/>
                <w:szCs w:val="18"/>
              </w:rPr>
            </w:pPr>
            <w:r w:rsidRPr="00E57A7D">
              <w:rPr>
                <w:rStyle w:val="cf11"/>
                <w:rFonts w:ascii="Arial Narrow" w:hAnsi="Arial Narrow"/>
              </w:rPr>
              <w:t>Administrative Advice:</w:t>
            </w:r>
            <w:r>
              <w:rPr>
                <w:rStyle w:val="cf11"/>
                <w:rFonts w:ascii="Arial Narrow" w:hAnsi="Arial Narrow"/>
              </w:rPr>
              <w:t xml:space="preserve"> </w:t>
            </w:r>
            <w:r w:rsidRPr="00E57A7D">
              <w:rPr>
                <w:rStyle w:val="cf11"/>
                <w:rFonts w:ascii="Arial Narrow" w:hAnsi="Arial Narrow"/>
              </w:rPr>
              <w:t>Continuing Therapy Only:</w:t>
            </w:r>
          </w:p>
          <w:p w14:paraId="51D44710" w14:textId="28D95C75" w:rsidR="007A2D1D" w:rsidRPr="00DD6E51" w:rsidRDefault="007A2D1D" w:rsidP="007A2D1D">
            <w:pPr>
              <w:spacing w:after="0" w:line="240" w:lineRule="auto"/>
              <w:ind w:left="-57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57A7D">
              <w:rPr>
                <w:rStyle w:val="cf01"/>
                <w:rFonts w:ascii="Arial Narrow" w:hAnsi="Arial Narrow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</w:tc>
      </w:tr>
    </w:tbl>
    <w:p w14:paraId="73A23C6D" w14:textId="7DDD8632" w:rsidR="007A2D1D" w:rsidRDefault="007A2D1D" w:rsidP="00A44423">
      <w:pPr>
        <w:spacing w:after="0" w:line="240" w:lineRule="auto"/>
      </w:pPr>
    </w:p>
    <w:p w14:paraId="36722F70" w14:textId="77777777" w:rsidR="007A2D1D" w:rsidRDefault="007A2D1D">
      <w:r>
        <w:br w:type="page"/>
      </w:r>
    </w:p>
    <w:p w14:paraId="21EF8C13" w14:textId="77777777" w:rsidR="007122A1" w:rsidRDefault="007122A1" w:rsidP="00A44423">
      <w:pPr>
        <w:spacing w:after="0"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51"/>
        <w:gridCol w:w="1270"/>
        <w:gridCol w:w="1010"/>
        <w:gridCol w:w="993"/>
        <w:gridCol w:w="708"/>
        <w:gridCol w:w="2784"/>
      </w:tblGrid>
      <w:tr w:rsidR="004E7398" w:rsidRPr="00DD6E51" w14:paraId="2F2564F3" w14:textId="77777777" w:rsidTr="000F4274">
        <w:trPr>
          <w:trHeight w:val="31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015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Category / Program:   </w:t>
            </w:r>
            <w:r w:rsidRPr="00DD6E51">
              <w:rPr>
                <w:rFonts w:ascii="Arial Narrow" w:hAnsi="Arial Narrow"/>
                <w:bCs/>
                <w:sz w:val="18"/>
                <w:szCs w:val="18"/>
              </w:rPr>
              <w:t>GENERAL – General Schedule (Code GE)</w:t>
            </w:r>
          </w:p>
        </w:tc>
      </w:tr>
      <w:tr w:rsidR="004E7398" w:rsidRPr="0094383D" w14:paraId="5411F32D" w14:textId="77777777" w:rsidTr="007A2D1D">
        <w:trPr>
          <w:trHeight w:val="47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9545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</w:t>
            </w:r>
          </w:p>
          <w:p w14:paraId="06D14D7D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medicinal product pack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A96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PBS item code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BC7A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packs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992C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Max. qty units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E268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№.of</w:t>
            </w:r>
          </w:p>
          <w:p w14:paraId="496C9D2D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Rpts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A8AD" w14:textId="77777777" w:rsidR="004E7398" w:rsidRPr="0094383D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sz w:val="18"/>
                <w:szCs w:val="18"/>
              </w:rPr>
            </w:pPr>
            <w:r w:rsidRPr="00DD6E51">
              <w:rPr>
                <w:rFonts w:ascii="Arial Narrow" w:hAnsi="Arial Narrow"/>
                <w:b/>
                <w:sz w:val="18"/>
                <w:szCs w:val="18"/>
              </w:rPr>
              <w:t>Available brands</w:t>
            </w:r>
          </w:p>
        </w:tc>
      </w:tr>
      <w:tr w:rsidR="004E7398" w:rsidRPr="00DD6E51" w14:paraId="6AAB35D0" w14:textId="77777777" w:rsidTr="000F4274">
        <w:trPr>
          <w:trHeight w:val="37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E8A1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+ SIMVASTATIN</w:t>
            </w:r>
          </w:p>
        </w:tc>
      </w:tr>
      <w:tr w:rsidR="004E7398" w:rsidRPr="00DD6E51" w14:paraId="14DED087" w14:textId="77777777" w:rsidTr="007A2D1D">
        <w:trPr>
          <w:trHeight w:val="38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7C9" w14:textId="77777777" w:rsid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simvastatin 10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116" w14:textId="5A567262" w:rsidR="004E7398" w:rsidRPr="00DD6E51" w:rsidRDefault="00F16CC3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13385L</w:t>
            </w:r>
          </w:p>
          <w:p w14:paraId="2BCAD561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2A8" w14:textId="7C15C25E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766" w14:textId="03EE8368" w:rsidR="004E7398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8A7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1A3ABC24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304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APO-Ezetimibe/Simvastatin 10/10</w:t>
            </w:r>
          </w:p>
          <w:p w14:paraId="5B59344C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EZETIMIBE/SIMVASTATIN SANDOZ</w:t>
            </w:r>
          </w:p>
          <w:p w14:paraId="08382B45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EZETORIN</w:t>
            </w:r>
          </w:p>
          <w:p w14:paraId="6DE09981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EzSimva GH 10/10</w:t>
            </w:r>
          </w:p>
          <w:p w14:paraId="5C6DE6D8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Pharmacor Ezetimibe Simvastatin 10/10</w:t>
            </w:r>
          </w:p>
          <w:p w14:paraId="7F3DC568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Vytorin</w:t>
            </w:r>
          </w:p>
          <w:p w14:paraId="7FCB17EB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Zeklen 10/10 mg</w:t>
            </w:r>
          </w:p>
          <w:p w14:paraId="2D619D5D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Zimybe 10/10</w:t>
            </w:r>
          </w:p>
        </w:tc>
      </w:tr>
      <w:tr w:rsidR="004E7398" w:rsidRPr="00DD6E51" w14:paraId="4E5FAB80" w14:textId="77777777" w:rsidTr="007A2D1D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96B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simvastatin 20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78F" w14:textId="6A1D252A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16CC3">
              <w:rPr>
                <w:rFonts w:ascii="Arial Narrow" w:hAnsi="Arial Narrow"/>
                <w:sz w:val="18"/>
                <w:szCs w:val="18"/>
              </w:rPr>
              <w:t>3442L</w:t>
            </w:r>
          </w:p>
          <w:p w14:paraId="109B930D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  <w:vertAlign w:val="subscript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4FE" w14:textId="1D10F0AB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1C0" w14:textId="0F4B0ED0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58C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0D7FEAB0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8B5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APO-Ezetimibe/Simvastatin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64CFCF7D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EZETIMIBE/SIMVASTATIN SANDOZ</w:t>
            </w:r>
          </w:p>
          <w:p w14:paraId="1357D271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EZETORIN</w:t>
            </w:r>
          </w:p>
          <w:p w14:paraId="2B30FF56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EzSimva GH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11C04842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Pharmacor Ezetimibe Simvastatin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18A0C06E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Vytorin</w:t>
            </w:r>
          </w:p>
          <w:p w14:paraId="6A02F521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Zeklen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 mg</w:t>
            </w:r>
          </w:p>
          <w:p w14:paraId="0E82E389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Zimybe 10/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4E7398" w:rsidRPr="00DD6E51" w14:paraId="6673FD18" w14:textId="77777777" w:rsidTr="007A2D1D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3833" w14:textId="77777777" w:rsid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simvastatin 40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92D" w14:textId="3CE86814" w:rsidR="004E7398" w:rsidRPr="00DD6E51" w:rsidRDefault="00F16CC3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7E15B8">
              <w:rPr>
                <w:rFonts w:ascii="Arial Narrow" w:hAnsi="Arial Narrow"/>
                <w:sz w:val="18"/>
                <w:szCs w:val="18"/>
              </w:rPr>
              <w:t>535J</w:t>
            </w:r>
          </w:p>
          <w:p w14:paraId="5665BC95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7613" w14:textId="5BA6E36E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777D" w14:textId="5BB6DC1D" w:rsidR="004E7398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646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296112E7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AFB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APO-Ezetimibe/Simvastatin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19296877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EZETIMIBE/SIMVASTATIN SANDOZ</w:t>
            </w:r>
          </w:p>
          <w:p w14:paraId="6499696E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EZETORIN</w:t>
            </w:r>
          </w:p>
          <w:p w14:paraId="6C6E96BF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EzSimva GH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699A0BE7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Pharmacor Ezetimibe Simvastatin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55C79A1F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Vytorin</w:t>
            </w:r>
          </w:p>
          <w:p w14:paraId="6570851B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Zeklen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 mg</w:t>
            </w:r>
          </w:p>
          <w:p w14:paraId="28AF4197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Zimybe 10/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4E7398" w:rsidRPr="00DD6E51" w14:paraId="7AB3575E" w14:textId="77777777" w:rsidTr="007A2D1D">
        <w:trPr>
          <w:trHeight w:val="47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740" w14:textId="77777777" w:rsid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Ezetimibe 10 mg tablet + simvastatin 80 mg tablet, 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A72" w14:textId="687AAA13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7E15B8">
              <w:rPr>
                <w:rFonts w:ascii="Arial Narrow" w:hAnsi="Arial Narrow"/>
                <w:sz w:val="18"/>
                <w:szCs w:val="18"/>
              </w:rPr>
              <w:t>3595M</w:t>
            </w:r>
          </w:p>
          <w:p w14:paraId="55D78A18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  <w:vertAlign w:val="subscript"/>
              </w:rPr>
              <w:t>MP   NP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9D06" w14:textId="05B5C53C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D501" w14:textId="53E8A348" w:rsidR="004E7398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1CB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6E51"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5909414E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137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APO-Ezetimibe/Simvastatin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553BE9B0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EZETIMIBE/SIMVASTATIN SANDOZ</w:t>
            </w:r>
          </w:p>
          <w:p w14:paraId="7680F58D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EZETORIN</w:t>
            </w:r>
          </w:p>
          <w:p w14:paraId="4C5922A6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EzSimva GH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12932109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Pharmacor Ezetimibe Simvastatin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  <w:p w14:paraId="31670ADF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Vytorin</w:t>
            </w:r>
          </w:p>
          <w:p w14:paraId="5918D41E" w14:textId="77777777" w:rsidR="004E7398" w:rsidRP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Zeklen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 mg</w:t>
            </w:r>
          </w:p>
          <w:p w14:paraId="288E6B33" w14:textId="77777777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 w:rsidRPr="00F10B2B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a </w:t>
            </w:r>
            <w:r w:rsidRPr="004E7398">
              <w:rPr>
                <w:rFonts w:ascii="Arial Narrow" w:hAnsi="Arial Narrow"/>
                <w:sz w:val="18"/>
                <w:szCs w:val="18"/>
              </w:rPr>
              <w:t>Zimybe 10/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4E7398"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4E7398" w:rsidRPr="00DD6E51" w14:paraId="2554D600" w14:textId="77777777" w:rsidTr="004E7398">
        <w:trPr>
          <w:trHeight w:val="548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F9A8" w14:textId="77777777" w:rsidR="007A2D1D" w:rsidRDefault="007A2D1D" w:rsidP="007A2D1D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Remove the following restriction summaries</w:t>
            </w:r>
            <w:r w:rsidRPr="00DD6E51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3D5A0862" w14:textId="1D4852C8" w:rsidR="004E7398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14269 </w:t>
            </w:r>
            <w:r w:rsidRPr="00DD6E51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hypercholesterolaemia, reduced statin dose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 </w:t>
            </w:r>
            <w:r w:rsidR="00F16CC3">
              <w:rPr>
                <w:rFonts w:ascii="Arial Narrow" w:hAnsi="Arial Narrow"/>
                <w:sz w:val="18"/>
                <w:szCs w:val="18"/>
              </w:rPr>
              <w:t>13385L and 13442L</w:t>
            </w:r>
          </w:p>
          <w:p w14:paraId="42006CA5" w14:textId="661C3F5B" w:rsidR="004E7398" w:rsidRPr="00DD6E51" w:rsidRDefault="004E7398" w:rsidP="00A44423">
            <w:pPr>
              <w:keepLines/>
              <w:spacing w:after="0" w:line="240" w:lineRule="auto"/>
              <w:ind w:left="-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14284 </w:t>
            </w:r>
            <w:r w:rsidRPr="00DD6E51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hypercholesterolaemia</w:t>
            </w:r>
            <w:r w:rsidRPr="00DD6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for items </w:t>
            </w:r>
            <w:r w:rsidR="007E15B8">
              <w:rPr>
                <w:rFonts w:ascii="Arial Narrow" w:hAnsi="Arial Narrow"/>
                <w:sz w:val="18"/>
                <w:szCs w:val="18"/>
              </w:rPr>
              <w:t>13535J and 13595M</w:t>
            </w:r>
          </w:p>
        </w:tc>
      </w:tr>
      <w:tr w:rsidR="002624BE" w:rsidRPr="00E600E0" w14:paraId="0C985DD6" w14:textId="77777777" w:rsidTr="007A2D1D">
        <w:trPr>
          <w:trHeight w:val="5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3BBB" w14:textId="5CAE5689" w:rsidR="002624BE" w:rsidRPr="007A2D1D" w:rsidRDefault="002624BE" w:rsidP="007A2D1D">
            <w:pPr>
              <w:keepLines/>
              <w:spacing w:after="0" w:line="240" w:lineRule="auto"/>
              <w:ind w:left="-5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16CC3">
              <w:rPr>
                <w:rFonts w:ascii="Arial Narrow" w:hAnsi="Arial Narrow"/>
                <w:b/>
                <w:bCs/>
                <w:sz w:val="18"/>
                <w:szCs w:val="18"/>
              </w:rPr>
              <w:t>Restriction: Restricted Benefit</w:t>
            </w:r>
          </w:p>
        </w:tc>
      </w:tr>
      <w:tr w:rsidR="007A2D1D" w:rsidRPr="00DD6E51" w14:paraId="5ECE6E39" w14:textId="77777777" w:rsidTr="0084257D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B85B" w14:textId="16BA8ABB" w:rsidR="007A2D1D" w:rsidRPr="00DD6E51" w:rsidRDefault="007A2D1D" w:rsidP="007A2D1D">
            <w:pPr>
              <w:spacing w:after="0" w:line="240" w:lineRule="auto"/>
              <w:ind w:left="-57"/>
              <w:textAlignment w:val="baseline"/>
              <w:rPr>
                <w:rFonts w:ascii="Arial Narrow" w:hAnsi="Arial Narrow" w:cs="Open Sans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D6E51">
              <w:rPr>
                <w:rFonts w:ascii="Arial Narrow" w:hAnsi="Arial Narrow" w:cs="Open Sans"/>
                <w:b/>
                <w:bCs/>
                <w:sz w:val="18"/>
                <w:szCs w:val="18"/>
                <w:bdr w:val="none" w:sz="0" w:space="0" w:color="auto" w:frame="1"/>
              </w:rPr>
              <w:t xml:space="preserve">Indication: </w:t>
            </w:r>
            <w:r w:rsidRPr="003C041C">
              <w:rPr>
                <w:rFonts w:ascii="Arial Narrow" w:hAnsi="Arial Narrow" w:cs="Open Sans"/>
                <w:sz w:val="18"/>
                <w:szCs w:val="18"/>
              </w:rPr>
              <w:t>The condition must be stable for the prescriber to consider the listed maximum quantity of this medicine suitable for this patient</w:t>
            </w:r>
            <w:r>
              <w:rPr>
                <w:rFonts w:ascii="Arial Narrow" w:hAnsi="Arial Narrow" w:cs="Open Sans"/>
                <w:sz w:val="18"/>
                <w:szCs w:val="18"/>
              </w:rPr>
              <w:t>.</w:t>
            </w:r>
          </w:p>
        </w:tc>
      </w:tr>
      <w:tr w:rsidR="007A2D1D" w:rsidRPr="00DD6E51" w14:paraId="7EDC78A0" w14:textId="77777777" w:rsidTr="00F3528D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F1D" w14:textId="77777777" w:rsidR="007A2D1D" w:rsidRPr="006668CE" w:rsidRDefault="007A2D1D" w:rsidP="007A2D1D">
            <w:pPr>
              <w:pStyle w:val="pf0"/>
              <w:spacing w:before="0" w:beforeAutospacing="0" w:after="0" w:afterAutospacing="0"/>
              <w:rPr>
                <w:rFonts w:ascii="Arial Narrow" w:hAnsi="Arial Narrow" w:cs="Segoe UI"/>
                <w:b/>
                <w:bCs/>
                <w:sz w:val="18"/>
                <w:szCs w:val="18"/>
              </w:rPr>
            </w:pPr>
            <w:r w:rsidRPr="00E57A7D">
              <w:rPr>
                <w:rStyle w:val="cf11"/>
                <w:rFonts w:ascii="Arial Narrow" w:hAnsi="Arial Narrow"/>
              </w:rPr>
              <w:t>Administrative Advice:</w:t>
            </w:r>
            <w:r>
              <w:rPr>
                <w:rStyle w:val="cf11"/>
                <w:rFonts w:ascii="Arial Narrow" w:hAnsi="Arial Narrow"/>
              </w:rPr>
              <w:t xml:space="preserve"> </w:t>
            </w:r>
            <w:r w:rsidRPr="00E57A7D">
              <w:rPr>
                <w:rStyle w:val="cf11"/>
                <w:rFonts w:ascii="Arial Narrow" w:hAnsi="Arial Narrow"/>
              </w:rPr>
              <w:t>Continuing Therapy Only:</w:t>
            </w:r>
          </w:p>
          <w:p w14:paraId="0914D282" w14:textId="30A42FBA" w:rsidR="007A2D1D" w:rsidRPr="00DD6E51" w:rsidRDefault="007A2D1D" w:rsidP="007A2D1D">
            <w:pPr>
              <w:spacing w:after="0" w:line="240" w:lineRule="auto"/>
              <w:ind w:left="-57"/>
              <w:rPr>
                <w:rFonts w:ascii="Arial Narrow" w:hAnsi="Arial Narrow" w:cs="Open Sans"/>
                <w:sz w:val="18"/>
                <w:szCs w:val="18"/>
              </w:rPr>
            </w:pPr>
            <w:r w:rsidRPr="00E57A7D">
              <w:rPr>
                <w:rStyle w:val="cf01"/>
                <w:rFonts w:ascii="Arial Narrow" w:hAnsi="Arial Narrow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</w:tc>
      </w:tr>
    </w:tbl>
    <w:p w14:paraId="1AD54C05" w14:textId="77777777" w:rsidR="004E7398" w:rsidRPr="00F10B2B" w:rsidRDefault="004E7398" w:rsidP="00A44423"/>
    <w:sectPr w:rsidR="004E7398" w:rsidRPr="00F10B2B" w:rsidSect="00B0026B">
      <w:headerReference w:type="default" r:id="rId10"/>
      <w:footerReference w:type="default" r:id="rId11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DE5EC" w14:textId="77777777" w:rsidR="001D0B5D" w:rsidRDefault="001D0B5D" w:rsidP="0050457A">
      <w:r>
        <w:separator/>
      </w:r>
    </w:p>
    <w:p w14:paraId="0D1A76BD" w14:textId="77777777" w:rsidR="001D0B5D" w:rsidRDefault="001D0B5D" w:rsidP="0050457A"/>
  </w:endnote>
  <w:endnote w:type="continuationSeparator" w:id="0">
    <w:p w14:paraId="6D6E5CA0" w14:textId="77777777" w:rsidR="001D0B5D" w:rsidRDefault="001D0B5D" w:rsidP="0050457A">
      <w:r>
        <w:continuationSeparator/>
      </w:r>
    </w:p>
    <w:p w14:paraId="3DE454CB" w14:textId="77777777" w:rsidR="001D0B5D" w:rsidRDefault="001D0B5D" w:rsidP="00504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A9E95" w14:textId="79ED7EC8" w:rsidR="001F7885" w:rsidRDefault="001F7885" w:rsidP="0050457A">
    <w:pPr>
      <w:pStyle w:val="Footer"/>
    </w:pPr>
  </w:p>
  <w:p w14:paraId="52209FFC" w14:textId="15B5A654" w:rsidR="00DA62D8" w:rsidRPr="00E32409" w:rsidRDefault="00DA62D8" w:rsidP="00E32409">
    <w:pPr>
      <w:pStyle w:val="Footer"/>
      <w:jc w:val="center"/>
      <w:rPr>
        <w:b/>
        <w:bCs/>
      </w:rPr>
    </w:pPr>
    <w:r w:rsidRPr="00E32409">
      <w:rPr>
        <w:b/>
        <w:bCs/>
      </w:rPr>
      <w:fldChar w:fldCharType="begin"/>
    </w:r>
    <w:r w:rsidRPr="00E32409">
      <w:rPr>
        <w:b/>
        <w:bCs/>
      </w:rPr>
      <w:instrText xml:space="preserve"> PAGE   \* MERGEFORMAT </w:instrText>
    </w:r>
    <w:r w:rsidRPr="00E32409">
      <w:rPr>
        <w:b/>
        <w:bCs/>
      </w:rPr>
      <w:fldChar w:fldCharType="separate"/>
    </w:r>
    <w:r w:rsidRPr="00E32409">
      <w:rPr>
        <w:b/>
        <w:bCs/>
        <w:noProof/>
      </w:rPr>
      <w:t>1</w:t>
    </w:r>
    <w:r w:rsidRPr="00E32409">
      <w:rPr>
        <w:b/>
        <w:bCs/>
        <w:noProof/>
      </w:rPr>
      <w:fldChar w:fldCharType="end"/>
    </w:r>
  </w:p>
  <w:p w14:paraId="07370FB5" w14:textId="77777777" w:rsidR="00B9582A" w:rsidRDefault="00B9582A" w:rsidP="00504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7F013" w14:textId="77777777" w:rsidR="001D0B5D" w:rsidRDefault="001D0B5D" w:rsidP="0050457A">
      <w:r>
        <w:separator/>
      </w:r>
    </w:p>
    <w:p w14:paraId="7FA1D88C" w14:textId="77777777" w:rsidR="001D0B5D" w:rsidRDefault="001D0B5D" w:rsidP="0050457A"/>
  </w:footnote>
  <w:footnote w:type="continuationSeparator" w:id="0">
    <w:p w14:paraId="5CAF9912" w14:textId="77777777" w:rsidR="001D0B5D" w:rsidRDefault="001D0B5D" w:rsidP="0050457A">
      <w:r>
        <w:continuationSeparator/>
      </w:r>
    </w:p>
    <w:p w14:paraId="57903D8D" w14:textId="77777777" w:rsidR="001D0B5D" w:rsidRDefault="001D0B5D" w:rsidP="0050457A"/>
  </w:footnote>
  <w:footnote w:id="1">
    <w:p w14:paraId="4679F976" w14:textId="77777777" w:rsidR="00F45A57" w:rsidRDefault="00F45A57" w:rsidP="00F45A57">
      <w:pPr>
        <w:pStyle w:val="FootnoteText"/>
      </w:pPr>
      <w:r>
        <w:rPr>
          <w:rStyle w:val="FootnoteReference"/>
        </w:rPr>
        <w:footnoteRef/>
      </w:r>
      <w:r>
        <w:t xml:space="preserve"> Australian Chronic Disease Prevention Alliance, </w:t>
      </w:r>
      <w:hyperlink r:id="rId1" w:history="1">
        <w:r w:rsidRPr="007D3879">
          <w:rPr>
            <w:rStyle w:val="Hyperlink"/>
          </w:rPr>
          <w:t>CVD Risk Guideline - 3. Identify CVD risk category</w:t>
        </w:r>
      </w:hyperlink>
      <w:r>
        <w:t>, accessed 20 March 2024.</w:t>
      </w:r>
    </w:p>
  </w:footnote>
  <w:footnote w:id="2">
    <w:p w14:paraId="5063FA8F" w14:textId="77777777" w:rsidR="00F45A57" w:rsidRDefault="00F45A57" w:rsidP="00F45A57">
      <w:pPr>
        <w:pStyle w:val="FootnoteText"/>
      </w:pPr>
      <w:r>
        <w:rPr>
          <w:rStyle w:val="FootnoteReference"/>
        </w:rPr>
        <w:footnoteRef/>
      </w:r>
      <w:r>
        <w:t xml:space="preserve"> ARTG, Australian Product Information, </w:t>
      </w:r>
      <w:hyperlink r:id="rId2" w:history="1">
        <w:r w:rsidRPr="001A52FA">
          <w:rPr>
            <w:rStyle w:val="Hyperlink"/>
          </w:rPr>
          <w:t>Pharmacor Ezetimibe tablets v4</w:t>
        </w:r>
      </w:hyperlink>
      <w:r>
        <w:t>, accessed 20 March 2024.</w:t>
      </w:r>
    </w:p>
  </w:footnote>
  <w:footnote w:id="3">
    <w:p w14:paraId="24CE3162" w14:textId="77777777" w:rsidR="009F7CEF" w:rsidRPr="00841D5A" w:rsidRDefault="009F7CEF" w:rsidP="009F7CEF">
      <w:pPr>
        <w:pStyle w:val="FootnoteText"/>
      </w:pPr>
      <w:r w:rsidRPr="00841D5A">
        <w:rPr>
          <w:rStyle w:val="FootnoteReference"/>
        </w:rPr>
        <w:footnoteRef/>
      </w:r>
      <w:r w:rsidRPr="00841D5A">
        <w:t xml:space="preserve"> Therapeutic Guidelines, </w:t>
      </w:r>
      <w:hyperlink r:id="rId3" w:anchor="c_CVG_Lipid-modificationtopic_21" w:history="1">
        <w:r w:rsidRPr="00841D5A">
          <w:rPr>
            <w:rStyle w:val="Hyperlink"/>
          </w:rPr>
          <w:t>Lipid Modification</w:t>
        </w:r>
      </w:hyperlink>
      <w:r w:rsidRPr="00841D5A">
        <w:t>, accessed 7 August 2023.</w:t>
      </w:r>
    </w:p>
  </w:footnote>
  <w:footnote w:id="4">
    <w:p w14:paraId="1549456F" w14:textId="77777777" w:rsidR="009F7CEF" w:rsidRDefault="009F7CEF" w:rsidP="009F7CEF">
      <w:pPr>
        <w:pStyle w:val="FootnoteText"/>
      </w:pPr>
      <w:r>
        <w:rPr>
          <w:rStyle w:val="FootnoteReference"/>
        </w:rPr>
        <w:footnoteRef/>
      </w:r>
      <w:r>
        <w:t xml:space="preserve"> NICE, </w:t>
      </w:r>
      <w:hyperlink r:id="rId4" w:history="1">
        <w:r w:rsidRPr="000C2DB1">
          <w:rPr>
            <w:rStyle w:val="Hyperlink"/>
          </w:rPr>
          <w:t>Technology appraisal guidance: Ezetimibe for treating primary heterozygous-familial and non-familial hypercholesterolaemia (24 February 2016)</w:t>
        </w:r>
      </w:hyperlink>
      <w:r>
        <w:t>, accessed 22 March 2024.</w:t>
      </w:r>
    </w:p>
  </w:footnote>
  <w:footnote w:id="5">
    <w:p w14:paraId="698C4F14" w14:textId="47C7D6AA" w:rsidR="004E1F39" w:rsidRPr="004E1F39" w:rsidRDefault="004E1F39">
      <w:pPr>
        <w:pStyle w:val="FootnoteText"/>
      </w:pPr>
      <w:r>
        <w:rPr>
          <w:rStyle w:val="FootnoteReference"/>
        </w:rPr>
        <w:footnoteRef/>
      </w:r>
      <w:r>
        <w:t xml:space="preserve"> (2022) ‘</w:t>
      </w:r>
      <w:hyperlink r:id="rId5" w:history="1">
        <w:r w:rsidRPr="00323FBF">
          <w:rPr>
            <w:rStyle w:val="Hyperlink"/>
          </w:rPr>
          <w:t>PCSK9 inhibitors and ezetimibe for the reduction of cardiovascular events: a clinical practice guideline with risk-stratified recommendations’</w:t>
        </w:r>
      </w:hyperlink>
      <w:r>
        <w:t xml:space="preserve">, </w:t>
      </w:r>
      <w:r>
        <w:rPr>
          <w:i/>
          <w:iCs/>
        </w:rPr>
        <w:t>BMJ</w:t>
      </w:r>
      <w:r>
        <w:t>, 377:e069066.</w:t>
      </w:r>
    </w:p>
  </w:footnote>
  <w:footnote w:id="6">
    <w:p w14:paraId="51332B87" w14:textId="2BCBE35D" w:rsidR="0030719F" w:rsidRDefault="003071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41D5A">
        <w:t xml:space="preserve">Therapeutic Guidelines, </w:t>
      </w:r>
      <w:hyperlink r:id="rId6" w:anchor="c_CVG_Lipid-modificationtopic_21" w:history="1">
        <w:r w:rsidRPr="00841D5A">
          <w:rPr>
            <w:rStyle w:val="Hyperlink"/>
          </w:rPr>
          <w:t>Lipid Modification</w:t>
        </w:r>
      </w:hyperlink>
      <w:r w:rsidRPr="00841D5A">
        <w:t>, accessed 7 August 2023.</w:t>
      </w:r>
    </w:p>
  </w:footnote>
  <w:footnote w:id="7">
    <w:p w14:paraId="49D726F9" w14:textId="77777777" w:rsidR="008E409F" w:rsidRPr="003A36BF" w:rsidRDefault="008E409F" w:rsidP="008E409F">
      <w:pPr>
        <w:pStyle w:val="FootnoteText"/>
      </w:pPr>
      <w:r>
        <w:rPr>
          <w:rStyle w:val="FootnoteReference"/>
        </w:rPr>
        <w:footnoteRef/>
      </w:r>
      <w:r>
        <w:t xml:space="preserve"> Zhan S et al (2018), ‘Ezetimibe for the prevention of cardiovascular disease and all-cause mortality events’, </w:t>
      </w:r>
      <w:r>
        <w:rPr>
          <w:i/>
          <w:iCs/>
        </w:rPr>
        <w:t>Cochrane Database Syst Rev</w:t>
      </w:r>
      <w:r>
        <w:t>, 11(11):CD012502.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1C339" w14:textId="511FD9CA" w:rsidR="00891B66" w:rsidRPr="00C02EBC" w:rsidRDefault="00A23AED" w:rsidP="00C02EBC">
    <w:pPr>
      <w:pStyle w:val="Header"/>
      <w:jc w:val="center"/>
      <w:rPr>
        <w:i/>
        <w:iCs/>
      </w:rPr>
    </w:pPr>
    <w:r>
      <w:rPr>
        <w:i/>
        <w:iCs/>
        <w:noProof/>
      </w:rPr>
      <w:t xml:space="preserve">Public Summary Document </w:t>
    </w:r>
    <w:r w:rsidR="008E4CC2">
      <w:rPr>
        <w:i/>
        <w:iCs/>
        <w:noProof/>
      </w:rPr>
      <w:t xml:space="preserve">– May 2024 </w:t>
    </w:r>
    <w:r w:rsidR="00891B66" w:rsidRPr="00C02EBC">
      <w:rPr>
        <w:i/>
        <w:iCs/>
        <w:noProof/>
      </w:rPr>
      <w:t>PBAC Intracycle Meeting</w:t>
    </w:r>
  </w:p>
  <w:p w14:paraId="4BEBB265" w14:textId="7883C38C" w:rsidR="00B9582A" w:rsidRPr="00891B66" w:rsidRDefault="009032FF" w:rsidP="0050457A">
    <w:pPr>
      <w:pStyle w:val="Header"/>
    </w:pPr>
    <w:r w:rsidRPr="00891B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7291"/>
    <w:multiLevelType w:val="hybridMultilevel"/>
    <w:tmpl w:val="C7FC9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5A44"/>
    <w:multiLevelType w:val="hybridMultilevel"/>
    <w:tmpl w:val="F9C6E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F16E7"/>
    <w:multiLevelType w:val="hybridMultilevel"/>
    <w:tmpl w:val="66BCC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5FAC"/>
    <w:multiLevelType w:val="hybridMultilevel"/>
    <w:tmpl w:val="2334D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0385"/>
    <w:multiLevelType w:val="hybridMultilevel"/>
    <w:tmpl w:val="764CD85E"/>
    <w:lvl w:ilvl="0" w:tplc="6142B8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286501D"/>
    <w:multiLevelType w:val="hybridMultilevel"/>
    <w:tmpl w:val="C73CCE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9F1049"/>
    <w:multiLevelType w:val="multilevel"/>
    <w:tmpl w:val="FEF8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F075A"/>
    <w:multiLevelType w:val="hybridMultilevel"/>
    <w:tmpl w:val="5F2A2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04DF5"/>
    <w:multiLevelType w:val="multilevel"/>
    <w:tmpl w:val="EECE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54E7D"/>
    <w:multiLevelType w:val="multilevel"/>
    <w:tmpl w:val="BD16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F649C"/>
    <w:multiLevelType w:val="multilevel"/>
    <w:tmpl w:val="09FC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23232"/>
    <w:multiLevelType w:val="hybridMultilevel"/>
    <w:tmpl w:val="DD3A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001E7"/>
    <w:multiLevelType w:val="hybridMultilevel"/>
    <w:tmpl w:val="043819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34A2D"/>
    <w:multiLevelType w:val="hybridMultilevel"/>
    <w:tmpl w:val="37D436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33A02"/>
    <w:multiLevelType w:val="hybridMultilevel"/>
    <w:tmpl w:val="58727738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28D93802"/>
    <w:multiLevelType w:val="hybridMultilevel"/>
    <w:tmpl w:val="D0864F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5E29F8"/>
    <w:multiLevelType w:val="hybridMultilevel"/>
    <w:tmpl w:val="7B063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064B4"/>
    <w:multiLevelType w:val="multilevel"/>
    <w:tmpl w:val="447C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627C12"/>
    <w:multiLevelType w:val="multilevel"/>
    <w:tmpl w:val="261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806CE0"/>
    <w:multiLevelType w:val="hybridMultilevel"/>
    <w:tmpl w:val="353483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955D6"/>
    <w:multiLevelType w:val="hybridMultilevel"/>
    <w:tmpl w:val="5AF85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A0540A"/>
    <w:multiLevelType w:val="hybridMultilevel"/>
    <w:tmpl w:val="180AB9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096EDF"/>
    <w:multiLevelType w:val="hybridMultilevel"/>
    <w:tmpl w:val="83724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774CB"/>
    <w:multiLevelType w:val="hybridMultilevel"/>
    <w:tmpl w:val="A894E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0211B"/>
    <w:multiLevelType w:val="hybridMultilevel"/>
    <w:tmpl w:val="8E62C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42297"/>
    <w:multiLevelType w:val="hybridMultilevel"/>
    <w:tmpl w:val="1256E660"/>
    <w:lvl w:ilvl="0" w:tplc="C324F4F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943F0"/>
    <w:multiLevelType w:val="hybridMultilevel"/>
    <w:tmpl w:val="05B65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56707"/>
    <w:multiLevelType w:val="hybridMultilevel"/>
    <w:tmpl w:val="9C1A130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640D5B"/>
    <w:multiLevelType w:val="multilevel"/>
    <w:tmpl w:val="04D2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A12793"/>
    <w:multiLevelType w:val="multilevel"/>
    <w:tmpl w:val="C00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7C2B5E"/>
    <w:multiLevelType w:val="multilevel"/>
    <w:tmpl w:val="FDF6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6E40E4"/>
    <w:multiLevelType w:val="hybridMultilevel"/>
    <w:tmpl w:val="078E216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2548F9"/>
    <w:multiLevelType w:val="multilevel"/>
    <w:tmpl w:val="536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707F7D"/>
    <w:multiLevelType w:val="hybridMultilevel"/>
    <w:tmpl w:val="8370CDF4"/>
    <w:lvl w:ilvl="0" w:tplc="AA3E92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829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04B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68C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96F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6C0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6D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69E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0B8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61479"/>
    <w:multiLevelType w:val="hybridMultilevel"/>
    <w:tmpl w:val="3D3C6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7710D"/>
    <w:multiLevelType w:val="hybridMultilevel"/>
    <w:tmpl w:val="798EE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658B4"/>
    <w:multiLevelType w:val="hybridMultilevel"/>
    <w:tmpl w:val="1EC6F828"/>
    <w:lvl w:ilvl="0" w:tplc="5184B5EE"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7C022B"/>
    <w:multiLevelType w:val="hybridMultilevel"/>
    <w:tmpl w:val="A3E4F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85662"/>
    <w:multiLevelType w:val="multilevel"/>
    <w:tmpl w:val="52A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F2628A"/>
    <w:multiLevelType w:val="hybridMultilevel"/>
    <w:tmpl w:val="0B5628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D033C"/>
    <w:multiLevelType w:val="multilevel"/>
    <w:tmpl w:val="0810CE58"/>
    <w:lvl w:ilvl="0">
      <w:start w:val="1"/>
      <w:numFmt w:val="decimal"/>
      <w:pStyle w:val="2Sections"/>
      <w:lvlText w:val="%1"/>
      <w:lvlJc w:val="left"/>
      <w:pPr>
        <w:ind w:left="4264" w:hanging="720"/>
      </w:pPr>
      <w:rPr>
        <w:rFonts w:hint="default"/>
        <w:b/>
        <w:strike w:val="0"/>
      </w:rPr>
    </w:lvl>
    <w:lvl w:ilvl="1">
      <w:start w:val="1"/>
      <w:numFmt w:val="decimal"/>
      <w:pStyle w:val="3Bodytext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5263CC"/>
    <w:multiLevelType w:val="hybridMultilevel"/>
    <w:tmpl w:val="977AC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C0FF4"/>
    <w:multiLevelType w:val="hybridMultilevel"/>
    <w:tmpl w:val="85CEB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36191">
    <w:abstractNumId w:val="15"/>
  </w:num>
  <w:num w:numId="2" w16cid:durableId="87391714">
    <w:abstractNumId w:val="40"/>
  </w:num>
  <w:num w:numId="3" w16cid:durableId="254822721">
    <w:abstractNumId w:val="13"/>
  </w:num>
  <w:num w:numId="4" w16cid:durableId="1310403415">
    <w:abstractNumId w:val="23"/>
  </w:num>
  <w:num w:numId="5" w16cid:durableId="1702854212">
    <w:abstractNumId w:val="20"/>
  </w:num>
  <w:num w:numId="6" w16cid:durableId="2024739656">
    <w:abstractNumId w:val="21"/>
  </w:num>
  <w:num w:numId="7" w16cid:durableId="1516534347">
    <w:abstractNumId w:val="5"/>
  </w:num>
  <w:num w:numId="8" w16cid:durableId="1721972542">
    <w:abstractNumId w:val="39"/>
  </w:num>
  <w:num w:numId="9" w16cid:durableId="1759518081">
    <w:abstractNumId w:val="7"/>
  </w:num>
  <w:num w:numId="10" w16cid:durableId="142427990">
    <w:abstractNumId w:val="37"/>
  </w:num>
  <w:num w:numId="11" w16cid:durableId="1451822069">
    <w:abstractNumId w:val="35"/>
  </w:num>
  <w:num w:numId="12" w16cid:durableId="85998181">
    <w:abstractNumId w:val="0"/>
  </w:num>
  <w:num w:numId="13" w16cid:durableId="2005161554">
    <w:abstractNumId w:val="26"/>
  </w:num>
  <w:num w:numId="14" w16cid:durableId="1036739293">
    <w:abstractNumId w:val="41"/>
  </w:num>
  <w:num w:numId="15" w16cid:durableId="1386953146">
    <w:abstractNumId w:val="34"/>
  </w:num>
  <w:num w:numId="16" w16cid:durableId="1027292381">
    <w:abstractNumId w:val="12"/>
  </w:num>
  <w:num w:numId="17" w16cid:durableId="18689096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7571497">
    <w:abstractNumId w:val="24"/>
  </w:num>
  <w:num w:numId="19" w16cid:durableId="522548216">
    <w:abstractNumId w:val="22"/>
  </w:num>
  <w:num w:numId="20" w16cid:durableId="1874924041">
    <w:abstractNumId w:val="16"/>
  </w:num>
  <w:num w:numId="21" w16cid:durableId="594098226">
    <w:abstractNumId w:val="11"/>
  </w:num>
  <w:num w:numId="22" w16cid:durableId="347030738">
    <w:abstractNumId w:val="36"/>
  </w:num>
  <w:num w:numId="23" w16cid:durableId="898635821">
    <w:abstractNumId w:val="19"/>
  </w:num>
  <w:num w:numId="24" w16cid:durableId="819347242">
    <w:abstractNumId w:val="17"/>
  </w:num>
  <w:num w:numId="25" w16cid:durableId="1554465002">
    <w:abstractNumId w:val="30"/>
  </w:num>
  <w:num w:numId="26" w16cid:durableId="264385334">
    <w:abstractNumId w:val="6"/>
  </w:num>
  <w:num w:numId="27" w16cid:durableId="1225599533">
    <w:abstractNumId w:val="32"/>
  </w:num>
  <w:num w:numId="28" w16cid:durableId="262492263">
    <w:abstractNumId w:val="10"/>
  </w:num>
  <w:num w:numId="29" w16cid:durableId="1335840271">
    <w:abstractNumId w:val="38"/>
  </w:num>
  <w:num w:numId="30" w16cid:durableId="995690135">
    <w:abstractNumId w:val="29"/>
  </w:num>
  <w:num w:numId="31" w16cid:durableId="450783192">
    <w:abstractNumId w:val="9"/>
  </w:num>
  <w:num w:numId="32" w16cid:durableId="336005782">
    <w:abstractNumId w:val="28"/>
  </w:num>
  <w:num w:numId="33" w16cid:durableId="1117482686">
    <w:abstractNumId w:val="8"/>
  </w:num>
  <w:num w:numId="34" w16cid:durableId="1171063402">
    <w:abstractNumId w:val="18"/>
  </w:num>
  <w:num w:numId="35" w16cid:durableId="302538767">
    <w:abstractNumId w:val="4"/>
  </w:num>
  <w:num w:numId="36" w16cid:durableId="109516102">
    <w:abstractNumId w:val="1"/>
  </w:num>
  <w:num w:numId="37" w16cid:durableId="451943070">
    <w:abstractNumId w:val="14"/>
  </w:num>
  <w:num w:numId="38" w16cid:durableId="1424689526">
    <w:abstractNumId w:val="2"/>
  </w:num>
  <w:num w:numId="39" w16cid:durableId="1399093412">
    <w:abstractNumId w:val="3"/>
  </w:num>
  <w:num w:numId="40" w16cid:durableId="735514681">
    <w:abstractNumId w:val="25"/>
  </w:num>
  <w:num w:numId="41" w16cid:durableId="792139018">
    <w:abstractNumId w:val="27"/>
  </w:num>
  <w:num w:numId="42" w16cid:durableId="1943760405">
    <w:abstractNumId w:val="40"/>
  </w:num>
  <w:num w:numId="43" w16cid:durableId="438843081">
    <w:abstractNumId w:val="42"/>
  </w:num>
  <w:num w:numId="44" w16cid:durableId="1134367009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AF"/>
    <w:rsid w:val="000012D7"/>
    <w:rsid w:val="00001787"/>
    <w:rsid w:val="00005EB5"/>
    <w:rsid w:val="00007BA0"/>
    <w:rsid w:val="00011B21"/>
    <w:rsid w:val="00013D94"/>
    <w:rsid w:val="0001510B"/>
    <w:rsid w:val="000224FA"/>
    <w:rsid w:val="00022FB8"/>
    <w:rsid w:val="000247F9"/>
    <w:rsid w:val="00026A96"/>
    <w:rsid w:val="00030C28"/>
    <w:rsid w:val="0003135C"/>
    <w:rsid w:val="00031E49"/>
    <w:rsid w:val="00034BDA"/>
    <w:rsid w:val="00035F87"/>
    <w:rsid w:val="0004362F"/>
    <w:rsid w:val="00047223"/>
    <w:rsid w:val="0005331D"/>
    <w:rsid w:val="000646C9"/>
    <w:rsid w:val="00065A4D"/>
    <w:rsid w:val="00072188"/>
    <w:rsid w:val="0007225E"/>
    <w:rsid w:val="00072AE4"/>
    <w:rsid w:val="00081BF3"/>
    <w:rsid w:val="00081EED"/>
    <w:rsid w:val="00086685"/>
    <w:rsid w:val="00087805"/>
    <w:rsid w:val="000A0D17"/>
    <w:rsid w:val="000A5C6D"/>
    <w:rsid w:val="000B3D39"/>
    <w:rsid w:val="000B74BC"/>
    <w:rsid w:val="000C2DB1"/>
    <w:rsid w:val="000D0D39"/>
    <w:rsid w:val="000D220F"/>
    <w:rsid w:val="000D37F3"/>
    <w:rsid w:val="000D6138"/>
    <w:rsid w:val="000D74AE"/>
    <w:rsid w:val="000E3DDC"/>
    <w:rsid w:val="000E3E73"/>
    <w:rsid w:val="000E5A98"/>
    <w:rsid w:val="000E6FAF"/>
    <w:rsid w:val="000E7DDF"/>
    <w:rsid w:val="000F1742"/>
    <w:rsid w:val="000F5E57"/>
    <w:rsid w:val="000F60A4"/>
    <w:rsid w:val="000F7F4C"/>
    <w:rsid w:val="0010586D"/>
    <w:rsid w:val="00105988"/>
    <w:rsid w:val="00105BAC"/>
    <w:rsid w:val="001064F0"/>
    <w:rsid w:val="001065D6"/>
    <w:rsid w:val="00113888"/>
    <w:rsid w:val="0011436E"/>
    <w:rsid w:val="00121756"/>
    <w:rsid w:val="00127030"/>
    <w:rsid w:val="001321A4"/>
    <w:rsid w:val="001421FB"/>
    <w:rsid w:val="00147078"/>
    <w:rsid w:val="00147506"/>
    <w:rsid w:val="00150397"/>
    <w:rsid w:val="00156130"/>
    <w:rsid w:val="00156148"/>
    <w:rsid w:val="00164881"/>
    <w:rsid w:val="00172511"/>
    <w:rsid w:val="0017460D"/>
    <w:rsid w:val="0017548A"/>
    <w:rsid w:val="0018518A"/>
    <w:rsid w:val="001862C3"/>
    <w:rsid w:val="001932A5"/>
    <w:rsid w:val="001A4F66"/>
    <w:rsid w:val="001A52FA"/>
    <w:rsid w:val="001A5FB6"/>
    <w:rsid w:val="001B0368"/>
    <w:rsid w:val="001B1CED"/>
    <w:rsid w:val="001B7122"/>
    <w:rsid w:val="001C3CDF"/>
    <w:rsid w:val="001D0B5D"/>
    <w:rsid w:val="001D5A96"/>
    <w:rsid w:val="001E077C"/>
    <w:rsid w:val="001E4551"/>
    <w:rsid w:val="001E54BE"/>
    <w:rsid w:val="001E55FC"/>
    <w:rsid w:val="001F0018"/>
    <w:rsid w:val="001F1F54"/>
    <w:rsid w:val="001F2EA4"/>
    <w:rsid w:val="001F51F6"/>
    <w:rsid w:val="001F7885"/>
    <w:rsid w:val="00202328"/>
    <w:rsid w:val="0020307B"/>
    <w:rsid w:val="00212862"/>
    <w:rsid w:val="00213E6A"/>
    <w:rsid w:val="002146B1"/>
    <w:rsid w:val="002376F4"/>
    <w:rsid w:val="00240E4B"/>
    <w:rsid w:val="00241B7F"/>
    <w:rsid w:val="00242CE6"/>
    <w:rsid w:val="00244277"/>
    <w:rsid w:val="00250A39"/>
    <w:rsid w:val="00252BFF"/>
    <w:rsid w:val="002624BE"/>
    <w:rsid w:val="00267F76"/>
    <w:rsid w:val="002733F1"/>
    <w:rsid w:val="00273949"/>
    <w:rsid w:val="00280050"/>
    <w:rsid w:val="00286A22"/>
    <w:rsid w:val="002B14B4"/>
    <w:rsid w:val="002B22D5"/>
    <w:rsid w:val="002B687E"/>
    <w:rsid w:val="002C5832"/>
    <w:rsid w:val="002E3A1D"/>
    <w:rsid w:val="002F10B1"/>
    <w:rsid w:val="002F1330"/>
    <w:rsid w:val="002F5411"/>
    <w:rsid w:val="00305AD0"/>
    <w:rsid w:val="0030719F"/>
    <w:rsid w:val="0031416A"/>
    <w:rsid w:val="003163A1"/>
    <w:rsid w:val="00316E79"/>
    <w:rsid w:val="00323FBF"/>
    <w:rsid w:val="003264FD"/>
    <w:rsid w:val="00330598"/>
    <w:rsid w:val="00331246"/>
    <w:rsid w:val="0033311C"/>
    <w:rsid w:val="00336DD2"/>
    <w:rsid w:val="00353C72"/>
    <w:rsid w:val="00353F7D"/>
    <w:rsid w:val="00354BAD"/>
    <w:rsid w:val="00354C75"/>
    <w:rsid w:val="00355EC7"/>
    <w:rsid w:val="00360F6A"/>
    <w:rsid w:val="0036195A"/>
    <w:rsid w:val="00371AD4"/>
    <w:rsid w:val="00372C19"/>
    <w:rsid w:val="00375C7E"/>
    <w:rsid w:val="0038158B"/>
    <w:rsid w:val="003838B7"/>
    <w:rsid w:val="00384581"/>
    <w:rsid w:val="00384E0B"/>
    <w:rsid w:val="003950E9"/>
    <w:rsid w:val="003A1166"/>
    <w:rsid w:val="003A36BF"/>
    <w:rsid w:val="003A4030"/>
    <w:rsid w:val="003B0D7A"/>
    <w:rsid w:val="003B1EC2"/>
    <w:rsid w:val="003B4649"/>
    <w:rsid w:val="003B4F7A"/>
    <w:rsid w:val="003C041C"/>
    <w:rsid w:val="003C12FA"/>
    <w:rsid w:val="003C2C0E"/>
    <w:rsid w:val="003C4B30"/>
    <w:rsid w:val="003D6EC9"/>
    <w:rsid w:val="003E04E8"/>
    <w:rsid w:val="003E2F56"/>
    <w:rsid w:val="003E6281"/>
    <w:rsid w:val="003F2256"/>
    <w:rsid w:val="003F262C"/>
    <w:rsid w:val="003F2C16"/>
    <w:rsid w:val="0040294C"/>
    <w:rsid w:val="00413137"/>
    <w:rsid w:val="00414D40"/>
    <w:rsid w:val="00416112"/>
    <w:rsid w:val="004170CF"/>
    <w:rsid w:val="00422990"/>
    <w:rsid w:val="00423DE6"/>
    <w:rsid w:val="00434D22"/>
    <w:rsid w:val="00434D58"/>
    <w:rsid w:val="00436511"/>
    <w:rsid w:val="00437B6B"/>
    <w:rsid w:val="00441910"/>
    <w:rsid w:val="004448CD"/>
    <w:rsid w:val="004449B7"/>
    <w:rsid w:val="00445693"/>
    <w:rsid w:val="0045380C"/>
    <w:rsid w:val="004560F5"/>
    <w:rsid w:val="00464027"/>
    <w:rsid w:val="00472C4D"/>
    <w:rsid w:val="00475BD6"/>
    <w:rsid w:val="00475ED9"/>
    <w:rsid w:val="00476674"/>
    <w:rsid w:val="00477875"/>
    <w:rsid w:val="00482230"/>
    <w:rsid w:val="00485536"/>
    <w:rsid w:val="0049068A"/>
    <w:rsid w:val="00492FE7"/>
    <w:rsid w:val="004A0E36"/>
    <w:rsid w:val="004A74D5"/>
    <w:rsid w:val="004B0F87"/>
    <w:rsid w:val="004B4901"/>
    <w:rsid w:val="004C453C"/>
    <w:rsid w:val="004D0335"/>
    <w:rsid w:val="004D6920"/>
    <w:rsid w:val="004E1F39"/>
    <w:rsid w:val="004E29FB"/>
    <w:rsid w:val="004E2C7A"/>
    <w:rsid w:val="004E72CA"/>
    <w:rsid w:val="004E7398"/>
    <w:rsid w:val="004F3178"/>
    <w:rsid w:val="004F3AC6"/>
    <w:rsid w:val="004F7643"/>
    <w:rsid w:val="005002BD"/>
    <w:rsid w:val="0050457A"/>
    <w:rsid w:val="005051B2"/>
    <w:rsid w:val="00505485"/>
    <w:rsid w:val="00507B4B"/>
    <w:rsid w:val="0051180C"/>
    <w:rsid w:val="00516A19"/>
    <w:rsid w:val="00517D87"/>
    <w:rsid w:val="0052275F"/>
    <w:rsid w:val="005227D3"/>
    <w:rsid w:val="00535C41"/>
    <w:rsid w:val="005376D3"/>
    <w:rsid w:val="00540E00"/>
    <w:rsid w:val="0054343B"/>
    <w:rsid w:val="00551AE9"/>
    <w:rsid w:val="00552637"/>
    <w:rsid w:val="00556626"/>
    <w:rsid w:val="00560BF4"/>
    <w:rsid w:val="00563DD4"/>
    <w:rsid w:val="005641E9"/>
    <w:rsid w:val="005661E5"/>
    <w:rsid w:val="00570BBC"/>
    <w:rsid w:val="00573580"/>
    <w:rsid w:val="00577399"/>
    <w:rsid w:val="00577A20"/>
    <w:rsid w:val="00581C18"/>
    <w:rsid w:val="005904DC"/>
    <w:rsid w:val="0059087B"/>
    <w:rsid w:val="005A30F1"/>
    <w:rsid w:val="005B0184"/>
    <w:rsid w:val="005B02CA"/>
    <w:rsid w:val="005B19E1"/>
    <w:rsid w:val="005B3BA2"/>
    <w:rsid w:val="005B723E"/>
    <w:rsid w:val="005C10F8"/>
    <w:rsid w:val="005C2FF6"/>
    <w:rsid w:val="005C7BD8"/>
    <w:rsid w:val="005D08DC"/>
    <w:rsid w:val="005D3133"/>
    <w:rsid w:val="005D3378"/>
    <w:rsid w:val="005D481C"/>
    <w:rsid w:val="005E2573"/>
    <w:rsid w:val="005E3FEE"/>
    <w:rsid w:val="005F1E0E"/>
    <w:rsid w:val="005F3EA3"/>
    <w:rsid w:val="005F4F23"/>
    <w:rsid w:val="0060698C"/>
    <w:rsid w:val="006073D1"/>
    <w:rsid w:val="00612359"/>
    <w:rsid w:val="00615E8C"/>
    <w:rsid w:val="00615FD5"/>
    <w:rsid w:val="00616796"/>
    <w:rsid w:val="00622DF8"/>
    <w:rsid w:val="00624190"/>
    <w:rsid w:val="00627321"/>
    <w:rsid w:val="006353C6"/>
    <w:rsid w:val="006404C1"/>
    <w:rsid w:val="00641D97"/>
    <w:rsid w:val="006434F1"/>
    <w:rsid w:val="00645547"/>
    <w:rsid w:val="00646F2D"/>
    <w:rsid w:val="0064738B"/>
    <w:rsid w:val="00650962"/>
    <w:rsid w:val="006554FB"/>
    <w:rsid w:val="006608E2"/>
    <w:rsid w:val="006632C5"/>
    <w:rsid w:val="006653C0"/>
    <w:rsid w:val="00666E37"/>
    <w:rsid w:val="00673D71"/>
    <w:rsid w:val="00681FD3"/>
    <w:rsid w:val="006831AC"/>
    <w:rsid w:val="0068706D"/>
    <w:rsid w:val="00687533"/>
    <w:rsid w:val="0068774C"/>
    <w:rsid w:val="0069067A"/>
    <w:rsid w:val="00693AE8"/>
    <w:rsid w:val="006941DC"/>
    <w:rsid w:val="006A1CEE"/>
    <w:rsid w:val="006A7E4D"/>
    <w:rsid w:val="006B3DF2"/>
    <w:rsid w:val="006B7158"/>
    <w:rsid w:val="006C27C7"/>
    <w:rsid w:val="006C6768"/>
    <w:rsid w:val="006D66A3"/>
    <w:rsid w:val="006E2A10"/>
    <w:rsid w:val="006F13EE"/>
    <w:rsid w:val="006F1B60"/>
    <w:rsid w:val="006F1E39"/>
    <w:rsid w:val="006F41A7"/>
    <w:rsid w:val="006F48A1"/>
    <w:rsid w:val="00701EED"/>
    <w:rsid w:val="00705B14"/>
    <w:rsid w:val="00705E7D"/>
    <w:rsid w:val="00706EBE"/>
    <w:rsid w:val="00710C01"/>
    <w:rsid w:val="007122A1"/>
    <w:rsid w:val="00730004"/>
    <w:rsid w:val="0073076F"/>
    <w:rsid w:val="007361F4"/>
    <w:rsid w:val="00736E7C"/>
    <w:rsid w:val="0074096E"/>
    <w:rsid w:val="00743470"/>
    <w:rsid w:val="00745F91"/>
    <w:rsid w:val="00752CBD"/>
    <w:rsid w:val="00753934"/>
    <w:rsid w:val="00754A74"/>
    <w:rsid w:val="0075768A"/>
    <w:rsid w:val="00761C06"/>
    <w:rsid w:val="00763667"/>
    <w:rsid w:val="00763904"/>
    <w:rsid w:val="00766D83"/>
    <w:rsid w:val="007718B2"/>
    <w:rsid w:val="007779D4"/>
    <w:rsid w:val="00797E58"/>
    <w:rsid w:val="007A09A9"/>
    <w:rsid w:val="007A28B1"/>
    <w:rsid w:val="007A2D1D"/>
    <w:rsid w:val="007A484A"/>
    <w:rsid w:val="007A6862"/>
    <w:rsid w:val="007A6D78"/>
    <w:rsid w:val="007B3439"/>
    <w:rsid w:val="007B45BC"/>
    <w:rsid w:val="007B4ABE"/>
    <w:rsid w:val="007B5A8E"/>
    <w:rsid w:val="007C346E"/>
    <w:rsid w:val="007D2E2D"/>
    <w:rsid w:val="007D3879"/>
    <w:rsid w:val="007D5AAC"/>
    <w:rsid w:val="007D70F1"/>
    <w:rsid w:val="007E0691"/>
    <w:rsid w:val="007E1287"/>
    <w:rsid w:val="007E15B8"/>
    <w:rsid w:val="007F0753"/>
    <w:rsid w:val="007F1A18"/>
    <w:rsid w:val="007F26AF"/>
    <w:rsid w:val="007F3348"/>
    <w:rsid w:val="007F4406"/>
    <w:rsid w:val="007F6C5E"/>
    <w:rsid w:val="008017DC"/>
    <w:rsid w:val="00802F08"/>
    <w:rsid w:val="00804B70"/>
    <w:rsid w:val="008050EF"/>
    <w:rsid w:val="00805C2B"/>
    <w:rsid w:val="00806E4D"/>
    <w:rsid w:val="0080707F"/>
    <w:rsid w:val="00811AFA"/>
    <w:rsid w:val="00820A33"/>
    <w:rsid w:val="00831700"/>
    <w:rsid w:val="00842116"/>
    <w:rsid w:val="0084459C"/>
    <w:rsid w:val="008472FF"/>
    <w:rsid w:val="00851A9B"/>
    <w:rsid w:val="0085234E"/>
    <w:rsid w:val="0085577D"/>
    <w:rsid w:val="00871B6B"/>
    <w:rsid w:val="008768F2"/>
    <w:rsid w:val="008813EE"/>
    <w:rsid w:val="00891B66"/>
    <w:rsid w:val="0089558F"/>
    <w:rsid w:val="00895D0A"/>
    <w:rsid w:val="008A1EA1"/>
    <w:rsid w:val="008B788E"/>
    <w:rsid w:val="008C13C1"/>
    <w:rsid w:val="008C34AD"/>
    <w:rsid w:val="008C4470"/>
    <w:rsid w:val="008C4AFC"/>
    <w:rsid w:val="008C771D"/>
    <w:rsid w:val="008D222B"/>
    <w:rsid w:val="008D3078"/>
    <w:rsid w:val="008D49CA"/>
    <w:rsid w:val="008D5098"/>
    <w:rsid w:val="008D6066"/>
    <w:rsid w:val="008E287D"/>
    <w:rsid w:val="008E2D7D"/>
    <w:rsid w:val="008E409F"/>
    <w:rsid w:val="008E4CC2"/>
    <w:rsid w:val="008E53F8"/>
    <w:rsid w:val="008F15B2"/>
    <w:rsid w:val="008F1D1D"/>
    <w:rsid w:val="00900658"/>
    <w:rsid w:val="009017E9"/>
    <w:rsid w:val="0090321C"/>
    <w:rsid w:val="009032FF"/>
    <w:rsid w:val="009069CF"/>
    <w:rsid w:val="009071A9"/>
    <w:rsid w:val="00911518"/>
    <w:rsid w:val="009134BD"/>
    <w:rsid w:val="009140E3"/>
    <w:rsid w:val="009146A4"/>
    <w:rsid w:val="00921D80"/>
    <w:rsid w:val="00925742"/>
    <w:rsid w:val="0093192E"/>
    <w:rsid w:val="0093543A"/>
    <w:rsid w:val="00941446"/>
    <w:rsid w:val="00945C0D"/>
    <w:rsid w:val="00955478"/>
    <w:rsid w:val="009623E6"/>
    <w:rsid w:val="009656ED"/>
    <w:rsid w:val="0097372E"/>
    <w:rsid w:val="00973A2A"/>
    <w:rsid w:val="0098048C"/>
    <w:rsid w:val="009815D0"/>
    <w:rsid w:val="00982224"/>
    <w:rsid w:val="00984907"/>
    <w:rsid w:val="00986549"/>
    <w:rsid w:val="009877A3"/>
    <w:rsid w:val="009970E9"/>
    <w:rsid w:val="009A530F"/>
    <w:rsid w:val="009A63A2"/>
    <w:rsid w:val="009B03F0"/>
    <w:rsid w:val="009C0A8A"/>
    <w:rsid w:val="009C1104"/>
    <w:rsid w:val="009C5588"/>
    <w:rsid w:val="009D0B0C"/>
    <w:rsid w:val="009D0FEB"/>
    <w:rsid w:val="009D1AD9"/>
    <w:rsid w:val="009D6CD6"/>
    <w:rsid w:val="009E08EC"/>
    <w:rsid w:val="009E2D9B"/>
    <w:rsid w:val="009F2BB0"/>
    <w:rsid w:val="009F7CEF"/>
    <w:rsid w:val="009F7E5A"/>
    <w:rsid w:val="00A01396"/>
    <w:rsid w:val="00A01947"/>
    <w:rsid w:val="00A02A57"/>
    <w:rsid w:val="00A04E50"/>
    <w:rsid w:val="00A06E2D"/>
    <w:rsid w:val="00A10908"/>
    <w:rsid w:val="00A123E2"/>
    <w:rsid w:val="00A12495"/>
    <w:rsid w:val="00A13FA0"/>
    <w:rsid w:val="00A147BA"/>
    <w:rsid w:val="00A16E49"/>
    <w:rsid w:val="00A17FBE"/>
    <w:rsid w:val="00A20195"/>
    <w:rsid w:val="00A22843"/>
    <w:rsid w:val="00A23AED"/>
    <w:rsid w:val="00A27CFC"/>
    <w:rsid w:val="00A34C9C"/>
    <w:rsid w:val="00A36C7A"/>
    <w:rsid w:val="00A40A93"/>
    <w:rsid w:val="00A4186F"/>
    <w:rsid w:val="00A44423"/>
    <w:rsid w:val="00A51206"/>
    <w:rsid w:val="00A51696"/>
    <w:rsid w:val="00A607BD"/>
    <w:rsid w:val="00A61A09"/>
    <w:rsid w:val="00A639F3"/>
    <w:rsid w:val="00A6708C"/>
    <w:rsid w:val="00A76498"/>
    <w:rsid w:val="00A777BD"/>
    <w:rsid w:val="00A8239B"/>
    <w:rsid w:val="00A85168"/>
    <w:rsid w:val="00A85B17"/>
    <w:rsid w:val="00A91B63"/>
    <w:rsid w:val="00A91D5A"/>
    <w:rsid w:val="00A92E6A"/>
    <w:rsid w:val="00A93F18"/>
    <w:rsid w:val="00AA2B40"/>
    <w:rsid w:val="00AA2C15"/>
    <w:rsid w:val="00AA64F6"/>
    <w:rsid w:val="00AB0780"/>
    <w:rsid w:val="00AB1F76"/>
    <w:rsid w:val="00AB22A9"/>
    <w:rsid w:val="00AB4E22"/>
    <w:rsid w:val="00AB60CE"/>
    <w:rsid w:val="00AB6261"/>
    <w:rsid w:val="00AB67AA"/>
    <w:rsid w:val="00AB6C1D"/>
    <w:rsid w:val="00AC1E42"/>
    <w:rsid w:val="00AC3261"/>
    <w:rsid w:val="00AC4B43"/>
    <w:rsid w:val="00AD02A7"/>
    <w:rsid w:val="00AD5B0E"/>
    <w:rsid w:val="00AD75FF"/>
    <w:rsid w:val="00AD7AE3"/>
    <w:rsid w:val="00AE7289"/>
    <w:rsid w:val="00AF244C"/>
    <w:rsid w:val="00B0026B"/>
    <w:rsid w:val="00B002F8"/>
    <w:rsid w:val="00B020EC"/>
    <w:rsid w:val="00B02CDD"/>
    <w:rsid w:val="00B03312"/>
    <w:rsid w:val="00B151A1"/>
    <w:rsid w:val="00B16676"/>
    <w:rsid w:val="00B20201"/>
    <w:rsid w:val="00B207D4"/>
    <w:rsid w:val="00B2555C"/>
    <w:rsid w:val="00B30A03"/>
    <w:rsid w:val="00B32D6E"/>
    <w:rsid w:val="00B34B7E"/>
    <w:rsid w:val="00B34DFE"/>
    <w:rsid w:val="00B44090"/>
    <w:rsid w:val="00B4599C"/>
    <w:rsid w:val="00B46D59"/>
    <w:rsid w:val="00B47FDF"/>
    <w:rsid w:val="00B5003C"/>
    <w:rsid w:val="00B50E51"/>
    <w:rsid w:val="00B51C0C"/>
    <w:rsid w:val="00B532AD"/>
    <w:rsid w:val="00B57C0D"/>
    <w:rsid w:val="00B60C0B"/>
    <w:rsid w:val="00B62315"/>
    <w:rsid w:val="00B6731F"/>
    <w:rsid w:val="00B714A3"/>
    <w:rsid w:val="00B82376"/>
    <w:rsid w:val="00B92353"/>
    <w:rsid w:val="00B93D35"/>
    <w:rsid w:val="00B9582A"/>
    <w:rsid w:val="00BA436E"/>
    <w:rsid w:val="00BA449D"/>
    <w:rsid w:val="00BA44BE"/>
    <w:rsid w:val="00BA6BC0"/>
    <w:rsid w:val="00BA7D23"/>
    <w:rsid w:val="00BB0607"/>
    <w:rsid w:val="00BB4105"/>
    <w:rsid w:val="00BB5934"/>
    <w:rsid w:val="00BB5D6D"/>
    <w:rsid w:val="00BB68DD"/>
    <w:rsid w:val="00BB70A8"/>
    <w:rsid w:val="00BC6BF1"/>
    <w:rsid w:val="00BD1147"/>
    <w:rsid w:val="00BD1D09"/>
    <w:rsid w:val="00BD4D6E"/>
    <w:rsid w:val="00BD55D9"/>
    <w:rsid w:val="00BD68FB"/>
    <w:rsid w:val="00BD7A4A"/>
    <w:rsid w:val="00BE2BB8"/>
    <w:rsid w:val="00BE467D"/>
    <w:rsid w:val="00BF3A98"/>
    <w:rsid w:val="00BF77F3"/>
    <w:rsid w:val="00C0085C"/>
    <w:rsid w:val="00C023DF"/>
    <w:rsid w:val="00C02EBC"/>
    <w:rsid w:val="00C05506"/>
    <w:rsid w:val="00C05524"/>
    <w:rsid w:val="00C07483"/>
    <w:rsid w:val="00C07769"/>
    <w:rsid w:val="00C15D3E"/>
    <w:rsid w:val="00C211BD"/>
    <w:rsid w:val="00C215C1"/>
    <w:rsid w:val="00C230A0"/>
    <w:rsid w:val="00C254CB"/>
    <w:rsid w:val="00C2665F"/>
    <w:rsid w:val="00C272FF"/>
    <w:rsid w:val="00C310B7"/>
    <w:rsid w:val="00C3654D"/>
    <w:rsid w:val="00C37EA8"/>
    <w:rsid w:val="00C37FF4"/>
    <w:rsid w:val="00C40C1D"/>
    <w:rsid w:val="00C41848"/>
    <w:rsid w:val="00C42CF5"/>
    <w:rsid w:val="00C459E2"/>
    <w:rsid w:val="00C45C6F"/>
    <w:rsid w:val="00C45D89"/>
    <w:rsid w:val="00C5059D"/>
    <w:rsid w:val="00C510B8"/>
    <w:rsid w:val="00C512EA"/>
    <w:rsid w:val="00C5371E"/>
    <w:rsid w:val="00C55591"/>
    <w:rsid w:val="00C55EE2"/>
    <w:rsid w:val="00C616B3"/>
    <w:rsid w:val="00C65CC6"/>
    <w:rsid w:val="00C7148A"/>
    <w:rsid w:val="00C71665"/>
    <w:rsid w:val="00C718F1"/>
    <w:rsid w:val="00C71D89"/>
    <w:rsid w:val="00C722AB"/>
    <w:rsid w:val="00C74145"/>
    <w:rsid w:val="00C76087"/>
    <w:rsid w:val="00C85256"/>
    <w:rsid w:val="00C9081B"/>
    <w:rsid w:val="00C93469"/>
    <w:rsid w:val="00C94665"/>
    <w:rsid w:val="00CB14AF"/>
    <w:rsid w:val="00CB2FF7"/>
    <w:rsid w:val="00CB4BBB"/>
    <w:rsid w:val="00CB60AB"/>
    <w:rsid w:val="00CC5A3C"/>
    <w:rsid w:val="00CD248E"/>
    <w:rsid w:val="00CD4426"/>
    <w:rsid w:val="00CD7330"/>
    <w:rsid w:val="00CD7A14"/>
    <w:rsid w:val="00CE17EC"/>
    <w:rsid w:val="00D057D2"/>
    <w:rsid w:val="00D07156"/>
    <w:rsid w:val="00D1334A"/>
    <w:rsid w:val="00D17431"/>
    <w:rsid w:val="00D237F5"/>
    <w:rsid w:val="00D245C9"/>
    <w:rsid w:val="00D24D59"/>
    <w:rsid w:val="00D30862"/>
    <w:rsid w:val="00D3104D"/>
    <w:rsid w:val="00D40C2B"/>
    <w:rsid w:val="00D44374"/>
    <w:rsid w:val="00D51824"/>
    <w:rsid w:val="00D51C5C"/>
    <w:rsid w:val="00D55E02"/>
    <w:rsid w:val="00D56BE1"/>
    <w:rsid w:val="00D65BE9"/>
    <w:rsid w:val="00D73076"/>
    <w:rsid w:val="00D752A5"/>
    <w:rsid w:val="00D80AEC"/>
    <w:rsid w:val="00D82BFB"/>
    <w:rsid w:val="00D83B82"/>
    <w:rsid w:val="00D8487C"/>
    <w:rsid w:val="00D85995"/>
    <w:rsid w:val="00D85A98"/>
    <w:rsid w:val="00D87BB5"/>
    <w:rsid w:val="00D9177C"/>
    <w:rsid w:val="00D9312F"/>
    <w:rsid w:val="00D93533"/>
    <w:rsid w:val="00D970D6"/>
    <w:rsid w:val="00DA0996"/>
    <w:rsid w:val="00DA4B03"/>
    <w:rsid w:val="00DA5208"/>
    <w:rsid w:val="00DA53C5"/>
    <w:rsid w:val="00DA62D8"/>
    <w:rsid w:val="00DB02D9"/>
    <w:rsid w:val="00DB6A01"/>
    <w:rsid w:val="00DC535A"/>
    <w:rsid w:val="00DC5E8B"/>
    <w:rsid w:val="00DC7BFD"/>
    <w:rsid w:val="00DC7C6B"/>
    <w:rsid w:val="00DD537C"/>
    <w:rsid w:val="00DD65B7"/>
    <w:rsid w:val="00DF2730"/>
    <w:rsid w:val="00DF4DF9"/>
    <w:rsid w:val="00DF6EBC"/>
    <w:rsid w:val="00E0135A"/>
    <w:rsid w:val="00E15318"/>
    <w:rsid w:val="00E23C9B"/>
    <w:rsid w:val="00E258FB"/>
    <w:rsid w:val="00E27F07"/>
    <w:rsid w:val="00E32409"/>
    <w:rsid w:val="00E4065F"/>
    <w:rsid w:val="00E416D5"/>
    <w:rsid w:val="00E429B1"/>
    <w:rsid w:val="00E55033"/>
    <w:rsid w:val="00E57493"/>
    <w:rsid w:val="00E600E0"/>
    <w:rsid w:val="00E61C70"/>
    <w:rsid w:val="00E6620C"/>
    <w:rsid w:val="00E6683E"/>
    <w:rsid w:val="00E72BFB"/>
    <w:rsid w:val="00E74219"/>
    <w:rsid w:val="00E77AF7"/>
    <w:rsid w:val="00E82AFC"/>
    <w:rsid w:val="00E85944"/>
    <w:rsid w:val="00E91361"/>
    <w:rsid w:val="00E946FE"/>
    <w:rsid w:val="00EA2023"/>
    <w:rsid w:val="00EA48D2"/>
    <w:rsid w:val="00EB4896"/>
    <w:rsid w:val="00EB55AB"/>
    <w:rsid w:val="00EC4F88"/>
    <w:rsid w:val="00ED0D49"/>
    <w:rsid w:val="00EE2E6E"/>
    <w:rsid w:val="00EE579B"/>
    <w:rsid w:val="00EF4C46"/>
    <w:rsid w:val="00F007A2"/>
    <w:rsid w:val="00F019C6"/>
    <w:rsid w:val="00F05FD3"/>
    <w:rsid w:val="00F10B2B"/>
    <w:rsid w:val="00F135B5"/>
    <w:rsid w:val="00F14428"/>
    <w:rsid w:val="00F14D6C"/>
    <w:rsid w:val="00F154B6"/>
    <w:rsid w:val="00F16CC3"/>
    <w:rsid w:val="00F23174"/>
    <w:rsid w:val="00F23441"/>
    <w:rsid w:val="00F2513E"/>
    <w:rsid w:val="00F25986"/>
    <w:rsid w:val="00F33B9A"/>
    <w:rsid w:val="00F34BFC"/>
    <w:rsid w:val="00F4334E"/>
    <w:rsid w:val="00F440AD"/>
    <w:rsid w:val="00F45A57"/>
    <w:rsid w:val="00F47900"/>
    <w:rsid w:val="00F56822"/>
    <w:rsid w:val="00F611DA"/>
    <w:rsid w:val="00F66E65"/>
    <w:rsid w:val="00F71184"/>
    <w:rsid w:val="00F716D2"/>
    <w:rsid w:val="00F738E7"/>
    <w:rsid w:val="00F749F1"/>
    <w:rsid w:val="00F824A8"/>
    <w:rsid w:val="00F851FF"/>
    <w:rsid w:val="00F872A4"/>
    <w:rsid w:val="00F91110"/>
    <w:rsid w:val="00F928D4"/>
    <w:rsid w:val="00F93A2B"/>
    <w:rsid w:val="00FA2B6A"/>
    <w:rsid w:val="00FA3CAA"/>
    <w:rsid w:val="00FA70AB"/>
    <w:rsid w:val="00FA7D98"/>
    <w:rsid w:val="00FB1557"/>
    <w:rsid w:val="00FB354E"/>
    <w:rsid w:val="00FB51D0"/>
    <w:rsid w:val="00FB64BF"/>
    <w:rsid w:val="00FB7941"/>
    <w:rsid w:val="00FC5C96"/>
    <w:rsid w:val="00FD0C4B"/>
    <w:rsid w:val="00FD14DF"/>
    <w:rsid w:val="00FD1EE0"/>
    <w:rsid w:val="00FD4D7E"/>
    <w:rsid w:val="00FE161E"/>
    <w:rsid w:val="00FE1B0C"/>
    <w:rsid w:val="00FE21B8"/>
    <w:rsid w:val="00FE4094"/>
    <w:rsid w:val="00FE4B63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93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89"/>
    <w:rPr>
      <w:rFonts w:asciiTheme="minorHAnsi" w:hAnsiTheme="minorHAnsi" w:cstheme="minorHAnsi"/>
    </w:rPr>
  </w:style>
  <w:style w:type="paragraph" w:styleId="Heading1">
    <w:name w:val="heading 1"/>
    <w:basedOn w:val="2-SectionHeading"/>
    <w:next w:val="Normal"/>
    <w:link w:val="Heading1Char"/>
    <w:uiPriority w:val="9"/>
    <w:qFormat/>
    <w:rsid w:val="0050457A"/>
    <w:pPr>
      <w:spacing w:before="0"/>
    </w:pPr>
  </w:style>
  <w:style w:type="paragraph" w:styleId="Heading2">
    <w:name w:val="heading 2"/>
    <w:basedOn w:val="2-SectionHeading"/>
    <w:next w:val="Normal"/>
    <w:link w:val="Heading2Char"/>
    <w:uiPriority w:val="9"/>
    <w:unhideWhenUsed/>
    <w:qFormat/>
    <w:rsid w:val="0050457A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76F"/>
    <w:pPr>
      <w:spacing w:after="120"/>
      <w:jc w:val="both"/>
      <w:outlineLvl w:val="2"/>
    </w:pPr>
    <w:rPr>
      <w:b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7A"/>
    <w:pPr>
      <w:spacing w:after="120"/>
      <w:jc w:val="both"/>
      <w:outlineLvl w:val="3"/>
    </w:pPr>
    <w:rPr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ummary box,Table Gridbeth"/>
    <w:basedOn w:val="TableNormal"/>
    <w:uiPriority w:val="39"/>
    <w:rsid w:val="00CB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2A"/>
  </w:style>
  <w:style w:type="paragraph" w:styleId="Footer">
    <w:name w:val="footer"/>
    <w:basedOn w:val="Normal"/>
    <w:link w:val="FooterChar"/>
    <w:uiPriority w:val="99"/>
    <w:unhideWhenUsed/>
    <w:rsid w:val="00B9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2A"/>
  </w:style>
  <w:style w:type="paragraph" w:styleId="ListParagraph">
    <w:name w:val="List Paragraph"/>
    <w:aliases w:val="List Paragraph1,Recommendation,List Paragraph11,AR bullet 1,CAB - List Bullet,Bullet point,Bullets,CV text,Dot pt,F5 List Paragraph,FooterText,L,List Paragraph111,List Paragraph2,Medium Grid 1 - Accent 21,NAST Quote,NFP GP Bulleted List,列"/>
    <w:basedOn w:val="Normal"/>
    <w:link w:val="ListParagraphChar"/>
    <w:uiPriority w:val="34"/>
    <w:qFormat/>
    <w:rsid w:val="00B95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AD"/>
    <w:rPr>
      <w:rFonts w:ascii="Segoe UI" w:hAnsi="Segoe UI" w:cs="Segoe UI"/>
      <w:sz w:val="18"/>
      <w:szCs w:val="18"/>
    </w:rPr>
  </w:style>
  <w:style w:type="character" w:styleId="CommentReference">
    <w:name w:val="annotation reference"/>
    <w:aliases w:val="Table Title"/>
    <w:basedOn w:val="DefaultParagraphFont"/>
    <w:uiPriority w:val="99"/>
    <w:qFormat/>
    <w:rsid w:val="00AB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4E22"/>
    <w:pPr>
      <w:spacing w:after="200" w:line="240" w:lineRule="auto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E22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58F"/>
    <w:pPr>
      <w:spacing w:after="160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58F"/>
    <w:rPr>
      <w:rFonts w:cstheme="minorBidi"/>
      <w:b/>
      <w:bCs/>
      <w:sz w:val="20"/>
      <w:szCs w:val="20"/>
    </w:rPr>
  </w:style>
  <w:style w:type="paragraph" w:customStyle="1" w:styleId="2Sections">
    <w:name w:val="2. Sections"/>
    <w:qFormat/>
    <w:rsid w:val="00B30A03"/>
    <w:pPr>
      <w:numPr>
        <w:numId w:val="2"/>
      </w:numPr>
      <w:spacing w:before="240" w:after="120" w:line="240" w:lineRule="auto"/>
      <w:ind w:left="720"/>
      <w:outlineLvl w:val="0"/>
    </w:pPr>
    <w:rPr>
      <w:rFonts w:asciiTheme="minorHAnsi" w:eastAsia="Times New Roman" w:hAnsiTheme="minorHAnsi" w:cs="Arial"/>
      <w:b/>
      <w:snapToGrid w:val="0"/>
      <w:sz w:val="32"/>
      <w:szCs w:val="32"/>
    </w:rPr>
  </w:style>
  <w:style w:type="paragraph" w:customStyle="1" w:styleId="3Bodytext">
    <w:name w:val="3. Body text"/>
    <w:basedOn w:val="ListParagraph"/>
    <w:link w:val="3BodytextChar"/>
    <w:qFormat/>
    <w:rsid w:val="00A36C7A"/>
    <w:pPr>
      <w:numPr>
        <w:ilvl w:val="1"/>
        <w:numId w:val="2"/>
      </w:numPr>
      <w:spacing w:after="120" w:line="240" w:lineRule="auto"/>
      <w:ind w:hanging="720"/>
      <w:contextualSpacing w:val="0"/>
      <w:jc w:val="both"/>
    </w:pPr>
    <w:rPr>
      <w:rFonts w:cstheme="minorBidi"/>
      <w:bCs/>
      <w:szCs w:val="22"/>
    </w:rPr>
  </w:style>
  <w:style w:type="character" w:customStyle="1" w:styleId="3BodytextChar">
    <w:name w:val="3. Body text Char"/>
    <w:basedOn w:val="DefaultParagraphFont"/>
    <w:link w:val="3Bodytext"/>
    <w:rsid w:val="00A36C7A"/>
    <w:rPr>
      <w:rFonts w:asciiTheme="minorHAnsi" w:hAnsiTheme="minorHAnsi" w:cstheme="minorBidi"/>
      <w:bCs/>
      <w:szCs w:val="22"/>
    </w:rPr>
  </w:style>
  <w:style w:type="character" w:customStyle="1" w:styleId="ListParagraphChar">
    <w:name w:val="List Paragraph Char"/>
    <w:aliases w:val="List Paragraph1 Char,Recommendation Char,List Paragraph11 Char,AR bullet 1 Char,CAB - List Bullet Char,Bullet point Char,Bullets Char,CV text Char,Dot pt Char,F5 List Paragraph Char,FooterText Char,L Char,List Paragraph111 Char"/>
    <w:link w:val="ListParagraph"/>
    <w:uiPriority w:val="34"/>
    <w:qFormat/>
    <w:locked/>
    <w:rsid w:val="004C453C"/>
  </w:style>
  <w:style w:type="paragraph" w:styleId="NoSpacing">
    <w:name w:val="No Spacing"/>
    <w:uiPriority w:val="1"/>
    <w:qFormat/>
    <w:rsid w:val="00371A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60A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207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07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207D4"/>
    <w:rPr>
      <w:vertAlign w:val="superscript"/>
    </w:rPr>
  </w:style>
  <w:style w:type="character" w:customStyle="1" w:styleId="simplehighlight">
    <w:name w:val="simplehighlight"/>
    <w:basedOn w:val="DefaultParagraphFont"/>
    <w:rsid w:val="00BD55D9"/>
  </w:style>
  <w:style w:type="paragraph" w:customStyle="1" w:styleId="Default">
    <w:name w:val="Default"/>
    <w:rsid w:val="002B687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</w:rPr>
  </w:style>
  <w:style w:type="paragraph" w:customStyle="1" w:styleId="2-SectionHeading">
    <w:name w:val="2-Section Heading"/>
    <w:qFormat/>
    <w:rsid w:val="00C55EE2"/>
    <w:pPr>
      <w:keepNext/>
      <w:spacing w:before="240" w:after="120" w:line="240" w:lineRule="auto"/>
      <w:outlineLvl w:val="0"/>
    </w:pPr>
    <w:rPr>
      <w:rFonts w:asciiTheme="minorHAnsi" w:eastAsia="Times New Roman" w:hAnsiTheme="minorHAnsi" w:cs="Arial"/>
      <w:b/>
      <w:snapToGrid w:val="0"/>
      <w:sz w:val="32"/>
      <w:szCs w:val="32"/>
      <w:lang w:eastAsia="en-AU"/>
    </w:rPr>
  </w:style>
  <w:style w:type="paragraph" w:customStyle="1" w:styleId="3-BodyText">
    <w:name w:val="3-Body Text"/>
    <w:basedOn w:val="ListParagraph"/>
    <w:link w:val="3-BodyTextChar"/>
    <w:qFormat/>
    <w:rsid w:val="00BA6BC0"/>
    <w:pPr>
      <w:spacing w:after="120" w:line="240" w:lineRule="auto"/>
      <w:ind w:hanging="720"/>
      <w:contextualSpacing w:val="0"/>
      <w:jc w:val="both"/>
    </w:pPr>
    <w:rPr>
      <w:rFonts w:eastAsia="Times New Roman" w:cs="Arial"/>
      <w:snapToGrid w:val="0"/>
      <w:lang w:eastAsia="en-AU"/>
    </w:rPr>
  </w:style>
  <w:style w:type="character" w:customStyle="1" w:styleId="3-BodyTextChar">
    <w:name w:val="3-Body Text Char"/>
    <w:basedOn w:val="DefaultParagraphFont"/>
    <w:link w:val="3-BodyText"/>
    <w:rsid w:val="00BA6BC0"/>
    <w:rPr>
      <w:rFonts w:asciiTheme="minorHAnsi" w:eastAsia="Times New Roman" w:hAnsiTheme="minorHAnsi" w:cs="Arial"/>
      <w:snapToGrid w:val="0"/>
      <w:lang w:eastAsia="en-AU"/>
    </w:rPr>
  </w:style>
  <w:style w:type="character" w:styleId="Strong">
    <w:name w:val="Strong"/>
    <w:basedOn w:val="DefaultParagraphFont"/>
    <w:uiPriority w:val="22"/>
    <w:qFormat/>
    <w:rsid w:val="0080707F"/>
    <w:rPr>
      <w:b/>
      <w:bCs/>
    </w:rPr>
  </w:style>
  <w:style w:type="character" w:customStyle="1" w:styleId="search-summary">
    <w:name w:val="search-summary"/>
    <w:basedOn w:val="DefaultParagraphFont"/>
    <w:rsid w:val="0080707F"/>
  </w:style>
  <w:style w:type="paragraph" w:styleId="Revision">
    <w:name w:val="Revision"/>
    <w:hidden/>
    <w:uiPriority w:val="99"/>
    <w:semiHidden/>
    <w:rsid w:val="00026A9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62C3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50397"/>
    <w:rPr>
      <w:color w:val="954F72" w:themeColor="followedHyperlink"/>
      <w:u w:val="single"/>
    </w:rPr>
  </w:style>
  <w:style w:type="paragraph" w:customStyle="1" w:styleId="4Bodytextnumbered">
    <w:name w:val="4. Body text numbered"/>
    <w:basedOn w:val="ListParagraph"/>
    <w:qFormat/>
    <w:rsid w:val="0004362F"/>
    <w:pPr>
      <w:spacing w:after="120" w:line="240" w:lineRule="auto"/>
      <w:ind w:hanging="720"/>
      <w:contextualSpacing w:val="0"/>
      <w:jc w:val="both"/>
    </w:pPr>
    <w:rPr>
      <w:rFonts w:cstheme="minorBidi"/>
      <w:szCs w:val="22"/>
    </w:rPr>
  </w:style>
  <w:style w:type="character" w:styleId="Emphasis">
    <w:name w:val="Emphasis"/>
    <w:basedOn w:val="DefaultParagraphFont"/>
    <w:uiPriority w:val="20"/>
    <w:qFormat/>
    <w:rsid w:val="00C0776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71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457A"/>
    <w:rPr>
      <w:rFonts w:asciiTheme="minorHAnsi" w:eastAsia="Times New Roman" w:hAnsiTheme="minorHAnsi" w:cs="Arial"/>
      <w:b/>
      <w:snapToGrid w:val="0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0457A"/>
    <w:rPr>
      <w:rFonts w:asciiTheme="minorHAnsi" w:eastAsia="Times New Roman" w:hAnsiTheme="minorHAnsi" w:cs="Arial"/>
      <w:b/>
      <w:snapToGrid w:val="0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3076F"/>
    <w:rPr>
      <w:rFonts w:asciiTheme="minorHAnsi" w:hAnsiTheme="minorHAnsi" w:cstheme="minorHAnsi"/>
      <w:b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57A"/>
    <w:rPr>
      <w:rFonts w:asciiTheme="minorHAnsi" w:hAnsiTheme="minorHAnsi" w:cstheme="minorHAnsi"/>
      <w:bCs/>
      <w:i/>
      <w:iCs/>
    </w:rPr>
  </w:style>
  <w:style w:type="paragraph" w:customStyle="1" w:styleId="PBACHeading1">
    <w:name w:val="PBAC Heading 1"/>
    <w:qFormat/>
    <w:rsid w:val="00B6731F"/>
    <w:pPr>
      <w:keepNext/>
      <w:keepLines/>
      <w:spacing w:before="240" w:after="120" w:line="240" w:lineRule="auto"/>
      <w:ind w:left="720" w:hanging="720"/>
    </w:pPr>
    <w:rPr>
      <w:rFonts w:ascii="Calibri" w:eastAsia="Times New Roman" w:hAnsi="Calibri" w:cs="Arial"/>
      <w:b/>
      <w:snapToGrid w:val="0"/>
      <w:sz w:val="32"/>
      <w:szCs w:val="22"/>
    </w:rPr>
  </w:style>
  <w:style w:type="paragraph" w:customStyle="1" w:styleId="1MainTitle">
    <w:name w:val="1. Main Title"/>
    <w:basedOn w:val="Title"/>
    <w:link w:val="1MainTitleChar"/>
    <w:qFormat/>
    <w:rsid w:val="00F45A57"/>
    <w:pPr>
      <w:spacing w:after="120"/>
      <w:ind w:left="720" w:hanging="720"/>
      <w:outlineLvl w:val="0"/>
    </w:pPr>
    <w:rPr>
      <w:rFonts w:asciiTheme="minorHAnsi" w:hAnsiTheme="minorHAnsi"/>
      <w:b/>
      <w:spacing w:val="5"/>
      <w:sz w:val="36"/>
      <w:szCs w:val="36"/>
    </w:rPr>
  </w:style>
  <w:style w:type="character" w:customStyle="1" w:styleId="1MainTitleChar">
    <w:name w:val="1. Main Title Char"/>
    <w:basedOn w:val="TitleChar"/>
    <w:link w:val="1MainTitle"/>
    <w:rsid w:val="00F45A57"/>
    <w:rPr>
      <w:rFonts w:asciiTheme="minorHAnsi" w:eastAsiaTheme="majorEastAsia" w:hAnsiTheme="minorHAnsi" w:cstheme="majorBidi"/>
      <w:b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F45A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ulletpoints">
    <w:name w:val="Bullet points"/>
    <w:basedOn w:val="ListParagraph"/>
    <w:qFormat/>
    <w:rsid w:val="00F45A57"/>
    <w:pPr>
      <w:widowControl w:val="0"/>
      <w:numPr>
        <w:numId w:val="40"/>
      </w:numPr>
      <w:spacing w:after="0" w:line="240" w:lineRule="auto"/>
      <w:contextualSpacing w:val="0"/>
      <w:jc w:val="both"/>
    </w:pPr>
    <w:rPr>
      <w:rFonts w:ascii="Calibri" w:eastAsia="Times New Roman" w:hAnsi="Calibri" w:cs="Arial"/>
      <w:snapToGrid w:val="0"/>
    </w:rPr>
  </w:style>
  <w:style w:type="paragraph" w:customStyle="1" w:styleId="TableText">
    <w:name w:val="Table Text"/>
    <w:basedOn w:val="Normal"/>
    <w:link w:val="TableTextChar"/>
    <w:qFormat/>
    <w:rsid w:val="0051180C"/>
    <w:pPr>
      <w:spacing w:before="60" w:after="6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TableTextChar">
    <w:name w:val="Table Text Char"/>
    <w:link w:val="TableText"/>
    <w:rsid w:val="0051180C"/>
    <w:rPr>
      <w:rFonts w:ascii="Calibri" w:eastAsia="Times New Roman" w:hAnsi="Calibri"/>
      <w:sz w:val="20"/>
      <w:szCs w:val="20"/>
      <w:lang w:eastAsia="en-AU"/>
    </w:rPr>
  </w:style>
  <w:style w:type="paragraph" w:customStyle="1" w:styleId="pf0">
    <w:name w:val="pf0"/>
    <w:basedOn w:val="Normal"/>
    <w:rsid w:val="00B7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cf01">
    <w:name w:val="cf01"/>
    <w:basedOn w:val="DefaultParagraphFont"/>
    <w:rsid w:val="00B714A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714A3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35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  <w:divsChild>
            <w:div w:id="1996759183">
              <w:marLeft w:val="0"/>
              <w:marRight w:val="0"/>
              <w:marTop w:val="0"/>
              <w:marBottom w:val="0"/>
              <w:divBdr>
                <w:top w:val="none" w:sz="0" w:space="0" w:color="C4DEEE"/>
                <w:left w:val="none" w:sz="0" w:space="0" w:color="C4DEEE"/>
                <w:bottom w:val="none" w:sz="0" w:space="0" w:color="C4DEEE"/>
                <w:right w:val="none" w:sz="0" w:space="0" w:color="C4DEEE"/>
              </w:divBdr>
            </w:div>
          </w:divsChild>
        </w:div>
        <w:div w:id="1797754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</w:divsChild>
    </w:div>
    <w:div w:id="68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39664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7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2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20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  <w:divsChild>
            <w:div w:id="717242007">
              <w:marLeft w:val="0"/>
              <w:marRight w:val="0"/>
              <w:marTop w:val="0"/>
              <w:marBottom w:val="0"/>
              <w:divBdr>
                <w:top w:val="none" w:sz="0" w:space="0" w:color="C4DEEE"/>
                <w:left w:val="none" w:sz="0" w:space="0" w:color="C4DEEE"/>
                <w:bottom w:val="none" w:sz="0" w:space="0" w:color="C4DEEE"/>
                <w:right w:val="none" w:sz="0" w:space="0" w:color="C4DEEE"/>
              </w:divBdr>
            </w:div>
          </w:divsChild>
        </w:div>
        <w:div w:id="1853912157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</w:divsChild>
    </w:div>
    <w:div w:id="1314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1544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202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95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7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78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950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3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822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74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38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80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gldcdp.tg.org.au/viewTopic?etgAccess=true&amp;guidelinePage=Cardiovascular&amp;topicfile=c_CVG_Lipid-modificationtopic_1&amp;guidelinename=auto&amp;sectionId=c_CVG_Lipid-modificationtopic_21" TargetMode="External"/><Relationship Id="rId2" Type="http://schemas.openxmlformats.org/officeDocument/2006/relationships/hyperlink" Target="https://www.ebs.tga.gov.au/ebs/picmi/picmirepository.nsf/pdf?OpenAgent=&amp;id=CP-2017-PI-01919-1&amp;d=20240320172310101" TargetMode="External"/><Relationship Id="rId1" Type="http://schemas.openxmlformats.org/officeDocument/2006/relationships/hyperlink" Target="https://www.cvdcheck.org.au/identify-risk-category" TargetMode="External"/><Relationship Id="rId6" Type="http://schemas.openxmlformats.org/officeDocument/2006/relationships/hyperlink" Target="https://tgldcdp.tg.org.au/viewTopic?etgAccess=true&amp;guidelinePage=Cardiovascular&amp;topicfile=c_CVG_Lipid-modificationtopic_1&amp;guidelinename=auto&amp;sectionId=c_CVG_Lipid-modificationtopic_21" TargetMode="External"/><Relationship Id="rId5" Type="http://schemas.openxmlformats.org/officeDocument/2006/relationships/hyperlink" Target="https://www.bmj.com/content/377/bmj-2021-069066" TargetMode="External"/><Relationship Id="rId4" Type="http://schemas.openxmlformats.org/officeDocument/2006/relationships/hyperlink" Target="https://www.nice.org.uk/guidance/ta385/resources/ezetimibe-for-treating-primary-heterozygousfamilial-and-nonfamilial-hypercholesterolaemia-pdf-82602851386309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llis\AppData\Roaming\Hewlett-Packard\HP%20TRIM\Offline%20Records%20(A7)\PBAC%20~%20BENEFITS%20&amp;%20ACCESS%20-%20Committees(8)\Ezetimibe%20SA%20item%20reports%20-%20scripts%20and%20expenditu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llis\AppData\Roaming\Hewlett-Packard\HP%20TRIM\Offline%20Records%20(A7)\PBAC%20~%20BENEFITS%20&amp;%20ACCESS%20-%20Committees(8)\Ezetimibe%20SA%20item%20reports%20-%20scripts%20and%20expenditu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Sheet1!$C$17</c:f>
              <c:strCache>
                <c:ptCount val="1"/>
                <c:pt idx="0">
                  <c:v>Ezetimibe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Sheet1!$B$18:$B$29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Sheet1!$C$18:$C$29</c:f>
              <c:numCache>
                <c:formatCode>#,##0</c:formatCode>
                <c:ptCount val="12"/>
                <c:pt idx="0">
                  <c:v>1147560</c:v>
                </c:pt>
                <c:pt idx="1">
                  <c:v>1069936</c:v>
                </c:pt>
                <c:pt idx="2">
                  <c:v>1333876</c:v>
                </c:pt>
                <c:pt idx="3">
                  <c:v>1352478</c:v>
                </c:pt>
                <c:pt idx="4">
                  <c:v>1173062</c:v>
                </c:pt>
                <c:pt idx="5">
                  <c:v>1161333</c:v>
                </c:pt>
                <c:pt idx="6">
                  <c:v>1284849</c:v>
                </c:pt>
                <c:pt idx="7">
                  <c:v>1051362</c:v>
                </c:pt>
                <c:pt idx="8">
                  <c:v>919695</c:v>
                </c:pt>
                <c:pt idx="9">
                  <c:v>943333</c:v>
                </c:pt>
                <c:pt idx="10">
                  <c:v>1063583</c:v>
                </c:pt>
                <c:pt idx="11">
                  <c:v>1270164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BB-4D04-90EF-6500DC50F68F}"/>
            </c:ext>
          </c:extLst>
        </c:ser>
        <c:ser>
          <c:idx val="1"/>
          <c:order val="1"/>
          <c:tx>
            <c:strRef>
              <c:f>Sheet1!$D$17</c:f>
              <c:strCache>
                <c:ptCount val="1"/>
                <c:pt idx="0">
                  <c:v>Ezetimibe FDC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Sheet1!$B$18:$B$29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Sheet1!$D$18:$D$29</c:f>
              <c:numCache>
                <c:formatCode>#,##0</c:formatCode>
                <c:ptCount val="12"/>
                <c:pt idx="0">
                  <c:v>877521</c:v>
                </c:pt>
                <c:pt idx="1">
                  <c:v>833241</c:v>
                </c:pt>
                <c:pt idx="2">
                  <c:v>1063773</c:v>
                </c:pt>
                <c:pt idx="3">
                  <c:v>1227268</c:v>
                </c:pt>
                <c:pt idx="4">
                  <c:v>1607138</c:v>
                </c:pt>
                <c:pt idx="5">
                  <c:v>1903547</c:v>
                </c:pt>
                <c:pt idx="6">
                  <c:v>1913158</c:v>
                </c:pt>
                <c:pt idx="7">
                  <c:v>1918613</c:v>
                </c:pt>
                <c:pt idx="8">
                  <c:v>1636240</c:v>
                </c:pt>
                <c:pt idx="9">
                  <c:v>1694583</c:v>
                </c:pt>
                <c:pt idx="10">
                  <c:v>1850207</c:v>
                </c:pt>
                <c:pt idx="11">
                  <c:v>1946883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BB-4D04-90EF-6500DC50F6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581896"/>
        <c:axId val="853582880"/>
      </c:lineChart>
      <c:catAx>
        <c:axId val="853581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3582880"/>
        <c:crosses val="autoZero"/>
        <c:auto val="1"/>
        <c:lblAlgn val="ctr"/>
        <c:lblOffset val="100"/>
        <c:noMultiLvlLbl val="0"/>
      </c:catAx>
      <c:valAx>
        <c:axId val="85358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R/PBS</a:t>
                </a:r>
                <a:r>
                  <a:rPr lang="en-AU" baseline="0"/>
                  <a:t> prescriptions supplied</a:t>
                </a:r>
                <a:endParaRPr lang="en-A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3581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tx>
            <c:strRef>
              <c:f>Sheet1!$E$31</c:f>
              <c:strCache>
                <c:ptCount val="1"/>
                <c:pt idx="0">
                  <c:v>Ezetimibe incl FDC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Sheet1!$B$32:$B$43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Sheet1!$E$32:$E$43</c:f>
              <c:numCache>
                <c:formatCode>#,##0</c:formatCode>
                <c:ptCount val="12"/>
                <c:pt idx="0">
                  <c:v>157346759</c:v>
                </c:pt>
                <c:pt idx="1">
                  <c:v>146704230</c:v>
                </c:pt>
                <c:pt idx="2">
                  <c:v>185122065</c:v>
                </c:pt>
                <c:pt idx="3">
                  <c:v>169008159</c:v>
                </c:pt>
                <c:pt idx="4">
                  <c:v>154769253</c:v>
                </c:pt>
                <c:pt idx="5">
                  <c:v>166296576</c:v>
                </c:pt>
                <c:pt idx="6">
                  <c:v>131207279</c:v>
                </c:pt>
                <c:pt idx="7">
                  <c:v>91154130</c:v>
                </c:pt>
                <c:pt idx="8">
                  <c:v>72209831</c:v>
                </c:pt>
                <c:pt idx="9">
                  <c:v>55970661</c:v>
                </c:pt>
                <c:pt idx="10">
                  <c:v>56242752</c:v>
                </c:pt>
                <c:pt idx="11">
                  <c:v>59168747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D8-4D88-AE39-9AB5886C6C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58398048"/>
        <c:axId val="958394768"/>
      </c:lineChart>
      <c:catAx>
        <c:axId val="95839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8394768"/>
        <c:crosses val="autoZero"/>
        <c:auto val="1"/>
        <c:lblAlgn val="ctr"/>
        <c:lblOffset val="100"/>
        <c:noMultiLvlLbl val="0"/>
      </c:catAx>
      <c:valAx>
        <c:axId val="95839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Expenditure</a:t>
                </a:r>
                <a:r>
                  <a:rPr lang="en-AU" baseline="0"/>
                  <a:t> ($)</a:t>
                </a:r>
                <a:endParaRPr lang="en-A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8398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DA0B-F283-46AF-BBAF-EC6D69C6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2024-05-31T03:32:00Z</dcterms:created>
  <dcterms:modified xsi:type="dcterms:W3CDTF">2024-10-28T21:31:00Z</dcterms:modified>
</cp:coreProperties>
</file>