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5869" w14:textId="0C4DAECC" w:rsidR="00763140" w:rsidRDefault="00763140" w:rsidP="009012CE">
      <w:pPr>
        <w:pStyle w:val="Heading1"/>
        <w:spacing w:after="240"/>
      </w:pPr>
    </w:p>
    <w:p w14:paraId="6A156A7F" w14:textId="77777777" w:rsidR="00763140" w:rsidRDefault="00763140" w:rsidP="00763140">
      <w:pPr>
        <w:pStyle w:val="Heading1"/>
        <w:spacing w:after="240" w:line="360" w:lineRule="auto"/>
        <w:jc w:val="center"/>
      </w:pPr>
    </w:p>
    <w:p w14:paraId="318353A7" w14:textId="77777777" w:rsidR="00FC0AE7" w:rsidRDefault="00FC0AE7" w:rsidP="00763140">
      <w:pPr>
        <w:jc w:val="center"/>
        <w:rPr>
          <w:rFonts w:ascii="Cambria" w:hAnsi="Cambria"/>
          <w:b/>
          <w:bCs/>
          <w:sz w:val="36"/>
          <w:szCs w:val="36"/>
        </w:rPr>
      </w:pPr>
    </w:p>
    <w:p w14:paraId="31D1B55F" w14:textId="6E0ADB13" w:rsidR="00763140" w:rsidRPr="00763140" w:rsidRDefault="00763140" w:rsidP="00763140">
      <w:pPr>
        <w:jc w:val="center"/>
        <w:rPr>
          <w:rFonts w:ascii="Cambria" w:hAnsi="Cambria"/>
          <w:b/>
          <w:bCs/>
          <w:sz w:val="36"/>
          <w:szCs w:val="36"/>
        </w:rPr>
      </w:pPr>
      <w:r w:rsidRPr="00763140">
        <w:rPr>
          <w:rFonts w:ascii="Cambria" w:hAnsi="Cambria"/>
          <w:b/>
          <w:bCs/>
          <w:sz w:val="36"/>
          <w:szCs w:val="36"/>
        </w:rPr>
        <w:t>Pharmaceutical Benefits Scheme</w:t>
      </w:r>
    </w:p>
    <w:p w14:paraId="7180CBC4" w14:textId="737FE11E" w:rsidR="00763140" w:rsidRPr="00763140" w:rsidRDefault="00763140" w:rsidP="00763140">
      <w:pPr>
        <w:pStyle w:val="Heading1"/>
        <w:spacing w:after="240" w:line="360" w:lineRule="auto"/>
        <w:jc w:val="center"/>
      </w:pPr>
      <w:bookmarkStart w:id="0" w:name="_Toc118373770"/>
      <w:bookmarkStart w:id="1" w:name="_Toc118373884"/>
      <w:bookmarkStart w:id="2" w:name="_Toc118813829"/>
      <w:r w:rsidRPr="00763140">
        <w:t xml:space="preserve">Post-market </w:t>
      </w:r>
      <w:r w:rsidR="009E15CE">
        <w:t>R</w:t>
      </w:r>
      <w:r w:rsidRPr="00763140">
        <w:t xml:space="preserve">eview </w:t>
      </w:r>
      <w:r w:rsidR="004A06E9">
        <w:t>S</w:t>
      </w:r>
      <w:r w:rsidRPr="00763140">
        <w:t xml:space="preserve">ection </w:t>
      </w:r>
      <w:r w:rsidR="009E15CE">
        <w:t>R</w:t>
      </w:r>
      <w:r w:rsidRPr="00763140">
        <w:t>eport</w:t>
      </w:r>
      <w:bookmarkEnd w:id="0"/>
      <w:bookmarkEnd w:id="1"/>
      <w:bookmarkEnd w:id="2"/>
      <w:r w:rsidRPr="00763140">
        <w:t xml:space="preserve"> </w:t>
      </w:r>
    </w:p>
    <w:p w14:paraId="57CC238E" w14:textId="4551BB2A" w:rsidR="009012CE" w:rsidRPr="00763140" w:rsidRDefault="009012CE" w:rsidP="00763140">
      <w:pPr>
        <w:pStyle w:val="Heading1"/>
        <w:spacing w:after="240" w:line="360" w:lineRule="auto"/>
        <w:jc w:val="center"/>
        <w:rPr>
          <w:color w:val="2F5496" w:themeColor="accent1" w:themeShade="BF"/>
        </w:rPr>
      </w:pPr>
      <w:bookmarkStart w:id="3" w:name="_Toc109905960"/>
      <w:bookmarkStart w:id="4" w:name="_Toc118373771"/>
      <w:bookmarkStart w:id="5" w:name="_Toc118373885"/>
      <w:bookmarkStart w:id="6" w:name="_Toc118813830"/>
      <w:r w:rsidRPr="00763140">
        <w:rPr>
          <w:color w:val="2F5496" w:themeColor="accent1" w:themeShade="BF"/>
        </w:rPr>
        <w:t xml:space="preserve">Stocktake of Pharmaceutical Benefits Scheme </w:t>
      </w:r>
      <w:r w:rsidR="009E15CE">
        <w:rPr>
          <w:color w:val="2F5496" w:themeColor="accent1" w:themeShade="BF"/>
        </w:rPr>
        <w:t xml:space="preserve">subsidised medicines available </w:t>
      </w:r>
      <w:r w:rsidRPr="00763140">
        <w:rPr>
          <w:color w:val="2F5496" w:themeColor="accent1" w:themeShade="BF"/>
        </w:rPr>
        <w:t>for endometriosis and related conditions, and comparison of current Australian pharmacological treatment guidelines</w:t>
      </w:r>
      <w:bookmarkEnd w:id="3"/>
      <w:bookmarkEnd w:id="4"/>
      <w:bookmarkEnd w:id="5"/>
      <w:bookmarkEnd w:id="6"/>
    </w:p>
    <w:p w14:paraId="317ED749" w14:textId="77777777" w:rsidR="00763140" w:rsidRDefault="00763140" w:rsidP="00763140">
      <w:pPr>
        <w:jc w:val="center"/>
        <w:rPr>
          <w:rFonts w:ascii="Cambria" w:hAnsi="Cambria"/>
          <w:b/>
          <w:bCs/>
          <w:color w:val="2F5496" w:themeColor="accent1" w:themeShade="BF"/>
          <w:sz w:val="28"/>
          <w:szCs w:val="28"/>
        </w:rPr>
      </w:pPr>
    </w:p>
    <w:p w14:paraId="626F0A3A" w14:textId="77777777" w:rsidR="00763140" w:rsidRDefault="00763140" w:rsidP="00763140">
      <w:pPr>
        <w:jc w:val="center"/>
        <w:rPr>
          <w:rFonts w:ascii="Cambria" w:hAnsi="Cambria"/>
          <w:b/>
          <w:bCs/>
          <w:color w:val="2F5496" w:themeColor="accent1" w:themeShade="BF"/>
          <w:sz w:val="28"/>
          <w:szCs w:val="28"/>
        </w:rPr>
      </w:pPr>
    </w:p>
    <w:p w14:paraId="5E299727" w14:textId="77777777" w:rsidR="00763140" w:rsidRDefault="00763140" w:rsidP="00763140">
      <w:pPr>
        <w:jc w:val="center"/>
        <w:rPr>
          <w:rFonts w:ascii="Cambria" w:hAnsi="Cambria"/>
          <w:b/>
          <w:bCs/>
          <w:color w:val="2F5496" w:themeColor="accent1" w:themeShade="BF"/>
          <w:sz w:val="28"/>
          <w:szCs w:val="28"/>
        </w:rPr>
      </w:pPr>
    </w:p>
    <w:p w14:paraId="5874E5A7" w14:textId="151A0EEE" w:rsidR="00763140" w:rsidRPr="00763140" w:rsidRDefault="009B2AF7" w:rsidP="00763140">
      <w:pPr>
        <w:jc w:val="center"/>
        <w:rPr>
          <w:rFonts w:ascii="Cambria" w:hAnsi="Cambria"/>
          <w:b/>
          <w:bCs/>
          <w:color w:val="2F5496" w:themeColor="accent1" w:themeShade="BF"/>
          <w:sz w:val="28"/>
          <w:szCs w:val="28"/>
        </w:rPr>
      </w:pPr>
      <w:r>
        <w:rPr>
          <w:rFonts w:ascii="Cambria" w:hAnsi="Cambria"/>
          <w:b/>
          <w:bCs/>
          <w:color w:val="2F5496" w:themeColor="accent1" w:themeShade="BF"/>
          <w:sz w:val="28"/>
          <w:szCs w:val="28"/>
        </w:rPr>
        <w:t>November</w:t>
      </w:r>
      <w:r w:rsidRPr="00763140">
        <w:rPr>
          <w:rFonts w:ascii="Cambria" w:hAnsi="Cambria"/>
          <w:b/>
          <w:bCs/>
          <w:color w:val="2F5496" w:themeColor="accent1" w:themeShade="BF"/>
          <w:sz w:val="28"/>
          <w:szCs w:val="28"/>
        </w:rPr>
        <w:t xml:space="preserve"> </w:t>
      </w:r>
      <w:r w:rsidR="00763140" w:rsidRPr="00763140">
        <w:rPr>
          <w:rFonts w:ascii="Cambria" w:hAnsi="Cambria"/>
          <w:b/>
          <w:bCs/>
          <w:color w:val="2F5496" w:themeColor="accent1" w:themeShade="BF"/>
          <w:sz w:val="28"/>
          <w:szCs w:val="28"/>
        </w:rPr>
        <w:t>2022</w:t>
      </w:r>
    </w:p>
    <w:p w14:paraId="37039643" w14:textId="68223FDE" w:rsidR="009012CE" w:rsidRDefault="009012CE">
      <w:r>
        <w:br w:type="page"/>
      </w:r>
    </w:p>
    <w:sdt>
      <w:sdtPr>
        <w:id w:val="823705099"/>
        <w:docPartObj>
          <w:docPartGallery w:val="Table of Contents"/>
          <w:docPartUnique/>
        </w:docPartObj>
      </w:sdtPr>
      <w:sdtEndPr>
        <w:rPr>
          <w:b/>
          <w:bCs/>
          <w:noProof/>
        </w:rPr>
      </w:sdtEndPr>
      <w:sdtContent>
        <w:p w14:paraId="32AAE407" w14:textId="31345046" w:rsidR="00C75950" w:rsidRDefault="00D1229D" w:rsidP="00C75950">
          <w:pPr>
            <w:pStyle w:val="TOC1"/>
            <w:tabs>
              <w:tab w:val="right" w:leader="dot" w:pos="9016"/>
            </w:tabs>
            <w:rPr>
              <w:rFonts w:asciiTheme="minorHAnsi" w:eastAsiaTheme="minorEastAsia" w:hAnsiTheme="minorHAnsi" w:cstheme="minorBidi"/>
              <w:noProof/>
              <w:sz w:val="22"/>
              <w:szCs w:val="22"/>
              <w:lang w:eastAsia="en-AU"/>
            </w:rPr>
          </w:pPr>
          <w:r w:rsidRPr="009E15CE">
            <w:rPr>
              <w:rFonts w:asciiTheme="minorHAnsi" w:hAnsiTheme="minorHAnsi" w:cstheme="minorHAnsi"/>
              <w:b/>
              <w:bCs/>
              <w:sz w:val="32"/>
              <w:szCs w:val="32"/>
            </w:rPr>
            <w:t>Contents</w:t>
          </w:r>
          <w:r w:rsidRPr="009E15CE">
            <w:rPr>
              <w:rFonts w:asciiTheme="minorHAnsi" w:eastAsiaTheme="majorEastAsia" w:hAnsiTheme="minorHAnsi" w:cstheme="minorHAnsi"/>
              <w:b/>
              <w:bCs/>
              <w:color w:val="2F5496" w:themeColor="accent1" w:themeShade="BF"/>
              <w:sz w:val="40"/>
              <w:szCs w:val="40"/>
              <w:lang w:val="en-US"/>
            </w:rPr>
            <w:fldChar w:fldCharType="begin"/>
          </w:r>
          <w:r w:rsidRPr="009E15CE">
            <w:rPr>
              <w:rFonts w:asciiTheme="minorHAnsi" w:hAnsiTheme="minorHAnsi" w:cstheme="minorHAnsi"/>
              <w:b/>
              <w:bCs/>
              <w:sz w:val="32"/>
              <w:szCs w:val="32"/>
            </w:rPr>
            <w:instrText xml:space="preserve"> TOC \o "1-3" \h \z \u </w:instrText>
          </w:r>
          <w:r w:rsidRPr="009E15CE">
            <w:rPr>
              <w:rFonts w:asciiTheme="minorHAnsi" w:eastAsiaTheme="majorEastAsia" w:hAnsiTheme="minorHAnsi" w:cstheme="minorHAnsi"/>
              <w:b/>
              <w:bCs/>
              <w:color w:val="2F5496" w:themeColor="accent1" w:themeShade="BF"/>
              <w:sz w:val="40"/>
              <w:szCs w:val="40"/>
              <w:lang w:val="en-US"/>
            </w:rPr>
            <w:fldChar w:fldCharType="separate"/>
          </w:r>
        </w:p>
        <w:p w14:paraId="60FAACBE" w14:textId="54E9386B" w:rsidR="00C75950" w:rsidRPr="0051694B" w:rsidRDefault="00000000">
          <w:pPr>
            <w:pStyle w:val="TOC2"/>
            <w:tabs>
              <w:tab w:val="right" w:leader="dot" w:pos="9016"/>
            </w:tabs>
            <w:rPr>
              <w:rFonts w:asciiTheme="minorHAnsi" w:eastAsiaTheme="minorEastAsia" w:hAnsiTheme="minorHAnsi" w:cstheme="minorHAnsi"/>
              <w:noProof/>
              <w:sz w:val="22"/>
              <w:szCs w:val="22"/>
              <w:lang w:eastAsia="en-AU"/>
            </w:rPr>
          </w:pPr>
          <w:hyperlink w:anchor="_Toc118813831" w:history="1">
            <w:r w:rsidR="00C75950" w:rsidRPr="001920F2">
              <w:rPr>
                <w:rStyle w:val="Hyperlink"/>
                <w:rFonts w:asciiTheme="minorHAnsi" w:hAnsiTheme="minorHAnsi" w:cstheme="minorHAnsi"/>
                <w:noProof/>
              </w:rPr>
              <w:t>Executive Summary</w:t>
            </w:r>
            <w:r w:rsidR="00C75950" w:rsidRPr="001920F2">
              <w:rPr>
                <w:rFonts w:asciiTheme="minorHAnsi" w:hAnsiTheme="minorHAnsi" w:cstheme="minorHAnsi"/>
                <w:noProof/>
                <w:webHidden/>
              </w:rPr>
              <w:tab/>
            </w:r>
            <w:r w:rsidR="00C75950" w:rsidRPr="001920F2">
              <w:rPr>
                <w:rFonts w:asciiTheme="minorHAnsi" w:hAnsiTheme="minorHAnsi" w:cstheme="minorHAnsi"/>
                <w:noProof/>
                <w:webHidden/>
              </w:rPr>
              <w:fldChar w:fldCharType="begin"/>
            </w:r>
            <w:r w:rsidR="00C75950" w:rsidRPr="001920F2">
              <w:rPr>
                <w:rFonts w:asciiTheme="minorHAnsi" w:hAnsiTheme="minorHAnsi" w:cstheme="minorHAnsi"/>
                <w:noProof/>
                <w:webHidden/>
              </w:rPr>
              <w:instrText xml:space="preserve"> PAGEREF _Toc118813831 \h </w:instrText>
            </w:r>
            <w:r w:rsidR="00C75950" w:rsidRPr="001920F2">
              <w:rPr>
                <w:rFonts w:asciiTheme="minorHAnsi" w:hAnsiTheme="minorHAnsi" w:cstheme="minorHAnsi"/>
                <w:noProof/>
                <w:webHidden/>
              </w:rPr>
            </w:r>
            <w:r w:rsidR="00C75950" w:rsidRPr="001920F2">
              <w:rPr>
                <w:rFonts w:asciiTheme="minorHAnsi" w:hAnsiTheme="minorHAnsi" w:cstheme="minorHAnsi"/>
                <w:noProof/>
                <w:webHidden/>
              </w:rPr>
              <w:fldChar w:fldCharType="separate"/>
            </w:r>
            <w:r w:rsidR="009B6B3C">
              <w:rPr>
                <w:rFonts w:asciiTheme="minorHAnsi" w:hAnsiTheme="minorHAnsi" w:cstheme="minorHAnsi"/>
                <w:noProof/>
                <w:webHidden/>
              </w:rPr>
              <w:t>3</w:t>
            </w:r>
            <w:r w:rsidR="00C75950" w:rsidRPr="001920F2">
              <w:rPr>
                <w:rFonts w:asciiTheme="minorHAnsi" w:hAnsiTheme="minorHAnsi" w:cstheme="minorHAnsi"/>
                <w:noProof/>
                <w:webHidden/>
              </w:rPr>
              <w:fldChar w:fldCharType="end"/>
            </w:r>
          </w:hyperlink>
        </w:p>
        <w:p w14:paraId="0BC1EAD0" w14:textId="34BE8C54" w:rsidR="00C75950" w:rsidRPr="0051694B" w:rsidRDefault="00000000">
          <w:pPr>
            <w:pStyle w:val="TOC2"/>
            <w:tabs>
              <w:tab w:val="right" w:leader="dot" w:pos="9016"/>
            </w:tabs>
            <w:rPr>
              <w:rFonts w:asciiTheme="minorHAnsi" w:eastAsiaTheme="minorEastAsia" w:hAnsiTheme="minorHAnsi" w:cstheme="minorHAnsi"/>
              <w:noProof/>
              <w:sz w:val="22"/>
              <w:szCs w:val="22"/>
              <w:lang w:eastAsia="en-AU"/>
            </w:rPr>
          </w:pPr>
          <w:hyperlink w:anchor="_Toc118813832" w:history="1">
            <w:r w:rsidR="00C75950" w:rsidRPr="001920F2">
              <w:rPr>
                <w:rStyle w:val="Hyperlink"/>
                <w:rFonts w:asciiTheme="minorHAnsi" w:hAnsiTheme="minorHAnsi" w:cstheme="minorHAnsi"/>
                <w:noProof/>
              </w:rPr>
              <w:t>Background</w:t>
            </w:r>
            <w:r w:rsidR="00C75950" w:rsidRPr="001920F2">
              <w:rPr>
                <w:rFonts w:asciiTheme="minorHAnsi" w:hAnsiTheme="minorHAnsi" w:cstheme="minorHAnsi"/>
                <w:noProof/>
                <w:webHidden/>
              </w:rPr>
              <w:tab/>
            </w:r>
            <w:r w:rsidR="00C75950" w:rsidRPr="001920F2">
              <w:rPr>
                <w:rFonts w:asciiTheme="minorHAnsi" w:hAnsiTheme="minorHAnsi" w:cstheme="minorHAnsi"/>
                <w:noProof/>
                <w:webHidden/>
              </w:rPr>
              <w:fldChar w:fldCharType="begin"/>
            </w:r>
            <w:r w:rsidR="00C75950" w:rsidRPr="001920F2">
              <w:rPr>
                <w:rFonts w:asciiTheme="minorHAnsi" w:hAnsiTheme="minorHAnsi" w:cstheme="minorHAnsi"/>
                <w:noProof/>
                <w:webHidden/>
              </w:rPr>
              <w:instrText xml:space="preserve"> PAGEREF _Toc118813832 \h </w:instrText>
            </w:r>
            <w:r w:rsidR="00C75950" w:rsidRPr="001920F2">
              <w:rPr>
                <w:rFonts w:asciiTheme="minorHAnsi" w:hAnsiTheme="minorHAnsi" w:cstheme="minorHAnsi"/>
                <w:noProof/>
                <w:webHidden/>
              </w:rPr>
            </w:r>
            <w:r w:rsidR="00C75950" w:rsidRPr="001920F2">
              <w:rPr>
                <w:rFonts w:asciiTheme="minorHAnsi" w:hAnsiTheme="minorHAnsi" w:cstheme="minorHAnsi"/>
                <w:noProof/>
                <w:webHidden/>
              </w:rPr>
              <w:fldChar w:fldCharType="separate"/>
            </w:r>
            <w:r w:rsidR="009B6B3C">
              <w:rPr>
                <w:rFonts w:asciiTheme="minorHAnsi" w:hAnsiTheme="minorHAnsi" w:cstheme="minorHAnsi"/>
                <w:noProof/>
                <w:webHidden/>
              </w:rPr>
              <w:t>4</w:t>
            </w:r>
            <w:r w:rsidR="00C75950" w:rsidRPr="001920F2">
              <w:rPr>
                <w:rFonts w:asciiTheme="minorHAnsi" w:hAnsiTheme="minorHAnsi" w:cstheme="minorHAnsi"/>
                <w:noProof/>
                <w:webHidden/>
              </w:rPr>
              <w:fldChar w:fldCharType="end"/>
            </w:r>
          </w:hyperlink>
        </w:p>
        <w:p w14:paraId="2959F5B8" w14:textId="4118FCF6" w:rsidR="00C75950" w:rsidRPr="0051694B" w:rsidRDefault="00000000">
          <w:pPr>
            <w:pStyle w:val="TOC3"/>
            <w:tabs>
              <w:tab w:val="right" w:leader="dot" w:pos="9016"/>
            </w:tabs>
            <w:rPr>
              <w:rFonts w:asciiTheme="minorHAnsi" w:eastAsiaTheme="minorEastAsia" w:hAnsiTheme="minorHAnsi" w:cstheme="minorHAnsi"/>
              <w:noProof/>
              <w:sz w:val="22"/>
              <w:szCs w:val="22"/>
              <w:lang w:eastAsia="en-AU"/>
            </w:rPr>
          </w:pPr>
          <w:hyperlink w:anchor="_Toc118813833" w:history="1">
            <w:r w:rsidR="00C75950" w:rsidRPr="001920F2">
              <w:rPr>
                <w:rStyle w:val="Hyperlink"/>
                <w:rFonts w:asciiTheme="minorHAnsi" w:hAnsiTheme="minorHAnsi" w:cstheme="minorHAnsi"/>
                <w:bCs/>
                <w:noProof/>
              </w:rPr>
              <w:t>Context for the Report</w:t>
            </w:r>
            <w:r w:rsidR="00C75950" w:rsidRPr="001920F2">
              <w:rPr>
                <w:rFonts w:asciiTheme="minorHAnsi" w:hAnsiTheme="minorHAnsi" w:cstheme="minorHAnsi"/>
                <w:noProof/>
                <w:webHidden/>
              </w:rPr>
              <w:tab/>
            </w:r>
            <w:r w:rsidR="00C75950" w:rsidRPr="001920F2">
              <w:rPr>
                <w:rFonts w:asciiTheme="minorHAnsi" w:hAnsiTheme="minorHAnsi" w:cstheme="minorHAnsi"/>
                <w:noProof/>
                <w:webHidden/>
              </w:rPr>
              <w:fldChar w:fldCharType="begin"/>
            </w:r>
            <w:r w:rsidR="00C75950" w:rsidRPr="001920F2">
              <w:rPr>
                <w:rFonts w:asciiTheme="minorHAnsi" w:hAnsiTheme="minorHAnsi" w:cstheme="minorHAnsi"/>
                <w:noProof/>
                <w:webHidden/>
              </w:rPr>
              <w:instrText xml:space="preserve"> PAGEREF _Toc118813833 \h </w:instrText>
            </w:r>
            <w:r w:rsidR="00C75950" w:rsidRPr="001920F2">
              <w:rPr>
                <w:rFonts w:asciiTheme="minorHAnsi" w:hAnsiTheme="minorHAnsi" w:cstheme="minorHAnsi"/>
                <w:noProof/>
                <w:webHidden/>
              </w:rPr>
            </w:r>
            <w:r w:rsidR="00C75950" w:rsidRPr="001920F2">
              <w:rPr>
                <w:rFonts w:asciiTheme="minorHAnsi" w:hAnsiTheme="minorHAnsi" w:cstheme="minorHAnsi"/>
                <w:noProof/>
                <w:webHidden/>
              </w:rPr>
              <w:fldChar w:fldCharType="separate"/>
            </w:r>
            <w:r w:rsidR="009B6B3C">
              <w:rPr>
                <w:rFonts w:asciiTheme="minorHAnsi" w:hAnsiTheme="minorHAnsi" w:cstheme="minorHAnsi"/>
                <w:noProof/>
                <w:webHidden/>
              </w:rPr>
              <w:t>4</w:t>
            </w:r>
            <w:r w:rsidR="00C75950" w:rsidRPr="001920F2">
              <w:rPr>
                <w:rFonts w:asciiTheme="minorHAnsi" w:hAnsiTheme="minorHAnsi" w:cstheme="minorHAnsi"/>
                <w:noProof/>
                <w:webHidden/>
              </w:rPr>
              <w:fldChar w:fldCharType="end"/>
            </w:r>
          </w:hyperlink>
        </w:p>
        <w:p w14:paraId="7B346A9C" w14:textId="6E65AC07" w:rsidR="00C75950" w:rsidRPr="0051694B" w:rsidRDefault="00000000">
          <w:pPr>
            <w:pStyle w:val="TOC3"/>
            <w:tabs>
              <w:tab w:val="right" w:leader="dot" w:pos="9016"/>
            </w:tabs>
            <w:rPr>
              <w:rFonts w:asciiTheme="minorHAnsi" w:eastAsiaTheme="minorEastAsia" w:hAnsiTheme="minorHAnsi" w:cstheme="minorHAnsi"/>
              <w:noProof/>
              <w:sz w:val="22"/>
              <w:szCs w:val="22"/>
              <w:lang w:eastAsia="en-AU"/>
            </w:rPr>
          </w:pPr>
          <w:hyperlink w:anchor="_Toc118813834" w:history="1">
            <w:r w:rsidR="00C75950" w:rsidRPr="001920F2">
              <w:rPr>
                <w:rStyle w:val="Hyperlink"/>
                <w:rFonts w:asciiTheme="minorHAnsi" w:hAnsiTheme="minorHAnsi" w:cstheme="minorHAnsi"/>
                <w:bCs/>
                <w:noProof/>
              </w:rPr>
              <w:t>Methodological approach to the report</w:t>
            </w:r>
            <w:r w:rsidR="00C75950" w:rsidRPr="001920F2">
              <w:rPr>
                <w:rFonts w:asciiTheme="minorHAnsi" w:hAnsiTheme="minorHAnsi" w:cstheme="minorHAnsi"/>
                <w:noProof/>
                <w:webHidden/>
              </w:rPr>
              <w:tab/>
            </w:r>
            <w:r w:rsidR="00C75950" w:rsidRPr="001920F2">
              <w:rPr>
                <w:rFonts w:asciiTheme="minorHAnsi" w:hAnsiTheme="minorHAnsi" w:cstheme="minorHAnsi"/>
                <w:noProof/>
                <w:webHidden/>
              </w:rPr>
              <w:fldChar w:fldCharType="begin"/>
            </w:r>
            <w:r w:rsidR="00C75950" w:rsidRPr="001920F2">
              <w:rPr>
                <w:rFonts w:asciiTheme="minorHAnsi" w:hAnsiTheme="minorHAnsi" w:cstheme="minorHAnsi"/>
                <w:noProof/>
                <w:webHidden/>
              </w:rPr>
              <w:instrText xml:space="preserve"> PAGEREF _Toc118813834 \h </w:instrText>
            </w:r>
            <w:r w:rsidR="00C75950" w:rsidRPr="001920F2">
              <w:rPr>
                <w:rFonts w:asciiTheme="minorHAnsi" w:hAnsiTheme="minorHAnsi" w:cstheme="minorHAnsi"/>
                <w:noProof/>
                <w:webHidden/>
              </w:rPr>
            </w:r>
            <w:r w:rsidR="00C75950" w:rsidRPr="001920F2">
              <w:rPr>
                <w:rFonts w:asciiTheme="minorHAnsi" w:hAnsiTheme="minorHAnsi" w:cstheme="minorHAnsi"/>
                <w:noProof/>
                <w:webHidden/>
              </w:rPr>
              <w:fldChar w:fldCharType="separate"/>
            </w:r>
            <w:r w:rsidR="009B6B3C">
              <w:rPr>
                <w:rFonts w:asciiTheme="minorHAnsi" w:hAnsiTheme="minorHAnsi" w:cstheme="minorHAnsi"/>
                <w:noProof/>
                <w:webHidden/>
              </w:rPr>
              <w:t>7</w:t>
            </w:r>
            <w:r w:rsidR="00C75950" w:rsidRPr="001920F2">
              <w:rPr>
                <w:rFonts w:asciiTheme="minorHAnsi" w:hAnsiTheme="minorHAnsi" w:cstheme="minorHAnsi"/>
                <w:noProof/>
                <w:webHidden/>
              </w:rPr>
              <w:fldChar w:fldCharType="end"/>
            </w:r>
          </w:hyperlink>
        </w:p>
        <w:p w14:paraId="24EAC98D" w14:textId="1709D711" w:rsidR="00C75950" w:rsidRPr="0051694B" w:rsidRDefault="00000000">
          <w:pPr>
            <w:pStyle w:val="TOC2"/>
            <w:tabs>
              <w:tab w:val="right" w:leader="dot" w:pos="9016"/>
            </w:tabs>
            <w:rPr>
              <w:rFonts w:asciiTheme="minorHAnsi" w:eastAsiaTheme="minorEastAsia" w:hAnsiTheme="minorHAnsi" w:cstheme="minorHAnsi"/>
              <w:noProof/>
              <w:sz w:val="22"/>
              <w:szCs w:val="22"/>
              <w:lang w:eastAsia="en-AU"/>
            </w:rPr>
          </w:pPr>
          <w:hyperlink w:anchor="_Toc118813835" w:history="1">
            <w:r w:rsidR="00C75950" w:rsidRPr="001920F2">
              <w:rPr>
                <w:rStyle w:val="Hyperlink"/>
                <w:rFonts w:asciiTheme="minorHAnsi" w:hAnsiTheme="minorHAnsi" w:cstheme="minorHAnsi"/>
                <w:noProof/>
              </w:rPr>
              <w:t>Key evidence</w:t>
            </w:r>
            <w:r w:rsidR="00C75950" w:rsidRPr="001920F2">
              <w:rPr>
                <w:rFonts w:asciiTheme="minorHAnsi" w:hAnsiTheme="minorHAnsi" w:cstheme="minorHAnsi"/>
                <w:noProof/>
                <w:webHidden/>
              </w:rPr>
              <w:tab/>
            </w:r>
            <w:r w:rsidR="00C75950" w:rsidRPr="001920F2">
              <w:rPr>
                <w:rFonts w:asciiTheme="minorHAnsi" w:hAnsiTheme="minorHAnsi" w:cstheme="minorHAnsi"/>
                <w:noProof/>
                <w:webHidden/>
              </w:rPr>
              <w:fldChar w:fldCharType="begin"/>
            </w:r>
            <w:r w:rsidR="00C75950" w:rsidRPr="001920F2">
              <w:rPr>
                <w:rFonts w:asciiTheme="minorHAnsi" w:hAnsiTheme="minorHAnsi" w:cstheme="minorHAnsi"/>
                <w:noProof/>
                <w:webHidden/>
              </w:rPr>
              <w:instrText xml:space="preserve"> PAGEREF _Toc118813835 \h </w:instrText>
            </w:r>
            <w:r w:rsidR="00C75950" w:rsidRPr="001920F2">
              <w:rPr>
                <w:rFonts w:asciiTheme="minorHAnsi" w:hAnsiTheme="minorHAnsi" w:cstheme="minorHAnsi"/>
                <w:noProof/>
                <w:webHidden/>
              </w:rPr>
            </w:r>
            <w:r w:rsidR="00C75950" w:rsidRPr="001920F2">
              <w:rPr>
                <w:rFonts w:asciiTheme="minorHAnsi" w:hAnsiTheme="minorHAnsi" w:cstheme="minorHAnsi"/>
                <w:noProof/>
                <w:webHidden/>
              </w:rPr>
              <w:fldChar w:fldCharType="separate"/>
            </w:r>
            <w:r w:rsidR="009B6B3C">
              <w:rPr>
                <w:rFonts w:asciiTheme="minorHAnsi" w:hAnsiTheme="minorHAnsi" w:cstheme="minorHAnsi"/>
                <w:noProof/>
                <w:webHidden/>
              </w:rPr>
              <w:t>8</w:t>
            </w:r>
            <w:r w:rsidR="00C75950" w:rsidRPr="001920F2">
              <w:rPr>
                <w:rFonts w:asciiTheme="minorHAnsi" w:hAnsiTheme="minorHAnsi" w:cstheme="minorHAnsi"/>
                <w:noProof/>
                <w:webHidden/>
              </w:rPr>
              <w:fldChar w:fldCharType="end"/>
            </w:r>
          </w:hyperlink>
        </w:p>
        <w:p w14:paraId="5E42E8D5" w14:textId="79168C76" w:rsidR="00C75950" w:rsidRPr="0051694B" w:rsidRDefault="00000000">
          <w:pPr>
            <w:pStyle w:val="TOC2"/>
            <w:tabs>
              <w:tab w:val="right" w:leader="dot" w:pos="9016"/>
            </w:tabs>
            <w:rPr>
              <w:rFonts w:asciiTheme="minorHAnsi" w:eastAsiaTheme="minorEastAsia" w:hAnsiTheme="minorHAnsi" w:cstheme="minorHAnsi"/>
              <w:noProof/>
              <w:sz w:val="22"/>
              <w:szCs w:val="22"/>
              <w:lang w:eastAsia="en-AU"/>
            </w:rPr>
          </w:pPr>
          <w:hyperlink w:anchor="_Toc118813836" w:history="1">
            <w:r w:rsidR="00C75950" w:rsidRPr="001920F2">
              <w:rPr>
                <w:rStyle w:val="Hyperlink"/>
                <w:rFonts w:asciiTheme="minorHAnsi" w:hAnsiTheme="minorHAnsi" w:cstheme="minorHAnsi"/>
                <w:noProof/>
              </w:rPr>
              <w:t>Key findings</w:t>
            </w:r>
            <w:r w:rsidR="00C75950" w:rsidRPr="001920F2">
              <w:rPr>
                <w:rFonts w:asciiTheme="minorHAnsi" w:hAnsiTheme="minorHAnsi" w:cstheme="minorHAnsi"/>
                <w:noProof/>
                <w:webHidden/>
              </w:rPr>
              <w:tab/>
            </w:r>
            <w:r w:rsidR="00C75950" w:rsidRPr="001920F2">
              <w:rPr>
                <w:rFonts w:asciiTheme="minorHAnsi" w:hAnsiTheme="minorHAnsi" w:cstheme="minorHAnsi"/>
                <w:noProof/>
                <w:webHidden/>
              </w:rPr>
              <w:fldChar w:fldCharType="begin"/>
            </w:r>
            <w:r w:rsidR="00C75950" w:rsidRPr="001920F2">
              <w:rPr>
                <w:rFonts w:asciiTheme="minorHAnsi" w:hAnsiTheme="minorHAnsi" w:cstheme="minorHAnsi"/>
                <w:noProof/>
                <w:webHidden/>
              </w:rPr>
              <w:instrText xml:space="preserve"> PAGEREF _Toc118813836 \h </w:instrText>
            </w:r>
            <w:r w:rsidR="00C75950" w:rsidRPr="001920F2">
              <w:rPr>
                <w:rFonts w:asciiTheme="minorHAnsi" w:hAnsiTheme="minorHAnsi" w:cstheme="minorHAnsi"/>
                <w:noProof/>
                <w:webHidden/>
              </w:rPr>
            </w:r>
            <w:r w:rsidR="00C75950" w:rsidRPr="001920F2">
              <w:rPr>
                <w:rFonts w:asciiTheme="minorHAnsi" w:hAnsiTheme="minorHAnsi" w:cstheme="minorHAnsi"/>
                <w:noProof/>
                <w:webHidden/>
              </w:rPr>
              <w:fldChar w:fldCharType="separate"/>
            </w:r>
            <w:r w:rsidR="009B6B3C">
              <w:rPr>
                <w:rFonts w:asciiTheme="minorHAnsi" w:hAnsiTheme="minorHAnsi" w:cstheme="minorHAnsi"/>
                <w:noProof/>
                <w:webHidden/>
              </w:rPr>
              <w:t>15</w:t>
            </w:r>
            <w:r w:rsidR="00C75950" w:rsidRPr="001920F2">
              <w:rPr>
                <w:rFonts w:asciiTheme="minorHAnsi" w:hAnsiTheme="minorHAnsi" w:cstheme="minorHAnsi"/>
                <w:noProof/>
                <w:webHidden/>
              </w:rPr>
              <w:fldChar w:fldCharType="end"/>
            </w:r>
          </w:hyperlink>
        </w:p>
        <w:p w14:paraId="47EB1F93" w14:textId="3041B7A6" w:rsidR="00C75950" w:rsidRPr="0051694B" w:rsidRDefault="00000000">
          <w:pPr>
            <w:pStyle w:val="TOC2"/>
            <w:tabs>
              <w:tab w:val="right" w:leader="dot" w:pos="9016"/>
            </w:tabs>
            <w:rPr>
              <w:rFonts w:asciiTheme="minorHAnsi" w:eastAsiaTheme="minorEastAsia" w:hAnsiTheme="minorHAnsi" w:cstheme="minorHAnsi"/>
              <w:noProof/>
              <w:sz w:val="22"/>
              <w:szCs w:val="22"/>
              <w:lang w:eastAsia="en-AU"/>
            </w:rPr>
          </w:pPr>
          <w:hyperlink w:anchor="_Toc118813837" w:history="1">
            <w:r w:rsidR="00C75950" w:rsidRPr="001920F2">
              <w:rPr>
                <w:rStyle w:val="Hyperlink"/>
                <w:rFonts w:asciiTheme="minorHAnsi" w:hAnsiTheme="minorHAnsi" w:cstheme="minorHAnsi"/>
                <w:noProof/>
              </w:rPr>
              <w:t>Table 1: Summary of Australian clinical guidelines for pharmacological management of endometriosis</w:t>
            </w:r>
            <w:r w:rsidR="00C75950" w:rsidRPr="001920F2">
              <w:rPr>
                <w:rFonts w:asciiTheme="minorHAnsi" w:hAnsiTheme="minorHAnsi" w:cstheme="minorHAnsi"/>
                <w:noProof/>
                <w:webHidden/>
              </w:rPr>
              <w:tab/>
            </w:r>
            <w:r w:rsidR="00C75950" w:rsidRPr="001920F2">
              <w:rPr>
                <w:rFonts w:asciiTheme="minorHAnsi" w:hAnsiTheme="minorHAnsi" w:cstheme="minorHAnsi"/>
                <w:noProof/>
                <w:webHidden/>
              </w:rPr>
              <w:fldChar w:fldCharType="begin"/>
            </w:r>
            <w:r w:rsidR="00C75950" w:rsidRPr="001920F2">
              <w:rPr>
                <w:rFonts w:asciiTheme="minorHAnsi" w:hAnsiTheme="minorHAnsi" w:cstheme="minorHAnsi"/>
                <w:noProof/>
                <w:webHidden/>
              </w:rPr>
              <w:instrText xml:space="preserve"> PAGEREF _Toc118813837 \h </w:instrText>
            </w:r>
            <w:r w:rsidR="00C75950" w:rsidRPr="001920F2">
              <w:rPr>
                <w:rFonts w:asciiTheme="minorHAnsi" w:hAnsiTheme="minorHAnsi" w:cstheme="minorHAnsi"/>
                <w:noProof/>
                <w:webHidden/>
              </w:rPr>
            </w:r>
            <w:r w:rsidR="00C75950" w:rsidRPr="001920F2">
              <w:rPr>
                <w:rFonts w:asciiTheme="minorHAnsi" w:hAnsiTheme="minorHAnsi" w:cstheme="minorHAnsi"/>
                <w:noProof/>
                <w:webHidden/>
              </w:rPr>
              <w:fldChar w:fldCharType="separate"/>
            </w:r>
            <w:r w:rsidR="009B6B3C">
              <w:rPr>
                <w:rFonts w:asciiTheme="minorHAnsi" w:hAnsiTheme="minorHAnsi" w:cstheme="minorHAnsi"/>
                <w:noProof/>
                <w:webHidden/>
              </w:rPr>
              <w:t>15</w:t>
            </w:r>
            <w:r w:rsidR="00C75950" w:rsidRPr="001920F2">
              <w:rPr>
                <w:rFonts w:asciiTheme="minorHAnsi" w:hAnsiTheme="minorHAnsi" w:cstheme="minorHAnsi"/>
                <w:noProof/>
                <w:webHidden/>
              </w:rPr>
              <w:fldChar w:fldCharType="end"/>
            </w:r>
          </w:hyperlink>
        </w:p>
        <w:p w14:paraId="22272F55" w14:textId="7F3C7EF5" w:rsidR="00C75950" w:rsidRPr="0051694B" w:rsidRDefault="00000000">
          <w:pPr>
            <w:pStyle w:val="TOC2"/>
            <w:tabs>
              <w:tab w:val="right" w:leader="dot" w:pos="9016"/>
            </w:tabs>
            <w:rPr>
              <w:rFonts w:asciiTheme="minorHAnsi" w:eastAsiaTheme="minorEastAsia" w:hAnsiTheme="minorHAnsi" w:cstheme="minorHAnsi"/>
              <w:noProof/>
              <w:sz w:val="22"/>
              <w:szCs w:val="22"/>
              <w:lang w:eastAsia="en-AU"/>
            </w:rPr>
          </w:pPr>
          <w:hyperlink w:anchor="_Toc118813838" w:history="1">
            <w:r w:rsidR="00C75950" w:rsidRPr="001920F2">
              <w:rPr>
                <w:rStyle w:val="Hyperlink"/>
                <w:rFonts w:asciiTheme="minorHAnsi" w:hAnsiTheme="minorHAnsi" w:cstheme="minorHAnsi"/>
                <w:noProof/>
              </w:rPr>
              <w:t xml:space="preserve">Table 2: </w:t>
            </w:r>
            <w:r w:rsidR="00C75950" w:rsidRPr="001920F2">
              <w:rPr>
                <w:rStyle w:val="Hyperlink"/>
                <w:rFonts w:asciiTheme="minorHAnsi" w:eastAsia="Calibri" w:hAnsiTheme="minorHAnsi" w:cstheme="minorHAnsi"/>
                <w:noProof/>
              </w:rPr>
              <w:t>Summary of PBS listed and TGA registered medicines for endometriosis and related conditions in Australia</w:t>
            </w:r>
            <w:r w:rsidR="00C75950" w:rsidRPr="001920F2">
              <w:rPr>
                <w:rFonts w:asciiTheme="minorHAnsi" w:hAnsiTheme="minorHAnsi" w:cstheme="minorHAnsi"/>
                <w:noProof/>
                <w:webHidden/>
              </w:rPr>
              <w:tab/>
            </w:r>
            <w:r w:rsidR="00C75950" w:rsidRPr="001920F2">
              <w:rPr>
                <w:rFonts w:asciiTheme="minorHAnsi" w:hAnsiTheme="minorHAnsi" w:cstheme="minorHAnsi"/>
                <w:noProof/>
                <w:webHidden/>
              </w:rPr>
              <w:fldChar w:fldCharType="begin"/>
            </w:r>
            <w:r w:rsidR="00C75950" w:rsidRPr="001920F2">
              <w:rPr>
                <w:rFonts w:asciiTheme="minorHAnsi" w:hAnsiTheme="minorHAnsi" w:cstheme="minorHAnsi"/>
                <w:noProof/>
                <w:webHidden/>
              </w:rPr>
              <w:instrText xml:space="preserve"> PAGEREF _Toc118813838 \h </w:instrText>
            </w:r>
            <w:r w:rsidR="00C75950" w:rsidRPr="001920F2">
              <w:rPr>
                <w:rFonts w:asciiTheme="minorHAnsi" w:hAnsiTheme="minorHAnsi" w:cstheme="minorHAnsi"/>
                <w:noProof/>
                <w:webHidden/>
              </w:rPr>
            </w:r>
            <w:r w:rsidR="00C75950" w:rsidRPr="001920F2">
              <w:rPr>
                <w:rFonts w:asciiTheme="minorHAnsi" w:hAnsiTheme="minorHAnsi" w:cstheme="minorHAnsi"/>
                <w:noProof/>
                <w:webHidden/>
              </w:rPr>
              <w:fldChar w:fldCharType="separate"/>
            </w:r>
            <w:r w:rsidR="009B6B3C">
              <w:rPr>
                <w:rFonts w:asciiTheme="minorHAnsi" w:hAnsiTheme="minorHAnsi" w:cstheme="minorHAnsi"/>
                <w:noProof/>
                <w:webHidden/>
              </w:rPr>
              <w:t>15</w:t>
            </w:r>
            <w:r w:rsidR="00C75950" w:rsidRPr="001920F2">
              <w:rPr>
                <w:rFonts w:asciiTheme="minorHAnsi" w:hAnsiTheme="minorHAnsi" w:cstheme="minorHAnsi"/>
                <w:noProof/>
                <w:webHidden/>
              </w:rPr>
              <w:fldChar w:fldCharType="end"/>
            </w:r>
          </w:hyperlink>
        </w:p>
        <w:p w14:paraId="544F9D0E" w14:textId="706599E4" w:rsidR="00C75950" w:rsidRPr="0051694B" w:rsidRDefault="00000000">
          <w:pPr>
            <w:pStyle w:val="TOC2"/>
            <w:tabs>
              <w:tab w:val="right" w:leader="dot" w:pos="9016"/>
            </w:tabs>
            <w:rPr>
              <w:rFonts w:asciiTheme="minorHAnsi" w:eastAsiaTheme="minorEastAsia" w:hAnsiTheme="minorHAnsi" w:cstheme="minorHAnsi"/>
              <w:noProof/>
              <w:sz w:val="22"/>
              <w:szCs w:val="22"/>
              <w:lang w:eastAsia="en-AU"/>
            </w:rPr>
          </w:pPr>
          <w:hyperlink w:anchor="_Toc118813839" w:history="1">
            <w:r w:rsidR="00C75950" w:rsidRPr="001920F2">
              <w:rPr>
                <w:rStyle w:val="Hyperlink"/>
                <w:rFonts w:asciiTheme="minorHAnsi" w:eastAsia="Calibri" w:hAnsiTheme="minorHAnsi" w:cstheme="minorHAnsi"/>
                <w:noProof/>
              </w:rPr>
              <w:t>Table 3: H</w:t>
            </w:r>
            <w:r w:rsidR="00C75950" w:rsidRPr="001920F2">
              <w:rPr>
                <w:rStyle w:val="Hyperlink"/>
                <w:rFonts w:asciiTheme="minorHAnsi" w:hAnsiTheme="minorHAnsi" w:cstheme="minorHAnsi"/>
                <w:noProof/>
              </w:rPr>
              <w:t>ormonal contraceptives available on prescription in Australia</w:t>
            </w:r>
            <w:r w:rsidR="00C75950" w:rsidRPr="001920F2">
              <w:rPr>
                <w:rFonts w:asciiTheme="minorHAnsi" w:hAnsiTheme="minorHAnsi" w:cstheme="minorHAnsi"/>
                <w:noProof/>
                <w:webHidden/>
              </w:rPr>
              <w:tab/>
            </w:r>
            <w:r w:rsidR="00C75950" w:rsidRPr="001920F2">
              <w:rPr>
                <w:rFonts w:asciiTheme="minorHAnsi" w:hAnsiTheme="minorHAnsi" w:cstheme="minorHAnsi"/>
                <w:noProof/>
                <w:webHidden/>
              </w:rPr>
              <w:fldChar w:fldCharType="begin"/>
            </w:r>
            <w:r w:rsidR="00C75950" w:rsidRPr="001920F2">
              <w:rPr>
                <w:rFonts w:asciiTheme="minorHAnsi" w:hAnsiTheme="minorHAnsi" w:cstheme="minorHAnsi"/>
                <w:noProof/>
                <w:webHidden/>
              </w:rPr>
              <w:instrText xml:space="preserve"> PAGEREF _Toc118813839 \h </w:instrText>
            </w:r>
            <w:r w:rsidR="00C75950" w:rsidRPr="001920F2">
              <w:rPr>
                <w:rFonts w:asciiTheme="minorHAnsi" w:hAnsiTheme="minorHAnsi" w:cstheme="minorHAnsi"/>
                <w:noProof/>
                <w:webHidden/>
              </w:rPr>
            </w:r>
            <w:r w:rsidR="00C75950" w:rsidRPr="001920F2">
              <w:rPr>
                <w:rFonts w:asciiTheme="minorHAnsi" w:hAnsiTheme="minorHAnsi" w:cstheme="minorHAnsi"/>
                <w:noProof/>
                <w:webHidden/>
              </w:rPr>
              <w:fldChar w:fldCharType="separate"/>
            </w:r>
            <w:r w:rsidR="009B6B3C">
              <w:rPr>
                <w:rFonts w:asciiTheme="minorHAnsi" w:hAnsiTheme="minorHAnsi" w:cstheme="minorHAnsi"/>
                <w:noProof/>
                <w:webHidden/>
              </w:rPr>
              <w:t>15</w:t>
            </w:r>
            <w:r w:rsidR="00C75950" w:rsidRPr="001920F2">
              <w:rPr>
                <w:rFonts w:asciiTheme="minorHAnsi" w:hAnsiTheme="minorHAnsi" w:cstheme="minorHAnsi"/>
                <w:noProof/>
                <w:webHidden/>
              </w:rPr>
              <w:fldChar w:fldCharType="end"/>
            </w:r>
          </w:hyperlink>
        </w:p>
        <w:p w14:paraId="0D48FF60" w14:textId="650D5C10" w:rsidR="00C75950" w:rsidRPr="0051694B" w:rsidRDefault="00000000">
          <w:pPr>
            <w:pStyle w:val="TOC2"/>
            <w:tabs>
              <w:tab w:val="right" w:leader="dot" w:pos="9016"/>
            </w:tabs>
            <w:rPr>
              <w:rFonts w:asciiTheme="minorHAnsi" w:eastAsiaTheme="minorEastAsia" w:hAnsiTheme="minorHAnsi" w:cstheme="minorHAnsi"/>
              <w:noProof/>
              <w:sz w:val="22"/>
              <w:szCs w:val="22"/>
              <w:lang w:eastAsia="en-AU"/>
            </w:rPr>
          </w:pPr>
          <w:hyperlink w:anchor="_Toc118813840" w:history="1">
            <w:r w:rsidR="00C75950" w:rsidRPr="001920F2">
              <w:rPr>
                <w:rStyle w:val="Hyperlink"/>
                <w:rFonts w:asciiTheme="minorHAnsi" w:hAnsiTheme="minorHAnsi" w:cstheme="minorHAnsi"/>
                <w:noProof/>
              </w:rPr>
              <w:t>Key findings from Table 4: NSAIDs available on prescription in Australia including PBS restriction level and TGA indications</w:t>
            </w:r>
            <w:r w:rsidR="00C75950" w:rsidRPr="001920F2">
              <w:rPr>
                <w:rFonts w:asciiTheme="minorHAnsi" w:hAnsiTheme="minorHAnsi" w:cstheme="minorHAnsi"/>
                <w:noProof/>
                <w:webHidden/>
              </w:rPr>
              <w:tab/>
            </w:r>
            <w:r w:rsidR="00C75950" w:rsidRPr="001920F2">
              <w:rPr>
                <w:rFonts w:asciiTheme="minorHAnsi" w:hAnsiTheme="minorHAnsi" w:cstheme="minorHAnsi"/>
                <w:noProof/>
                <w:webHidden/>
              </w:rPr>
              <w:fldChar w:fldCharType="begin"/>
            </w:r>
            <w:r w:rsidR="00C75950" w:rsidRPr="001920F2">
              <w:rPr>
                <w:rFonts w:asciiTheme="minorHAnsi" w:hAnsiTheme="minorHAnsi" w:cstheme="minorHAnsi"/>
                <w:noProof/>
                <w:webHidden/>
              </w:rPr>
              <w:instrText xml:space="preserve"> PAGEREF _Toc118813840 \h </w:instrText>
            </w:r>
            <w:r w:rsidR="00C75950" w:rsidRPr="001920F2">
              <w:rPr>
                <w:rFonts w:asciiTheme="minorHAnsi" w:hAnsiTheme="minorHAnsi" w:cstheme="minorHAnsi"/>
                <w:noProof/>
                <w:webHidden/>
              </w:rPr>
            </w:r>
            <w:r w:rsidR="00C75950" w:rsidRPr="001920F2">
              <w:rPr>
                <w:rFonts w:asciiTheme="minorHAnsi" w:hAnsiTheme="minorHAnsi" w:cstheme="minorHAnsi"/>
                <w:noProof/>
                <w:webHidden/>
              </w:rPr>
              <w:fldChar w:fldCharType="separate"/>
            </w:r>
            <w:r w:rsidR="009B6B3C">
              <w:rPr>
                <w:rFonts w:asciiTheme="minorHAnsi" w:hAnsiTheme="minorHAnsi" w:cstheme="minorHAnsi"/>
                <w:noProof/>
                <w:webHidden/>
              </w:rPr>
              <w:t>19</w:t>
            </w:r>
            <w:r w:rsidR="00C75950" w:rsidRPr="001920F2">
              <w:rPr>
                <w:rFonts w:asciiTheme="minorHAnsi" w:hAnsiTheme="minorHAnsi" w:cstheme="minorHAnsi"/>
                <w:noProof/>
                <w:webHidden/>
              </w:rPr>
              <w:fldChar w:fldCharType="end"/>
            </w:r>
          </w:hyperlink>
        </w:p>
        <w:p w14:paraId="4479BED2" w14:textId="0C560D20" w:rsidR="00C75950" w:rsidRPr="0051694B" w:rsidRDefault="00000000">
          <w:pPr>
            <w:pStyle w:val="TOC2"/>
            <w:tabs>
              <w:tab w:val="right" w:leader="dot" w:pos="9016"/>
            </w:tabs>
            <w:rPr>
              <w:rFonts w:asciiTheme="minorHAnsi" w:eastAsiaTheme="minorEastAsia" w:hAnsiTheme="minorHAnsi" w:cstheme="minorHAnsi"/>
              <w:noProof/>
              <w:sz w:val="22"/>
              <w:szCs w:val="22"/>
              <w:lang w:eastAsia="en-AU"/>
            </w:rPr>
          </w:pPr>
          <w:hyperlink w:anchor="_Toc118813841" w:history="1">
            <w:r w:rsidR="00C75950" w:rsidRPr="001920F2">
              <w:rPr>
                <w:rStyle w:val="Hyperlink"/>
                <w:rFonts w:asciiTheme="minorHAnsi" w:hAnsiTheme="minorHAnsi" w:cstheme="minorHAnsi"/>
                <w:noProof/>
              </w:rPr>
              <w:t>Key findings from Table 5: Medicines commonly used for nerve pain in Australia including PBS restriction level and TGA indications</w:t>
            </w:r>
            <w:r w:rsidR="00C75950" w:rsidRPr="001920F2">
              <w:rPr>
                <w:rFonts w:asciiTheme="minorHAnsi" w:hAnsiTheme="minorHAnsi" w:cstheme="minorHAnsi"/>
                <w:noProof/>
                <w:webHidden/>
              </w:rPr>
              <w:tab/>
            </w:r>
            <w:r w:rsidR="00C75950" w:rsidRPr="001920F2">
              <w:rPr>
                <w:rFonts w:asciiTheme="minorHAnsi" w:hAnsiTheme="minorHAnsi" w:cstheme="minorHAnsi"/>
                <w:noProof/>
                <w:webHidden/>
              </w:rPr>
              <w:fldChar w:fldCharType="begin"/>
            </w:r>
            <w:r w:rsidR="00C75950" w:rsidRPr="001920F2">
              <w:rPr>
                <w:rFonts w:asciiTheme="minorHAnsi" w:hAnsiTheme="minorHAnsi" w:cstheme="minorHAnsi"/>
                <w:noProof/>
                <w:webHidden/>
              </w:rPr>
              <w:instrText xml:space="preserve"> PAGEREF _Toc118813841 \h </w:instrText>
            </w:r>
            <w:r w:rsidR="00C75950" w:rsidRPr="001920F2">
              <w:rPr>
                <w:rFonts w:asciiTheme="minorHAnsi" w:hAnsiTheme="minorHAnsi" w:cstheme="minorHAnsi"/>
                <w:noProof/>
                <w:webHidden/>
              </w:rPr>
            </w:r>
            <w:r w:rsidR="00C75950" w:rsidRPr="001920F2">
              <w:rPr>
                <w:rFonts w:asciiTheme="minorHAnsi" w:hAnsiTheme="minorHAnsi" w:cstheme="minorHAnsi"/>
                <w:noProof/>
                <w:webHidden/>
              </w:rPr>
              <w:fldChar w:fldCharType="separate"/>
            </w:r>
            <w:r w:rsidR="009B6B3C">
              <w:rPr>
                <w:rFonts w:asciiTheme="minorHAnsi" w:hAnsiTheme="minorHAnsi" w:cstheme="minorHAnsi"/>
                <w:noProof/>
                <w:webHidden/>
              </w:rPr>
              <w:t>21</w:t>
            </w:r>
            <w:r w:rsidR="00C75950" w:rsidRPr="001920F2">
              <w:rPr>
                <w:rFonts w:asciiTheme="minorHAnsi" w:hAnsiTheme="minorHAnsi" w:cstheme="minorHAnsi"/>
                <w:noProof/>
                <w:webHidden/>
              </w:rPr>
              <w:fldChar w:fldCharType="end"/>
            </w:r>
          </w:hyperlink>
        </w:p>
        <w:p w14:paraId="0D9A59EE" w14:textId="7651CDE1" w:rsidR="00C75950" w:rsidRPr="0051694B" w:rsidRDefault="00000000">
          <w:pPr>
            <w:pStyle w:val="TOC2"/>
            <w:tabs>
              <w:tab w:val="right" w:leader="dot" w:pos="9016"/>
            </w:tabs>
            <w:rPr>
              <w:rFonts w:asciiTheme="minorHAnsi" w:eastAsiaTheme="minorEastAsia" w:hAnsiTheme="minorHAnsi" w:cstheme="minorHAnsi"/>
              <w:noProof/>
              <w:sz w:val="22"/>
              <w:szCs w:val="22"/>
              <w:lang w:eastAsia="en-AU"/>
            </w:rPr>
          </w:pPr>
          <w:hyperlink w:anchor="_Toc118813842" w:history="1">
            <w:r w:rsidR="00C75950" w:rsidRPr="001920F2">
              <w:rPr>
                <w:rStyle w:val="Hyperlink"/>
                <w:rFonts w:asciiTheme="minorHAnsi" w:hAnsiTheme="minorHAnsi" w:cstheme="minorHAnsi"/>
                <w:noProof/>
              </w:rPr>
              <w:t>Issues for consideration</w:t>
            </w:r>
            <w:r w:rsidR="00C75950" w:rsidRPr="001920F2">
              <w:rPr>
                <w:rFonts w:asciiTheme="minorHAnsi" w:hAnsiTheme="minorHAnsi" w:cstheme="minorHAnsi"/>
                <w:noProof/>
                <w:webHidden/>
              </w:rPr>
              <w:tab/>
            </w:r>
            <w:r w:rsidR="00C75950" w:rsidRPr="001920F2">
              <w:rPr>
                <w:rFonts w:asciiTheme="minorHAnsi" w:hAnsiTheme="minorHAnsi" w:cstheme="minorHAnsi"/>
                <w:noProof/>
                <w:webHidden/>
              </w:rPr>
              <w:fldChar w:fldCharType="begin"/>
            </w:r>
            <w:r w:rsidR="00C75950" w:rsidRPr="001920F2">
              <w:rPr>
                <w:rFonts w:asciiTheme="minorHAnsi" w:hAnsiTheme="minorHAnsi" w:cstheme="minorHAnsi"/>
                <w:noProof/>
                <w:webHidden/>
              </w:rPr>
              <w:instrText xml:space="preserve"> PAGEREF _Toc118813842 \h </w:instrText>
            </w:r>
            <w:r w:rsidR="00C75950" w:rsidRPr="001920F2">
              <w:rPr>
                <w:rFonts w:asciiTheme="minorHAnsi" w:hAnsiTheme="minorHAnsi" w:cstheme="minorHAnsi"/>
                <w:noProof/>
                <w:webHidden/>
              </w:rPr>
            </w:r>
            <w:r w:rsidR="00C75950" w:rsidRPr="001920F2">
              <w:rPr>
                <w:rFonts w:asciiTheme="minorHAnsi" w:hAnsiTheme="minorHAnsi" w:cstheme="minorHAnsi"/>
                <w:noProof/>
                <w:webHidden/>
              </w:rPr>
              <w:fldChar w:fldCharType="separate"/>
            </w:r>
            <w:r w:rsidR="009B6B3C">
              <w:rPr>
                <w:rFonts w:asciiTheme="minorHAnsi" w:hAnsiTheme="minorHAnsi" w:cstheme="minorHAnsi"/>
                <w:noProof/>
                <w:webHidden/>
              </w:rPr>
              <w:t>21</w:t>
            </w:r>
            <w:r w:rsidR="00C75950" w:rsidRPr="001920F2">
              <w:rPr>
                <w:rFonts w:asciiTheme="minorHAnsi" w:hAnsiTheme="minorHAnsi" w:cstheme="minorHAnsi"/>
                <w:noProof/>
                <w:webHidden/>
              </w:rPr>
              <w:fldChar w:fldCharType="end"/>
            </w:r>
          </w:hyperlink>
        </w:p>
        <w:p w14:paraId="7578B88E" w14:textId="2457285F" w:rsidR="00C75950" w:rsidRPr="0051694B" w:rsidRDefault="00000000">
          <w:pPr>
            <w:pStyle w:val="TOC2"/>
            <w:tabs>
              <w:tab w:val="right" w:leader="dot" w:pos="9016"/>
            </w:tabs>
            <w:rPr>
              <w:rFonts w:asciiTheme="minorHAnsi" w:eastAsiaTheme="minorEastAsia" w:hAnsiTheme="minorHAnsi" w:cstheme="minorHAnsi"/>
              <w:noProof/>
              <w:sz w:val="22"/>
              <w:szCs w:val="22"/>
              <w:lang w:eastAsia="en-AU"/>
            </w:rPr>
          </w:pPr>
          <w:hyperlink w:anchor="_Toc118813843" w:history="1">
            <w:r w:rsidR="00C75950" w:rsidRPr="001920F2">
              <w:rPr>
                <w:rStyle w:val="Hyperlink"/>
                <w:rFonts w:asciiTheme="minorHAnsi" w:hAnsiTheme="minorHAnsi" w:cstheme="minorHAnsi"/>
                <w:noProof/>
              </w:rPr>
              <w:t>References</w:t>
            </w:r>
            <w:r w:rsidR="00C75950" w:rsidRPr="001920F2">
              <w:rPr>
                <w:rFonts w:asciiTheme="minorHAnsi" w:hAnsiTheme="minorHAnsi" w:cstheme="minorHAnsi"/>
                <w:noProof/>
                <w:webHidden/>
              </w:rPr>
              <w:tab/>
            </w:r>
            <w:r w:rsidR="00C75950" w:rsidRPr="001920F2">
              <w:rPr>
                <w:rFonts w:asciiTheme="minorHAnsi" w:hAnsiTheme="minorHAnsi" w:cstheme="minorHAnsi"/>
                <w:noProof/>
                <w:webHidden/>
              </w:rPr>
              <w:fldChar w:fldCharType="begin"/>
            </w:r>
            <w:r w:rsidR="00C75950" w:rsidRPr="001920F2">
              <w:rPr>
                <w:rFonts w:asciiTheme="minorHAnsi" w:hAnsiTheme="minorHAnsi" w:cstheme="minorHAnsi"/>
                <w:noProof/>
                <w:webHidden/>
              </w:rPr>
              <w:instrText xml:space="preserve"> PAGEREF _Toc118813843 \h </w:instrText>
            </w:r>
            <w:r w:rsidR="00C75950" w:rsidRPr="001920F2">
              <w:rPr>
                <w:rFonts w:asciiTheme="minorHAnsi" w:hAnsiTheme="minorHAnsi" w:cstheme="minorHAnsi"/>
                <w:noProof/>
                <w:webHidden/>
              </w:rPr>
            </w:r>
            <w:r w:rsidR="00C75950" w:rsidRPr="001920F2">
              <w:rPr>
                <w:rFonts w:asciiTheme="minorHAnsi" w:hAnsiTheme="minorHAnsi" w:cstheme="minorHAnsi"/>
                <w:noProof/>
                <w:webHidden/>
              </w:rPr>
              <w:fldChar w:fldCharType="separate"/>
            </w:r>
            <w:r w:rsidR="009B6B3C">
              <w:rPr>
                <w:rFonts w:asciiTheme="minorHAnsi" w:hAnsiTheme="minorHAnsi" w:cstheme="minorHAnsi"/>
                <w:noProof/>
                <w:webHidden/>
              </w:rPr>
              <w:t>25</w:t>
            </w:r>
            <w:r w:rsidR="00C75950" w:rsidRPr="001920F2">
              <w:rPr>
                <w:rFonts w:asciiTheme="minorHAnsi" w:hAnsiTheme="minorHAnsi" w:cstheme="minorHAnsi"/>
                <w:noProof/>
                <w:webHidden/>
              </w:rPr>
              <w:fldChar w:fldCharType="end"/>
            </w:r>
          </w:hyperlink>
        </w:p>
        <w:p w14:paraId="0042D3E5" w14:textId="06A32E88" w:rsidR="00D1229D" w:rsidRPr="00D1229D" w:rsidRDefault="00D1229D" w:rsidP="00D1229D">
          <w:pPr>
            <w:spacing w:after="240"/>
            <w:sectPr w:rsidR="00D1229D" w:rsidRPr="00D1229D" w:rsidSect="009012CE">
              <w:headerReference w:type="default" r:id="rId8"/>
              <w:footerReference w:type="default" r:id="rId9"/>
              <w:endnotePr>
                <w:numFmt w:val="decimal"/>
              </w:endnotePr>
              <w:pgSz w:w="11906" w:h="16838"/>
              <w:pgMar w:top="1440" w:right="1440" w:bottom="1440" w:left="1440" w:header="708" w:footer="708" w:gutter="0"/>
              <w:cols w:space="708"/>
              <w:docGrid w:linePitch="360"/>
            </w:sectPr>
          </w:pPr>
          <w:r w:rsidRPr="009E15CE">
            <w:rPr>
              <w:rFonts w:asciiTheme="minorHAnsi" w:hAnsiTheme="minorHAnsi" w:cstheme="minorHAnsi"/>
              <w:b/>
              <w:bCs/>
              <w:noProof/>
              <w:sz w:val="32"/>
              <w:szCs w:val="32"/>
            </w:rPr>
            <w:fldChar w:fldCharType="end"/>
          </w:r>
        </w:p>
      </w:sdtContent>
    </w:sdt>
    <w:p w14:paraId="6C7F2A11" w14:textId="06BDE409" w:rsidR="00275621" w:rsidRPr="00F2186A" w:rsidRDefault="00414EE6" w:rsidP="00275621">
      <w:pPr>
        <w:pStyle w:val="Heading2"/>
        <w:spacing w:after="240"/>
        <w:rPr>
          <w:rFonts w:asciiTheme="minorHAnsi" w:hAnsiTheme="minorHAnsi" w:cstheme="minorHAnsi"/>
          <w:szCs w:val="28"/>
        </w:rPr>
      </w:pPr>
      <w:bookmarkStart w:id="7" w:name="_Toc118813831"/>
      <w:r w:rsidRPr="00F2186A">
        <w:rPr>
          <w:rFonts w:asciiTheme="minorHAnsi" w:hAnsiTheme="minorHAnsi" w:cstheme="minorHAnsi"/>
          <w:szCs w:val="28"/>
        </w:rPr>
        <w:lastRenderedPageBreak/>
        <w:t>Executive Summary</w:t>
      </w:r>
      <w:bookmarkEnd w:id="7"/>
    </w:p>
    <w:p w14:paraId="3DE1E40B" w14:textId="5F1CDE36" w:rsidR="006A01A2" w:rsidRDefault="00CB6C68" w:rsidP="006A01A2">
      <w:pPr>
        <w:rPr>
          <w:rFonts w:asciiTheme="minorHAnsi" w:hAnsiTheme="minorHAnsi" w:cstheme="minorHAnsi"/>
          <w:sz w:val="22"/>
          <w:szCs w:val="22"/>
        </w:rPr>
      </w:pPr>
      <w:r w:rsidRPr="009E15CE">
        <w:rPr>
          <w:rFonts w:asciiTheme="minorHAnsi" w:hAnsiTheme="minorHAnsi" w:cstheme="minorHAnsi"/>
          <w:sz w:val="22"/>
          <w:szCs w:val="22"/>
        </w:rPr>
        <w:t xml:space="preserve">This report provides an overview of medicines available in Australia for use in endometriosis </w:t>
      </w:r>
      <w:r w:rsidR="003D6262">
        <w:rPr>
          <w:rFonts w:asciiTheme="minorHAnsi" w:hAnsiTheme="minorHAnsi" w:cstheme="minorHAnsi"/>
          <w:sz w:val="22"/>
          <w:szCs w:val="22"/>
        </w:rPr>
        <w:t xml:space="preserve">and related conditions </w:t>
      </w:r>
      <w:r w:rsidRPr="000574E6">
        <w:rPr>
          <w:rFonts w:asciiTheme="minorHAnsi" w:hAnsiTheme="minorHAnsi" w:cstheme="minorHAnsi"/>
          <w:sz w:val="22"/>
          <w:szCs w:val="22"/>
        </w:rPr>
        <w:t xml:space="preserve">according to clinical treatment </w:t>
      </w:r>
      <w:r w:rsidRPr="00F3509B">
        <w:rPr>
          <w:rFonts w:asciiTheme="minorHAnsi" w:hAnsiTheme="minorHAnsi" w:cstheme="minorHAnsi"/>
          <w:sz w:val="22"/>
          <w:szCs w:val="22"/>
        </w:rPr>
        <w:t>guidelines and</w:t>
      </w:r>
      <w:r w:rsidRPr="000574E6">
        <w:rPr>
          <w:rFonts w:asciiTheme="minorHAnsi" w:hAnsiTheme="minorHAnsi" w:cstheme="minorHAnsi"/>
          <w:sz w:val="22"/>
          <w:szCs w:val="22"/>
        </w:rPr>
        <w:t xml:space="preserve"> identifies potential gaps between the medicines listed on the Pharmaceutical Benefits Scheme (PBS) </w:t>
      </w:r>
      <w:r w:rsidR="00724C17">
        <w:rPr>
          <w:rFonts w:asciiTheme="minorHAnsi" w:hAnsiTheme="minorHAnsi" w:cstheme="minorHAnsi"/>
          <w:sz w:val="22"/>
          <w:szCs w:val="22"/>
        </w:rPr>
        <w:t xml:space="preserve">and </w:t>
      </w:r>
      <w:r w:rsidRPr="000574E6">
        <w:rPr>
          <w:rFonts w:asciiTheme="minorHAnsi" w:hAnsiTheme="minorHAnsi" w:cstheme="minorHAnsi"/>
          <w:sz w:val="22"/>
          <w:szCs w:val="22"/>
        </w:rPr>
        <w:t xml:space="preserve">those </w:t>
      </w:r>
      <w:r w:rsidR="00724C17">
        <w:rPr>
          <w:rFonts w:asciiTheme="minorHAnsi" w:hAnsiTheme="minorHAnsi" w:cstheme="minorHAnsi"/>
          <w:sz w:val="22"/>
          <w:szCs w:val="22"/>
        </w:rPr>
        <w:t xml:space="preserve">available </w:t>
      </w:r>
      <w:r w:rsidR="000574E6">
        <w:rPr>
          <w:rFonts w:asciiTheme="minorHAnsi" w:hAnsiTheme="minorHAnsi" w:cstheme="minorHAnsi"/>
          <w:sz w:val="22"/>
          <w:szCs w:val="22"/>
        </w:rPr>
        <w:t xml:space="preserve">via </w:t>
      </w:r>
      <w:r w:rsidR="000574E6" w:rsidRPr="000574E6">
        <w:rPr>
          <w:rFonts w:asciiTheme="minorHAnsi" w:hAnsiTheme="minorHAnsi" w:cstheme="minorHAnsi"/>
          <w:sz w:val="22"/>
          <w:szCs w:val="22"/>
        </w:rPr>
        <w:t>the</w:t>
      </w:r>
      <w:r w:rsidRPr="000574E6">
        <w:rPr>
          <w:rFonts w:asciiTheme="minorHAnsi" w:hAnsiTheme="minorHAnsi" w:cstheme="minorHAnsi"/>
          <w:sz w:val="22"/>
          <w:szCs w:val="22"/>
        </w:rPr>
        <w:t xml:space="preserve"> private market. </w:t>
      </w:r>
    </w:p>
    <w:p w14:paraId="70F260E5" w14:textId="0A7F3407" w:rsidR="00872E63" w:rsidRDefault="00872E63" w:rsidP="006A01A2">
      <w:pPr>
        <w:rPr>
          <w:rFonts w:asciiTheme="minorHAnsi" w:hAnsiTheme="minorHAnsi" w:cstheme="minorHAnsi"/>
          <w:sz w:val="22"/>
          <w:szCs w:val="22"/>
        </w:rPr>
      </w:pPr>
      <w:r>
        <w:rPr>
          <w:rFonts w:asciiTheme="minorHAnsi" w:hAnsiTheme="minorHAnsi" w:cstheme="minorHAnsi"/>
          <w:sz w:val="22"/>
          <w:szCs w:val="22"/>
        </w:rPr>
        <w:t>Endometriosis currently affects more than 830,00</w:t>
      </w:r>
      <w:r w:rsidR="00477A43">
        <w:rPr>
          <w:rFonts w:asciiTheme="minorHAnsi" w:hAnsiTheme="minorHAnsi" w:cstheme="minorHAnsi"/>
          <w:sz w:val="22"/>
          <w:szCs w:val="22"/>
        </w:rPr>
        <w:t xml:space="preserve">0 (11%) Australian women, girls and those who are gender diverse, with the disease often starting in </w:t>
      </w:r>
      <w:r w:rsidR="00724C17">
        <w:rPr>
          <w:rFonts w:asciiTheme="minorHAnsi" w:hAnsiTheme="minorHAnsi" w:cstheme="minorHAnsi"/>
          <w:sz w:val="22"/>
          <w:szCs w:val="22"/>
        </w:rPr>
        <w:t xml:space="preserve">the </w:t>
      </w:r>
      <w:r w:rsidR="00477A43">
        <w:rPr>
          <w:rFonts w:asciiTheme="minorHAnsi" w:hAnsiTheme="minorHAnsi" w:cstheme="minorHAnsi"/>
          <w:sz w:val="22"/>
          <w:szCs w:val="22"/>
        </w:rPr>
        <w:t>teenage years.</w:t>
      </w:r>
      <w:r w:rsidR="00724C17">
        <w:rPr>
          <w:rFonts w:asciiTheme="minorHAnsi" w:hAnsiTheme="minorHAnsi" w:cstheme="minorHAnsi"/>
          <w:sz w:val="22"/>
          <w:szCs w:val="22"/>
        </w:rPr>
        <w:t xml:space="preserve"> </w:t>
      </w:r>
      <w:r w:rsidR="00477A43">
        <w:rPr>
          <w:rFonts w:asciiTheme="minorHAnsi" w:hAnsiTheme="minorHAnsi" w:cstheme="minorHAnsi"/>
          <w:sz w:val="22"/>
          <w:szCs w:val="22"/>
        </w:rPr>
        <w:t>Endometriosis has no known cure</w:t>
      </w:r>
      <w:r w:rsidR="00724C17">
        <w:rPr>
          <w:rFonts w:asciiTheme="minorHAnsi" w:hAnsiTheme="minorHAnsi" w:cstheme="minorHAnsi"/>
          <w:sz w:val="22"/>
          <w:szCs w:val="22"/>
        </w:rPr>
        <w:t>.</w:t>
      </w:r>
    </w:p>
    <w:p w14:paraId="4B5452E7" w14:textId="2FC21624" w:rsidR="00F3509B" w:rsidRDefault="00477A43" w:rsidP="006A01A2">
      <w:pPr>
        <w:rPr>
          <w:rFonts w:asciiTheme="minorHAnsi" w:hAnsiTheme="minorHAnsi" w:cstheme="minorHAnsi"/>
          <w:sz w:val="22"/>
          <w:szCs w:val="22"/>
        </w:rPr>
      </w:pPr>
      <w:r>
        <w:rPr>
          <w:rFonts w:asciiTheme="minorHAnsi" w:hAnsiTheme="minorHAnsi" w:cstheme="minorHAnsi"/>
          <w:sz w:val="22"/>
          <w:szCs w:val="22"/>
        </w:rPr>
        <w:t>The available treatments for endometriosis in Australia are limited</w:t>
      </w:r>
      <w:r w:rsidR="00724C17">
        <w:rPr>
          <w:rFonts w:asciiTheme="minorHAnsi" w:hAnsiTheme="minorHAnsi" w:cstheme="minorHAnsi"/>
          <w:sz w:val="22"/>
          <w:szCs w:val="22"/>
        </w:rPr>
        <w:t>. P</w:t>
      </w:r>
      <w:r w:rsidR="003D6262">
        <w:rPr>
          <w:rFonts w:asciiTheme="minorHAnsi" w:hAnsiTheme="minorHAnsi" w:cstheme="minorHAnsi"/>
          <w:sz w:val="22"/>
          <w:szCs w:val="22"/>
        </w:rPr>
        <w:t>rimary care management of endometriosis and clinical guidelines recommend that first line treatments include</w:t>
      </w:r>
      <w:r w:rsidR="00F3509B">
        <w:rPr>
          <w:rFonts w:asciiTheme="minorHAnsi" w:hAnsiTheme="minorHAnsi" w:cstheme="minorHAnsi"/>
          <w:sz w:val="22"/>
          <w:szCs w:val="22"/>
        </w:rPr>
        <w:t>:</w:t>
      </w:r>
    </w:p>
    <w:p w14:paraId="1C4ECFF3" w14:textId="77777777" w:rsidR="00F3509B" w:rsidRPr="000574E6" w:rsidRDefault="003D6262" w:rsidP="000574E6">
      <w:pPr>
        <w:pStyle w:val="ListParagraph"/>
        <w:numPr>
          <w:ilvl w:val="0"/>
          <w:numId w:val="58"/>
        </w:numPr>
        <w:rPr>
          <w:rFonts w:asciiTheme="minorHAnsi" w:hAnsiTheme="minorHAnsi" w:cstheme="minorHAnsi"/>
          <w:sz w:val="22"/>
          <w:szCs w:val="22"/>
        </w:rPr>
      </w:pPr>
      <w:r w:rsidRPr="000574E6">
        <w:rPr>
          <w:rFonts w:asciiTheme="minorHAnsi" w:hAnsiTheme="minorHAnsi" w:cstheme="minorHAnsi"/>
          <w:sz w:val="22"/>
          <w:szCs w:val="22"/>
        </w:rPr>
        <w:t xml:space="preserve">combined oral contraceptives (COCs), </w:t>
      </w:r>
    </w:p>
    <w:p w14:paraId="0A3D1527" w14:textId="77777777" w:rsidR="00F3509B" w:rsidRDefault="003D6262" w:rsidP="00F3509B">
      <w:pPr>
        <w:pStyle w:val="ListParagraph"/>
        <w:numPr>
          <w:ilvl w:val="0"/>
          <w:numId w:val="58"/>
        </w:numPr>
        <w:rPr>
          <w:rFonts w:asciiTheme="minorHAnsi" w:hAnsiTheme="minorHAnsi" w:cstheme="minorHAnsi"/>
          <w:sz w:val="22"/>
          <w:szCs w:val="22"/>
        </w:rPr>
      </w:pPr>
      <w:r w:rsidRPr="000574E6">
        <w:rPr>
          <w:rFonts w:asciiTheme="minorHAnsi" w:hAnsiTheme="minorHAnsi" w:cstheme="minorHAnsi"/>
          <w:sz w:val="22"/>
          <w:szCs w:val="22"/>
        </w:rPr>
        <w:t xml:space="preserve">intravaginal contraception, </w:t>
      </w:r>
    </w:p>
    <w:p w14:paraId="240D9F3B" w14:textId="265AF386" w:rsidR="00F3509B" w:rsidRPr="000574E6" w:rsidRDefault="003D6262" w:rsidP="000574E6">
      <w:pPr>
        <w:pStyle w:val="ListParagraph"/>
        <w:numPr>
          <w:ilvl w:val="0"/>
          <w:numId w:val="58"/>
        </w:numPr>
        <w:rPr>
          <w:rFonts w:asciiTheme="minorHAnsi" w:hAnsiTheme="minorHAnsi" w:cstheme="minorHAnsi"/>
          <w:sz w:val="22"/>
          <w:szCs w:val="22"/>
        </w:rPr>
      </w:pPr>
      <w:r w:rsidRPr="000574E6">
        <w:rPr>
          <w:rFonts w:asciiTheme="minorHAnsi" w:hAnsiTheme="minorHAnsi" w:cstheme="minorHAnsi"/>
          <w:sz w:val="22"/>
          <w:szCs w:val="22"/>
        </w:rPr>
        <w:t xml:space="preserve">progestogens, </w:t>
      </w:r>
    </w:p>
    <w:p w14:paraId="2465605E" w14:textId="77777777" w:rsidR="00F3509B" w:rsidRPr="000574E6" w:rsidRDefault="003D6262" w:rsidP="000574E6">
      <w:pPr>
        <w:pStyle w:val="ListParagraph"/>
        <w:numPr>
          <w:ilvl w:val="0"/>
          <w:numId w:val="58"/>
        </w:numPr>
        <w:rPr>
          <w:rFonts w:asciiTheme="minorHAnsi" w:hAnsiTheme="minorHAnsi" w:cstheme="minorHAnsi"/>
          <w:sz w:val="22"/>
          <w:szCs w:val="22"/>
        </w:rPr>
      </w:pPr>
      <w:r w:rsidRPr="000574E6">
        <w:rPr>
          <w:rFonts w:asciiTheme="minorHAnsi" w:hAnsiTheme="minorHAnsi" w:cstheme="minorHAnsi"/>
          <w:sz w:val="22"/>
          <w:szCs w:val="22"/>
        </w:rPr>
        <w:t>intrauterine contraceptives,</w:t>
      </w:r>
      <w:r w:rsidR="008F4154" w:rsidRPr="000574E6">
        <w:rPr>
          <w:rFonts w:asciiTheme="minorHAnsi" w:hAnsiTheme="minorHAnsi" w:cstheme="minorHAnsi"/>
          <w:sz w:val="22"/>
          <w:szCs w:val="22"/>
        </w:rPr>
        <w:t xml:space="preserve"> </w:t>
      </w:r>
    </w:p>
    <w:p w14:paraId="7C8C89FF" w14:textId="77777777" w:rsidR="00F3509B" w:rsidRPr="000574E6" w:rsidRDefault="003D6262" w:rsidP="000574E6">
      <w:pPr>
        <w:pStyle w:val="ListParagraph"/>
        <w:numPr>
          <w:ilvl w:val="0"/>
          <w:numId w:val="58"/>
        </w:numPr>
        <w:rPr>
          <w:rFonts w:asciiTheme="minorHAnsi" w:hAnsiTheme="minorHAnsi" w:cstheme="minorHAnsi"/>
          <w:sz w:val="22"/>
          <w:szCs w:val="22"/>
        </w:rPr>
      </w:pPr>
      <w:r w:rsidRPr="000574E6">
        <w:rPr>
          <w:rFonts w:asciiTheme="minorHAnsi" w:hAnsiTheme="minorHAnsi" w:cstheme="minorHAnsi"/>
          <w:sz w:val="22"/>
          <w:szCs w:val="22"/>
        </w:rPr>
        <w:t>subdermal contraceptive implant</w:t>
      </w:r>
      <w:r w:rsidR="008F4154" w:rsidRPr="000574E6">
        <w:rPr>
          <w:rFonts w:asciiTheme="minorHAnsi" w:hAnsiTheme="minorHAnsi" w:cstheme="minorHAnsi"/>
          <w:sz w:val="22"/>
          <w:szCs w:val="22"/>
        </w:rPr>
        <w:t xml:space="preserve">, </w:t>
      </w:r>
    </w:p>
    <w:p w14:paraId="57E988A1" w14:textId="77777777" w:rsidR="00F3509B" w:rsidRPr="000574E6" w:rsidRDefault="008F4154" w:rsidP="000574E6">
      <w:pPr>
        <w:pStyle w:val="ListParagraph"/>
        <w:numPr>
          <w:ilvl w:val="0"/>
          <w:numId w:val="58"/>
        </w:numPr>
        <w:rPr>
          <w:rFonts w:asciiTheme="minorHAnsi" w:hAnsiTheme="minorHAnsi" w:cstheme="minorHAnsi"/>
          <w:sz w:val="22"/>
          <w:szCs w:val="22"/>
        </w:rPr>
      </w:pPr>
      <w:r w:rsidRPr="000574E6">
        <w:rPr>
          <w:rFonts w:asciiTheme="minorHAnsi" w:hAnsiTheme="minorHAnsi" w:cstheme="minorHAnsi"/>
          <w:sz w:val="22"/>
          <w:szCs w:val="22"/>
        </w:rPr>
        <w:t>gonadotrophin-releasing hormone (GnRH) agonist</w:t>
      </w:r>
      <w:r w:rsidR="003D6262" w:rsidRPr="000574E6">
        <w:rPr>
          <w:rFonts w:asciiTheme="minorHAnsi" w:hAnsiTheme="minorHAnsi" w:cstheme="minorHAnsi"/>
          <w:sz w:val="22"/>
          <w:szCs w:val="22"/>
        </w:rPr>
        <w:t>s</w:t>
      </w:r>
      <w:r w:rsidRPr="000574E6">
        <w:rPr>
          <w:rFonts w:asciiTheme="minorHAnsi" w:hAnsiTheme="minorHAnsi" w:cstheme="minorHAnsi"/>
          <w:sz w:val="22"/>
          <w:szCs w:val="22"/>
        </w:rPr>
        <w:t xml:space="preserve">, </w:t>
      </w:r>
    </w:p>
    <w:p w14:paraId="7866004D" w14:textId="77777777" w:rsidR="00F3509B" w:rsidRPr="000574E6" w:rsidRDefault="008F4154" w:rsidP="000574E6">
      <w:pPr>
        <w:pStyle w:val="ListParagraph"/>
        <w:numPr>
          <w:ilvl w:val="0"/>
          <w:numId w:val="58"/>
        </w:numPr>
        <w:rPr>
          <w:rFonts w:asciiTheme="minorHAnsi" w:hAnsiTheme="minorHAnsi" w:cstheme="minorHAnsi"/>
          <w:sz w:val="22"/>
          <w:szCs w:val="22"/>
        </w:rPr>
      </w:pPr>
      <w:r w:rsidRPr="000574E6">
        <w:rPr>
          <w:rFonts w:asciiTheme="minorHAnsi" w:hAnsiTheme="minorHAnsi" w:cstheme="minorHAnsi"/>
          <w:sz w:val="22"/>
          <w:szCs w:val="22"/>
        </w:rPr>
        <w:t xml:space="preserve">androgenic hormones, </w:t>
      </w:r>
    </w:p>
    <w:p w14:paraId="6010B7FC" w14:textId="111BF3D6" w:rsidR="00477A43" w:rsidRPr="000574E6" w:rsidRDefault="008F4154" w:rsidP="000574E6">
      <w:pPr>
        <w:pStyle w:val="ListParagraph"/>
        <w:numPr>
          <w:ilvl w:val="0"/>
          <w:numId w:val="58"/>
        </w:numPr>
        <w:rPr>
          <w:rFonts w:asciiTheme="minorHAnsi" w:hAnsiTheme="minorHAnsi" w:cstheme="minorHAnsi"/>
          <w:sz w:val="22"/>
          <w:szCs w:val="22"/>
        </w:rPr>
      </w:pPr>
      <w:r w:rsidRPr="000574E6">
        <w:rPr>
          <w:rFonts w:asciiTheme="minorHAnsi" w:hAnsiTheme="minorHAnsi" w:cstheme="minorHAnsi"/>
          <w:sz w:val="22"/>
          <w:szCs w:val="22"/>
        </w:rPr>
        <w:t>and analgesia</w:t>
      </w:r>
      <w:r w:rsidR="003D6262" w:rsidRPr="000574E6">
        <w:rPr>
          <w:rFonts w:asciiTheme="minorHAnsi" w:hAnsiTheme="minorHAnsi" w:cstheme="minorHAnsi"/>
          <w:sz w:val="22"/>
          <w:szCs w:val="22"/>
        </w:rPr>
        <w:t xml:space="preserve">. </w:t>
      </w:r>
    </w:p>
    <w:p w14:paraId="2D2BEDAC" w14:textId="45B49FB5" w:rsidR="003D6262" w:rsidRDefault="00724C17" w:rsidP="000574E6">
      <w:pPr>
        <w:pStyle w:val="BodyText"/>
        <w:spacing w:before="240" w:after="240"/>
        <w:rPr>
          <w:rFonts w:eastAsia="Times New Roman"/>
        </w:rPr>
      </w:pPr>
      <w:r>
        <w:rPr>
          <w:rFonts w:cstheme="minorHAnsi"/>
          <w:szCs w:val="22"/>
        </w:rPr>
        <w:t xml:space="preserve">Stakeholders </w:t>
      </w:r>
      <w:r w:rsidR="003D6262">
        <w:rPr>
          <w:rFonts w:cstheme="minorHAnsi"/>
          <w:szCs w:val="22"/>
        </w:rPr>
        <w:t xml:space="preserve">have </w:t>
      </w:r>
      <w:r>
        <w:rPr>
          <w:rFonts w:cstheme="minorHAnsi"/>
          <w:szCs w:val="22"/>
        </w:rPr>
        <w:t xml:space="preserve">expressed </w:t>
      </w:r>
      <w:r w:rsidR="003D6262">
        <w:rPr>
          <w:rFonts w:cstheme="minorHAnsi"/>
          <w:szCs w:val="22"/>
        </w:rPr>
        <w:t xml:space="preserve">concerns </w:t>
      </w:r>
      <w:r w:rsidR="008F4154">
        <w:rPr>
          <w:rFonts w:cstheme="minorHAnsi"/>
          <w:szCs w:val="22"/>
        </w:rPr>
        <w:t>about the</w:t>
      </w:r>
      <w:r w:rsidR="003D6262">
        <w:rPr>
          <w:rFonts w:eastAsia="Times New Roman"/>
        </w:rPr>
        <w:t xml:space="preserve"> limited list of medications currently available on the PBS </w:t>
      </w:r>
      <w:r w:rsidR="000B62FF">
        <w:rPr>
          <w:rFonts w:eastAsia="Times New Roman"/>
        </w:rPr>
        <w:t xml:space="preserve">specifically </w:t>
      </w:r>
      <w:r w:rsidR="003D6262">
        <w:rPr>
          <w:rFonts w:eastAsia="Times New Roman"/>
        </w:rPr>
        <w:t xml:space="preserve">for </w:t>
      </w:r>
      <w:r>
        <w:rPr>
          <w:rFonts w:eastAsia="Times New Roman"/>
        </w:rPr>
        <w:t xml:space="preserve">the </w:t>
      </w:r>
      <w:r w:rsidR="003D6262">
        <w:rPr>
          <w:rFonts w:eastAsia="Times New Roman"/>
        </w:rPr>
        <w:t>management of endometriosis</w:t>
      </w:r>
      <w:r>
        <w:rPr>
          <w:rFonts w:eastAsia="Times New Roman"/>
        </w:rPr>
        <w:t xml:space="preserve"> and endometriosis related pain</w:t>
      </w:r>
      <w:r w:rsidR="003D6262">
        <w:rPr>
          <w:rFonts w:eastAsia="Times New Roman"/>
        </w:rPr>
        <w:t xml:space="preserve">. </w:t>
      </w:r>
      <w:r w:rsidR="008F4154">
        <w:rPr>
          <w:rFonts w:eastAsia="Times New Roman"/>
        </w:rPr>
        <w:t>Patients and</w:t>
      </w:r>
      <w:r w:rsidR="003D6262">
        <w:rPr>
          <w:rFonts w:eastAsia="Times New Roman"/>
        </w:rPr>
        <w:t xml:space="preserve"> </w:t>
      </w:r>
      <w:r>
        <w:rPr>
          <w:rFonts w:eastAsia="Times New Roman"/>
        </w:rPr>
        <w:t xml:space="preserve">clinicians report that </w:t>
      </w:r>
      <w:r w:rsidR="00E4660C">
        <w:rPr>
          <w:rFonts w:eastAsia="Times New Roman"/>
        </w:rPr>
        <w:t xml:space="preserve">these medicines may be </w:t>
      </w:r>
      <w:r w:rsidR="003D6262">
        <w:rPr>
          <w:rFonts w:eastAsia="Times New Roman"/>
        </w:rPr>
        <w:t xml:space="preserve">poorly tolerated, minimally effective or </w:t>
      </w:r>
      <w:r w:rsidR="000B62FF">
        <w:rPr>
          <w:rFonts w:eastAsia="Times New Roman"/>
        </w:rPr>
        <w:t xml:space="preserve">are associated with </w:t>
      </w:r>
      <w:r w:rsidR="000574E6">
        <w:rPr>
          <w:rFonts w:eastAsia="Times New Roman"/>
        </w:rPr>
        <w:t>a risk</w:t>
      </w:r>
      <w:r w:rsidR="003D6262">
        <w:rPr>
          <w:rFonts w:eastAsia="Times New Roman"/>
        </w:rPr>
        <w:t xml:space="preserve"> of addiction. </w:t>
      </w:r>
      <w:r w:rsidR="000B62FF">
        <w:rPr>
          <w:rFonts w:eastAsia="Times New Roman"/>
        </w:rPr>
        <w:t xml:space="preserve">Stakeholders </w:t>
      </w:r>
      <w:r w:rsidR="00E4660C">
        <w:rPr>
          <w:rFonts w:eastAsia="Times New Roman"/>
        </w:rPr>
        <w:t xml:space="preserve">have </w:t>
      </w:r>
      <w:r w:rsidR="003D6262">
        <w:rPr>
          <w:rFonts w:eastAsia="Times New Roman"/>
        </w:rPr>
        <w:t xml:space="preserve">noted that </w:t>
      </w:r>
      <w:r w:rsidR="000B62FF">
        <w:rPr>
          <w:rFonts w:eastAsia="Times New Roman"/>
        </w:rPr>
        <w:t xml:space="preserve">the addition of </w:t>
      </w:r>
      <w:r w:rsidR="003D6262">
        <w:rPr>
          <w:rFonts w:eastAsia="Times New Roman"/>
        </w:rPr>
        <w:t xml:space="preserve">several </w:t>
      </w:r>
      <w:r w:rsidR="000B62FF">
        <w:rPr>
          <w:rFonts w:eastAsia="Times New Roman"/>
        </w:rPr>
        <w:t xml:space="preserve">medicines </w:t>
      </w:r>
      <w:r w:rsidR="003D6262">
        <w:rPr>
          <w:rFonts w:eastAsia="Times New Roman"/>
        </w:rPr>
        <w:t xml:space="preserve">to the PBS </w:t>
      </w:r>
      <w:r w:rsidR="000574E6">
        <w:rPr>
          <w:rFonts w:eastAsia="Times New Roman"/>
        </w:rPr>
        <w:t>would facilitate</w:t>
      </w:r>
      <w:r w:rsidR="003D6262">
        <w:rPr>
          <w:rFonts w:eastAsia="Times New Roman"/>
        </w:rPr>
        <w:t xml:space="preserve"> </w:t>
      </w:r>
      <w:r w:rsidR="000B62FF">
        <w:rPr>
          <w:rFonts w:eastAsia="Times New Roman"/>
        </w:rPr>
        <w:t>more</w:t>
      </w:r>
      <w:r w:rsidR="003D6262">
        <w:rPr>
          <w:rFonts w:eastAsia="Times New Roman"/>
        </w:rPr>
        <w:t xml:space="preserve"> readily available treatment for endometriosis </w:t>
      </w:r>
      <w:r w:rsidR="00E4660C">
        <w:rPr>
          <w:rFonts w:eastAsia="Times New Roman"/>
        </w:rPr>
        <w:t xml:space="preserve">related </w:t>
      </w:r>
      <w:r w:rsidR="003D6262">
        <w:rPr>
          <w:rFonts w:eastAsia="Times New Roman"/>
        </w:rPr>
        <w:t>pain</w:t>
      </w:r>
      <w:r w:rsidR="000B62FF">
        <w:rPr>
          <w:rFonts w:eastAsia="Times New Roman"/>
        </w:rPr>
        <w:t>. These medicines include</w:t>
      </w:r>
      <w:r w:rsidR="003D6262">
        <w:rPr>
          <w:rFonts w:eastAsia="Times New Roman"/>
        </w:rPr>
        <w:t xml:space="preserve"> dienogest, dienogest and estradiol valerate</w:t>
      </w:r>
      <w:r w:rsidR="00C728CF">
        <w:rPr>
          <w:rFonts w:eastAsia="Times New Roman"/>
        </w:rPr>
        <w:t xml:space="preserve"> (Qlaira®</w:t>
      </w:r>
      <w:r w:rsidR="003D6262">
        <w:rPr>
          <w:rFonts w:eastAsia="Times New Roman"/>
        </w:rPr>
        <w:t>), diazepam suppositories, botulinum toxin, non-steroidal anti-inflammatory drugs (NSAIDs), gonadotropin releasing hormone (GnRH) analogues and other combined oral contraceptive pills.</w:t>
      </w:r>
    </w:p>
    <w:p w14:paraId="53F2D166" w14:textId="5F8F72DF" w:rsidR="008F4154" w:rsidRPr="000B758F" w:rsidRDefault="008F4154" w:rsidP="000574E6">
      <w:pPr>
        <w:pStyle w:val="BodyText"/>
        <w:spacing w:before="240"/>
        <w:rPr>
          <w:rFonts w:eastAsia="Times New Roman"/>
        </w:rPr>
      </w:pPr>
      <w:r>
        <w:rPr>
          <w:rFonts w:eastAsia="Times New Roman"/>
        </w:rPr>
        <w:t xml:space="preserve">The medicines currently </w:t>
      </w:r>
      <w:r w:rsidR="00392AB1">
        <w:rPr>
          <w:rFonts w:eastAsia="Times New Roman"/>
        </w:rPr>
        <w:t xml:space="preserve">listed on the PBS </w:t>
      </w:r>
      <w:r w:rsidR="000B62FF">
        <w:rPr>
          <w:rFonts w:eastAsia="Times New Roman"/>
        </w:rPr>
        <w:t xml:space="preserve">specifically </w:t>
      </w:r>
      <w:r w:rsidR="00392AB1">
        <w:rPr>
          <w:rFonts w:eastAsia="Times New Roman"/>
        </w:rPr>
        <w:t>for use</w:t>
      </w:r>
      <w:r>
        <w:rPr>
          <w:rFonts w:eastAsia="Times New Roman"/>
        </w:rPr>
        <w:t xml:space="preserve"> in endometriosis include two GnRH agonists</w:t>
      </w:r>
      <w:r w:rsidR="00C728CF">
        <w:rPr>
          <w:rFonts w:eastAsia="Times New Roman"/>
        </w:rPr>
        <w:t xml:space="preserve"> (</w:t>
      </w:r>
      <w:r>
        <w:rPr>
          <w:rFonts w:eastAsia="Times New Roman"/>
        </w:rPr>
        <w:t>gos</w:t>
      </w:r>
      <w:r w:rsidR="000B62FF">
        <w:rPr>
          <w:rFonts w:eastAsia="Times New Roman"/>
        </w:rPr>
        <w:t>e</w:t>
      </w:r>
      <w:r>
        <w:rPr>
          <w:rFonts w:eastAsia="Times New Roman"/>
        </w:rPr>
        <w:t>relin and nafarelin</w:t>
      </w:r>
      <w:r w:rsidR="00C728CF">
        <w:rPr>
          <w:rFonts w:eastAsia="Times New Roman"/>
        </w:rPr>
        <w:t>)</w:t>
      </w:r>
      <w:r w:rsidR="00392AB1">
        <w:rPr>
          <w:rFonts w:eastAsia="Times New Roman"/>
        </w:rPr>
        <w:t xml:space="preserve"> and</w:t>
      </w:r>
      <w:r>
        <w:rPr>
          <w:rFonts w:eastAsia="Times New Roman"/>
        </w:rPr>
        <w:t xml:space="preserve"> a progestogen</w:t>
      </w:r>
      <w:r w:rsidR="00392AB1">
        <w:rPr>
          <w:rFonts w:eastAsia="Times New Roman"/>
        </w:rPr>
        <w:t xml:space="preserve">; medroxyprogesterone acetate (oral tablet). The medicines identified </w:t>
      </w:r>
      <w:r w:rsidR="00C728CF">
        <w:rPr>
          <w:rFonts w:eastAsia="Times New Roman"/>
        </w:rPr>
        <w:t xml:space="preserve">as </w:t>
      </w:r>
      <w:r w:rsidR="00284BED">
        <w:rPr>
          <w:rFonts w:eastAsia="Times New Roman"/>
        </w:rPr>
        <w:t>TGA registered for use</w:t>
      </w:r>
      <w:r w:rsidR="00392AB1">
        <w:rPr>
          <w:rFonts w:eastAsia="Times New Roman"/>
        </w:rPr>
        <w:t xml:space="preserve"> in endometriosis </w:t>
      </w:r>
      <w:r w:rsidR="00C728CF">
        <w:rPr>
          <w:rFonts w:eastAsia="Times New Roman"/>
        </w:rPr>
        <w:t xml:space="preserve">and as unrestricted listings on the PBS </w:t>
      </w:r>
      <w:r w:rsidR="00392AB1">
        <w:rPr>
          <w:rFonts w:eastAsia="Times New Roman"/>
        </w:rPr>
        <w:t xml:space="preserve">include progestogens; norethisterone (oral tablet) and medroxyprogesterone acetate (injection). None </w:t>
      </w:r>
      <w:r>
        <w:t xml:space="preserve">of the </w:t>
      </w:r>
      <w:r w:rsidR="00392AB1">
        <w:t>COCs</w:t>
      </w:r>
      <w:r>
        <w:t>, intravaginal contraception (</w:t>
      </w:r>
      <w:r w:rsidR="00C728CF">
        <w:t>N</w:t>
      </w:r>
      <w:r>
        <w:t xml:space="preserve">uvaring®), or intrauterine contraceptives (Kyleena®, Mirena®) are TGA registered for use in endometriosis. Some COCs are available for PBS-subsidy as an unrestricted listing, however many of the newer generation COCs </w:t>
      </w:r>
      <w:r w:rsidR="00F7108E">
        <w:t xml:space="preserve">which </w:t>
      </w:r>
      <w:r w:rsidR="00C728CF">
        <w:t xml:space="preserve">may be </w:t>
      </w:r>
      <w:r w:rsidR="00F7108E">
        <w:t xml:space="preserve">preferentially prescribed in endometriosis, </w:t>
      </w:r>
      <w:r>
        <w:t>are not PBS-listed</w:t>
      </w:r>
      <w:r w:rsidR="00284BED">
        <w:t>.</w:t>
      </w:r>
      <w:r w:rsidR="00284BED" w:rsidDel="00284BED">
        <w:t xml:space="preserve"> </w:t>
      </w:r>
    </w:p>
    <w:p w14:paraId="58643009" w14:textId="5CDA8F50" w:rsidR="00F7108E" w:rsidRPr="000B758F" w:rsidRDefault="00F7108E" w:rsidP="00E4660C">
      <w:pPr>
        <w:pStyle w:val="BodyText"/>
      </w:pPr>
    </w:p>
    <w:p w14:paraId="74B2B44B" w14:textId="542AD61E" w:rsidR="00F3509B" w:rsidRDefault="00F3509B" w:rsidP="00F3509B">
      <w:pPr>
        <w:pStyle w:val="BodyText"/>
      </w:pPr>
      <w:r w:rsidRPr="00D36B74">
        <w:t>Botulinum toxin</w:t>
      </w:r>
      <w:r>
        <w:t xml:space="preserve"> and diazepam suppositories</w:t>
      </w:r>
      <w:r w:rsidRPr="00D36B74">
        <w:t xml:space="preserve"> </w:t>
      </w:r>
      <w:r>
        <w:t>are</w:t>
      </w:r>
      <w:r w:rsidRPr="00D36B74">
        <w:t xml:space="preserve"> not recommended in any current clinical guidelines for the pharmacological management of endometriosis. </w:t>
      </w:r>
      <w:r w:rsidR="00E4660C">
        <w:t>Neither b</w:t>
      </w:r>
      <w:r w:rsidR="00C728CF">
        <w:t xml:space="preserve">otulinum toxin </w:t>
      </w:r>
      <w:r w:rsidR="00E4660C">
        <w:t xml:space="preserve">nor diazepam are </w:t>
      </w:r>
      <w:r w:rsidR="00C728CF">
        <w:t xml:space="preserve">TGA registered for this use. </w:t>
      </w:r>
      <w:r w:rsidRPr="00D36B74">
        <w:t xml:space="preserve">Diazepam suppositories </w:t>
      </w:r>
      <w:r w:rsidR="00C728CF">
        <w:t xml:space="preserve">are not </w:t>
      </w:r>
      <w:r w:rsidRPr="00D36B74">
        <w:t xml:space="preserve">currently </w:t>
      </w:r>
      <w:r w:rsidR="00C728CF">
        <w:t>available as a proprietary product</w:t>
      </w:r>
      <w:r w:rsidR="00E4660C">
        <w:t>.</w:t>
      </w:r>
      <w:r w:rsidR="00C728CF">
        <w:t xml:space="preserve"> </w:t>
      </w:r>
    </w:p>
    <w:p w14:paraId="7E3E6F82" w14:textId="588A13E0" w:rsidR="00F3509B" w:rsidRDefault="00F3509B" w:rsidP="00F3509B">
      <w:pPr>
        <w:pStyle w:val="BodyText"/>
      </w:pPr>
    </w:p>
    <w:p w14:paraId="660921B2" w14:textId="7FBB96B7" w:rsidR="009B2AF7" w:rsidRDefault="00B03B2A" w:rsidP="00E4660C">
      <w:pPr>
        <w:pStyle w:val="BodyText"/>
        <w:spacing w:after="240"/>
        <w:rPr>
          <w:b/>
        </w:rPr>
        <w:sectPr w:rsidR="009B2AF7" w:rsidSect="009012CE">
          <w:endnotePr>
            <w:numFmt w:val="decimal"/>
          </w:endnotePr>
          <w:pgSz w:w="11906" w:h="16838"/>
          <w:pgMar w:top="1440" w:right="1440" w:bottom="1440" w:left="1440" w:header="708" w:footer="708" w:gutter="0"/>
          <w:cols w:space="708"/>
          <w:docGrid w:linePitch="360"/>
        </w:sectPr>
      </w:pPr>
      <w:r>
        <w:t xml:space="preserve">There are </w:t>
      </w:r>
      <w:r w:rsidR="00506F05">
        <w:t>several</w:t>
      </w:r>
      <w:r>
        <w:t xml:space="preserve"> identified b</w:t>
      </w:r>
      <w:r w:rsidR="00F3509B">
        <w:t xml:space="preserve">arriers to </w:t>
      </w:r>
      <w:r>
        <w:t xml:space="preserve">improving access to </w:t>
      </w:r>
      <w:r w:rsidR="00F3509B">
        <w:t xml:space="preserve">medicines used in the treatment of </w:t>
      </w:r>
      <w:r w:rsidR="000574E6">
        <w:t>endometriosis. These include</w:t>
      </w:r>
      <w:r w:rsidR="00F3509B">
        <w:t xml:space="preserve"> </w:t>
      </w:r>
      <w:r>
        <w:t xml:space="preserve">lack of health professional training in insertion of hormonal </w:t>
      </w:r>
      <w:r w:rsidR="000574E6">
        <w:t>devices</w:t>
      </w:r>
      <w:r>
        <w:t xml:space="preserve">, lack of access to health care </w:t>
      </w:r>
      <w:r w:rsidR="000574E6">
        <w:t>professionals, and</w:t>
      </w:r>
      <w:r w:rsidR="00F3509B">
        <w:t xml:space="preserve"> </w:t>
      </w:r>
      <w:r>
        <w:t xml:space="preserve">the </w:t>
      </w:r>
      <w:r w:rsidR="00F3509B">
        <w:t xml:space="preserve">willingness </w:t>
      </w:r>
      <w:r>
        <w:t xml:space="preserve">and/or lack of incentive for sponsors to pursue a TGA registration </w:t>
      </w:r>
      <w:r w:rsidR="00E4660C">
        <w:t xml:space="preserve">and subsequent </w:t>
      </w:r>
      <w:r>
        <w:t xml:space="preserve">PBS listing </w:t>
      </w:r>
      <w:r w:rsidR="00E4660C">
        <w:t xml:space="preserve">specifically </w:t>
      </w:r>
      <w:r>
        <w:t>for endometriosis when they already have access to the private market</w:t>
      </w:r>
      <w:r w:rsidR="003253EE">
        <w:t xml:space="preserve">. </w:t>
      </w:r>
    </w:p>
    <w:p w14:paraId="40C0E36E" w14:textId="519BEE13" w:rsidR="006A01A2" w:rsidRPr="00F2186A" w:rsidRDefault="006A01A2" w:rsidP="006A01A2">
      <w:pPr>
        <w:pStyle w:val="Heading2"/>
        <w:spacing w:after="240"/>
        <w:rPr>
          <w:rFonts w:asciiTheme="minorHAnsi" w:hAnsiTheme="minorHAnsi" w:cstheme="minorHAnsi"/>
          <w:szCs w:val="28"/>
        </w:rPr>
      </w:pPr>
      <w:bookmarkStart w:id="8" w:name="_Toc118813832"/>
      <w:r w:rsidRPr="00F2186A">
        <w:rPr>
          <w:rFonts w:asciiTheme="minorHAnsi" w:hAnsiTheme="minorHAnsi" w:cstheme="minorHAnsi"/>
          <w:szCs w:val="28"/>
        </w:rPr>
        <w:lastRenderedPageBreak/>
        <w:t>Background</w:t>
      </w:r>
      <w:bookmarkEnd w:id="8"/>
    </w:p>
    <w:p w14:paraId="62893428" w14:textId="6AF24CF4" w:rsidR="00200098" w:rsidRPr="00F2186A" w:rsidRDefault="00200098" w:rsidP="00763140">
      <w:pPr>
        <w:pStyle w:val="Heading4"/>
        <w:spacing w:after="240"/>
        <w:rPr>
          <w:rFonts w:asciiTheme="minorHAnsi" w:hAnsiTheme="minorHAnsi" w:cstheme="minorHAnsi"/>
          <w:bCs/>
          <w:color w:val="2F5496" w:themeColor="accent1" w:themeShade="BF"/>
          <w:sz w:val="22"/>
          <w:szCs w:val="22"/>
        </w:rPr>
      </w:pPr>
      <w:r w:rsidRPr="00F2186A">
        <w:rPr>
          <w:rFonts w:asciiTheme="minorHAnsi" w:hAnsiTheme="minorHAnsi" w:cstheme="minorHAnsi"/>
          <w:bCs/>
          <w:color w:val="2F5496" w:themeColor="accent1" w:themeShade="BF"/>
          <w:sz w:val="22"/>
          <w:szCs w:val="22"/>
        </w:rPr>
        <w:t>What is endometriosis?</w:t>
      </w:r>
    </w:p>
    <w:p w14:paraId="5DEEBD48" w14:textId="08C7162A" w:rsidR="00200098" w:rsidRPr="00F2186A" w:rsidRDefault="002460F2" w:rsidP="009012CE">
      <w:pPr>
        <w:rPr>
          <w:rFonts w:asciiTheme="minorHAnsi" w:hAnsiTheme="minorHAnsi" w:cstheme="minorHAnsi"/>
          <w:sz w:val="22"/>
          <w:szCs w:val="22"/>
        </w:rPr>
      </w:pPr>
      <w:r w:rsidRPr="00F2186A">
        <w:rPr>
          <w:rFonts w:asciiTheme="minorHAnsi" w:hAnsiTheme="minorHAnsi" w:cstheme="minorHAnsi"/>
          <w:sz w:val="22"/>
          <w:szCs w:val="22"/>
        </w:rPr>
        <w:t>Endometriosis is a progressive, chronic condition where cells similar to those that line the uterus (the endometrium) are found in other parts of the bo</w:t>
      </w:r>
      <w:r w:rsidR="00A844F1" w:rsidRPr="00F2186A">
        <w:rPr>
          <w:rFonts w:asciiTheme="minorHAnsi" w:hAnsiTheme="minorHAnsi" w:cstheme="minorHAnsi"/>
          <w:sz w:val="22"/>
          <w:szCs w:val="22"/>
        </w:rPr>
        <w:t>dy</w:t>
      </w:r>
      <w:r w:rsidR="00A844F1" w:rsidRPr="00F2186A">
        <w:rPr>
          <w:rStyle w:val="EndnoteReference"/>
          <w:rFonts w:asciiTheme="minorHAnsi" w:hAnsiTheme="minorHAnsi" w:cstheme="minorHAnsi"/>
          <w:sz w:val="22"/>
          <w:szCs w:val="22"/>
        </w:rPr>
        <w:endnoteReference w:id="1"/>
      </w:r>
      <w:r w:rsidR="00A844F1" w:rsidRPr="00F2186A">
        <w:rPr>
          <w:rFonts w:asciiTheme="minorHAnsi" w:hAnsiTheme="minorHAnsi" w:cstheme="minorHAnsi"/>
          <w:sz w:val="22"/>
          <w:szCs w:val="22"/>
        </w:rPr>
        <w:t xml:space="preserve">. </w:t>
      </w:r>
      <w:r w:rsidRPr="00F2186A">
        <w:rPr>
          <w:rFonts w:asciiTheme="minorHAnsi" w:hAnsiTheme="minorHAnsi" w:cstheme="minorHAnsi"/>
          <w:sz w:val="22"/>
          <w:szCs w:val="22"/>
        </w:rPr>
        <w:t xml:space="preserve">Whilst endometriosis most often affects the reproductive </w:t>
      </w:r>
      <w:r w:rsidR="0020454F" w:rsidRPr="00F2186A">
        <w:rPr>
          <w:rFonts w:asciiTheme="minorHAnsi" w:hAnsiTheme="minorHAnsi" w:cstheme="minorHAnsi"/>
          <w:sz w:val="22"/>
          <w:szCs w:val="22"/>
        </w:rPr>
        <w:t>organs it is frequently found in the bowel and bladder and has been found in muscle, joints, the lungs, and the brain</w:t>
      </w:r>
      <w:bookmarkStart w:id="9" w:name="_Ref109902549"/>
      <w:r w:rsidR="00A844F1" w:rsidRPr="00F2186A">
        <w:rPr>
          <w:rStyle w:val="EndnoteReference"/>
          <w:rFonts w:asciiTheme="minorHAnsi" w:hAnsiTheme="minorHAnsi" w:cstheme="minorHAnsi"/>
          <w:sz w:val="22"/>
          <w:szCs w:val="22"/>
        </w:rPr>
        <w:endnoteReference w:id="2"/>
      </w:r>
      <w:bookmarkEnd w:id="9"/>
      <w:r w:rsidR="00A844F1" w:rsidRPr="00F2186A">
        <w:rPr>
          <w:rFonts w:asciiTheme="minorHAnsi" w:hAnsiTheme="minorHAnsi" w:cstheme="minorHAnsi"/>
          <w:sz w:val="22"/>
          <w:szCs w:val="22"/>
        </w:rPr>
        <w:t>.</w:t>
      </w:r>
    </w:p>
    <w:p w14:paraId="53F82BCF" w14:textId="69AD8558" w:rsidR="00200098" w:rsidRPr="00F2186A" w:rsidRDefault="00200098" w:rsidP="00200098">
      <w:pPr>
        <w:rPr>
          <w:rFonts w:asciiTheme="minorHAnsi" w:hAnsiTheme="minorHAnsi" w:cstheme="minorHAnsi"/>
          <w:sz w:val="22"/>
          <w:szCs w:val="22"/>
        </w:rPr>
      </w:pPr>
      <w:r w:rsidRPr="00F2186A">
        <w:rPr>
          <w:rFonts w:asciiTheme="minorHAnsi" w:hAnsiTheme="minorHAnsi" w:cstheme="minorHAnsi"/>
          <w:sz w:val="22"/>
          <w:szCs w:val="22"/>
        </w:rPr>
        <w:t>The causes of endometriosis are unclear, but factors that seem to increase the risk of endometriosis include a family history of endometriosis and menstrual cycle factors such as early age at first period, short menstrual cycles, and heavy or long periods</w:t>
      </w:r>
      <w:bookmarkStart w:id="10" w:name="_Ref109902742"/>
      <w:r w:rsidR="00A844F1" w:rsidRPr="00F2186A">
        <w:rPr>
          <w:rStyle w:val="EndnoteReference"/>
          <w:rFonts w:asciiTheme="minorHAnsi" w:hAnsiTheme="minorHAnsi" w:cstheme="minorHAnsi"/>
          <w:sz w:val="22"/>
          <w:szCs w:val="22"/>
        </w:rPr>
        <w:endnoteReference w:id="3"/>
      </w:r>
      <w:bookmarkEnd w:id="10"/>
      <w:r w:rsidR="00D2123E" w:rsidRPr="00F2186A">
        <w:rPr>
          <w:rFonts w:asciiTheme="minorHAnsi" w:hAnsiTheme="minorHAnsi" w:cstheme="minorHAnsi"/>
          <w:sz w:val="22"/>
          <w:szCs w:val="22"/>
        </w:rPr>
        <w:t xml:space="preserve">. </w:t>
      </w:r>
      <w:r w:rsidRPr="00F2186A">
        <w:rPr>
          <w:rFonts w:asciiTheme="minorHAnsi" w:hAnsiTheme="minorHAnsi" w:cstheme="minorHAnsi"/>
          <w:sz w:val="22"/>
          <w:szCs w:val="22"/>
        </w:rPr>
        <w:t xml:space="preserve">Some people with endometriosis experience no symptoms; others may experience pain, heavy menstrual bleeding, bleeding between periods, </w:t>
      </w:r>
      <w:r w:rsidR="00D2123E" w:rsidRPr="00F2186A">
        <w:rPr>
          <w:rFonts w:asciiTheme="minorHAnsi" w:hAnsiTheme="minorHAnsi" w:cstheme="minorHAnsi"/>
          <w:sz w:val="22"/>
          <w:szCs w:val="22"/>
        </w:rPr>
        <w:t>lethargy,</w:t>
      </w:r>
      <w:r w:rsidRPr="00F2186A">
        <w:rPr>
          <w:rFonts w:asciiTheme="minorHAnsi" w:hAnsiTheme="minorHAnsi" w:cstheme="minorHAnsi"/>
          <w:sz w:val="22"/>
          <w:szCs w:val="22"/>
        </w:rPr>
        <w:t xml:space="preserve"> and reduced fertility, among other symptoms.</w:t>
      </w:r>
    </w:p>
    <w:p w14:paraId="29ADEB35" w14:textId="771B2FB7" w:rsidR="00200098" w:rsidRPr="00F2186A" w:rsidRDefault="00200098" w:rsidP="00200098">
      <w:pPr>
        <w:rPr>
          <w:rFonts w:asciiTheme="minorHAnsi" w:hAnsiTheme="minorHAnsi" w:cstheme="minorHAnsi"/>
          <w:sz w:val="22"/>
          <w:szCs w:val="22"/>
        </w:rPr>
      </w:pPr>
      <w:r w:rsidRPr="00F2186A">
        <w:rPr>
          <w:rFonts w:asciiTheme="minorHAnsi" w:hAnsiTheme="minorHAnsi" w:cstheme="minorHAnsi"/>
          <w:sz w:val="22"/>
          <w:szCs w:val="22"/>
        </w:rPr>
        <w:t>It can take on average six and a half years for those living with endometriosis to be diagnosed</w:t>
      </w:r>
      <w:r w:rsidR="001A13F7">
        <w:rPr>
          <w:rFonts w:asciiTheme="minorHAnsi" w:hAnsiTheme="minorHAnsi" w:cstheme="minorHAnsi"/>
          <w:sz w:val="22"/>
          <w:szCs w:val="22"/>
        </w:rPr>
        <w:t>. Definitive diagnosis is only through laparoscopy although symptom management may occur in general practice without progressing to this procedure</w:t>
      </w:r>
      <w:r w:rsidRPr="00F2186A">
        <w:rPr>
          <w:rFonts w:asciiTheme="minorHAnsi" w:hAnsiTheme="minorHAnsi" w:cstheme="minorHAnsi"/>
          <w:sz w:val="22"/>
          <w:szCs w:val="22"/>
        </w:rPr>
        <w:t>. Endometriosis has no known cure.</w:t>
      </w:r>
    </w:p>
    <w:p w14:paraId="5878D43C" w14:textId="57CB195A" w:rsidR="00200098" w:rsidRPr="00F2186A" w:rsidRDefault="00200098" w:rsidP="00763140">
      <w:pPr>
        <w:pStyle w:val="Heading4"/>
        <w:spacing w:after="240"/>
        <w:rPr>
          <w:rFonts w:asciiTheme="minorHAnsi" w:hAnsiTheme="minorHAnsi" w:cstheme="minorHAnsi"/>
          <w:color w:val="2F5496" w:themeColor="accent1" w:themeShade="BF"/>
          <w:sz w:val="22"/>
          <w:szCs w:val="22"/>
        </w:rPr>
      </w:pPr>
      <w:r w:rsidRPr="00F2186A">
        <w:rPr>
          <w:rFonts w:asciiTheme="minorHAnsi" w:hAnsiTheme="minorHAnsi" w:cstheme="minorHAnsi"/>
          <w:color w:val="2F5496" w:themeColor="accent1" w:themeShade="BF"/>
          <w:sz w:val="22"/>
          <w:szCs w:val="22"/>
        </w:rPr>
        <w:t>Prevalence of endometriosis in Australia</w:t>
      </w:r>
    </w:p>
    <w:p w14:paraId="0EB74A71" w14:textId="69C13CB1" w:rsidR="00414EE6" w:rsidRPr="00F2186A" w:rsidRDefault="00200098">
      <w:pPr>
        <w:rPr>
          <w:rFonts w:asciiTheme="minorHAnsi" w:hAnsiTheme="minorHAnsi" w:cstheme="minorHAnsi"/>
          <w:sz w:val="22"/>
          <w:szCs w:val="22"/>
        </w:rPr>
      </w:pPr>
      <w:r w:rsidRPr="00F2186A">
        <w:rPr>
          <w:rFonts w:asciiTheme="minorHAnsi" w:hAnsiTheme="minorHAnsi" w:cstheme="minorHAnsi"/>
          <w:sz w:val="22"/>
          <w:szCs w:val="22"/>
        </w:rPr>
        <w:t>More than 830,000 (11%) Australian women, girls and those who are gender diverse suffer from endometriosis at some point in their life with the disease often starting in teenagers</w:t>
      </w:r>
      <w:r w:rsidR="0070620E" w:rsidRPr="00F2186A">
        <w:rPr>
          <w:rFonts w:asciiTheme="minorHAnsi" w:hAnsiTheme="minorHAnsi" w:cstheme="minorHAnsi"/>
          <w:sz w:val="22"/>
          <w:szCs w:val="22"/>
          <w:vertAlign w:val="superscript"/>
        </w:rPr>
        <w:fldChar w:fldCharType="begin"/>
      </w:r>
      <w:r w:rsidR="0070620E" w:rsidRPr="00F2186A">
        <w:rPr>
          <w:rFonts w:asciiTheme="minorHAnsi" w:hAnsiTheme="minorHAnsi" w:cstheme="minorHAnsi"/>
          <w:sz w:val="22"/>
          <w:szCs w:val="22"/>
          <w:vertAlign w:val="superscript"/>
        </w:rPr>
        <w:instrText xml:space="preserve"> NOTEREF _Ref109902742 \h  \* MERGEFORMAT </w:instrText>
      </w:r>
      <w:r w:rsidR="0070620E" w:rsidRPr="00F2186A">
        <w:rPr>
          <w:rFonts w:asciiTheme="minorHAnsi" w:hAnsiTheme="minorHAnsi" w:cstheme="minorHAnsi"/>
          <w:sz w:val="22"/>
          <w:szCs w:val="22"/>
          <w:vertAlign w:val="superscript"/>
        </w:rPr>
      </w:r>
      <w:r w:rsidR="0070620E" w:rsidRPr="00F2186A">
        <w:rPr>
          <w:rFonts w:asciiTheme="minorHAnsi" w:hAnsiTheme="minorHAnsi" w:cstheme="minorHAnsi"/>
          <w:sz w:val="22"/>
          <w:szCs w:val="22"/>
          <w:vertAlign w:val="superscript"/>
        </w:rPr>
        <w:fldChar w:fldCharType="separate"/>
      </w:r>
      <w:r w:rsidR="009B6B3C">
        <w:rPr>
          <w:rFonts w:asciiTheme="minorHAnsi" w:hAnsiTheme="minorHAnsi" w:cstheme="minorHAnsi"/>
          <w:sz w:val="22"/>
          <w:szCs w:val="22"/>
          <w:vertAlign w:val="superscript"/>
        </w:rPr>
        <w:t>3</w:t>
      </w:r>
      <w:r w:rsidR="0070620E" w:rsidRPr="00F2186A">
        <w:rPr>
          <w:rFonts w:asciiTheme="minorHAnsi" w:hAnsiTheme="minorHAnsi" w:cstheme="minorHAnsi"/>
          <w:sz w:val="22"/>
          <w:szCs w:val="22"/>
          <w:vertAlign w:val="superscript"/>
        </w:rPr>
        <w:fldChar w:fldCharType="end"/>
      </w:r>
      <w:r w:rsidRPr="00F2186A">
        <w:rPr>
          <w:rFonts w:asciiTheme="minorHAnsi" w:hAnsiTheme="minorHAnsi" w:cstheme="minorHAnsi"/>
          <w:sz w:val="22"/>
          <w:szCs w:val="22"/>
        </w:rPr>
        <w:t>. Data from the Australian Institute of Health and Welfare (AIHW) released in 2019 showed that 1 in 9 women born in 1973-78 were diagnosed with endometriosis by the age of 40-44</w:t>
      </w:r>
      <w:r w:rsidR="004A06E9">
        <w:rPr>
          <w:rFonts w:asciiTheme="minorHAnsi" w:hAnsiTheme="minorHAnsi" w:cstheme="minorHAnsi"/>
          <w:sz w:val="22"/>
          <w:szCs w:val="22"/>
        </w:rPr>
        <w:t>. T</w:t>
      </w:r>
      <w:r w:rsidRPr="00F2186A">
        <w:rPr>
          <w:rFonts w:asciiTheme="minorHAnsi" w:hAnsiTheme="minorHAnsi" w:cstheme="minorHAnsi"/>
          <w:sz w:val="22"/>
          <w:szCs w:val="22"/>
        </w:rPr>
        <w:t>here were around 34,200 endometriosis related hospitalisations in 2016-17 and nearly 4 in 5 (79%) endometriosis-related hospitalisations in 2016-17 were among females aged 15-44</w:t>
      </w:r>
      <w:r w:rsidR="0070620E" w:rsidRPr="00F2186A">
        <w:rPr>
          <w:rFonts w:asciiTheme="minorHAnsi" w:hAnsiTheme="minorHAnsi" w:cstheme="minorHAnsi"/>
          <w:sz w:val="22"/>
          <w:szCs w:val="22"/>
        </w:rPr>
        <w:t>.</w:t>
      </w:r>
    </w:p>
    <w:p w14:paraId="6D6B9459" w14:textId="77253636" w:rsidR="00200098" w:rsidRPr="00F2186A" w:rsidRDefault="00200098" w:rsidP="00763140">
      <w:pPr>
        <w:pStyle w:val="Heading4"/>
        <w:spacing w:after="240"/>
        <w:rPr>
          <w:rFonts w:asciiTheme="minorHAnsi" w:hAnsiTheme="minorHAnsi" w:cstheme="minorHAnsi"/>
          <w:color w:val="2F5496" w:themeColor="accent1" w:themeShade="BF"/>
          <w:sz w:val="22"/>
          <w:szCs w:val="22"/>
        </w:rPr>
      </w:pPr>
      <w:r w:rsidRPr="00F2186A">
        <w:rPr>
          <w:rFonts w:asciiTheme="minorHAnsi" w:hAnsiTheme="minorHAnsi" w:cstheme="minorHAnsi"/>
          <w:color w:val="2F5496" w:themeColor="accent1" w:themeShade="BF"/>
          <w:sz w:val="22"/>
          <w:szCs w:val="22"/>
        </w:rPr>
        <w:t>Impact in Australia</w:t>
      </w:r>
    </w:p>
    <w:p w14:paraId="77F3FA7A" w14:textId="76489CCC" w:rsidR="00D2123E" w:rsidRPr="00F2186A" w:rsidRDefault="000F1E2D" w:rsidP="00A27FEF">
      <w:pPr>
        <w:rPr>
          <w:rFonts w:asciiTheme="minorHAnsi" w:hAnsiTheme="minorHAnsi" w:cstheme="minorHAnsi"/>
          <w:sz w:val="22"/>
          <w:szCs w:val="22"/>
        </w:rPr>
      </w:pPr>
      <w:r w:rsidRPr="00F2186A">
        <w:rPr>
          <w:rFonts w:asciiTheme="minorHAnsi" w:hAnsiTheme="minorHAnsi" w:cstheme="minorHAnsi"/>
          <w:sz w:val="22"/>
          <w:szCs w:val="22"/>
        </w:rPr>
        <w:t xml:space="preserve">The economic burden of </w:t>
      </w:r>
      <w:r w:rsidR="004A06E9">
        <w:rPr>
          <w:rFonts w:asciiTheme="minorHAnsi" w:hAnsiTheme="minorHAnsi" w:cstheme="minorHAnsi"/>
          <w:sz w:val="22"/>
          <w:szCs w:val="22"/>
        </w:rPr>
        <w:t>e</w:t>
      </w:r>
      <w:r w:rsidRPr="00F2186A">
        <w:rPr>
          <w:rFonts w:asciiTheme="minorHAnsi" w:hAnsiTheme="minorHAnsi" w:cstheme="minorHAnsi"/>
          <w:sz w:val="22"/>
          <w:szCs w:val="22"/>
        </w:rPr>
        <w:t>ndometriosis is similar to other chronic diseases (diabetes, Crohn’s disease, rheumatoid arthritis), and costs an individual suffering from endometriosis an average of $30,000 per year through direct healthcare costs and lost work productivity</w:t>
      </w:r>
      <w:r w:rsidR="0070620E" w:rsidRPr="00F2186A">
        <w:rPr>
          <w:rFonts w:asciiTheme="minorHAnsi" w:hAnsiTheme="minorHAnsi" w:cstheme="minorHAnsi"/>
          <w:sz w:val="22"/>
          <w:szCs w:val="22"/>
          <w:vertAlign w:val="superscript"/>
        </w:rPr>
        <w:fldChar w:fldCharType="begin"/>
      </w:r>
      <w:r w:rsidR="0070620E" w:rsidRPr="00F2186A">
        <w:rPr>
          <w:rFonts w:asciiTheme="minorHAnsi" w:hAnsiTheme="minorHAnsi" w:cstheme="minorHAnsi"/>
          <w:sz w:val="22"/>
          <w:szCs w:val="22"/>
          <w:vertAlign w:val="superscript"/>
        </w:rPr>
        <w:instrText xml:space="preserve"> NOTEREF _Ref109902549 \h  \* MERGEFORMAT </w:instrText>
      </w:r>
      <w:r w:rsidR="0070620E" w:rsidRPr="00F2186A">
        <w:rPr>
          <w:rFonts w:asciiTheme="minorHAnsi" w:hAnsiTheme="minorHAnsi" w:cstheme="minorHAnsi"/>
          <w:sz w:val="22"/>
          <w:szCs w:val="22"/>
          <w:vertAlign w:val="superscript"/>
        </w:rPr>
      </w:r>
      <w:r w:rsidR="0070620E" w:rsidRPr="00F2186A">
        <w:rPr>
          <w:rFonts w:asciiTheme="minorHAnsi" w:hAnsiTheme="minorHAnsi" w:cstheme="minorHAnsi"/>
          <w:sz w:val="22"/>
          <w:szCs w:val="22"/>
          <w:vertAlign w:val="superscript"/>
        </w:rPr>
        <w:fldChar w:fldCharType="separate"/>
      </w:r>
      <w:r w:rsidR="009B6B3C">
        <w:rPr>
          <w:rFonts w:asciiTheme="minorHAnsi" w:hAnsiTheme="minorHAnsi" w:cstheme="minorHAnsi"/>
          <w:sz w:val="22"/>
          <w:szCs w:val="22"/>
          <w:vertAlign w:val="superscript"/>
        </w:rPr>
        <w:t>2</w:t>
      </w:r>
      <w:r w:rsidR="0070620E" w:rsidRPr="00F2186A">
        <w:rPr>
          <w:rFonts w:asciiTheme="minorHAnsi" w:hAnsiTheme="minorHAnsi" w:cstheme="minorHAnsi"/>
          <w:sz w:val="22"/>
          <w:szCs w:val="22"/>
          <w:vertAlign w:val="superscript"/>
        </w:rPr>
        <w:fldChar w:fldCharType="end"/>
      </w:r>
      <w:r w:rsidRPr="00F2186A">
        <w:rPr>
          <w:rFonts w:asciiTheme="minorHAnsi" w:hAnsiTheme="minorHAnsi" w:cstheme="minorHAnsi"/>
          <w:sz w:val="22"/>
          <w:szCs w:val="22"/>
        </w:rPr>
        <w:t xml:space="preserve">. </w:t>
      </w:r>
      <w:r w:rsidR="00016D65" w:rsidRPr="00F2186A">
        <w:rPr>
          <w:rFonts w:asciiTheme="minorHAnsi" w:hAnsiTheme="minorHAnsi" w:cstheme="minorHAnsi"/>
          <w:sz w:val="22"/>
          <w:szCs w:val="22"/>
        </w:rPr>
        <w:t>The condition cost an estimated $7.4 billion in Australia in 2017-18</w:t>
      </w:r>
      <w:r w:rsidR="004A06E9">
        <w:rPr>
          <w:rFonts w:asciiTheme="minorHAnsi" w:hAnsiTheme="minorHAnsi" w:cstheme="minorHAnsi"/>
          <w:sz w:val="22"/>
          <w:szCs w:val="22"/>
        </w:rPr>
        <w:t>. T</w:t>
      </w:r>
      <w:r w:rsidR="00016D65" w:rsidRPr="00F2186A">
        <w:rPr>
          <w:rFonts w:asciiTheme="minorHAnsi" w:hAnsiTheme="minorHAnsi" w:cstheme="minorHAnsi"/>
          <w:sz w:val="22"/>
          <w:szCs w:val="22"/>
        </w:rPr>
        <w:t>his may be an underestimate due to difficulties in diagnosing endometriosis and underdiagnosis</w:t>
      </w:r>
      <w:r w:rsidR="0070620E" w:rsidRPr="00F2186A">
        <w:rPr>
          <w:rFonts w:asciiTheme="minorHAnsi" w:hAnsiTheme="minorHAnsi" w:cstheme="minorHAnsi"/>
          <w:sz w:val="22"/>
          <w:szCs w:val="22"/>
          <w:vertAlign w:val="superscript"/>
        </w:rPr>
        <w:fldChar w:fldCharType="begin"/>
      </w:r>
      <w:r w:rsidR="0070620E" w:rsidRPr="00F2186A">
        <w:rPr>
          <w:rFonts w:asciiTheme="minorHAnsi" w:hAnsiTheme="minorHAnsi" w:cstheme="minorHAnsi"/>
          <w:sz w:val="22"/>
          <w:szCs w:val="22"/>
          <w:vertAlign w:val="superscript"/>
        </w:rPr>
        <w:instrText xml:space="preserve"> NOTEREF _Ref109902742 \h  \* MERGEFORMAT </w:instrText>
      </w:r>
      <w:r w:rsidR="0070620E" w:rsidRPr="00F2186A">
        <w:rPr>
          <w:rFonts w:asciiTheme="minorHAnsi" w:hAnsiTheme="minorHAnsi" w:cstheme="minorHAnsi"/>
          <w:sz w:val="22"/>
          <w:szCs w:val="22"/>
          <w:vertAlign w:val="superscript"/>
        </w:rPr>
      </w:r>
      <w:r w:rsidR="0070620E" w:rsidRPr="00F2186A">
        <w:rPr>
          <w:rFonts w:asciiTheme="minorHAnsi" w:hAnsiTheme="minorHAnsi" w:cstheme="minorHAnsi"/>
          <w:sz w:val="22"/>
          <w:szCs w:val="22"/>
          <w:vertAlign w:val="superscript"/>
        </w:rPr>
        <w:fldChar w:fldCharType="separate"/>
      </w:r>
      <w:r w:rsidR="009B6B3C">
        <w:rPr>
          <w:rFonts w:asciiTheme="minorHAnsi" w:hAnsiTheme="minorHAnsi" w:cstheme="minorHAnsi"/>
          <w:sz w:val="22"/>
          <w:szCs w:val="22"/>
          <w:vertAlign w:val="superscript"/>
        </w:rPr>
        <w:t>3</w:t>
      </w:r>
      <w:r w:rsidR="0070620E" w:rsidRPr="00F2186A">
        <w:rPr>
          <w:rFonts w:asciiTheme="minorHAnsi" w:hAnsiTheme="minorHAnsi" w:cstheme="minorHAnsi"/>
          <w:sz w:val="22"/>
          <w:szCs w:val="22"/>
          <w:vertAlign w:val="superscript"/>
        </w:rPr>
        <w:fldChar w:fldCharType="end"/>
      </w:r>
      <w:r w:rsidR="00016D65" w:rsidRPr="00F2186A">
        <w:rPr>
          <w:rFonts w:asciiTheme="minorHAnsi" w:hAnsiTheme="minorHAnsi" w:cstheme="minorHAnsi"/>
          <w:sz w:val="22"/>
          <w:szCs w:val="22"/>
        </w:rPr>
        <w:t>.</w:t>
      </w:r>
    </w:p>
    <w:p w14:paraId="2FF447F4" w14:textId="6108FF5C" w:rsidR="00A27FEF" w:rsidRPr="00F2186A" w:rsidRDefault="00A27FEF" w:rsidP="009012CE">
      <w:pPr>
        <w:pStyle w:val="Heading3"/>
        <w:rPr>
          <w:rFonts w:asciiTheme="minorHAnsi" w:hAnsiTheme="minorHAnsi" w:cstheme="minorHAnsi"/>
          <w:b w:val="0"/>
          <w:bCs/>
          <w:szCs w:val="28"/>
        </w:rPr>
      </w:pPr>
      <w:bookmarkStart w:id="11" w:name="_Toc118813833"/>
      <w:r w:rsidRPr="00F2186A">
        <w:rPr>
          <w:rFonts w:asciiTheme="minorHAnsi" w:hAnsiTheme="minorHAnsi" w:cstheme="minorHAnsi"/>
          <w:bCs/>
          <w:szCs w:val="28"/>
        </w:rPr>
        <w:t>Context for the Report</w:t>
      </w:r>
      <w:bookmarkEnd w:id="11"/>
    </w:p>
    <w:p w14:paraId="5B1DED5E" w14:textId="1651E310" w:rsidR="000F1E2D" w:rsidRPr="00F2186A" w:rsidRDefault="000F1E2D" w:rsidP="000F1E2D">
      <w:pPr>
        <w:spacing w:before="240"/>
        <w:rPr>
          <w:rFonts w:asciiTheme="minorHAnsi" w:hAnsiTheme="minorHAnsi" w:cstheme="minorHAnsi"/>
          <w:sz w:val="22"/>
          <w:szCs w:val="22"/>
        </w:rPr>
      </w:pPr>
      <w:bookmarkStart w:id="12" w:name="_Hlk118121377"/>
      <w:r w:rsidRPr="00F2186A">
        <w:rPr>
          <w:rFonts w:asciiTheme="minorHAnsi" w:hAnsiTheme="minorHAnsi" w:cstheme="minorHAnsi"/>
          <w:sz w:val="22"/>
          <w:szCs w:val="22"/>
        </w:rPr>
        <w:t xml:space="preserve">As part of the 2022-23 Budget, an investment of $58 million was announced to further address endometriosis and pelvic pain under the National Action Plan for Endometriosis. The investment is across </w:t>
      </w:r>
      <w:r w:rsidR="004A06E9">
        <w:rPr>
          <w:rFonts w:asciiTheme="minorHAnsi" w:hAnsiTheme="minorHAnsi" w:cstheme="minorHAnsi"/>
          <w:sz w:val="22"/>
          <w:szCs w:val="22"/>
        </w:rPr>
        <w:t xml:space="preserve">several </w:t>
      </w:r>
      <w:r w:rsidRPr="00F2186A">
        <w:rPr>
          <w:rFonts w:asciiTheme="minorHAnsi" w:hAnsiTheme="minorHAnsi" w:cstheme="minorHAnsi"/>
          <w:sz w:val="22"/>
          <w:szCs w:val="22"/>
        </w:rPr>
        <w:t xml:space="preserve">different measures including specific clinics in general practice, research, development of </w:t>
      </w:r>
      <w:r w:rsidR="001B3934" w:rsidRPr="00F2186A">
        <w:rPr>
          <w:rFonts w:asciiTheme="minorHAnsi" w:hAnsiTheme="minorHAnsi" w:cstheme="minorHAnsi"/>
          <w:sz w:val="22"/>
          <w:szCs w:val="22"/>
        </w:rPr>
        <w:t>guidelines,</w:t>
      </w:r>
      <w:r w:rsidRPr="00F2186A">
        <w:rPr>
          <w:rFonts w:asciiTheme="minorHAnsi" w:hAnsiTheme="minorHAnsi" w:cstheme="minorHAnsi"/>
          <w:sz w:val="22"/>
          <w:szCs w:val="22"/>
        </w:rPr>
        <w:t xml:space="preserve"> and promot</w:t>
      </w:r>
      <w:r w:rsidR="00FF2E26">
        <w:rPr>
          <w:rFonts w:asciiTheme="minorHAnsi" w:hAnsiTheme="minorHAnsi" w:cstheme="minorHAnsi"/>
          <w:sz w:val="22"/>
          <w:szCs w:val="22"/>
        </w:rPr>
        <w:t xml:space="preserve">ion of </w:t>
      </w:r>
      <w:r w:rsidRPr="00F2186A">
        <w:rPr>
          <w:rFonts w:asciiTheme="minorHAnsi" w:hAnsiTheme="minorHAnsi" w:cstheme="minorHAnsi"/>
          <w:sz w:val="22"/>
          <w:szCs w:val="22"/>
        </w:rPr>
        <w:t>access to the suite of MBS and PBS items for diagnosis and treatment of endometriosis.</w:t>
      </w:r>
    </w:p>
    <w:bookmarkEnd w:id="12"/>
    <w:p w14:paraId="25588046" w14:textId="33546D7A" w:rsidR="000F1E2D" w:rsidRPr="00F2186A" w:rsidRDefault="000F1E2D" w:rsidP="00F2186A">
      <w:pPr>
        <w:pStyle w:val="BodyText"/>
      </w:pPr>
      <w:r w:rsidRPr="00F2186A">
        <w:t>The Endometriosis Action Plan uses the terms endometriosis and chronic pelvic pain with the intention that, where appropriate, this reflects connections between endometriosis and other related conditions. This can include related conditions such as polycystic ovary syndrome, adenomyosis, pelvic inflammatory disease and chronic pelvic and period pain.</w:t>
      </w:r>
    </w:p>
    <w:p w14:paraId="5179FD60" w14:textId="039362B0" w:rsidR="00432826" w:rsidRPr="001C2D87" w:rsidRDefault="00432826" w:rsidP="00763140">
      <w:pPr>
        <w:pStyle w:val="Heading4"/>
        <w:rPr>
          <w:i/>
          <w:iCs w:val="0"/>
          <w:color w:val="2F5496" w:themeColor="accent1" w:themeShade="BF"/>
        </w:rPr>
      </w:pPr>
      <w:r w:rsidRPr="001C2D87">
        <w:rPr>
          <w:i/>
          <w:iCs w:val="0"/>
          <w:color w:val="2F5496" w:themeColor="accent1" w:themeShade="BF"/>
        </w:rPr>
        <w:lastRenderedPageBreak/>
        <w:t xml:space="preserve">Pharmaceutical Benefits Scheme (PBS) </w:t>
      </w:r>
    </w:p>
    <w:p w14:paraId="76E9C8D6" w14:textId="77777777" w:rsidR="00432826" w:rsidRDefault="00432826" w:rsidP="00F2186A">
      <w:pPr>
        <w:pStyle w:val="BodyText"/>
        <w:spacing w:before="240"/>
      </w:pPr>
      <w:r>
        <w:t xml:space="preserve">The PBS provides reliable, timely and affordable access to a wide range of medicines for all Australians. Under the PBS, the Australian Government subsidises medicine costs to help people afford prescription medicines for most medical conditions. </w:t>
      </w:r>
    </w:p>
    <w:p w14:paraId="7B10E8E8" w14:textId="77777777" w:rsidR="00432826" w:rsidRDefault="00432826" w:rsidP="00432826">
      <w:pPr>
        <w:pStyle w:val="Default"/>
        <w:rPr>
          <w:rFonts w:cs="Times New Roman"/>
          <w:b/>
          <w:bCs/>
          <w:i/>
          <w:iCs/>
          <w:color w:val="auto"/>
          <w:sz w:val="23"/>
          <w:szCs w:val="23"/>
        </w:rPr>
      </w:pPr>
    </w:p>
    <w:p w14:paraId="30EA3B3F" w14:textId="557816D6" w:rsidR="00432826" w:rsidRPr="001C2D87" w:rsidRDefault="00432826" w:rsidP="00763140">
      <w:pPr>
        <w:pStyle w:val="Heading4"/>
        <w:rPr>
          <w:i/>
          <w:iCs w:val="0"/>
          <w:color w:val="2F5496" w:themeColor="accent1" w:themeShade="BF"/>
        </w:rPr>
      </w:pPr>
      <w:r w:rsidRPr="001C2D87">
        <w:rPr>
          <w:i/>
          <w:iCs w:val="0"/>
          <w:color w:val="2F5496" w:themeColor="accent1" w:themeShade="BF"/>
        </w:rPr>
        <w:t xml:space="preserve">The Pharmaceutical Benefits Advisory Committee (PBAC) </w:t>
      </w:r>
    </w:p>
    <w:p w14:paraId="24EFB29C" w14:textId="7227E205" w:rsidR="00432826" w:rsidRPr="007B0DC4" w:rsidRDefault="00432826" w:rsidP="00F2186A">
      <w:pPr>
        <w:pStyle w:val="BodyText"/>
        <w:spacing w:before="240"/>
      </w:pPr>
      <w:r w:rsidRPr="007B0DC4">
        <w:t xml:space="preserve">The PBAC is an independent expert body appointed by the Australian Government, comprised of doctors, health professionals, health economists and consumer representatives. The PBAC meets three times a year, usually in March, </w:t>
      </w:r>
      <w:r w:rsidR="00304A59" w:rsidRPr="007B0DC4">
        <w:t>July,</w:t>
      </w:r>
      <w:r w:rsidRPr="007B0DC4">
        <w:t xml:space="preserve"> and November. Additional </w:t>
      </w:r>
      <w:r w:rsidR="004A06E9">
        <w:t xml:space="preserve">intra-cycle </w:t>
      </w:r>
      <w:r w:rsidRPr="007B0DC4">
        <w:t xml:space="preserve">meetings may be held as required. </w:t>
      </w:r>
    </w:p>
    <w:p w14:paraId="1AA3D288" w14:textId="66F5D364" w:rsidR="00432826" w:rsidRPr="007B0DC4" w:rsidRDefault="00432826" w:rsidP="00F2186A">
      <w:pPr>
        <w:pStyle w:val="BodyText"/>
        <w:spacing w:before="240"/>
      </w:pPr>
      <w:r w:rsidRPr="007B0DC4">
        <w:t xml:space="preserve">The PBAC is responsible for evaluating the clinical and cost-effectiveness of medicines </w:t>
      </w:r>
      <w:r w:rsidR="001B3022" w:rsidRPr="007B0DC4">
        <w:t>to</w:t>
      </w:r>
      <w:r w:rsidRPr="007B0DC4">
        <w:t xml:space="preserve"> make recommendations to the Government to list a medicine on the PBS</w:t>
      </w:r>
      <w:r w:rsidR="0070620E">
        <w:t>.</w:t>
      </w:r>
      <w:r w:rsidRPr="007B0DC4">
        <w:t xml:space="preserve"> Recommendations for new listings are informed by evidence of a medicine’s clinical effectiveness, safety, and cost-effectiveness (‘value for money’) compared with other treatments. </w:t>
      </w:r>
    </w:p>
    <w:p w14:paraId="19D0664D" w14:textId="299DB0FF" w:rsidR="00432826" w:rsidRPr="007B0DC4" w:rsidRDefault="00432826" w:rsidP="00F2186A">
      <w:pPr>
        <w:pStyle w:val="BodyText"/>
        <w:spacing w:before="240"/>
      </w:pPr>
      <w:r w:rsidRPr="007B0DC4">
        <w:t xml:space="preserve">The PBAC has a broad statutory function under the </w:t>
      </w:r>
      <w:r w:rsidRPr="007B0DC4">
        <w:rPr>
          <w:i/>
          <w:iCs/>
        </w:rPr>
        <w:t>National Health Act 1953</w:t>
      </w:r>
      <w:r w:rsidRPr="007B0DC4">
        <w:t xml:space="preserve">, to advise the Minister on any matters concerning the operation of the PBS. This includes making further recommendations regarding the safety, </w:t>
      </w:r>
      <w:r w:rsidR="00304A59" w:rsidRPr="007B0DC4">
        <w:t>effectiveness,</w:t>
      </w:r>
      <w:r w:rsidRPr="007B0DC4">
        <w:t xml:space="preserve"> and cost-effectiveness of medicines after they have been listed. </w:t>
      </w:r>
      <w:r w:rsidR="004A06E9">
        <w:t>T</w:t>
      </w:r>
      <w:r w:rsidRPr="007B0DC4">
        <w:t>he PBAC considers the need for, and provides recommendations on, post-market reviews</w:t>
      </w:r>
      <w:r w:rsidR="004A06E9">
        <w:t xml:space="preserve"> of PBS-listed medicines</w:t>
      </w:r>
      <w:r w:rsidRPr="007B0DC4">
        <w:t xml:space="preserve">. </w:t>
      </w:r>
    </w:p>
    <w:p w14:paraId="252DDB37" w14:textId="53BB4650" w:rsidR="007B0DC4" w:rsidRPr="00F2186A" w:rsidRDefault="00432826" w:rsidP="00F2186A">
      <w:pPr>
        <w:pStyle w:val="BodyText"/>
        <w:spacing w:before="240"/>
      </w:pPr>
      <w:r w:rsidRPr="007B0DC4">
        <w:t xml:space="preserve">The PBAC has two sub-committees to assist with analysis and advice: the Drug Utilisation Sub-Committee (DUSC) and the Economics Sub-Committee (ESC). Information relating to the PBS, and the PBAC, DUSC and ESC meeting dates, agendas and outcomes are available on the PBS website. </w:t>
      </w:r>
    </w:p>
    <w:p w14:paraId="67397F63" w14:textId="6A72FA0A" w:rsidR="007B0DC4" w:rsidRPr="00F77243" w:rsidRDefault="007B0DC4" w:rsidP="00304A59">
      <w:pPr>
        <w:spacing w:before="240"/>
      </w:pPr>
      <w:r w:rsidRPr="00F77243">
        <w:rPr>
          <w:rFonts w:asciiTheme="minorHAnsi" w:hAnsiTheme="minorHAnsi" w:cs="Cambria"/>
          <w:sz w:val="22"/>
        </w:rPr>
        <w:t xml:space="preserve">In May 2022, the PBAC agreed with the approach </w:t>
      </w:r>
      <w:r w:rsidR="00F77243">
        <w:rPr>
          <w:rFonts w:asciiTheme="minorHAnsi" w:hAnsiTheme="minorHAnsi" w:cs="Cambria"/>
          <w:sz w:val="22"/>
        </w:rPr>
        <w:t xml:space="preserve">as proposed </w:t>
      </w:r>
      <w:r w:rsidRPr="00F77243">
        <w:rPr>
          <w:rFonts w:asciiTheme="minorHAnsi" w:hAnsiTheme="minorHAnsi" w:cs="Cambria"/>
          <w:sz w:val="22"/>
        </w:rPr>
        <w:t>to address the request</w:t>
      </w:r>
      <w:r w:rsidR="00F77243">
        <w:rPr>
          <w:rFonts w:asciiTheme="minorHAnsi" w:hAnsiTheme="minorHAnsi" w:cs="Cambria"/>
          <w:sz w:val="22"/>
        </w:rPr>
        <w:t xml:space="preserve"> </w:t>
      </w:r>
      <w:r w:rsidR="00F77243" w:rsidRPr="00F77243">
        <w:rPr>
          <w:rFonts w:asciiTheme="minorHAnsi" w:hAnsiTheme="minorHAnsi" w:cs="Cambria"/>
          <w:sz w:val="22"/>
        </w:rPr>
        <w:t xml:space="preserve">by </w:t>
      </w:r>
      <w:r w:rsidRPr="00F77243">
        <w:rPr>
          <w:rFonts w:asciiTheme="minorHAnsi" w:hAnsiTheme="minorHAnsi" w:cs="Cambria"/>
          <w:sz w:val="22"/>
        </w:rPr>
        <w:t xml:space="preserve">the Chronic Conditions Section </w:t>
      </w:r>
      <w:r w:rsidR="00F77243">
        <w:rPr>
          <w:rFonts w:asciiTheme="minorHAnsi" w:hAnsiTheme="minorHAnsi" w:cs="Cambria"/>
          <w:sz w:val="22"/>
        </w:rPr>
        <w:t>(</w:t>
      </w:r>
      <w:r w:rsidRPr="00F77243">
        <w:rPr>
          <w:rFonts w:asciiTheme="minorHAnsi" w:hAnsiTheme="minorHAnsi" w:cs="Cambria"/>
          <w:sz w:val="22"/>
        </w:rPr>
        <w:t>Population Health Division</w:t>
      </w:r>
      <w:r w:rsidR="00F77243">
        <w:rPr>
          <w:rFonts w:asciiTheme="minorHAnsi" w:hAnsiTheme="minorHAnsi" w:cs="Cambria"/>
          <w:sz w:val="22"/>
        </w:rPr>
        <w:t>, Department of Health)</w:t>
      </w:r>
      <w:r w:rsidR="00F77243" w:rsidRPr="00F77243">
        <w:rPr>
          <w:rFonts w:asciiTheme="minorHAnsi" w:hAnsiTheme="minorHAnsi" w:cs="Cambria"/>
          <w:sz w:val="22"/>
        </w:rPr>
        <w:t xml:space="preserve"> regarding promotion of access to </w:t>
      </w:r>
      <w:r w:rsidR="00F77243" w:rsidRPr="00304A59">
        <w:rPr>
          <w:rFonts w:asciiTheme="minorHAnsi" w:hAnsiTheme="minorHAnsi" w:cs="Cambria"/>
          <w:sz w:val="22"/>
        </w:rPr>
        <w:t>PBS items for treatment of endometriosis.</w:t>
      </w:r>
      <w:r w:rsidR="00F77243">
        <w:rPr>
          <w:rFonts w:asciiTheme="minorHAnsi" w:hAnsiTheme="minorHAnsi" w:cs="Cambria"/>
          <w:sz w:val="22"/>
        </w:rPr>
        <w:t xml:space="preserve"> </w:t>
      </w:r>
      <w:r w:rsidRPr="00F77243">
        <w:rPr>
          <w:rFonts w:asciiTheme="minorHAnsi" w:hAnsiTheme="minorHAnsi" w:cs="Cambria"/>
          <w:sz w:val="22"/>
        </w:rPr>
        <w:t xml:space="preserve">The PBAC requested that </w:t>
      </w:r>
      <w:r w:rsidR="00FF2E26">
        <w:rPr>
          <w:rFonts w:asciiTheme="minorHAnsi" w:hAnsiTheme="minorHAnsi" w:cs="Cambria"/>
          <w:sz w:val="22"/>
        </w:rPr>
        <w:t xml:space="preserve">a preliminary report </w:t>
      </w:r>
      <w:r w:rsidR="00F77243">
        <w:rPr>
          <w:rFonts w:asciiTheme="minorHAnsi" w:hAnsiTheme="minorHAnsi" w:cs="Cambria"/>
          <w:sz w:val="22"/>
        </w:rPr>
        <w:t xml:space="preserve">on pharmacological therapies for </w:t>
      </w:r>
      <w:r w:rsidRPr="00F77243">
        <w:rPr>
          <w:rFonts w:asciiTheme="minorHAnsi" w:hAnsiTheme="minorHAnsi" w:cs="Cambria"/>
          <w:sz w:val="22"/>
        </w:rPr>
        <w:t>endometriosis and related conditions</w:t>
      </w:r>
      <w:r w:rsidR="00F77243">
        <w:rPr>
          <w:rFonts w:asciiTheme="minorHAnsi" w:hAnsiTheme="minorHAnsi" w:cs="Cambria"/>
          <w:sz w:val="22"/>
        </w:rPr>
        <w:t xml:space="preserve"> be provided for its consideration. </w:t>
      </w:r>
      <w:r w:rsidR="00FF2E26">
        <w:rPr>
          <w:rFonts w:asciiTheme="minorHAnsi" w:hAnsiTheme="minorHAnsi" w:cs="Cambria"/>
          <w:sz w:val="22"/>
        </w:rPr>
        <w:t>The PBAC also requested f</w:t>
      </w:r>
      <w:r w:rsidR="00F77243">
        <w:rPr>
          <w:rFonts w:asciiTheme="minorHAnsi" w:hAnsiTheme="minorHAnsi" w:cs="Cambria"/>
          <w:sz w:val="22"/>
        </w:rPr>
        <w:t xml:space="preserve">urther </w:t>
      </w:r>
      <w:r w:rsidRPr="00F77243">
        <w:rPr>
          <w:rFonts w:asciiTheme="minorHAnsi" w:hAnsiTheme="minorHAnsi" w:cs="Cambria"/>
          <w:sz w:val="22"/>
        </w:rPr>
        <w:t xml:space="preserve">information on </w:t>
      </w:r>
      <w:r w:rsidR="00F77243" w:rsidRPr="00440AC5">
        <w:rPr>
          <w:rFonts w:asciiTheme="minorHAnsi" w:hAnsiTheme="minorHAnsi" w:cs="Cambria"/>
          <w:sz w:val="22"/>
        </w:rPr>
        <w:t xml:space="preserve">National Action Plan for Endometriosis </w:t>
      </w:r>
      <w:r w:rsidRPr="00F77243">
        <w:rPr>
          <w:rFonts w:asciiTheme="minorHAnsi" w:hAnsiTheme="minorHAnsi" w:cs="Cambria"/>
          <w:sz w:val="22"/>
        </w:rPr>
        <w:t xml:space="preserve">timeframes to </w:t>
      </w:r>
      <w:r w:rsidR="00F77243">
        <w:rPr>
          <w:rFonts w:asciiTheme="minorHAnsi" w:hAnsiTheme="minorHAnsi" w:cs="Cambria"/>
          <w:sz w:val="22"/>
        </w:rPr>
        <w:t>assist in determining the need to request a full post-market review.</w:t>
      </w:r>
      <w:r w:rsidRPr="00F77243">
        <w:rPr>
          <w:rFonts w:asciiTheme="minorHAnsi" w:hAnsiTheme="minorHAnsi" w:cs="Cambria"/>
          <w:sz w:val="22"/>
        </w:rPr>
        <w:t xml:space="preserve"> </w:t>
      </w:r>
    </w:p>
    <w:p w14:paraId="324D647E" w14:textId="53476F06" w:rsidR="00432826" w:rsidRDefault="007B0DC4">
      <w:pPr>
        <w:pStyle w:val="BodyText"/>
        <w:spacing w:before="240" w:after="240"/>
        <w:rPr>
          <w:rFonts w:cstheme="minorHAnsi"/>
        </w:rPr>
      </w:pPr>
      <w:r w:rsidRPr="004578CC">
        <w:rPr>
          <w:rFonts w:cstheme="minorHAnsi"/>
        </w:rPr>
        <w:t>The PBAC recalled previously raised concerns about the range of oral contraceptives and hormone replacement products for menopause remaining on the PBS due to several product de-listings</w:t>
      </w:r>
      <w:r w:rsidR="00004022">
        <w:rPr>
          <w:rFonts w:cstheme="minorHAnsi"/>
        </w:rPr>
        <w:t xml:space="preserve">. The PBAC </w:t>
      </w:r>
      <w:r w:rsidRPr="004578CC">
        <w:rPr>
          <w:rFonts w:cstheme="minorHAnsi"/>
        </w:rPr>
        <w:t xml:space="preserve">requested a stocktake of current PBS listings for these products </w:t>
      </w:r>
      <w:r w:rsidR="001A13F7">
        <w:rPr>
          <w:rFonts w:cstheme="minorHAnsi"/>
        </w:rPr>
        <w:t>to</w:t>
      </w:r>
      <w:r w:rsidR="001A13F7" w:rsidRPr="004578CC">
        <w:rPr>
          <w:rFonts w:cstheme="minorHAnsi"/>
        </w:rPr>
        <w:t xml:space="preserve"> </w:t>
      </w:r>
      <w:r w:rsidRPr="004578CC">
        <w:rPr>
          <w:rFonts w:cstheme="minorHAnsi"/>
        </w:rPr>
        <w:t xml:space="preserve">be incorporated into this project. </w:t>
      </w:r>
    </w:p>
    <w:p w14:paraId="018BB507" w14:textId="77777777" w:rsidR="0008618C" w:rsidRPr="00F2186A" w:rsidRDefault="0008618C" w:rsidP="0008618C">
      <w:pPr>
        <w:pStyle w:val="Heading4"/>
        <w:rPr>
          <w:i/>
          <w:iCs w:val="0"/>
          <w:color w:val="2F5496" w:themeColor="accent1" w:themeShade="BF"/>
        </w:rPr>
      </w:pPr>
      <w:r w:rsidRPr="00F2186A">
        <w:rPr>
          <w:i/>
          <w:iCs w:val="0"/>
          <w:color w:val="2F5496" w:themeColor="accent1" w:themeShade="BF"/>
        </w:rPr>
        <w:t xml:space="preserve">Post-market monitoring </w:t>
      </w:r>
    </w:p>
    <w:p w14:paraId="67AC6DFC" w14:textId="77777777" w:rsidR="0008618C" w:rsidRPr="007B0DC4" w:rsidRDefault="0008618C" w:rsidP="0008618C">
      <w:pPr>
        <w:pStyle w:val="BodyText"/>
        <w:spacing w:before="240"/>
      </w:pPr>
      <w:r w:rsidRPr="007B0DC4">
        <w:t>The Post-Market Review (PMR) programme is a systematic approach to monitoring medicines subsidised by the PBS. PMRs were initiated under the 2011-12 Budget measure ‘</w:t>
      </w:r>
      <w:r w:rsidRPr="007B0DC4">
        <w:rPr>
          <w:i/>
          <w:iCs/>
        </w:rPr>
        <w:t>Improving sustainability of the PBS through enhanced post-market surveillance’</w:t>
      </w:r>
      <w:r w:rsidRPr="007B0DC4">
        <w:t xml:space="preserve">. </w:t>
      </w:r>
    </w:p>
    <w:p w14:paraId="5D044F56" w14:textId="77777777" w:rsidR="0008618C" w:rsidRPr="007B0DC4" w:rsidRDefault="0008618C" w:rsidP="0008618C">
      <w:pPr>
        <w:pStyle w:val="BodyText"/>
        <w:spacing w:before="240"/>
      </w:pPr>
      <w:r w:rsidRPr="007B0DC4">
        <w:t xml:space="preserve">PMRs are established under the quality use of medicines objective of the National Medicines Policy framework; promoting the safe and effective use of medicines, with the aim to improve health outcomes for all Australians. </w:t>
      </w:r>
    </w:p>
    <w:p w14:paraId="0964860A" w14:textId="77777777" w:rsidR="0008618C" w:rsidRPr="007B0DC4" w:rsidRDefault="0008618C" w:rsidP="0008618C">
      <w:pPr>
        <w:pStyle w:val="BodyText"/>
        <w:spacing w:before="240"/>
      </w:pPr>
      <w:r w:rsidRPr="007B0DC4">
        <w:t xml:space="preserve">The PMR programme contributes to the following: </w:t>
      </w:r>
    </w:p>
    <w:p w14:paraId="7076E168" w14:textId="77777777" w:rsidR="0008618C" w:rsidRPr="007B0DC4" w:rsidRDefault="0008618C" w:rsidP="0008618C">
      <w:pPr>
        <w:pStyle w:val="BodyText"/>
        <w:numPr>
          <w:ilvl w:val="0"/>
          <w:numId w:val="37"/>
        </w:numPr>
        <w:spacing w:before="240"/>
      </w:pPr>
      <w:r w:rsidRPr="007B0DC4">
        <w:lastRenderedPageBreak/>
        <w:t xml:space="preserve">Improved patient safety through better understanding of adverse events and medicine-related harms, including hospitalisations. </w:t>
      </w:r>
    </w:p>
    <w:p w14:paraId="1BB24054" w14:textId="61CCA8D0" w:rsidR="0008618C" w:rsidRPr="007B0DC4" w:rsidRDefault="0008618C" w:rsidP="0008618C">
      <w:pPr>
        <w:pStyle w:val="BodyText"/>
        <w:numPr>
          <w:ilvl w:val="0"/>
          <w:numId w:val="37"/>
        </w:numPr>
        <w:spacing w:before="240"/>
      </w:pPr>
      <w:r w:rsidRPr="007B0DC4">
        <w:t xml:space="preserve">A more sustainable Pharmaceutical Benefits Scheme (PBS) through better targeting of medicines, and avoidance of preventable wastage, or inappropriate </w:t>
      </w:r>
      <w:r w:rsidR="00304A59" w:rsidRPr="007B0DC4">
        <w:t>prescribing.</w:t>
      </w:r>
      <w:r w:rsidRPr="007B0DC4">
        <w:t xml:space="preserve"> </w:t>
      </w:r>
    </w:p>
    <w:p w14:paraId="205A9F93" w14:textId="5DFE792F" w:rsidR="0008618C" w:rsidRPr="007B0DC4" w:rsidRDefault="0008618C" w:rsidP="0008618C">
      <w:pPr>
        <w:pStyle w:val="BodyText"/>
        <w:numPr>
          <w:ilvl w:val="0"/>
          <w:numId w:val="37"/>
        </w:numPr>
        <w:spacing w:before="240"/>
      </w:pPr>
      <w:r w:rsidRPr="007B0DC4">
        <w:t xml:space="preserve">A better knowledge base to understand medicines utilisation, to validate the intended </w:t>
      </w:r>
      <w:r>
        <w:t>c</w:t>
      </w:r>
      <w:r w:rsidRPr="007B0DC4">
        <w:t xml:space="preserve">linical benefit which will inform medicines evaluation </w:t>
      </w:r>
      <w:r w:rsidR="00304A59" w:rsidRPr="007B0DC4">
        <w:t>processes</w:t>
      </w:r>
      <w:r w:rsidR="00304A59">
        <w:t>.</w:t>
      </w:r>
      <w:r w:rsidRPr="007B0DC4">
        <w:t xml:space="preserve"> </w:t>
      </w:r>
    </w:p>
    <w:p w14:paraId="4FA881B3" w14:textId="77777777" w:rsidR="0008618C" w:rsidRPr="007B0DC4" w:rsidRDefault="0008618C" w:rsidP="0008618C">
      <w:pPr>
        <w:pStyle w:val="BodyText"/>
        <w:numPr>
          <w:ilvl w:val="0"/>
          <w:numId w:val="37"/>
        </w:numPr>
        <w:spacing w:before="240"/>
      </w:pPr>
      <w:r w:rsidRPr="007B0DC4">
        <w:t xml:space="preserve">A strengthened approach to medicine pricing management, including through better management of clinical and economic uncertainty. </w:t>
      </w:r>
    </w:p>
    <w:p w14:paraId="585B1811" w14:textId="6807AC65" w:rsidR="00304A59" w:rsidRPr="00004022" w:rsidRDefault="0008618C" w:rsidP="0008618C">
      <w:pPr>
        <w:pStyle w:val="BodyText"/>
        <w:spacing w:before="240"/>
      </w:pPr>
      <w:r w:rsidRPr="007B0DC4">
        <w:t>Post-market reviews can be initiated when concerns related to the quality use of a medicine, cost-effectiveness, clinical effectiveness, higher than predicted utilisation</w:t>
      </w:r>
      <w:r>
        <w:t xml:space="preserve"> </w:t>
      </w:r>
      <w:r w:rsidRPr="00004022">
        <w:t>and/or international differences are raised. A full post-market review will only proceed following PBAC agreement and Ministerial approval.</w:t>
      </w:r>
    </w:p>
    <w:p w14:paraId="1CF8E799" w14:textId="77777777" w:rsidR="0008618C" w:rsidRPr="0008618C" w:rsidRDefault="0008618C" w:rsidP="00304A59">
      <w:pPr>
        <w:pStyle w:val="BodyText"/>
      </w:pPr>
    </w:p>
    <w:p w14:paraId="2D704345" w14:textId="77777777" w:rsidR="00DF58BE" w:rsidRDefault="00DF58BE" w:rsidP="00304A59">
      <w:pPr>
        <w:pStyle w:val="Heading4"/>
        <w:spacing w:before="0"/>
        <w:rPr>
          <w:rFonts w:eastAsia="Times New Roman"/>
          <w:i/>
          <w:color w:val="2F5496"/>
        </w:rPr>
      </w:pPr>
      <w:r>
        <w:rPr>
          <w:rFonts w:eastAsia="Times New Roman"/>
          <w:i/>
          <w:iCs w:val="0"/>
          <w:color w:val="2F5496"/>
        </w:rPr>
        <w:t>Endometriosis Expert Advisory Group (EAG)</w:t>
      </w:r>
    </w:p>
    <w:p w14:paraId="46D1722D" w14:textId="3E4DE780" w:rsidR="00DF58BE" w:rsidRDefault="00DF58BE" w:rsidP="0008618C">
      <w:pPr>
        <w:pStyle w:val="BodyText"/>
      </w:pPr>
      <w:r>
        <w:t xml:space="preserve">The Endometriosis Expert Advisory Group (EAG) provides </w:t>
      </w:r>
      <w:r w:rsidR="004B5294">
        <w:t>input</w:t>
      </w:r>
      <w:r>
        <w:t xml:space="preserve"> to the Department on matters related to implementation of the National Action Plan for Endometriosis (NAPE). </w:t>
      </w:r>
    </w:p>
    <w:p w14:paraId="6C160675" w14:textId="22177961" w:rsidR="00DF58BE" w:rsidRDefault="00DF58BE" w:rsidP="0008618C">
      <w:pPr>
        <w:pStyle w:val="BodyText"/>
      </w:pPr>
      <w:r>
        <w:t xml:space="preserve">Individual members </w:t>
      </w:r>
      <w:r w:rsidR="00004022">
        <w:t xml:space="preserve">of </w:t>
      </w:r>
      <w:r>
        <w:t>the EAG have outlined the following concerns</w:t>
      </w:r>
      <w:r w:rsidR="00004022">
        <w:t xml:space="preserve"> </w:t>
      </w:r>
      <w:r w:rsidR="00004022" w:rsidRPr="0008618C">
        <w:t xml:space="preserve">related to the PBS subsidy of medicines for endometriosis and related </w:t>
      </w:r>
      <w:r w:rsidR="00304A59" w:rsidRPr="0008618C">
        <w:t>conditions</w:t>
      </w:r>
      <w:r w:rsidR="00304A59">
        <w:t>,</w:t>
      </w:r>
      <w:r w:rsidR="00304A59" w:rsidRPr="0008618C">
        <w:t xml:space="preserve"> including</w:t>
      </w:r>
      <w:r>
        <w:t xml:space="preserve">: </w:t>
      </w:r>
    </w:p>
    <w:p w14:paraId="240295BD" w14:textId="4C2CE865" w:rsidR="00DF58BE" w:rsidRDefault="00DF58BE" w:rsidP="0008618C">
      <w:pPr>
        <w:pStyle w:val="BodyText"/>
        <w:numPr>
          <w:ilvl w:val="0"/>
          <w:numId w:val="56"/>
        </w:numPr>
        <w:spacing w:before="240"/>
        <w:rPr>
          <w:rFonts w:eastAsia="Times New Roman"/>
        </w:rPr>
      </w:pPr>
      <w:r>
        <w:rPr>
          <w:rFonts w:eastAsia="Times New Roman"/>
        </w:rPr>
        <w:t xml:space="preserve">there is a limited list of medications currently available on the PBS for pain relief and management of endometriosis. </w:t>
      </w:r>
      <w:r w:rsidR="009B2AF7">
        <w:rPr>
          <w:rFonts w:eastAsia="Times New Roman"/>
        </w:rPr>
        <w:t xml:space="preserve">Patients </w:t>
      </w:r>
      <w:r>
        <w:rPr>
          <w:rFonts w:eastAsia="Times New Roman"/>
        </w:rPr>
        <w:t>and gynaecologists find the available medications on the PBS to be often poorly tolerated, minimally effective or increasing risk of addiction.</w:t>
      </w:r>
    </w:p>
    <w:p w14:paraId="12374868" w14:textId="36514C70" w:rsidR="00DF58BE" w:rsidRDefault="00DF58BE" w:rsidP="0008618C">
      <w:pPr>
        <w:pStyle w:val="BodyText"/>
        <w:numPr>
          <w:ilvl w:val="0"/>
          <w:numId w:val="56"/>
        </w:numPr>
        <w:spacing w:before="240" w:after="240"/>
        <w:rPr>
          <w:rFonts w:eastAsia="Times New Roman"/>
        </w:rPr>
      </w:pPr>
      <w:r>
        <w:rPr>
          <w:rFonts w:eastAsia="Times New Roman"/>
        </w:rPr>
        <w:t xml:space="preserve">Several medications need to be added to the PBS to facilitate better readily available treatment for endometriosis pain management, such as dienogest, </w:t>
      </w:r>
      <w:r w:rsidR="008B49C8">
        <w:rPr>
          <w:rFonts w:eastAsia="Times New Roman"/>
        </w:rPr>
        <w:t>Q</w:t>
      </w:r>
      <w:r>
        <w:rPr>
          <w:rFonts w:eastAsia="Times New Roman"/>
        </w:rPr>
        <w:t>laira</w:t>
      </w:r>
      <w:r w:rsidR="00304A59">
        <w:rPr>
          <w:rFonts w:eastAsia="Times New Roman"/>
        </w:rPr>
        <w:t>®</w:t>
      </w:r>
      <w:r>
        <w:rPr>
          <w:rFonts w:eastAsia="Times New Roman"/>
        </w:rPr>
        <w:t xml:space="preserve"> (dienogest and estradiol valerate), diazepam suppositories, botulinum toxin, non-steroidal anti-inflammatory drugs (NSAIDs), gonadotropin releasing hormone (GnRH) analogues, combined oral contraceptive pills.</w:t>
      </w:r>
    </w:p>
    <w:p w14:paraId="0D42CA82" w14:textId="0F4EA649" w:rsidR="00200098" w:rsidRPr="00F2186A" w:rsidRDefault="00200098" w:rsidP="00F2186A">
      <w:pPr>
        <w:pStyle w:val="Heading4"/>
        <w:rPr>
          <w:i/>
          <w:iCs w:val="0"/>
          <w:color w:val="2F5496" w:themeColor="accent1" w:themeShade="BF"/>
        </w:rPr>
      </w:pPr>
      <w:r w:rsidRPr="00F2186A">
        <w:rPr>
          <w:i/>
          <w:iCs w:val="0"/>
          <w:color w:val="2F5496" w:themeColor="accent1" w:themeShade="BF"/>
        </w:rPr>
        <w:t>The National Action Plan for Endometriosis</w:t>
      </w:r>
      <w:r w:rsidR="00065733" w:rsidRPr="00F2186A">
        <w:rPr>
          <w:i/>
          <w:iCs w:val="0"/>
          <w:color w:val="2F5496" w:themeColor="accent1" w:themeShade="BF"/>
        </w:rPr>
        <w:t xml:space="preserve"> </w:t>
      </w:r>
      <w:r w:rsidR="002B13A3" w:rsidRPr="00F2186A">
        <w:rPr>
          <w:i/>
          <w:iCs w:val="0"/>
          <w:color w:val="2F5496" w:themeColor="accent1" w:themeShade="BF"/>
        </w:rPr>
        <w:t>(NAPE)</w:t>
      </w:r>
    </w:p>
    <w:p w14:paraId="6BD70F57" w14:textId="469527C2" w:rsidR="00200098" w:rsidRPr="007B0DC4" w:rsidRDefault="00200098" w:rsidP="00F2186A">
      <w:pPr>
        <w:pStyle w:val="BodyText"/>
        <w:rPr>
          <w:lang w:eastAsia="en-AU"/>
        </w:rPr>
      </w:pPr>
      <w:r w:rsidRPr="0052284D">
        <w:rPr>
          <w:lang w:eastAsia="en-AU"/>
        </w:rPr>
        <w:t>The National Action Plan for</w:t>
      </w:r>
      <w:r w:rsidRPr="007B0DC4">
        <w:rPr>
          <w:lang w:eastAsia="en-AU"/>
        </w:rPr>
        <w:t xml:space="preserve"> Endometriosis was launched in 2018 with the goal of ‘a tangible improvement in the quality of life for individuals living with endometriosis, including a reduction in the impact and burden of disease at individual and population levels’</w:t>
      </w:r>
      <w:r w:rsidR="0052284D">
        <w:rPr>
          <w:rStyle w:val="EndnoteReference"/>
          <w:rFonts w:ascii="Cambria" w:eastAsia="Times New Roman" w:hAnsi="Cambria" w:cs="Open Sans"/>
          <w:lang w:eastAsia="en-AU"/>
        </w:rPr>
        <w:endnoteReference w:id="4"/>
      </w:r>
      <w:r w:rsidRPr="007B0DC4">
        <w:rPr>
          <w:lang w:eastAsia="en-AU"/>
        </w:rPr>
        <w:t>. The plan has 3 priority areas:</w:t>
      </w:r>
    </w:p>
    <w:p w14:paraId="347465F5" w14:textId="77777777" w:rsidR="00200098" w:rsidRPr="007B0DC4" w:rsidRDefault="00200098" w:rsidP="00F2186A">
      <w:pPr>
        <w:pStyle w:val="BodyText"/>
        <w:numPr>
          <w:ilvl w:val="0"/>
          <w:numId w:val="36"/>
        </w:numPr>
        <w:spacing w:before="240"/>
        <w:rPr>
          <w:lang w:eastAsia="en-AU"/>
        </w:rPr>
      </w:pPr>
      <w:r w:rsidRPr="007B0DC4">
        <w:rPr>
          <w:lang w:eastAsia="en-AU"/>
        </w:rPr>
        <w:t>awareness and education—this involves developing and delivering community awareness campaigns, promoting early education on women’s health in schools, improving access to information for people living with endometriosis, and improving awareness and understanding of endometriosis among health professionals</w:t>
      </w:r>
    </w:p>
    <w:p w14:paraId="70782A76" w14:textId="77777777" w:rsidR="00200098" w:rsidRPr="007B0DC4" w:rsidRDefault="00200098" w:rsidP="00F2186A">
      <w:pPr>
        <w:pStyle w:val="BodyText"/>
        <w:numPr>
          <w:ilvl w:val="0"/>
          <w:numId w:val="36"/>
        </w:numPr>
        <w:spacing w:before="240"/>
        <w:rPr>
          <w:lang w:eastAsia="en-AU"/>
        </w:rPr>
      </w:pPr>
      <w:r w:rsidRPr="007B0DC4">
        <w:rPr>
          <w:lang w:eastAsia="en-AU"/>
        </w:rPr>
        <w:t>clinical management and care—this involves developing clinical guidelines and clinical care standards; promoting early access to intervention, care and treatment options; improving affordability, accessibility and consistency of management; ensuring endometriosis is recognised as a chronic condition by all health practitioners; and narrowing the gap in quality of life between people with endometriosis and their peers</w:t>
      </w:r>
    </w:p>
    <w:p w14:paraId="242105A3" w14:textId="57EF3643" w:rsidR="009012CE" w:rsidRPr="00934C08" w:rsidRDefault="00200098" w:rsidP="00934C08">
      <w:pPr>
        <w:pStyle w:val="BodyText"/>
        <w:numPr>
          <w:ilvl w:val="0"/>
          <w:numId w:val="36"/>
        </w:numPr>
        <w:spacing w:before="240" w:after="240"/>
        <w:rPr>
          <w:rFonts w:ascii="Cambria" w:hAnsi="Cambria" w:cstheme="minorHAnsi"/>
        </w:rPr>
      </w:pPr>
      <w:r w:rsidRPr="007B0DC4">
        <w:rPr>
          <w:lang w:eastAsia="en-AU"/>
        </w:rPr>
        <w:lastRenderedPageBreak/>
        <w:t>research—this involves building a collaborative environment for endometriosis research, mining existing data and improving data linkage between sources, and conducting further research to understand causes and impacts and progress towards a cur</w:t>
      </w:r>
      <w:r w:rsidR="000574E6">
        <w:rPr>
          <w:lang w:eastAsia="en-AU"/>
        </w:rPr>
        <w:t>e.</w:t>
      </w:r>
    </w:p>
    <w:p w14:paraId="7BB2367F" w14:textId="761950FB" w:rsidR="005C601C" w:rsidRPr="009012CE" w:rsidRDefault="00016D65" w:rsidP="009012CE">
      <w:pPr>
        <w:pStyle w:val="Heading3"/>
        <w:spacing w:after="240"/>
        <w:rPr>
          <w:b w:val="0"/>
          <w:bCs/>
        </w:rPr>
      </w:pPr>
      <w:bookmarkStart w:id="13" w:name="_Toc118813834"/>
      <w:r w:rsidRPr="009012CE">
        <w:rPr>
          <w:bCs/>
        </w:rPr>
        <w:t>Methodological approach to the report</w:t>
      </w:r>
      <w:bookmarkEnd w:id="13"/>
    </w:p>
    <w:p w14:paraId="6B1F2854" w14:textId="5E6CEBA6" w:rsidR="005C601C" w:rsidRPr="00774158" w:rsidRDefault="005C601C" w:rsidP="00F2186A">
      <w:pPr>
        <w:pStyle w:val="BodyText"/>
        <w:spacing w:before="240"/>
      </w:pPr>
      <w:r w:rsidRPr="00774158">
        <w:t xml:space="preserve">This report </w:t>
      </w:r>
      <w:bookmarkStart w:id="14" w:name="_Hlk118121548"/>
      <w:r w:rsidR="0008618C">
        <w:t xml:space="preserve">was </w:t>
      </w:r>
      <w:r w:rsidR="00304A59">
        <w:t xml:space="preserve">prepared </w:t>
      </w:r>
      <w:r w:rsidR="00304A59" w:rsidRPr="00774158">
        <w:t>with</w:t>
      </w:r>
      <w:r w:rsidR="00016D65" w:rsidRPr="00774158">
        <w:t xml:space="preserve"> the intention of identifying a list of medicines used in endometriosis and related conditions in Australia. This list of medicines was compiled by contrasting current Australian clinical guidelines for the pharmacological treatment of endometriosis and related conditions, Therapeutic Goods Administration (TGA) registered indications and Pharmaceutical Benefits Scheme (PBS) restrictions for any medications mentioned in the guidelines.  </w:t>
      </w:r>
      <w:bookmarkEnd w:id="14"/>
    </w:p>
    <w:p w14:paraId="421BFE19" w14:textId="07070A98" w:rsidR="00774158" w:rsidRDefault="00774158" w:rsidP="00F2186A">
      <w:pPr>
        <w:pStyle w:val="BodyText"/>
        <w:spacing w:before="240"/>
      </w:pPr>
      <w:r w:rsidRPr="006B3C17">
        <w:t xml:space="preserve">The medicines identified for endometriosis and related conditions and clinical guidelines used </w:t>
      </w:r>
      <w:r w:rsidR="006B3C17" w:rsidRPr="006B3C17">
        <w:t>to guide</w:t>
      </w:r>
      <w:r w:rsidRPr="006B3C17">
        <w:t xml:space="preserve"> the treatment of endometriosis and related conditions were </w:t>
      </w:r>
      <w:r w:rsidR="0008618C">
        <w:t xml:space="preserve">organised </w:t>
      </w:r>
      <w:r w:rsidRPr="006B3C17">
        <w:t xml:space="preserve">into the </w:t>
      </w:r>
      <w:r w:rsidR="0008618C">
        <w:t xml:space="preserve">following </w:t>
      </w:r>
      <w:r w:rsidR="0005320C">
        <w:t>areas</w:t>
      </w:r>
      <w:r w:rsidR="0008618C">
        <w:t xml:space="preserve">. </w:t>
      </w:r>
      <w:r w:rsidR="00304A59">
        <w:t xml:space="preserve">The </w:t>
      </w:r>
      <w:r w:rsidR="00304A59" w:rsidRPr="006B3C17">
        <w:t>key</w:t>
      </w:r>
      <w:r w:rsidRPr="006B3C17">
        <w:t xml:space="preserve"> findings </w:t>
      </w:r>
      <w:r w:rsidR="0008618C">
        <w:t xml:space="preserve">for each </w:t>
      </w:r>
      <w:r w:rsidR="0005320C">
        <w:t xml:space="preserve">area </w:t>
      </w:r>
      <w:r w:rsidR="0008618C">
        <w:t xml:space="preserve">are included </w:t>
      </w:r>
      <w:r w:rsidRPr="006B3C17">
        <w:t xml:space="preserve">in </w:t>
      </w:r>
      <w:r w:rsidR="006B3C17" w:rsidRPr="006B3C17">
        <w:t>the report:</w:t>
      </w:r>
    </w:p>
    <w:p w14:paraId="69011F78" w14:textId="77777777" w:rsidR="00FF2E26" w:rsidRPr="00302D88" w:rsidRDefault="00FF2E26" w:rsidP="00FF2E26">
      <w:pPr>
        <w:pStyle w:val="BodyText"/>
        <w:numPr>
          <w:ilvl w:val="0"/>
          <w:numId w:val="38"/>
        </w:numPr>
        <w:spacing w:before="240"/>
      </w:pPr>
      <w:r w:rsidRPr="00302D88">
        <w:t>A summary of Australian clinical guidelines for the pharmacological management of endometriosis and related conditions</w:t>
      </w:r>
      <w:r>
        <w:t xml:space="preserve">, compiled </w:t>
      </w:r>
      <w:r w:rsidRPr="00302D88">
        <w:t>from the electronic Therapeutic Guidelines (eTG)</w:t>
      </w:r>
      <w:r>
        <w:rPr>
          <w:rStyle w:val="EndnoteReference"/>
          <w:rFonts w:ascii="Cambria" w:hAnsi="Cambria"/>
        </w:rPr>
        <w:endnoteReference w:id="5"/>
      </w:r>
      <w:r w:rsidRPr="00302D88">
        <w:t xml:space="preserve">, the Royal Australian and New Zealand College of Obstetricians and Gynaecologists (RANZCOG) Endometriosis Guideline </w:t>
      </w:r>
      <w:r>
        <w:t>(</w:t>
      </w:r>
      <w:r w:rsidRPr="00302D88">
        <w:t>released May 2021</w:t>
      </w:r>
      <w:r>
        <w:rPr>
          <w:rStyle w:val="EndnoteReference"/>
          <w:rFonts w:ascii="Cambria" w:hAnsi="Cambria"/>
        </w:rPr>
        <w:endnoteReference w:id="6"/>
      </w:r>
      <w:r>
        <w:t>)</w:t>
      </w:r>
      <w:r w:rsidRPr="00302D88">
        <w:t>, and the Australian Medicines Handbook (AMH)</w:t>
      </w:r>
      <w:r>
        <w:rPr>
          <w:rStyle w:val="EndnoteReference"/>
          <w:rFonts w:ascii="Cambria" w:hAnsi="Cambria"/>
        </w:rPr>
        <w:endnoteReference w:id="7"/>
      </w:r>
      <w:r w:rsidRPr="00302D88">
        <w:t xml:space="preserve"> rationale for drug use in endometriosis. </w:t>
      </w:r>
    </w:p>
    <w:p w14:paraId="2879EE1A" w14:textId="379F1741" w:rsidR="00774158" w:rsidRPr="00302D88" w:rsidRDefault="00774158" w:rsidP="00F2186A">
      <w:pPr>
        <w:pStyle w:val="BodyText"/>
        <w:numPr>
          <w:ilvl w:val="0"/>
          <w:numId w:val="38"/>
        </w:numPr>
        <w:spacing w:before="240"/>
      </w:pPr>
      <w:r w:rsidRPr="00302D88">
        <w:t>PBS listed</w:t>
      </w:r>
      <w:r w:rsidR="0052284D">
        <w:rPr>
          <w:rStyle w:val="EndnoteReference"/>
          <w:rFonts w:ascii="Cambria" w:hAnsi="Cambria"/>
        </w:rPr>
        <w:endnoteReference w:id="8"/>
      </w:r>
      <w:r w:rsidRPr="00302D88">
        <w:t xml:space="preserve"> and TGA registered</w:t>
      </w:r>
      <w:r w:rsidR="0052284D">
        <w:rPr>
          <w:rStyle w:val="EndnoteReference"/>
          <w:rFonts w:ascii="Cambria" w:hAnsi="Cambria"/>
        </w:rPr>
        <w:endnoteReference w:id="9"/>
      </w:r>
      <w:r w:rsidRPr="00302D88">
        <w:t xml:space="preserve"> medicines for endometriosis and related conditions in Australia. </w:t>
      </w:r>
    </w:p>
    <w:p w14:paraId="165C48ED" w14:textId="44C984A3" w:rsidR="006B3C17" w:rsidRPr="00302D88" w:rsidRDefault="00F0141E" w:rsidP="00F2186A">
      <w:pPr>
        <w:pStyle w:val="BodyText"/>
        <w:numPr>
          <w:ilvl w:val="0"/>
          <w:numId w:val="38"/>
        </w:numPr>
        <w:spacing w:before="240"/>
      </w:pPr>
      <w:r>
        <w:t>H</w:t>
      </w:r>
      <w:r w:rsidR="00FF2E26">
        <w:t xml:space="preserve">ormonal </w:t>
      </w:r>
      <w:r w:rsidR="006B3C17" w:rsidRPr="00302D88">
        <w:t xml:space="preserve">contraceptives available on prescription in Australia. </w:t>
      </w:r>
    </w:p>
    <w:p w14:paraId="5B94E412" w14:textId="168471E9" w:rsidR="006B3C17" w:rsidRPr="00302D88" w:rsidRDefault="00EB6E79" w:rsidP="00F2186A">
      <w:pPr>
        <w:pStyle w:val="BodyText"/>
        <w:numPr>
          <w:ilvl w:val="0"/>
          <w:numId w:val="38"/>
        </w:numPr>
        <w:spacing w:before="240"/>
      </w:pPr>
      <w:r>
        <w:t>Non</w:t>
      </w:r>
      <w:r w:rsidR="006B3C17" w:rsidRPr="00302D88">
        <w:t>-steroidal anti-inflammatory drugs</w:t>
      </w:r>
      <w:r w:rsidR="00302D88" w:rsidRPr="00302D88">
        <w:t xml:space="preserve"> (NSAIDs)</w:t>
      </w:r>
      <w:r w:rsidR="006B3C17" w:rsidRPr="00302D88">
        <w:t xml:space="preserve"> </w:t>
      </w:r>
      <w:r w:rsidR="00302D88" w:rsidRPr="00302D88">
        <w:t xml:space="preserve">currently PBS-listed in Australia. </w:t>
      </w:r>
    </w:p>
    <w:p w14:paraId="77D74360" w14:textId="26F1A4E2" w:rsidR="005936DC" w:rsidRPr="00934C08" w:rsidRDefault="00302D88" w:rsidP="0096720D">
      <w:pPr>
        <w:pStyle w:val="BodyText"/>
        <w:numPr>
          <w:ilvl w:val="0"/>
          <w:numId w:val="38"/>
        </w:numPr>
        <w:spacing w:before="240"/>
        <w:rPr>
          <w:rFonts w:ascii="Cambria" w:hAnsi="Cambria"/>
        </w:rPr>
        <w:sectPr w:rsidR="005936DC" w:rsidRPr="00934C08" w:rsidSect="009012CE">
          <w:endnotePr>
            <w:numFmt w:val="decimal"/>
          </w:endnotePr>
          <w:pgSz w:w="11906" w:h="16838"/>
          <w:pgMar w:top="1440" w:right="1440" w:bottom="1440" w:left="1440" w:header="708" w:footer="708" w:gutter="0"/>
          <w:cols w:space="708"/>
          <w:docGrid w:linePitch="360"/>
        </w:sectPr>
      </w:pPr>
      <w:r w:rsidRPr="00302D88">
        <w:t xml:space="preserve">PBS restriction level and TGA approved indications </w:t>
      </w:r>
      <w:r w:rsidR="00393F7A">
        <w:t xml:space="preserve">for </w:t>
      </w:r>
      <w:r w:rsidRPr="00302D88">
        <w:t>the medicines recommended in the eTG for acute neuropathic pain.</w:t>
      </w:r>
    </w:p>
    <w:p w14:paraId="36C53C56" w14:textId="696CA2D9" w:rsidR="00774158" w:rsidRDefault="00302D88" w:rsidP="003B5E07">
      <w:pPr>
        <w:pStyle w:val="Heading2"/>
        <w:spacing w:after="240"/>
      </w:pPr>
      <w:bookmarkStart w:id="15" w:name="_Toc118813835"/>
      <w:r w:rsidRPr="005936DC">
        <w:lastRenderedPageBreak/>
        <w:t xml:space="preserve">Key </w:t>
      </w:r>
      <w:r w:rsidR="004B5294">
        <w:t>evidence</w:t>
      </w:r>
      <w:bookmarkEnd w:id="15"/>
    </w:p>
    <w:p w14:paraId="5292195E" w14:textId="77777777" w:rsidR="00A40131" w:rsidRDefault="00A40131" w:rsidP="00A40131">
      <w:pPr>
        <w:pStyle w:val="Heading5"/>
        <w:numPr>
          <w:ilvl w:val="0"/>
          <w:numId w:val="59"/>
        </w:numPr>
        <w:spacing w:after="240"/>
      </w:pPr>
      <w:r>
        <w:t xml:space="preserve">Australian Clinical Guidelines </w:t>
      </w:r>
      <w:r w:rsidRPr="00550C15">
        <w:t>for pharmacological management of endometriosis</w:t>
      </w:r>
    </w:p>
    <w:p w14:paraId="49E412D9" w14:textId="1341A136" w:rsidR="00A40131" w:rsidRPr="003C0BDF" w:rsidRDefault="00A40131" w:rsidP="00A40131">
      <w:pPr>
        <w:pStyle w:val="Heading5"/>
        <w:spacing w:after="240"/>
        <w:rPr>
          <w:b w:val="0"/>
          <w:bCs/>
          <w:sz w:val="22"/>
          <w:szCs w:val="22"/>
        </w:rPr>
      </w:pPr>
      <w:r w:rsidRPr="003C0BDF">
        <w:rPr>
          <w:b w:val="0"/>
          <w:bCs/>
          <w:sz w:val="22"/>
          <w:szCs w:val="22"/>
        </w:rPr>
        <w:t xml:space="preserve">Table </w:t>
      </w:r>
      <w:r>
        <w:rPr>
          <w:b w:val="0"/>
          <w:bCs/>
          <w:sz w:val="22"/>
          <w:szCs w:val="22"/>
        </w:rPr>
        <w:t>1</w:t>
      </w:r>
      <w:r w:rsidRPr="003C0BDF">
        <w:rPr>
          <w:b w:val="0"/>
          <w:bCs/>
          <w:sz w:val="22"/>
          <w:szCs w:val="22"/>
        </w:rPr>
        <w:t xml:space="preserve"> presents a summary of Australian clinical guidelines for the pharmacological management of endometriosis</w:t>
      </w:r>
      <w:r w:rsidR="00F0141E">
        <w:rPr>
          <w:b w:val="0"/>
          <w:bCs/>
          <w:sz w:val="22"/>
          <w:szCs w:val="22"/>
        </w:rPr>
        <w:t>.</w:t>
      </w:r>
    </w:p>
    <w:p w14:paraId="4DB3F7A8" w14:textId="4712B7A7" w:rsidR="00A40131" w:rsidRPr="00550C15" w:rsidRDefault="00A40131" w:rsidP="00A40131">
      <w:pPr>
        <w:pStyle w:val="Heading5"/>
        <w:spacing w:after="240"/>
      </w:pPr>
      <w:r w:rsidRPr="00550C15">
        <w:t xml:space="preserve">Table </w:t>
      </w:r>
      <w:r>
        <w:t>1</w:t>
      </w:r>
      <w:r w:rsidRPr="00550C15">
        <w:t>: Summary of Australian clinical guidelines for pharmacological management of endometriosis</w:t>
      </w:r>
    </w:p>
    <w:tbl>
      <w:tblPr>
        <w:tblStyle w:val="TableGrid"/>
        <w:tblW w:w="5000" w:type="pct"/>
        <w:tblLook w:val="04A0" w:firstRow="1" w:lastRow="0" w:firstColumn="1" w:lastColumn="0" w:noHBand="0" w:noVBand="1"/>
      </w:tblPr>
      <w:tblGrid>
        <w:gridCol w:w="2388"/>
        <w:gridCol w:w="4215"/>
        <w:gridCol w:w="3476"/>
        <w:gridCol w:w="3869"/>
      </w:tblGrid>
      <w:tr w:rsidR="00A40131" w:rsidRPr="007F474E" w14:paraId="4C94F187" w14:textId="77777777" w:rsidTr="003C0BDF">
        <w:trPr>
          <w:tblHeader/>
        </w:trPr>
        <w:tc>
          <w:tcPr>
            <w:tcW w:w="856" w:type="pct"/>
            <w:shd w:val="clear" w:color="auto" w:fill="E7E6E6" w:themeFill="background2"/>
          </w:tcPr>
          <w:p w14:paraId="0C30C64B" w14:textId="77777777" w:rsidR="00A40131" w:rsidRPr="00393F7A" w:rsidRDefault="00A40131" w:rsidP="003C0BDF">
            <w:pPr>
              <w:rPr>
                <w:rFonts w:ascii="Arial Narrow" w:hAnsi="Arial Narrow" w:cstheme="minorHAnsi"/>
                <w:b/>
                <w:bCs/>
                <w:sz w:val="20"/>
                <w:szCs w:val="20"/>
              </w:rPr>
            </w:pPr>
            <w:r w:rsidRPr="00393F7A">
              <w:rPr>
                <w:rFonts w:ascii="Arial Narrow" w:hAnsi="Arial Narrow" w:cstheme="minorHAnsi"/>
                <w:b/>
                <w:bCs/>
                <w:sz w:val="20"/>
                <w:szCs w:val="20"/>
              </w:rPr>
              <w:t>Treatment/Drug/ Drug Class</w:t>
            </w:r>
          </w:p>
        </w:tc>
        <w:tc>
          <w:tcPr>
            <w:tcW w:w="1511" w:type="pct"/>
            <w:shd w:val="clear" w:color="auto" w:fill="E7E6E6" w:themeFill="background2"/>
          </w:tcPr>
          <w:p w14:paraId="4633F20E" w14:textId="2F48E869" w:rsidR="00A40131" w:rsidRPr="00393F7A" w:rsidRDefault="00A40131" w:rsidP="003C0BDF">
            <w:pPr>
              <w:rPr>
                <w:rFonts w:ascii="Arial Narrow" w:hAnsi="Arial Narrow" w:cstheme="minorHAnsi"/>
                <w:b/>
                <w:bCs/>
                <w:sz w:val="20"/>
                <w:szCs w:val="20"/>
              </w:rPr>
            </w:pPr>
            <w:r w:rsidRPr="00393F7A">
              <w:rPr>
                <w:rFonts w:ascii="Arial Narrow" w:hAnsi="Arial Narrow" w:cstheme="minorHAnsi"/>
                <w:b/>
                <w:bCs/>
                <w:sz w:val="20"/>
                <w:szCs w:val="20"/>
              </w:rPr>
              <w:t>eTG – Therapeutic Guidelines</w:t>
            </w:r>
            <w:r w:rsidRPr="00393F7A">
              <w:rPr>
                <w:rFonts w:ascii="Arial Narrow" w:hAnsi="Arial Narrow" w:cstheme="minorHAnsi"/>
                <w:b/>
                <w:bCs/>
                <w:sz w:val="20"/>
                <w:szCs w:val="20"/>
                <w:vertAlign w:val="superscript"/>
              </w:rPr>
              <w:fldChar w:fldCharType="begin"/>
            </w:r>
            <w:r w:rsidRPr="00393F7A">
              <w:rPr>
                <w:rFonts w:ascii="Arial Narrow" w:hAnsi="Arial Narrow" w:cstheme="minorHAnsi"/>
                <w:b/>
                <w:bCs/>
                <w:sz w:val="20"/>
                <w:szCs w:val="20"/>
                <w:vertAlign w:val="superscript"/>
              </w:rPr>
              <w:instrText xml:space="preserve"> NOTEREF _Ref109903659 \h  \* MERGEFORMAT </w:instrText>
            </w:r>
            <w:r w:rsidRPr="00393F7A">
              <w:rPr>
                <w:rFonts w:ascii="Arial Narrow" w:hAnsi="Arial Narrow" w:cstheme="minorHAnsi"/>
                <w:b/>
                <w:bCs/>
                <w:sz w:val="20"/>
                <w:szCs w:val="20"/>
                <w:vertAlign w:val="superscript"/>
              </w:rPr>
              <w:fldChar w:fldCharType="separate"/>
            </w:r>
            <w:r w:rsidR="009B6B3C">
              <w:rPr>
                <w:rFonts w:ascii="Arial Narrow" w:hAnsi="Arial Narrow" w:cstheme="minorHAnsi"/>
                <w:sz w:val="20"/>
                <w:szCs w:val="20"/>
                <w:vertAlign w:val="superscript"/>
                <w:lang w:val="en-US"/>
              </w:rPr>
              <w:t>Error! Bookmark not defined.</w:t>
            </w:r>
            <w:r w:rsidRPr="00393F7A">
              <w:rPr>
                <w:rFonts w:ascii="Arial Narrow" w:hAnsi="Arial Narrow" w:cstheme="minorHAnsi"/>
                <w:b/>
                <w:bCs/>
                <w:sz w:val="20"/>
                <w:szCs w:val="20"/>
                <w:vertAlign w:val="superscript"/>
              </w:rPr>
              <w:fldChar w:fldCharType="end"/>
            </w:r>
          </w:p>
        </w:tc>
        <w:tc>
          <w:tcPr>
            <w:tcW w:w="1246" w:type="pct"/>
            <w:shd w:val="clear" w:color="auto" w:fill="E7E6E6" w:themeFill="background2"/>
          </w:tcPr>
          <w:p w14:paraId="51D9CF83" w14:textId="48768DD1" w:rsidR="00A40131" w:rsidRPr="00393F7A" w:rsidRDefault="00A40131" w:rsidP="003C0BDF">
            <w:pPr>
              <w:rPr>
                <w:rFonts w:ascii="Arial Narrow" w:hAnsi="Arial Narrow" w:cstheme="minorHAnsi"/>
                <w:b/>
                <w:bCs/>
                <w:sz w:val="20"/>
                <w:szCs w:val="20"/>
              </w:rPr>
            </w:pPr>
            <w:r w:rsidRPr="00393F7A">
              <w:rPr>
                <w:rFonts w:ascii="Arial Narrow" w:hAnsi="Arial Narrow" w:cstheme="minorHAnsi"/>
                <w:b/>
                <w:bCs/>
                <w:sz w:val="20"/>
                <w:szCs w:val="20"/>
              </w:rPr>
              <w:t>RANZCOG Guidelines</w:t>
            </w:r>
            <w:r w:rsidRPr="00393F7A">
              <w:rPr>
                <w:rFonts w:ascii="Arial Narrow" w:hAnsi="Arial Narrow" w:cstheme="minorHAnsi"/>
                <w:b/>
                <w:bCs/>
                <w:sz w:val="20"/>
                <w:szCs w:val="20"/>
                <w:vertAlign w:val="superscript"/>
              </w:rPr>
              <w:fldChar w:fldCharType="begin"/>
            </w:r>
            <w:r w:rsidRPr="00393F7A">
              <w:rPr>
                <w:rFonts w:ascii="Arial Narrow" w:hAnsi="Arial Narrow" w:cstheme="minorHAnsi"/>
                <w:b/>
                <w:bCs/>
                <w:sz w:val="20"/>
                <w:szCs w:val="20"/>
                <w:vertAlign w:val="superscript"/>
              </w:rPr>
              <w:instrText xml:space="preserve"> NOTEREF _Ref109903672 \h  \* MERGEFORMAT </w:instrText>
            </w:r>
            <w:r w:rsidRPr="00393F7A">
              <w:rPr>
                <w:rFonts w:ascii="Arial Narrow" w:hAnsi="Arial Narrow" w:cstheme="minorHAnsi"/>
                <w:b/>
                <w:bCs/>
                <w:sz w:val="20"/>
                <w:szCs w:val="20"/>
                <w:vertAlign w:val="superscript"/>
              </w:rPr>
              <w:fldChar w:fldCharType="separate"/>
            </w:r>
            <w:r w:rsidR="009B6B3C">
              <w:rPr>
                <w:rFonts w:ascii="Arial Narrow" w:hAnsi="Arial Narrow" w:cstheme="minorHAnsi"/>
                <w:sz w:val="20"/>
                <w:szCs w:val="20"/>
                <w:vertAlign w:val="superscript"/>
                <w:lang w:val="en-US"/>
              </w:rPr>
              <w:t>Error! Bookmark not defined.</w:t>
            </w:r>
            <w:r w:rsidRPr="00393F7A">
              <w:rPr>
                <w:rFonts w:ascii="Arial Narrow" w:hAnsi="Arial Narrow" w:cstheme="minorHAnsi"/>
                <w:b/>
                <w:bCs/>
                <w:sz w:val="20"/>
                <w:szCs w:val="20"/>
                <w:vertAlign w:val="superscript"/>
              </w:rPr>
              <w:fldChar w:fldCharType="end"/>
            </w:r>
          </w:p>
        </w:tc>
        <w:tc>
          <w:tcPr>
            <w:tcW w:w="1387" w:type="pct"/>
            <w:shd w:val="clear" w:color="auto" w:fill="E7E6E6" w:themeFill="background2"/>
          </w:tcPr>
          <w:p w14:paraId="2BFAB8EC" w14:textId="638DE7AF" w:rsidR="00A40131" w:rsidRPr="00393F7A" w:rsidRDefault="00A40131" w:rsidP="003C0BDF">
            <w:pPr>
              <w:rPr>
                <w:rFonts w:ascii="Arial Narrow" w:hAnsi="Arial Narrow" w:cstheme="minorHAnsi"/>
                <w:b/>
                <w:bCs/>
                <w:sz w:val="20"/>
                <w:szCs w:val="20"/>
              </w:rPr>
            </w:pPr>
            <w:r w:rsidRPr="00393F7A">
              <w:rPr>
                <w:rFonts w:ascii="Arial Narrow" w:hAnsi="Arial Narrow" w:cstheme="minorHAnsi"/>
                <w:b/>
                <w:bCs/>
                <w:sz w:val="20"/>
                <w:szCs w:val="20"/>
              </w:rPr>
              <w:t>Australian Medicines Handbook</w:t>
            </w:r>
            <w:r w:rsidRPr="00393F7A">
              <w:rPr>
                <w:rFonts w:ascii="Arial Narrow" w:hAnsi="Arial Narrow" w:cstheme="minorHAnsi"/>
                <w:b/>
                <w:bCs/>
                <w:sz w:val="20"/>
                <w:szCs w:val="20"/>
                <w:vertAlign w:val="superscript"/>
              </w:rPr>
              <w:fldChar w:fldCharType="begin"/>
            </w:r>
            <w:r w:rsidRPr="00393F7A">
              <w:rPr>
                <w:rFonts w:ascii="Arial Narrow" w:hAnsi="Arial Narrow" w:cstheme="minorHAnsi"/>
                <w:b/>
                <w:bCs/>
                <w:sz w:val="20"/>
                <w:szCs w:val="20"/>
                <w:vertAlign w:val="superscript"/>
              </w:rPr>
              <w:instrText xml:space="preserve"> NOTEREF _Ref109903682 \h  \* MERGEFORMAT </w:instrText>
            </w:r>
            <w:r w:rsidRPr="00393F7A">
              <w:rPr>
                <w:rFonts w:ascii="Arial Narrow" w:hAnsi="Arial Narrow" w:cstheme="minorHAnsi"/>
                <w:b/>
                <w:bCs/>
                <w:sz w:val="20"/>
                <w:szCs w:val="20"/>
                <w:vertAlign w:val="superscript"/>
              </w:rPr>
              <w:fldChar w:fldCharType="separate"/>
            </w:r>
            <w:r w:rsidR="009B6B3C">
              <w:rPr>
                <w:rFonts w:ascii="Arial Narrow" w:hAnsi="Arial Narrow" w:cstheme="minorHAnsi"/>
                <w:sz w:val="20"/>
                <w:szCs w:val="20"/>
                <w:vertAlign w:val="superscript"/>
                <w:lang w:val="en-US"/>
              </w:rPr>
              <w:t>Error! Bookmark not defined.</w:t>
            </w:r>
            <w:r w:rsidRPr="00393F7A">
              <w:rPr>
                <w:rFonts w:ascii="Arial Narrow" w:hAnsi="Arial Narrow" w:cstheme="minorHAnsi"/>
                <w:b/>
                <w:bCs/>
                <w:sz w:val="20"/>
                <w:szCs w:val="20"/>
                <w:vertAlign w:val="superscript"/>
              </w:rPr>
              <w:fldChar w:fldCharType="end"/>
            </w:r>
          </w:p>
        </w:tc>
      </w:tr>
      <w:tr w:rsidR="00A40131" w:rsidRPr="007F474E" w14:paraId="7D6BECCF" w14:textId="77777777" w:rsidTr="003C0BDF">
        <w:tc>
          <w:tcPr>
            <w:tcW w:w="856" w:type="pct"/>
          </w:tcPr>
          <w:p w14:paraId="09029FF0" w14:textId="77777777" w:rsidR="00A40131" w:rsidRPr="00393F7A" w:rsidRDefault="00A40131" w:rsidP="003C0BDF">
            <w:pPr>
              <w:rPr>
                <w:rFonts w:ascii="Arial Narrow" w:hAnsi="Arial Narrow" w:cstheme="minorHAnsi"/>
                <w:b/>
                <w:bCs/>
                <w:sz w:val="20"/>
                <w:szCs w:val="20"/>
              </w:rPr>
            </w:pPr>
            <w:r w:rsidRPr="00393F7A">
              <w:rPr>
                <w:rFonts w:ascii="Arial Narrow" w:hAnsi="Arial Narrow" w:cstheme="minorHAnsi"/>
                <w:b/>
                <w:bCs/>
                <w:sz w:val="20"/>
                <w:szCs w:val="20"/>
              </w:rPr>
              <w:t>Combined hormonal contraception</w:t>
            </w:r>
          </w:p>
        </w:tc>
        <w:tc>
          <w:tcPr>
            <w:tcW w:w="1511" w:type="pct"/>
          </w:tcPr>
          <w:p w14:paraId="44BE7023"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u w:val="single"/>
              </w:rPr>
              <w:t>First-line treatment</w:t>
            </w:r>
            <w:r w:rsidRPr="00393F7A">
              <w:rPr>
                <w:rFonts w:ascii="Arial Narrow" w:hAnsi="Arial Narrow" w:cstheme="minorHAnsi"/>
                <w:sz w:val="20"/>
                <w:szCs w:val="20"/>
              </w:rPr>
              <w:t xml:space="preserve"> alone or in combination with analgesia</w:t>
            </w:r>
          </w:p>
          <w:p w14:paraId="58E0C029"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 Combined oral contraceptive (COC) with low or standard dose estrogen.</w:t>
            </w:r>
          </w:p>
          <w:p w14:paraId="4138CFBE" w14:textId="77777777" w:rsidR="00A40131" w:rsidRPr="00393F7A" w:rsidRDefault="00A40131" w:rsidP="003C0BDF">
            <w:pPr>
              <w:pStyle w:val="ListParagraph"/>
              <w:numPr>
                <w:ilvl w:val="0"/>
                <w:numId w:val="10"/>
              </w:numPr>
              <w:rPr>
                <w:rFonts w:ascii="Arial Narrow" w:hAnsi="Arial Narrow" w:cstheme="minorHAnsi"/>
                <w:sz w:val="20"/>
                <w:szCs w:val="20"/>
              </w:rPr>
            </w:pPr>
            <w:r w:rsidRPr="00393F7A">
              <w:rPr>
                <w:rFonts w:ascii="Arial Narrow" w:hAnsi="Arial Narrow" w:cstheme="minorHAnsi"/>
                <w:sz w:val="20"/>
                <w:szCs w:val="20"/>
              </w:rPr>
              <w:t xml:space="preserve">COC’s can be used cyclically or continuously if menstruation elimination is required to manage symptoms. Review effectiveness after 3 months. </w:t>
            </w:r>
          </w:p>
          <w:p w14:paraId="3B86869D"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 If a non-oral form of combined hormonal contraception is preferred for endometriosis use:</w:t>
            </w:r>
          </w:p>
          <w:p w14:paraId="32E6FFAA" w14:textId="77777777" w:rsidR="00A40131" w:rsidRPr="00393F7A" w:rsidRDefault="00A40131" w:rsidP="003C0BDF">
            <w:pPr>
              <w:pStyle w:val="ListParagraph"/>
              <w:numPr>
                <w:ilvl w:val="0"/>
                <w:numId w:val="10"/>
              </w:numPr>
              <w:rPr>
                <w:rFonts w:ascii="Arial Narrow" w:hAnsi="Arial Narrow" w:cstheme="minorHAnsi"/>
                <w:sz w:val="20"/>
                <w:szCs w:val="20"/>
              </w:rPr>
            </w:pPr>
            <w:r w:rsidRPr="00393F7A">
              <w:rPr>
                <w:rFonts w:ascii="Arial Narrow" w:hAnsi="Arial Narrow" w:cstheme="minorHAnsi"/>
                <w:sz w:val="20"/>
                <w:szCs w:val="20"/>
              </w:rPr>
              <w:t>Ethinylestradiol + esonogestrel ring intravaginally</w:t>
            </w:r>
          </w:p>
        </w:tc>
        <w:tc>
          <w:tcPr>
            <w:tcW w:w="1246" w:type="pct"/>
          </w:tcPr>
          <w:p w14:paraId="62EAF34C"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No hormonal treatment between COC, progestogen or GnRH agonists have shown to be superior. Treatment should be based on a shared decision-making approach.</w:t>
            </w:r>
          </w:p>
        </w:tc>
        <w:tc>
          <w:tcPr>
            <w:tcW w:w="1387" w:type="pct"/>
          </w:tcPr>
          <w:p w14:paraId="6A84A2F1"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 xml:space="preserve">COC’s can be taken long term. Extended regimens may be used in women with dysmenorrhoea. There is no evidence that one combination product is more effective than another. </w:t>
            </w:r>
          </w:p>
        </w:tc>
      </w:tr>
      <w:tr w:rsidR="00A40131" w:rsidRPr="007F474E" w14:paraId="08BFB540" w14:textId="77777777" w:rsidTr="003C0BDF">
        <w:tc>
          <w:tcPr>
            <w:tcW w:w="856" w:type="pct"/>
          </w:tcPr>
          <w:p w14:paraId="3068CBAB" w14:textId="77777777" w:rsidR="00A40131" w:rsidRPr="00393F7A" w:rsidRDefault="00A40131" w:rsidP="003C0BDF">
            <w:pPr>
              <w:rPr>
                <w:rFonts w:ascii="Arial Narrow" w:hAnsi="Arial Narrow" w:cstheme="minorHAnsi"/>
                <w:b/>
                <w:bCs/>
                <w:sz w:val="20"/>
                <w:szCs w:val="20"/>
              </w:rPr>
            </w:pPr>
            <w:r w:rsidRPr="00393F7A">
              <w:rPr>
                <w:rFonts w:ascii="Arial Narrow" w:hAnsi="Arial Narrow" w:cstheme="minorHAnsi"/>
                <w:b/>
                <w:bCs/>
                <w:sz w:val="20"/>
                <w:szCs w:val="20"/>
              </w:rPr>
              <w:t xml:space="preserve">Progestogens </w:t>
            </w:r>
          </w:p>
        </w:tc>
        <w:tc>
          <w:tcPr>
            <w:tcW w:w="1511" w:type="pct"/>
          </w:tcPr>
          <w:p w14:paraId="3F5A2C5F"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Long-acting progestogens:</w:t>
            </w:r>
          </w:p>
          <w:p w14:paraId="01651CC5"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 xml:space="preserve">- Alternative first line treatment to combined hormonal contraception, particularly if estrogen is contraindicated. </w:t>
            </w:r>
          </w:p>
          <w:p w14:paraId="1F0D6665" w14:textId="77777777" w:rsidR="00A40131" w:rsidRPr="00393F7A" w:rsidRDefault="00A40131" w:rsidP="003C0BDF">
            <w:pPr>
              <w:pStyle w:val="ListParagraph"/>
              <w:numPr>
                <w:ilvl w:val="0"/>
                <w:numId w:val="11"/>
              </w:numPr>
              <w:rPr>
                <w:rFonts w:ascii="Arial Narrow" w:hAnsi="Arial Narrow" w:cstheme="minorHAnsi"/>
                <w:sz w:val="20"/>
                <w:szCs w:val="20"/>
              </w:rPr>
            </w:pPr>
            <w:r w:rsidRPr="00393F7A">
              <w:rPr>
                <w:rFonts w:ascii="Arial Narrow" w:hAnsi="Arial Narrow" w:cstheme="minorHAnsi"/>
                <w:sz w:val="20"/>
                <w:szCs w:val="20"/>
              </w:rPr>
              <w:t>Etonogestrel subdermal implant</w:t>
            </w:r>
          </w:p>
          <w:p w14:paraId="601DE657" w14:textId="77777777" w:rsidR="00A40131" w:rsidRPr="00393F7A" w:rsidRDefault="00A40131" w:rsidP="003C0BDF">
            <w:pPr>
              <w:pStyle w:val="ListParagraph"/>
              <w:numPr>
                <w:ilvl w:val="0"/>
                <w:numId w:val="11"/>
              </w:numPr>
              <w:rPr>
                <w:rFonts w:ascii="Arial Narrow" w:hAnsi="Arial Narrow" w:cstheme="minorHAnsi"/>
                <w:sz w:val="20"/>
                <w:szCs w:val="20"/>
              </w:rPr>
            </w:pPr>
            <w:r w:rsidRPr="00393F7A">
              <w:rPr>
                <w:rFonts w:ascii="Arial Narrow" w:hAnsi="Arial Narrow" w:cstheme="minorHAnsi"/>
                <w:sz w:val="20"/>
                <w:szCs w:val="20"/>
              </w:rPr>
              <w:t>Levonorgestrel IUD</w:t>
            </w:r>
          </w:p>
          <w:p w14:paraId="761A7F0A" w14:textId="77777777" w:rsidR="00A40131" w:rsidRPr="00393F7A" w:rsidRDefault="00A40131" w:rsidP="003C0BDF">
            <w:pPr>
              <w:pStyle w:val="ListParagraph"/>
              <w:numPr>
                <w:ilvl w:val="0"/>
                <w:numId w:val="11"/>
              </w:numPr>
              <w:rPr>
                <w:rFonts w:ascii="Arial Narrow" w:hAnsi="Arial Narrow" w:cstheme="minorHAnsi"/>
                <w:sz w:val="20"/>
                <w:szCs w:val="20"/>
              </w:rPr>
            </w:pPr>
            <w:r w:rsidRPr="00393F7A">
              <w:rPr>
                <w:rFonts w:ascii="Arial Narrow" w:hAnsi="Arial Narrow" w:cstheme="minorHAnsi"/>
                <w:sz w:val="20"/>
                <w:szCs w:val="20"/>
              </w:rPr>
              <w:t>Medroxyprogesterone deep intramuscular injection</w:t>
            </w:r>
          </w:p>
          <w:p w14:paraId="7188ACA6" w14:textId="77777777" w:rsidR="00A40131" w:rsidRPr="00393F7A" w:rsidRDefault="00A40131" w:rsidP="003C0BDF">
            <w:pPr>
              <w:rPr>
                <w:rFonts w:ascii="Arial Narrow" w:hAnsi="Arial Narrow" w:cstheme="minorHAnsi"/>
                <w:sz w:val="20"/>
                <w:szCs w:val="20"/>
              </w:rPr>
            </w:pPr>
          </w:p>
          <w:p w14:paraId="23544CA0"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Oral progestogens:</w:t>
            </w:r>
          </w:p>
          <w:p w14:paraId="740C5463"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 Indicated if there is a contraindication to estrogens and long-acting progestogens</w:t>
            </w:r>
          </w:p>
          <w:p w14:paraId="180E57FF"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First line:</w:t>
            </w:r>
          </w:p>
          <w:p w14:paraId="79529931" w14:textId="77777777" w:rsidR="00A40131" w:rsidRPr="00393F7A" w:rsidRDefault="00A40131" w:rsidP="003C0BDF">
            <w:pPr>
              <w:pStyle w:val="ListParagraph"/>
              <w:numPr>
                <w:ilvl w:val="0"/>
                <w:numId w:val="12"/>
              </w:numPr>
              <w:rPr>
                <w:rFonts w:ascii="Arial Narrow" w:hAnsi="Arial Narrow" w:cstheme="minorHAnsi"/>
                <w:sz w:val="20"/>
                <w:szCs w:val="20"/>
              </w:rPr>
            </w:pPr>
            <w:r w:rsidRPr="00393F7A">
              <w:rPr>
                <w:rFonts w:ascii="Arial Narrow" w:hAnsi="Arial Narrow" w:cstheme="minorHAnsi"/>
                <w:sz w:val="20"/>
                <w:szCs w:val="20"/>
              </w:rPr>
              <w:t xml:space="preserve">Norethisterone </w:t>
            </w:r>
          </w:p>
          <w:p w14:paraId="70CBD88C"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lastRenderedPageBreak/>
              <w:t>Second line:</w:t>
            </w:r>
          </w:p>
          <w:p w14:paraId="573F547D" w14:textId="77777777" w:rsidR="00A40131" w:rsidRPr="00393F7A" w:rsidRDefault="00A40131" w:rsidP="003C0BDF">
            <w:pPr>
              <w:pStyle w:val="ListParagraph"/>
              <w:numPr>
                <w:ilvl w:val="0"/>
                <w:numId w:val="13"/>
              </w:numPr>
              <w:rPr>
                <w:rFonts w:ascii="Arial Narrow" w:hAnsi="Arial Narrow" w:cstheme="minorHAnsi"/>
                <w:sz w:val="20"/>
                <w:szCs w:val="20"/>
              </w:rPr>
            </w:pPr>
            <w:r w:rsidRPr="00393F7A">
              <w:rPr>
                <w:rFonts w:ascii="Arial Narrow" w:hAnsi="Arial Narrow" w:cstheme="minorHAnsi"/>
                <w:sz w:val="20"/>
                <w:szCs w:val="20"/>
              </w:rPr>
              <w:t>Dienogest</w:t>
            </w:r>
          </w:p>
          <w:p w14:paraId="33993353" w14:textId="77777777" w:rsidR="00A40131" w:rsidRPr="00393F7A" w:rsidRDefault="00A40131" w:rsidP="003C0BDF">
            <w:pPr>
              <w:pStyle w:val="ListParagraph"/>
              <w:numPr>
                <w:ilvl w:val="0"/>
                <w:numId w:val="13"/>
              </w:numPr>
              <w:rPr>
                <w:rFonts w:ascii="Arial Narrow" w:hAnsi="Arial Narrow" w:cstheme="minorHAnsi"/>
                <w:sz w:val="20"/>
                <w:szCs w:val="20"/>
              </w:rPr>
            </w:pPr>
            <w:r w:rsidRPr="00393F7A">
              <w:rPr>
                <w:rFonts w:ascii="Arial Narrow" w:hAnsi="Arial Narrow" w:cstheme="minorHAnsi"/>
                <w:sz w:val="20"/>
                <w:szCs w:val="20"/>
              </w:rPr>
              <w:t>Medroxyprogesterone</w:t>
            </w:r>
          </w:p>
        </w:tc>
        <w:tc>
          <w:tcPr>
            <w:tcW w:w="1246" w:type="pct"/>
          </w:tcPr>
          <w:p w14:paraId="1752D0EB"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lastRenderedPageBreak/>
              <w:t>No hormonal treatment between COC, progestogen or GnRH agonists have shown to be superior. Treatment should be based on a shared decision-making approach.</w:t>
            </w:r>
          </w:p>
        </w:tc>
        <w:tc>
          <w:tcPr>
            <w:tcW w:w="1387" w:type="pct"/>
          </w:tcPr>
          <w:p w14:paraId="5F259213"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Progestogens can be used long term. Continuous norethisterone, IM medroxyprogesterone and levonorgestrel IUD also provide contraception; an effective non-hormonal method of contraception must be used during treatment with dienogest.</w:t>
            </w:r>
          </w:p>
          <w:p w14:paraId="3F61C06A" w14:textId="77777777" w:rsidR="00A40131" w:rsidRPr="00393F7A" w:rsidRDefault="00A40131" w:rsidP="003C0BDF">
            <w:pPr>
              <w:rPr>
                <w:rFonts w:ascii="Arial Narrow" w:hAnsi="Arial Narrow" w:cstheme="minorHAnsi"/>
                <w:sz w:val="20"/>
                <w:szCs w:val="20"/>
              </w:rPr>
            </w:pPr>
          </w:p>
          <w:p w14:paraId="241F705C" w14:textId="77777777" w:rsidR="00A40131" w:rsidRPr="00393F7A" w:rsidRDefault="00A40131" w:rsidP="003C0BDF">
            <w:pPr>
              <w:rPr>
                <w:rFonts w:ascii="Arial Narrow" w:hAnsi="Arial Narrow" w:cstheme="minorHAnsi"/>
                <w:sz w:val="20"/>
                <w:szCs w:val="20"/>
              </w:rPr>
            </w:pPr>
          </w:p>
          <w:p w14:paraId="652648B2" w14:textId="77777777" w:rsidR="00A40131" w:rsidRPr="00393F7A" w:rsidRDefault="00A40131" w:rsidP="003C0BDF">
            <w:pPr>
              <w:rPr>
                <w:rFonts w:ascii="Arial Narrow" w:hAnsi="Arial Narrow" w:cstheme="minorHAnsi"/>
                <w:sz w:val="20"/>
                <w:szCs w:val="20"/>
              </w:rPr>
            </w:pPr>
          </w:p>
        </w:tc>
      </w:tr>
      <w:tr w:rsidR="00A40131" w:rsidRPr="007F474E" w14:paraId="7EA470BE" w14:textId="77777777" w:rsidTr="003C0BDF">
        <w:tc>
          <w:tcPr>
            <w:tcW w:w="856" w:type="pct"/>
          </w:tcPr>
          <w:p w14:paraId="3D9910E5" w14:textId="77777777" w:rsidR="00A40131" w:rsidRPr="00393F7A" w:rsidRDefault="00A40131" w:rsidP="003C0BDF">
            <w:pPr>
              <w:rPr>
                <w:rFonts w:ascii="Arial Narrow" w:hAnsi="Arial Narrow" w:cstheme="minorHAnsi"/>
                <w:b/>
                <w:bCs/>
                <w:sz w:val="20"/>
                <w:szCs w:val="20"/>
              </w:rPr>
            </w:pPr>
            <w:r w:rsidRPr="00393F7A">
              <w:rPr>
                <w:rFonts w:ascii="Arial Narrow" w:hAnsi="Arial Narrow" w:cstheme="minorHAnsi"/>
                <w:b/>
                <w:bCs/>
                <w:sz w:val="20"/>
                <w:szCs w:val="20"/>
              </w:rPr>
              <w:t>Gonadotrophin-releasing hormone (GnRH) agonists</w:t>
            </w:r>
          </w:p>
        </w:tc>
        <w:tc>
          <w:tcPr>
            <w:tcW w:w="1511" w:type="pct"/>
          </w:tcPr>
          <w:p w14:paraId="342A0752"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 xml:space="preserve">Use of GnRH agonists for endometriosis require specialist advice. They may be used after surgery, especially if endometriotic lesions were not completely excised, or when other treatments have failed. </w:t>
            </w:r>
          </w:p>
          <w:p w14:paraId="4B679E5E" w14:textId="5D271685"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GnRH agonists may cause hypoestrogenic adverse effects (</w:t>
            </w:r>
            <w:r w:rsidR="00BB55F7" w:rsidRPr="00393F7A">
              <w:rPr>
                <w:rFonts w:ascii="Arial Narrow" w:hAnsi="Arial Narrow" w:cstheme="minorHAnsi"/>
                <w:sz w:val="20"/>
                <w:szCs w:val="20"/>
              </w:rPr>
              <w:t>e</w:t>
            </w:r>
            <w:r w:rsidR="00BB55F7">
              <w:rPr>
                <w:rFonts w:ascii="Arial Narrow" w:hAnsi="Arial Narrow" w:cstheme="minorHAnsi"/>
                <w:sz w:val="20"/>
                <w:szCs w:val="20"/>
              </w:rPr>
              <w:t>.</w:t>
            </w:r>
            <w:r w:rsidR="00BB55F7" w:rsidRPr="00393F7A">
              <w:rPr>
                <w:rFonts w:ascii="Arial Narrow" w:hAnsi="Arial Narrow" w:cstheme="minorHAnsi"/>
                <w:sz w:val="20"/>
                <w:szCs w:val="20"/>
              </w:rPr>
              <w:t>g</w:t>
            </w:r>
            <w:r w:rsidR="00BB55F7">
              <w:rPr>
                <w:rFonts w:ascii="Arial Narrow" w:hAnsi="Arial Narrow" w:cstheme="minorHAnsi"/>
                <w:sz w:val="20"/>
                <w:szCs w:val="20"/>
              </w:rPr>
              <w:t>.,</w:t>
            </w:r>
            <w:r w:rsidRPr="00393F7A">
              <w:rPr>
                <w:rFonts w:ascii="Arial Narrow" w:hAnsi="Arial Narrow" w:cstheme="minorHAnsi"/>
                <w:sz w:val="20"/>
                <w:szCs w:val="20"/>
              </w:rPr>
              <w:t xml:space="preserve"> hot flushes, vaginal dryness, decreased bone mineral density), which limit their duration of use to 6 months. Estrogen and progestogen replacement (with doses typically used for combined menopausal hormone therapy) reduce these adverse effects, allowing GnRH agonist use for up to 2 years. Use GnRH agonists with caution in young people, particularly adolescents, because GnRH agonists may limit peak bone mass.</w:t>
            </w:r>
          </w:p>
        </w:tc>
        <w:tc>
          <w:tcPr>
            <w:tcW w:w="1246" w:type="pct"/>
          </w:tcPr>
          <w:p w14:paraId="61336439"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Further to the above, GnRH are used as an adjunct to surgery for deep endometriosis involving the bowl, bladder, or ureter, consider 3 months of GnRH agonists prior to surgery.</w:t>
            </w:r>
          </w:p>
        </w:tc>
        <w:tc>
          <w:tcPr>
            <w:tcW w:w="1387" w:type="pct"/>
          </w:tcPr>
          <w:p w14:paraId="0B98C403"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The GnRH agonists, goserelin and nafarelin, are associated with hypo-estrogenic adverse effects such as hot flushes, vaginal dryness and decreased BMD. Duration of treatment is limited to 6 months due to loss of BMD. Adding combined HRT (add-back therapy) reduces these adverse effects and protects against BMD loss while maintaining efficacy, which may allow longer treatment. An effective non-hormonal method of contraception must be used during treatment (to avoid pregnancy in the event of missed doses).</w:t>
            </w:r>
          </w:p>
        </w:tc>
      </w:tr>
      <w:tr w:rsidR="00A40131" w:rsidRPr="007F474E" w14:paraId="6A6A4607" w14:textId="77777777" w:rsidTr="003C0BDF">
        <w:tc>
          <w:tcPr>
            <w:tcW w:w="856" w:type="pct"/>
          </w:tcPr>
          <w:p w14:paraId="05861812" w14:textId="77777777" w:rsidR="00A40131" w:rsidRPr="00393F7A" w:rsidRDefault="00A40131" w:rsidP="003C0BDF">
            <w:pPr>
              <w:rPr>
                <w:rFonts w:ascii="Arial Narrow" w:hAnsi="Arial Narrow" w:cstheme="minorHAnsi"/>
                <w:b/>
                <w:bCs/>
                <w:sz w:val="20"/>
                <w:szCs w:val="20"/>
              </w:rPr>
            </w:pPr>
            <w:r w:rsidRPr="00393F7A">
              <w:rPr>
                <w:rFonts w:ascii="Arial Narrow" w:hAnsi="Arial Narrow" w:cstheme="minorHAnsi"/>
                <w:b/>
                <w:bCs/>
                <w:sz w:val="20"/>
                <w:szCs w:val="20"/>
              </w:rPr>
              <w:t xml:space="preserve">Androgenic hormones (Danazol) </w:t>
            </w:r>
          </w:p>
        </w:tc>
        <w:tc>
          <w:tcPr>
            <w:tcW w:w="1511" w:type="pct"/>
          </w:tcPr>
          <w:p w14:paraId="04562583" w14:textId="3F97D91D"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shd w:val="clear" w:color="auto" w:fill="FFFFFF"/>
              </w:rPr>
              <w:t>Danazol is reserved for use by specialists when other treatments are not tolerated. It has significant adverse effects (</w:t>
            </w:r>
            <w:r w:rsidR="00690F55" w:rsidRPr="00393F7A">
              <w:rPr>
                <w:rFonts w:ascii="Arial Narrow" w:hAnsi="Arial Narrow" w:cstheme="minorHAnsi"/>
                <w:sz w:val="20"/>
                <w:szCs w:val="20"/>
                <w:shd w:val="clear" w:color="auto" w:fill="FFFFFF"/>
              </w:rPr>
              <w:t>e.g.,</w:t>
            </w:r>
            <w:r w:rsidRPr="00393F7A">
              <w:rPr>
                <w:rFonts w:ascii="Arial Narrow" w:hAnsi="Arial Narrow" w:cstheme="minorHAnsi"/>
                <w:sz w:val="20"/>
                <w:szCs w:val="20"/>
                <w:shd w:val="clear" w:color="auto" w:fill="FFFFFF"/>
              </w:rPr>
              <w:t xml:space="preserve"> hirsutism, acne, voice change, liver toxicity, dyslipidaemia, a small increase in the risk of ovarian cancer), and treatment duration is limited to 6 to 9 months. An effective nonhormonal method of contraception must be used concurrently during treatment with danazol.</w:t>
            </w:r>
          </w:p>
        </w:tc>
        <w:tc>
          <w:tcPr>
            <w:tcW w:w="1246" w:type="pct"/>
          </w:tcPr>
          <w:p w14:paraId="77E9C430"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Referred to in management strategies to enhance fertility in people with endometriosis, stating that danazol led to fewer expectant pregnancies than placebo</w:t>
            </w:r>
            <w:r w:rsidRPr="00393F7A">
              <w:rPr>
                <w:rFonts w:ascii="Arial Narrow" w:hAnsi="Arial Narrow" w:cstheme="minorHAnsi"/>
              </w:rPr>
              <w:t xml:space="preserve">. </w:t>
            </w:r>
          </w:p>
        </w:tc>
        <w:tc>
          <w:tcPr>
            <w:tcW w:w="1387" w:type="pct"/>
          </w:tcPr>
          <w:p w14:paraId="5E186F14" w14:textId="41EC05C9"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Danazol has androgenic adverse effects (</w:t>
            </w:r>
            <w:r w:rsidR="00690F55" w:rsidRPr="00393F7A">
              <w:rPr>
                <w:rFonts w:ascii="Arial Narrow" w:hAnsi="Arial Narrow" w:cstheme="minorHAnsi"/>
                <w:sz w:val="20"/>
                <w:szCs w:val="20"/>
              </w:rPr>
              <w:t>e</w:t>
            </w:r>
            <w:r w:rsidR="00690F55">
              <w:rPr>
                <w:rFonts w:ascii="Arial Narrow" w:hAnsi="Arial Narrow" w:cstheme="minorHAnsi"/>
                <w:sz w:val="20"/>
                <w:szCs w:val="20"/>
              </w:rPr>
              <w:t>.</w:t>
            </w:r>
            <w:r w:rsidR="00690F55" w:rsidRPr="00393F7A">
              <w:rPr>
                <w:rFonts w:ascii="Arial Narrow" w:hAnsi="Arial Narrow" w:cstheme="minorHAnsi"/>
                <w:sz w:val="20"/>
                <w:szCs w:val="20"/>
              </w:rPr>
              <w:t>g</w:t>
            </w:r>
            <w:r w:rsidR="00690F55">
              <w:rPr>
                <w:rFonts w:ascii="Arial Narrow" w:hAnsi="Arial Narrow" w:cstheme="minorHAnsi"/>
                <w:sz w:val="20"/>
                <w:szCs w:val="20"/>
              </w:rPr>
              <w:t>.,</w:t>
            </w:r>
            <w:r w:rsidRPr="00393F7A">
              <w:rPr>
                <w:rFonts w:ascii="Arial Narrow" w:hAnsi="Arial Narrow" w:cstheme="minorHAnsi"/>
                <w:sz w:val="20"/>
                <w:szCs w:val="20"/>
              </w:rPr>
              <w:t xml:space="preserve"> hirsutism, voice change) that limit its use; other treatments are preferred. Maximum duration of treatment is 9 months. An effective non-hormonal method of contraception must be used during treatment.</w:t>
            </w:r>
          </w:p>
        </w:tc>
      </w:tr>
      <w:tr w:rsidR="00A40131" w:rsidRPr="007F474E" w14:paraId="7228BE70" w14:textId="77777777" w:rsidTr="003C0BDF">
        <w:tc>
          <w:tcPr>
            <w:tcW w:w="856" w:type="pct"/>
          </w:tcPr>
          <w:p w14:paraId="0A0D6CBD" w14:textId="77777777" w:rsidR="00A40131" w:rsidRPr="00393F7A" w:rsidRDefault="00A40131" w:rsidP="003C0BDF">
            <w:pPr>
              <w:rPr>
                <w:rFonts w:ascii="Arial Narrow" w:hAnsi="Arial Narrow" w:cstheme="minorHAnsi"/>
                <w:b/>
                <w:bCs/>
                <w:sz w:val="20"/>
                <w:szCs w:val="20"/>
              </w:rPr>
            </w:pPr>
            <w:r w:rsidRPr="00393F7A">
              <w:rPr>
                <w:rFonts w:ascii="Arial Narrow" w:hAnsi="Arial Narrow" w:cstheme="minorHAnsi"/>
                <w:b/>
                <w:bCs/>
                <w:sz w:val="20"/>
                <w:szCs w:val="20"/>
              </w:rPr>
              <w:t>Analgesia</w:t>
            </w:r>
          </w:p>
          <w:p w14:paraId="40113B3E" w14:textId="77777777" w:rsidR="00A40131" w:rsidRPr="00393F7A" w:rsidRDefault="00A40131" w:rsidP="003C0BDF">
            <w:pPr>
              <w:rPr>
                <w:rFonts w:ascii="Arial Narrow" w:hAnsi="Arial Narrow" w:cstheme="minorHAnsi"/>
                <w:b/>
                <w:bCs/>
                <w:sz w:val="20"/>
                <w:szCs w:val="20"/>
              </w:rPr>
            </w:pPr>
          </w:p>
        </w:tc>
        <w:tc>
          <w:tcPr>
            <w:tcW w:w="1511" w:type="pct"/>
          </w:tcPr>
          <w:p w14:paraId="701A9648"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shd w:val="clear" w:color="auto" w:fill="FFFFFF"/>
              </w:rPr>
              <w:t xml:space="preserve">Analgesics are first-line treatment of </w:t>
            </w:r>
            <w:r w:rsidRPr="00393F7A">
              <w:rPr>
                <w:rFonts w:ascii="Arial Narrow" w:hAnsi="Arial Narrow" w:cstheme="minorHAnsi"/>
                <w:sz w:val="20"/>
                <w:szCs w:val="20"/>
              </w:rPr>
              <w:t>endometriosis-related pain; they may be used alone or together with hormonal therapies. A 3-month trial of a nonsteroidal anti-inflammatory drug (NSAID) or paracetamol (or a combination of both) is recommended. Pain may also have a neuropathic component because endometrial deposits have been shown to be innervated; correlations are seen between the degree of innervation and intensity of pain. Review response after 3 months to determine need for specialist referral.</w:t>
            </w:r>
          </w:p>
        </w:tc>
        <w:tc>
          <w:tcPr>
            <w:tcW w:w="1246" w:type="pct"/>
          </w:tcPr>
          <w:p w14:paraId="4704436A"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 xml:space="preserve">For people with pain associated with endometriosis – consider a short trial (for example, 3 months) of a non-steroidal anti-inflammatory drug (NSAID) alone or in combination with paracetamol, if not contraindicated. If such a trial does not provide adequate pain relief, consider other forms of pain management and referral for further assessment. </w:t>
            </w:r>
          </w:p>
          <w:p w14:paraId="099B0BB5" w14:textId="77777777" w:rsidR="00A40131" w:rsidRPr="00393F7A" w:rsidRDefault="00A40131" w:rsidP="003C0BDF">
            <w:pPr>
              <w:rPr>
                <w:rFonts w:ascii="Arial Narrow" w:hAnsi="Arial Narrow" w:cstheme="minorHAnsi"/>
                <w:sz w:val="20"/>
                <w:szCs w:val="20"/>
              </w:rPr>
            </w:pPr>
          </w:p>
          <w:p w14:paraId="1C1CDC33"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lastRenderedPageBreak/>
              <w:t>There is no evidence for or against the use of anti-neuropathic pain medications for pain associated with endometriosis. Refer to a pain specialist if the pain is severe and unresponsive to simple analgesics, the pain substantially limits daily activities or if any underlying health condition has deteriorated.</w:t>
            </w:r>
          </w:p>
          <w:p w14:paraId="1A3841E8" w14:textId="77777777" w:rsidR="00A40131" w:rsidRPr="00393F7A" w:rsidRDefault="00A40131" w:rsidP="003C0BDF">
            <w:pPr>
              <w:rPr>
                <w:rFonts w:ascii="Arial Narrow" w:hAnsi="Arial Narrow" w:cstheme="minorHAnsi"/>
                <w:sz w:val="20"/>
                <w:szCs w:val="20"/>
              </w:rPr>
            </w:pPr>
          </w:p>
          <w:p w14:paraId="7B452FA7"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 xml:space="preserve">Opioids should not be used for chronic non-cancer pain as there are other treatments for endometriosis that are available. </w:t>
            </w:r>
          </w:p>
        </w:tc>
        <w:tc>
          <w:tcPr>
            <w:tcW w:w="1387" w:type="pct"/>
          </w:tcPr>
          <w:p w14:paraId="284219B9"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lastRenderedPageBreak/>
              <w:t>NSAIDs are first line for pain relief and can be used with other treatments. Although evidence is inconclusive regarding their effect on pain due to endometriosis, they are effective in relieving primary dysmenorrhoea.</w:t>
            </w:r>
          </w:p>
          <w:p w14:paraId="0AE19205" w14:textId="77777777" w:rsidR="00A40131" w:rsidRPr="00393F7A" w:rsidRDefault="00A40131" w:rsidP="003C0BDF">
            <w:pPr>
              <w:rPr>
                <w:rFonts w:ascii="Arial Narrow" w:hAnsi="Arial Narrow" w:cstheme="minorHAnsi"/>
                <w:sz w:val="20"/>
                <w:szCs w:val="20"/>
              </w:rPr>
            </w:pPr>
            <w:r w:rsidRPr="00393F7A">
              <w:rPr>
                <w:rFonts w:ascii="Arial Narrow" w:hAnsi="Arial Narrow" w:cstheme="minorHAnsi"/>
                <w:sz w:val="20"/>
                <w:szCs w:val="20"/>
              </w:rPr>
              <w:t>Paracetamol may be used with, or as an alternative to, NSAIDs but evidence for effectiveness is lacking.</w:t>
            </w:r>
          </w:p>
          <w:p w14:paraId="0AAB8C0E" w14:textId="77777777" w:rsidR="00A40131" w:rsidRPr="00393F7A" w:rsidRDefault="00A40131" w:rsidP="003C0BDF">
            <w:pPr>
              <w:jc w:val="center"/>
              <w:rPr>
                <w:rFonts w:ascii="Arial Narrow" w:hAnsi="Arial Narrow" w:cstheme="minorHAnsi"/>
                <w:sz w:val="20"/>
                <w:szCs w:val="20"/>
              </w:rPr>
            </w:pPr>
          </w:p>
        </w:tc>
      </w:tr>
    </w:tbl>
    <w:p w14:paraId="201EC839" w14:textId="4929C123" w:rsidR="00FA5113" w:rsidRPr="00934C08" w:rsidRDefault="00FA5113" w:rsidP="00A40131">
      <w:pPr>
        <w:rPr>
          <w:rFonts w:asciiTheme="minorHAnsi" w:hAnsiTheme="minorHAnsi" w:cstheme="minorHAnsi"/>
          <w:sz w:val="20"/>
          <w:szCs w:val="20"/>
        </w:rPr>
        <w:sectPr w:rsidR="00FA5113" w:rsidRPr="00934C08" w:rsidSect="005936DC">
          <w:pgSz w:w="16838" w:h="11906" w:orient="landscape"/>
          <w:pgMar w:top="1440" w:right="1440" w:bottom="1440" w:left="1440" w:header="708" w:footer="708" w:gutter="0"/>
          <w:cols w:space="708"/>
          <w:docGrid w:linePitch="360"/>
        </w:sectPr>
      </w:pPr>
      <w:r w:rsidRPr="00934C08">
        <w:rPr>
          <w:rFonts w:asciiTheme="minorHAnsi" w:hAnsiTheme="minorHAnsi" w:cstheme="minorHAnsi"/>
          <w:sz w:val="20"/>
          <w:szCs w:val="20"/>
        </w:rPr>
        <w:t xml:space="preserve">Abbreviations: eTG electronic Therapeutic Guidelines, RANZCOG Royal Australian and New Zealand College of Obstetricians and Gynaecologists, AMH Australian Medicines Handbook </w:t>
      </w:r>
    </w:p>
    <w:p w14:paraId="72E93E64" w14:textId="58F4E010" w:rsidR="00757399" w:rsidRPr="00B17FC3" w:rsidRDefault="00757399" w:rsidP="00B17FC3">
      <w:pPr>
        <w:pStyle w:val="Heading5"/>
        <w:numPr>
          <w:ilvl w:val="0"/>
          <w:numId w:val="59"/>
        </w:numPr>
        <w:spacing w:after="240"/>
        <w:rPr>
          <w:rFonts w:eastAsia="Calibri"/>
          <w:bCs/>
          <w:sz w:val="22"/>
          <w:szCs w:val="22"/>
        </w:rPr>
      </w:pPr>
      <w:r w:rsidRPr="00B17FC3">
        <w:rPr>
          <w:rFonts w:eastAsia="Calibri"/>
          <w:bCs/>
          <w:sz w:val="22"/>
          <w:szCs w:val="22"/>
        </w:rPr>
        <w:lastRenderedPageBreak/>
        <w:t xml:space="preserve">PBS listed and TGA registered medicines for endometriosis and related conditions in Australia </w:t>
      </w:r>
    </w:p>
    <w:p w14:paraId="455290E8" w14:textId="2C93D4BB" w:rsidR="00B17FC3" w:rsidRDefault="00757399" w:rsidP="00B17FC3">
      <w:pPr>
        <w:rPr>
          <w:rFonts w:asciiTheme="minorHAnsi" w:eastAsia="Calibri" w:hAnsiTheme="minorHAnsi" w:cstheme="minorHAnsi"/>
          <w:bCs/>
          <w:sz w:val="22"/>
          <w:szCs w:val="22"/>
        </w:rPr>
      </w:pPr>
      <w:r w:rsidRPr="00B17FC3">
        <w:rPr>
          <w:rFonts w:asciiTheme="minorHAnsi" w:hAnsiTheme="minorHAnsi" w:cstheme="minorHAnsi"/>
          <w:sz w:val="22"/>
          <w:szCs w:val="22"/>
        </w:rPr>
        <w:t xml:space="preserve">Table </w:t>
      </w:r>
      <w:r w:rsidR="00A40131">
        <w:rPr>
          <w:rFonts w:asciiTheme="minorHAnsi" w:hAnsiTheme="minorHAnsi" w:cstheme="minorHAnsi"/>
          <w:sz w:val="22"/>
          <w:szCs w:val="22"/>
        </w:rPr>
        <w:t>2</w:t>
      </w:r>
      <w:r w:rsidRPr="00B17FC3">
        <w:rPr>
          <w:rFonts w:asciiTheme="minorHAnsi" w:hAnsiTheme="minorHAnsi" w:cstheme="minorHAnsi"/>
          <w:sz w:val="22"/>
          <w:szCs w:val="22"/>
        </w:rPr>
        <w:t xml:space="preserve"> presents a summary of</w:t>
      </w:r>
      <w:r w:rsidRPr="00B17FC3">
        <w:rPr>
          <w:rFonts w:asciiTheme="minorHAnsi" w:eastAsia="Calibri" w:hAnsiTheme="minorHAnsi" w:cstheme="minorHAnsi"/>
          <w:bCs/>
          <w:sz w:val="22"/>
          <w:szCs w:val="22"/>
        </w:rPr>
        <w:t xml:space="preserve"> PBS listed and TGA registered medicines available specifically for endometriosis and related </w:t>
      </w:r>
      <w:r w:rsidR="00B17FC3" w:rsidRPr="00B17FC3">
        <w:rPr>
          <w:rFonts w:asciiTheme="minorHAnsi" w:eastAsia="Calibri" w:hAnsiTheme="minorHAnsi" w:cstheme="minorHAnsi"/>
          <w:bCs/>
          <w:sz w:val="22"/>
          <w:szCs w:val="22"/>
        </w:rPr>
        <w:t xml:space="preserve">conditions. </w:t>
      </w:r>
    </w:p>
    <w:p w14:paraId="1840AA6C" w14:textId="3E54DBAE" w:rsidR="005936DC" w:rsidRPr="00B17FC3" w:rsidRDefault="00B17FC3" w:rsidP="00B17FC3">
      <w:pPr>
        <w:pStyle w:val="Heading5"/>
        <w:rPr>
          <w:rFonts w:eastAsia="Calibri"/>
        </w:rPr>
      </w:pPr>
      <w:r w:rsidRPr="00B17FC3">
        <w:rPr>
          <w:rFonts w:eastAsia="Calibri"/>
        </w:rPr>
        <w:t>Table</w:t>
      </w:r>
      <w:r w:rsidR="005936DC" w:rsidRPr="00B17FC3">
        <w:rPr>
          <w:rFonts w:eastAsia="Calibri"/>
        </w:rPr>
        <w:t xml:space="preserve"> </w:t>
      </w:r>
      <w:r w:rsidR="00A40131">
        <w:rPr>
          <w:rFonts w:eastAsia="Calibri"/>
        </w:rPr>
        <w:t>2</w:t>
      </w:r>
      <w:r w:rsidR="005936DC" w:rsidRPr="00B17FC3">
        <w:rPr>
          <w:rFonts w:eastAsia="Calibri"/>
        </w:rPr>
        <w:t xml:space="preserve">: Summary of PBS listed and TGA registered medicines for endometriosis and related conditions in Australia </w:t>
      </w:r>
    </w:p>
    <w:tbl>
      <w:tblPr>
        <w:tblStyle w:val="TableGrid1"/>
        <w:tblW w:w="5000" w:type="pct"/>
        <w:tblLook w:val="04A0" w:firstRow="1" w:lastRow="0" w:firstColumn="1" w:lastColumn="0" w:noHBand="0" w:noVBand="1"/>
      </w:tblPr>
      <w:tblGrid>
        <w:gridCol w:w="2441"/>
        <w:gridCol w:w="2000"/>
        <w:gridCol w:w="2081"/>
        <w:gridCol w:w="2324"/>
        <w:gridCol w:w="5102"/>
      </w:tblGrid>
      <w:tr w:rsidR="005936DC" w:rsidRPr="00A15F33" w14:paraId="1AFC691B" w14:textId="77777777" w:rsidTr="003E3D43">
        <w:trPr>
          <w:tblHeader/>
        </w:trPr>
        <w:tc>
          <w:tcPr>
            <w:tcW w:w="875" w:type="pct"/>
            <w:shd w:val="clear" w:color="auto" w:fill="D0CECE"/>
          </w:tcPr>
          <w:p w14:paraId="03D69E1F" w14:textId="77777777" w:rsidR="005936DC" w:rsidRPr="00393F7A" w:rsidRDefault="005936DC" w:rsidP="003E3D43">
            <w:pPr>
              <w:rPr>
                <w:rFonts w:ascii="Arial Narrow" w:eastAsia="Calibri" w:hAnsi="Arial Narrow" w:cstheme="minorHAnsi"/>
                <w:b/>
                <w:sz w:val="20"/>
                <w:szCs w:val="20"/>
              </w:rPr>
            </w:pPr>
            <w:bookmarkStart w:id="16" w:name="_Hlk108009848"/>
            <w:r w:rsidRPr="00393F7A">
              <w:rPr>
                <w:rFonts w:ascii="Arial Narrow" w:eastAsia="Calibri" w:hAnsi="Arial Narrow" w:cstheme="minorHAnsi"/>
                <w:b/>
                <w:sz w:val="20"/>
                <w:szCs w:val="20"/>
              </w:rPr>
              <w:t>Drug</w:t>
            </w:r>
          </w:p>
        </w:tc>
        <w:tc>
          <w:tcPr>
            <w:tcW w:w="717" w:type="pct"/>
            <w:shd w:val="clear" w:color="auto" w:fill="D0CECE"/>
          </w:tcPr>
          <w:p w14:paraId="5B7CB72B" w14:textId="77777777" w:rsidR="005936DC" w:rsidRPr="00393F7A" w:rsidRDefault="005936DC" w:rsidP="003E3D43">
            <w:pPr>
              <w:rPr>
                <w:rFonts w:ascii="Arial Narrow" w:eastAsia="Calibri" w:hAnsi="Arial Narrow" w:cstheme="minorHAnsi"/>
                <w:b/>
                <w:sz w:val="20"/>
                <w:szCs w:val="20"/>
              </w:rPr>
            </w:pPr>
            <w:r w:rsidRPr="00393F7A">
              <w:rPr>
                <w:rFonts w:ascii="Arial Narrow" w:eastAsia="Calibri" w:hAnsi="Arial Narrow" w:cstheme="minorHAnsi"/>
                <w:b/>
                <w:sz w:val="20"/>
                <w:szCs w:val="20"/>
              </w:rPr>
              <w:t>Brands</w:t>
            </w:r>
          </w:p>
        </w:tc>
        <w:tc>
          <w:tcPr>
            <w:tcW w:w="746" w:type="pct"/>
            <w:shd w:val="clear" w:color="auto" w:fill="D0CECE"/>
          </w:tcPr>
          <w:p w14:paraId="5A8BD765" w14:textId="77777777" w:rsidR="005936DC" w:rsidRPr="00393F7A" w:rsidRDefault="005936DC" w:rsidP="003E3D43">
            <w:pPr>
              <w:rPr>
                <w:rFonts w:ascii="Arial Narrow" w:eastAsia="Calibri" w:hAnsi="Arial Narrow" w:cstheme="minorHAnsi"/>
                <w:b/>
                <w:sz w:val="20"/>
                <w:szCs w:val="20"/>
              </w:rPr>
            </w:pPr>
            <w:r w:rsidRPr="00393F7A">
              <w:rPr>
                <w:rFonts w:ascii="Arial Narrow" w:eastAsia="Calibri" w:hAnsi="Arial Narrow" w:cstheme="minorHAnsi"/>
                <w:b/>
                <w:sz w:val="20"/>
                <w:szCs w:val="20"/>
              </w:rPr>
              <w:t>Class</w:t>
            </w:r>
          </w:p>
        </w:tc>
        <w:tc>
          <w:tcPr>
            <w:tcW w:w="833" w:type="pct"/>
            <w:shd w:val="clear" w:color="auto" w:fill="D0CECE"/>
          </w:tcPr>
          <w:p w14:paraId="41D31150" w14:textId="77777777" w:rsidR="005936DC" w:rsidRPr="00393F7A" w:rsidRDefault="005936DC" w:rsidP="003E3D43">
            <w:pPr>
              <w:rPr>
                <w:rFonts w:ascii="Arial Narrow" w:eastAsia="Calibri" w:hAnsi="Arial Narrow" w:cstheme="minorHAnsi"/>
                <w:b/>
                <w:sz w:val="20"/>
                <w:szCs w:val="20"/>
              </w:rPr>
            </w:pPr>
            <w:r w:rsidRPr="00393F7A">
              <w:rPr>
                <w:rFonts w:ascii="Arial Narrow" w:eastAsia="Calibri" w:hAnsi="Arial Narrow" w:cstheme="minorHAnsi"/>
                <w:b/>
                <w:sz w:val="20"/>
                <w:szCs w:val="20"/>
              </w:rPr>
              <w:t>PBS listings</w:t>
            </w:r>
          </w:p>
          <w:p w14:paraId="594BF8D0" w14:textId="77777777" w:rsidR="005936DC" w:rsidRPr="00393F7A" w:rsidRDefault="005936DC" w:rsidP="003E3D43">
            <w:pPr>
              <w:rPr>
                <w:rFonts w:ascii="Arial Narrow" w:eastAsia="Calibri" w:hAnsi="Arial Narrow" w:cstheme="minorHAnsi"/>
                <w:b/>
                <w:sz w:val="20"/>
                <w:szCs w:val="20"/>
              </w:rPr>
            </w:pPr>
          </w:p>
        </w:tc>
        <w:tc>
          <w:tcPr>
            <w:tcW w:w="1829" w:type="pct"/>
            <w:shd w:val="clear" w:color="auto" w:fill="D0CECE"/>
          </w:tcPr>
          <w:p w14:paraId="529519BB" w14:textId="77777777" w:rsidR="005936DC" w:rsidRPr="00393F7A" w:rsidRDefault="005936DC" w:rsidP="003E3D43">
            <w:pPr>
              <w:rPr>
                <w:rFonts w:ascii="Arial Narrow" w:eastAsia="Calibri" w:hAnsi="Arial Narrow" w:cstheme="minorHAnsi"/>
                <w:b/>
                <w:sz w:val="20"/>
                <w:szCs w:val="20"/>
              </w:rPr>
            </w:pPr>
            <w:r w:rsidRPr="00393F7A">
              <w:rPr>
                <w:rFonts w:ascii="Arial Narrow" w:eastAsia="Calibri" w:hAnsi="Arial Narrow" w:cstheme="minorHAnsi"/>
                <w:b/>
                <w:sz w:val="20"/>
                <w:szCs w:val="20"/>
              </w:rPr>
              <w:t>TGA Status</w:t>
            </w:r>
          </w:p>
          <w:p w14:paraId="3D08F06D" w14:textId="77777777" w:rsidR="005936DC" w:rsidRPr="00393F7A" w:rsidRDefault="005936DC" w:rsidP="003E3D43">
            <w:pPr>
              <w:rPr>
                <w:rFonts w:ascii="Arial Narrow" w:eastAsia="Calibri" w:hAnsi="Arial Narrow" w:cstheme="minorHAnsi"/>
                <w:bCs/>
                <w:sz w:val="20"/>
                <w:szCs w:val="20"/>
              </w:rPr>
            </w:pPr>
          </w:p>
        </w:tc>
      </w:tr>
      <w:tr w:rsidR="005936DC" w:rsidRPr="00A15F33" w14:paraId="5C0ED586" w14:textId="77777777" w:rsidTr="003E3D43">
        <w:trPr>
          <w:trHeight w:val="966"/>
        </w:trPr>
        <w:tc>
          <w:tcPr>
            <w:tcW w:w="875" w:type="pct"/>
            <w:shd w:val="clear" w:color="auto" w:fill="auto"/>
          </w:tcPr>
          <w:p w14:paraId="6058ECAD" w14:textId="5A268EAF" w:rsidR="005936DC" w:rsidRPr="00393F7A" w:rsidRDefault="005A0977" w:rsidP="003E3D43">
            <w:pPr>
              <w:rPr>
                <w:rFonts w:ascii="Arial Narrow" w:eastAsia="Calibri" w:hAnsi="Arial Narrow" w:cstheme="minorHAnsi"/>
                <w:sz w:val="20"/>
                <w:szCs w:val="20"/>
              </w:rPr>
            </w:pPr>
            <w:r>
              <w:rPr>
                <w:rFonts w:ascii="Arial Narrow" w:eastAsia="Calibri" w:hAnsi="Arial Narrow" w:cstheme="minorHAnsi"/>
                <w:sz w:val="20"/>
                <w:szCs w:val="20"/>
              </w:rPr>
              <w:t>g</w:t>
            </w:r>
            <w:r w:rsidR="005936DC" w:rsidRPr="00393F7A">
              <w:rPr>
                <w:rFonts w:ascii="Arial Narrow" w:eastAsia="Calibri" w:hAnsi="Arial Narrow" w:cstheme="minorHAnsi"/>
                <w:sz w:val="20"/>
                <w:szCs w:val="20"/>
              </w:rPr>
              <w:t xml:space="preserve">oserelin </w:t>
            </w:r>
          </w:p>
        </w:tc>
        <w:tc>
          <w:tcPr>
            <w:tcW w:w="717" w:type="pct"/>
          </w:tcPr>
          <w:p w14:paraId="4E7C87B5" w14:textId="77777777"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Zoladex®</w:t>
            </w:r>
          </w:p>
        </w:tc>
        <w:tc>
          <w:tcPr>
            <w:tcW w:w="746" w:type="pct"/>
          </w:tcPr>
          <w:p w14:paraId="1A6F02F2" w14:textId="77777777"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Gonadotropin releasing hormone analogues</w:t>
            </w:r>
          </w:p>
        </w:tc>
        <w:tc>
          <w:tcPr>
            <w:tcW w:w="833" w:type="pct"/>
          </w:tcPr>
          <w:p w14:paraId="2FD0CFBD" w14:textId="77777777" w:rsidR="005936DC" w:rsidRPr="00393F7A" w:rsidRDefault="005936DC" w:rsidP="003E3D43">
            <w:pPr>
              <w:rPr>
                <w:rFonts w:ascii="Arial Narrow" w:eastAsia="Calibri" w:hAnsi="Arial Narrow" w:cstheme="minorHAnsi"/>
                <w:b/>
                <w:bCs/>
                <w:sz w:val="20"/>
                <w:szCs w:val="20"/>
              </w:rPr>
            </w:pPr>
            <w:r w:rsidRPr="00393F7A">
              <w:rPr>
                <w:rFonts w:ascii="Arial Narrow" w:eastAsia="Calibri" w:hAnsi="Arial Narrow" w:cstheme="minorHAnsi"/>
                <w:b/>
                <w:bCs/>
                <w:sz w:val="20"/>
                <w:szCs w:val="20"/>
              </w:rPr>
              <w:t>Endometriosis</w:t>
            </w:r>
          </w:p>
          <w:p w14:paraId="78BE469F" w14:textId="77777777" w:rsidR="005936DC" w:rsidRPr="00393F7A" w:rsidRDefault="005936DC" w:rsidP="003E3D43">
            <w:pPr>
              <w:rPr>
                <w:rFonts w:ascii="Arial Narrow" w:eastAsia="Calibri" w:hAnsi="Arial Narrow" w:cstheme="minorHAnsi"/>
                <w:sz w:val="20"/>
                <w:szCs w:val="20"/>
              </w:rPr>
            </w:pPr>
          </w:p>
        </w:tc>
        <w:tc>
          <w:tcPr>
            <w:tcW w:w="1829" w:type="pct"/>
          </w:tcPr>
          <w:p w14:paraId="36A82E1C" w14:textId="77777777" w:rsidR="005936DC" w:rsidRPr="00393F7A" w:rsidRDefault="005936DC" w:rsidP="005936DC">
            <w:pPr>
              <w:pStyle w:val="ListParagraph"/>
              <w:numPr>
                <w:ilvl w:val="0"/>
                <w:numId w:val="8"/>
              </w:numPr>
              <w:rPr>
                <w:rFonts w:ascii="Arial Narrow" w:hAnsi="Arial Narrow" w:cstheme="minorHAnsi"/>
                <w:sz w:val="20"/>
                <w:szCs w:val="20"/>
              </w:rPr>
            </w:pPr>
            <w:r w:rsidRPr="00393F7A">
              <w:rPr>
                <w:rFonts w:ascii="Arial Narrow" w:hAnsi="Arial Narrow" w:cstheme="minorHAnsi"/>
                <w:b/>
                <w:bCs/>
                <w:sz w:val="20"/>
                <w:szCs w:val="20"/>
              </w:rPr>
              <w:t>Endometriosis:</w:t>
            </w:r>
            <w:r w:rsidRPr="00393F7A">
              <w:rPr>
                <w:rFonts w:ascii="Arial Narrow" w:hAnsi="Arial Narrow" w:cstheme="minorHAnsi"/>
                <w:sz w:val="20"/>
                <w:szCs w:val="20"/>
              </w:rPr>
              <w:t xml:space="preserve"> In the management of visually proven endometriosis to reduce symptoms including pain and the size and number of endometrial lesions.</w:t>
            </w:r>
          </w:p>
          <w:p w14:paraId="6CFDB4D2" w14:textId="77777777" w:rsidR="005936DC" w:rsidRPr="00393F7A" w:rsidRDefault="005936DC" w:rsidP="005936DC">
            <w:pPr>
              <w:pStyle w:val="ListParagraph"/>
              <w:numPr>
                <w:ilvl w:val="0"/>
                <w:numId w:val="8"/>
              </w:numPr>
              <w:rPr>
                <w:rFonts w:ascii="Arial Narrow" w:eastAsia="Calibri" w:hAnsi="Arial Narrow" w:cstheme="minorHAnsi"/>
                <w:sz w:val="20"/>
                <w:szCs w:val="20"/>
              </w:rPr>
            </w:pPr>
            <w:r w:rsidRPr="00393F7A">
              <w:rPr>
                <w:rFonts w:ascii="Arial Narrow" w:hAnsi="Arial Narrow" w:cstheme="minorHAnsi"/>
                <w:sz w:val="20"/>
                <w:szCs w:val="20"/>
              </w:rPr>
              <w:t xml:space="preserve">uterine fibroids, endometrial thinning, assisted reproduction. </w:t>
            </w:r>
          </w:p>
        </w:tc>
      </w:tr>
      <w:tr w:rsidR="005936DC" w:rsidRPr="00A15F33" w14:paraId="1EF7320B" w14:textId="77777777" w:rsidTr="003E3D43">
        <w:trPr>
          <w:trHeight w:val="940"/>
        </w:trPr>
        <w:tc>
          <w:tcPr>
            <w:tcW w:w="875" w:type="pct"/>
            <w:shd w:val="clear" w:color="auto" w:fill="auto"/>
          </w:tcPr>
          <w:p w14:paraId="40224B9F" w14:textId="143CAA8A" w:rsidR="005936DC" w:rsidRPr="00393F7A" w:rsidRDefault="005A0977" w:rsidP="003E3D43">
            <w:pPr>
              <w:rPr>
                <w:rFonts w:ascii="Arial Narrow" w:eastAsia="Calibri" w:hAnsi="Arial Narrow" w:cstheme="minorHAnsi"/>
                <w:sz w:val="20"/>
                <w:szCs w:val="20"/>
              </w:rPr>
            </w:pPr>
            <w:r>
              <w:rPr>
                <w:rFonts w:ascii="Arial Narrow" w:eastAsia="Calibri" w:hAnsi="Arial Narrow" w:cstheme="minorHAnsi"/>
                <w:sz w:val="20"/>
                <w:szCs w:val="20"/>
              </w:rPr>
              <w:t>n</w:t>
            </w:r>
            <w:r w:rsidR="005936DC" w:rsidRPr="00393F7A">
              <w:rPr>
                <w:rFonts w:ascii="Arial Narrow" w:eastAsia="Calibri" w:hAnsi="Arial Narrow" w:cstheme="minorHAnsi"/>
                <w:sz w:val="20"/>
                <w:szCs w:val="20"/>
              </w:rPr>
              <w:t>afarelin</w:t>
            </w:r>
          </w:p>
        </w:tc>
        <w:tc>
          <w:tcPr>
            <w:tcW w:w="717" w:type="pct"/>
          </w:tcPr>
          <w:p w14:paraId="7EBBF9B6" w14:textId="77777777"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Synarel®</w:t>
            </w:r>
          </w:p>
        </w:tc>
        <w:tc>
          <w:tcPr>
            <w:tcW w:w="746" w:type="pct"/>
          </w:tcPr>
          <w:p w14:paraId="0C67AAFD" w14:textId="77777777"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Gonadotropin releasing hormones</w:t>
            </w:r>
          </w:p>
        </w:tc>
        <w:tc>
          <w:tcPr>
            <w:tcW w:w="833" w:type="pct"/>
          </w:tcPr>
          <w:p w14:paraId="001766BC" w14:textId="77777777" w:rsidR="005936DC" w:rsidRPr="00393F7A" w:rsidRDefault="005936DC" w:rsidP="003E3D43">
            <w:pPr>
              <w:rPr>
                <w:rFonts w:ascii="Arial Narrow" w:eastAsia="Calibri" w:hAnsi="Arial Narrow" w:cstheme="minorHAnsi"/>
                <w:b/>
                <w:bCs/>
                <w:sz w:val="20"/>
                <w:szCs w:val="20"/>
              </w:rPr>
            </w:pPr>
            <w:r w:rsidRPr="00393F7A">
              <w:rPr>
                <w:rFonts w:ascii="Arial Narrow" w:eastAsia="Calibri" w:hAnsi="Arial Narrow" w:cstheme="minorHAnsi"/>
                <w:b/>
                <w:bCs/>
                <w:sz w:val="20"/>
                <w:szCs w:val="20"/>
              </w:rPr>
              <w:t xml:space="preserve">Endometriosis </w:t>
            </w:r>
          </w:p>
        </w:tc>
        <w:tc>
          <w:tcPr>
            <w:tcW w:w="1829" w:type="pct"/>
          </w:tcPr>
          <w:p w14:paraId="1CCCDDF7" w14:textId="77777777" w:rsidR="005936DC" w:rsidRPr="00393F7A" w:rsidRDefault="005936DC" w:rsidP="005936DC">
            <w:pPr>
              <w:pStyle w:val="ListParagraph"/>
              <w:numPr>
                <w:ilvl w:val="0"/>
                <w:numId w:val="9"/>
              </w:numPr>
              <w:rPr>
                <w:rFonts w:ascii="Arial Narrow" w:hAnsi="Arial Narrow" w:cstheme="minorHAnsi"/>
                <w:sz w:val="20"/>
                <w:szCs w:val="20"/>
              </w:rPr>
            </w:pPr>
            <w:r w:rsidRPr="00393F7A">
              <w:rPr>
                <w:rFonts w:ascii="Arial Narrow" w:hAnsi="Arial Narrow" w:cstheme="minorHAnsi"/>
                <w:sz w:val="20"/>
                <w:szCs w:val="20"/>
              </w:rPr>
              <w:t xml:space="preserve">hormonal management of visually proven </w:t>
            </w:r>
            <w:r w:rsidRPr="00393F7A">
              <w:rPr>
                <w:rFonts w:ascii="Arial Narrow" w:hAnsi="Arial Narrow" w:cstheme="minorHAnsi"/>
                <w:b/>
                <w:bCs/>
                <w:sz w:val="20"/>
                <w:szCs w:val="20"/>
              </w:rPr>
              <w:t>endometriosis,</w:t>
            </w:r>
            <w:r w:rsidRPr="00393F7A">
              <w:rPr>
                <w:rFonts w:ascii="Arial Narrow" w:hAnsi="Arial Narrow" w:cstheme="minorHAnsi"/>
                <w:sz w:val="20"/>
                <w:szCs w:val="20"/>
              </w:rPr>
              <w:t xml:space="preserve"> including pain relief and reduction of endometriotic lesions.</w:t>
            </w:r>
          </w:p>
          <w:p w14:paraId="7A6C11E3" w14:textId="77777777" w:rsidR="005936DC" w:rsidRPr="00393F7A" w:rsidRDefault="005936DC" w:rsidP="005936DC">
            <w:pPr>
              <w:pStyle w:val="ListParagraph"/>
              <w:numPr>
                <w:ilvl w:val="0"/>
                <w:numId w:val="9"/>
              </w:numPr>
              <w:rPr>
                <w:rFonts w:ascii="Arial Narrow" w:eastAsia="Calibri" w:hAnsi="Arial Narrow" w:cstheme="minorHAnsi"/>
                <w:i/>
                <w:iCs/>
                <w:sz w:val="20"/>
                <w:szCs w:val="20"/>
              </w:rPr>
            </w:pPr>
            <w:r w:rsidRPr="00393F7A">
              <w:rPr>
                <w:rFonts w:ascii="Arial Narrow" w:hAnsi="Arial Narrow" w:cstheme="minorHAnsi"/>
                <w:sz w:val="20"/>
                <w:szCs w:val="20"/>
              </w:rPr>
              <w:t>For use in controlled ovarian stimulation programmes prior to in-vitro fertilisation</w:t>
            </w:r>
            <w:r w:rsidRPr="00393F7A">
              <w:rPr>
                <w:rFonts w:ascii="Arial Narrow" w:hAnsi="Arial Narrow" w:cstheme="minorHAnsi"/>
                <w:i/>
                <w:iCs/>
                <w:sz w:val="20"/>
                <w:szCs w:val="20"/>
              </w:rPr>
              <w:t xml:space="preserve">. </w:t>
            </w:r>
          </w:p>
        </w:tc>
      </w:tr>
      <w:tr w:rsidR="005936DC" w:rsidRPr="00A15F33" w14:paraId="34B3E902" w14:textId="77777777" w:rsidTr="00054AE5">
        <w:trPr>
          <w:trHeight w:val="1136"/>
        </w:trPr>
        <w:tc>
          <w:tcPr>
            <w:tcW w:w="875" w:type="pct"/>
            <w:shd w:val="clear" w:color="auto" w:fill="auto"/>
          </w:tcPr>
          <w:p w14:paraId="32B4B814" w14:textId="7667373D" w:rsidR="005936DC" w:rsidRPr="00393F7A" w:rsidRDefault="005A0977" w:rsidP="003E3D43">
            <w:pPr>
              <w:rPr>
                <w:rFonts w:ascii="Arial Narrow" w:eastAsia="Calibri" w:hAnsi="Arial Narrow" w:cstheme="minorHAnsi"/>
                <w:sz w:val="20"/>
                <w:szCs w:val="20"/>
              </w:rPr>
            </w:pPr>
            <w:r>
              <w:rPr>
                <w:rFonts w:ascii="Arial Narrow" w:eastAsia="Calibri" w:hAnsi="Arial Narrow" w:cstheme="minorHAnsi"/>
                <w:sz w:val="20"/>
                <w:szCs w:val="20"/>
              </w:rPr>
              <w:t>m</w:t>
            </w:r>
            <w:r w:rsidR="005936DC" w:rsidRPr="00393F7A">
              <w:rPr>
                <w:rFonts w:ascii="Arial Narrow" w:eastAsia="Calibri" w:hAnsi="Arial Narrow" w:cstheme="minorHAnsi"/>
                <w:sz w:val="20"/>
                <w:szCs w:val="20"/>
              </w:rPr>
              <w:t xml:space="preserve">edroxyprogesterone acetate </w:t>
            </w:r>
          </w:p>
        </w:tc>
        <w:tc>
          <w:tcPr>
            <w:tcW w:w="717" w:type="pct"/>
          </w:tcPr>
          <w:p w14:paraId="5A06B885" w14:textId="77777777"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Ralovera®</w:t>
            </w:r>
          </w:p>
          <w:p w14:paraId="4EE1BDAD" w14:textId="77777777"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Provera®</w:t>
            </w:r>
          </w:p>
        </w:tc>
        <w:tc>
          <w:tcPr>
            <w:tcW w:w="746" w:type="pct"/>
          </w:tcPr>
          <w:p w14:paraId="08DB902D" w14:textId="77777777"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 xml:space="preserve">Pregnen (4) derivatives </w:t>
            </w:r>
          </w:p>
          <w:p w14:paraId="45367D40" w14:textId="54D92132" w:rsidR="004578CC" w:rsidRPr="00393F7A" w:rsidRDefault="004578C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 xml:space="preserve">Progestogens </w:t>
            </w:r>
          </w:p>
        </w:tc>
        <w:tc>
          <w:tcPr>
            <w:tcW w:w="833" w:type="pct"/>
          </w:tcPr>
          <w:p w14:paraId="566FCD33" w14:textId="77777777" w:rsidR="005936DC" w:rsidRPr="00393F7A" w:rsidRDefault="005936DC" w:rsidP="003E3D43">
            <w:pPr>
              <w:rPr>
                <w:rFonts w:ascii="Arial Narrow" w:eastAsia="Calibri" w:hAnsi="Arial Narrow" w:cstheme="minorHAnsi"/>
                <w:b/>
                <w:bCs/>
                <w:sz w:val="20"/>
                <w:szCs w:val="20"/>
              </w:rPr>
            </w:pPr>
            <w:r w:rsidRPr="00393F7A">
              <w:rPr>
                <w:rFonts w:ascii="Arial Narrow" w:eastAsia="Calibri" w:hAnsi="Arial Narrow" w:cstheme="minorHAnsi"/>
                <w:b/>
                <w:bCs/>
                <w:sz w:val="20"/>
                <w:szCs w:val="20"/>
              </w:rPr>
              <w:t xml:space="preserve">Endometriosis </w:t>
            </w:r>
          </w:p>
          <w:p w14:paraId="1A200C46" w14:textId="77777777" w:rsidR="005936DC" w:rsidRPr="00393F7A" w:rsidRDefault="005936DC" w:rsidP="003E3D43">
            <w:pPr>
              <w:rPr>
                <w:rFonts w:ascii="Arial Narrow" w:eastAsia="Calibri" w:hAnsi="Arial Narrow" w:cstheme="minorHAnsi"/>
                <w:sz w:val="20"/>
                <w:szCs w:val="20"/>
              </w:rPr>
            </w:pPr>
          </w:p>
        </w:tc>
        <w:tc>
          <w:tcPr>
            <w:tcW w:w="1829" w:type="pct"/>
          </w:tcPr>
          <w:p w14:paraId="5A839EBD" w14:textId="77777777" w:rsidR="005936DC" w:rsidRPr="00393F7A" w:rsidRDefault="005936DC" w:rsidP="005936DC">
            <w:pPr>
              <w:numPr>
                <w:ilvl w:val="0"/>
                <w:numId w:val="6"/>
              </w:numPr>
              <w:rPr>
                <w:rFonts w:ascii="Arial Narrow" w:eastAsia="Calibri" w:hAnsi="Arial Narrow" w:cstheme="minorHAnsi"/>
                <w:sz w:val="20"/>
                <w:szCs w:val="20"/>
              </w:rPr>
            </w:pPr>
            <w:r w:rsidRPr="00393F7A">
              <w:rPr>
                <w:rFonts w:ascii="Arial Narrow" w:eastAsia="Calibri" w:hAnsi="Arial Narrow" w:cstheme="minorHAnsi"/>
                <w:b/>
                <w:bCs/>
                <w:sz w:val="20"/>
                <w:szCs w:val="20"/>
              </w:rPr>
              <w:t>Endometriosis</w:t>
            </w:r>
            <w:r w:rsidRPr="00393F7A">
              <w:rPr>
                <w:rFonts w:ascii="Arial Narrow" w:hAnsi="Arial Narrow" w:cstheme="minorHAnsi"/>
                <w:b/>
                <w:bCs/>
                <w:sz w:val="20"/>
                <w:szCs w:val="20"/>
              </w:rPr>
              <w:t>:</w:t>
            </w:r>
            <w:r w:rsidRPr="00393F7A">
              <w:rPr>
                <w:rFonts w:ascii="Arial Narrow" w:hAnsi="Arial Narrow" w:cstheme="minorHAnsi"/>
                <w:sz w:val="20"/>
                <w:szCs w:val="20"/>
              </w:rPr>
              <w:t xml:space="preserve"> For use in the treatment of visually proven (laparoscopy) endometriosis where the required endpoint of treatment is pregnancy, or for the control of symptoms when surgery is contraindicated or has been unsuccessful. </w:t>
            </w:r>
          </w:p>
          <w:p w14:paraId="066D932D" w14:textId="77777777" w:rsidR="005936DC" w:rsidRPr="00393F7A" w:rsidRDefault="005936DC" w:rsidP="005936DC">
            <w:pPr>
              <w:numPr>
                <w:ilvl w:val="0"/>
                <w:numId w:val="6"/>
              </w:numPr>
              <w:rPr>
                <w:rFonts w:ascii="Arial Narrow" w:eastAsia="Calibri" w:hAnsi="Arial Narrow" w:cstheme="minorHAnsi"/>
                <w:sz w:val="20"/>
                <w:szCs w:val="20"/>
              </w:rPr>
            </w:pPr>
            <w:r w:rsidRPr="00393F7A">
              <w:rPr>
                <w:rFonts w:ascii="Arial Narrow" w:hAnsi="Arial Narrow" w:cstheme="minorHAnsi"/>
                <w:sz w:val="20"/>
                <w:szCs w:val="20"/>
              </w:rPr>
              <w:t>Abnormal uterine bleeding</w:t>
            </w:r>
            <w:r w:rsidRPr="00393F7A">
              <w:rPr>
                <w:rFonts w:ascii="Arial Narrow" w:eastAsia="Calibri" w:hAnsi="Arial Narrow" w:cstheme="minorHAnsi"/>
                <w:sz w:val="20"/>
                <w:szCs w:val="20"/>
              </w:rPr>
              <w:t xml:space="preserve"> </w:t>
            </w:r>
          </w:p>
        </w:tc>
      </w:tr>
      <w:tr w:rsidR="005936DC" w:rsidRPr="00A15F33" w14:paraId="06428050" w14:textId="77777777" w:rsidTr="00054AE5">
        <w:trPr>
          <w:trHeight w:val="231"/>
        </w:trPr>
        <w:tc>
          <w:tcPr>
            <w:tcW w:w="875" w:type="pct"/>
            <w:shd w:val="clear" w:color="auto" w:fill="auto"/>
          </w:tcPr>
          <w:p w14:paraId="74FECC63" w14:textId="70BF0775" w:rsidR="005936DC" w:rsidRPr="00393F7A" w:rsidRDefault="005A0977" w:rsidP="003E3D43">
            <w:pPr>
              <w:rPr>
                <w:rFonts w:ascii="Arial Narrow" w:eastAsia="Calibri" w:hAnsi="Arial Narrow" w:cstheme="minorHAnsi"/>
                <w:sz w:val="20"/>
                <w:szCs w:val="20"/>
              </w:rPr>
            </w:pPr>
            <w:r>
              <w:rPr>
                <w:rFonts w:ascii="Arial Narrow" w:eastAsia="Calibri" w:hAnsi="Arial Narrow" w:cstheme="minorHAnsi"/>
                <w:sz w:val="20"/>
                <w:szCs w:val="20"/>
              </w:rPr>
              <w:t>d</w:t>
            </w:r>
            <w:r w:rsidR="005936DC" w:rsidRPr="00393F7A">
              <w:rPr>
                <w:rFonts w:ascii="Arial Narrow" w:eastAsia="Calibri" w:hAnsi="Arial Narrow" w:cstheme="minorHAnsi"/>
                <w:sz w:val="20"/>
                <w:szCs w:val="20"/>
              </w:rPr>
              <w:t>ienogest</w:t>
            </w:r>
          </w:p>
        </w:tc>
        <w:tc>
          <w:tcPr>
            <w:tcW w:w="717" w:type="pct"/>
          </w:tcPr>
          <w:p w14:paraId="6DF3E9EC" w14:textId="77777777"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Visanne®</w:t>
            </w:r>
          </w:p>
        </w:tc>
        <w:tc>
          <w:tcPr>
            <w:tcW w:w="746" w:type="pct"/>
          </w:tcPr>
          <w:p w14:paraId="4161FB98" w14:textId="77777777"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 xml:space="preserve">Pregnadien derivatives </w:t>
            </w:r>
          </w:p>
        </w:tc>
        <w:tc>
          <w:tcPr>
            <w:tcW w:w="833" w:type="pct"/>
          </w:tcPr>
          <w:p w14:paraId="66FDCF9B" w14:textId="77777777"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 xml:space="preserve">Not PBS-listed </w:t>
            </w:r>
          </w:p>
        </w:tc>
        <w:tc>
          <w:tcPr>
            <w:tcW w:w="1829" w:type="pct"/>
          </w:tcPr>
          <w:p w14:paraId="321261E6" w14:textId="77777777" w:rsidR="005936DC" w:rsidRPr="00393F7A" w:rsidRDefault="005936DC" w:rsidP="005936DC">
            <w:pPr>
              <w:numPr>
                <w:ilvl w:val="0"/>
                <w:numId w:val="6"/>
              </w:numPr>
              <w:rPr>
                <w:rFonts w:ascii="Arial Narrow" w:eastAsia="Calibri" w:hAnsi="Arial Narrow" w:cstheme="minorHAnsi"/>
                <w:sz w:val="20"/>
                <w:szCs w:val="20"/>
              </w:rPr>
            </w:pPr>
            <w:r w:rsidRPr="00393F7A">
              <w:rPr>
                <w:rFonts w:ascii="Arial Narrow" w:eastAsia="Calibri" w:hAnsi="Arial Narrow" w:cstheme="minorHAnsi"/>
                <w:sz w:val="20"/>
                <w:szCs w:val="20"/>
              </w:rPr>
              <w:t xml:space="preserve">Treatment of </w:t>
            </w:r>
            <w:r w:rsidRPr="00393F7A">
              <w:rPr>
                <w:rFonts w:ascii="Arial Narrow" w:eastAsia="Calibri" w:hAnsi="Arial Narrow" w:cstheme="minorHAnsi"/>
                <w:b/>
                <w:bCs/>
                <w:sz w:val="20"/>
                <w:szCs w:val="20"/>
              </w:rPr>
              <w:t>endometriosis</w:t>
            </w:r>
          </w:p>
        </w:tc>
      </w:tr>
      <w:tr w:rsidR="005936DC" w:rsidRPr="00A15F33" w14:paraId="27540926" w14:textId="77777777" w:rsidTr="003E3D43">
        <w:trPr>
          <w:trHeight w:val="529"/>
        </w:trPr>
        <w:tc>
          <w:tcPr>
            <w:tcW w:w="875" w:type="pct"/>
            <w:shd w:val="clear" w:color="auto" w:fill="auto"/>
          </w:tcPr>
          <w:p w14:paraId="404122AD" w14:textId="6B8E0DB6" w:rsidR="005936DC" w:rsidRPr="00393F7A" w:rsidRDefault="005A0977" w:rsidP="003E3D43">
            <w:pPr>
              <w:rPr>
                <w:rFonts w:ascii="Arial Narrow" w:eastAsia="Calibri" w:hAnsi="Arial Narrow" w:cstheme="minorHAnsi"/>
                <w:sz w:val="20"/>
                <w:szCs w:val="20"/>
              </w:rPr>
            </w:pPr>
            <w:r>
              <w:rPr>
                <w:rFonts w:ascii="Arial Narrow" w:eastAsia="Calibri" w:hAnsi="Arial Narrow" w:cstheme="minorHAnsi"/>
                <w:sz w:val="20"/>
                <w:szCs w:val="20"/>
              </w:rPr>
              <w:t>n</w:t>
            </w:r>
            <w:r w:rsidR="005936DC" w:rsidRPr="00393F7A">
              <w:rPr>
                <w:rFonts w:ascii="Arial Narrow" w:eastAsia="Calibri" w:hAnsi="Arial Narrow" w:cstheme="minorHAnsi"/>
                <w:sz w:val="20"/>
                <w:szCs w:val="20"/>
              </w:rPr>
              <w:t xml:space="preserve">orethisterone </w:t>
            </w:r>
          </w:p>
        </w:tc>
        <w:tc>
          <w:tcPr>
            <w:tcW w:w="717" w:type="pct"/>
          </w:tcPr>
          <w:p w14:paraId="1DDC27BB" w14:textId="77777777"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Primolut N®</w:t>
            </w:r>
          </w:p>
        </w:tc>
        <w:tc>
          <w:tcPr>
            <w:tcW w:w="746" w:type="pct"/>
          </w:tcPr>
          <w:p w14:paraId="6D5D93FB" w14:textId="77777777" w:rsidR="004578C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Estren derivatives</w:t>
            </w:r>
          </w:p>
          <w:p w14:paraId="21ED0574" w14:textId="70116421" w:rsidR="005936DC" w:rsidRPr="00393F7A" w:rsidRDefault="004578C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Progestogens</w:t>
            </w:r>
            <w:r w:rsidR="005936DC" w:rsidRPr="00393F7A">
              <w:rPr>
                <w:rFonts w:ascii="Arial Narrow" w:eastAsia="Calibri" w:hAnsi="Arial Narrow" w:cstheme="minorHAnsi"/>
                <w:sz w:val="20"/>
                <w:szCs w:val="20"/>
              </w:rPr>
              <w:t xml:space="preserve"> </w:t>
            </w:r>
          </w:p>
        </w:tc>
        <w:tc>
          <w:tcPr>
            <w:tcW w:w="833" w:type="pct"/>
          </w:tcPr>
          <w:p w14:paraId="1CF708C9" w14:textId="77777777"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 xml:space="preserve">Unrestricted </w:t>
            </w:r>
          </w:p>
        </w:tc>
        <w:tc>
          <w:tcPr>
            <w:tcW w:w="1829" w:type="pct"/>
          </w:tcPr>
          <w:p w14:paraId="4C18D219" w14:textId="77777777" w:rsidR="005936DC" w:rsidRPr="00393F7A" w:rsidRDefault="005936DC" w:rsidP="005936DC">
            <w:pPr>
              <w:numPr>
                <w:ilvl w:val="0"/>
                <w:numId w:val="6"/>
              </w:numPr>
              <w:rPr>
                <w:rFonts w:ascii="Arial Narrow" w:eastAsia="Calibri" w:hAnsi="Arial Narrow" w:cstheme="minorHAnsi"/>
                <w:sz w:val="20"/>
                <w:szCs w:val="20"/>
              </w:rPr>
            </w:pPr>
            <w:r w:rsidRPr="00393F7A">
              <w:rPr>
                <w:rFonts w:ascii="Arial Narrow" w:hAnsi="Arial Narrow" w:cstheme="minorHAnsi"/>
                <w:sz w:val="20"/>
                <w:szCs w:val="20"/>
              </w:rPr>
              <w:t>Dysfunctional bleeding</w:t>
            </w:r>
          </w:p>
          <w:p w14:paraId="6F40E311" w14:textId="643D2F80" w:rsidR="005936DC" w:rsidRPr="00393F7A" w:rsidRDefault="00B03AC1" w:rsidP="005936DC">
            <w:pPr>
              <w:numPr>
                <w:ilvl w:val="0"/>
                <w:numId w:val="6"/>
              </w:numPr>
              <w:rPr>
                <w:rFonts w:ascii="Arial Narrow" w:eastAsia="Calibri" w:hAnsi="Arial Narrow" w:cstheme="minorHAnsi"/>
                <w:b/>
                <w:bCs/>
                <w:i/>
                <w:iCs/>
                <w:sz w:val="20"/>
                <w:szCs w:val="20"/>
              </w:rPr>
            </w:pPr>
            <w:r w:rsidRPr="00393F7A">
              <w:rPr>
                <w:rFonts w:ascii="Arial Narrow" w:hAnsi="Arial Narrow" w:cstheme="minorHAnsi"/>
                <w:b/>
                <w:bCs/>
                <w:sz w:val="20"/>
                <w:szCs w:val="20"/>
              </w:rPr>
              <w:t>E</w:t>
            </w:r>
            <w:r w:rsidR="005936DC" w:rsidRPr="00393F7A">
              <w:rPr>
                <w:rFonts w:ascii="Arial Narrow" w:hAnsi="Arial Narrow" w:cstheme="minorHAnsi"/>
                <w:b/>
                <w:bCs/>
                <w:sz w:val="20"/>
                <w:szCs w:val="20"/>
              </w:rPr>
              <w:t>ndometriosis</w:t>
            </w:r>
          </w:p>
        </w:tc>
      </w:tr>
      <w:tr w:rsidR="005936DC" w:rsidRPr="00A15F33" w14:paraId="4C64DADC" w14:textId="77777777" w:rsidTr="003E3D43">
        <w:trPr>
          <w:trHeight w:val="806"/>
        </w:trPr>
        <w:tc>
          <w:tcPr>
            <w:tcW w:w="875" w:type="pct"/>
            <w:shd w:val="clear" w:color="auto" w:fill="auto"/>
          </w:tcPr>
          <w:p w14:paraId="5DEFC7F3" w14:textId="43B0E2D9" w:rsidR="005936DC" w:rsidRPr="00393F7A" w:rsidRDefault="005A0977" w:rsidP="003E3D43">
            <w:pPr>
              <w:rPr>
                <w:rFonts w:ascii="Arial Narrow" w:eastAsia="Calibri" w:hAnsi="Arial Narrow" w:cstheme="minorHAnsi"/>
                <w:sz w:val="20"/>
                <w:szCs w:val="20"/>
              </w:rPr>
            </w:pPr>
            <w:r>
              <w:rPr>
                <w:rFonts w:ascii="Arial Narrow" w:eastAsia="Calibri" w:hAnsi="Arial Narrow" w:cstheme="minorHAnsi"/>
                <w:sz w:val="20"/>
                <w:szCs w:val="20"/>
              </w:rPr>
              <w:t>m</w:t>
            </w:r>
            <w:r w:rsidR="005936DC" w:rsidRPr="00393F7A">
              <w:rPr>
                <w:rFonts w:ascii="Arial Narrow" w:eastAsia="Calibri" w:hAnsi="Arial Narrow" w:cstheme="minorHAnsi"/>
                <w:sz w:val="20"/>
                <w:szCs w:val="20"/>
              </w:rPr>
              <w:t>edroxyprogesterone acetate</w:t>
            </w:r>
          </w:p>
        </w:tc>
        <w:tc>
          <w:tcPr>
            <w:tcW w:w="717" w:type="pct"/>
          </w:tcPr>
          <w:p w14:paraId="52D6AA9D" w14:textId="77777777"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Depo-Ralovera®</w:t>
            </w:r>
          </w:p>
          <w:p w14:paraId="105C341C" w14:textId="77777777"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Depo-Provera®</w:t>
            </w:r>
          </w:p>
        </w:tc>
        <w:tc>
          <w:tcPr>
            <w:tcW w:w="746" w:type="pct"/>
          </w:tcPr>
          <w:p w14:paraId="3C4BB091" w14:textId="1DE67194" w:rsidR="00B03AC1" w:rsidRPr="00393F7A" w:rsidRDefault="00B03AC1"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 xml:space="preserve">Pregnen (4) derivatives </w:t>
            </w:r>
          </w:p>
          <w:p w14:paraId="3C47DF4D" w14:textId="360015A8"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Progestogens</w:t>
            </w:r>
            <w:r w:rsidR="00B03AC1" w:rsidRPr="00393F7A">
              <w:rPr>
                <w:rFonts w:ascii="Arial Narrow" w:eastAsia="Calibri" w:hAnsi="Arial Narrow" w:cstheme="minorHAnsi"/>
                <w:sz w:val="20"/>
                <w:szCs w:val="20"/>
              </w:rPr>
              <w:t xml:space="preserve"> (injection)</w:t>
            </w:r>
          </w:p>
        </w:tc>
        <w:tc>
          <w:tcPr>
            <w:tcW w:w="833" w:type="pct"/>
          </w:tcPr>
          <w:p w14:paraId="2C4E719A" w14:textId="77777777"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Unrestricted</w:t>
            </w:r>
          </w:p>
        </w:tc>
        <w:tc>
          <w:tcPr>
            <w:tcW w:w="1829" w:type="pct"/>
          </w:tcPr>
          <w:p w14:paraId="5868F89C" w14:textId="77777777" w:rsidR="005936DC" w:rsidRPr="00393F7A" w:rsidRDefault="005936DC" w:rsidP="005936DC">
            <w:pPr>
              <w:numPr>
                <w:ilvl w:val="0"/>
                <w:numId w:val="6"/>
              </w:numPr>
              <w:rPr>
                <w:rFonts w:ascii="Arial Narrow" w:hAnsi="Arial Narrow" w:cstheme="minorHAnsi"/>
                <w:sz w:val="20"/>
                <w:szCs w:val="20"/>
              </w:rPr>
            </w:pPr>
            <w:r w:rsidRPr="00393F7A">
              <w:rPr>
                <w:rFonts w:ascii="Arial Narrow" w:hAnsi="Arial Narrow" w:cstheme="minorHAnsi"/>
                <w:b/>
                <w:bCs/>
                <w:sz w:val="20"/>
                <w:szCs w:val="20"/>
              </w:rPr>
              <w:t>Endometriosis:</w:t>
            </w:r>
            <w:r w:rsidRPr="00393F7A">
              <w:rPr>
                <w:rFonts w:ascii="Arial Narrow" w:hAnsi="Arial Narrow" w:cstheme="minorHAnsi"/>
                <w:sz w:val="20"/>
                <w:szCs w:val="20"/>
              </w:rPr>
              <w:t xml:space="preserve"> For use in the treatment of visually proven (laparoscopy) endometriosis where the required endpoint of treatment is pregnancy, or for the control of symptoms when surgery is contra-indicated or has been unsuccessful.</w:t>
            </w:r>
          </w:p>
          <w:p w14:paraId="4E166671" w14:textId="77777777" w:rsidR="005936DC" w:rsidRPr="00393F7A" w:rsidRDefault="005936DC" w:rsidP="005936DC">
            <w:pPr>
              <w:numPr>
                <w:ilvl w:val="0"/>
                <w:numId w:val="6"/>
              </w:numPr>
              <w:rPr>
                <w:rFonts w:ascii="Arial Narrow" w:hAnsi="Arial Narrow" w:cstheme="minorHAnsi"/>
                <w:sz w:val="20"/>
                <w:szCs w:val="20"/>
              </w:rPr>
            </w:pPr>
            <w:r w:rsidRPr="00393F7A">
              <w:rPr>
                <w:rFonts w:ascii="Arial Narrow" w:hAnsi="Arial Narrow" w:cstheme="minorHAnsi"/>
                <w:sz w:val="20"/>
                <w:szCs w:val="20"/>
              </w:rPr>
              <w:t xml:space="preserve">Contraception </w:t>
            </w:r>
          </w:p>
        </w:tc>
      </w:tr>
      <w:tr w:rsidR="005936DC" w:rsidRPr="00A15F33" w14:paraId="6230CD7D" w14:textId="77777777" w:rsidTr="00934C08">
        <w:trPr>
          <w:trHeight w:val="522"/>
        </w:trPr>
        <w:tc>
          <w:tcPr>
            <w:tcW w:w="875" w:type="pct"/>
            <w:shd w:val="clear" w:color="auto" w:fill="auto"/>
          </w:tcPr>
          <w:p w14:paraId="6B45DD19" w14:textId="73FB6FAD" w:rsidR="005936DC" w:rsidRPr="00393F7A" w:rsidRDefault="005A0977" w:rsidP="003E3D43">
            <w:pPr>
              <w:rPr>
                <w:rFonts w:ascii="Arial Narrow" w:eastAsia="Calibri" w:hAnsi="Arial Narrow" w:cstheme="minorHAnsi"/>
                <w:sz w:val="20"/>
                <w:szCs w:val="20"/>
              </w:rPr>
            </w:pPr>
            <w:r>
              <w:rPr>
                <w:rFonts w:ascii="Arial Narrow" w:eastAsia="Calibri" w:hAnsi="Arial Narrow" w:cstheme="minorHAnsi"/>
                <w:sz w:val="20"/>
                <w:szCs w:val="20"/>
              </w:rPr>
              <w:t>d</w:t>
            </w:r>
            <w:r w:rsidR="005936DC" w:rsidRPr="00393F7A">
              <w:rPr>
                <w:rFonts w:ascii="Arial Narrow" w:eastAsia="Calibri" w:hAnsi="Arial Narrow" w:cstheme="minorHAnsi"/>
                <w:sz w:val="20"/>
                <w:szCs w:val="20"/>
              </w:rPr>
              <w:t>anazol</w:t>
            </w:r>
          </w:p>
        </w:tc>
        <w:tc>
          <w:tcPr>
            <w:tcW w:w="717" w:type="pct"/>
          </w:tcPr>
          <w:p w14:paraId="723FF733" w14:textId="77777777"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AZOL®</w:t>
            </w:r>
          </w:p>
        </w:tc>
        <w:tc>
          <w:tcPr>
            <w:tcW w:w="746" w:type="pct"/>
          </w:tcPr>
          <w:p w14:paraId="1AFB47C1" w14:textId="77777777"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Antigonadotropins and similar agents</w:t>
            </w:r>
          </w:p>
        </w:tc>
        <w:tc>
          <w:tcPr>
            <w:tcW w:w="833" w:type="pct"/>
          </w:tcPr>
          <w:p w14:paraId="34FC8411" w14:textId="0A3F4A8D" w:rsidR="005936DC" w:rsidRPr="00393F7A" w:rsidRDefault="005936DC" w:rsidP="003E3D43">
            <w:pPr>
              <w:rPr>
                <w:rFonts w:ascii="Arial Narrow" w:eastAsia="Calibri" w:hAnsi="Arial Narrow" w:cstheme="minorHAnsi"/>
                <w:sz w:val="20"/>
                <w:szCs w:val="20"/>
              </w:rPr>
            </w:pPr>
            <w:r w:rsidRPr="00393F7A">
              <w:rPr>
                <w:rFonts w:ascii="Arial Narrow" w:eastAsia="Calibri" w:hAnsi="Arial Narrow" w:cstheme="minorHAnsi"/>
                <w:sz w:val="20"/>
                <w:szCs w:val="20"/>
              </w:rPr>
              <w:t>Not-PBS listed</w:t>
            </w:r>
            <w:r w:rsidR="00E63416">
              <w:rPr>
                <w:rStyle w:val="FootnoteReference"/>
                <w:rFonts w:ascii="Arial Narrow" w:eastAsia="Calibri" w:hAnsi="Arial Narrow" w:cstheme="minorHAnsi"/>
                <w:sz w:val="20"/>
                <w:szCs w:val="20"/>
              </w:rPr>
              <w:footnoteReference w:id="1"/>
            </w:r>
            <w:r w:rsidRPr="00393F7A">
              <w:rPr>
                <w:rFonts w:ascii="Arial Narrow" w:eastAsia="Calibri" w:hAnsi="Arial Narrow" w:cstheme="minorHAnsi"/>
                <w:sz w:val="20"/>
                <w:szCs w:val="20"/>
              </w:rPr>
              <w:t xml:space="preserve"> (S</w:t>
            </w:r>
            <w:r w:rsidR="00F0141E">
              <w:rPr>
                <w:rFonts w:ascii="Arial Narrow" w:eastAsia="Calibri" w:hAnsi="Arial Narrow" w:cstheme="minorHAnsi"/>
                <w:sz w:val="20"/>
                <w:szCs w:val="20"/>
              </w:rPr>
              <w:t xml:space="preserve">pecial </w:t>
            </w:r>
            <w:r w:rsidRPr="00393F7A">
              <w:rPr>
                <w:rFonts w:ascii="Arial Narrow" w:eastAsia="Calibri" w:hAnsi="Arial Narrow" w:cstheme="minorHAnsi"/>
                <w:sz w:val="20"/>
                <w:szCs w:val="20"/>
              </w:rPr>
              <w:t>A</w:t>
            </w:r>
            <w:r w:rsidR="00F0141E">
              <w:rPr>
                <w:rFonts w:ascii="Arial Narrow" w:eastAsia="Calibri" w:hAnsi="Arial Narrow" w:cstheme="minorHAnsi"/>
                <w:sz w:val="20"/>
                <w:szCs w:val="20"/>
              </w:rPr>
              <w:t xml:space="preserve">ccess </w:t>
            </w:r>
            <w:r w:rsidRPr="00393F7A">
              <w:rPr>
                <w:rFonts w:ascii="Arial Narrow" w:eastAsia="Calibri" w:hAnsi="Arial Narrow" w:cstheme="minorHAnsi"/>
                <w:sz w:val="20"/>
                <w:szCs w:val="20"/>
              </w:rPr>
              <w:t>S</w:t>
            </w:r>
            <w:r w:rsidR="00F0141E">
              <w:rPr>
                <w:rFonts w:ascii="Arial Narrow" w:eastAsia="Calibri" w:hAnsi="Arial Narrow" w:cstheme="minorHAnsi"/>
                <w:sz w:val="20"/>
                <w:szCs w:val="20"/>
              </w:rPr>
              <w:t>cheme</w:t>
            </w:r>
            <w:r w:rsidRPr="00393F7A">
              <w:rPr>
                <w:rFonts w:ascii="Arial Narrow" w:eastAsia="Calibri" w:hAnsi="Arial Narrow" w:cstheme="minorHAnsi"/>
                <w:sz w:val="20"/>
                <w:szCs w:val="20"/>
              </w:rPr>
              <w:t xml:space="preserve"> access only)</w:t>
            </w:r>
          </w:p>
        </w:tc>
        <w:tc>
          <w:tcPr>
            <w:tcW w:w="1829" w:type="pct"/>
          </w:tcPr>
          <w:p w14:paraId="5663488E" w14:textId="77777777" w:rsidR="005936DC" w:rsidRPr="00393F7A" w:rsidRDefault="005936DC" w:rsidP="005936DC">
            <w:pPr>
              <w:numPr>
                <w:ilvl w:val="0"/>
                <w:numId w:val="6"/>
              </w:numPr>
              <w:rPr>
                <w:rFonts w:ascii="Arial Narrow" w:hAnsi="Arial Narrow" w:cstheme="minorHAnsi"/>
                <w:sz w:val="20"/>
                <w:szCs w:val="20"/>
              </w:rPr>
            </w:pPr>
            <w:r w:rsidRPr="00393F7A">
              <w:rPr>
                <w:rFonts w:ascii="Arial Narrow" w:hAnsi="Arial Narrow" w:cstheme="minorHAnsi"/>
                <w:b/>
                <w:bCs/>
                <w:sz w:val="20"/>
                <w:szCs w:val="20"/>
              </w:rPr>
              <w:t>Endometriosis:</w:t>
            </w:r>
            <w:r w:rsidRPr="00393F7A">
              <w:rPr>
                <w:rFonts w:ascii="Arial Narrow" w:hAnsi="Arial Narrow" w:cstheme="minorHAnsi"/>
                <w:sz w:val="20"/>
                <w:szCs w:val="20"/>
              </w:rPr>
              <w:t xml:space="preserve"> treatment of visually proven (e.g., laparoscopy) endometriosis, where the required endpoint of treatment is fertility, or for the control of symptoms when surgery is contraindicated or has been unsuccessful.</w:t>
            </w:r>
          </w:p>
          <w:p w14:paraId="39E35B42" w14:textId="77777777" w:rsidR="005936DC" w:rsidRPr="00393F7A" w:rsidRDefault="005936DC" w:rsidP="005936DC">
            <w:pPr>
              <w:numPr>
                <w:ilvl w:val="0"/>
                <w:numId w:val="6"/>
              </w:numPr>
              <w:rPr>
                <w:rFonts w:ascii="Arial Narrow" w:hAnsi="Arial Narrow" w:cstheme="minorHAnsi"/>
                <w:sz w:val="20"/>
                <w:szCs w:val="20"/>
              </w:rPr>
            </w:pPr>
            <w:r w:rsidRPr="00393F7A">
              <w:rPr>
                <w:rFonts w:ascii="Arial Narrow" w:hAnsi="Arial Narrow" w:cstheme="minorHAnsi"/>
                <w:sz w:val="20"/>
                <w:szCs w:val="20"/>
              </w:rPr>
              <w:t>Menorrhagia: Short-term (up to 6 months) management of intractable primary menorrhagia.</w:t>
            </w:r>
          </w:p>
        </w:tc>
      </w:tr>
    </w:tbl>
    <w:bookmarkEnd w:id="16"/>
    <w:p w14:paraId="7017E0E3" w14:textId="2BF6B508" w:rsidR="00A40131" w:rsidRDefault="00A40131" w:rsidP="001B3934">
      <w:pPr>
        <w:pStyle w:val="Heading5"/>
        <w:numPr>
          <w:ilvl w:val="0"/>
          <w:numId w:val="59"/>
        </w:numPr>
        <w:spacing w:after="240"/>
      </w:pPr>
      <w:r>
        <w:lastRenderedPageBreak/>
        <w:t>Hormonal contraceptives</w:t>
      </w:r>
    </w:p>
    <w:p w14:paraId="5F1B4E7D" w14:textId="7E363C23" w:rsidR="00A40131" w:rsidRPr="003C0BDF" w:rsidRDefault="00A40131" w:rsidP="00A40131">
      <w:pPr>
        <w:pStyle w:val="Heading5"/>
        <w:spacing w:after="240"/>
        <w:rPr>
          <w:rFonts w:asciiTheme="minorHAnsi" w:hAnsiTheme="minorHAnsi" w:cstheme="minorHAnsi"/>
          <w:b w:val="0"/>
          <w:bCs/>
          <w:sz w:val="22"/>
          <w:szCs w:val="22"/>
        </w:rPr>
      </w:pPr>
      <w:r w:rsidRPr="003C0BDF">
        <w:rPr>
          <w:rFonts w:asciiTheme="minorHAnsi" w:hAnsiTheme="minorHAnsi" w:cstheme="minorHAnsi"/>
          <w:b w:val="0"/>
          <w:bCs/>
          <w:sz w:val="22"/>
          <w:szCs w:val="22"/>
        </w:rPr>
        <w:t>Table 3 details the hormonal contraceptives are available on prescription (PBS and non-PBS) in Australia</w:t>
      </w:r>
      <w:r>
        <w:rPr>
          <w:rFonts w:asciiTheme="minorHAnsi" w:hAnsiTheme="minorHAnsi" w:cstheme="minorHAnsi"/>
          <w:b w:val="0"/>
          <w:bCs/>
          <w:sz w:val="22"/>
          <w:szCs w:val="22"/>
        </w:rPr>
        <w:t xml:space="preserve">. </w:t>
      </w:r>
    </w:p>
    <w:p w14:paraId="359EEC26" w14:textId="46F840ED" w:rsidR="00A40131" w:rsidRDefault="00A40131" w:rsidP="00A40131">
      <w:pPr>
        <w:pStyle w:val="Heading5"/>
        <w:spacing w:after="240"/>
      </w:pPr>
      <w:r w:rsidRPr="004578CC">
        <w:t xml:space="preserve">Table 3: </w:t>
      </w:r>
      <w:r w:rsidR="00FF2E26">
        <w:t>H</w:t>
      </w:r>
      <w:r>
        <w:t xml:space="preserve">ormonal </w:t>
      </w:r>
      <w:r w:rsidRPr="004578CC">
        <w:t>contraceptives available on prescription in Australia</w:t>
      </w:r>
    </w:p>
    <w:tbl>
      <w:tblPr>
        <w:tblStyle w:val="TableGrid"/>
        <w:tblW w:w="0" w:type="auto"/>
        <w:tblLook w:val="04A0" w:firstRow="1" w:lastRow="0" w:firstColumn="1" w:lastColumn="0" w:noHBand="0" w:noVBand="1"/>
      </w:tblPr>
      <w:tblGrid>
        <w:gridCol w:w="1980"/>
        <w:gridCol w:w="1701"/>
        <w:gridCol w:w="1984"/>
        <w:gridCol w:w="1701"/>
        <w:gridCol w:w="1985"/>
        <w:gridCol w:w="2693"/>
        <w:gridCol w:w="1904"/>
      </w:tblGrid>
      <w:tr w:rsidR="00A40131" w:rsidRPr="001E0786" w14:paraId="6B157D3F" w14:textId="77777777" w:rsidTr="003C0BDF">
        <w:trPr>
          <w:tblHeader/>
        </w:trPr>
        <w:tc>
          <w:tcPr>
            <w:tcW w:w="1980" w:type="dxa"/>
            <w:shd w:val="clear" w:color="auto" w:fill="BFBFBF" w:themeFill="background1" w:themeFillShade="BF"/>
          </w:tcPr>
          <w:p w14:paraId="2CD6465F" w14:textId="77777777" w:rsidR="00A40131" w:rsidRPr="001E0786" w:rsidRDefault="00A40131" w:rsidP="003C0BDF">
            <w:pPr>
              <w:rPr>
                <w:rFonts w:ascii="Arial Narrow" w:hAnsi="Arial Narrow" w:cstheme="minorHAnsi"/>
                <w:b/>
                <w:bCs/>
                <w:sz w:val="20"/>
                <w:szCs w:val="20"/>
              </w:rPr>
            </w:pPr>
            <w:r w:rsidRPr="001E0786">
              <w:rPr>
                <w:rFonts w:ascii="Arial Narrow" w:hAnsi="Arial Narrow" w:cstheme="minorHAnsi"/>
                <w:b/>
                <w:bCs/>
                <w:sz w:val="20"/>
                <w:szCs w:val="20"/>
              </w:rPr>
              <w:t>Progestin (mcg)</w:t>
            </w:r>
          </w:p>
        </w:tc>
        <w:tc>
          <w:tcPr>
            <w:tcW w:w="1701" w:type="dxa"/>
            <w:shd w:val="clear" w:color="auto" w:fill="BFBFBF" w:themeFill="background1" w:themeFillShade="BF"/>
          </w:tcPr>
          <w:p w14:paraId="335678D0" w14:textId="77777777" w:rsidR="00A40131" w:rsidRPr="001E0786" w:rsidRDefault="00A40131" w:rsidP="003C0BDF">
            <w:pPr>
              <w:rPr>
                <w:rFonts w:ascii="Arial Narrow" w:hAnsi="Arial Narrow" w:cstheme="minorHAnsi"/>
                <w:b/>
                <w:bCs/>
                <w:sz w:val="20"/>
                <w:szCs w:val="20"/>
              </w:rPr>
            </w:pPr>
            <w:r w:rsidRPr="001E0786">
              <w:rPr>
                <w:rFonts w:ascii="Arial Narrow" w:hAnsi="Arial Narrow" w:cstheme="minorHAnsi"/>
                <w:b/>
                <w:bCs/>
                <w:sz w:val="20"/>
                <w:szCs w:val="20"/>
              </w:rPr>
              <w:t>Estrogen (mcg)</w:t>
            </w:r>
          </w:p>
        </w:tc>
        <w:tc>
          <w:tcPr>
            <w:tcW w:w="1984" w:type="dxa"/>
            <w:shd w:val="clear" w:color="auto" w:fill="BFBFBF" w:themeFill="background1" w:themeFillShade="BF"/>
          </w:tcPr>
          <w:p w14:paraId="17659649" w14:textId="77777777" w:rsidR="00A40131" w:rsidRPr="001E0786" w:rsidRDefault="00A40131" w:rsidP="003C0BDF">
            <w:pPr>
              <w:rPr>
                <w:rFonts w:ascii="Arial Narrow" w:hAnsi="Arial Narrow" w:cstheme="minorHAnsi"/>
                <w:b/>
                <w:bCs/>
                <w:sz w:val="20"/>
                <w:szCs w:val="20"/>
              </w:rPr>
            </w:pPr>
            <w:r w:rsidRPr="001E0786">
              <w:rPr>
                <w:rFonts w:ascii="Arial Narrow" w:hAnsi="Arial Narrow" w:cstheme="minorHAnsi"/>
                <w:b/>
                <w:bCs/>
                <w:sz w:val="20"/>
                <w:szCs w:val="20"/>
              </w:rPr>
              <w:t>PBS listed brands (®)</w:t>
            </w:r>
          </w:p>
        </w:tc>
        <w:tc>
          <w:tcPr>
            <w:tcW w:w="1701" w:type="dxa"/>
            <w:shd w:val="clear" w:color="auto" w:fill="BFBFBF" w:themeFill="background1" w:themeFillShade="BF"/>
          </w:tcPr>
          <w:p w14:paraId="2F433661" w14:textId="77777777" w:rsidR="00A40131" w:rsidRPr="001E0786" w:rsidRDefault="00A40131" w:rsidP="003C0BDF">
            <w:pPr>
              <w:rPr>
                <w:rFonts w:ascii="Arial Narrow" w:hAnsi="Arial Narrow" w:cstheme="minorHAnsi"/>
                <w:b/>
                <w:bCs/>
                <w:sz w:val="20"/>
                <w:szCs w:val="20"/>
              </w:rPr>
            </w:pPr>
            <w:r w:rsidRPr="001E0786">
              <w:rPr>
                <w:rFonts w:ascii="Arial Narrow" w:hAnsi="Arial Narrow" w:cstheme="minorHAnsi"/>
                <w:b/>
                <w:bCs/>
                <w:sz w:val="20"/>
                <w:szCs w:val="20"/>
              </w:rPr>
              <w:t>Privately available brands (®)</w:t>
            </w:r>
          </w:p>
        </w:tc>
        <w:tc>
          <w:tcPr>
            <w:tcW w:w="1985" w:type="dxa"/>
            <w:shd w:val="clear" w:color="auto" w:fill="BFBFBF" w:themeFill="background1" w:themeFillShade="BF"/>
          </w:tcPr>
          <w:p w14:paraId="4089E222" w14:textId="77777777" w:rsidR="00A40131" w:rsidRPr="001E0786" w:rsidRDefault="00A40131" w:rsidP="003C0BDF">
            <w:pPr>
              <w:rPr>
                <w:rFonts w:ascii="Arial Narrow" w:hAnsi="Arial Narrow" w:cstheme="minorHAnsi"/>
                <w:b/>
                <w:bCs/>
                <w:sz w:val="20"/>
                <w:szCs w:val="20"/>
              </w:rPr>
            </w:pPr>
            <w:r w:rsidRPr="001E0786">
              <w:rPr>
                <w:rFonts w:ascii="Arial Narrow" w:hAnsi="Arial Narrow" w:cstheme="minorHAnsi"/>
                <w:b/>
                <w:bCs/>
                <w:sz w:val="20"/>
                <w:szCs w:val="20"/>
              </w:rPr>
              <w:t>PBS listed indications</w:t>
            </w:r>
          </w:p>
        </w:tc>
        <w:tc>
          <w:tcPr>
            <w:tcW w:w="2693" w:type="dxa"/>
            <w:shd w:val="clear" w:color="auto" w:fill="BFBFBF" w:themeFill="background1" w:themeFillShade="BF"/>
          </w:tcPr>
          <w:p w14:paraId="04B5035A" w14:textId="77777777" w:rsidR="00A40131" w:rsidRPr="001E0786" w:rsidRDefault="00A40131" w:rsidP="003C0BDF">
            <w:pPr>
              <w:rPr>
                <w:rFonts w:ascii="Arial Narrow" w:hAnsi="Arial Narrow" w:cstheme="minorHAnsi"/>
                <w:b/>
                <w:bCs/>
                <w:sz w:val="20"/>
                <w:szCs w:val="20"/>
              </w:rPr>
            </w:pPr>
            <w:r w:rsidRPr="001E0786">
              <w:rPr>
                <w:rFonts w:ascii="Arial Narrow" w:hAnsi="Arial Narrow" w:cstheme="minorHAnsi"/>
                <w:b/>
                <w:bCs/>
                <w:sz w:val="20"/>
                <w:szCs w:val="20"/>
              </w:rPr>
              <w:t>TGA registered indications</w:t>
            </w:r>
          </w:p>
        </w:tc>
        <w:tc>
          <w:tcPr>
            <w:tcW w:w="1904" w:type="dxa"/>
            <w:shd w:val="clear" w:color="auto" w:fill="BFBFBF" w:themeFill="background1" w:themeFillShade="BF"/>
          </w:tcPr>
          <w:p w14:paraId="2F4E54BC" w14:textId="77777777" w:rsidR="00A40131" w:rsidRPr="001E0786" w:rsidRDefault="00A40131" w:rsidP="003C0BDF">
            <w:pPr>
              <w:rPr>
                <w:rFonts w:ascii="Arial Narrow" w:hAnsi="Arial Narrow" w:cstheme="minorHAnsi"/>
                <w:b/>
                <w:bCs/>
                <w:sz w:val="20"/>
                <w:szCs w:val="20"/>
              </w:rPr>
            </w:pPr>
            <w:r>
              <w:rPr>
                <w:rFonts w:ascii="Arial Narrow" w:hAnsi="Arial Narrow" w:cstheme="minorHAnsi"/>
                <w:b/>
                <w:bCs/>
                <w:sz w:val="20"/>
                <w:szCs w:val="20"/>
              </w:rPr>
              <w:t xml:space="preserve">Notes </w:t>
            </w:r>
          </w:p>
        </w:tc>
      </w:tr>
      <w:tr w:rsidR="00A40131" w:rsidRPr="001E0786" w14:paraId="7887B44F" w14:textId="77777777" w:rsidTr="003C0BDF">
        <w:tc>
          <w:tcPr>
            <w:tcW w:w="13948" w:type="dxa"/>
            <w:gridSpan w:val="7"/>
            <w:shd w:val="clear" w:color="auto" w:fill="F2F2F2" w:themeFill="background1" w:themeFillShade="F2"/>
          </w:tcPr>
          <w:p w14:paraId="3272C8A2" w14:textId="77777777" w:rsidR="00A40131" w:rsidRPr="00C274BB" w:rsidRDefault="00A40131" w:rsidP="003C0BDF">
            <w:pPr>
              <w:rPr>
                <w:rFonts w:ascii="Arial Narrow" w:hAnsi="Arial Narrow" w:cstheme="minorHAnsi"/>
                <w:i/>
                <w:iCs/>
                <w:sz w:val="20"/>
                <w:szCs w:val="20"/>
              </w:rPr>
            </w:pPr>
            <w:r w:rsidRPr="00C274BB">
              <w:rPr>
                <w:rFonts w:ascii="Arial Narrow" w:hAnsi="Arial Narrow" w:cstheme="minorHAnsi"/>
                <w:i/>
                <w:iCs/>
                <w:sz w:val="20"/>
                <w:szCs w:val="20"/>
              </w:rPr>
              <w:t>G03AA – Progestogens and estrogens, fixed combinations</w:t>
            </w:r>
          </w:p>
        </w:tc>
      </w:tr>
      <w:tr w:rsidR="00A40131" w:rsidRPr="001E0786" w14:paraId="11072B12" w14:textId="77777777" w:rsidTr="003C0BDF">
        <w:tc>
          <w:tcPr>
            <w:tcW w:w="1980" w:type="dxa"/>
          </w:tcPr>
          <w:p w14:paraId="091D2327" w14:textId="317BA560" w:rsidR="00A40131" w:rsidRPr="00C274BB" w:rsidRDefault="008953A7" w:rsidP="003C0BDF">
            <w:pPr>
              <w:rPr>
                <w:rFonts w:ascii="Arial Narrow" w:hAnsi="Arial Narrow" w:cstheme="minorHAnsi"/>
                <w:sz w:val="20"/>
                <w:szCs w:val="20"/>
              </w:rPr>
            </w:pPr>
            <w:r>
              <w:rPr>
                <w:rFonts w:ascii="Arial Narrow" w:hAnsi="Arial Narrow" w:cstheme="minorHAnsi"/>
                <w:sz w:val="20"/>
                <w:szCs w:val="20"/>
              </w:rPr>
              <w:t>l</w:t>
            </w:r>
            <w:r w:rsidR="00A40131" w:rsidRPr="00C274BB">
              <w:rPr>
                <w:rFonts w:ascii="Arial Narrow" w:hAnsi="Arial Narrow" w:cstheme="minorHAnsi"/>
                <w:sz w:val="20"/>
                <w:szCs w:val="20"/>
              </w:rPr>
              <w:t>evonorgestrel (150)</w:t>
            </w:r>
          </w:p>
        </w:tc>
        <w:tc>
          <w:tcPr>
            <w:tcW w:w="1701" w:type="dxa"/>
          </w:tcPr>
          <w:p w14:paraId="3DDA4ABD" w14:textId="6F842F49" w:rsidR="00A40131" w:rsidRPr="00C274BB" w:rsidRDefault="00196509" w:rsidP="003C0BDF">
            <w:pPr>
              <w:rPr>
                <w:rFonts w:ascii="Arial Narrow" w:hAnsi="Arial Narrow" w:cstheme="minorHAnsi"/>
                <w:sz w:val="20"/>
                <w:szCs w:val="20"/>
              </w:rPr>
            </w:pPr>
            <w:r>
              <w:rPr>
                <w:rFonts w:ascii="Arial Narrow" w:hAnsi="Arial Narrow" w:cstheme="minorHAnsi"/>
                <w:sz w:val="20"/>
                <w:szCs w:val="20"/>
              </w:rPr>
              <w:t>e</w:t>
            </w:r>
            <w:r w:rsidR="00A40131" w:rsidRPr="00C274BB">
              <w:rPr>
                <w:rFonts w:ascii="Arial Narrow" w:hAnsi="Arial Narrow" w:cstheme="minorHAnsi"/>
                <w:sz w:val="20"/>
                <w:szCs w:val="20"/>
              </w:rPr>
              <w:t>thinylestradiol (30)</w:t>
            </w:r>
          </w:p>
        </w:tc>
        <w:tc>
          <w:tcPr>
            <w:tcW w:w="1984" w:type="dxa"/>
          </w:tcPr>
          <w:p w14:paraId="7A71F7A5" w14:textId="77777777" w:rsidR="00A40131" w:rsidRPr="001E0786" w:rsidRDefault="00A40131" w:rsidP="003C0BDF">
            <w:pPr>
              <w:rPr>
                <w:rFonts w:ascii="Arial Narrow" w:hAnsi="Arial Narrow" w:cstheme="minorHAnsi"/>
                <w:sz w:val="20"/>
                <w:szCs w:val="20"/>
              </w:rPr>
            </w:pPr>
            <w:r w:rsidRPr="001E0786">
              <w:rPr>
                <w:rFonts w:ascii="Arial Narrow" w:hAnsi="Arial Narrow" w:cstheme="minorHAnsi"/>
                <w:sz w:val="20"/>
                <w:szCs w:val="20"/>
              </w:rPr>
              <w:t>Eleanor 150/30 ED</w:t>
            </w:r>
          </w:p>
          <w:p w14:paraId="01365D9F" w14:textId="77777777" w:rsidR="00A40131" w:rsidRPr="001E0786" w:rsidRDefault="00A40131" w:rsidP="003C0BDF">
            <w:pPr>
              <w:rPr>
                <w:rFonts w:ascii="Arial Narrow" w:hAnsi="Arial Narrow" w:cstheme="minorHAnsi"/>
                <w:sz w:val="20"/>
                <w:szCs w:val="20"/>
              </w:rPr>
            </w:pPr>
            <w:r w:rsidRPr="001E0786">
              <w:rPr>
                <w:rFonts w:ascii="Arial Narrow" w:hAnsi="Arial Narrow" w:cstheme="minorHAnsi"/>
                <w:sz w:val="20"/>
                <w:szCs w:val="20"/>
              </w:rPr>
              <w:t>Evelyn 150/30 ED</w:t>
            </w:r>
          </w:p>
          <w:p w14:paraId="1DB246CD" w14:textId="77777777" w:rsidR="00A40131" w:rsidRPr="001E0786" w:rsidRDefault="00A40131" w:rsidP="003C0BDF">
            <w:pPr>
              <w:rPr>
                <w:rFonts w:ascii="Arial Narrow" w:hAnsi="Arial Narrow" w:cstheme="minorHAnsi"/>
                <w:sz w:val="20"/>
                <w:szCs w:val="20"/>
              </w:rPr>
            </w:pPr>
            <w:r w:rsidRPr="001E0786">
              <w:rPr>
                <w:rFonts w:ascii="Arial Narrow" w:hAnsi="Arial Narrow" w:cstheme="minorHAnsi"/>
                <w:sz w:val="20"/>
                <w:szCs w:val="20"/>
              </w:rPr>
              <w:t>Femme-Tab ED 30/150</w:t>
            </w:r>
          </w:p>
          <w:p w14:paraId="5B52D620" w14:textId="77777777" w:rsidR="00A40131" w:rsidRPr="001E0786" w:rsidRDefault="00A40131" w:rsidP="003C0BDF">
            <w:pPr>
              <w:rPr>
                <w:rFonts w:ascii="Arial Narrow" w:hAnsi="Arial Narrow" w:cstheme="minorHAnsi"/>
                <w:sz w:val="20"/>
                <w:szCs w:val="20"/>
              </w:rPr>
            </w:pPr>
            <w:r w:rsidRPr="001E0786">
              <w:rPr>
                <w:rFonts w:ascii="Arial Narrow" w:hAnsi="Arial Narrow" w:cstheme="minorHAnsi"/>
                <w:sz w:val="20"/>
                <w:szCs w:val="20"/>
              </w:rPr>
              <w:t>Lenest 30 ED</w:t>
            </w:r>
          </w:p>
          <w:p w14:paraId="13ED830D" w14:textId="77777777" w:rsidR="00A40131" w:rsidRPr="001E0786" w:rsidRDefault="00A40131" w:rsidP="003C0BDF">
            <w:pPr>
              <w:rPr>
                <w:rFonts w:ascii="Arial Narrow" w:hAnsi="Arial Narrow" w:cstheme="minorHAnsi"/>
                <w:sz w:val="20"/>
                <w:szCs w:val="20"/>
              </w:rPr>
            </w:pPr>
            <w:r w:rsidRPr="001E0786">
              <w:rPr>
                <w:rFonts w:ascii="Arial Narrow" w:hAnsi="Arial Narrow" w:cstheme="minorHAnsi"/>
                <w:sz w:val="20"/>
                <w:szCs w:val="20"/>
              </w:rPr>
              <w:t>Micronelle 30 ED</w:t>
            </w:r>
          </w:p>
          <w:p w14:paraId="19C9376E" w14:textId="77777777" w:rsidR="00A40131" w:rsidRPr="001E0786" w:rsidRDefault="00A40131" w:rsidP="003C0BDF">
            <w:pPr>
              <w:rPr>
                <w:rFonts w:ascii="Arial Narrow" w:hAnsi="Arial Narrow" w:cstheme="minorHAnsi"/>
                <w:sz w:val="20"/>
                <w:szCs w:val="20"/>
              </w:rPr>
            </w:pPr>
            <w:r w:rsidRPr="001E0786">
              <w:rPr>
                <w:rFonts w:ascii="Arial Narrow" w:hAnsi="Arial Narrow" w:cstheme="minorHAnsi"/>
                <w:sz w:val="20"/>
                <w:szCs w:val="20"/>
              </w:rPr>
              <w:t>Monofeme 28</w:t>
            </w:r>
          </w:p>
          <w:p w14:paraId="57604928" w14:textId="77777777" w:rsidR="00A40131" w:rsidRPr="00C274BB" w:rsidRDefault="00A40131" w:rsidP="003C0BDF">
            <w:pPr>
              <w:rPr>
                <w:rFonts w:ascii="Arial Narrow" w:hAnsi="Arial Narrow" w:cstheme="minorHAnsi"/>
                <w:sz w:val="20"/>
                <w:szCs w:val="20"/>
              </w:rPr>
            </w:pPr>
            <w:r w:rsidRPr="001E0786">
              <w:rPr>
                <w:rFonts w:ascii="Arial Narrow" w:hAnsi="Arial Narrow" w:cstheme="minorHAnsi"/>
                <w:sz w:val="20"/>
                <w:szCs w:val="20"/>
              </w:rPr>
              <w:t>Levlen ED</w:t>
            </w:r>
          </w:p>
        </w:tc>
        <w:tc>
          <w:tcPr>
            <w:tcW w:w="1701" w:type="dxa"/>
          </w:tcPr>
          <w:p w14:paraId="23E36756" w14:textId="77777777" w:rsidR="00A40131" w:rsidRPr="001E0786" w:rsidRDefault="00A40131" w:rsidP="003C0BDF">
            <w:pPr>
              <w:rPr>
                <w:rFonts w:ascii="Arial Narrow" w:hAnsi="Arial Narrow" w:cstheme="minorHAnsi"/>
                <w:sz w:val="20"/>
                <w:szCs w:val="20"/>
              </w:rPr>
            </w:pPr>
            <w:r w:rsidRPr="001E0786">
              <w:rPr>
                <w:rFonts w:ascii="Arial Narrow" w:hAnsi="Arial Narrow" w:cstheme="minorHAnsi"/>
                <w:sz w:val="20"/>
                <w:szCs w:val="20"/>
              </w:rPr>
              <w:t>Microgynon 30</w:t>
            </w:r>
          </w:p>
          <w:p w14:paraId="660025FB" w14:textId="77777777" w:rsidR="00A40131" w:rsidRPr="001E0786" w:rsidRDefault="00A40131" w:rsidP="003C0BDF">
            <w:pPr>
              <w:rPr>
                <w:rFonts w:ascii="Arial Narrow" w:hAnsi="Arial Narrow" w:cstheme="minorHAnsi"/>
                <w:sz w:val="20"/>
                <w:szCs w:val="20"/>
              </w:rPr>
            </w:pPr>
            <w:r w:rsidRPr="001E0786">
              <w:rPr>
                <w:rFonts w:ascii="Arial Narrow" w:hAnsi="Arial Narrow" w:cstheme="minorHAnsi"/>
                <w:sz w:val="20"/>
                <w:szCs w:val="20"/>
              </w:rPr>
              <w:t>Nordette 21</w:t>
            </w:r>
          </w:p>
          <w:p w14:paraId="2EBE02EC" w14:textId="77777777" w:rsidR="00A40131" w:rsidRPr="00C274BB" w:rsidRDefault="00A40131" w:rsidP="003C0BDF">
            <w:pPr>
              <w:rPr>
                <w:rFonts w:ascii="Arial Narrow" w:hAnsi="Arial Narrow" w:cstheme="minorHAnsi"/>
                <w:sz w:val="20"/>
                <w:szCs w:val="20"/>
              </w:rPr>
            </w:pPr>
          </w:p>
        </w:tc>
        <w:tc>
          <w:tcPr>
            <w:tcW w:w="1985" w:type="dxa"/>
          </w:tcPr>
          <w:p w14:paraId="4A82F16C" w14:textId="77777777" w:rsidR="00A40131" w:rsidRPr="00C274BB" w:rsidRDefault="00A40131" w:rsidP="003C0BDF">
            <w:pPr>
              <w:rPr>
                <w:rFonts w:ascii="Arial Narrow" w:hAnsi="Arial Narrow" w:cstheme="minorHAnsi"/>
                <w:sz w:val="20"/>
                <w:szCs w:val="20"/>
              </w:rPr>
            </w:pPr>
            <w:r w:rsidRPr="00C274BB">
              <w:rPr>
                <w:rFonts w:ascii="Arial Narrow" w:hAnsi="Arial Narrow" w:cstheme="minorHAnsi"/>
                <w:sz w:val="20"/>
                <w:szCs w:val="20"/>
              </w:rPr>
              <w:t xml:space="preserve">Unrestricted </w:t>
            </w:r>
          </w:p>
        </w:tc>
        <w:tc>
          <w:tcPr>
            <w:tcW w:w="2693" w:type="dxa"/>
          </w:tcPr>
          <w:p w14:paraId="1C74A656" w14:textId="77777777" w:rsidR="00A40131" w:rsidRPr="00C274BB" w:rsidRDefault="00A40131" w:rsidP="003C0BDF">
            <w:pPr>
              <w:rPr>
                <w:rFonts w:ascii="Arial Narrow" w:hAnsi="Arial Narrow" w:cstheme="minorHAnsi"/>
                <w:sz w:val="20"/>
                <w:szCs w:val="20"/>
              </w:rPr>
            </w:pPr>
            <w:r>
              <w:rPr>
                <w:rFonts w:ascii="Arial Narrow" w:hAnsi="Arial Narrow" w:cstheme="minorHAnsi"/>
                <w:sz w:val="20"/>
                <w:szCs w:val="20"/>
              </w:rPr>
              <w:t>Contraception</w:t>
            </w:r>
          </w:p>
        </w:tc>
        <w:tc>
          <w:tcPr>
            <w:tcW w:w="1904" w:type="dxa"/>
          </w:tcPr>
          <w:p w14:paraId="421DEC83" w14:textId="77777777" w:rsidR="00A40131" w:rsidRDefault="00A40131" w:rsidP="003C0BDF">
            <w:pPr>
              <w:rPr>
                <w:rFonts w:ascii="Arial Narrow" w:hAnsi="Arial Narrow" w:cstheme="minorHAnsi"/>
                <w:sz w:val="20"/>
                <w:szCs w:val="20"/>
              </w:rPr>
            </w:pPr>
          </w:p>
        </w:tc>
      </w:tr>
      <w:tr w:rsidR="00A40131" w:rsidRPr="001E0786" w14:paraId="65832DEC" w14:textId="77777777" w:rsidTr="003C0BDF">
        <w:tc>
          <w:tcPr>
            <w:tcW w:w="1980" w:type="dxa"/>
          </w:tcPr>
          <w:p w14:paraId="5B0BFDF8" w14:textId="3D16F470" w:rsidR="00A40131" w:rsidRDefault="008953A7" w:rsidP="003C0BDF">
            <w:pPr>
              <w:rPr>
                <w:rFonts w:ascii="Arial Narrow" w:hAnsi="Arial Narrow" w:cstheme="minorHAnsi"/>
                <w:sz w:val="20"/>
                <w:szCs w:val="20"/>
              </w:rPr>
            </w:pPr>
            <w:r>
              <w:rPr>
                <w:rFonts w:ascii="Arial Narrow" w:hAnsi="Arial Narrow" w:cstheme="minorHAnsi"/>
                <w:sz w:val="20"/>
                <w:szCs w:val="20"/>
              </w:rPr>
              <w:t>l</w:t>
            </w:r>
            <w:r w:rsidR="00A40131" w:rsidRPr="009D5508">
              <w:rPr>
                <w:rFonts w:ascii="Arial Narrow" w:hAnsi="Arial Narrow" w:cstheme="minorHAnsi"/>
                <w:sz w:val="20"/>
                <w:szCs w:val="20"/>
              </w:rPr>
              <w:t>evonorgestrel (100)</w:t>
            </w:r>
          </w:p>
          <w:p w14:paraId="761B0847" w14:textId="77777777" w:rsidR="00A40131" w:rsidRPr="00C274BB" w:rsidRDefault="00A40131" w:rsidP="003C0BDF">
            <w:pPr>
              <w:rPr>
                <w:rFonts w:ascii="Arial Narrow" w:hAnsi="Arial Narrow" w:cstheme="minorHAnsi"/>
                <w:sz w:val="20"/>
                <w:szCs w:val="20"/>
              </w:rPr>
            </w:pPr>
          </w:p>
        </w:tc>
        <w:tc>
          <w:tcPr>
            <w:tcW w:w="1701" w:type="dxa"/>
          </w:tcPr>
          <w:p w14:paraId="06198F4C" w14:textId="34AC3C56" w:rsidR="00A40131" w:rsidRPr="00C274BB" w:rsidRDefault="00196509" w:rsidP="003C0BDF">
            <w:pPr>
              <w:rPr>
                <w:rFonts w:ascii="Arial Narrow" w:hAnsi="Arial Narrow" w:cstheme="minorHAnsi"/>
                <w:sz w:val="20"/>
                <w:szCs w:val="20"/>
              </w:rPr>
            </w:pPr>
            <w:r>
              <w:rPr>
                <w:rFonts w:ascii="Arial Narrow" w:hAnsi="Arial Narrow" w:cstheme="minorHAnsi"/>
                <w:sz w:val="20"/>
                <w:szCs w:val="20"/>
              </w:rPr>
              <w:t>e</w:t>
            </w:r>
            <w:r w:rsidR="00A40131" w:rsidRPr="009D5508">
              <w:rPr>
                <w:rFonts w:ascii="Arial Narrow" w:hAnsi="Arial Narrow" w:cstheme="minorHAnsi"/>
                <w:sz w:val="20"/>
                <w:szCs w:val="20"/>
              </w:rPr>
              <w:t>thinylestradiol (20)</w:t>
            </w:r>
          </w:p>
        </w:tc>
        <w:tc>
          <w:tcPr>
            <w:tcW w:w="1984" w:type="dxa"/>
          </w:tcPr>
          <w:p w14:paraId="1D9B01B2" w14:textId="77777777" w:rsidR="00A40131" w:rsidRPr="00C274BB" w:rsidRDefault="00A40131" w:rsidP="003C0BDF">
            <w:pPr>
              <w:rPr>
                <w:rFonts w:ascii="Arial Narrow" w:hAnsi="Arial Narrow" w:cstheme="minorHAnsi"/>
                <w:sz w:val="20"/>
                <w:szCs w:val="20"/>
              </w:rPr>
            </w:pPr>
            <w:r w:rsidRPr="009D5508">
              <w:rPr>
                <w:rFonts w:ascii="Arial Narrow" w:hAnsi="Arial Narrow"/>
                <w:sz w:val="20"/>
                <w:szCs w:val="20"/>
              </w:rPr>
              <w:t>Femme-Tab ED 20/100</w:t>
            </w:r>
          </w:p>
        </w:tc>
        <w:tc>
          <w:tcPr>
            <w:tcW w:w="1701" w:type="dxa"/>
          </w:tcPr>
          <w:p w14:paraId="5E9CCE26" w14:textId="77777777" w:rsidR="00A40131" w:rsidRPr="00C274BB" w:rsidRDefault="00A40131" w:rsidP="003C0BDF">
            <w:pPr>
              <w:rPr>
                <w:rFonts w:ascii="Arial Narrow" w:hAnsi="Arial Narrow" w:cstheme="minorHAnsi"/>
                <w:sz w:val="20"/>
                <w:szCs w:val="20"/>
              </w:rPr>
            </w:pPr>
            <w:r w:rsidRPr="009D5508">
              <w:rPr>
                <w:rFonts w:ascii="Arial Narrow" w:hAnsi="Arial Narrow" w:cstheme="minorHAnsi"/>
                <w:sz w:val="20"/>
                <w:szCs w:val="20"/>
              </w:rPr>
              <w:t>Microgynon 20</w:t>
            </w:r>
          </w:p>
        </w:tc>
        <w:tc>
          <w:tcPr>
            <w:tcW w:w="1985" w:type="dxa"/>
          </w:tcPr>
          <w:p w14:paraId="409D6265" w14:textId="77777777" w:rsidR="00A40131" w:rsidRPr="00C274BB" w:rsidRDefault="00A40131" w:rsidP="003C0BDF">
            <w:pPr>
              <w:rPr>
                <w:rFonts w:ascii="Arial Narrow" w:hAnsi="Arial Narrow" w:cstheme="minorHAnsi"/>
                <w:sz w:val="20"/>
                <w:szCs w:val="20"/>
              </w:rPr>
            </w:pPr>
            <w:r>
              <w:rPr>
                <w:rFonts w:ascii="Arial Narrow" w:hAnsi="Arial Narrow" w:cstheme="minorHAnsi"/>
                <w:sz w:val="20"/>
                <w:szCs w:val="20"/>
              </w:rPr>
              <w:t>Unrestricted</w:t>
            </w:r>
          </w:p>
        </w:tc>
        <w:tc>
          <w:tcPr>
            <w:tcW w:w="2693" w:type="dxa"/>
          </w:tcPr>
          <w:p w14:paraId="70D48751" w14:textId="77777777" w:rsidR="00A40131" w:rsidRPr="00C274BB" w:rsidRDefault="00A40131" w:rsidP="003C0BDF">
            <w:pPr>
              <w:rPr>
                <w:rFonts w:ascii="Arial Narrow" w:hAnsi="Arial Narrow" w:cstheme="minorHAnsi"/>
                <w:sz w:val="20"/>
                <w:szCs w:val="20"/>
              </w:rPr>
            </w:pPr>
            <w:r>
              <w:rPr>
                <w:rFonts w:ascii="Arial Narrow" w:hAnsi="Arial Narrow" w:cstheme="minorHAnsi"/>
                <w:sz w:val="20"/>
                <w:szCs w:val="20"/>
              </w:rPr>
              <w:t>Contraception</w:t>
            </w:r>
          </w:p>
        </w:tc>
        <w:tc>
          <w:tcPr>
            <w:tcW w:w="1904" w:type="dxa"/>
          </w:tcPr>
          <w:p w14:paraId="24582B55" w14:textId="77777777" w:rsidR="00A40131" w:rsidRDefault="00A40131" w:rsidP="003C0BDF">
            <w:pPr>
              <w:rPr>
                <w:rFonts w:ascii="Arial Narrow" w:hAnsi="Arial Narrow" w:cstheme="minorHAnsi"/>
                <w:sz w:val="20"/>
                <w:szCs w:val="20"/>
              </w:rPr>
            </w:pPr>
          </w:p>
        </w:tc>
      </w:tr>
      <w:tr w:rsidR="00A40131" w:rsidRPr="001E0786" w14:paraId="13593854" w14:textId="77777777" w:rsidTr="003C0BDF">
        <w:tc>
          <w:tcPr>
            <w:tcW w:w="1980" w:type="dxa"/>
          </w:tcPr>
          <w:p w14:paraId="7485B2F6" w14:textId="4E938C4D" w:rsidR="00A40131" w:rsidRDefault="008953A7" w:rsidP="003C0BDF">
            <w:pPr>
              <w:rPr>
                <w:rFonts w:ascii="Arial Narrow" w:hAnsi="Arial Narrow" w:cstheme="minorHAnsi"/>
                <w:sz w:val="20"/>
                <w:szCs w:val="20"/>
              </w:rPr>
            </w:pPr>
            <w:r>
              <w:rPr>
                <w:rFonts w:ascii="Arial Narrow" w:hAnsi="Arial Narrow" w:cstheme="minorHAnsi"/>
                <w:sz w:val="20"/>
                <w:szCs w:val="20"/>
              </w:rPr>
              <w:t>l</w:t>
            </w:r>
            <w:r w:rsidR="00A40131" w:rsidRPr="009D5508">
              <w:rPr>
                <w:rFonts w:ascii="Arial Narrow" w:hAnsi="Arial Narrow" w:cstheme="minorHAnsi"/>
                <w:sz w:val="20"/>
                <w:szCs w:val="20"/>
              </w:rPr>
              <w:t>evonorgestrel (125)</w:t>
            </w:r>
          </w:p>
          <w:p w14:paraId="482F8DB7" w14:textId="77777777" w:rsidR="00A40131" w:rsidRPr="00C274BB" w:rsidRDefault="00A40131" w:rsidP="003C0BDF">
            <w:pPr>
              <w:rPr>
                <w:rFonts w:ascii="Arial Narrow" w:hAnsi="Arial Narrow" w:cstheme="minorHAnsi"/>
                <w:sz w:val="20"/>
                <w:szCs w:val="20"/>
              </w:rPr>
            </w:pPr>
          </w:p>
        </w:tc>
        <w:tc>
          <w:tcPr>
            <w:tcW w:w="1701" w:type="dxa"/>
          </w:tcPr>
          <w:p w14:paraId="635C732E" w14:textId="0D7A56BE" w:rsidR="00A40131" w:rsidRPr="00C274BB" w:rsidRDefault="00196509" w:rsidP="003C0BDF">
            <w:pPr>
              <w:rPr>
                <w:rFonts w:ascii="Arial Narrow" w:hAnsi="Arial Narrow" w:cstheme="minorHAnsi"/>
                <w:sz w:val="20"/>
                <w:szCs w:val="20"/>
              </w:rPr>
            </w:pPr>
            <w:r>
              <w:rPr>
                <w:rFonts w:ascii="Arial Narrow" w:hAnsi="Arial Narrow" w:cstheme="minorHAnsi"/>
                <w:sz w:val="20"/>
                <w:szCs w:val="20"/>
              </w:rPr>
              <w:t>e</w:t>
            </w:r>
            <w:r w:rsidR="00A40131" w:rsidRPr="009D5508">
              <w:rPr>
                <w:rFonts w:ascii="Arial Narrow" w:hAnsi="Arial Narrow" w:cstheme="minorHAnsi"/>
                <w:sz w:val="20"/>
                <w:szCs w:val="20"/>
              </w:rPr>
              <w:t>thinylestradiol (50)</w:t>
            </w:r>
          </w:p>
        </w:tc>
        <w:tc>
          <w:tcPr>
            <w:tcW w:w="1984" w:type="dxa"/>
          </w:tcPr>
          <w:p w14:paraId="6CBB9369" w14:textId="77777777" w:rsidR="00A40131" w:rsidRPr="00C274BB" w:rsidRDefault="00A40131" w:rsidP="003C0BDF">
            <w:pPr>
              <w:rPr>
                <w:rFonts w:ascii="Arial Narrow" w:hAnsi="Arial Narrow" w:cstheme="minorHAnsi"/>
                <w:sz w:val="20"/>
                <w:szCs w:val="20"/>
              </w:rPr>
            </w:pPr>
            <w:r w:rsidRPr="009D5508">
              <w:rPr>
                <w:rFonts w:ascii="Arial Narrow" w:hAnsi="Arial Narrow" w:cstheme="minorHAnsi"/>
                <w:sz w:val="20"/>
                <w:szCs w:val="20"/>
              </w:rPr>
              <w:t>Microgynon 50 ED</w:t>
            </w:r>
          </w:p>
        </w:tc>
        <w:tc>
          <w:tcPr>
            <w:tcW w:w="1701" w:type="dxa"/>
          </w:tcPr>
          <w:p w14:paraId="73130BF7" w14:textId="77777777" w:rsidR="00A40131" w:rsidRPr="00C274BB" w:rsidRDefault="00A40131" w:rsidP="003C0BDF">
            <w:pPr>
              <w:rPr>
                <w:rFonts w:ascii="Arial Narrow" w:hAnsi="Arial Narrow" w:cstheme="minorHAnsi"/>
                <w:sz w:val="20"/>
                <w:szCs w:val="20"/>
              </w:rPr>
            </w:pPr>
            <w:r w:rsidRPr="009D5508">
              <w:rPr>
                <w:rFonts w:ascii="Arial Narrow" w:hAnsi="Arial Narrow" w:cstheme="minorHAnsi"/>
                <w:sz w:val="20"/>
                <w:szCs w:val="20"/>
              </w:rPr>
              <w:t>Nordette 50</w:t>
            </w:r>
          </w:p>
        </w:tc>
        <w:tc>
          <w:tcPr>
            <w:tcW w:w="1985" w:type="dxa"/>
          </w:tcPr>
          <w:p w14:paraId="3CBF076E" w14:textId="77777777" w:rsidR="00A40131" w:rsidRPr="00C274BB" w:rsidRDefault="00A40131" w:rsidP="003C0BDF">
            <w:pPr>
              <w:rPr>
                <w:rFonts w:ascii="Arial Narrow" w:hAnsi="Arial Narrow" w:cstheme="minorHAnsi"/>
                <w:sz w:val="20"/>
                <w:szCs w:val="20"/>
              </w:rPr>
            </w:pPr>
            <w:r>
              <w:rPr>
                <w:rFonts w:ascii="Arial Narrow" w:hAnsi="Arial Narrow" w:cstheme="minorHAnsi"/>
                <w:sz w:val="20"/>
                <w:szCs w:val="20"/>
              </w:rPr>
              <w:t xml:space="preserve">Unrestricted </w:t>
            </w:r>
          </w:p>
        </w:tc>
        <w:tc>
          <w:tcPr>
            <w:tcW w:w="2693" w:type="dxa"/>
          </w:tcPr>
          <w:p w14:paraId="078CD4D1" w14:textId="77777777" w:rsidR="00A40131" w:rsidRPr="00C274BB" w:rsidRDefault="00A40131" w:rsidP="003C0BDF">
            <w:pPr>
              <w:rPr>
                <w:rFonts w:ascii="Arial Narrow" w:hAnsi="Arial Narrow" w:cstheme="minorHAnsi"/>
                <w:sz w:val="20"/>
                <w:szCs w:val="20"/>
              </w:rPr>
            </w:pPr>
            <w:r>
              <w:rPr>
                <w:rFonts w:ascii="Arial Narrow" w:hAnsi="Arial Narrow" w:cstheme="minorHAnsi"/>
                <w:sz w:val="20"/>
                <w:szCs w:val="20"/>
              </w:rPr>
              <w:t>Contraception</w:t>
            </w:r>
          </w:p>
        </w:tc>
        <w:tc>
          <w:tcPr>
            <w:tcW w:w="1904" w:type="dxa"/>
          </w:tcPr>
          <w:p w14:paraId="40CCFED6" w14:textId="77777777" w:rsidR="00A40131" w:rsidRDefault="00A40131" w:rsidP="003C0BDF">
            <w:pPr>
              <w:rPr>
                <w:rFonts w:ascii="Arial Narrow" w:hAnsi="Arial Narrow" w:cstheme="minorHAnsi"/>
                <w:sz w:val="20"/>
                <w:szCs w:val="20"/>
              </w:rPr>
            </w:pPr>
          </w:p>
        </w:tc>
      </w:tr>
      <w:tr w:rsidR="00A40131" w:rsidRPr="001E0786" w14:paraId="2F88E538" w14:textId="77777777" w:rsidTr="003C0BDF">
        <w:tc>
          <w:tcPr>
            <w:tcW w:w="1980" w:type="dxa"/>
          </w:tcPr>
          <w:p w14:paraId="60D2A729" w14:textId="295E78AA" w:rsidR="00A40131" w:rsidRDefault="008953A7" w:rsidP="003C0BDF">
            <w:pPr>
              <w:rPr>
                <w:rFonts w:ascii="Arial Narrow" w:hAnsi="Arial Narrow" w:cstheme="minorHAnsi"/>
                <w:sz w:val="20"/>
                <w:szCs w:val="20"/>
              </w:rPr>
            </w:pPr>
            <w:r>
              <w:rPr>
                <w:rFonts w:ascii="Arial Narrow" w:hAnsi="Arial Narrow" w:cstheme="minorHAnsi"/>
                <w:sz w:val="20"/>
                <w:szCs w:val="20"/>
              </w:rPr>
              <w:t>n</w:t>
            </w:r>
            <w:r w:rsidR="00A40131" w:rsidRPr="009D5508">
              <w:rPr>
                <w:rFonts w:ascii="Arial Narrow" w:hAnsi="Arial Narrow" w:cstheme="minorHAnsi"/>
                <w:sz w:val="20"/>
                <w:szCs w:val="20"/>
              </w:rPr>
              <w:t>orethisterone (500)</w:t>
            </w:r>
          </w:p>
          <w:p w14:paraId="0C63B606" w14:textId="77777777" w:rsidR="00A40131" w:rsidRPr="00C274BB" w:rsidRDefault="00A40131" w:rsidP="003C0BDF">
            <w:pPr>
              <w:rPr>
                <w:rFonts w:ascii="Arial Narrow" w:hAnsi="Arial Narrow" w:cstheme="minorHAnsi"/>
                <w:sz w:val="20"/>
                <w:szCs w:val="20"/>
              </w:rPr>
            </w:pPr>
          </w:p>
        </w:tc>
        <w:tc>
          <w:tcPr>
            <w:tcW w:w="1701" w:type="dxa"/>
          </w:tcPr>
          <w:p w14:paraId="684ACDC2" w14:textId="2847C9BB" w:rsidR="00A40131" w:rsidRPr="00C274BB" w:rsidRDefault="00196509" w:rsidP="003C0BDF">
            <w:pPr>
              <w:rPr>
                <w:rFonts w:ascii="Arial Narrow" w:hAnsi="Arial Narrow" w:cstheme="minorHAnsi"/>
                <w:sz w:val="20"/>
                <w:szCs w:val="20"/>
              </w:rPr>
            </w:pPr>
            <w:r>
              <w:rPr>
                <w:rFonts w:ascii="Arial Narrow" w:hAnsi="Arial Narrow" w:cstheme="minorHAnsi"/>
                <w:sz w:val="20"/>
                <w:szCs w:val="20"/>
              </w:rPr>
              <w:t>e</w:t>
            </w:r>
            <w:r w:rsidR="00A40131" w:rsidRPr="009D5508">
              <w:rPr>
                <w:rFonts w:ascii="Arial Narrow" w:hAnsi="Arial Narrow" w:cstheme="minorHAnsi"/>
                <w:sz w:val="20"/>
                <w:szCs w:val="20"/>
              </w:rPr>
              <w:t>thinylestradiol (35)</w:t>
            </w:r>
          </w:p>
        </w:tc>
        <w:tc>
          <w:tcPr>
            <w:tcW w:w="1984" w:type="dxa"/>
          </w:tcPr>
          <w:p w14:paraId="18C4738E" w14:textId="77777777" w:rsidR="00A40131" w:rsidRPr="00C274BB" w:rsidRDefault="00A40131" w:rsidP="003C0BDF">
            <w:pPr>
              <w:rPr>
                <w:rFonts w:ascii="Arial Narrow" w:hAnsi="Arial Narrow" w:cstheme="minorHAnsi"/>
                <w:sz w:val="20"/>
                <w:szCs w:val="20"/>
              </w:rPr>
            </w:pPr>
            <w:r w:rsidRPr="009D5508">
              <w:rPr>
                <w:rFonts w:ascii="Arial Narrow" w:hAnsi="Arial Narrow" w:cstheme="minorHAnsi"/>
                <w:sz w:val="20"/>
                <w:szCs w:val="20"/>
              </w:rPr>
              <w:t>Norimin 28 Day</w:t>
            </w:r>
          </w:p>
        </w:tc>
        <w:tc>
          <w:tcPr>
            <w:tcW w:w="1701" w:type="dxa"/>
          </w:tcPr>
          <w:p w14:paraId="4391CD87" w14:textId="77777777" w:rsidR="00A40131" w:rsidRPr="00C274BB" w:rsidRDefault="00A40131" w:rsidP="003C0BDF">
            <w:pPr>
              <w:rPr>
                <w:rFonts w:ascii="Arial Narrow" w:hAnsi="Arial Narrow" w:cstheme="minorHAnsi"/>
                <w:sz w:val="20"/>
                <w:szCs w:val="20"/>
              </w:rPr>
            </w:pPr>
            <w:r>
              <w:rPr>
                <w:rFonts w:ascii="Arial Narrow" w:hAnsi="Arial Narrow" w:cstheme="minorHAnsi"/>
                <w:sz w:val="20"/>
                <w:szCs w:val="20"/>
              </w:rPr>
              <w:t>N/A</w:t>
            </w:r>
          </w:p>
        </w:tc>
        <w:tc>
          <w:tcPr>
            <w:tcW w:w="1985" w:type="dxa"/>
          </w:tcPr>
          <w:p w14:paraId="4B867DB2" w14:textId="77777777" w:rsidR="00A40131" w:rsidRPr="00C274BB" w:rsidRDefault="00A40131" w:rsidP="003C0BDF">
            <w:pPr>
              <w:rPr>
                <w:rFonts w:ascii="Arial Narrow" w:hAnsi="Arial Narrow" w:cstheme="minorHAnsi"/>
                <w:sz w:val="20"/>
                <w:szCs w:val="20"/>
              </w:rPr>
            </w:pPr>
            <w:r>
              <w:rPr>
                <w:rFonts w:ascii="Arial Narrow" w:hAnsi="Arial Narrow" w:cstheme="minorHAnsi"/>
                <w:sz w:val="20"/>
                <w:szCs w:val="20"/>
              </w:rPr>
              <w:t>Unrestricted</w:t>
            </w:r>
          </w:p>
        </w:tc>
        <w:tc>
          <w:tcPr>
            <w:tcW w:w="2693" w:type="dxa"/>
          </w:tcPr>
          <w:p w14:paraId="019104B6" w14:textId="77777777" w:rsidR="00A40131" w:rsidRPr="00C274BB" w:rsidRDefault="00A40131" w:rsidP="003C0BDF">
            <w:pPr>
              <w:rPr>
                <w:rFonts w:ascii="Arial Narrow" w:hAnsi="Arial Narrow" w:cstheme="minorHAnsi"/>
                <w:sz w:val="20"/>
                <w:szCs w:val="20"/>
              </w:rPr>
            </w:pPr>
            <w:r>
              <w:rPr>
                <w:rFonts w:ascii="Arial Narrow" w:hAnsi="Arial Narrow" w:cstheme="minorHAnsi"/>
                <w:sz w:val="20"/>
                <w:szCs w:val="20"/>
              </w:rPr>
              <w:t>Contraception</w:t>
            </w:r>
          </w:p>
        </w:tc>
        <w:tc>
          <w:tcPr>
            <w:tcW w:w="1904" w:type="dxa"/>
          </w:tcPr>
          <w:p w14:paraId="336E74F0" w14:textId="77777777" w:rsidR="00A40131" w:rsidRDefault="00A40131" w:rsidP="003C0BDF">
            <w:pPr>
              <w:rPr>
                <w:rFonts w:ascii="Arial Narrow" w:hAnsi="Arial Narrow" w:cstheme="minorHAnsi"/>
                <w:sz w:val="20"/>
                <w:szCs w:val="20"/>
              </w:rPr>
            </w:pPr>
          </w:p>
        </w:tc>
      </w:tr>
      <w:tr w:rsidR="00A40131" w:rsidRPr="001E0786" w14:paraId="08108E78" w14:textId="77777777" w:rsidTr="003C0BDF">
        <w:tc>
          <w:tcPr>
            <w:tcW w:w="1980" w:type="dxa"/>
          </w:tcPr>
          <w:p w14:paraId="31CE6601" w14:textId="5801C1F0" w:rsidR="00A40131" w:rsidRDefault="008953A7" w:rsidP="003C0BDF">
            <w:pPr>
              <w:rPr>
                <w:rFonts w:ascii="Arial Narrow" w:hAnsi="Arial Narrow" w:cstheme="minorHAnsi"/>
                <w:sz w:val="20"/>
                <w:szCs w:val="20"/>
              </w:rPr>
            </w:pPr>
            <w:r>
              <w:rPr>
                <w:rFonts w:ascii="Arial Narrow" w:hAnsi="Arial Narrow" w:cstheme="minorHAnsi"/>
                <w:sz w:val="20"/>
                <w:szCs w:val="20"/>
              </w:rPr>
              <w:t>n</w:t>
            </w:r>
            <w:r w:rsidR="00A40131" w:rsidRPr="009D5508">
              <w:rPr>
                <w:rFonts w:ascii="Arial Narrow" w:hAnsi="Arial Narrow" w:cstheme="minorHAnsi"/>
                <w:sz w:val="20"/>
                <w:szCs w:val="20"/>
              </w:rPr>
              <w:t>orethisterone (1000)</w:t>
            </w:r>
          </w:p>
          <w:p w14:paraId="562C0F96" w14:textId="77777777" w:rsidR="00A40131" w:rsidRPr="00C274BB" w:rsidRDefault="00A40131" w:rsidP="003C0BDF">
            <w:pPr>
              <w:rPr>
                <w:rFonts w:ascii="Arial Narrow" w:hAnsi="Arial Narrow" w:cstheme="minorHAnsi"/>
                <w:sz w:val="20"/>
                <w:szCs w:val="20"/>
              </w:rPr>
            </w:pPr>
          </w:p>
        </w:tc>
        <w:tc>
          <w:tcPr>
            <w:tcW w:w="1701" w:type="dxa"/>
          </w:tcPr>
          <w:p w14:paraId="735EE02B" w14:textId="0C1F1460" w:rsidR="00A40131" w:rsidRPr="00C274BB" w:rsidRDefault="00196509" w:rsidP="003C0BDF">
            <w:pPr>
              <w:rPr>
                <w:rFonts w:ascii="Arial Narrow" w:hAnsi="Arial Narrow" w:cstheme="minorHAnsi"/>
                <w:sz w:val="20"/>
                <w:szCs w:val="20"/>
              </w:rPr>
            </w:pPr>
            <w:r>
              <w:rPr>
                <w:rFonts w:ascii="Arial Narrow" w:hAnsi="Arial Narrow" w:cstheme="minorHAnsi"/>
                <w:sz w:val="20"/>
                <w:szCs w:val="20"/>
              </w:rPr>
              <w:t>e</w:t>
            </w:r>
            <w:r w:rsidR="00A40131" w:rsidRPr="009D5508">
              <w:rPr>
                <w:rFonts w:ascii="Arial Narrow" w:hAnsi="Arial Narrow" w:cstheme="minorHAnsi"/>
                <w:sz w:val="20"/>
                <w:szCs w:val="20"/>
              </w:rPr>
              <w:t>thinylestradiol (35)</w:t>
            </w:r>
          </w:p>
        </w:tc>
        <w:tc>
          <w:tcPr>
            <w:tcW w:w="1984" w:type="dxa"/>
          </w:tcPr>
          <w:p w14:paraId="19CABEB8" w14:textId="77777777" w:rsidR="00A40131" w:rsidRPr="009D5508" w:rsidRDefault="00A40131" w:rsidP="003C0BDF">
            <w:pPr>
              <w:rPr>
                <w:rFonts w:ascii="Arial Narrow" w:hAnsi="Arial Narrow" w:cstheme="minorHAnsi"/>
                <w:sz w:val="20"/>
                <w:szCs w:val="20"/>
              </w:rPr>
            </w:pPr>
            <w:r w:rsidRPr="009D5508">
              <w:rPr>
                <w:rFonts w:ascii="Arial Narrow" w:hAnsi="Arial Narrow" w:cstheme="minorHAnsi"/>
                <w:sz w:val="20"/>
                <w:szCs w:val="20"/>
              </w:rPr>
              <w:t>Norimin-1 28 Day</w:t>
            </w:r>
          </w:p>
          <w:p w14:paraId="12035E4E" w14:textId="77777777" w:rsidR="00A40131" w:rsidRPr="00C274BB" w:rsidRDefault="00A40131" w:rsidP="003C0BDF">
            <w:pPr>
              <w:rPr>
                <w:rFonts w:ascii="Arial Narrow" w:hAnsi="Arial Narrow" w:cstheme="minorHAnsi"/>
                <w:sz w:val="20"/>
                <w:szCs w:val="20"/>
              </w:rPr>
            </w:pPr>
            <w:r w:rsidRPr="009D5508">
              <w:rPr>
                <w:rFonts w:ascii="Arial Narrow" w:hAnsi="Arial Narrow" w:cstheme="minorHAnsi"/>
                <w:sz w:val="20"/>
                <w:szCs w:val="20"/>
              </w:rPr>
              <w:t>Brevinor-1</w:t>
            </w:r>
          </w:p>
        </w:tc>
        <w:tc>
          <w:tcPr>
            <w:tcW w:w="1701" w:type="dxa"/>
          </w:tcPr>
          <w:p w14:paraId="2645986D" w14:textId="77777777" w:rsidR="00A40131" w:rsidRPr="00C274BB" w:rsidRDefault="00A40131" w:rsidP="003C0BDF">
            <w:pPr>
              <w:rPr>
                <w:rFonts w:ascii="Arial Narrow" w:hAnsi="Arial Narrow" w:cstheme="minorHAnsi"/>
                <w:sz w:val="20"/>
                <w:szCs w:val="20"/>
              </w:rPr>
            </w:pPr>
            <w:r w:rsidRPr="009D5508">
              <w:rPr>
                <w:rFonts w:ascii="Arial Narrow" w:hAnsi="Arial Narrow" w:cstheme="minorHAnsi"/>
                <w:sz w:val="20"/>
                <w:szCs w:val="20"/>
              </w:rPr>
              <w:t xml:space="preserve">N/A </w:t>
            </w:r>
          </w:p>
        </w:tc>
        <w:tc>
          <w:tcPr>
            <w:tcW w:w="1985" w:type="dxa"/>
          </w:tcPr>
          <w:p w14:paraId="56F54904" w14:textId="77777777" w:rsidR="00A40131" w:rsidRPr="00C274BB" w:rsidRDefault="00A40131" w:rsidP="003C0BDF">
            <w:pPr>
              <w:rPr>
                <w:rFonts w:ascii="Arial Narrow" w:hAnsi="Arial Narrow" w:cstheme="minorHAnsi"/>
                <w:sz w:val="20"/>
                <w:szCs w:val="20"/>
              </w:rPr>
            </w:pPr>
            <w:r>
              <w:rPr>
                <w:rFonts w:ascii="Arial Narrow" w:hAnsi="Arial Narrow" w:cstheme="minorHAnsi"/>
                <w:sz w:val="20"/>
                <w:szCs w:val="20"/>
              </w:rPr>
              <w:t>Unrestricted</w:t>
            </w:r>
          </w:p>
        </w:tc>
        <w:tc>
          <w:tcPr>
            <w:tcW w:w="2693" w:type="dxa"/>
          </w:tcPr>
          <w:p w14:paraId="1AFEF9DE" w14:textId="77777777" w:rsidR="00A40131" w:rsidRPr="00C274BB" w:rsidRDefault="00A40131" w:rsidP="003C0BDF">
            <w:pPr>
              <w:rPr>
                <w:rFonts w:ascii="Arial Narrow" w:hAnsi="Arial Narrow" w:cstheme="minorHAnsi"/>
                <w:sz w:val="20"/>
                <w:szCs w:val="20"/>
              </w:rPr>
            </w:pPr>
            <w:r>
              <w:rPr>
                <w:rFonts w:ascii="Arial Narrow" w:hAnsi="Arial Narrow" w:cstheme="minorHAnsi"/>
                <w:sz w:val="20"/>
                <w:szCs w:val="20"/>
              </w:rPr>
              <w:t>Contraception</w:t>
            </w:r>
          </w:p>
        </w:tc>
        <w:tc>
          <w:tcPr>
            <w:tcW w:w="1904" w:type="dxa"/>
          </w:tcPr>
          <w:p w14:paraId="42C48434" w14:textId="77777777" w:rsidR="00A40131" w:rsidRDefault="00A40131" w:rsidP="003C0BDF">
            <w:pPr>
              <w:rPr>
                <w:rFonts w:ascii="Arial Narrow" w:hAnsi="Arial Narrow" w:cstheme="minorHAnsi"/>
                <w:sz w:val="20"/>
                <w:szCs w:val="20"/>
              </w:rPr>
            </w:pPr>
          </w:p>
        </w:tc>
      </w:tr>
      <w:tr w:rsidR="00A40131" w:rsidRPr="001E0786" w14:paraId="7A7888DF" w14:textId="77777777" w:rsidTr="003C0BDF">
        <w:tc>
          <w:tcPr>
            <w:tcW w:w="1980" w:type="dxa"/>
          </w:tcPr>
          <w:p w14:paraId="7E364152" w14:textId="3A31CA32" w:rsidR="00A40131" w:rsidRPr="001E0786" w:rsidRDefault="006D6590" w:rsidP="003C0BDF">
            <w:pPr>
              <w:rPr>
                <w:rFonts w:ascii="Arial Narrow" w:hAnsi="Arial Narrow" w:cstheme="minorHAnsi"/>
                <w:sz w:val="20"/>
                <w:szCs w:val="20"/>
              </w:rPr>
            </w:pPr>
            <w:r>
              <w:rPr>
                <w:rFonts w:ascii="Arial Narrow" w:hAnsi="Arial Narrow" w:cstheme="minorHAnsi"/>
                <w:sz w:val="20"/>
                <w:szCs w:val="20"/>
              </w:rPr>
              <w:t>norethisterone</w:t>
            </w:r>
            <w:r w:rsidR="00A40131">
              <w:rPr>
                <w:rFonts w:ascii="Arial Narrow" w:hAnsi="Arial Narrow" w:cstheme="minorHAnsi"/>
                <w:sz w:val="20"/>
                <w:szCs w:val="20"/>
              </w:rPr>
              <w:t xml:space="preserve"> (1000)</w:t>
            </w:r>
          </w:p>
        </w:tc>
        <w:tc>
          <w:tcPr>
            <w:tcW w:w="1701" w:type="dxa"/>
          </w:tcPr>
          <w:p w14:paraId="0274DBAE" w14:textId="5D3A4B07" w:rsidR="00A40131" w:rsidRDefault="00196509" w:rsidP="003C0BDF">
            <w:pPr>
              <w:rPr>
                <w:rFonts w:ascii="Arial Narrow" w:hAnsi="Arial Narrow" w:cstheme="minorHAnsi"/>
                <w:sz w:val="20"/>
                <w:szCs w:val="20"/>
              </w:rPr>
            </w:pPr>
            <w:r>
              <w:rPr>
                <w:rFonts w:ascii="Arial Narrow" w:hAnsi="Arial Narrow" w:cstheme="minorHAnsi"/>
                <w:sz w:val="20"/>
                <w:szCs w:val="20"/>
              </w:rPr>
              <w:t>m</w:t>
            </w:r>
            <w:r w:rsidR="00A40131">
              <w:rPr>
                <w:rFonts w:ascii="Arial Narrow" w:hAnsi="Arial Narrow" w:cstheme="minorHAnsi"/>
                <w:sz w:val="20"/>
                <w:szCs w:val="20"/>
              </w:rPr>
              <w:t>estranol (50)</w:t>
            </w:r>
          </w:p>
          <w:p w14:paraId="581C6379" w14:textId="77777777" w:rsidR="00A40131" w:rsidRPr="001E0786" w:rsidRDefault="00A40131" w:rsidP="003C0BDF">
            <w:pPr>
              <w:rPr>
                <w:rFonts w:ascii="Arial Narrow" w:hAnsi="Arial Narrow" w:cstheme="minorHAnsi"/>
                <w:sz w:val="20"/>
                <w:szCs w:val="20"/>
              </w:rPr>
            </w:pPr>
          </w:p>
        </w:tc>
        <w:tc>
          <w:tcPr>
            <w:tcW w:w="1984" w:type="dxa"/>
          </w:tcPr>
          <w:p w14:paraId="5420FAD1"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Norinyl-1/28</w:t>
            </w:r>
          </w:p>
        </w:tc>
        <w:tc>
          <w:tcPr>
            <w:tcW w:w="1701" w:type="dxa"/>
          </w:tcPr>
          <w:p w14:paraId="1042F6F3"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N/A</w:t>
            </w:r>
          </w:p>
        </w:tc>
        <w:tc>
          <w:tcPr>
            <w:tcW w:w="1985" w:type="dxa"/>
          </w:tcPr>
          <w:p w14:paraId="740885A4"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 xml:space="preserve">Unrestricted </w:t>
            </w:r>
          </w:p>
        </w:tc>
        <w:tc>
          <w:tcPr>
            <w:tcW w:w="2693" w:type="dxa"/>
          </w:tcPr>
          <w:p w14:paraId="05FBDBB8"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 xml:space="preserve">Contraception </w:t>
            </w:r>
          </w:p>
        </w:tc>
        <w:tc>
          <w:tcPr>
            <w:tcW w:w="1904" w:type="dxa"/>
          </w:tcPr>
          <w:p w14:paraId="2A28CE21" w14:textId="77777777" w:rsidR="00A40131" w:rsidDel="001E0786" w:rsidRDefault="00A40131" w:rsidP="003C0BDF">
            <w:pPr>
              <w:rPr>
                <w:rFonts w:ascii="Arial Narrow" w:hAnsi="Arial Narrow" w:cstheme="minorHAnsi"/>
                <w:sz w:val="20"/>
                <w:szCs w:val="20"/>
              </w:rPr>
            </w:pPr>
            <w:r>
              <w:rPr>
                <w:rFonts w:ascii="Arial Narrow" w:hAnsi="Arial Narrow" w:cstheme="minorHAnsi"/>
                <w:sz w:val="20"/>
                <w:szCs w:val="20"/>
              </w:rPr>
              <w:t xml:space="preserve">Supply only </w:t>
            </w:r>
          </w:p>
        </w:tc>
      </w:tr>
      <w:tr w:rsidR="00A40131" w:rsidRPr="001E0786" w14:paraId="1ACAED8A" w14:textId="77777777" w:rsidTr="003C0BDF">
        <w:tc>
          <w:tcPr>
            <w:tcW w:w="1980" w:type="dxa"/>
          </w:tcPr>
          <w:p w14:paraId="7D27DEC0" w14:textId="205D2F80" w:rsidR="00A40131" w:rsidRPr="001E0786" w:rsidRDefault="008953A7" w:rsidP="003C0BDF">
            <w:pPr>
              <w:rPr>
                <w:rFonts w:ascii="Arial Narrow" w:hAnsi="Arial Narrow" w:cstheme="minorHAnsi"/>
                <w:sz w:val="20"/>
                <w:szCs w:val="20"/>
              </w:rPr>
            </w:pPr>
            <w:r>
              <w:rPr>
                <w:rFonts w:ascii="Arial Narrow" w:hAnsi="Arial Narrow" w:cstheme="minorHAnsi"/>
                <w:sz w:val="20"/>
                <w:szCs w:val="20"/>
              </w:rPr>
              <w:t>n</w:t>
            </w:r>
            <w:r w:rsidR="00A40131" w:rsidRPr="009D5508">
              <w:rPr>
                <w:rFonts w:ascii="Arial Narrow" w:hAnsi="Arial Narrow" w:cstheme="minorHAnsi"/>
                <w:sz w:val="20"/>
                <w:szCs w:val="20"/>
              </w:rPr>
              <w:t>omegestrol acetate (2500)</w:t>
            </w:r>
          </w:p>
        </w:tc>
        <w:tc>
          <w:tcPr>
            <w:tcW w:w="1701" w:type="dxa"/>
          </w:tcPr>
          <w:p w14:paraId="7D9962CF" w14:textId="31F400D1" w:rsidR="00A40131" w:rsidRPr="001E0786" w:rsidRDefault="00196509" w:rsidP="003C0BDF">
            <w:pPr>
              <w:rPr>
                <w:rFonts w:ascii="Arial Narrow" w:hAnsi="Arial Narrow" w:cstheme="minorHAnsi"/>
                <w:sz w:val="20"/>
                <w:szCs w:val="20"/>
              </w:rPr>
            </w:pPr>
            <w:r>
              <w:rPr>
                <w:rFonts w:ascii="Arial Narrow" w:hAnsi="Arial Narrow" w:cstheme="minorHAnsi"/>
                <w:sz w:val="20"/>
                <w:szCs w:val="20"/>
              </w:rPr>
              <w:t>e</w:t>
            </w:r>
            <w:r w:rsidR="00A40131" w:rsidRPr="009D5508">
              <w:rPr>
                <w:rFonts w:ascii="Arial Narrow" w:hAnsi="Arial Narrow" w:cstheme="minorHAnsi"/>
                <w:sz w:val="20"/>
                <w:szCs w:val="20"/>
              </w:rPr>
              <w:t>stradiol (1500)</w:t>
            </w:r>
          </w:p>
        </w:tc>
        <w:tc>
          <w:tcPr>
            <w:tcW w:w="1984" w:type="dxa"/>
          </w:tcPr>
          <w:p w14:paraId="0070912B"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N/A</w:t>
            </w:r>
          </w:p>
        </w:tc>
        <w:tc>
          <w:tcPr>
            <w:tcW w:w="1701" w:type="dxa"/>
          </w:tcPr>
          <w:p w14:paraId="797DDCBC" w14:textId="77777777" w:rsidR="00A40131" w:rsidRPr="001E0786" w:rsidRDefault="00A40131" w:rsidP="003C0BDF">
            <w:pPr>
              <w:rPr>
                <w:rFonts w:ascii="Arial Narrow" w:hAnsi="Arial Narrow" w:cstheme="minorHAnsi"/>
                <w:sz w:val="20"/>
                <w:szCs w:val="20"/>
              </w:rPr>
            </w:pPr>
            <w:r w:rsidRPr="009D5508">
              <w:rPr>
                <w:rFonts w:ascii="Arial Narrow" w:hAnsi="Arial Narrow" w:cstheme="minorHAnsi"/>
                <w:sz w:val="20"/>
                <w:szCs w:val="20"/>
              </w:rPr>
              <w:t>Zoely</w:t>
            </w:r>
          </w:p>
        </w:tc>
        <w:tc>
          <w:tcPr>
            <w:tcW w:w="1985" w:type="dxa"/>
          </w:tcPr>
          <w:p w14:paraId="6C8A0863"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 xml:space="preserve">Not PBS-listed </w:t>
            </w:r>
          </w:p>
        </w:tc>
        <w:tc>
          <w:tcPr>
            <w:tcW w:w="2693" w:type="dxa"/>
          </w:tcPr>
          <w:p w14:paraId="0670BF85"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Contraception</w:t>
            </w:r>
          </w:p>
        </w:tc>
        <w:tc>
          <w:tcPr>
            <w:tcW w:w="1904" w:type="dxa"/>
          </w:tcPr>
          <w:p w14:paraId="2E70070B" w14:textId="77777777" w:rsidR="00A40131" w:rsidRDefault="00A40131" w:rsidP="003C0BDF">
            <w:pPr>
              <w:rPr>
                <w:rFonts w:ascii="Arial Narrow" w:hAnsi="Arial Narrow" w:cstheme="minorHAnsi"/>
                <w:sz w:val="20"/>
                <w:szCs w:val="20"/>
              </w:rPr>
            </w:pPr>
          </w:p>
        </w:tc>
      </w:tr>
      <w:tr w:rsidR="00A40131" w:rsidRPr="001E0786" w14:paraId="40DAC176" w14:textId="77777777" w:rsidTr="003C0BDF">
        <w:tc>
          <w:tcPr>
            <w:tcW w:w="1980" w:type="dxa"/>
          </w:tcPr>
          <w:p w14:paraId="760797FA" w14:textId="78D0180E" w:rsidR="00A40131" w:rsidRPr="00C746F1" w:rsidRDefault="008953A7" w:rsidP="003C0BDF">
            <w:pPr>
              <w:rPr>
                <w:rFonts w:ascii="Arial Narrow" w:hAnsi="Arial Narrow" w:cstheme="minorHAnsi"/>
                <w:sz w:val="20"/>
                <w:szCs w:val="20"/>
              </w:rPr>
            </w:pPr>
            <w:r>
              <w:rPr>
                <w:rFonts w:ascii="Arial Narrow" w:eastAsia="Calibri" w:hAnsi="Arial Narrow" w:cstheme="minorHAnsi"/>
                <w:sz w:val="20"/>
                <w:szCs w:val="20"/>
              </w:rPr>
              <w:t>d</w:t>
            </w:r>
            <w:r w:rsidR="00A40131" w:rsidRPr="00C274BB">
              <w:rPr>
                <w:rFonts w:ascii="Arial Narrow" w:eastAsia="Calibri" w:hAnsi="Arial Narrow" w:cstheme="minorHAnsi"/>
                <w:sz w:val="20"/>
                <w:szCs w:val="20"/>
              </w:rPr>
              <w:t>esogestrel (150)</w:t>
            </w:r>
          </w:p>
        </w:tc>
        <w:tc>
          <w:tcPr>
            <w:tcW w:w="1701" w:type="dxa"/>
          </w:tcPr>
          <w:p w14:paraId="1C5E51A7" w14:textId="6237D1E3" w:rsidR="00A40131" w:rsidRPr="001E0786" w:rsidRDefault="00196509" w:rsidP="003C0BDF">
            <w:pPr>
              <w:rPr>
                <w:rFonts w:ascii="Arial Narrow" w:hAnsi="Arial Narrow" w:cstheme="minorHAnsi"/>
                <w:sz w:val="20"/>
                <w:szCs w:val="20"/>
              </w:rPr>
            </w:pPr>
            <w:r>
              <w:rPr>
                <w:rFonts w:ascii="Arial Narrow" w:hAnsi="Arial Narrow" w:cstheme="minorHAnsi"/>
                <w:sz w:val="20"/>
                <w:szCs w:val="20"/>
              </w:rPr>
              <w:t>e</w:t>
            </w:r>
            <w:r w:rsidR="00A40131">
              <w:rPr>
                <w:rFonts w:ascii="Arial Narrow" w:hAnsi="Arial Narrow" w:cstheme="minorHAnsi"/>
                <w:sz w:val="20"/>
                <w:szCs w:val="20"/>
              </w:rPr>
              <w:t>thinylestradiol (30)</w:t>
            </w:r>
          </w:p>
        </w:tc>
        <w:tc>
          <w:tcPr>
            <w:tcW w:w="1984" w:type="dxa"/>
          </w:tcPr>
          <w:p w14:paraId="696F22A5"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N/A</w:t>
            </w:r>
          </w:p>
        </w:tc>
        <w:tc>
          <w:tcPr>
            <w:tcW w:w="1701" w:type="dxa"/>
          </w:tcPr>
          <w:p w14:paraId="67910FDF" w14:textId="77777777" w:rsidR="00A40131" w:rsidRPr="00C274BB" w:rsidRDefault="00A40131" w:rsidP="003C0BDF">
            <w:pPr>
              <w:rPr>
                <w:rFonts w:ascii="Arial Narrow" w:eastAsia="Calibri" w:hAnsi="Arial Narrow" w:cstheme="minorHAnsi"/>
                <w:sz w:val="20"/>
                <w:szCs w:val="20"/>
              </w:rPr>
            </w:pPr>
            <w:r w:rsidRPr="00C274BB">
              <w:rPr>
                <w:rFonts w:ascii="Arial Narrow" w:eastAsia="Calibri" w:hAnsi="Arial Narrow" w:cstheme="minorHAnsi"/>
                <w:sz w:val="20"/>
                <w:szCs w:val="20"/>
              </w:rPr>
              <w:t>Madeline</w:t>
            </w:r>
          </w:p>
          <w:p w14:paraId="431AC87C" w14:textId="77777777" w:rsidR="00A40131" w:rsidRPr="00366188" w:rsidRDefault="00A40131" w:rsidP="003C0BDF">
            <w:pPr>
              <w:rPr>
                <w:rFonts w:ascii="Arial Narrow" w:hAnsi="Arial Narrow" w:cstheme="minorHAnsi"/>
                <w:sz w:val="20"/>
                <w:szCs w:val="20"/>
              </w:rPr>
            </w:pPr>
            <w:r w:rsidRPr="00C274BB">
              <w:rPr>
                <w:rFonts w:ascii="Arial Narrow" w:eastAsia="Calibri" w:hAnsi="Arial Narrow" w:cstheme="minorHAnsi"/>
                <w:sz w:val="20"/>
                <w:szCs w:val="20"/>
              </w:rPr>
              <w:t xml:space="preserve">Marvelon </w:t>
            </w:r>
          </w:p>
        </w:tc>
        <w:tc>
          <w:tcPr>
            <w:tcW w:w="1985" w:type="dxa"/>
          </w:tcPr>
          <w:p w14:paraId="758A1B27"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Not PBS-listed</w:t>
            </w:r>
          </w:p>
        </w:tc>
        <w:tc>
          <w:tcPr>
            <w:tcW w:w="2693" w:type="dxa"/>
          </w:tcPr>
          <w:p w14:paraId="4E40ACC4"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Contraception</w:t>
            </w:r>
          </w:p>
        </w:tc>
        <w:tc>
          <w:tcPr>
            <w:tcW w:w="1904" w:type="dxa"/>
          </w:tcPr>
          <w:p w14:paraId="2230AFF3" w14:textId="77777777" w:rsidR="00A40131" w:rsidRPr="001E0786" w:rsidRDefault="00A40131" w:rsidP="003C0BDF">
            <w:pPr>
              <w:rPr>
                <w:rFonts w:ascii="Arial Narrow" w:hAnsi="Arial Narrow" w:cstheme="minorHAnsi"/>
                <w:sz w:val="20"/>
                <w:szCs w:val="20"/>
              </w:rPr>
            </w:pPr>
          </w:p>
        </w:tc>
      </w:tr>
      <w:tr w:rsidR="00A40131" w:rsidRPr="001E0786" w14:paraId="105B58EF" w14:textId="77777777" w:rsidTr="003C0BDF">
        <w:trPr>
          <w:trHeight w:val="489"/>
        </w:trPr>
        <w:tc>
          <w:tcPr>
            <w:tcW w:w="1980" w:type="dxa"/>
          </w:tcPr>
          <w:p w14:paraId="233CB0F3" w14:textId="127BD499" w:rsidR="00A40131" w:rsidRPr="00366188" w:rsidRDefault="008953A7" w:rsidP="003C0BDF">
            <w:pPr>
              <w:rPr>
                <w:rFonts w:ascii="Arial Narrow" w:hAnsi="Arial Narrow" w:cstheme="minorHAnsi"/>
                <w:sz w:val="20"/>
                <w:szCs w:val="20"/>
              </w:rPr>
            </w:pPr>
            <w:r>
              <w:rPr>
                <w:rFonts w:ascii="Arial Narrow" w:eastAsia="Calibri" w:hAnsi="Arial Narrow" w:cstheme="minorHAnsi"/>
                <w:sz w:val="20"/>
                <w:szCs w:val="20"/>
              </w:rPr>
              <w:t>d</w:t>
            </w:r>
            <w:r w:rsidR="00A40131" w:rsidRPr="00C274BB">
              <w:rPr>
                <w:rFonts w:ascii="Arial Narrow" w:eastAsia="Calibri" w:hAnsi="Arial Narrow" w:cstheme="minorHAnsi"/>
                <w:sz w:val="20"/>
                <w:szCs w:val="20"/>
              </w:rPr>
              <w:t>rospirenone (3000)</w:t>
            </w:r>
          </w:p>
        </w:tc>
        <w:tc>
          <w:tcPr>
            <w:tcW w:w="1701" w:type="dxa"/>
          </w:tcPr>
          <w:p w14:paraId="6A5D0F06" w14:textId="3397B0F9" w:rsidR="00A40131" w:rsidRPr="001E0786" w:rsidRDefault="00196509" w:rsidP="003C0BDF">
            <w:pPr>
              <w:rPr>
                <w:rFonts w:ascii="Arial Narrow" w:hAnsi="Arial Narrow" w:cstheme="minorHAnsi"/>
                <w:sz w:val="20"/>
                <w:szCs w:val="20"/>
              </w:rPr>
            </w:pPr>
            <w:r>
              <w:rPr>
                <w:rFonts w:ascii="Arial Narrow" w:hAnsi="Arial Narrow" w:cstheme="minorHAnsi"/>
                <w:sz w:val="20"/>
                <w:szCs w:val="20"/>
              </w:rPr>
              <w:t>e</w:t>
            </w:r>
            <w:r w:rsidR="00A40131">
              <w:rPr>
                <w:rFonts w:ascii="Arial Narrow" w:hAnsi="Arial Narrow" w:cstheme="minorHAnsi"/>
                <w:sz w:val="20"/>
                <w:szCs w:val="20"/>
              </w:rPr>
              <w:t>thinylestradiol (30)</w:t>
            </w:r>
          </w:p>
        </w:tc>
        <w:tc>
          <w:tcPr>
            <w:tcW w:w="1984" w:type="dxa"/>
          </w:tcPr>
          <w:p w14:paraId="0F165497" w14:textId="77777777" w:rsidR="00A40131" w:rsidRPr="001E0786" w:rsidRDefault="00A40131" w:rsidP="003C0BDF">
            <w:pPr>
              <w:rPr>
                <w:rFonts w:ascii="Arial Narrow" w:hAnsi="Arial Narrow" w:cstheme="minorHAnsi"/>
                <w:sz w:val="20"/>
                <w:szCs w:val="20"/>
              </w:rPr>
            </w:pPr>
            <w:r>
              <w:rPr>
                <w:rFonts w:asciiTheme="minorHAnsi" w:eastAsia="Calibri" w:hAnsiTheme="minorHAnsi" w:cstheme="minorHAnsi"/>
                <w:sz w:val="20"/>
                <w:szCs w:val="20"/>
              </w:rPr>
              <w:t>N/A</w:t>
            </w:r>
          </w:p>
        </w:tc>
        <w:tc>
          <w:tcPr>
            <w:tcW w:w="1701" w:type="dxa"/>
          </w:tcPr>
          <w:p w14:paraId="66B7DE8C" w14:textId="77777777" w:rsidR="00A40131" w:rsidRPr="00C274BB" w:rsidRDefault="00A40131" w:rsidP="003C0BDF">
            <w:pPr>
              <w:rPr>
                <w:rFonts w:ascii="Arial Narrow" w:eastAsia="Calibri" w:hAnsi="Arial Narrow" w:cstheme="minorHAnsi"/>
                <w:sz w:val="20"/>
                <w:szCs w:val="20"/>
              </w:rPr>
            </w:pPr>
            <w:r w:rsidRPr="00C274BB">
              <w:rPr>
                <w:rFonts w:ascii="Arial Narrow" w:eastAsia="Calibri" w:hAnsi="Arial Narrow" w:cstheme="minorHAnsi"/>
                <w:sz w:val="20"/>
                <w:szCs w:val="20"/>
              </w:rPr>
              <w:t>Petibelle</w:t>
            </w:r>
          </w:p>
          <w:p w14:paraId="36E19BD1" w14:textId="77777777" w:rsidR="00A40131" w:rsidRPr="00CD5CC5" w:rsidRDefault="00A40131" w:rsidP="003C0BDF">
            <w:pPr>
              <w:rPr>
                <w:rFonts w:ascii="Arial Narrow" w:hAnsi="Arial Narrow" w:cstheme="minorHAnsi"/>
                <w:sz w:val="20"/>
                <w:szCs w:val="20"/>
              </w:rPr>
            </w:pPr>
            <w:r w:rsidRPr="00C274BB">
              <w:rPr>
                <w:rFonts w:ascii="Arial Narrow" w:eastAsia="Calibri" w:hAnsi="Arial Narrow" w:cstheme="minorHAnsi"/>
                <w:sz w:val="20"/>
                <w:szCs w:val="20"/>
              </w:rPr>
              <w:t>Yasmin</w:t>
            </w:r>
          </w:p>
        </w:tc>
        <w:tc>
          <w:tcPr>
            <w:tcW w:w="1985" w:type="dxa"/>
          </w:tcPr>
          <w:p w14:paraId="08237D8A"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 xml:space="preserve">Not PBS-listed </w:t>
            </w:r>
          </w:p>
        </w:tc>
        <w:tc>
          <w:tcPr>
            <w:tcW w:w="2693" w:type="dxa"/>
          </w:tcPr>
          <w:p w14:paraId="5493DE17"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Contraception</w:t>
            </w:r>
          </w:p>
        </w:tc>
        <w:tc>
          <w:tcPr>
            <w:tcW w:w="1904" w:type="dxa"/>
          </w:tcPr>
          <w:p w14:paraId="47BBF2B8" w14:textId="77777777" w:rsidR="00A40131" w:rsidRPr="001E0786" w:rsidRDefault="00A40131" w:rsidP="003C0BDF">
            <w:pPr>
              <w:rPr>
                <w:rFonts w:ascii="Arial Narrow" w:hAnsi="Arial Narrow" w:cstheme="minorHAnsi"/>
                <w:sz w:val="20"/>
                <w:szCs w:val="20"/>
              </w:rPr>
            </w:pPr>
          </w:p>
        </w:tc>
      </w:tr>
      <w:tr w:rsidR="00A40131" w:rsidRPr="001E0786" w14:paraId="719AB413" w14:textId="77777777" w:rsidTr="003C0BDF">
        <w:trPr>
          <w:trHeight w:val="411"/>
        </w:trPr>
        <w:tc>
          <w:tcPr>
            <w:tcW w:w="1980" w:type="dxa"/>
          </w:tcPr>
          <w:p w14:paraId="1B6F855E" w14:textId="5D6D0D8F" w:rsidR="00A40131" w:rsidRPr="00366188" w:rsidRDefault="00196509" w:rsidP="003C0BDF">
            <w:pPr>
              <w:rPr>
                <w:rFonts w:ascii="Arial Narrow" w:eastAsia="Calibri" w:hAnsi="Arial Narrow" w:cstheme="minorHAnsi"/>
                <w:sz w:val="20"/>
                <w:szCs w:val="20"/>
              </w:rPr>
            </w:pPr>
            <w:r>
              <w:rPr>
                <w:rFonts w:ascii="Arial Narrow" w:eastAsia="Calibri" w:hAnsi="Arial Narrow" w:cstheme="minorHAnsi"/>
                <w:sz w:val="20"/>
                <w:szCs w:val="20"/>
              </w:rPr>
              <w:t>d</w:t>
            </w:r>
            <w:r w:rsidR="00A40131" w:rsidRPr="00770472">
              <w:rPr>
                <w:rFonts w:ascii="Arial Narrow" w:eastAsia="Calibri" w:hAnsi="Arial Narrow" w:cstheme="minorHAnsi"/>
                <w:sz w:val="20"/>
                <w:szCs w:val="20"/>
              </w:rPr>
              <w:t>rospirenone (3000)</w:t>
            </w:r>
          </w:p>
        </w:tc>
        <w:tc>
          <w:tcPr>
            <w:tcW w:w="1701" w:type="dxa"/>
          </w:tcPr>
          <w:p w14:paraId="205C3800" w14:textId="3BADFD44" w:rsidR="00A40131" w:rsidRDefault="00196509" w:rsidP="003C0BDF">
            <w:pPr>
              <w:rPr>
                <w:rFonts w:ascii="Arial Narrow" w:hAnsi="Arial Narrow" w:cstheme="minorHAnsi"/>
                <w:sz w:val="20"/>
                <w:szCs w:val="20"/>
              </w:rPr>
            </w:pPr>
            <w:r>
              <w:rPr>
                <w:rFonts w:ascii="Arial Narrow" w:hAnsi="Arial Narrow" w:cstheme="minorHAnsi"/>
                <w:sz w:val="20"/>
                <w:szCs w:val="20"/>
              </w:rPr>
              <w:t>e</w:t>
            </w:r>
            <w:r w:rsidR="00A40131">
              <w:rPr>
                <w:rFonts w:ascii="Arial Narrow" w:hAnsi="Arial Narrow" w:cstheme="minorHAnsi"/>
                <w:sz w:val="20"/>
                <w:szCs w:val="20"/>
              </w:rPr>
              <w:t>thinylestradiol (20)</w:t>
            </w:r>
          </w:p>
        </w:tc>
        <w:tc>
          <w:tcPr>
            <w:tcW w:w="1984" w:type="dxa"/>
          </w:tcPr>
          <w:p w14:paraId="0CDD0B1B" w14:textId="77777777" w:rsidR="00A40131" w:rsidRDefault="00A40131" w:rsidP="003C0BDF">
            <w:pPr>
              <w:rPr>
                <w:rFonts w:asciiTheme="minorHAnsi" w:eastAsia="Calibri" w:hAnsiTheme="minorHAnsi" w:cstheme="minorHAnsi"/>
                <w:sz w:val="20"/>
                <w:szCs w:val="20"/>
              </w:rPr>
            </w:pPr>
            <w:r>
              <w:rPr>
                <w:rFonts w:asciiTheme="minorHAnsi" w:eastAsia="Calibri" w:hAnsiTheme="minorHAnsi" w:cstheme="minorHAnsi"/>
                <w:sz w:val="20"/>
                <w:szCs w:val="20"/>
              </w:rPr>
              <w:t>N/A</w:t>
            </w:r>
          </w:p>
        </w:tc>
        <w:tc>
          <w:tcPr>
            <w:tcW w:w="1701" w:type="dxa"/>
          </w:tcPr>
          <w:p w14:paraId="16FFB9A4" w14:textId="77777777" w:rsidR="00A40131" w:rsidRPr="00366188" w:rsidRDefault="00A40131" w:rsidP="003C0BDF">
            <w:pPr>
              <w:rPr>
                <w:rFonts w:ascii="Arial Narrow" w:eastAsia="Calibri" w:hAnsi="Arial Narrow" w:cstheme="minorHAnsi"/>
                <w:sz w:val="20"/>
                <w:szCs w:val="20"/>
              </w:rPr>
            </w:pPr>
            <w:r w:rsidRPr="00770472">
              <w:rPr>
                <w:rFonts w:ascii="Arial Narrow" w:eastAsia="Calibri" w:hAnsi="Arial Narrow" w:cstheme="minorHAnsi"/>
                <w:sz w:val="20"/>
                <w:szCs w:val="20"/>
              </w:rPr>
              <w:t>Yaz</w:t>
            </w:r>
          </w:p>
        </w:tc>
        <w:tc>
          <w:tcPr>
            <w:tcW w:w="1985" w:type="dxa"/>
          </w:tcPr>
          <w:p w14:paraId="6B819035" w14:textId="77777777" w:rsidR="00A40131" w:rsidRDefault="00A40131" w:rsidP="003C0BDF">
            <w:pPr>
              <w:rPr>
                <w:rFonts w:ascii="Arial Narrow" w:hAnsi="Arial Narrow" w:cstheme="minorHAnsi"/>
                <w:sz w:val="20"/>
                <w:szCs w:val="20"/>
              </w:rPr>
            </w:pPr>
            <w:r>
              <w:rPr>
                <w:rFonts w:ascii="Arial Narrow" w:hAnsi="Arial Narrow" w:cstheme="minorHAnsi"/>
                <w:sz w:val="20"/>
                <w:szCs w:val="20"/>
              </w:rPr>
              <w:t xml:space="preserve">Not PBS-listed </w:t>
            </w:r>
          </w:p>
        </w:tc>
        <w:tc>
          <w:tcPr>
            <w:tcW w:w="2693" w:type="dxa"/>
          </w:tcPr>
          <w:p w14:paraId="648633F8" w14:textId="77777777" w:rsidR="00A40131" w:rsidRPr="00C274BB" w:rsidRDefault="00A40131" w:rsidP="003C0BDF">
            <w:pPr>
              <w:pStyle w:val="ListParagraph"/>
              <w:numPr>
                <w:ilvl w:val="0"/>
                <w:numId w:val="49"/>
              </w:numPr>
              <w:rPr>
                <w:rFonts w:ascii="Arial Narrow" w:hAnsi="Arial Narrow" w:cstheme="minorHAnsi"/>
                <w:sz w:val="20"/>
                <w:szCs w:val="20"/>
              </w:rPr>
            </w:pPr>
            <w:r w:rsidRPr="00C274BB">
              <w:rPr>
                <w:rFonts w:ascii="Arial Narrow" w:hAnsi="Arial Narrow" w:cstheme="minorHAnsi"/>
                <w:sz w:val="20"/>
                <w:szCs w:val="20"/>
              </w:rPr>
              <w:t>Contraception</w:t>
            </w:r>
          </w:p>
          <w:p w14:paraId="0B848E88" w14:textId="77777777" w:rsidR="00A40131" w:rsidRPr="00C274BB" w:rsidRDefault="00A40131" w:rsidP="003C0BDF">
            <w:pPr>
              <w:pStyle w:val="ListParagraph"/>
              <w:numPr>
                <w:ilvl w:val="0"/>
                <w:numId w:val="49"/>
              </w:numPr>
              <w:rPr>
                <w:rFonts w:ascii="Arial Narrow" w:hAnsi="Arial Narrow" w:cstheme="minorHAnsi"/>
                <w:sz w:val="20"/>
                <w:szCs w:val="20"/>
              </w:rPr>
            </w:pPr>
            <w:r w:rsidRPr="00C274BB">
              <w:rPr>
                <w:rFonts w:ascii="Arial Narrow" w:hAnsi="Arial Narrow" w:cstheme="minorHAnsi"/>
                <w:sz w:val="20"/>
                <w:szCs w:val="20"/>
              </w:rPr>
              <w:t>treatment of moderate acne vulgaris in women seeking oral contraception</w:t>
            </w:r>
          </w:p>
          <w:p w14:paraId="775CBE49" w14:textId="77777777" w:rsidR="00A40131" w:rsidRPr="00C274BB" w:rsidRDefault="00A40131" w:rsidP="003C0BDF">
            <w:pPr>
              <w:pStyle w:val="ListParagraph"/>
              <w:numPr>
                <w:ilvl w:val="0"/>
                <w:numId w:val="49"/>
              </w:numPr>
              <w:rPr>
                <w:rFonts w:ascii="Arial Narrow" w:hAnsi="Arial Narrow" w:cstheme="minorHAnsi"/>
                <w:sz w:val="20"/>
                <w:szCs w:val="20"/>
              </w:rPr>
            </w:pPr>
            <w:r w:rsidRPr="00C274BB">
              <w:rPr>
                <w:rFonts w:ascii="Arial Narrow" w:hAnsi="Arial Narrow" w:cstheme="minorHAnsi"/>
                <w:sz w:val="20"/>
                <w:szCs w:val="20"/>
              </w:rPr>
              <w:lastRenderedPageBreak/>
              <w:t>treatment of symptoms of premenstrual dysphoric disorder</w:t>
            </w:r>
          </w:p>
        </w:tc>
        <w:tc>
          <w:tcPr>
            <w:tcW w:w="1904" w:type="dxa"/>
          </w:tcPr>
          <w:p w14:paraId="3BFCF047" w14:textId="77777777" w:rsidR="00A40131" w:rsidRPr="001E0786" w:rsidRDefault="00A40131" w:rsidP="003C0BDF">
            <w:pPr>
              <w:rPr>
                <w:rFonts w:ascii="Arial Narrow" w:hAnsi="Arial Narrow" w:cstheme="minorHAnsi"/>
                <w:sz w:val="20"/>
                <w:szCs w:val="20"/>
              </w:rPr>
            </w:pPr>
          </w:p>
        </w:tc>
      </w:tr>
      <w:tr w:rsidR="00A40131" w:rsidRPr="001E0786" w14:paraId="1A9B88A9" w14:textId="77777777" w:rsidTr="003C0BDF">
        <w:tc>
          <w:tcPr>
            <w:tcW w:w="1980" w:type="dxa"/>
          </w:tcPr>
          <w:p w14:paraId="56FB2666" w14:textId="0FF83FAE" w:rsidR="00A40131" w:rsidRPr="00CD5CC5" w:rsidRDefault="00DB4255" w:rsidP="003C0BDF">
            <w:pPr>
              <w:rPr>
                <w:rFonts w:ascii="Arial Narrow" w:hAnsi="Arial Narrow" w:cstheme="minorHAnsi"/>
                <w:sz w:val="20"/>
                <w:szCs w:val="20"/>
              </w:rPr>
            </w:pPr>
            <w:r>
              <w:rPr>
                <w:rFonts w:ascii="Arial Narrow" w:eastAsia="Calibri" w:hAnsi="Arial Narrow" w:cstheme="minorHAnsi"/>
                <w:sz w:val="20"/>
                <w:szCs w:val="20"/>
              </w:rPr>
              <w:t>g</w:t>
            </w:r>
            <w:r w:rsidR="00A40131" w:rsidRPr="00C274BB">
              <w:rPr>
                <w:rFonts w:ascii="Arial Narrow" w:eastAsia="Calibri" w:hAnsi="Arial Narrow" w:cstheme="minorHAnsi"/>
                <w:sz w:val="20"/>
                <w:szCs w:val="20"/>
              </w:rPr>
              <w:t xml:space="preserve">estodene </w:t>
            </w:r>
          </w:p>
        </w:tc>
        <w:tc>
          <w:tcPr>
            <w:tcW w:w="1701" w:type="dxa"/>
          </w:tcPr>
          <w:p w14:paraId="7BFD0DAA" w14:textId="41AFA531" w:rsidR="00A40131" w:rsidRPr="001E0786" w:rsidRDefault="00DB4255" w:rsidP="003C0BDF">
            <w:pPr>
              <w:rPr>
                <w:rFonts w:ascii="Arial Narrow" w:hAnsi="Arial Narrow" w:cstheme="minorHAnsi"/>
                <w:sz w:val="20"/>
                <w:szCs w:val="20"/>
              </w:rPr>
            </w:pPr>
            <w:r>
              <w:rPr>
                <w:rFonts w:ascii="Arial Narrow" w:hAnsi="Arial Narrow" w:cstheme="minorHAnsi"/>
                <w:sz w:val="20"/>
                <w:szCs w:val="20"/>
              </w:rPr>
              <w:t>e</w:t>
            </w:r>
            <w:r w:rsidR="00A40131">
              <w:rPr>
                <w:rFonts w:ascii="Arial Narrow" w:hAnsi="Arial Narrow" w:cstheme="minorHAnsi"/>
                <w:sz w:val="20"/>
                <w:szCs w:val="20"/>
              </w:rPr>
              <w:t>thinylestradiol (30)</w:t>
            </w:r>
          </w:p>
        </w:tc>
        <w:tc>
          <w:tcPr>
            <w:tcW w:w="1984" w:type="dxa"/>
          </w:tcPr>
          <w:p w14:paraId="36022134" w14:textId="77777777" w:rsidR="00A40131" w:rsidRPr="00CD5CC5" w:rsidRDefault="00A40131" w:rsidP="003C0BDF">
            <w:pPr>
              <w:rPr>
                <w:rFonts w:ascii="Arial Narrow" w:hAnsi="Arial Narrow" w:cstheme="minorHAnsi"/>
                <w:sz w:val="20"/>
                <w:szCs w:val="20"/>
              </w:rPr>
            </w:pPr>
            <w:r>
              <w:rPr>
                <w:rFonts w:ascii="Arial Narrow" w:hAnsi="Arial Narrow" w:cstheme="minorHAnsi"/>
                <w:sz w:val="20"/>
                <w:szCs w:val="20"/>
              </w:rPr>
              <w:t>N/A</w:t>
            </w:r>
          </w:p>
        </w:tc>
        <w:tc>
          <w:tcPr>
            <w:tcW w:w="1701" w:type="dxa"/>
          </w:tcPr>
          <w:p w14:paraId="0AC097D8" w14:textId="77777777" w:rsidR="00A40131" w:rsidRPr="001E0786" w:rsidRDefault="00A40131" w:rsidP="003C0BDF">
            <w:pPr>
              <w:rPr>
                <w:rFonts w:ascii="Arial Narrow" w:hAnsi="Arial Narrow" w:cstheme="minorHAnsi"/>
                <w:sz w:val="20"/>
                <w:szCs w:val="20"/>
              </w:rPr>
            </w:pPr>
            <w:r>
              <w:rPr>
                <w:rFonts w:asciiTheme="minorHAnsi" w:eastAsia="Calibri" w:hAnsiTheme="minorHAnsi" w:cstheme="minorHAnsi"/>
                <w:sz w:val="20"/>
                <w:szCs w:val="20"/>
              </w:rPr>
              <w:t>Minulet</w:t>
            </w:r>
          </w:p>
        </w:tc>
        <w:tc>
          <w:tcPr>
            <w:tcW w:w="1985" w:type="dxa"/>
          </w:tcPr>
          <w:p w14:paraId="198DE5AE"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 xml:space="preserve">Not PBS-listed </w:t>
            </w:r>
          </w:p>
        </w:tc>
        <w:tc>
          <w:tcPr>
            <w:tcW w:w="2693" w:type="dxa"/>
          </w:tcPr>
          <w:p w14:paraId="73B0FE21"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Contraception</w:t>
            </w:r>
          </w:p>
        </w:tc>
        <w:tc>
          <w:tcPr>
            <w:tcW w:w="1904" w:type="dxa"/>
          </w:tcPr>
          <w:p w14:paraId="6812217C" w14:textId="77777777" w:rsidR="00A40131" w:rsidRPr="001E0786" w:rsidRDefault="00A40131" w:rsidP="003C0BDF">
            <w:pPr>
              <w:rPr>
                <w:rFonts w:ascii="Arial Narrow" w:hAnsi="Arial Narrow" w:cstheme="minorHAnsi"/>
                <w:sz w:val="20"/>
                <w:szCs w:val="20"/>
              </w:rPr>
            </w:pPr>
          </w:p>
        </w:tc>
      </w:tr>
      <w:tr w:rsidR="00A40131" w:rsidRPr="001E0786" w14:paraId="5714D88D" w14:textId="77777777" w:rsidTr="003C0BDF">
        <w:tc>
          <w:tcPr>
            <w:tcW w:w="1980" w:type="dxa"/>
          </w:tcPr>
          <w:p w14:paraId="5BD68379" w14:textId="315A3FDF" w:rsidR="00A40131" w:rsidRPr="00214C29" w:rsidRDefault="00DB4255" w:rsidP="003C0BDF">
            <w:pPr>
              <w:rPr>
                <w:rFonts w:ascii="Arial Narrow" w:hAnsi="Arial Narrow" w:cstheme="minorHAnsi"/>
                <w:sz w:val="20"/>
                <w:szCs w:val="20"/>
              </w:rPr>
            </w:pPr>
            <w:r>
              <w:rPr>
                <w:rFonts w:ascii="Arial Narrow" w:eastAsia="Calibri" w:hAnsi="Arial Narrow" w:cstheme="minorHAnsi"/>
                <w:sz w:val="20"/>
                <w:szCs w:val="20"/>
              </w:rPr>
              <w:t>n</w:t>
            </w:r>
            <w:r w:rsidR="00A40131" w:rsidRPr="00C274BB">
              <w:rPr>
                <w:rFonts w:ascii="Arial Narrow" w:eastAsia="Calibri" w:hAnsi="Arial Narrow" w:cstheme="minorHAnsi"/>
                <w:sz w:val="20"/>
                <w:szCs w:val="20"/>
              </w:rPr>
              <w:t>omegestrol (2500mcg)</w:t>
            </w:r>
          </w:p>
        </w:tc>
        <w:tc>
          <w:tcPr>
            <w:tcW w:w="1701" w:type="dxa"/>
          </w:tcPr>
          <w:p w14:paraId="4F7EAF1E" w14:textId="5F6C9150" w:rsidR="00A40131" w:rsidRPr="0055051E" w:rsidRDefault="00DB4255" w:rsidP="003C0BDF">
            <w:pPr>
              <w:rPr>
                <w:rFonts w:ascii="Arial Narrow" w:hAnsi="Arial Narrow" w:cstheme="minorHAnsi"/>
                <w:sz w:val="20"/>
                <w:szCs w:val="20"/>
              </w:rPr>
            </w:pPr>
            <w:r>
              <w:rPr>
                <w:rFonts w:ascii="Arial Narrow" w:hAnsi="Arial Narrow" w:cstheme="minorHAnsi"/>
                <w:sz w:val="20"/>
                <w:szCs w:val="20"/>
              </w:rPr>
              <w:t>e</w:t>
            </w:r>
            <w:r w:rsidR="00A40131" w:rsidRPr="00214C29">
              <w:rPr>
                <w:rFonts w:ascii="Arial Narrow" w:hAnsi="Arial Narrow" w:cstheme="minorHAnsi"/>
                <w:sz w:val="20"/>
                <w:szCs w:val="20"/>
              </w:rPr>
              <w:t>stradiol (1500)</w:t>
            </w:r>
          </w:p>
        </w:tc>
        <w:tc>
          <w:tcPr>
            <w:tcW w:w="1984" w:type="dxa"/>
          </w:tcPr>
          <w:p w14:paraId="4A10FCE5" w14:textId="77777777" w:rsidR="00A40131" w:rsidRPr="00214C29" w:rsidRDefault="00A40131" w:rsidP="003C0BDF">
            <w:pPr>
              <w:rPr>
                <w:rFonts w:ascii="Arial Narrow" w:hAnsi="Arial Narrow" w:cstheme="minorHAnsi"/>
                <w:sz w:val="20"/>
                <w:szCs w:val="20"/>
              </w:rPr>
            </w:pPr>
            <w:r>
              <w:rPr>
                <w:rFonts w:ascii="Arial Narrow" w:hAnsi="Arial Narrow" w:cstheme="minorHAnsi"/>
                <w:sz w:val="20"/>
                <w:szCs w:val="20"/>
              </w:rPr>
              <w:t>N/A</w:t>
            </w:r>
          </w:p>
        </w:tc>
        <w:tc>
          <w:tcPr>
            <w:tcW w:w="1701" w:type="dxa"/>
          </w:tcPr>
          <w:p w14:paraId="08C2C5B8" w14:textId="77777777" w:rsidR="00A40131" w:rsidRPr="00214C29" w:rsidRDefault="00A40131" w:rsidP="003C0BDF">
            <w:pPr>
              <w:rPr>
                <w:rFonts w:ascii="Arial Narrow" w:hAnsi="Arial Narrow" w:cstheme="minorHAnsi"/>
                <w:sz w:val="20"/>
                <w:szCs w:val="20"/>
              </w:rPr>
            </w:pPr>
            <w:r w:rsidRPr="00C274BB">
              <w:rPr>
                <w:rFonts w:ascii="Arial Narrow" w:eastAsia="Calibri" w:hAnsi="Arial Narrow" w:cstheme="minorHAnsi"/>
                <w:sz w:val="20"/>
                <w:szCs w:val="20"/>
              </w:rPr>
              <w:t>Zoely</w:t>
            </w:r>
          </w:p>
        </w:tc>
        <w:tc>
          <w:tcPr>
            <w:tcW w:w="1985" w:type="dxa"/>
          </w:tcPr>
          <w:p w14:paraId="3327E63B" w14:textId="77777777" w:rsidR="00A40131" w:rsidRPr="00214C29" w:rsidRDefault="00A40131" w:rsidP="003C0BDF">
            <w:pPr>
              <w:rPr>
                <w:rFonts w:ascii="Arial Narrow" w:hAnsi="Arial Narrow" w:cstheme="minorHAnsi"/>
                <w:sz w:val="20"/>
                <w:szCs w:val="20"/>
              </w:rPr>
            </w:pPr>
            <w:r w:rsidRPr="00214C29">
              <w:rPr>
                <w:rFonts w:ascii="Arial Narrow" w:hAnsi="Arial Narrow" w:cstheme="minorHAnsi"/>
                <w:sz w:val="20"/>
                <w:szCs w:val="20"/>
              </w:rPr>
              <w:t xml:space="preserve">Not PBS-listed </w:t>
            </w:r>
          </w:p>
        </w:tc>
        <w:tc>
          <w:tcPr>
            <w:tcW w:w="2693" w:type="dxa"/>
          </w:tcPr>
          <w:p w14:paraId="1CB83CBA"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Contraception</w:t>
            </w:r>
          </w:p>
        </w:tc>
        <w:tc>
          <w:tcPr>
            <w:tcW w:w="1904" w:type="dxa"/>
          </w:tcPr>
          <w:p w14:paraId="62FE767F" w14:textId="77777777" w:rsidR="00A40131" w:rsidRPr="001E0786" w:rsidRDefault="00A40131" w:rsidP="003C0BDF">
            <w:pPr>
              <w:rPr>
                <w:rFonts w:ascii="Arial Narrow" w:hAnsi="Arial Narrow" w:cstheme="minorHAnsi"/>
                <w:sz w:val="20"/>
                <w:szCs w:val="20"/>
              </w:rPr>
            </w:pPr>
          </w:p>
        </w:tc>
      </w:tr>
      <w:tr w:rsidR="00A40131" w:rsidRPr="001E0786" w14:paraId="544C0F24" w14:textId="77777777" w:rsidTr="003C0BDF">
        <w:tc>
          <w:tcPr>
            <w:tcW w:w="1980" w:type="dxa"/>
          </w:tcPr>
          <w:p w14:paraId="55C48112" w14:textId="630FA132" w:rsidR="00A40131" w:rsidRPr="00214C29" w:rsidRDefault="00DB4255" w:rsidP="003C0BDF">
            <w:pPr>
              <w:rPr>
                <w:rFonts w:ascii="Arial Narrow" w:eastAsia="Calibri" w:hAnsi="Arial Narrow" w:cstheme="minorHAnsi"/>
                <w:sz w:val="20"/>
                <w:szCs w:val="20"/>
              </w:rPr>
            </w:pPr>
            <w:r>
              <w:rPr>
                <w:rFonts w:ascii="Arial Narrow" w:eastAsia="Calibri" w:hAnsi="Arial Narrow" w:cstheme="minorHAnsi"/>
                <w:sz w:val="20"/>
                <w:szCs w:val="20"/>
              </w:rPr>
              <w:t>d</w:t>
            </w:r>
            <w:r w:rsidR="00A40131">
              <w:rPr>
                <w:rFonts w:ascii="Arial Narrow" w:eastAsia="Calibri" w:hAnsi="Arial Narrow" w:cstheme="minorHAnsi"/>
                <w:sz w:val="20"/>
                <w:szCs w:val="20"/>
              </w:rPr>
              <w:t>ienogest (2000)</w:t>
            </w:r>
          </w:p>
        </w:tc>
        <w:tc>
          <w:tcPr>
            <w:tcW w:w="1701" w:type="dxa"/>
          </w:tcPr>
          <w:p w14:paraId="6E98864C" w14:textId="69A7F405" w:rsidR="00A40131" w:rsidRPr="00214C29" w:rsidRDefault="00DB4255" w:rsidP="003C0BDF">
            <w:pPr>
              <w:rPr>
                <w:rFonts w:ascii="Arial Narrow" w:hAnsi="Arial Narrow" w:cstheme="minorHAnsi"/>
                <w:sz w:val="20"/>
                <w:szCs w:val="20"/>
              </w:rPr>
            </w:pPr>
            <w:r>
              <w:rPr>
                <w:rFonts w:ascii="Arial Narrow" w:hAnsi="Arial Narrow" w:cstheme="minorHAnsi"/>
                <w:sz w:val="20"/>
                <w:szCs w:val="20"/>
              </w:rPr>
              <w:t>e</w:t>
            </w:r>
            <w:r w:rsidR="00A40131">
              <w:rPr>
                <w:rFonts w:ascii="Arial Narrow" w:hAnsi="Arial Narrow" w:cstheme="minorHAnsi"/>
                <w:sz w:val="20"/>
                <w:szCs w:val="20"/>
              </w:rPr>
              <w:t>thinylestradiol (30)</w:t>
            </w:r>
          </w:p>
        </w:tc>
        <w:tc>
          <w:tcPr>
            <w:tcW w:w="1984" w:type="dxa"/>
          </w:tcPr>
          <w:p w14:paraId="6C650DFD" w14:textId="77777777" w:rsidR="00A40131" w:rsidRDefault="00A40131" w:rsidP="003C0BDF">
            <w:pPr>
              <w:rPr>
                <w:rFonts w:ascii="Arial Narrow" w:hAnsi="Arial Narrow" w:cstheme="minorHAnsi"/>
                <w:sz w:val="20"/>
                <w:szCs w:val="20"/>
              </w:rPr>
            </w:pPr>
            <w:r>
              <w:rPr>
                <w:rFonts w:ascii="Arial Narrow" w:hAnsi="Arial Narrow" w:cstheme="minorHAnsi"/>
                <w:sz w:val="20"/>
                <w:szCs w:val="20"/>
              </w:rPr>
              <w:t>N/A</w:t>
            </w:r>
          </w:p>
        </w:tc>
        <w:tc>
          <w:tcPr>
            <w:tcW w:w="1701" w:type="dxa"/>
          </w:tcPr>
          <w:p w14:paraId="7BD690D4" w14:textId="77777777" w:rsidR="00A40131" w:rsidRPr="00214C29" w:rsidRDefault="00A40131" w:rsidP="003C0BDF">
            <w:pPr>
              <w:rPr>
                <w:rFonts w:ascii="Arial Narrow" w:eastAsia="Calibri" w:hAnsi="Arial Narrow" w:cstheme="minorHAnsi"/>
                <w:sz w:val="20"/>
                <w:szCs w:val="20"/>
              </w:rPr>
            </w:pPr>
            <w:r>
              <w:rPr>
                <w:rFonts w:ascii="Arial Narrow" w:eastAsia="Calibri" w:hAnsi="Arial Narrow" w:cstheme="minorHAnsi"/>
                <w:sz w:val="20"/>
                <w:szCs w:val="20"/>
              </w:rPr>
              <w:t>Valette</w:t>
            </w:r>
          </w:p>
        </w:tc>
        <w:tc>
          <w:tcPr>
            <w:tcW w:w="1985" w:type="dxa"/>
          </w:tcPr>
          <w:p w14:paraId="717F00D6" w14:textId="77777777" w:rsidR="00A40131" w:rsidRPr="00214C29" w:rsidRDefault="00A40131" w:rsidP="003C0BDF">
            <w:pPr>
              <w:rPr>
                <w:rFonts w:ascii="Arial Narrow" w:hAnsi="Arial Narrow" w:cstheme="minorHAnsi"/>
                <w:sz w:val="20"/>
                <w:szCs w:val="20"/>
              </w:rPr>
            </w:pPr>
            <w:r>
              <w:rPr>
                <w:rFonts w:ascii="Arial Narrow" w:hAnsi="Arial Narrow" w:cstheme="minorHAnsi"/>
                <w:sz w:val="20"/>
                <w:szCs w:val="20"/>
              </w:rPr>
              <w:t>Not PBS-listed</w:t>
            </w:r>
          </w:p>
        </w:tc>
        <w:tc>
          <w:tcPr>
            <w:tcW w:w="2693" w:type="dxa"/>
          </w:tcPr>
          <w:p w14:paraId="304FFA45" w14:textId="77777777" w:rsidR="00A40131" w:rsidRPr="00C274BB" w:rsidRDefault="00A40131" w:rsidP="003C0BDF">
            <w:pPr>
              <w:pStyle w:val="ListParagraph"/>
              <w:numPr>
                <w:ilvl w:val="0"/>
                <w:numId w:val="48"/>
              </w:numPr>
              <w:rPr>
                <w:rFonts w:ascii="Arial Narrow" w:hAnsi="Arial Narrow" w:cstheme="minorHAnsi"/>
                <w:sz w:val="20"/>
                <w:szCs w:val="20"/>
              </w:rPr>
            </w:pPr>
            <w:r w:rsidRPr="00C274BB">
              <w:rPr>
                <w:rFonts w:ascii="Arial Narrow" w:hAnsi="Arial Narrow" w:cstheme="minorHAnsi"/>
                <w:sz w:val="20"/>
                <w:szCs w:val="20"/>
              </w:rPr>
              <w:t>Contraception</w:t>
            </w:r>
          </w:p>
          <w:p w14:paraId="0740EB88" w14:textId="77777777" w:rsidR="00A40131" w:rsidRPr="00C274BB" w:rsidRDefault="00A40131" w:rsidP="003C0BDF">
            <w:pPr>
              <w:pStyle w:val="ListParagraph"/>
              <w:numPr>
                <w:ilvl w:val="0"/>
                <w:numId w:val="48"/>
              </w:numPr>
              <w:rPr>
                <w:rFonts w:ascii="Arial Narrow" w:hAnsi="Arial Narrow" w:cstheme="minorHAnsi"/>
                <w:sz w:val="20"/>
                <w:szCs w:val="20"/>
              </w:rPr>
            </w:pPr>
            <w:r w:rsidRPr="00C274BB">
              <w:rPr>
                <w:rFonts w:ascii="Arial Narrow" w:hAnsi="Arial Narrow" w:cstheme="minorHAnsi"/>
                <w:sz w:val="20"/>
                <w:szCs w:val="20"/>
              </w:rPr>
              <w:t>Treatment of mild to moderate acne in women who seek oral contraception</w:t>
            </w:r>
          </w:p>
        </w:tc>
        <w:tc>
          <w:tcPr>
            <w:tcW w:w="1904" w:type="dxa"/>
          </w:tcPr>
          <w:p w14:paraId="6098784D" w14:textId="77777777" w:rsidR="00A40131" w:rsidRPr="001E0786" w:rsidRDefault="00A40131" w:rsidP="003C0BDF">
            <w:pPr>
              <w:rPr>
                <w:rFonts w:ascii="Arial Narrow" w:hAnsi="Arial Narrow" w:cstheme="minorHAnsi"/>
                <w:sz w:val="20"/>
                <w:szCs w:val="20"/>
              </w:rPr>
            </w:pPr>
          </w:p>
        </w:tc>
      </w:tr>
      <w:tr w:rsidR="00A40131" w:rsidRPr="001E0786" w14:paraId="318C8AFB" w14:textId="77777777" w:rsidTr="003C0BDF">
        <w:tc>
          <w:tcPr>
            <w:tcW w:w="13948" w:type="dxa"/>
            <w:gridSpan w:val="7"/>
            <w:shd w:val="clear" w:color="auto" w:fill="D9D9D9" w:themeFill="background1" w:themeFillShade="D9"/>
          </w:tcPr>
          <w:p w14:paraId="04EDCADF" w14:textId="77777777" w:rsidR="00A40131" w:rsidRPr="00C274BB" w:rsidRDefault="00A40131" w:rsidP="003C0BDF">
            <w:pPr>
              <w:rPr>
                <w:rFonts w:ascii="Arial Narrow" w:hAnsi="Arial Narrow" w:cstheme="minorHAnsi"/>
                <w:i/>
                <w:iCs/>
                <w:sz w:val="20"/>
                <w:szCs w:val="20"/>
              </w:rPr>
            </w:pPr>
            <w:r w:rsidRPr="00C274BB">
              <w:rPr>
                <w:rFonts w:ascii="Arial Narrow" w:eastAsia="Calibri" w:hAnsi="Arial Narrow" w:cstheme="minorHAnsi"/>
                <w:i/>
                <w:iCs/>
                <w:sz w:val="20"/>
                <w:szCs w:val="20"/>
              </w:rPr>
              <w:t>G03HB – Antiandrogens and estrogens</w:t>
            </w:r>
          </w:p>
        </w:tc>
      </w:tr>
      <w:tr w:rsidR="00A40131" w:rsidRPr="001E0786" w14:paraId="0D22230E" w14:textId="77777777" w:rsidTr="003C0BDF">
        <w:tc>
          <w:tcPr>
            <w:tcW w:w="1980" w:type="dxa"/>
          </w:tcPr>
          <w:p w14:paraId="77BC7AF9" w14:textId="6B49637E" w:rsidR="00A40131" w:rsidRPr="00214C29" w:rsidRDefault="00DB4255" w:rsidP="003C0BDF">
            <w:pPr>
              <w:rPr>
                <w:rFonts w:ascii="Arial Narrow" w:hAnsi="Arial Narrow" w:cstheme="minorHAnsi"/>
                <w:sz w:val="20"/>
                <w:szCs w:val="20"/>
              </w:rPr>
            </w:pPr>
            <w:r>
              <w:rPr>
                <w:rFonts w:ascii="Arial Narrow" w:eastAsia="Calibri" w:hAnsi="Arial Narrow" w:cstheme="minorHAnsi"/>
                <w:sz w:val="20"/>
                <w:szCs w:val="20"/>
              </w:rPr>
              <w:t>c</w:t>
            </w:r>
            <w:r w:rsidR="00A40131" w:rsidRPr="00C274BB">
              <w:rPr>
                <w:rFonts w:ascii="Arial Narrow" w:eastAsia="Calibri" w:hAnsi="Arial Narrow" w:cstheme="minorHAnsi"/>
                <w:sz w:val="20"/>
                <w:szCs w:val="20"/>
              </w:rPr>
              <w:t xml:space="preserve">yproterone </w:t>
            </w:r>
            <w:r w:rsidR="00A40131">
              <w:rPr>
                <w:rFonts w:ascii="Arial Narrow" w:eastAsia="Calibri" w:hAnsi="Arial Narrow" w:cstheme="minorHAnsi"/>
                <w:sz w:val="20"/>
                <w:szCs w:val="20"/>
              </w:rPr>
              <w:t>(2000)</w:t>
            </w:r>
          </w:p>
        </w:tc>
        <w:tc>
          <w:tcPr>
            <w:tcW w:w="1701" w:type="dxa"/>
          </w:tcPr>
          <w:p w14:paraId="14C6A0B7" w14:textId="77777777" w:rsidR="00A40131" w:rsidRPr="00214C29" w:rsidRDefault="00A40131" w:rsidP="003C0BDF">
            <w:pPr>
              <w:rPr>
                <w:rFonts w:ascii="Arial Narrow" w:hAnsi="Arial Narrow" w:cstheme="minorHAnsi"/>
                <w:sz w:val="20"/>
                <w:szCs w:val="20"/>
              </w:rPr>
            </w:pPr>
            <w:r w:rsidRPr="00C274BB">
              <w:rPr>
                <w:rFonts w:ascii="Arial Narrow" w:eastAsia="Calibri" w:hAnsi="Arial Narrow" w:cstheme="minorHAnsi"/>
                <w:sz w:val="20"/>
                <w:szCs w:val="20"/>
              </w:rPr>
              <w:t>ethinylestradiol</w:t>
            </w:r>
            <w:r>
              <w:rPr>
                <w:rFonts w:ascii="Arial Narrow" w:eastAsia="Calibri" w:hAnsi="Arial Narrow" w:cstheme="minorHAnsi"/>
                <w:sz w:val="20"/>
                <w:szCs w:val="20"/>
              </w:rPr>
              <w:t xml:space="preserve"> (35)</w:t>
            </w:r>
          </w:p>
        </w:tc>
        <w:tc>
          <w:tcPr>
            <w:tcW w:w="1984" w:type="dxa"/>
          </w:tcPr>
          <w:p w14:paraId="23104282" w14:textId="77777777" w:rsidR="00A40131" w:rsidRPr="00214C29" w:rsidRDefault="00A40131" w:rsidP="003C0BDF">
            <w:pPr>
              <w:rPr>
                <w:rFonts w:ascii="Arial Narrow" w:hAnsi="Arial Narrow" w:cstheme="minorHAnsi"/>
                <w:sz w:val="20"/>
                <w:szCs w:val="20"/>
              </w:rPr>
            </w:pPr>
            <w:r w:rsidRPr="00C274BB">
              <w:rPr>
                <w:rFonts w:ascii="Arial Narrow" w:eastAsia="Calibri" w:hAnsi="Arial Narrow" w:cstheme="minorHAnsi"/>
                <w:sz w:val="20"/>
                <w:szCs w:val="20"/>
              </w:rPr>
              <w:t>N/A</w:t>
            </w:r>
          </w:p>
        </w:tc>
        <w:tc>
          <w:tcPr>
            <w:tcW w:w="1701" w:type="dxa"/>
          </w:tcPr>
          <w:p w14:paraId="41D42747" w14:textId="77777777" w:rsidR="00A40131" w:rsidRPr="00C274BB" w:rsidRDefault="00A40131" w:rsidP="003C0BDF">
            <w:pPr>
              <w:rPr>
                <w:rFonts w:ascii="Arial Narrow" w:eastAsia="Calibri" w:hAnsi="Arial Narrow" w:cstheme="minorHAnsi"/>
                <w:sz w:val="20"/>
                <w:szCs w:val="20"/>
              </w:rPr>
            </w:pPr>
            <w:r w:rsidRPr="00C274BB">
              <w:rPr>
                <w:rFonts w:ascii="Arial Narrow" w:eastAsia="Calibri" w:hAnsi="Arial Narrow" w:cstheme="minorHAnsi"/>
                <w:sz w:val="20"/>
                <w:szCs w:val="20"/>
              </w:rPr>
              <w:t>Diane-35 ED</w:t>
            </w:r>
          </w:p>
          <w:p w14:paraId="02F3B586" w14:textId="77777777" w:rsidR="00A40131" w:rsidRPr="00C274BB" w:rsidRDefault="00A40131" w:rsidP="003C0BDF">
            <w:pPr>
              <w:rPr>
                <w:rFonts w:ascii="Arial Narrow" w:eastAsia="Calibri" w:hAnsi="Arial Narrow" w:cstheme="minorHAnsi"/>
                <w:sz w:val="20"/>
                <w:szCs w:val="20"/>
              </w:rPr>
            </w:pPr>
            <w:r w:rsidRPr="00C274BB">
              <w:rPr>
                <w:rFonts w:ascii="Arial Narrow" w:eastAsia="Calibri" w:hAnsi="Arial Narrow" w:cstheme="minorHAnsi"/>
                <w:sz w:val="20"/>
                <w:szCs w:val="20"/>
              </w:rPr>
              <w:t>Estelle-35 ED</w:t>
            </w:r>
          </w:p>
          <w:p w14:paraId="5A878A47" w14:textId="77777777" w:rsidR="00A40131" w:rsidRDefault="00A40131" w:rsidP="003C0BDF">
            <w:pPr>
              <w:rPr>
                <w:rFonts w:ascii="Arial Narrow" w:eastAsia="Calibri" w:hAnsi="Arial Narrow" w:cstheme="minorHAnsi"/>
                <w:sz w:val="20"/>
                <w:szCs w:val="20"/>
              </w:rPr>
            </w:pPr>
            <w:r w:rsidRPr="00C274BB">
              <w:rPr>
                <w:rFonts w:ascii="Arial Narrow" w:eastAsia="Calibri" w:hAnsi="Arial Narrow" w:cstheme="minorHAnsi"/>
                <w:sz w:val="20"/>
                <w:szCs w:val="20"/>
              </w:rPr>
              <w:t>Jene-35 ED</w:t>
            </w:r>
          </w:p>
          <w:p w14:paraId="1CD0B345" w14:textId="77777777" w:rsidR="00A40131" w:rsidRDefault="00A40131" w:rsidP="003C0BDF">
            <w:pPr>
              <w:rPr>
                <w:rFonts w:ascii="Arial Narrow" w:eastAsia="Calibri" w:hAnsi="Arial Narrow" w:cstheme="minorHAnsi"/>
                <w:sz w:val="20"/>
                <w:szCs w:val="20"/>
              </w:rPr>
            </w:pPr>
            <w:r>
              <w:rPr>
                <w:rFonts w:ascii="Arial Narrow" w:eastAsia="Calibri" w:hAnsi="Arial Narrow" w:cstheme="minorHAnsi"/>
                <w:sz w:val="20"/>
                <w:szCs w:val="20"/>
              </w:rPr>
              <w:t>Juliet-35</w:t>
            </w:r>
          </w:p>
          <w:p w14:paraId="0D7A10A5" w14:textId="77777777" w:rsidR="00A40131" w:rsidRDefault="00A40131" w:rsidP="003C0BDF">
            <w:pPr>
              <w:rPr>
                <w:rFonts w:ascii="Arial Narrow" w:hAnsi="Arial Narrow" w:cstheme="minorHAnsi"/>
                <w:sz w:val="20"/>
                <w:szCs w:val="20"/>
              </w:rPr>
            </w:pPr>
            <w:r>
              <w:rPr>
                <w:rFonts w:ascii="Arial Narrow" w:hAnsi="Arial Narrow" w:cstheme="minorHAnsi"/>
                <w:sz w:val="20"/>
                <w:szCs w:val="20"/>
              </w:rPr>
              <w:t>Laila-35</w:t>
            </w:r>
          </w:p>
          <w:p w14:paraId="1EDD54B9" w14:textId="77777777" w:rsidR="00A40131" w:rsidRDefault="00A40131" w:rsidP="003C0BDF">
            <w:pPr>
              <w:rPr>
                <w:rFonts w:ascii="Arial Narrow" w:hAnsi="Arial Narrow" w:cstheme="minorHAnsi"/>
                <w:sz w:val="20"/>
                <w:szCs w:val="20"/>
              </w:rPr>
            </w:pPr>
            <w:r>
              <w:rPr>
                <w:rFonts w:ascii="Arial Narrow" w:hAnsi="Arial Narrow" w:cstheme="minorHAnsi"/>
                <w:sz w:val="20"/>
                <w:szCs w:val="20"/>
              </w:rPr>
              <w:t>Carolyn-35</w:t>
            </w:r>
          </w:p>
          <w:p w14:paraId="2C07FB53" w14:textId="77777777" w:rsidR="00A40131" w:rsidRPr="00214C29" w:rsidRDefault="00A40131" w:rsidP="003C0BDF">
            <w:pPr>
              <w:rPr>
                <w:rFonts w:ascii="Arial Narrow" w:hAnsi="Arial Narrow" w:cstheme="minorHAnsi"/>
                <w:sz w:val="20"/>
                <w:szCs w:val="20"/>
              </w:rPr>
            </w:pPr>
            <w:r>
              <w:rPr>
                <w:rFonts w:ascii="Arial Narrow" w:hAnsi="Arial Narrow" w:cstheme="minorHAnsi"/>
                <w:sz w:val="20"/>
                <w:szCs w:val="20"/>
              </w:rPr>
              <w:t>Brenda-35</w:t>
            </w:r>
          </w:p>
        </w:tc>
        <w:tc>
          <w:tcPr>
            <w:tcW w:w="1985" w:type="dxa"/>
          </w:tcPr>
          <w:p w14:paraId="494168E2" w14:textId="77777777" w:rsidR="00A40131" w:rsidRPr="00214C29" w:rsidRDefault="00A40131" w:rsidP="003C0BDF">
            <w:pPr>
              <w:rPr>
                <w:rFonts w:ascii="Arial Narrow" w:hAnsi="Arial Narrow" w:cstheme="minorHAnsi"/>
                <w:sz w:val="20"/>
                <w:szCs w:val="20"/>
              </w:rPr>
            </w:pPr>
            <w:r w:rsidRPr="00214C29">
              <w:rPr>
                <w:rFonts w:ascii="Arial Narrow" w:hAnsi="Arial Narrow" w:cstheme="minorHAnsi"/>
                <w:sz w:val="20"/>
                <w:szCs w:val="20"/>
              </w:rPr>
              <w:t>Not PBS-listed</w:t>
            </w:r>
          </w:p>
        </w:tc>
        <w:tc>
          <w:tcPr>
            <w:tcW w:w="2693" w:type="dxa"/>
          </w:tcPr>
          <w:p w14:paraId="6D6175BF" w14:textId="77777777" w:rsidR="00A40131" w:rsidRPr="00C274BB" w:rsidRDefault="00A40131" w:rsidP="003C0BDF">
            <w:pPr>
              <w:numPr>
                <w:ilvl w:val="0"/>
                <w:numId w:val="46"/>
              </w:numPr>
              <w:rPr>
                <w:rFonts w:ascii="Arial Narrow" w:hAnsi="Arial Narrow" w:cstheme="minorHAnsi"/>
                <w:sz w:val="20"/>
                <w:szCs w:val="20"/>
              </w:rPr>
            </w:pPr>
            <w:r w:rsidRPr="00C274BB">
              <w:rPr>
                <w:rFonts w:ascii="Arial Narrow" w:hAnsi="Arial Narrow" w:cstheme="minorHAnsi"/>
                <w:sz w:val="20"/>
                <w:szCs w:val="20"/>
              </w:rPr>
              <w:t>Contraception</w:t>
            </w:r>
          </w:p>
          <w:p w14:paraId="4EEF23CF" w14:textId="77777777" w:rsidR="00A40131" w:rsidRPr="00C274BB" w:rsidRDefault="00A40131" w:rsidP="003C0BDF">
            <w:pPr>
              <w:numPr>
                <w:ilvl w:val="0"/>
                <w:numId w:val="46"/>
              </w:numPr>
              <w:rPr>
                <w:rFonts w:ascii="Arial Narrow" w:hAnsi="Arial Narrow" w:cstheme="minorHAnsi"/>
                <w:sz w:val="20"/>
                <w:szCs w:val="20"/>
              </w:rPr>
            </w:pPr>
            <w:r w:rsidRPr="00C274BB">
              <w:rPr>
                <w:rFonts w:ascii="Arial Narrow" w:hAnsi="Arial Narrow" w:cstheme="minorHAnsi"/>
                <w:sz w:val="20"/>
                <w:szCs w:val="20"/>
              </w:rPr>
              <w:t>Androgenisation in women, severe acne (where prolonged oral antibiotics, local therapy unsuccessful)</w:t>
            </w:r>
          </w:p>
          <w:p w14:paraId="473DAD1E" w14:textId="77777777" w:rsidR="00A40131" w:rsidRPr="00C274BB" w:rsidRDefault="00A40131" w:rsidP="003C0BDF">
            <w:pPr>
              <w:pStyle w:val="ListParagraph"/>
              <w:numPr>
                <w:ilvl w:val="0"/>
                <w:numId w:val="46"/>
              </w:numPr>
              <w:rPr>
                <w:rFonts w:ascii="Arial Narrow" w:hAnsi="Arial Narrow" w:cstheme="minorHAnsi"/>
                <w:sz w:val="20"/>
                <w:szCs w:val="20"/>
              </w:rPr>
            </w:pPr>
            <w:r w:rsidRPr="00C274BB">
              <w:rPr>
                <w:rFonts w:ascii="Arial Narrow" w:hAnsi="Arial Narrow" w:cstheme="minorHAnsi"/>
                <w:sz w:val="20"/>
                <w:szCs w:val="20"/>
              </w:rPr>
              <w:t>Mild-moderate idiopathic hirsutism</w:t>
            </w:r>
          </w:p>
        </w:tc>
        <w:tc>
          <w:tcPr>
            <w:tcW w:w="1904" w:type="dxa"/>
          </w:tcPr>
          <w:p w14:paraId="24272779" w14:textId="77777777" w:rsidR="00A40131" w:rsidRPr="001E0786" w:rsidRDefault="00A40131" w:rsidP="003C0BDF">
            <w:pPr>
              <w:rPr>
                <w:rFonts w:ascii="Arial Narrow" w:hAnsi="Arial Narrow" w:cstheme="minorHAnsi"/>
                <w:sz w:val="20"/>
                <w:szCs w:val="20"/>
              </w:rPr>
            </w:pPr>
          </w:p>
        </w:tc>
      </w:tr>
      <w:tr w:rsidR="00A40131" w:rsidRPr="001E0786" w14:paraId="40BCF083" w14:textId="77777777" w:rsidTr="003C0BDF">
        <w:tc>
          <w:tcPr>
            <w:tcW w:w="13948" w:type="dxa"/>
            <w:gridSpan w:val="7"/>
            <w:shd w:val="clear" w:color="auto" w:fill="D9D9D9" w:themeFill="background1" w:themeFillShade="D9"/>
          </w:tcPr>
          <w:p w14:paraId="71A7783F" w14:textId="77777777" w:rsidR="00A40131" w:rsidRPr="0055051E" w:rsidRDefault="00A40131" w:rsidP="003C0BDF">
            <w:pPr>
              <w:rPr>
                <w:rFonts w:ascii="Arial Narrow" w:hAnsi="Arial Narrow" w:cstheme="minorHAnsi"/>
                <w:sz w:val="20"/>
                <w:szCs w:val="20"/>
              </w:rPr>
            </w:pPr>
            <w:r w:rsidRPr="00C274BB">
              <w:rPr>
                <w:rFonts w:ascii="Arial Narrow" w:eastAsia="Calibri" w:hAnsi="Arial Narrow" w:cstheme="minorHAnsi"/>
                <w:i/>
                <w:iCs/>
                <w:sz w:val="20"/>
                <w:szCs w:val="20"/>
              </w:rPr>
              <w:t>G03AB – Progestogens and estrogens, sequential preparations</w:t>
            </w:r>
          </w:p>
        </w:tc>
      </w:tr>
      <w:tr w:rsidR="00A40131" w:rsidRPr="001E0786" w14:paraId="3937919F" w14:textId="77777777" w:rsidTr="003C0BDF">
        <w:tc>
          <w:tcPr>
            <w:tcW w:w="1980" w:type="dxa"/>
          </w:tcPr>
          <w:p w14:paraId="2B63B386" w14:textId="77777777" w:rsidR="00A40131" w:rsidRPr="00B50FAF" w:rsidRDefault="00A40131" w:rsidP="003C0BDF">
            <w:pPr>
              <w:rPr>
                <w:rFonts w:ascii="Arial Narrow" w:hAnsi="Arial Narrow" w:cstheme="minorHAnsi"/>
                <w:sz w:val="20"/>
                <w:szCs w:val="20"/>
              </w:rPr>
            </w:pPr>
            <w:r w:rsidRPr="00C274BB">
              <w:rPr>
                <w:rFonts w:ascii="Arial Narrow" w:eastAsia="Calibri" w:hAnsi="Arial Narrow" w:cstheme="minorHAnsi"/>
                <w:sz w:val="20"/>
                <w:szCs w:val="20"/>
              </w:rPr>
              <w:t>levonorgestrel (50, 75, 125)</w:t>
            </w:r>
          </w:p>
        </w:tc>
        <w:tc>
          <w:tcPr>
            <w:tcW w:w="1701" w:type="dxa"/>
          </w:tcPr>
          <w:p w14:paraId="2AEADEAB" w14:textId="77777777" w:rsidR="00A40131" w:rsidRPr="0055051E" w:rsidRDefault="00A40131" w:rsidP="003C0BDF">
            <w:pPr>
              <w:rPr>
                <w:rFonts w:ascii="Arial Narrow" w:hAnsi="Arial Narrow" w:cstheme="minorHAnsi"/>
                <w:sz w:val="20"/>
                <w:szCs w:val="20"/>
              </w:rPr>
            </w:pPr>
            <w:r w:rsidRPr="00C274BB">
              <w:rPr>
                <w:rFonts w:ascii="Arial Narrow" w:eastAsia="Calibri" w:hAnsi="Arial Narrow" w:cstheme="minorHAnsi"/>
                <w:sz w:val="20"/>
                <w:szCs w:val="20"/>
              </w:rPr>
              <w:t>ethinylestradiol (30, 40, 30)</w:t>
            </w:r>
          </w:p>
        </w:tc>
        <w:tc>
          <w:tcPr>
            <w:tcW w:w="1984" w:type="dxa"/>
          </w:tcPr>
          <w:p w14:paraId="0F6D0870" w14:textId="77777777" w:rsidR="00A40131" w:rsidRPr="00C274BB" w:rsidRDefault="00A40131" w:rsidP="003C0BDF">
            <w:pPr>
              <w:rPr>
                <w:rFonts w:ascii="Arial Narrow" w:eastAsia="Calibri" w:hAnsi="Arial Narrow" w:cstheme="minorHAnsi"/>
                <w:sz w:val="20"/>
                <w:szCs w:val="20"/>
              </w:rPr>
            </w:pPr>
            <w:r w:rsidRPr="00C274BB">
              <w:rPr>
                <w:rFonts w:ascii="Arial Narrow" w:eastAsia="Calibri" w:hAnsi="Arial Narrow" w:cstheme="minorHAnsi"/>
                <w:sz w:val="20"/>
                <w:szCs w:val="20"/>
              </w:rPr>
              <w:t>Logynon ED</w:t>
            </w:r>
          </w:p>
          <w:p w14:paraId="64E95AA5" w14:textId="77777777" w:rsidR="00A40131" w:rsidRPr="00C274BB" w:rsidRDefault="00A40131" w:rsidP="003C0BDF">
            <w:pPr>
              <w:rPr>
                <w:rFonts w:ascii="Arial Narrow" w:eastAsia="Calibri" w:hAnsi="Arial Narrow" w:cstheme="minorHAnsi"/>
                <w:sz w:val="20"/>
                <w:szCs w:val="20"/>
              </w:rPr>
            </w:pPr>
            <w:r w:rsidRPr="00C274BB">
              <w:rPr>
                <w:rFonts w:ascii="Arial Narrow" w:eastAsia="Calibri" w:hAnsi="Arial Narrow" w:cstheme="minorHAnsi"/>
                <w:sz w:val="20"/>
                <w:szCs w:val="20"/>
              </w:rPr>
              <w:t>Trifeme 28</w:t>
            </w:r>
          </w:p>
          <w:p w14:paraId="6747615A" w14:textId="77777777" w:rsidR="00A40131" w:rsidRPr="00C274BB" w:rsidRDefault="00A40131" w:rsidP="003C0BDF">
            <w:pPr>
              <w:rPr>
                <w:rFonts w:ascii="Arial Narrow" w:eastAsia="Calibri" w:hAnsi="Arial Narrow" w:cstheme="minorHAnsi"/>
                <w:sz w:val="20"/>
                <w:szCs w:val="20"/>
              </w:rPr>
            </w:pPr>
            <w:r w:rsidRPr="00C274BB">
              <w:rPr>
                <w:rFonts w:ascii="Arial Narrow" w:eastAsia="Calibri" w:hAnsi="Arial Narrow" w:cstheme="minorHAnsi"/>
                <w:sz w:val="20"/>
                <w:szCs w:val="20"/>
              </w:rPr>
              <w:t>Triphasil 28</w:t>
            </w:r>
          </w:p>
          <w:p w14:paraId="386EABBD" w14:textId="77777777" w:rsidR="00A40131" w:rsidRPr="0055051E" w:rsidRDefault="00A40131" w:rsidP="003C0BDF">
            <w:pPr>
              <w:rPr>
                <w:rFonts w:ascii="Arial Narrow" w:hAnsi="Arial Narrow" w:cstheme="minorHAnsi"/>
                <w:sz w:val="20"/>
                <w:szCs w:val="20"/>
              </w:rPr>
            </w:pPr>
            <w:r w:rsidRPr="00C274BB">
              <w:rPr>
                <w:rFonts w:ascii="Arial Narrow" w:eastAsia="Calibri" w:hAnsi="Arial Narrow" w:cstheme="minorHAnsi"/>
                <w:sz w:val="20"/>
                <w:szCs w:val="20"/>
              </w:rPr>
              <w:t>Triquilar ED</w:t>
            </w:r>
          </w:p>
        </w:tc>
        <w:tc>
          <w:tcPr>
            <w:tcW w:w="1701" w:type="dxa"/>
          </w:tcPr>
          <w:p w14:paraId="08BF36AC" w14:textId="77777777" w:rsidR="00A40131" w:rsidRPr="0055051E" w:rsidRDefault="00A40131" w:rsidP="003C0BDF">
            <w:pPr>
              <w:rPr>
                <w:rFonts w:ascii="Arial Narrow" w:hAnsi="Arial Narrow" w:cstheme="minorHAnsi"/>
                <w:sz w:val="20"/>
                <w:szCs w:val="20"/>
              </w:rPr>
            </w:pPr>
            <w:r w:rsidRPr="0055051E">
              <w:rPr>
                <w:rFonts w:ascii="Arial Narrow" w:hAnsi="Arial Narrow" w:cstheme="minorHAnsi"/>
                <w:sz w:val="20"/>
                <w:szCs w:val="20"/>
              </w:rPr>
              <w:t>N/A</w:t>
            </w:r>
          </w:p>
        </w:tc>
        <w:tc>
          <w:tcPr>
            <w:tcW w:w="1985" w:type="dxa"/>
          </w:tcPr>
          <w:p w14:paraId="2AA12320" w14:textId="77777777" w:rsidR="00A40131" w:rsidRPr="0055051E" w:rsidRDefault="00A40131" w:rsidP="003C0BDF">
            <w:pPr>
              <w:rPr>
                <w:rFonts w:ascii="Arial Narrow" w:hAnsi="Arial Narrow" w:cstheme="minorHAnsi"/>
                <w:sz w:val="20"/>
                <w:szCs w:val="20"/>
              </w:rPr>
            </w:pPr>
            <w:r w:rsidRPr="00C274BB">
              <w:rPr>
                <w:rFonts w:ascii="Arial Narrow" w:hAnsi="Arial Narrow" w:cstheme="minorHAnsi"/>
                <w:sz w:val="20"/>
                <w:szCs w:val="20"/>
              </w:rPr>
              <w:t>Unrestricted</w:t>
            </w:r>
          </w:p>
        </w:tc>
        <w:tc>
          <w:tcPr>
            <w:tcW w:w="2693" w:type="dxa"/>
          </w:tcPr>
          <w:p w14:paraId="02CD56C6" w14:textId="77777777" w:rsidR="00A40131" w:rsidRPr="0055051E" w:rsidRDefault="00A40131" w:rsidP="003C0BDF">
            <w:pPr>
              <w:rPr>
                <w:rFonts w:ascii="Arial Narrow" w:hAnsi="Arial Narrow" w:cstheme="minorHAnsi"/>
                <w:sz w:val="20"/>
                <w:szCs w:val="20"/>
              </w:rPr>
            </w:pPr>
            <w:r w:rsidRPr="0055051E">
              <w:rPr>
                <w:rFonts w:ascii="Arial Narrow" w:hAnsi="Arial Narrow" w:cstheme="minorHAnsi"/>
                <w:sz w:val="20"/>
                <w:szCs w:val="20"/>
              </w:rPr>
              <w:t>Contraception</w:t>
            </w:r>
          </w:p>
        </w:tc>
        <w:tc>
          <w:tcPr>
            <w:tcW w:w="1904" w:type="dxa"/>
          </w:tcPr>
          <w:p w14:paraId="1A869CBC" w14:textId="77777777" w:rsidR="00A40131" w:rsidRPr="0055051E" w:rsidRDefault="00A40131" w:rsidP="003C0BDF">
            <w:pPr>
              <w:rPr>
                <w:rFonts w:ascii="Arial Narrow" w:hAnsi="Arial Narrow" w:cstheme="minorHAnsi"/>
                <w:sz w:val="20"/>
                <w:szCs w:val="20"/>
              </w:rPr>
            </w:pPr>
          </w:p>
        </w:tc>
      </w:tr>
      <w:tr w:rsidR="00A40131" w:rsidRPr="001E0786" w14:paraId="49D91F92" w14:textId="77777777" w:rsidTr="003C0BDF">
        <w:tc>
          <w:tcPr>
            <w:tcW w:w="1980" w:type="dxa"/>
          </w:tcPr>
          <w:p w14:paraId="23DA4985" w14:textId="77777777" w:rsidR="00A40131" w:rsidRDefault="00A40131" w:rsidP="003C0BDF">
            <w:pPr>
              <w:rPr>
                <w:rFonts w:ascii="Arial Narrow" w:eastAsia="Calibri" w:hAnsi="Arial Narrow" w:cstheme="minorHAnsi"/>
                <w:sz w:val="20"/>
                <w:szCs w:val="20"/>
              </w:rPr>
            </w:pPr>
            <w:r>
              <w:rPr>
                <w:rFonts w:ascii="Arial Narrow" w:eastAsia="Calibri" w:hAnsi="Arial Narrow" w:cstheme="minorHAnsi"/>
                <w:sz w:val="20"/>
                <w:szCs w:val="20"/>
              </w:rPr>
              <w:t>levonorgestrel (150)</w:t>
            </w:r>
          </w:p>
        </w:tc>
        <w:tc>
          <w:tcPr>
            <w:tcW w:w="1701" w:type="dxa"/>
          </w:tcPr>
          <w:p w14:paraId="0843351B" w14:textId="77777777" w:rsidR="00A40131" w:rsidRDefault="00A40131" w:rsidP="003C0BDF">
            <w:pPr>
              <w:rPr>
                <w:rFonts w:ascii="Arial Narrow" w:hAnsi="Arial Narrow" w:cstheme="minorHAnsi"/>
                <w:sz w:val="20"/>
                <w:szCs w:val="20"/>
              </w:rPr>
            </w:pPr>
            <w:r>
              <w:rPr>
                <w:rFonts w:ascii="Arial Narrow" w:hAnsi="Arial Narrow" w:cstheme="minorHAnsi"/>
                <w:sz w:val="20"/>
                <w:szCs w:val="20"/>
              </w:rPr>
              <w:t>ethinylestradiol (30, 10)</w:t>
            </w:r>
          </w:p>
        </w:tc>
        <w:tc>
          <w:tcPr>
            <w:tcW w:w="1984" w:type="dxa"/>
          </w:tcPr>
          <w:p w14:paraId="155912B8" w14:textId="77777777" w:rsidR="00A40131" w:rsidRPr="0055051E" w:rsidRDefault="00A40131" w:rsidP="003C0BDF">
            <w:pPr>
              <w:rPr>
                <w:rFonts w:ascii="Arial Narrow" w:eastAsia="Calibri" w:hAnsi="Arial Narrow" w:cstheme="minorHAnsi"/>
                <w:sz w:val="20"/>
                <w:szCs w:val="20"/>
              </w:rPr>
            </w:pPr>
            <w:r>
              <w:rPr>
                <w:rFonts w:ascii="Arial Narrow" w:eastAsia="Calibri" w:hAnsi="Arial Narrow" w:cstheme="minorHAnsi"/>
                <w:sz w:val="20"/>
                <w:szCs w:val="20"/>
              </w:rPr>
              <w:t>N/A</w:t>
            </w:r>
          </w:p>
        </w:tc>
        <w:tc>
          <w:tcPr>
            <w:tcW w:w="1701" w:type="dxa"/>
          </w:tcPr>
          <w:p w14:paraId="152FE261" w14:textId="77777777" w:rsidR="00A40131" w:rsidRDefault="00A40131" w:rsidP="003C0BDF">
            <w:pPr>
              <w:rPr>
                <w:rFonts w:ascii="Arial Narrow" w:hAnsi="Arial Narrow" w:cstheme="minorHAnsi"/>
                <w:sz w:val="20"/>
                <w:szCs w:val="20"/>
              </w:rPr>
            </w:pPr>
            <w:r>
              <w:rPr>
                <w:rFonts w:ascii="Arial Narrow" w:hAnsi="Arial Narrow" w:cstheme="minorHAnsi"/>
                <w:sz w:val="20"/>
                <w:szCs w:val="20"/>
              </w:rPr>
              <w:t xml:space="preserve">Seasonique </w:t>
            </w:r>
          </w:p>
        </w:tc>
        <w:tc>
          <w:tcPr>
            <w:tcW w:w="1985" w:type="dxa"/>
          </w:tcPr>
          <w:p w14:paraId="690C6C4B" w14:textId="77777777" w:rsidR="00A40131" w:rsidRPr="0055051E" w:rsidRDefault="00A40131" w:rsidP="003C0BDF">
            <w:pPr>
              <w:rPr>
                <w:rFonts w:ascii="Arial Narrow" w:eastAsia="Calibri" w:hAnsi="Arial Narrow" w:cstheme="minorHAnsi"/>
                <w:sz w:val="20"/>
                <w:szCs w:val="20"/>
              </w:rPr>
            </w:pPr>
            <w:r>
              <w:rPr>
                <w:rFonts w:ascii="Arial Narrow" w:eastAsia="Calibri" w:hAnsi="Arial Narrow" w:cstheme="minorHAnsi"/>
                <w:sz w:val="20"/>
                <w:szCs w:val="20"/>
              </w:rPr>
              <w:t>Not PBS-listed</w:t>
            </w:r>
          </w:p>
        </w:tc>
        <w:tc>
          <w:tcPr>
            <w:tcW w:w="2693" w:type="dxa"/>
          </w:tcPr>
          <w:p w14:paraId="1CA356E9" w14:textId="77777777" w:rsidR="00A40131" w:rsidRPr="00C274BB" w:rsidRDefault="00A40131" w:rsidP="003C0BDF">
            <w:pPr>
              <w:rPr>
                <w:rFonts w:ascii="Arial Narrow" w:hAnsi="Arial Narrow"/>
                <w:sz w:val="20"/>
                <w:szCs w:val="20"/>
              </w:rPr>
            </w:pPr>
            <w:r>
              <w:rPr>
                <w:rFonts w:ascii="Arial Narrow" w:hAnsi="Arial Narrow"/>
                <w:sz w:val="20"/>
                <w:szCs w:val="20"/>
              </w:rPr>
              <w:t>Contraception</w:t>
            </w:r>
          </w:p>
        </w:tc>
        <w:tc>
          <w:tcPr>
            <w:tcW w:w="1904" w:type="dxa"/>
          </w:tcPr>
          <w:p w14:paraId="4149DE12" w14:textId="77777777" w:rsidR="00A40131" w:rsidRPr="0055051E" w:rsidRDefault="00A40131" w:rsidP="003C0BDF">
            <w:pPr>
              <w:rPr>
                <w:rFonts w:ascii="Arial Narrow" w:hAnsi="Arial Narrow" w:cstheme="minorHAnsi"/>
                <w:sz w:val="20"/>
                <w:szCs w:val="20"/>
              </w:rPr>
            </w:pPr>
          </w:p>
        </w:tc>
      </w:tr>
      <w:tr w:rsidR="00A40131" w:rsidRPr="001E0786" w14:paraId="167F0AB7" w14:textId="77777777" w:rsidTr="003C0BDF">
        <w:tc>
          <w:tcPr>
            <w:tcW w:w="1980" w:type="dxa"/>
          </w:tcPr>
          <w:p w14:paraId="299D055F" w14:textId="797AC664" w:rsidR="00A40131" w:rsidRPr="0055051E" w:rsidRDefault="00DB4255" w:rsidP="003C0BDF">
            <w:pPr>
              <w:rPr>
                <w:rFonts w:ascii="Arial Narrow" w:hAnsi="Arial Narrow" w:cstheme="minorHAnsi"/>
                <w:sz w:val="20"/>
                <w:szCs w:val="20"/>
              </w:rPr>
            </w:pPr>
            <w:r>
              <w:rPr>
                <w:rFonts w:ascii="Arial Narrow" w:eastAsia="Calibri" w:hAnsi="Arial Narrow" w:cstheme="minorHAnsi"/>
                <w:sz w:val="20"/>
                <w:szCs w:val="20"/>
              </w:rPr>
              <w:t>d</w:t>
            </w:r>
            <w:r w:rsidR="00A40131">
              <w:rPr>
                <w:rFonts w:ascii="Arial Narrow" w:eastAsia="Calibri" w:hAnsi="Arial Narrow" w:cstheme="minorHAnsi"/>
                <w:sz w:val="20"/>
                <w:szCs w:val="20"/>
              </w:rPr>
              <w:t xml:space="preserve">ienogest </w:t>
            </w:r>
            <w:r w:rsidR="00A40131" w:rsidRPr="009D5508">
              <w:rPr>
                <w:rFonts w:ascii="Arial Narrow" w:hAnsi="Arial Narrow" w:cstheme="minorHAnsi"/>
                <w:sz w:val="20"/>
                <w:szCs w:val="20"/>
              </w:rPr>
              <w:t>(0,</w:t>
            </w:r>
            <w:r w:rsidR="00A40131">
              <w:rPr>
                <w:rFonts w:ascii="Arial Narrow" w:hAnsi="Arial Narrow" w:cstheme="minorHAnsi"/>
                <w:sz w:val="20"/>
                <w:szCs w:val="20"/>
              </w:rPr>
              <w:t xml:space="preserve"> </w:t>
            </w:r>
            <w:r w:rsidR="00A40131" w:rsidRPr="009D5508">
              <w:rPr>
                <w:rFonts w:ascii="Arial Narrow" w:hAnsi="Arial Narrow" w:cstheme="minorHAnsi"/>
                <w:sz w:val="20"/>
                <w:szCs w:val="20"/>
              </w:rPr>
              <w:t>2000,</w:t>
            </w:r>
            <w:r w:rsidR="00A40131">
              <w:rPr>
                <w:rFonts w:ascii="Arial Narrow" w:hAnsi="Arial Narrow" w:cstheme="minorHAnsi"/>
                <w:sz w:val="20"/>
                <w:szCs w:val="20"/>
              </w:rPr>
              <w:t xml:space="preserve"> </w:t>
            </w:r>
            <w:r w:rsidR="00A40131" w:rsidRPr="009D5508">
              <w:rPr>
                <w:rFonts w:ascii="Arial Narrow" w:hAnsi="Arial Narrow" w:cstheme="minorHAnsi"/>
                <w:sz w:val="20"/>
                <w:szCs w:val="20"/>
              </w:rPr>
              <w:t>3000, 0,</w:t>
            </w:r>
            <w:r w:rsidR="00A40131">
              <w:rPr>
                <w:rFonts w:ascii="Arial Narrow" w:hAnsi="Arial Narrow" w:cstheme="minorHAnsi"/>
                <w:sz w:val="20"/>
                <w:szCs w:val="20"/>
              </w:rPr>
              <w:t xml:space="preserve"> </w:t>
            </w:r>
            <w:r w:rsidR="00A40131" w:rsidRPr="009D5508">
              <w:rPr>
                <w:rFonts w:ascii="Arial Narrow" w:hAnsi="Arial Narrow" w:cstheme="minorHAnsi"/>
                <w:sz w:val="20"/>
                <w:szCs w:val="20"/>
              </w:rPr>
              <w:t>0)</w:t>
            </w:r>
          </w:p>
        </w:tc>
        <w:tc>
          <w:tcPr>
            <w:tcW w:w="1701" w:type="dxa"/>
          </w:tcPr>
          <w:p w14:paraId="07E3E57B" w14:textId="7619E0A3" w:rsidR="00A40131" w:rsidRPr="0055051E" w:rsidRDefault="00DB4255" w:rsidP="003C0BDF">
            <w:pPr>
              <w:rPr>
                <w:rFonts w:ascii="Arial Narrow" w:hAnsi="Arial Narrow" w:cstheme="minorHAnsi"/>
                <w:sz w:val="20"/>
                <w:szCs w:val="20"/>
              </w:rPr>
            </w:pPr>
            <w:r>
              <w:rPr>
                <w:rFonts w:ascii="Arial Narrow" w:hAnsi="Arial Narrow" w:cstheme="minorHAnsi"/>
                <w:sz w:val="20"/>
                <w:szCs w:val="20"/>
              </w:rPr>
              <w:t>e</w:t>
            </w:r>
            <w:r w:rsidR="00A40131">
              <w:rPr>
                <w:rFonts w:ascii="Arial Narrow" w:hAnsi="Arial Narrow" w:cstheme="minorHAnsi"/>
                <w:sz w:val="20"/>
                <w:szCs w:val="20"/>
              </w:rPr>
              <w:t xml:space="preserve">stradiol </w:t>
            </w:r>
            <w:r w:rsidR="00A40131" w:rsidRPr="009D5508">
              <w:rPr>
                <w:rFonts w:ascii="Arial Narrow" w:hAnsi="Arial Narrow" w:cstheme="minorHAnsi"/>
                <w:sz w:val="20"/>
                <w:szCs w:val="20"/>
              </w:rPr>
              <w:t>(3000,</w:t>
            </w:r>
            <w:r w:rsidR="00A40131">
              <w:rPr>
                <w:rFonts w:ascii="Arial Narrow" w:hAnsi="Arial Narrow" w:cstheme="minorHAnsi"/>
                <w:sz w:val="20"/>
                <w:szCs w:val="20"/>
              </w:rPr>
              <w:t xml:space="preserve"> </w:t>
            </w:r>
            <w:r w:rsidR="00A40131" w:rsidRPr="009D5508">
              <w:rPr>
                <w:rFonts w:ascii="Arial Narrow" w:hAnsi="Arial Narrow" w:cstheme="minorHAnsi"/>
                <w:sz w:val="20"/>
                <w:szCs w:val="20"/>
              </w:rPr>
              <w:t>2000,</w:t>
            </w:r>
            <w:r w:rsidR="00A40131">
              <w:rPr>
                <w:rFonts w:ascii="Arial Narrow" w:hAnsi="Arial Narrow" w:cstheme="minorHAnsi"/>
                <w:sz w:val="20"/>
                <w:szCs w:val="20"/>
              </w:rPr>
              <w:t xml:space="preserve"> </w:t>
            </w:r>
            <w:r w:rsidR="00A40131" w:rsidRPr="009D5508">
              <w:rPr>
                <w:rFonts w:ascii="Arial Narrow" w:hAnsi="Arial Narrow" w:cstheme="minorHAnsi"/>
                <w:sz w:val="20"/>
                <w:szCs w:val="20"/>
              </w:rPr>
              <w:t>2000,1000,</w:t>
            </w:r>
            <w:r w:rsidR="00A40131">
              <w:rPr>
                <w:rFonts w:ascii="Arial Narrow" w:hAnsi="Arial Narrow" w:cstheme="minorHAnsi"/>
                <w:sz w:val="20"/>
                <w:szCs w:val="20"/>
              </w:rPr>
              <w:t xml:space="preserve"> </w:t>
            </w:r>
            <w:r w:rsidR="00A40131" w:rsidRPr="009D5508">
              <w:rPr>
                <w:rFonts w:ascii="Arial Narrow" w:hAnsi="Arial Narrow" w:cstheme="minorHAnsi"/>
                <w:sz w:val="20"/>
                <w:szCs w:val="20"/>
              </w:rPr>
              <w:t>0)</w:t>
            </w:r>
          </w:p>
        </w:tc>
        <w:tc>
          <w:tcPr>
            <w:tcW w:w="1984" w:type="dxa"/>
          </w:tcPr>
          <w:p w14:paraId="4CE75C9A" w14:textId="77777777" w:rsidR="00A40131" w:rsidRPr="00B50FAF" w:rsidRDefault="00A40131" w:rsidP="003C0BDF">
            <w:pPr>
              <w:rPr>
                <w:rFonts w:ascii="Arial Narrow" w:hAnsi="Arial Narrow" w:cstheme="minorHAnsi"/>
                <w:sz w:val="20"/>
                <w:szCs w:val="20"/>
              </w:rPr>
            </w:pPr>
            <w:r>
              <w:rPr>
                <w:rFonts w:ascii="Arial Narrow" w:eastAsia="Calibri" w:hAnsi="Arial Narrow" w:cstheme="minorHAnsi"/>
                <w:sz w:val="20"/>
                <w:szCs w:val="20"/>
              </w:rPr>
              <w:t>N/A</w:t>
            </w:r>
          </w:p>
        </w:tc>
        <w:tc>
          <w:tcPr>
            <w:tcW w:w="1701" w:type="dxa"/>
          </w:tcPr>
          <w:p w14:paraId="62D84D45" w14:textId="77777777" w:rsidR="00A40131" w:rsidRPr="0055051E" w:rsidRDefault="00A40131" w:rsidP="003C0BDF">
            <w:pPr>
              <w:rPr>
                <w:rFonts w:ascii="Arial Narrow" w:hAnsi="Arial Narrow" w:cstheme="minorHAnsi"/>
                <w:sz w:val="20"/>
                <w:szCs w:val="20"/>
              </w:rPr>
            </w:pPr>
            <w:r>
              <w:rPr>
                <w:rFonts w:ascii="Arial Narrow" w:hAnsi="Arial Narrow" w:cstheme="minorHAnsi"/>
                <w:sz w:val="20"/>
                <w:szCs w:val="20"/>
              </w:rPr>
              <w:t>Qlaira</w:t>
            </w:r>
          </w:p>
        </w:tc>
        <w:tc>
          <w:tcPr>
            <w:tcW w:w="1985" w:type="dxa"/>
          </w:tcPr>
          <w:p w14:paraId="1F193B4B" w14:textId="77777777" w:rsidR="00A40131" w:rsidRPr="0055051E" w:rsidRDefault="00A40131" w:rsidP="003C0BDF">
            <w:pPr>
              <w:rPr>
                <w:rFonts w:ascii="Arial Narrow" w:hAnsi="Arial Narrow" w:cstheme="minorHAnsi"/>
                <w:sz w:val="20"/>
                <w:szCs w:val="20"/>
              </w:rPr>
            </w:pPr>
            <w:r w:rsidRPr="00C274BB">
              <w:rPr>
                <w:rFonts w:ascii="Arial Narrow" w:eastAsia="Calibri" w:hAnsi="Arial Narrow" w:cstheme="minorHAnsi"/>
                <w:sz w:val="20"/>
                <w:szCs w:val="20"/>
              </w:rPr>
              <w:t>Not PBS-listed</w:t>
            </w:r>
          </w:p>
        </w:tc>
        <w:tc>
          <w:tcPr>
            <w:tcW w:w="2693" w:type="dxa"/>
          </w:tcPr>
          <w:p w14:paraId="26045CF4" w14:textId="77777777" w:rsidR="00A40131" w:rsidRPr="00C274BB" w:rsidRDefault="00A40131" w:rsidP="003C0BDF">
            <w:pPr>
              <w:pStyle w:val="ListParagraph"/>
              <w:numPr>
                <w:ilvl w:val="0"/>
                <w:numId w:val="47"/>
              </w:numPr>
              <w:rPr>
                <w:rFonts w:ascii="Arial Narrow" w:hAnsi="Arial Narrow"/>
                <w:sz w:val="20"/>
                <w:szCs w:val="20"/>
              </w:rPr>
            </w:pPr>
            <w:r>
              <w:rPr>
                <w:rFonts w:ascii="Arial Narrow" w:hAnsi="Arial Narrow"/>
                <w:sz w:val="20"/>
                <w:szCs w:val="20"/>
              </w:rPr>
              <w:t>C</w:t>
            </w:r>
            <w:r w:rsidRPr="00C274BB">
              <w:rPr>
                <w:rFonts w:ascii="Arial Narrow" w:hAnsi="Arial Narrow"/>
                <w:sz w:val="20"/>
                <w:szCs w:val="20"/>
              </w:rPr>
              <w:t xml:space="preserve">ontraception. </w:t>
            </w:r>
          </w:p>
          <w:p w14:paraId="106EB2AB" w14:textId="77777777" w:rsidR="00A40131" w:rsidRPr="00C274BB" w:rsidRDefault="00A40131" w:rsidP="003C0BDF">
            <w:pPr>
              <w:pStyle w:val="ListParagraph"/>
              <w:numPr>
                <w:ilvl w:val="0"/>
                <w:numId w:val="47"/>
              </w:numPr>
            </w:pPr>
            <w:r w:rsidRPr="00B50FAF">
              <w:rPr>
                <w:rFonts w:ascii="Arial Narrow" w:hAnsi="Arial Narrow"/>
                <w:sz w:val="20"/>
                <w:szCs w:val="20"/>
              </w:rPr>
              <w:t>Treatment of heavy and/or prolonged menstrual bleeding in women without organic pathology who desire oral contraception.</w:t>
            </w:r>
          </w:p>
        </w:tc>
        <w:tc>
          <w:tcPr>
            <w:tcW w:w="1904" w:type="dxa"/>
          </w:tcPr>
          <w:p w14:paraId="01C8FC2D" w14:textId="77777777" w:rsidR="00A40131" w:rsidRPr="0055051E" w:rsidRDefault="00A40131" w:rsidP="003C0BDF">
            <w:pPr>
              <w:rPr>
                <w:rFonts w:ascii="Arial Narrow" w:hAnsi="Arial Narrow" w:cstheme="minorHAnsi"/>
                <w:sz w:val="20"/>
                <w:szCs w:val="20"/>
              </w:rPr>
            </w:pPr>
          </w:p>
        </w:tc>
      </w:tr>
      <w:tr w:rsidR="00A40131" w:rsidRPr="001E0786" w14:paraId="57AADABD" w14:textId="77777777" w:rsidTr="003C0BDF">
        <w:tc>
          <w:tcPr>
            <w:tcW w:w="13948" w:type="dxa"/>
            <w:gridSpan w:val="7"/>
            <w:shd w:val="clear" w:color="auto" w:fill="D9D9D9" w:themeFill="background1" w:themeFillShade="D9"/>
          </w:tcPr>
          <w:p w14:paraId="22CAC316" w14:textId="77777777" w:rsidR="00A40131" w:rsidRPr="00487D27" w:rsidRDefault="00A40131" w:rsidP="003C0BDF">
            <w:pPr>
              <w:rPr>
                <w:rFonts w:ascii="Arial Narrow" w:hAnsi="Arial Narrow" w:cstheme="minorHAnsi"/>
                <w:i/>
                <w:iCs/>
                <w:sz w:val="20"/>
                <w:szCs w:val="20"/>
              </w:rPr>
            </w:pPr>
            <w:r w:rsidRPr="00487D27">
              <w:rPr>
                <w:rFonts w:ascii="Arial Narrow" w:hAnsi="Arial Narrow" w:cstheme="minorHAnsi"/>
                <w:i/>
                <w:iCs/>
                <w:sz w:val="20"/>
                <w:szCs w:val="20"/>
              </w:rPr>
              <w:t>G03AC – Progestogens</w:t>
            </w:r>
          </w:p>
        </w:tc>
      </w:tr>
      <w:tr w:rsidR="00A40131" w:rsidRPr="001E0786" w14:paraId="39D81072" w14:textId="77777777" w:rsidTr="003C0BDF">
        <w:tc>
          <w:tcPr>
            <w:tcW w:w="1980" w:type="dxa"/>
          </w:tcPr>
          <w:p w14:paraId="509663E5" w14:textId="59CBC639" w:rsidR="00A40131" w:rsidRPr="001E0786" w:rsidRDefault="00DC251B" w:rsidP="003C0BDF">
            <w:pPr>
              <w:rPr>
                <w:rFonts w:ascii="Arial Narrow" w:hAnsi="Arial Narrow" w:cstheme="minorHAnsi"/>
                <w:sz w:val="20"/>
                <w:szCs w:val="20"/>
              </w:rPr>
            </w:pPr>
            <w:r>
              <w:rPr>
                <w:rFonts w:ascii="Arial Narrow" w:hAnsi="Arial Narrow" w:cstheme="minorHAnsi"/>
                <w:sz w:val="20"/>
                <w:szCs w:val="20"/>
              </w:rPr>
              <w:t>l</w:t>
            </w:r>
            <w:r w:rsidR="00A40131">
              <w:rPr>
                <w:rFonts w:ascii="Arial Narrow" w:hAnsi="Arial Narrow" w:cstheme="minorHAnsi"/>
                <w:sz w:val="20"/>
                <w:szCs w:val="20"/>
              </w:rPr>
              <w:t>evonorgestrel (30)</w:t>
            </w:r>
          </w:p>
        </w:tc>
        <w:tc>
          <w:tcPr>
            <w:tcW w:w="1701" w:type="dxa"/>
          </w:tcPr>
          <w:p w14:paraId="34831CDD"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None</w:t>
            </w:r>
          </w:p>
        </w:tc>
        <w:tc>
          <w:tcPr>
            <w:tcW w:w="1984" w:type="dxa"/>
          </w:tcPr>
          <w:p w14:paraId="24F70781"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Microlut 28</w:t>
            </w:r>
          </w:p>
        </w:tc>
        <w:tc>
          <w:tcPr>
            <w:tcW w:w="1701" w:type="dxa"/>
          </w:tcPr>
          <w:p w14:paraId="33E7A2B3"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Microval 28</w:t>
            </w:r>
          </w:p>
        </w:tc>
        <w:tc>
          <w:tcPr>
            <w:tcW w:w="1985" w:type="dxa"/>
          </w:tcPr>
          <w:p w14:paraId="585987C4"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Unrestricted</w:t>
            </w:r>
          </w:p>
        </w:tc>
        <w:tc>
          <w:tcPr>
            <w:tcW w:w="2693" w:type="dxa"/>
          </w:tcPr>
          <w:p w14:paraId="7DBA42C4"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Contraception</w:t>
            </w:r>
          </w:p>
        </w:tc>
        <w:tc>
          <w:tcPr>
            <w:tcW w:w="1904" w:type="dxa"/>
          </w:tcPr>
          <w:p w14:paraId="6DA04DDD" w14:textId="77777777" w:rsidR="00A40131" w:rsidRPr="001E0786" w:rsidRDefault="00A40131" w:rsidP="003C0BDF">
            <w:pPr>
              <w:rPr>
                <w:rFonts w:ascii="Arial Narrow" w:hAnsi="Arial Narrow" w:cstheme="minorHAnsi"/>
                <w:sz w:val="20"/>
                <w:szCs w:val="20"/>
              </w:rPr>
            </w:pPr>
          </w:p>
        </w:tc>
      </w:tr>
      <w:tr w:rsidR="00A40131" w:rsidRPr="001E0786" w14:paraId="492B4DF7" w14:textId="77777777" w:rsidTr="003C0BDF">
        <w:tc>
          <w:tcPr>
            <w:tcW w:w="1980" w:type="dxa"/>
          </w:tcPr>
          <w:p w14:paraId="30FBB451" w14:textId="79806008" w:rsidR="00A40131" w:rsidRPr="001E0786" w:rsidRDefault="00DC251B" w:rsidP="003C0BDF">
            <w:pPr>
              <w:rPr>
                <w:rFonts w:ascii="Arial Narrow" w:hAnsi="Arial Narrow" w:cstheme="minorHAnsi"/>
                <w:sz w:val="20"/>
                <w:szCs w:val="20"/>
              </w:rPr>
            </w:pPr>
            <w:r>
              <w:rPr>
                <w:rFonts w:ascii="Arial Narrow" w:hAnsi="Arial Narrow" w:cstheme="minorHAnsi"/>
                <w:sz w:val="20"/>
                <w:szCs w:val="20"/>
              </w:rPr>
              <w:t>n</w:t>
            </w:r>
            <w:r w:rsidR="00A40131">
              <w:rPr>
                <w:rFonts w:ascii="Arial Narrow" w:hAnsi="Arial Narrow" w:cstheme="minorHAnsi"/>
                <w:sz w:val="20"/>
                <w:szCs w:val="20"/>
              </w:rPr>
              <w:t>orethisterone (350)</w:t>
            </w:r>
          </w:p>
        </w:tc>
        <w:tc>
          <w:tcPr>
            <w:tcW w:w="1701" w:type="dxa"/>
          </w:tcPr>
          <w:p w14:paraId="4341452B"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None</w:t>
            </w:r>
          </w:p>
        </w:tc>
        <w:tc>
          <w:tcPr>
            <w:tcW w:w="1984" w:type="dxa"/>
          </w:tcPr>
          <w:p w14:paraId="3A074FDF"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Noriday 28</w:t>
            </w:r>
          </w:p>
        </w:tc>
        <w:tc>
          <w:tcPr>
            <w:tcW w:w="1701" w:type="dxa"/>
          </w:tcPr>
          <w:p w14:paraId="45900244"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Micronor</w:t>
            </w:r>
          </w:p>
        </w:tc>
        <w:tc>
          <w:tcPr>
            <w:tcW w:w="1985" w:type="dxa"/>
          </w:tcPr>
          <w:p w14:paraId="40B3C5E4"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Unrestricted</w:t>
            </w:r>
          </w:p>
        </w:tc>
        <w:tc>
          <w:tcPr>
            <w:tcW w:w="2693" w:type="dxa"/>
          </w:tcPr>
          <w:p w14:paraId="4BBB97D7"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 xml:space="preserve">Contraception for women who will not, or cannot tolerate other oral </w:t>
            </w:r>
            <w:r>
              <w:rPr>
                <w:rFonts w:ascii="Arial Narrow" w:hAnsi="Arial Narrow" w:cstheme="minorHAnsi"/>
                <w:sz w:val="20"/>
                <w:szCs w:val="20"/>
              </w:rPr>
              <w:lastRenderedPageBreak/>
              <w:t xml:space="preserve">contraceptives or intrauterine devices </w:t>
            </w:r>
          </w:p>
        </w:tc>
        <w:tc>
          <w:tcPr>
            <w:tcW w:w="1904" w:type="dxa"/>
          </w:tcPr>
          <w:p w14:paraId="76BCEF0A" w14:textId="77777777" w:rsidR="00A40131" w:rsidRPr="001E0786" w:rsidRDefault="00A40131" w:rsidP="003C0BDF">
            <w:pPr>
              <w:rPr>
                <w:rFonts w:ascii="Arial Narrow" w:hAnsi="Arial Narrow" w:cstheme="minorHAnsi"/>
                <w:sz w:val="20"/>
                <w:szCs w:val="20"/>
              </w:rPr>
            </w:pPr>
          </w:p>
        </w:tc>
      </w:tr>
      <w:tr w:rsidR="00A40131" w:rsidRPr="001E0786" w14:paraId="0B63D7E4" w14:textId="77777777" w:rsidTr="003C0BDF">
        <w:tc>
          <w:tcPr>
            <w:tcW w:w="1980" w:type="dxa"/>
          </w:tcPr>
          <w:p w14:paraId="1D5AD5F9" w14:textId="4CF0FF41" w:rsidR="00A40131" w:rsidRPr="001E0786" w:rsidRDefault="00DC251B" w:rsidP="003C0BDF">
            <w:pPr>
              <w:rPr>
                <w:rFonts w:ascii="Arial Narrow" w:hAnsi="Arial Narrow" w:cstheme="minorHAnsi"/>
                <w:sz w:val="20"/>
                <w:szCs w:val="20"/>
              </w:rPr>
            </w:pPr>
            <w:r>
              <w:rPr>
                <w:rFonts w:ascii="Arial Narrow" w:hAnsi="Arial Narrow" w:cstheme="minorHAnsi"/>
                <w:sz w:val="20"/>
                <w:szCs w:val="20"/>
              </w:rPr>
              <w:t>d</w:t>
            </w:r>
            <w:r w:rsidR="00A40131">
              <w:rPr>
                <w:rFonts w:ascii="Arial Narrow" w:hAnsi="Arial Narrow" w:cstheme="minorHAnsi"/>
                <w:sz w:val="20"/>
                <w:szCs w:val="20"/>
              </w:rPr>
              <w:t>rospirenone (4000)</w:t>
            </w:r>
          </w:p>
        </w:tc>
        <w:tc>
          <w:tcPr>
            <w:tcW w:w="1701" w:type="dxa"/>
          </w:tcPr>
          <w:p w14:paraId="40CF71BF"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None</w:t>
            </w:r>
          </w:p>
        </w:tc>
        <w:tc>
          <w:tcPr>
            <w:tcW w:w="1984" w:type="dxa"/>
          </w:tcPr>
          <w:p w14:paraId="714B8061"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N/A</w:t>
            </w:r>
          </w:p>
        </w:tc>
        <w:tc>
          <w:tcPr>
            <w:tcW w:w="1701" w:type="dxa"/>
          </w:tcPr>
          <w:p w14:paraId="7888FAD4"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Slinda</w:t>
            </w:r>
          </w:p>
        </w:tc>
        <w:tc>
          <w:tcPr>
            <w:tcW w:w="1985" w:type="dxa"/>
          </w:tcPr>
          <w:p w14:paraId="3A0B7EF1"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Not PBS-listed</w:t>
            </w:r>
          </w:p>
        </w:tc>
        <w:tc>
          <w:tcPr>
            <w:tcW w:w="2693" w:type="dxa"/>
          </w:tcPr>
          <w:p w14:paraId="6611BAFD"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Contraception</w:t>
            </w:r>
          </w:p>
        </w:tc>
        <w:tc>
          <w:tcPr>
            <w:tcW w:w="1904" w:type="dxa"/>
          </w:tcPr>
          <w:p w14:paraId="513F7B23" w14:textId="77777777" w:rsidR="00A40131" w:rsidRPr="001E0786" w:rsidRDefault="00A40131" w:rsidP="003C0BDF">
            <w:pPr>
              <w:rPr>
                <w:rFonts w:ascii="Arial Narrow" w:hAnsi="Arial Narrow" w:cstheme="minorHAnsi"/>
                <w:sz w:val="20"/>
                <w:szCs w:val="20"/>
              </w:rPr>
            </w:pPr>
          </w:p>
        </w:tc>
      </w:tr>
      <w:tr w:rsidR="00C75950" w:rsidRPr="001E0786" w14:paraId="0876CAC6" w14:textId="77777777" w:rsidTr="003C0BDF">
        <w:tc>
          <w:tcPr>
            <w:tcW w:w="1980" w:type="dxa"/>
          </w:tcPr>
          <w:p w14:paraId="574C3994" w14:textId="547D2D44" w:rsidR="00C75950" w:rsidRDefault="00DC251B" w:rsidP="003C0BDF">
            <w:pPr>
              <w:rPr>
                <w:rFonts w:ascii="Arial Narrow" w:hAnsi="Arial Narrow" w:cstheme="minorHAnsi"/>
                <w:sz w:val="20"/>
                <w:szCs w:val="20"/>
              </w:rPr>
            </w:pPr>
            <w:r>
              <w:rPr>
                <w:rFonts w:ascii="Arial Narrow" w:hAnsi="Arial Narrow" w:cstheme="minorHAnsi"/>
                <w:sz w:val="20"/>
                <w:szCs w:val="20"/>
              </w:rPr>
              <w:t>d</w:t>
            </w:r>
            <w:r w:rsidR="00C75950">
              <w:rPr>
                <w:rFonts w:ascii="Arial Narrow" w:hAnsi="Arial Narrow" w:cstheme="minorHAnsi"/>
                <w:sz w:val="20"/>
                <w:szCs w:val="20"/>
              </w:rPr>
              <w:t>ienogest (2000)</w:t>
            </w:r>
          </w:p>
        </w:tc>
        <w:tc>
          <w:tcPr>
            <w:tcW w:w="1701" w:type="dxa"/>
          </w:tcPr>
          <w:p w14:paraId="2249CFB7" w14:textId="52800537" w:rsidR="00C75950" w:rsidRDefault="00C75950" w:rsidP="003C0BDF">
            <w:pPr>
              <w:rPr>
                <w:rFonts w:ascii="Arial Narrow" w:hAnsi="Arial Narrow" w:cstheme="minorHAnsi"/>
                <w:sz w:val="20"/>
                <w:szCs w:val="20"/>
              </w:rPr>
            </w:pPr>
            <w:r>
              <w:rPr>
                <w:rFonts w:ascii="Arial Narrow" w:hAnsi="Arial Narrow" w:cstheme="minorHAnsi"/>
                <w:sz w:val="20"/>
                <w:szCs w:val="20"/>
              </w:rPr>
              <w:t>None</w:t>
            </w:r>
          </w:p>
        </w:tc>
        <w:tc>
          <w:tcPr>
            <w:tcW w:w="1984" w:type="dxa"/>
          </w:tcPr>
          <w:p w14:paraId="04B25702" w14:textId="176D2E2D" w:rsidR="00C75950" w:rsidRDefault="00C75950" w:rsidP="003C0BDF">
            <w:pPr>
              <w:rPr>
                <w:rFonts w:ascii="Arial Narrow" w:hAnsi="Arial Narrow" w:cstheme="minorHAnsi"/>
                <w:sz w:val="20"/>
                <w:szCs w:val="20"/>
              </w:rPr>
            </w:pPr>
            <w:r>
              <w:rPr>
                <w:rFonts w:ascii="Arial Narrow" w:hAnsi="Arial Narrow" w:cstheme="minorHAnsi"/>
                <w:sz w:val="20"/>
                <w:szCs w:val="20"/>
              </w:rPr>
              <w:t>N/A</w:t>
            </w:r>
          </w:p>
        </w:tc>
        <w:tc>
          <w:tcPr>
            <w:tcW w:w="1701" w:type="dxa"/>
          </w:tcPr>
          <w:p w14:paraId="48C08BB1" w14:textId="64B44E9A" w:rsidR="00C75950" w:rsidRDefault="00C75950" w:rsidP="003C0BDF">
            <w:pPr>
              <w:rPr>
                <w:rFonts w:ascii="Arial Narrow" w:hAnsi="Arial Narrow" w:cstheme="minorHAnsi"/>
                <w:sz w:val="20"/>
                <w:szCs w:val="20"/>
              </w:rPr>
            </w:pPr>
            <w:r>
              <w:rPr>
                <w:rFonts w:ascii="Arial Narrow" w:hAnsi="Arial Narrow" w:cstheme="minorHAnsi"/>
                <w:sz w:val="20"/>
                <w:szCs w:val="20"/>
              </w:rPr>
              <w:t>Visanne</w:t>
            </w:r>
          </w:p>
        </w:tc>
        <w:tc>
          <w:tcPr>
            <w:tcW w:w="1985" w:type="dxa"/>
          </w:tcPr>
          <w:p w14:paraId="1DBBE656" w14:textId="44DCAFCF" w:rsidR="00C75950" w:rsidRDefault="00C75950" w:rsidP="003C0BDF">
            <w:pPr>
              <w:rPr>
                <w:rFonts w:ascii="Arial Narrow" w:hAnsi="Arial Narrow" w:cstheme="minorHAnsi"/>
                <w:sz w:val="20"/>
                <w:szCs w:val="20"/>
              </w:rPr>
            </w:pPr>
            <w:r>
              <w:rPr>
                <w:rFonts w:ascii="Arial Narrow" w:hAnsi="Arial Narrow" w:cstheme="minorHAnsi"/>
                <w:sz w:val="20"/>
                <w:szCs w:val="20"/>
              </w:rPr>
              <w:t>Not PBS-listed</w:t>
            </w:r>
          </w:p>
        </w:tc>
        <w:tc>
          <w:tcPr>
            <w:tcW w:w="2693" w:type="dxa"/>
          </w:tcPr>
          <w:p w14:paraId="4C802D56" w14:textId="432F2A85" w:rsidR="00C75950" w:rsidRDefault="00500BDB" w:rsidP="003C0BDF">
            <w:pPr>
              <w:rPr>
                <w:rFonts w:ascii="Arial Narrow" w:hAnsi="Arial Narrow" w:cstheme="minorHAnsi"/>
                <w:sz w:val="20"/>
                <w:szCs w:val="20"/>
              </w:rPr>
            </w:pPr>
            <w:r>
              <w:rPr>
                <w:rFonts w:ascii="Arial Narrow" w:hAnsi="Arial Narrow" w:cstheme="minorHAnsi"/>
                <w:sz w:val="20"/>
                <w:szCs w:val="20"/>
              </w:rPr>
              <w:t xml:space="preserve">Treatment of endometriosis </w:t>
            </w:r>
          </w:p>
        </w:tc>
        <w:tc>
          <w:tcPr>
            <w:tcW w:w="1904" w:type="dxa"/>
          </w:tcPr>
          <w:p w14:paraId="6C5809A4" w14:textId="77777777" w:rsidR="00C75950" w:rsidRPr="001E0786" w:rsidRDefault="00C75950" w:rsidP="003C0BDF">
            <w:pPr>
              <w:rPr>
                <w:rFonts w:ascii="Arial Narrow" w:hAnsi="Arial Narrow" w:cstheme="minorHAnsi"/>
                <w:sz w:val="20"/>
                <w:szCs w:val="20"/>
              </w:rPr>
            </w:pPr>
          </w:p>
        </w:tc>
      </w:tr>
      <w:tr w:rsidR="00A40131" w:rsidRPr="001E0786" w14:paraId="11FA7FE5" w14:textId="77777777" w:rsidTr="003C0BDF">
        <w:tc>
          <w:tcPr>
            <w:tcW w:w="1980" w:type="dxa"/>
          </w:tcPr>
          <w:p w14:paraId="105E0811" w14:textId="613E5C92" w:rsidR="00A40131" w:rsidRDefault="00DC251B" w:rsidP="003C0BDF">
            <w:pPr>
              <w:rPr>
                <w:rFonts w:ascii="Arial Narrow" w:hAnsi="Arial Narrow" w:cstheme="minorHAnsi"/>
                <w:sz w:val="20"/>
                <w:szCs w:val="20"/>
              </w:rPr>
            </w:pPr>
            <w:r>
              <w:rPr>
                <w:rFonts w:ascii="Arial Narrow" w:hAnsi="Arial Narrow" w:cstheme="minorHAnsi"/>
                <w:sz w:val="20"/>
                <w:szCs w:val="20"/>
              </w:rPr>
              <w:t>m</w:t>
            </w:r>
            <w:r w:rsidR="00A40131">
              <w:rPr>
                <w:rFonts w:ascii="Arial Narrow" w:hAnsi="Arial Narrow" w:cstheme="minorHAnsi"/>
                <w:sz w:val="20"/>
                <w:szCs w:val="20"/>
              </w:rPr>
              <w:t>edroxyprogesterone 150 mg/mL injection</w:t>
            </w:r>
          </w:p>
        </w:tc>
        <w:tc>
          <w:tcPr>
            <w:tcW w:w="1701" w:type="dxa"/>
          </w:tcPr>
          <w:p w14:paraId="02683D89" w14:textId="77777777" w:rsidR="00A40131" w:rsidRDefault="00A40131" w:rsidP="003C0BDF">
            <w:pPr>
              <w:rPr>
                <w:rFonts w:ascii="Arial Narrow" w:hAnsi="Arial Narrow" w:cstheme="minorHAnsi"/>
                <w:sz w:val="20"/>
                <w:szCs w:val="20"/>
              </w:rPr>
            </w:pPr>
            <w:r>
              <w:rPr>
                <w:rFonts w:ascii="Arial Narrow" w:hAnsi="Arial Narrow" w:cstheme="minorHAnsi"/>
                <w:sz w:val="20"/>
                <w:szCs w:val="20"/>
              </w:rPr>
              <w:t>None</w:t>
            </w:r>
          </w:p>
        </w:tc>
        <w:tc>
          <w:tcPr>
            <w:tcW w:w="1984" w:type="dxa"/>
          </w:tcPr>
          <w:p w14:paraId="740D5D93" w14:textId="77777777" w:rsidR="00A40131" w:rsidRDefault="00A40131" w:rsidP="003C0BDF">
            <w:pPr>
              <w:rPr>
                <w:rFonts w:ascii="Arial Narrow" w:hAnsi="Arial Narrow" w:cstheme="minorHAnsi"/>
                <w:sz w:val="20"/>
                <w:szCs w:val="20"/>
              </w:rPr>
            </w:pPr>
            <w:r>
              <w:rPr>
                <w:rFonts w:ascii="Arial Narrow" w:hAnsi="Arial Narrow" w:cstheme="minorHAnsi"/>
                <w:sz w:val="20"/>
                <w:szCs w:val="20"/>
              </w:rPr>
              <w:t>Depo-Ralovera</w:t>
            </w:r>
          </w:p>
          <w:p w14:paraId="3FCBC212" w14:textId="77777777" w:rsidR="00A40131" w:rsidRDefault="00A40131" w:rsidP="003C0BDF">
            <w:pPr>
              <w:rPr>
                <w:rFonts w:ascii="Arial Narrow" w:hAnsi="Arial Narrow" w:cstheme="minorHAnsi"/>
                <w:sz w:val="20"/>
                <w:szCs w:val="20"/>
              </w:rPr>
            </w:pPr>
            <w:r>
              <w:rPr>
                <w:rFonts w:ascii="Arial Narrow" w:hAnsi="Arial Narrow" w:cstheme="minorHAnsi"/>
                <w:sz w:val="20"/>
                <w:szCs w:val="20"/>
              </w:rPr>
              <w:t>Depo-Provera</w:t>
            </w:r>
          </w:p>
        </w:tc>
        <w:tc>
          <w:tcPr>
            <w:tcW w:w="1701" w:type="dxa"/>
          </w:tcPr>
          <w:p w14:paraId="06E10C14" w14:textId="77777777" w:rsidR="00A40131" w:rsidRDefault="00A40131" w:rsidP="003C0BDF">
            <w:pPr>
              <w:rPr>
                <w:rFonts w:ascii="Arial Narrow" w:hAnsi="Arial Narrow" w:cstheme="minorHAnsi"/>
                <w:sz w:val="20"/>
                <w:szCs w:val="20"/>
              </w:rPr>
            </w:pPr>
          </w:p>
        </w:tc>
        <w:tc>
          <w:tcPr>
            <w:tcW w:w="1985" w:type="dxa"/>
          </w:tcPr>
          <w:p w14:paraId="0298FF16" w14:textId="77777777" w:rsidR="00A40131" w:rsidRDefault="00A40131" w:rsidP="003C0BDF">
            <w:pPr>
              <w:rPr>
                <w:rFonts w:ascii="Arial Narrow" w:hAnsi="Arial Narrow" w:cstheme="minorHAnsi"/>
                <w:sz w:val="20"/>
                <w:szCs w:val="20"/>
              </w:rPr>
            </w:pPr>
            <w:r>
              <w:rPr>
                <w:rFonts w:ascii="Arial Narrow" w:hAnsi="Arial Narrow" w:cstheme="minorHAnsi"/>
                <w:sz w:val="20"/>
                <w:szCs w:val="20"/>
              </w:rPr>
              <w:t>Unrestricted</w:t>
            </w:r>
          </w:p>
        </w:tc>
        <w:tc>
          <w:tcPr>
            <w:tcW w:w="2693" w:type="dxa"/>
          </w:tcPr>
          <w:p w14:paraId="427E9BB9" w14:textId="3791F450" w:rsidR="00A40131" w:rsidRPr="006E7BC4" w:rsidRDefault="00A40131" w:rsidP="003C0BDF">
            <w:pPr>
              <w:pStyle w:val="ListParagraph"/>
              <w:numPr>
                <w:ilvl w:val="0"/>
                <w:numId w:val="53"/>
              </w:numPr>
              <w:rPr>
                <w:rFonts w:ascii="Arial Narrow" w:hAnsi="Arial Narrow" w:cstheme="minorHAnsi"/>
                <w:sz w:val="20"/>
                <w:szCs w:val="20"/>
              </w:rPr>
            </w:pPr>
            <w:r w:rsidRPr="006E7BC4">
              <w:rPr>
                <w:rFonts w:ascii="Arial Narrow" w:hAnsi="Arial Narrow" w:cstheme="minorHAnsi"/>
                <w:sz w:val="20"/>
                <w:szCs w:val="20"/>
              </w:rPr>
              <w:t xml:space="preserve">Endometriosis: For use in the treatment of visually proven (laparoscopy) endometriosis where the required endpoint of </w:t>
            </w:r>
            <w:r w:rsidR="00690F55" w:rsidRPr="006E7BC4">
              <w:rPr>
                <w:rFonts w:ascii="Arial Narrow" w:hAnsi="Arial Narrow" w:cstheme="minorHAnsi"/>
                <w:sz w:val="20"/>
                <w:szCs w:val="20"/>
              </w:rPr>
              <w:t>treatment</w:t>
            </w:r>
            <w:r w:rsidRPr="006E7BC4">
              <w:rPr>
                <w:rFonts w:ascii="Arial Narrow" w:hAnsi="Arial Narrow" w:cstheme="minorHAnsi"/>
                <w:sz w:val="20"/>
                <w:szCs w:val="20"/>
              </w:rPr>
              <w:t xml:space="preserve"> is pregnancy, or for the control of symptoms when surgery is contra-indicated or has been unsuccessful. </w:t>
            </w:r>
          </w:p>
          <w:p w14:paraId="0E28F2E9" w14:textId="77777777" w:rsidR="00A40131" w:rsidRDefault="00A40131" w:rsidP="003C0BDF">
            <w:pPr>
              <w:pStyle w:val="ListParagraph"/>
              <w:numPr>
                <w:ilvl w:val="0"/>
                <w:numId w:val="53"/>
              </w:numPr>
              <w:rPr>
                <w:rFonts w:ascii="Arial Narrow" w:hAnsi="Arial Narrow" w:cstheme="minorHAnsi"/>
                <w:sz w:val="20"/>
                <w:szCs w:val="20"/>
              </w:rPr>
            </w:pPr>
            <w:r w:rsidRPr="0007700A">
              <w:rPr>
                <w:rFonts w:ascii="Arial Narrow" w:hAnsi="Arial Narrow" w:cstheme="minorHAnsi"/>
                <w:sz w:val="20"/>
                <w:szCs w:val="20"/>
              </w:rPr>
              <w:t>Contraception</w:t>
            </w:r>
          </w:p>
          <w:p w14:paraId="53FB91EF" w14:textId="77777777" w:rsidR="00A40131" w:rsidRPr="006E7BC4" w:rsidRDefault="00A40131" w:rsidP="003C0BDF">
            <w:pPr>
              <w:pStyle w:val="ListParagraph"/>
              <w:numPr>
                <w:ilvl w:val="0"/>
                <w:numId w:val="53"/>
              </w:numPr>
              <w:rPr>
                <w:rFonts w:ascii="Arial Narrow" w:hAnsi="Arial Narrow" w:cstheme="minorHAnsi"/>
                <w:sz w:val="20"/>
                <w:szCs w:val="20"/>
              </w:rPr>
            </w:pPr>
            <w:r>
              <w:rPr>
                <w:rFonts w:ascii="Arial Narrow" w:hAnsi="Arial Narrow" w:cstheme="minorHAnsi"/>
                <w:sz w:val="20"/>
                <w:szCs w:val="20"/>
              </w:rPr>
              <w:t>Carcinoma</w:t>
            </w:r>
          </w:p>
        </w:tc>
        <w:tc>
          <w:tcPr>
            <w:tcW w:w="1904" w:type="dxa"/>
          </w:tcPr>
          <w:p w14:paraId="751A6DFD" w14:textId="77777777" w:rsidR="00A40131" w:rsidRPr="001E0786" w:rsidRDefault="00A40131" w:rsidP="003C0BDF">
            <w:pPr>
              <w:rPr>
                <w:rFonts w:ascii="Arial Narrow" w:hAnsi="Arial Narrow" w:cstheme="minorHAnsi"/>
                <w:sz w:val="20"/>
                <w:szCs w:val="20"/>
              </w:rPr>
            </w:pPr>
          </w:p>
        </w:tc>
      </w:tr>
      <w:tr w:rsidR="00A40131" w:rsidRPr="001E0786" w14:paraId="1BB2185C" w14:textId="77777777" w:rsidTr="003C0BDF">
        <w:tc>
          <w:tcPr>
            <w:tcW w:w="1980" w:type="dxa"/>
          </w:tcPr>
          <w:p w14:paraId="520926C4" w14:textId="30724932" w:rsidR="00A40131" w:rsidRDefault="00DC251B" w:rsidP="003C0BDF">
            <w:pPr>
              <w:rPr>
                <w:rFonts w:ascii="Arial Narrow" w:hAnsi="Arial Narrow" w:cstheme="minorHAnsi"/>
                <w:sz w:val="20"/>
                <w:szCs w:val="20"/>
              </w:rPr>
            </w:pPr>
            <w:r>
              <w:rPr>
                <w:rFonts w:ascii="Arial Narrow" w:hAnsi="Arial Narrow" w:cstheme="minorHAnsi"/>
                <w:sz w:val="20"/>
                <w:szCs w:val="20"/>
              </w:rPr>
              <w:t>e</w:t>
            </w:r>
            <w:r w:rsidR="00A40131">
              <w:rPr>
                <w:rFonts w:ascii="Arial Narrow" w:hAnsi="Arial Narrow" w:cstheme="minorHAnsi"/>
                <w:sz w:val="20"/>
                <w:szCs w:val="20"/>
              </w:rPr>
              <w:t xml:space="preserve">tonogestrel 68 mg implant </w:t>
            </w:r>
          </w:p>
        </w:tc>
        <w:tc>
          <w:tcPr>
            <w:tcW w:w="1701" w:type="dxa"/>
          </w:tcPr>
          <w:p w14:paraId="44211E58" w14:textId="77777777" w:rsidR="00A40131" w:rsidRDefault="00A40131" w:rsidP="003C0BDF">
            <w:pPr>
              <w:rPr>
                <w:rFonts w:ascii="Arial Narrow" w:hAnsi="Arial Narrow" w:cstheme="minorHAnsi"/>
                <w:sz w:val="20"/>
                <w:szCs w:val="20"/>
              </w:rPr>
            </w:pPr>
            <w:r>
              <w:rPr>
                <w:rFonts w:ascii="Arial Narrow" w:hAnsi="Arial Narrow" w:cstheme="minorHAnsi"/>
                <w:sz w:val="20"/>
                <w:szCs w:val="20"/>
              </w:rPr>
              <w:t>None</w:t>
            </w:r>
          </w:p>
        </w:tc>
        <w:tc>
          <w:tcPr>
            <w:tcW w:w="1984" w:type="dxa"/>
          </w:tcPr>
          <w:p w14:paraId="4595FA73" w14:textId="77777777" w:rsidR="00A40131" w:rsidRDefault="00A40131" w:rsidP="003C0BDF">
            <w:pPr>
              <w:rPr>
                <w:rFonts w:ascii="Arial Narrow" w:hAnsi="Arial Narrow" w:cstheme="minorHAnsi"/>
                <w:sz w:val="20"/>
                <w:szCs w:val="20"/>
              </w:rPr>
            </w:pPr>
            <w:r>
              <w:rPr>
                <w:rFonts w:ascii="Arial Narrow" w:hAnsi="Arial Narrow" w:cstheme="minorHAnsi"/>
                <w:sz w:val="20"/>
                <w:szCs w:val="20"/>
              </w:rPr>
              <w:t>Implanon NXT (3 years)</w:t>
            </w:r>
          </w:p>
        </w:tc>
        <w:tc>
          <w:tcPr>
            <w:tcW w:w="1701" w:type="dxa"/>
          </w:tcPr>
          <w:p w14:paraId="25B5D782" w14:textId="77777777" w:rsidR="00A40131" w:rsidRDefault="00A40131" w:rsidP="003C0BDF">
            <w:pPr>
              <w:rPr>
                <w:rFonts w:ascii="Arial Narrow" w:hAnsi="Arial Narrow" w:cstheme="minorHAnsi"/>
                <w:sz w:val="20"/>
                <w:szCs w:val="20"/>
              </w:rPr>
            </w:pPr>
            <w:r>
              <w:rPr>
                <w:rFonts w:ascii="Arial Narrow" w:hAnsi="Arial Narrow" w:cstheme="minorHAnsi"/>
                <w:sz w:val="20"/>
                <w:szCs w:val="20"/>
              </w:rPr>
              <w:t>N/A</w:t>
            </w:r>
          </w:p>
        </w:tc>
        <w:tc>
          <w:tcPr>
            <w:tcW w:w="1985" w:type="dxa"/>
          </w:tcPr>
          <w:p w14:paraId="4C1965E0" w14:textId="77777777" w:rsidR="00A40131" w:rsidRDefault="00A40131" w:rsidP="003C0BDF">
            <w:pPr>
              <w:rPr>
                <w:rFonts w:ascii="Arial Narrow" w:hAnsi="Arial Narrow" w:cstheme="minorHAnsi"/>
                <w:sz w:val="20"/>
                <w:szCs w:val="20"/>
              </w:rPr>
            </w:pPr>
            <w:r>
              <w:rPr>
                <w:rFonts w:ascii="Arial Narrow" w:hAnsi="Arial Narrow" w:cstheme="minorHAnsi"/>
                <w:sz w:val="20"/>
                <w:szCs w:val="20"/>
              </w:rPr>
              <w:t xml:space="preserve">Unrestricted </w:t>
            </w:r>
          </w:p>
        </w:tc>
        <w:tc>
          <w:tcPr>
            <w:tcW w:w="2693" w:type="dxa"/>
          </w:tcPr>
          <w:p w14:paraId="05661F71" w14:textId="77777777" w:rsidR="00A40131" w:rsidRPr="006E7BC4" w:rsidRDefault="00A40131" w:rsidP="003C0BDF">
            <w:pPr>
              <w:pStyle w:val="ListParagraph"/>
              <w:numPr>
                <w:ilvl w:val="0"/>
                <w:numId w:val="53"/>
              </w:numPr>
              <w:rPr>
                <w:rFonts w:ascii="Arial Narrow" w:hAnsi="Arial Narrow" w:cstheme="minorHAnsi"/>
                <w:sz w:val="20"/>
                <w:szCs w:val="20"/>
              </w:rPr>
            </w:pPr>
            <w:r>
              <w:rPr>
                <w:rFonts w:ascii="Arial Narrow" w:hAnsi="Arial Narrow" w:cstheme="minorHAnsi"/>
                <w:sz w:val="20"/>
                <w:szCs w:val="20"/>
              </w:rPr>
              <w:t>Contraception</w:t>
            </w:r>
          </w:p>
        </w:tc>
        <w:tc>
          <w:tcPr>
            <w:tcW w:w="1904" w:type="dxa"/>
          </w:tcPr>
          <w:p w14:paraId="39D0D618" w14:textId="77777777" w:rsidR="00A40131" w:rsidRPr="001E0786" w:rsidRDefault="00A40131" w:rsidP="003C0BDF">
            <w:pPr>
              <w:rPr>
                <w:rFonts w:ascii="Arial Narrow" w:hAnsi="Arial Narrow" w:cstheme="minorHAnsi"/>
                <w:sz w:val="20"/>
                <w:szCs w:val="20"/>
              </w:rPr>
            </w:pPr>
          </w:p>
        </w:tc>
      </w:tr>
      <w:tr w:rsidR="00A40131" w:rsidRPr="00487D27" w14:paraId="056FA579" w14:textId="77777777" w:rsidTr="003C0BDF">
        <w:tc>
          <w:tcPr>
            <w:tcW w:w="13948" w:type="dxa"/>
            <w:gridSpan w:val="7"/>
            <w:shd w:val="clear" w:color="auto" w:fill="D9D9D9" w:themeFill="background1" w:themeFillShade="D9"/>
          </w:tcPr>
          <w:p w14:paraId="1A5D3965" w14:textId="77777777" w:rsidR="00A40131" w:rsidRPr="00487D27" w:rsidRDefault="00A40131" w:rsidP="003C0BDF">
            <w:pPr>
              <w:rPr>
                <w:rFonts w:ascii="Arial Narrow" w:hAnsi="Arial Narrow" w:cstheme="minorHAnsi"/>
                <w:i/>
                <w:iCs/>
                <w:sz w:val="20"/>
                <w:szCs w:val="20"/>
              </w:rPr>
            </w:pPr>
            <w:r w:rsidRPr="00487D27">
              <w:rPr>
                <w:rFonts w:ascii="Arial Narrow" w:hAnsi="Arial Narrow" w:cstheme="minorHAnsi"/>
                <w:i/>
                <w:iCs/>
                <w:sz w:val="20"/>
                <w:szCs w:val="20"/>
              </w:rPr>
              <w:t xml:space="preserve">G02BB – Intravaginal contraceptives </w:t>
            </w:r>
          </w:p>
        </w:tc>
      </w:tr>
      <w:tr w:rsidR="00A40131" w:rsidRPr="001E0786" w14:paraId="74EFA581" w14:textId="77777777" w:rsidTr="003C0BDF">
        <w:tc>
          <w:tcPr>
            <w:tcW w:w="1980" w:type="dxa"/>
          </w:tcPr>
          <w:p w14:paraId="272BB4E7" w14:textId="2B6EDC2E" w:rsidR="00A40131" w:rsidRPr="001E0786" w:rsidRDefault="00DC251B" w:rsidP="003C0BDF">
            <w:pPr>
              <w:rPr>
                <w:rFonts w:ascii="Arial Narrow" w:hAnsi="Arial Narrow" w:cstheme="minorHAnsi"/>
                <w:sz w:val="20"/>
                <w:szCs w:val="20"/>
              </w:rPr>
            </w:pPr>
            <w:r>
              <w:rPr>
                <w:rFonts w:ascii="Arial Narrow" w:hAnsi="Arial Narrow" w:cstheme="minorHAnsi"/>
                <w:sz w:val="20"/>
                <w:szCs w:val="20"/>
              </w:rPr>
              <w:t>e</w:t>
            </w:r>
            <w:r w:rsidR="00A40131">
              <w:rPr>
                <w:rFonts w:ascii="Arial Narrow" w:hAnsi="Arial Narrow" w:cstheme="minorHAnsi"/>
                <w:sz w:val="20"/>
                <w:szCs w:val="20"/>
              </w:rPr>
              <w:t>tonogestrel (releases 120 mcg/day)</w:t>
            </w:r>
          </w:p>
        </w:tc>
        <w:tc>
          <w:tcPr>
            <w:tcW w:w="1701" w:type="dxa"/>
          </w:tcPr>
          <w:p w14:paraId="52C7C042" w14:textId="5701A275" w:rsidR="00A40131" w:rsidRPr="001E0786" w:rsidRDefault="00DC251B" w:rsidP="003C0BDF">
            <w:pPr>
              <w:rPr>
                <w:rFonts w:ascii="Arial Narrow" w:hAnsi="Arial Narrow" w:cstheme="minorHAnsi"/>
                <w:sz w:val="20"/>
                <w:szCs w:val="20"/>
              </w:rPr>
            </w:pPr>
            <w:r>
              <w:rPr>
                <w:rFonts w:ascii="Arial Narrow" w:hAnsi="Arial Narrow" w:cstheme="minorHAnsi"/>
                <w:sz w:val="20"/>
                <w:szCs w:val="20"/>
              </w:rPr>
              <w:t>e</w:t>
            </w:r>
            <w:r w:rsidR="00A40131">
              <w:rPr>
                <w:rFonts w:ascii="Arial Narrow" w:hAnsi="Arial Narrow" w:cstheme="minorHAnsi"/>
                <w:sz w:val="20"/>
                <w:szCs w:val="20"/>
              </w:rPr>
              <w:t>thinyl estradiol (releases 15 mcg/day)</w:t>
            </w:r>
          </w:p>
        </w:tc>
        <w:tc>
          <w:tcPr>
            <w:tcW w:w="1984" w:type="dxa"/>
          </w:tcPr>
          <w:p w14:paraId="5427829C"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N/A</w:t>
            </w:r>
          </w:p>
        </w:tc>
        <w:tc>
          <w:tcPr>
            <w:tcW w:w="1701" w:type="dxa"/>
          </w:tcPr>
          <w:p w14:paraId="0ACA8453"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Nuvaring</w:t>
            </w:r>
          </w:p>
        </w:tc>
        <w:tc>
          <w:tcPr>
            <w:tcW w:w="1985" w:type="dxa"/>
          </w:tcPr>
          <w:p w14:paraId="16431BFA"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 xml:space="preserve">Not PBS-listed </w:t>
            </w:r>
          </w:p>
        </w:tc>
        <w:tc>
          <w:tcPr>
            <w:tcW w:w="2693" w:type="dxa"/>
          </w:tcPr>
          <w:p w14:paraId="279505A9"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Contraception</w:t>
            </w:r>
          </w:p>
        </w:tc>
        <w:tc>
          <w:tcPr>
            <w:tcW w:w="1904" w:type="dxa"/>
          </w:tcPr>
          <w:p w14:paraId="1B06F4F2" w14:textId="77777777" w:rsidR="00A40131" w:rsidRPr="001E0786" w:rsidRDefault="00A40131" w:rsidP="003C0BDF">
            <w:pPr>
              <w:rPr>
                <w:rFonts w:ascii="Arial Narrow" w:hAnsi="Arial Narrow" w:cstheme="minorHAnsi"/>
                <w:sz w:val="20"/>
                <w:szCs w:val="20"/>
              </w:rPr>
            </w:pPr>
          </w:p>
        </w:tc>
      </w:tr>
      <w:tr w:rsidR="00A40131" w:rsidRPr="00487D27" w14:paraId="166C39B5" w14:textId="77777777" w:rsidTr="003C0BDF">
        <w:tc>
          <w:tcPr>
            <w:tcW w:w="13948" w:type="dxa"/>
            <w:gridSpan w:val="7"/>
            <w:shd w:val="clear" w:color="auto" w:fill="D9D9D9" w:themeFill="background1" w:themeFillShade="D9"/>
          </w:tcPr>
          <w:p w14:paraId="28AD2B8B" w14:textId="77777777" w:rsidR="00A40131" w:rsidRPr="00487D27" w:rsidRDefault="00A40131" w:rsidP="003C0BDF">
            <w:pPr>
              <w:rPr>
                <w:rFonts w:ascii="Arial Narrow" w:hAnsi="Arial Narrow" w:cstheme="minorHAnsi"/>
                <w:i/>
                <w:iCs/>
                <w:sz w:val="20"/>
                <w:szCs w:val="20"/>
              </w:rPr>
            </w:pPr>
            <w:r w:rsidRPr="00487D27">
              <w:rPr>
                <w:rFonts w:ascii="Arial Narrow" w:hAnsi="Arial Narrow" w:cstheme="minorHAnsi"/>
                <w:i/>
                <w:iCs/>
                <w:sz w:val="20"/>
                <w:szCs w:val="20"/>
              </w:rPr>
              <w:t xml:space="preserve">G02BA – Intrauterine contraceptive </w:t>
            </w:r>
          </w:p>
        </w:tc>
      </w:tr>
      <w:tr w:rsidR="00A40131" w:rsidRPr="001E0786" w14:paraId="5BBE6FCB" w14:textId="77777777" w:rsidTr="003C0BDF">
        <w:tc>
          <w:tcPr>
            <w:tcW w:w="1980" w:type="dxa"/>
          </w:tcPr>
          <w:p w14:paraId="50EE8FCC" w14:textId="74C242DC" w:rsidR="00A40131" w:rsidRPr="001E0786" w:rsidRDefault="00DC251B" w:rsidP="003C0BDF">
            <w:pPr>
              <w:rPr>
                <w:rFonts w:ascii="Arial Narrow" w:hAnsi="Arial Narrow" w:cstheme="minorHAnsi"/>
                <w:sz w:val="20"/>
                <w:szCs w:val="20"/>
              </w:rPr>
            </w:pPr>
            <w:r>
              <w:rPr>
                <w:rFonts w:ascii="Arial Narrow" w:hAnsi="Arial Narrow" w:cstheme="minorHAnsi"/>
                <w:sz w:val="20"/>
                <w:szCs w:val="20"/>
              </w:rPr>
              <w:t>l</w:t>
            </w:r>
            <w:r w:rsidR="00A40131">
              <w:rPr>
                <w:rFonts w:ascii="Arial Narrow" w:hAnsi="Arial Narrow" w:cstheme="minorHAnsi"/>
                <w:sz w:val="20"/>
                <w:szCs w:val="20"/>
              </w:rPr>
              <w:t>evonorgestrel 52 mg (releases 20 mcg/day)</w:t>
            </w:r>
          </w:p>
        </w:tc>
        <w:tc>
          <w:tcPr>
            <w:tcW w:w="1701" w:type="dxa"/>
          </w:tcPr>
          <w:p w14:paraId="6B0F640B"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None</w:t>
            </w:r>
          </w:p>
        </w:tc>
        <w:tc>
          <w:tcPr>
            <w:tcW w:w="1984" w:type="dxa"/>
          </w:tcPr>
          <w:p w14:paraId="487DD928"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Mirena (5 years)</w:t>
            </w:r>
          </w:p>
        </w:tc>
        <w:tc>
          <w:tcPr>
            <w:tcW w:w="1701" w:type="dxa"/>
          </w:tcPr>
          <w:p w14:paraId="1F00A162"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N/A</w:t>
            </w:r>
          </w:p>
        </w:tc>
        <w:tc>
          <w:tcPr>
            <w:tcW w:w="1985" w:type="dxa"/>
          </w:tcPr>
          <w:p w14:paraId="763BFBDF" w14:textId="77777777" w:rsidR="00A40131" w:rsidRDefault="00A40131" w:rsidP="003C0BDF">
            <w:pPr>
              <w:rPr>
                <w:rFonts w:ascii="Arial Narrow" w:hAnsi="Arial Narrow" w:cstheme="minorHAnsi"/>
                <w:sz w:val="20"/>
                <w:szCs w:val="20"/>
              </w:rPr>
            </w:pPr>
            <w:r>
              <w:rPr>
                <w:rFonts w:ascii="Arial Narrow" w:hAnsi="Arial Narrow" w:cstheme="minorHAnsi"/>
                <w:sz w:val="20"/>
                <w:szCs w:val="20"/>
              </w:rPr>
              <w:t>Restricted benefit:</w:t>
            </w:r>
          </w:p>
          <w:p w14:paraId="763AA0F4" w14:textId="77777777" w:rsidR="00A40131" w:rsidRPr="0005320C" w:rsidRDefault="00A40131" w:rsidP="003C0BDF">
            <w:pPr>
              <w:pStyle w:val="ListParagraph"/>
              <w:numPr>
                <w:ilvl w:val="0"/>
                <w:numId w:val="50"/>
              </w:numPr>
              <w:rPr>
                <w:rFonts w:ascii="Arial Narrow" w:hAnsi="Arial Narrow" w:cstheme="minorHAnsi"/>
                <w:sz w:val="20"/>
                <w:szCs w:val="20"/>
              </w:rPr>
            </w:pPr>
            <w:r w:rsidRPr="0005320C">
              <w:rPr>
                <w:rFonts w:ascii="Arial Narrow" w:hAnsi="Arial Narrow" w:cstheme="minorHAnsi"/>
                <w:sz w:val="20"/>
                <w:szCs w:val="20"/>
              </w:rPr>
              <w:t>Contraception</w:t>
            </w:r>
          </w:p>
          <w:p w14:paraId="423DB617" w14:textId="77777777" w:rsidR="00A40131" w:rsidRPr="0005320C" w:rsidRDefault="00A40131" w:rsidP="003C0BDF">
            <w:pPr>
              <w:pStyle w:val="ListParagraph"/>
              <w:numPr>
                <w:ilvl w:val="0"/>
                <w:numId w:val="50"/>
              </w:numPr>
              <w:rPr>
                <w:rFonts w:ascii="Arial Narrow" w:hAnsi="Arial Narrow" w:cstheme="minorHAnsi"/>
                <w:sz w:val="20"/>
                <w:szCs w:val="20"/>
              </w:rPr>
            </w:pPr>
            <w:r w:rsidRPr="0005320C">
              <w:rPr>
                <w:rFonts w:ascii="Arial Narrow" w:hAnsi="Arial Narrow" w:cstheme="minorHAnsi"/>
                <w:sz w:val="20"/>
                <w:szCs w:val="20"/>
              </w:rPr>
              <w:t xml:space="preserve">Idiopathic menorrhagia </w:t>
            </w:r>
          </w:p>
        </w:tc>
        <w:tc>
          <w:tcPr>
            <w:tcW w:w="2693" w:type="dxa"/>
          </w:tcPr>
          <w:p w14:paraId="547F5729" w14:textId="77777777" w:rsidR="00A40131" w:rsidRPr="0005320C" w:rsidRDefault="00A40131" w:rsidP="003C0BDF">
            <w:pPr>
              <w:pStyle w:val="ListParagraph"/>
              <w:numPr>
                <w:ilvl w:val="0"/>
                <w:numId w:val="50"/>
              </w:numPr>
              <w:rPr>
                <w:rFonts w:ascii="Arial Narrow" w:hAnsi="Arial Narrow"/>
                <w:sz w:val="20"/>
                <w:szCs w:val="20"/>
              </w:rPr>
            </w:pPr>
            <w:r w:rsidRPr="0005320C">
              <w:rPr>
                <w:rFonts w:ascii="Arial Narrow" w:hAnsi="Arial Narrow"/>
                <w:sz w:val="20"/>
                <w:szCs w:val="20"/>
              </w:rPr>
              <w:t xml:space="preserve">Contraception. </w:t>
            </w:r>
          </w:p>
          <w:p w14:paraId="343FB2B0" w14:textId="77777777" w:rsidR="00A40131" w:rsidRPr="0005320C" w:rsidRDefault="00A40131" w:rsidP="003C0BDF">
            <w:pPr>
              <w:pStyle w:val="ListParagraph"/>
              <w:numPr>
                <w:ilvl w:val="0"/>
                <w:numId w:val="50"/>
              </w:numPr>
              <w:rPr>
                <w:rFonts w:ascii="Arial Narrow" w:hAnsi="Arial Narrow"/>
                <w:sz w:val="20"/>
                <w:szCs w:val="20"/>
              </w:rPr>
            </w:pPr>
            <w:r w:rsidRPr="0005320C">
              <w:rPr>
                <w:rFonts w:ascii="Arial Narrow" w:hAnsi="Arial Narrow"/>
                <w:sz w:val="20"/>
                <w:szCs w:val="20"/>
              </w:rPr>
              <w:t xml:space="preserve">Treatment of idiopathic menorrhagia. </w:t>
            </w:r>
          </w:p>
          <w:p w14:paraId="0AB6C7E8" w14:textId="77777777" w:rsidR="00A40131" w:rsidRPr="00F3509B" w:rsidRDefault="00A40131" w:rsidP="003C0BDF">
            <w:pPr>
              <w:pStyle w:val="ListParagraph"/>
              <w:numPr>
                <w:ilvl w:val="0"/>
                <w:numId w:val="50"/>
              </w:numPr>
              <w:rPr>
                <w:rFonts w:ascii="Arial Narrow" w:hAnsi="Arial Narrow"/>
                <w:sz w:val="20"/>
                <w:szCs w:val="20"/>
              </w:rPr>
            </w:pPr>
            <w:r w:rsidRPr="0005320C">
              <w:rPr>
                <w:rFonts w:ascii="Arial Narrow" w:hAnsi="Arial Narrow"/>
                <w:sz w:val="20"/>
                <w:szCs w:val="20"/>
              </w:rPr>
              <w:t>Prevention of endometrial hyperplasia during oestrogen replacement therapy</w:t>
            </w:r>
          </w:p>
        </w:tc>
        <w:tc>
          <w:tcPr>
            <w:tcW w:w="1904" w:type="dxa"/>
          </w:tcPr>
          <w:p w14:paraId="211FCB14" w14:textId="77777777" w:rsidR="00A40131" w:rsidRPr="001E0786" w:rsidRDefault="00A40131" w:rsidP="003C0BDF">
            <w:pPr>
              <w:rPr>
                <w:rFonts w:ascii="Arial Narrow" w:hAnsi="Arial Narrow" w:cstheme="minorHAnsi"/>
                <w:sz w:val="20"/>
                <w:szCs w:val="20"/>
              </w:rPr>
            </w:pPr>
          </w:p>
        </w:tc>
      </w:tr>
      <w:tr w:rsidR="00A40131" w:rsidRPr="001E0786" w14:paraId="68FBEA16" w14:textId="77777777" w:rsidTr="003C0BDF">
        <w:tc>
          <w:tcPr>
            <w:tcW w:w="1980" w:type="dxa"/>
          </w:tcPr>
          <w:p w14:paraId="33D39B0F" w14:textId="5B8BE263" w:rsidR="00A40131" w:rsidRPr="001E0786" w:rsidRDefault="00DC251B" w:rsidP="003C0BDF">
            <w:pPr>
              <w:rPr>
                <w:rFonts w:ascii="Arial Narrow" w:hAnsi="Arial Narrow" w:cstheme="minorHAnsi"/>
                <w:sz w:val="20"/>
                <w:szCs w:val="20"/>
              </w:rPr>
            </w:pPr>
            <w:r>
              <w:rPr>
                <w:rFonts w:ascii="Arial Narrow" w:hAnsi="Arial Narrow" w:cstheme="minorHAnsi"/>
                <w:sz w:val="20"/>
                <w:szCs w:val="20"/>
              </w:rPr>
              <w:t>l</w:t>
            </w:r>
            <w:r w:rsidR="00A40131">
              <w:rPr>
                <w:rFonts w:ascii="Arial Narrow" w:hAnsi="Arial Narrow" w:cstheme="minorHAnsi"/>
                <w:sz w:val="20"/>
                <w:szCs w:val="20"/>
              </w:rPr>
              <w:t>evonorgestrel 19.5 mg (releases 17.5 mcg/day)</w:t>
            </w:r>
          </w:p>
        </w:tc>
        <w:tc>
          <w:tcPr>
            <w:tcW w:w="1701" w:type="dxa"/>
          </w:tcPr>
          <w:p w14:paraId="57F05FE5"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None</w:t>
            </w:r>
          </w:p>
        </w:tc>
        <w:tc>
          <w:tcPr>
            <w:tcW w:w="1984" w:type="dxa"/>
          </w:tcPr>
          <w:p w14:paraId="3B9BBF0A"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Kyleena (5 years)</w:t>
            </w:r>
          </w:p>
        </w:tc>
        <w:tc>
          <w:tcPr>
            <w:tcW w:w="1701" w:type="dxa"/>
          </w:tcPr>
          <w:p w14:paraId="60FCBD38"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N/A</w:t>
            </w:r>
          </w:p>
        </w:tc>
        <w:tc>
          <w:tcPr>
            <w:tcW w:w="1985" w:type="dxa"/>
          </w:tcPr>
          <w:p w14:paraId="5AF3FE56" w14:textId="77777777" w:rsidR="00A40131" w:rsidRDefault="00A40131" w:rsidP="003C0BDF">
            <w:pPr>
              <w:rPr>
                <w:rFonts w:ascii="Arial Narrow" w:hAnsi="Arial Narrow" w:cstheme="minorHAnsi"/>
                <w:sz w:val="20"/>
                <w:szCs w:val="20"/>
              </w:rPr>
            </w:pPr>
            <w:r>
              <w:rPr>
                <w:rFonts w:ascii="Arial Narrow" w:hAnsi="Arial Narrow" w:cstheme="minorHAnsi"/>
                <w:sz w:val="20"/>
                <w:szCs w:val="20"/>
              </w:rPr>
              <w:t>Restricted benefit:</w:t>
            </w:r>
          </w:p>
          <w:p w14:paraId="5D70FFC8" w14:textId="77777777" w:rsidR="00A40131" w:rsidRPr="0005320C" w:rsidRDefault="00A40131" w:rsidP="003C0BDF">
            <w:pPr>
              <w:pStyle w:val="ListParagraph"/>
              <w:numPr>
                <w:ilvl w:val="0"/>
                <w:numId w:val="51"/>
              </w:numPr>
              <w:rPr>
                <w:rFonts w:ascii="Arial Narrow" w:hAnsi="Arial Narrow" w:cstheme="minorHAnsi"/>
                <w:sz w:val="20"/>
                <w:szCs w:val="20"/>
              </w:rPr>
            </w:pPr>
            <w:r w:rsidRPr="0005320C">
              <w:rPr>
                <w:rFonts w:ascii="Arial Narrow" w:hAnsi="Arial Narrow" w:cstheme="minorHAnsi"/>
                <w:sz w:val="20"/>
                <w:szCs w:val="20"/>
              </w:rPr>
              <w:t>Contraception</w:t>
            </w:r>
          </w:p>
        </w:tc>
        <w:tc>
          <w:tcPr>
            <w:tcW w:w="2693" w:type="dxa"/>
          </w:tcPr>
          <w:p w14:paraId="531193FE"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Contraception</w:t>
            </w:r>
          </w:p>
        </w:tc>
        <w:tc>
          <w:tcPr>
            <w:tcW w:w="1904" w:type="dxa"/>
          </w:tcPr>
          <w:p w14:paraId="6467462C" w14:textId="77777777" w:rsidR="00A40131" w:rsidRPr="001E0786" w:rsidRDefault="00A40131" w:rsidP="003C0BDF">
            <w:pPr>
              <w:rPr>
                <w:rFonts w:ascii="Arial Narrow" w:hAnsi="Arial Narrow" w:cstheme="minorHAnsi"/>
                <w:sz w:val="20"/>
                <w:szCs w:val="20"/>
              </w:rPr>
            </w:pPr>
          </w:p>
        </w:tc>
      </w:tr>
      <w:tr w:rsidR="00A40131" w:rsidRPr="001E0786" w14:paraId="027E279F" w14:textId="77777777" w:rsidTr="003C0BDF">
        <w:tc>
          <w:tcPr>
            <w:tcW w:w="1980" w:type="dxa"/>
          </w:tcPr>
          <w:p w14:paraId="2350419C" w14:textId="2078E288" w:rsidR="00A40131" w:rsidRPr="001E0786" w:rsidRDefault="00DC251B" w:rsidP="003C0BDF">
            <w:pPr>
              <w:rPr>
                <w:rFonts w:ascii="Arial Narrow" w:hAnsi="Arial Narrow" w:cstheme="minorHAnsi"/>
                <w:sz w:val="20"/>
                <w:szCs w:val="20"/>
              </w:rPr>
            </w:pPr>
            <w:r>
              <w:rPr>
                <w:rFonts w:ascii="Arial Narrow" w:hAnsi="Arial Narrow" w:cstheme="minorHAnsi"/>
                <w:sz w:val="20"/>
                <w:szCs w:val="20"/>
              </w:rPr>
              <w:t>c</w:t>
            </w:r>
            <w:r w:rsidR="00A40131">
              <w:rPr>
                <w:rFonts w:ascii="Arial Narrow" w:hAnsi="Arial Narrow" w:cstheme="minorHAnsi"/>
                <w:sz w:val="20"/>
                <w:szCs w:val="20"/>
              </w:rPr>
              <w:t>opper IUD</w:t>
            </w:r>
          </w:p>
        </w:tc>
        <w:tc>
          <w:tcPr>
            <w:tcW w:w="1701" w:type="dxa"/>
          </w:tcPr>
          <w:p w14:paraId="58F1BB90"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None</w:t>
            </w:r>
          </w:p>
        </w:tc>
        <w:tc>
          <w:tcPr>
            <w:tcW w:w="1984" w:type="dxa"/>
          </w:tcPr>
          <w:p w14:paraId="4CB55E80"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N/A</w:t>
            </w:r>
          </w:p>
        </w:tc>
        <w:tc>
          <w:tcPr>
            <w:tcW w:w="1701" w:type="dxa"/>
          </w:tcPr>
          <w:p w14:paraId="64F73083" w14:textId="77777777" w:rsidR="00A40131" w:rsidRDefault="00A40131" w:rsidP="003C0BDF">
            <w:pPr>
              <w:rPr>
                <w:rFonts w:ascii="Arial Narrow" w:hAnsi="Arial Narrow" w:cstheme="minorHAnsi"/>
                <w:sz w:val="20"/>
                <w:szCs w:val="20"/>
              </w:rPr>
            </w:pPr>
            <w:r>
              <w:rPr>
                <w:rFonts w:ascii="Arial Narrow" w:hAnsi="Arial Narrow" w:cstheme="minorHAnsi"/>
                <w:sz w:val="20"/>
                <w:szCs w:val="20"/>
              </w:rPr>
              <w:t>Cu375 (5 years)</w:t>
            </w:r>
          </w:p>
          <w:p w14:paraId="7A0CED86"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TT 380 standard (10 years)</w:t>
            </w:r>
          </w:p>
        </w:tc>
        <w:tc>
          <w:tcPr>
            <w:tcW w:w="1985" w:type="dxa"/>
          </w:tcPr>
          <w:p w14:paraId="5D012903"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Not PBS-listed</w:t>
            </w:r>
          </w:p>
        </w:tc>
        <w:tc>
          <w:tcPr>
            <w:tcW w:w="2693" w:type="dxa"/>
          </w:tcPr>
          <w:p w14:paraId="108F3155" w14:textId="77777777" w:rsidR="00A40131" w:rsidRPr="001E0786" w:rsidRDefault="00A40131" w:rsidP="003C0BDF">
            <w:pPr>
              <w:rPr>
                <w:rFonts w:ascii="Arial Narrow" w:hAnsi="Arial Narrow" w:cstheme="minorHAnsi"/>
                <w:sz w:val="20"/>
                <w:szCs w:val="20"/>
              </w:rPr>
            </w:pPr>
            <w:r>
              <w:rPr>
                <w:rFonts w:ascii="Arial Narrow" w:hAnsi="Arial Narrow" w:cstheme="minorHAnsi"/>
                <w:sz w:val="20"/>
                <w:szCs w:val="20"/>
              </w:rPr>
              <w:t>Contraception</w:t>
            </w:r>
          </w:p>
        </w:tc>
        <w:tc>
          <w:tcPr>
            <w:tcW w:w="1904" w:type="dxa"/>
          </w:tcPr>
          <w:p w14:paraId="60644A2A" w14:textId="77777777" w:rsidR="00A40131" w:rsidRPr="001E0786" w:rsidRDefault="00A40131" w:rsidP="003C0BDF">
            <w:pPr>
              <w:rPr>
                <w:rFonts w:ascii="Arial Narrow" w:hAnsi="Arial Narrow" w:cstheme="minorHAnsi"/>
                <w:sz w:val="20"/>
                <w:szCs w:val="20"/>
              </w:rPr>
            </w:pPr>
          </w:p>
        </w:tc>
      </w:tr>
    </w:tbl>
    <w:p w14:paraId="1857A26A" w14:textId="77777777" w:rsidR="00A40131" w:rsidRDefault="00A40131" w:rsidP="00956163">
      <w:pPr>
        <w:pStyle w:val="Heading2"/>
        <w:spacing w:after="240"/>
        <w:rPr>
          <w:rFonts w:ascii="Arial Narrow" w:eastAsiaTheme="minorHAnsi" w:hAnsi="Arial Narrow" w:cstheme="minorHAnsi"/>
          <w:b w:val="0"/>
          <w:sz w:val="20"/>
          <w:szCs w:val="20"/>
        </w:rPr>
        <w:sectPr w:rsidR="00A40131" w:rsidSect="00C75950">
          <w:pgSz w:w="16838" w:h="11906" w:orient="landscape"/>
          <w:pgMar w:top="1440" w:right="1440" w:bottom="1440" w:left="1440" w:header="708" w:footer="708" w:gutter="0"/>
          <w:cols w:space="708"/>
          <w:docGrid w:linePitch="360"/>
        </w:sectPr>
      </w:pPr>
    </w:p>
    <w:p w14:paraId="6E973551" w14:textId="77777777" w:rsidR="00F0141E" w:rsidRDefault="00956163" w:rsidP="00956163">
      <w:pPr>
        <w:pStyle w:val="Heading2"/>
        <w:spacing w:after="240"/>
      </w:pPr>
      <w:bookmarkStart w:id="17" w:name="_Toc118813836"/>
      <w:r>
        <w:lastRenderedPageBreak/>
        <w:t>Key</w:t>
      </w:r>
      <w:r w:rsidRPr="003E3D43">
        <w:t xml:space="preserve"> findings</w:t>
      </w:r>
      <w:bookmarkEnd w:id="17"/>
      <w:r w:rsidRPr="003E3D43">
        <w:t xml:space="preserve"> </w:t>
      </w:r>
    </w:p>
    <w:p w14:paraId="6F496103" w14:textId="1A77F521" w:rsidR="00F0141E" w:rsidRDefault="00956163" w:rsidP="00956163">
      <w:pPr>
        <w:pStyle w:val="Heading2"/>
        <w:spacing w:after="240"/>
        <w:rPr>
          <w:szCs w:val="28"/>
        </w:rPr>
      </w:pPr>
      <w:bookmarkStart w:id="18" w:name="_Toc118813837"/>
      <w:r w:rsidRPr="00037FC1">
        <w:rPr>
          <w:szCs w:val="28"/>
        </w:rPr>
        <w:t>Table</w:t>
      </w:r>
      <w:r w:rsidR="00240560" w:rsidRPr="00037FC1">
        <w:rPr>
          <w:szCs w:val="28"/>
        </w:rPr>
        <w:t xml:space="preserve"> 1</w:t>
      </w:r>
      <w:r w:rsidRPr="00F0141E">
        <w:rPr>
          <w:szCs w:val="28"/>
        </w:rPr>
        <w:t xml:space="preserve">: </w:t>
      </w:r>
      <w:r w:rsidR="00240560" w:rsidRPr="00F0141E">
        <w:rPr>
          <w:szCs w:val="28"/>
        </w:rPr>
        <w:t>Summary of Australian clinical guidelines for pharmacological management of endometriosis</w:t>
      </w:r>
      <w:bookmarkEnd w:id="18"/>
      <w:r w:rsidR="00240560" w:rsidRPr="00F0141E">
        <w:rPr>
          <w:szCs w:val="28"/>
        </w:rPr>
        <w:t xml:space="preserve"> </w:t>
      </w:r>
    </w:p>
    <w:p w14:paraId="57757F61" w14:textId="0703A02D" w:rsidR="00F0141E" w:rsidRDefault="00240560" w:rsidP="00956163">
      <w:pPr>
        <w:pStyle w:val="Heading2"/>
        <w:spacing w:after="240"/>
        <w:rPr>
          <w:rFonts w:eastAsia="Calibri"/>
          <w:szCs w:val="28"/>
        </w:rPr>
      </w:pPr>
      <w:bookmarkStart w:id="19" w:name="_Toc118813838"/>
      <w:r w:rsidRPr="00F0141E">
        <w:rPr>
          <w:szCs w:val="28"/>
        </w:rPr>
        <w:t xml:space="preserve">Table 2: </w:t>
      </w:r>
      <w:r w:rsidRPr="00F0141E">
        <w:rPr>
          <w:rFonts w:eastAsia="Calibri"/>
          <w:szCs w:val="28"/>
        </w:rPr>
        <w:t>Summary of PBS listed and TGA registered medicines for endometriosis and related conditions in Australia</w:t>
      </w:r>
      <w:bookmarkEnd w:id="19"/>
      <w:r w:rsidRPr="00F0141E">
        <w:rPr>
          <w:rFonts w:eastAsia="Calibri"/>
          <w:szCs w:val="28"/>
        </w:rPr>
        <w:t xml:space="preserve"> </w:t>
      </w:r>
    </w:p>
    <w:p w14:paraId="4110D6E6" w14:textId="3566D900" w:rsidR="00956163" w:rsidRDefault="00240560" w:rsidP="00956163">
      <w:pPr>
        <w:pStyle w:val="Heading2"/>
        <w:spacing w:after="240"/>
        <w:rPr>
          <w:szCs w:val="28"/>
        </w:rPr>
      </w:pPr>
      <w:bookmarkStart w:id="20" w:name="_Toc118813839"/>
      <w:r w:rsidRPr="00F0141E">
        <w:rPr>
          <w:rFonts w:eastAsia="Calibri"/>
          <w:szCs w:val="28"/>
        </w:rPr>
        <w:t xml:space="preserve">Table 3: </w:t>
      </w:r>
      <w:r w:rsidR="00FA5113">
        <w:rPr>
          <w:rFonts w:eastAsia="Calibri"/>
          <w:szCs w:val="28"/>
        </w:rPr>
        <w:t>H</w:t>
      </w:r>
      <w:r w:rsidRPr="00F0141E">
        <w:rPr>
          <w:szCs w:val="28"/>
        </w:rPr>
        <w:t>ormonal contraceptives available on prescription in Australia</w:t>
      </w:r>
      <w:bookmarkEnd w:id="20"/>
      <w:r w:rsidRPr="00F0141E" w:rsidDel="00240560">
        <w:rPr>
          <w:szCs w:val="28"/>
        </w:rPr>
        <w:t xml:space="preserve"> </w:t>
      </w:r>
    </w:p>
    <w:p w14:paraId="0E1EB2E0" w14:textId="77777777" w:rsidR="004B2BFB" w:rsidRPr="004578CC" w:rsidRDefault="004B2BFB" w:rsidP="004B2BFB">
      <w:pPr>
        <w:pStyle w:val="BodyText"/>
        <w:numPr>
          <w:ilvl w:val="0"/>
          <w:numId w:val="17"/>
        </w:numPr>
      </w:pPr>
      <w:r>
        <w:t>F</w:t>
      </w:r>
      <w:r w:rsidRPr="004578CC">
        <w:t>ive classes of medicines were identified for use in endometriosis</w:t>
      </w:r>
      <w:r>
        <w:t xml:space="preserve"> f</w:t>
      </w:r>
      <w:r w:rsidRPr="004578CC">
        <w:t xml:space="preserve">rom the Australian clinical guidelines for </w:t>
      </w:r>
      <w:r>
        <w:t xml:space="preserve">the pharmacological treatment of </w:t>
      </w:r>
      <w:r w:rsidRPr="004578CC">
        <w:t>endometriosis and related conditions</w:t>
      </w:r>
      <w:r>
        <w:t>:</w:t>
      </w:r>
      <w:r w:rsidRPr="004578CC">
        <w:t xml:space="preserve"> </w:t>
      </w:r>
    </w:p>
    <w:p w14:paraId="4AC0EB8E" w14:textId="77777777" w:rsidR="004B2BFB" w:rsidRPr="004578CC" w:rsidRDefault="004B2BFB" w:rsidP="004B2BFB">
      <w:pPr>
        <w:pStyle w:val="BodyText"/>
        <w:numPr>
          <w:ilvl w:val="1"/>
          <w:numId w:val="17"/>
        </w:numPr>
      </w:pPr>
      <w:r w:rsidRPr="004578CC">
        <w:t>Combined hormonal contracepti</w:t>
      </w:r>
      <w:r>
        <w:t xml:space="preserve">ves </w:t>
      </w:r>
    </w:p>
    <w:p w14:paraId="6619788E" w14:textId="77777777" w:rsidR="004B2BFB" w:rsidRPr="004578CC" w:rsidRDefault="004B2BFB" w:rsidP="004B2BFB">
      <w:pPr>
        <w:pStyle w:val="BodyText"/>
        <w:numPr>
          <w:ilvl w:val="1"/>
          <w:numId w:val="17"/>
        </w:numPr>
      </w:pPr>
      <w:r w:rsidRPr="004578CC">
        <w:t>Progestogens</w:t>
      </w:r>
      <w:r>
        <w:t xml:space="preserve"> </w:t>
      </w:r>
    </w:p>
    <w:p w14:paraId="7A32D4D8" w14:textId="77777777" w:rsidR="004B2BFB" w:rsidRPr="004578CC" w:rsidRDefault="004B2BFB" w:rsidP="004B2BFB">
      <w:pPr>
        <w:pStyle w:val="BodyText"/>
        <w:numPr>
          <w:ilvl w:val="1"/>
          <w:numId w:val="17"/>
        </w:numPr>
      </w:pPr>
      <w:r w:rsidRPr="004578CC">
        <w:t>Gonadotrophin-releasing hormone (GnRH) agonists</w:t>
      </w:r>
    </w:p>
    <w:p w14:paraId="0B1C6CF1" w14:textId="77777777" w:rsidR="004B2BFB" w:rsidRPr="004578CC" w:rsidRDefault="004B2BFB" w:rsidP="004B2BFB">
      <w:pPr>
        <w:pStyle w:val="BodyText"/>
        <w:numPr>
          <w:ilvl w:val="1"/>
          <w:numId w:val="17"/>
        </w:numPr>
      </w:pPr>
      <w:r w:rsidRPr="004578CC">
        <w:t>Androgenic hormones (Danazol)</w:t>
      </w:r>
    </w:p>
    <w:p w14:paraId="5C8C0070" w14:textId="77777777" w:rsidR="004B2BFB" w:rsidRDefault="004B2BFB" w:rsidP="004B2BFB">
      <w:pPr>
        <w:pStyle w:val="BodyText"/>
        <w:numPr>
          <w:ilvl w:val="1"/>
          <w:numId w:val="17"/>
        </w:numPr>
      </w:pPr>
      <w:r w:rsidRPr="004578CC">
        <w:t>Analgesia</w:t>
      </w:r>
    </w:p>
    <w:p w14:paraId="74E54FAC" w14:textId="69AB8E42" w:rsidR="00FA5113" w:rsidRDefault="00FA5113" w:rsidP="00FA5113">
      <w:pPr>
        <w:pStyle w:val="BodyText"/>
        <w:numPr>
          <w:ilvl w:val="0"/>
          <w:numId w:val="17"/>
        </w:numPr>
        <w:spacing w:before="240"/>
      </w:pPr>
      <w:r w:rsidRPr="004578CC">
        <w:t>RANZCOG guidelines state that no</w:t>
      </w:r>
      <w:r>
        <w:t xml:space="preserve">ne of the </w:t>
      </w:r>
      <w:r w:rsidR="004B2BFB">
        <w:t>combined oral contraceptives (</w:t>
      </w:r>
      <w:r>
        <w:t>COCs</w:t>
      </w:r>
      <w:r w:rsidR="004B2BFB">
        <w:t>)</w:t>
      </w:r>
      <w:r>
        <w:t xml:space="preserve">, progestogens or GnRH agonists are superior in the management of endometriosis. However, there are no COCs available in Australia currently TGA registered, or PBS listed for use specifically in endometriosis. </w:t>
      </w:r>
    </w:p>
    <w:p w14:paraId="1C2E8142" w14:textId="6BD190CE" w:rsidR="00FA5113" w:rsidRDefault="00FA5113" w:rsidP="00FA5113">
      <w:pPr>
        <w:pStyle w:val="BodyText"/>
        <w:numPr>
          <w:ilvl w:val="0"/>
          <w:numId w:val="17"/>
        </w:numPr>
        <w:spacing w:before="240"/>
      </w:pPr>
      <w:r w:rsidRPr="004578CC">
        <w:t>The eTG</w:t>
      </w:r>
      <w:r>
        <w:t xml:space="preserve"> for pharmacological management of endometriosis and related conditions list </w:t>
      </w:r>
      <w:r w:rsidR="004B2BFB">
        <w:t xml:space="preserve">COCs </w:t>
      </w:r>
      <w:r>
        <w:t xml:space="preserve">as an important and alternative first-line treatment option for endometriosis, </w:t>
      </w:r>
      <w:r w:rsidR="004B2BFB">
        <w:t xml:space="preserve">either </w:t>
      </w:r>
      <w:r>
        <w:t>alone or in combination with analgesia as first line treatment</w:t>
      </w:r>
      <w:r w:rsidR="004B2BFB">
        <w:t>.</w:t>
      </w:r>
      <w:r>
        <w:t xml:space="preserve"> </w:t>
      </w:r>
      <w:r w:rsidR="004B2BFB">
        <w:t>T</w:t>
      </w:r>
      <w:r>
        <w:t xml:space="preserve">he AMH states COCs are well tolerated and can be taken long term. </w:t>
      </w:r>
    </w:p>
    <w:p w14:paraId="3FA3D71D" w14:textId="0891502A" w:rsidR="009B0E9E" w:rsidRDefault="009B0E9E" w:rsidP="009B0E9E">
      <w:pPr>
        <w:pStyle w:val="BodyText"/>
        <w:numPr>
          <w:ilvl w:val="0"/>
          <w:numId w:val="17"/>
        </w:numPr>
        <w:spacing w:before="240"/>
      </w:pPr>
      <w:r>
        <w:t xml:space="preserve">The eTG positions long-acting progestogens as alternative first-line treatment options for endometriosis (refer table 1). The etonogestrel implant currently holds an unrestricted PBS-listing, however it is not TGA registered for use in endometriosis (refer table 3). </w:t>
      </w:r>
      <w:r w:rsidR="004B2BFB">
        <w:t>Stakeholders report the etonogestrel subdermal implant is widely regarded as one of the most effective hormonal contraceptives for relieving endometriosis symptoms.</w:t>
      </w:r>
    </w:p>
    <w:p w14:paraId="27E6349B" w14:textId="62EB4CD1" w:rsidR="00956163" w:rsidRPr="004578CC" w:rsidRDefault="00F0141E" w:rsidP="00956163">
      <w:pPr>
        <w:pStyle w:val="BodyText"/>
        <w:numPr>
          <w:ilvl w:val="0"/>
          <w:numId w:val="17"/>
        </w:numPr>
        <w:spacing w:before="240"/>
      </w:pPr>
      <w:r>
        <w:t>T</w:t>
      </w:r>
      <w:r w:rsidR="00956163">
        <w:t xml:space="preserve">he only medicines that are available for PBS subsidy listed specifically for use in endometriosis </w:t>
      </w:r>
      <w:r>
        <w:t xml:space="preserve">from the identified </w:t>
      </w:r>
      <w:r w:rsidRPr="004578CC">
        <w:t xml:space="preserve">medicine classes </w:t>
      </w:r>
      <w:r w:rsidR="00956163">
        <w:t xml:space="preserve">are the following: </w:t>
      </w:r>
    </w:p>
    <w:p w14:paraId="457CD801" w14:textId="7CBCC207" w:rsidR="00956163" w:rsidRPr="004578CC" w:rsidRDefault="00971488" w:rsidP="00956163">
      <w:pPr>
        <w:pStyle w:val="BodyText"/>
        <w:numPr>
          <w:ilvl w:val="1"/>
          <w:numId w:val="17"/>
        </w:numPr>
      </w:pPr>
      <w:r>
        <w:t>g</w:t>
      </w:r>
      <w:r w:rsidR="00690F55" w:rsidRPr="004578CC">
        <w:t>oserelin</w:t>
      </w:r>
      <w:r w:rsidR="00956163" w:rsidRPr="004578CC">
        <w:t xml:space="preserve"> (injection) – GnRH agonist</w:t>
      </w:r>
    </w:p>
    <w:p w14:paraId="617772F5" w14:textId="706C71EA" w:rsidR="00956163" w:rsidRPr="004578CC" w:rsidRDefault="00971488" w:rsidP="00956163">
      <w:pPr>
        <w:pStyle w:val="BodyText"/>
        <w:numPr>
          <w:ilvl w:val="1"/>
          <w:numId w:val="17"/>
        </w:numPr>
      </w:pPr>
      <w:r>
        <w:t>n</w:t>
      </w:r>
      <w:r w:rsidR="00956163" w:rsidRPr="004578CC">
        <w:t>afarelin (nasal spray) – GnRH agonist</w:t>
      </w:r>
    </w:p>
    <w:p w14:paraId="3E81FD9E" w14:textId="0B5B0317" w:rsidR="00956163" w:rsidRDefault="00971488" w:rsidP="00956163">
      <w:pPr>
        <w:pStyle w:val="BodyText"/>
        <w:numPr>
          <w:ilvl w:val="1"/>
          <w:numId w:val="17"/>
        </w:numPr>
      </w:pPr>
      <w:r>
        <w:t>m</w:t>
      </w:r>
      <w:r w:rsidR="00956163" w:rsidRPr="004578CC">
        <w:t>edroxyprogesterone acetate (oral tablets) – progestogens</w:t>
      </w:r>
    </w:p>
    <w:p w14:paraId="669BB691" w14:textId="77777777" w:rsidR="00FA5113" w:rsidRDefault="00FA5113" w:rsidP="00FA5113">
      <w:pPr>
        <w:pStyle w:val="BodyText"/>
        <w:numPr>
          <w:ilvl w:val="0"/>
          <w:numId w:val="17"/>
        </w:numPr>
        <w:spacing w:before="240"/>
      </w:pPr>
      <w:r>
        <w:t>The medicines identified with unrestricted PBS listings allowing subsidy for use in endometriosis include:</w:t>
      </w:r>
    </w:p>
    <w:p w14:paraId="7EB7B6EF" w14:textId="02BD60D1" w:rsidR="00FA5113" w:rsidRDefault="00997501" w:rsidP="00FA5113">
      <w:pPr>
        <w:pStyle w:val="BodyText"/>
        <w:numPr>
          <w:ilvl w:val="1"/>
          <w:numId w:val="17"/>
        </w:numPr>
      </w:pPr>
      <w:r>
        <w:t>norethisterone</w:t>
      </w:r>
      <w:r w:rsidR="00FA5113">
        <w:t xml:space="preserve"> (oral tablet) – Progestogens</w:t>
      </w:r>
    </w:p>
    <w:p w14:paraId="68F1DBFE" w14:textId="2E6846B9" w:rsidR="00FA5113" w:rsidRDefault="00971488" w:rsidP="00FA5113">
      <w:pPr>
        <w:pStyle w:val="BodyText"/>
        <w:numPr>
          <w:ilvl w:val="1"/>
          <w:numId w:val="17"/>
        </w:numPr>
      </w:pPr>
      <w:r>
        <w:t>m</w:t>
      </w:r>
      <w:r w:rsidR="00FA5113">
        <w:t xml:space="preserve">edroxyprogesterone acetate (injection) – Progestogens </w:t>
      </w:r>
    </w:p>
    <w:p w14:paraId="2A4666BE" w14:textId="4C09B056" w:rsidR="00037FC1" w:rsidRDefault="00037FC1" w:rsidP="00037FC1">
      <w:pPr>
        <w:pStyle w:val="BodyText"/>
        <w:numPr>
          <w:ilvl w:val="0"/>
          <w:numId w:val="17"/>
        </w:numPr>
        <w:spacing w:before="240"/>
      </w:pPr>
      <w:r>
        <w:t xml:space="preserve">The medicines identified that are TGA registered for use in endometriosis </w:t>
      </w:r>
      <w:r w:rsidR="00884EA0">
        <w:t xml:space="preserve">but </w:t>
      </w:r>
      <w:r>
        <w:t>are not PBS-listed include:</w:t>
      </w:r>
    </w:p>
    <w:p w14:paraId="69E03F84" w14:textId="716E0324" w:rsidR="00037FC1" w:rsidRDefault="00971488" w:rsidP="00037FC1">
      <w:pPr>
        <w:pStyle w:val="BodyText"/>
        <w:numPr>
          <w:ilvl w:val="1"/>
          <w:numId w:val="17"/>
        </w:numPr>
      </w:pPr>
      <w:r>
        <w:t>d</w:t>
      </w:r>
      <w:r w:rsidR="00037FC1">
        <w:t>ienogest (oral tablet) – Progestogen</w:t>
      </w:r>
    </w:p>
    <w:p w14:paraId="62C7D6A3" w14:textId="280647D6" w:rsidR="00FA5113" w:rsidRDefault="00971488" w:rsidP="00934C08">
      <w:pPr>
        <w:pStyle w:val="BodyText"/>
        <w:numPr>
          <w:ilvl w:val="1"/>
          <w:numId w:val="17"/>
        </w:numPr>
      </w:pPr>
      <w:r>
        <w:lastRenderedPageBreak/>
        <w:t>d</w:t>
      </w:r>
      <w:r w:rsidR="00037FC1">
        <w:t>anazol (oral tablet), SAS only – Androgenic hormones</w:t>
      </w:r>
      <w:r w:rsidR="00E63416">
        <w:rPr>
          <w:rStyle w:val="FootnoteReference"/>
        </w:rPr>
        <w:footnoteReference w:id="2"/>
      </w:r>
      <w:r w:rsidR="00037FC1">
        <w:t xml:space="preserve"> </w:t>
      </w:r>
    </w:p>
    <w:p w14:paraId="4523DAFC" w14:textId="5808D5B2" w:rsidR="00884EA0" w:rsidRDefault="00884EA0" w:rsidP="00884EA0">
      <w:pPr>
        <w:pStyle w:val="BodyText"/>
        <w:numPr>
          <w:ilvl w:val="0"/>
          <w:numId w:val="40"/>
        </w:numPr>
        <w:spacing w:before="240"/>
      </w:pPr>
      <w:r>
        <w:t xml:space="preserve">None of the </w:t>
      </w:r>
      <w:r w:rsidR="00C67ABA">
        <w:t>COCs</w:t>
      </w:r>
      <w:r>
        <w:t>, intravaginal contraception (Nuvaring®), or intrauterine contraceptives (Kyleena®, Mirena®) are TGA registered for use in endometriosis (refer table 3). Intrauterine contraceptives are restricted to use on the PBS for contraception and idiopathic menorrhagia and intravaginal contraception is not PBS-listed</w:t>
      </w:r>
      <w:r w:rsidR="00C963DC">
        <w:t xml:space="preserve"> (refer table 3)</w:t>
      </w:r>
      <w:r>
        <w:t xml:space="preserve">. </w:t>
      </w:r>
    </w:p>
    <w:p w14:paraId="274F2CCC" w14:textId="68AF2D95" w:rsidR="00037FC1" w:rsidRPr="007B0DC4" w:rsidRDefault="00037FC1" w:rsidP="00037FC1">
      <w:pPr>
        <w:pStyle w:val="BodyText"/>
        <w:numPr>
          <w:ilvl w:val="0"/>
          <w:numId w:val="40"/>
        </w:numPr>
        <w:spacing w:before="240"/>
      </w:pPr>
      <w:r>
        <w:t xml:space="preserve">The </w:t>
      </w:r>
      <w:r w:rsidR="00C67ABA">
        <w:t xml:space="preserve">COCs </w:t>
      </w:r>
      <w:r>
        <w:t xml:space="preserve">that are </w:t>
      </w:r>
      <w:r w:rsidR="00884EA0">
        <w:t xml:space="preserve">currently </w:t>
      </w:r>
      <w:r>
        <w:t>subsidised on the PBS as an unrestricted PBS-listing include:</w:t>
      </w:r>
    </w:p>
    <w:p w14:paraId="23764988" w14:textId="0DF5EA21" w:rsidR="00037FC1" w:rsidRDefault="00971488" w:rsidP="00037FC1">
      <w:pPr>
        <w:pStyle w:val="BodyText"/>
        <w:numPr>
          <w:ilvl w:val="1"/>
          <w:numId w:val="40"/>
        </w:numPr>
        <w:spacing w:before="240"/>
      </w:pPr>
      <w:r>
        <w:t>l</w:t>
      </w:r>
      <w:r w:rsidR="00037FC1" w:rsidRPr="007B0DC4">
        <w:t xml:space="preserve">evonorgestrel+ethinylestradiol </w:t>
      </w:r>
      <w:r w:rsidR="00037FC1">
        <w:t>in fixed combinations:</w:t>
      </w:r>
    </w:p>
    <w:p w14:paraId="0BEF9B76" w14:textId="2E23A478" w:rsidR="00037FC1" w:rsidRDefault="00971488" w:rsidP="00037FC1">
      <w:pPr>
        <w:pStyle w:val="BodyText"/>
        <w:numPr>
          <w:ilvl w:val="2"/>
          <w:numId w:val="40"/>
        </w:numPr>
      </w:pPr>
      <w:r>
        <w:t>l</w:t>
      </w:r>
      <w:r w:rsidR="00037FC1">
        <w:t>evonorgestrel (150mcg), ethinylestradiol (30mcg) tablets</w:t>
      </w:r>
    </w:p>
    <w:p w14:paraId="022BA210" w14:textId="28695714" w:rsidR="00037FC1" w:rsidRDefault="00971488" w:rsidP="00037FC1">
      <w:pPr>
        <w:pStyle w:val="BodyText"/>
        <w:numPr>
          <w:ilvl w:val="2"/>
          <w:numId w:val="40"/>
        </w:numPr>
      </w:pPr>
      <w:r>
        <w:t>l</w:t>
      </w:r>
      <w:r w:rsidR="00037FC1">
        <w:t>evonorgestrel (100mcg), ethinylestradiol (20mcg) tablets</w:t>
      </w:r>
    </w:p>
    <w:p w14:paraId="5EF4E906" w14:textId="6C3E58AE" w:rsidR="00037FC1" w:rsidRDefault="00971488" w:rsidP="00037FC1">
      <w:pPr>
        <w:pStyle w:val="BodyText"/>
        <w:numPr>
          <w:ilvl w:val="2"/>
          <w:numId w:val="40"/>
        </w:numPr>
      </w:pPr>
      <w:r>
        <w:t>l</w:t>
      </w:r>
      <w:r w:rsidR="00037FC1">
        <w:t>evonorgestrel (125mcg), ethinylestradiol (20mcg) tablets</w:t>
      </w:r>
    </w:p>
    <w:p w14:paraId="749C6146" w14:textId="2EDCF0D1" w:rsidR="00037FC1" w:rsidRDefault="00971488" w:rsidP="00037FC1">
      <w:pPr>
        <w:pStyle w:val="BodyText"/>
        <w:numPr>
          <w:ilvl w:val="1"/>
          <w:numId w:val="40"/>
        </w:numPr>
        <w:spacing w:before="240"/>
      </w:pPr>
      <w:r>
        <w:t>l</w:t>
      </w:r>
      <w:r w:rsidR="00037FC1">
        <w:t>evonorgestrel+ethinylestradiol in sequential combinations:</w:t>
      </w:r>
    </w:p>
    <w:p w14:paraId="2E4C9FF5" w14:textId="77777777" w:rsidR="00037FC1" w:rsidRDefault="00037FC1" w:rsidP="00037FC1">
      <w:pPr>
        <w:pStyle w:val="BodyText"/>
        <w:numPr>
          <w:ilvl w:val="2"/>
          <w:numId w:val="40"/>
        </w:numPr>
      </w:pPr>
      <w:r w:rsidRPr="00A40131">
        <w:t>levonorgestrel (50</w:t>
      </w:r>
      <w:r>
        <w:t>mcg</w:t>
      </w:r>
      <w:r w:rsidRPr="00A40131">
        <w:t>, 75</w:t>
      </w:r>
      <w:r>
        <w:t>mcg</w:t>
      </w:r>
      <w:r w:rsidRPr="00A40131">
        <w:t>, 125</w:t>
      </w:r>
      <w:r>
        <w:t>mcg</w:t>
      </w:r>
      <w:r w:rsidRPr="008871AB">
        <w:t>) +</w:t>
      </w:r>
      <w:r w:rsidRPr="00A40131">
        <w:t xml:space="preserve"> ethinylestradiol (30</w:t>
      </w:r>
      <w:r>
        <w:t>mcg</w:t>
      </w:r>
      <w:r w:rsidRPr="00A40131">
        <w:t>, 40</w:t>
      </w:r>
      <w:r>
        <w:t>mcg</w:t>
      </w:r>
      <w:r w:rsidRPr="00A40131">
        <w:t>, 30</w:t>
      </w:r>
      <w:r>
        <w:t>mcg</w:t>
      </w:r>
      <w:r w:rsidRPr="00A40131">
        <w:t>) tablets</w:t>
      </w:r>
    </w:p>
    <w:p w14:paraId="4CA158A3" w14:textId="6D0F4117" w:rsidR="00037FC1" w:rsidRDefault="00971488" w:rsidP="00037FC1">
      <w:pPr>
        <w:pStyle w:val="BodyText"/>
        <w:numPr>
          <w:ilvl w:val="1"/>
          <w:numId w:val="40"/>
        </w:numPr>
        <w:spacing w:before="240"/>
      </w:pPr>
      <w:r>
        <w:t>n</w:t>
      </w:r>
      <w:r w:rsidR="00037FC1">
        <w:t>orethisterone+ethinylestradiol in fixed combinations:</w:t>
      </w:r>
    </w:p>
    <w:p w14:paraId="64D24EDD" w14:textId="7D40EDE9" w:rsidR="00037FC1" w:rsidRDefault="00971488" w:rsidP="00037FC1">
      <w:pPr>
        <w:pStyle w:val="BodyText"/>
        <w:numPr>
          <w:ilvl w:val="2"/>
          <w:numId w:val="40"/>
        </w:numPr>
      </w:pPr>
      <w:r>
        <w:t>n</w:t>
      </w:r>
      <w:r w:rsidR="00037FC1">
        <w:t>orethisterone (500mcg), ethinylestradiol (35mcg) tablets</w:t>
      </w:r>
    </w:p>
    <w:p w14:paraId="73285278" w14:textId="3EF40CD7" w:rsidR="00037FC1" w:rsidRDefault="00971488" w:rsidP="00037FC1">
      <w:pPr>
        <w:pStyle w:val="BodyText"/>
        <w:numPr>
          <w:ilvl w:val="2"/>
          <w:numId w:val="40"/>
        </w:numPr>
      </w:pPr>
      <w:r>
        <w:t>n</w:t>
      </w:r>
      <w:r w:rsidR="00037FC1">
        <w:t>orethisterone (1000mcg), ethinylestradiol (35mcg) tablets</w:t>
      </w:r>
    </w:p>
    <w:p w14:paraId="6CF0ABCB" w14:textId="286BC8F2" w:rsidR="00037FC1" w:rsidRDefault="00971488" w:rsidP="00037FC1">
      <w:pPr>
        <w:pStyle w:val="BodyText"/>
        <w:numPr>
          <w:ilvl w:val="1"/>
          <w:numId w:val="40"/>
        </w:numPr>
        <w:spacing w:before="240"/>
      </w:pPr>
      <w:r>
        <w:t>n</w:t>
      </w:r>
      <w:r w:rsidR="00037FC1">
        <w:t>orethisterone+mestranol in fixed combinations:</w:t>
      </w:r>
    </w:p>
    <w:p w14:paraId="67FB81A8" w14:textId="372E4A01" w:rsidR="00037FC1" w:rsidRDefault="00971488" w:rsidP="00037FC1">
      <w:pPr>
        <w:pStyle w:val="BodyText"/>
        <w:numPr>
          <w:ilvl w:val="2"/>
          <w:numId w:val="40"/>
        </w:numPr>
      </w:pPr>
      <w:r>
        <w:t>n</w:t>
      </w:r>
      <w:r w:rsidR="00037FC1">
        <w:t xml:space="preserve">orethisterone (1000mcg), mestranol (50mcg) tablets </w:t>
      </w:r>
    </w:p>
    <w:p w14:paraId="5628FA8E" w14:textId="77777777" w:rsidR="00956163" w:rsidRDefault="00037FC1" w:rsidP="00C67ABA">
      <w:pPr>
        <w:pStyle w:val="BodyText"/>
        <w:numPr>
          <w:ilvl w:val="0"/>
          <w:numId w:val="40"/>
        </w:numPr>
        <w:spacing w:before="240"/>
      </w:pPr>
      <w:r w:rsidRPr="007B0DC4">
        <w:t xml:space="preserve">There are ten </w:t>
      </w:r>
      <w:r>
        <w:t>other</w:t>
      </w:r>
      <w:r w:rsidRPr="007B0DC4">
        <w:t xml:space="preserve"> COC</w:t>
      </w:r>
      <w:r>
        <w:t xml:space="preserve"> formulations </w:t>
      </w:r>
      <w:r w:rsidRPr="007B0DC4">
        <w:t>available to be prescribed</w:t>
      </w:r>
      <w:r>
        <w:t xml:space="preserve"> in Australia</w:t>
      </w:r>
      <w:r w:rsidR="00C67ABA">
        <w:t xml:space="preserve"> that are </w:t>
      </w:r>
      <w:r w:rsidR="004B2BFB">
        <w:t xml:space="preserve">neither TGA registered specifically for use in endometriosis nor </w:t>
      </w:r>
      <w:r>
        <w:t>currently PBS-listed (refer Table 3)</w:t>
      </w:r>
      <w:r w:rsidR="004B2BFB">
        <w:t>. These newer C</w:t>
      </w:r>
      <w:r w:rsidR="00C67ABA">
        <w:t xml:space="preserve">OCs </w:t>
      </w:r>
      <w:r w:rsidR="004B2BFB">
        <w:t xml:space="preserve">may be preferentially prescribed </w:t>
      </w:r>
      <w:r>
        <w:t>as alternative first line treatment</w:t>
      </w:r>
      <w:r w:rsidR="004B2BFB">
        <w:t>s</w:t>
      </w:r>
      <w:r>
        <w:t xml:space="preserve"> for</w:t>
      </w:r>
      <w:r w:rsidR="004B2BFB">
        <w:t xml:space="preserve"> the management of </w:t>
      </w:r>
      <w:r w:rsidR="00C67ABA">
        <w:t xml:space="preserve">the </w:t>
      </w:r>
      <w:r>
        <w:t>symptoms of endometriosis</w:t>
      </w:r>
      <w:r w:rsidR="004B2BFB">
        <w:t xml:space="preserve"> </w:t>
      </w:r>
      <w:r w:rsidR="00C67ABA">
        <w:t>and related conditions.</w:t>
      </w:r>
      <w:r>
        <w:t xml:space="preserve"> </w:t>
      </w:r>
      <w:r w:rsidR="00C67ABA">
        <w:t xml:space="preserve">Non-PBS listed </w:t>
      </w:r>
      <w:r>
        <w:t xml:space="preserve">COCs vary in price, with many of the newer COCs being higher cost </w:t>
      </w:r>
      <w:r w:rsidR="00C67ABA">
        <w:t xml:space="preserve">products. This creates </w:t>
      </w:r>
      <w:r>
        <w:t xml:space="preserve">a high economic burden for </w:t>
      </w:r>
      <w:r w:rsidR="00C67ABA">
        <w:t xml:space="preserve">those </w:t>
      </w:r>
      <w:r>
        <w:t xml:space="preserve">patients who cannot tolerate or achieve symptom relief from </w:t>
      </w:r>
      <w:r w:rsidR="00884EA0">
        <w:t>the currently</w:t>
      </w:r>
      <w:r>
        <w:t xml:space="preserve"> available </w:t>
      </w:r>
      <w:r w:rsidR="00C67ABA">
        <w:t>PBS subsidised options.</w:t>
      </w:r>
      <w:r>
        <w:t xml:space="preserve"> </w:t>
      </w:r>
    </w:p>
    <w:p w14:paraId="73165A8D" w14:textId="77777777" w:rsidR="00C67ABA" w:rsidRDefault="00C67ABA" w:rsidP="00C67ABA"/>
    <w:p w14:paraId="04968EF2" w14:textId="7D20EC4E" w:rsidR="00C67ABA" w:rsidRPr="00C67ABA" w:rsidRDefault="00C67ABA" w:rsidP="00C67ABA">
      <w:pPr>
        <w:sectPr w:rsidR="00C67ABA" w:rsidRPr="00C67ABA" w:rsidSect="00956163">
          <w:pgSz w:w="11906" w:h="16838"/>
          <w:pgMar w:top="1440" w:right="1440" w:bottom="1440" w:left="1440" w:header="708" w:footer="708" w:gutter="0"/>
          <w:cols w:space="708"/>
          <w:docGrid w:linePitch="360"/>
        </w:sectPr>
      </w:pPr>
    </w:p>
    <w:p w14:paraId="258357A0" w14:textId="1FA4640B" w:rsidR="006B3355" w:rsidRDefault="00DA7CB9" w:rsidP="00DA7CB9">
      <w:pPr>
        <w:pStyle w:val="Heading5"/>
        <w:numPr>
          <w:ilvl w:val="0"/>
          <w:numId w:val="59"/>
        </w:numPr>
        <w:spacing w:after="240"/>
      </w:pPr>
      <w:r>
        <w:lastRenderedPageBreak/>
        <w:t>Non-steroidal</w:t>
      </w:r>
      <w:r w:rsidR="006B3355">
        <w:t xml:space="preserve"> anti-inflammatory drugs</w:t>
      </w:r>
    </w:p>
    <w:p w14:paraId="7FA34F22" w14:textId="357F7629" w:rsidR="006B3355" w:rsidRPr="00DA7CB9" w:rsidRDefault="00DC2D69" w:rsidP="00763140">
      <w:pPr>
        <w:pStyle w:val="Heading5"/>
        <w:spacing w:after="240"/>
        <w:rPr>
          <w:b w:val="0"/>
          <w:sz w:val="22"/>
          <w:szCs w:val="22"/>
        </w:rPr>
      </w:pPr>
      <w:r w:rsidRPr="00DA7CB9">
        <w:rPr>
          <w:b w:val="0"/>
          <w:sz w:val="22"/>
          <w:szCs w:val="22"/>
        </w:rPr>
        <w:t xml:space="preserve">Table 4 lists the nine different NSAIDs available in various strengths and forms currently PBS-listed in Australia: </w:t>
      </w:r>
    </w:p>
    <w:p w14:paraId="132194BF" w14:textId="7C73C040" w:rsidR="007B0DC4" w:rsidRPr="007B0DC4" w:rsidRDefault="007B0DC4" w:rsidP="00763140">
      <w:pPr>
        <w:pStyle w:val="Heading5"/>
        <w:spacing w:after="240"/>
      </w:pPr>
      <w:r w:rsidRPr="007B0DC4">
        <w:t xml:space="preserve">Table 4: </w:t>
      </w:r>
      <w:r w:rsidR="009B2AF7" w:rsidRPr="003E3D43">
        <w:t xml:space="preserve">NSAIDs available on prescription in Australia </w:t>
      </w:r>
      <w:r w:rsidR="009B2AF7">
        <w:t>including PBS restriction level and TGA indications</w:t>
      </w:r>
      <w:r w:rsidR="009B2AF7" w:rsidRPr="007B0DC4" w:rsidDel="009B2AF7">
        <w:t xml:space="preserve"> </w:t>
      </w:r>
    </w:p>
    <w:tbl>
      <w:tblPr>
        <w:tblStyle w:val="TableGrid"/>
        <w:tblW w:w="0" w:type="auto"/>
        <w:tblLook w:val="04A0" w:firstRow="1" w:lastRow="0" w:firstColumn="1" w:lastColumn="0" w:noHBand="0" w:noVBand="1"/>
      </w:tblPr>
      <w:tblGrid>
        <w:gridCol w:w="2405"/>
        <w:gridCol w:w="2126"/>
        <w:gridCol w:w="2268"/>
        <w:gridCol w:w="2552"/>
        <w:gridCol w:w="4597"/>
      </w:tblGrid>
      <w:tr w:rsidR="007B0DC4" w:rsidRPr="003B77C6" w14:paraId="0CB92772" w14:textId="77777777" w:rsidTr="001C2D87">
        <w:trPr>
          <w:tblHeader/>
        </w:trPr>
        <w:tc>
          <w:tcPr>
            <w:tcW w:w="2405" w:type="dxa"/>
            <w:shd w:val="clear" w:color="auto" w:fill="D0CECE" w:themeFill="background2" w:themeFillShade="E6"/>
          </w:tcPr>
          <w:p w14:paraId="0A542062" w14:textId="77777777" w:rsidR="007B0DC4" w:rsidRPr="006B3355" w:rsidRDefault="007B0DC4" w:rsidP="003E3D43">
            <w:pPr>
              <w:rPr>
                <w:rFonts w:ascii="Arial Narrow" w:hAnsi="Arial Narrow" w:cstheme="minorHAnsi"/>
                <w:b/>
                <w:bCs/>
                <w:sz w:val="20"/>
                <w:szCs w:val="20"/>
              </w:rPr>
            </w:pPr>
            <w:r w:rsidRPr="006B3355">
              <w:rPr>
                <w:rFonts w:ascii="Arial Narrow" w:hAnsi="Arial Narrow" w:cstheme="minorHAnsi"/>
                <w:b/>
                <w:bCs/>
                <w:sz w:val="20"/>
                <w:szCs w:val="20"/>
              </w:rPr>
              <w:t>Drug</w:t>
            </w:r>
          </w:p>
          <w:p w14:paraId="586AFD88" w14:textId="77777777" w:rsidR="007B0DC4" w:rsidRPr="006B3355" w:rsidRDefault="007B0DC4" w:rsidP="003E3D43">
            <w:pPr>
              <w:rPr>
                <w:rFonts w:ascii="Arial Narrow" w:hAnsi="Arial Narrow" w:cstheme="minorHAnsi"/>
                <w:b/>
                <w:bCs/>
                <w:sz w:val="20"/>
                <w:szCs w:val="20"/>
              </w:rPr>
            </w:pPr>
          </w:p>
        </w:tc>
        <w:tc>
          <w:tcPr>
            <w:tcW w:w="2126" w:type="dxa"/>
            <w:shd w:val="clear" w:color="auto" w:fill="D0CECE" w:themeFill="background2" w:themeFillShade="E6"/>
          </w:tcPr>
          <w:p w14:paraId="1B8D3183" w14:textId="77777777" w:rsidR="007B0DC4" w:rsidRPr="006B3355" w:rsidRDefault="007B0DC4" w:rsidP="003E3D43">
            <w:pPr>
              <w:rPr>
                <w:rFonts w:ascii="Arial Narrow" w:hAnsi="Arial Narrow" w:cstheme="minorHAnsi"/>
                <w:b/>
                <w:bCs/>
                <w:sz w:val="20"/>
                <w:szCs w:val="20"/>
              </w:rPr>
            </w:pPr>
            <w:r w:rsidRPr="006B3355">
              <w:rPr>
                <w:rFonts w:ascii="Arial Narrow" w:hAnsi="Arial Narrow" w:cstheme="minorHAnsi"/>
                <w:b/>
                <w:bCs/>
                <w:sz w:val="20"/>
                <w:szCs w:val="20"/>
              </w:rPr>
              <w:t>Brands</w:t>
            </w:r>
          </w:p>
        </w:tc>
        <w:tc>
          <w:tcPr>
            <w:tcW w:w="2268" w:type="dxa"/>
            <w:shd w:val="clear" w:color="auto" w:fill="D0CECE" w:themeFill="background2" w:themeFillShade="E6"/>
          </w:tcPr>
          <w:p w14:paraId="12B11FAC" w14:textId="77777777" w:rsidR="007B0DC4" w:rsidRPr="006B3355" w:rsidRDefault="007B0DC4" w:rsidP="003E3D43">
            <w:pPr>
              <w:rPr>
                <w:rFonts w:ascii="Arial Narrow" w:hAnsi="Arial Narrow" w:cstheme="minorHAnsi"/>
                <w:b/>
                <w:bCs/>
                <w:sz w:val="20"/>
                <w:szCs w:val="20"/>
              </w:rPr>
            </w:pPr>
            <w:r w:rsidRPr="006B3355">
              <w:rPr>
                <w:rFonts w:ascii="Arial Narrow" w:hAnsi="Arial Narrow" w:cstheme="minorHAnsi"/>
                <w:b/>
                <w:bCs/>
                <w:sz w:val="20"/>
                <w:szCs w:val="20"/>
              </w:rPr>
              <w:t>Class</w:t>
            </w:r>
          </w:p>
        </w:tc>
        <w:tc>
          <w:tcPr>
            <w:tcW w:w="2552" w:type="dxa"/>
            <w:shd w:val="clear" w:color="auto" w:fill="D0CECE" w:themeFill="background2" w:themeFillShade="E6"/>
          </w:tcPr>
          <w:p w14:paraId="3018BBFD" w14:textId="77777777" w:rsidR="007B0DC4" w:rsidRPr="006B3355" w:rsidRDefault="007B0DC4" w:rsidP="003E3D43">
            <w:pPr>
              <w:rPr>
                <w:rFonts w:ascii="Arial Narrow" w:hAnsi="Arial Narrow" w:cstheme="minorHAnsi"/>
                <w:b/>
                <w:bCs/>
                <w:sz w:val="20"/>
                <w:szCs w:val="20"/>
              </w:rPr>
            </w:pPr>
            <w:r w:rsidRPr="006B3355">
              <w:rPr>
                <w:rFonts w:ascii="Arial Narrow" w:hAnsi="Arial Narrow" w:cstheme="minorHAnsi"/>
                <w:b/>
                <w:bCs/>
                <w:sz w:val="20"/>
                <w:szCs w:val="20"/>
              </w:rPr>
              <w:t>PBS restriction level</w:t>
            </w:r>
          </w:p>
        </w:tc>
        <w:tc>
          <w:tcPr>
            <w:tcW w:w="4597" w:type="dxa"/>
            <w:shd w:val="clear" w:color="auto" w:fill="D0CECE" w:themeFill="background2" w:themeFillShade="E6"/>
          </w:tcPr>
          <w:p w14:paraId="3FF09CB8" w14:textId="77777777" w:rsidR="007B0DC4" w:rsidRPr="006B3355" w:rsidRDefault="007B0DC4" w:rsidP="003E3D43">
            <w:pPr>
              <w:rPr>
                <w:rFonts w:ascii="Arial Narrow" w:hAnsi="Arial Narrow" w:cstheme="minorHAnsi"/>
                <w:b/>
                <w:bCs/>
                <w:sz w:val="20"/>
                <w:szCs w:val="20"/>
              </w:rPr>
            </w:pPr>
            <w:r w:rsidRPr="006B3355">
              <w:rPr>
                <w:rFonts w:ascii="Arial Narrow" w:hAnsi="Arial Narrow" w:cstheme="minorHAnsi"/>
                <w:b/>
                <w:bCs/>
                <w:sz w:val="20"/>
                <w:szCs w:val="20"/>
              </w:rPr>
              <w:t>TGA approved indications</w:t>
            </w:r>
          </w:p>
        </w:tc>
      </w:tr>
      <w:tr w:rsidR="007B0DC4" w:rsidRPr="003B77C6" w14:paraId="2550268F" w14:textId="77777777" w:rsidTr="003E3D43">
        <w:tc>
          <w:tcPr>
            <w:tcW w:w="2405" w:type="dxa"/>
          </w:tcPr>
          <w:p w14:paraId="362B09C5" w14:textId="5A6AD2C7" w:rsidR="007B0DC4" w:rsidRPr="006B3355" w:rsidRDefault="00907E67" w:rsidP="003E3D43">
            <w:pPr>
              <w:rPr>
                <w:rFonts w:ascii="Arial Narrow" w:hAnsi="Arial Narrow" w:cstheme="minorHAnsi"/>
                <w:sz w:val="20"/>
                <w:szCs w:val="20"/>
              </w:rPr>
            </w:pPr>
            <w:r>
              <w:rPr>
                <w:rFonts w:ascii="Arial Narrow" w:hAnsi="Arial Narrow" w:cstheme="minorHAnsi"/>
                <w:sz w:val="20"/>
                <w:szCs w:val="20"/>
              </w:rPr>
              <w:t>m</w:t>
            </w:r>
            <w:r w:rsidR="007B0DC4" w:rsidRPr="006B3355">
              <w:rPr>
                <w:rFonts w:ascii="Arial Narrow" w:hAnsi="Arial Narrow" w:cstheme="minorHAnsi"/>
                <w:sz w:val="20"/>
                <w:szCs w:val="20"/>
              </w:rPr>
              <w:t>efenamic acid 250mg capsule</w:t>
            </w:r>
          </w:p>
        </w:tc>
        <w:tc>
          <w:tcPr>
            <w:tcW w:w="2126" w:type="dxa"/>
          </w:tcPr>
          <w:p w14:paraId="2C229DBD"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Ponstan®</w:t>
            </w:r>
          </w:p>
        </w:tc>
        <w:tc>
          <w:tcPr>
            <w:tcW w:w="2268" w:type="dxa"/>
          </w:tcPr>
          <w:p w14:paraId="470A26F7"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Fenamates</w:t>
            </w:r>
          </w:p>
        </w:tc>
        <w:tc>
          <w:tcPr>
            <w:tcW w:w="2552" w:type="dxa"/>
          </w:tcPr>
          <w:p w14:paraId="6B859A42"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Restricted benefit (dysmenorrhea)</w:t>
            </w:r>
          </w:p>
        </w:tc>
        <w:tc>
          <w:tcPr>
            <w:tcW w:w="4597" w:type="dxa"/>
          </w:tcPr>
          <w:p w14:paraId="7F7BCF95" w14:textId="77777777" w:rsidR="007B0DC4" w:rsidRPr="00C963DC" w:rsidRDefault="007B0DC4" w:rsidP="007B0DC4">
            <w:pPr>
              <w:pStyle w:val="ListParagraph"/>
              <w:numPr>
                <w:ilvl w:val="0"/>
                <w:numId w:val="21"/>
              </w:numPr>
              <w:rPr>
                <w:rFonts w:ascii="Arial Narrow" w:hAnsi="Arial Narrow" w:cstheme="minorHAnsi"/>
                <w:b/>
                <w:bCs/>
                <w:sz w:val="20"/>
                <w:szCs w:val="20"/>
              </w:rPr>
            </w:pPr>
            <w:r w:rsidRPr="00C963DC">
              <w:rPr>
                <w:rFonts w:ascii="Arial Narrow" w:hAnsi="Arial Narrow" w:cstheme="minorHAnsi"/>
                <w:b/>
                <w:bCs/>
                <w:sz w:val="20"/>
                <w:szCs w:val="20"/>
              </w:rPr>
              <w:t xml:space="preserve">Treatment of primary dysmenorrhoea and primary menorrhoea. </w:t>
            </w:r>
          </w:p>
          <w:p w14:paraId="4BD77FD7" w14:textId="77777777" w:rsidR="007B0DC4" w:rsidRPr="00C963DC" w:rsidRDefault="007B0DC4" w:rsidP="007B0DC4">
            <w:pPr>
              <w:pStyle w:val="ListParagraph"/>
              <w:numPr>
                <w:ilvl w:val="0"/>
                <w:numId w:val="21"/>
              </w:numPr>
              <w:rPr>
                <w:rFonts w:ascii="Arial Narrow" w:hAnsi="Arial Narrow" w:cstheme="minorHAnsi"/>
              </w:rPr>
            </w:pPr>
            <w:r w:rsidRPr="00C963DC">
              <w:rPr>
                <w:rFonts w:ascii="Arial Narrow" w:hAnsi="Arial Narrow" w:cstheme="minorHAnsi"/>
                <w:sz w:val="20"/>
                <w:szCs w:val="20"/>
              </w:rPr>
              <w:t>Short-term relief of mild to moderate pain such as dental pain and soft tissue pain</w:t>
            </w:r>
          </w:p>
        </w:tc>
      </w:tr>
      <w:tr w:rsidR="007B0DC4" w:rsidRPr="003B77C6" w14:paraId="5744471F" w14:textId="77777777" w:rsidTr="003E3D43">
        <w:tc>
          <w:tcPr>
            <w:tcW w:w="2405" w:type="dxa"/>
          </w:tcPr>
          <w:p w14:paraId="0EE4126B" w14:textId="4F24F382" w:rsidR="007B0DC4" w:rsidRPr="006B3355" w:rsidRDefault="00907E67" w:rsidP="003E3D43">
            <w:pPr>
              <w:rPr>
                <w:rFonts w:ascii="Arial Narrow" w:hAnsi="Arial Narrow" w:cstheme="minorHAnsi"/>
                <w:sz w:val="20"/>
                <w:szCs w:val="20"/>
              </w:rPr>
            </w:pPr>
            <w:r>
              <w:rPr>
                <w:rFonts w:ascii="Arial Narrow" w:hAnsi="Arial Narrow" w:cstheme="minorHAnsi"/>
                <w:sz w:val="20"/>
                <w:szCs w:val="20"/>
              </w:rPr>
              <w:t>d</w:t>
            </w:r>
            <w:r w:rsidR="007B0DC4" w:rsidRPr="006B3355">
              <w:rPr>
                <w:rFonts w:ascii="Arial Narrow" w:hAnsi="Arial Narrow" w:cstheme="minorHAnsi"/>
                <w:sz w:val="20"/>
                <w:szCs w:val="20"/>
              </w:rPr>
              <w:t>iclofenac sodium 25mg &amp; 50mg tablet</w:t>
            </w:r>
          </w:p>
        </w:tc>
        <w:tc>
          <w:tcPr>
            <w:tcW w:w="2126" w:type="dxa"/>
          </w:tcPr>
          <w:p w14:paraId="5EA35DDF"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Voltaren®</w:t>
            </w:r>
          </w:p>
          <w:p w14:paraId="3C552D65"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Diclofenac Sandoz®</w:t>
            </w:r>
          </w:p>
          <w:p w14:paraId="2ABB5F6C"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APO-Diclofenac®</w:t>
            </w:r>
          </w:p>
        </w:tc>
        <w:tc>
          <w:tcPr>
            <w:tcW w:w="2268" w:type="dxa"/>
          </w:tcPr>
          <w:p w14:paraId="71488301"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Acetic acid derivatives and related substances</w:t>
            </w:r>
          </w:p>
        </w:tc>
        <w:tc>
          <w:tcPr>
            <w:tcW w:w="2552" w:type="dxa"/>
          </w:tcPr>
          <w:p w14:paraId="05D6B63A"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Unrestricted</w:t>
            </w:r>
          </w:p>
        </w:tc>
        <w:tc>
          <w:tcPr>
            <w:tcW w:w="4597" w:type="dxa"/>
          </w:tcPr>
          <w:p w14:paraId="19198219" w14:textId="77777777" w:rsidR="007B0DC4" w:rsidRPr="00C963DC" w:rsidRDefault="007B0DC4" w:rsidP="007B0DC4">
            <w:pPr>
              <w:pStyle w:val="ListParagraph"/>
              <w:numPr>
                <w:ilvl w:val="0"/>
                <w:numId w:val="22"/>
              </w:numPr>
              <w:rPr>
                <w:rFonts w:ascii="Arial Narrow" w:hAnsi="Arial Narrow" w:cstheme="minorHAnsi"/>
                <w:sz w:val="20"/>
                <w:szCs w:val="20"/>
              </w:rPr>
            </w:pPr>
            <w:r w:rsidRPr="00C963DC">
              <w:rPr>
                <w:rFonts w:ascii="Arial Narrow" w:hAnsi="Arial Narrow" w:cstheme="minorHAnsi"/>
                <w:sz w:val="20"/>
                <w:szCs w:val="20"/>
              </w:rPr>
              <w:t xml:space="preserve">Inflammatory and degenerative forms of rheumatism: rheumatoid arthritis and osteoarthritis. </w:t>
            </w:r>
          </w:p>
          <w:p w14:paraId="02A0C750" w14:textId="77777777" w:rsidR="007B0DC4" w:rsidRPr="00C963DC" w:rsidRDefault="007B0DC4" w:rsidP="007B0DC4">
            <w:pPr>
              <w:pStyle w:val="ListParagraph"/>
              <w:numPr>
                <w:ilvl w:val="0"/>
                <w:numId w:val="22"/>
              </w:numPr>
              <w:rPr>
                <w:rFonts w:ascii="Arial Narrow" w:hAnsi="Arial Narrow" w:cstheme="minorHAnsi"/>
                <w:sz w:val="20"/>
                <w:szCs w:val="20"/>
              </w:rPr>
            </w:pPr>
            <w:r w:rsidRPr="00C963DC">
              <w:rPr>
                <w:rFonts w:ascii="Arial Narrow" w:hAnsi="Arial Narrow" w:cstheme="minorHAnsi"/>
                <w:sz w:val="20"/>
                <w:szCs w:val="20"/>
              </w:rPr>
              <w:t xml:space="preserve">Relief of acute or chronic pain states in which there is an inflammatory component. </w:t>
            </w:r>
          </w:p>
          <w:p w14:paraId="6D0AED73" w14:textId="77777777" w:rsidR="007B0DC4" w:rsidRPr="00C963DC" w:rsidRDefault="007B0DC4" w:rsidP="007B0DC4">
            <w:pPr>
              <w:pStyle w:val="ListParagraph"/>
              <w:numPr>
                <w:ilvl w:val="0"/>
                <w:numId w:val="22"/>
              </w:numPr>
              <w:rPr>
                <w:rFonts w:ascii="Arial Narrow" w:hAnsi="Arial Narrow" w:cstheme="minorHAnsi"/>
                <w:b/>
                <w:bCs/>
                <w:sz w:val="20"/>
                <w:szCs w:val="20"/>
              </w:rPr>
            </w:pPr>
            <w:r w:rsidRPr="00C963DC">
              <w:rPr>
                <w:rFonts w:ascii="Arial Narrow" w:hAnsi="Arial Narrow" w:cstheme="minorHAnsi"/>
                <w:b/>
                <w:bCs/>
                <w:sz w:val="20"/>
                <w:szCs w:val="20"/>
              </w:rPr>
              <w:t>Symptomatic treatment of primary dysmenorrhoea</w:t>
            </w:r>
          </w:p>
        </w:tc>
      </w:tr>
      <w:tr w:rsidR="007B0DC4" w:rsidRPr="003B77C6" w14:paraId="4F8024A1" w14:textId="77777777" w:rsidTr="003E3D43">
        <w:tc>
          <w:tcPr>
            <w:tcW w:w="2405" w:type="dxa"/>
          </w:tcPr>
          <w:p w14:paraId="716941DB" w14:textId="579EAC8C" w:rsidR="007B0DC4" w:rsidRPr="006B3355" w:rsidRDefault="00907E67" w:rsidP="003E3D43">
            <w:pPr>
              <w:rPr>
                <w:rFonts w:ascii="Arial Narrow" w:hAnsi="Arial Narrow" w:cstheme="minorHAnsi"/>
                <w:sz w:val="20"/>
                <w:szCs w:val="20"/>
              </w:rPr>
            </w:pPr>
            <w:r>
              <w:rPr>
                <w:rFonts w:ascii="Arial Narrow" w:hAnsi="Arial Narrow" w:cstheme="minorHAnsi"/>
                <w:sz w:val="20"/>
                <w:szCs w:val="20"/>
              </w:rPr>
              <w:t>i</w:t>
            </w:r>
            <w:r w:rsidR="007B0DC4" w:rsidRPr="006B3355">
              <w:rPr>
                <w:rFonts w:ascii="Arial Narrow" w:hAnsi="Arial Narrow" w:cstheme="minorHAnsi"/>
                <w:sz w:val="20"/>
                <w:szCs w:val="20"/>
              </w:rPr>
              <w:t>ndomethacin 25mg capsule</w:t>
            </w:r>
          </w:p>
        </w:tc>
        <w:tc>
          <w:tcPr>
            <w:tcW w:w="2126" w:type="dxa"/>
          </w:tcPr>
          <w:p w14:paraId="6E106757"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Arthrexin®</w:t>
            </w:r>
          </w:p>
          <w:p w14:paraId="06596D52"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Indocid®</w:t>
            </w:r>
          </w:p>
        </w:tc>
        <w:tc>
          <w:tcPr>
            <w:tcW w:w="2268" w:type="dxa"/>
          </w:tcPr>
          <w:p w14:paraId="2FC387E1"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Acetic acid derivatives and related substances</w:t>
            </w:r>
          </w:p>
        </w:tc>
        <w:tc>
          <w:tcPr>
            <w:tcW w:w="2552" w:type="dxa"/>
          </w:tcPr>
          <w:p w14:paraId="7B409934"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Restricted benefit (chronic arthropathies)</w:t>
            </w:r>
          </w:p>
        </w:tc>
        <w:tc>
          <w:tcPr>
            <w:tcW w:w="4597" w:type="dxa"/>
          </w:tcPr>
          <w:p w14:paraId="78425141" w14:textId="77777777" w:rsidR="007B0DC4" w:rsidRPr="00C963DC" w:rsidRDefault="007B0DC4" w:rsidP="007B0DC4">
            <w:pPr>
              <w:pStyle w:val="ListParagraph"/>
              <w:numPr>
                <w:ilvl w:val="0"/>
                <w:numId w:val="22"/>
              </w:numPr>
              <w:rPr>
                <w:rFonts w:ascii="Arial Narrow" w:hAnsi="Arial Narrow" w:cstheme="minorHAnsi"/>
                <w:sz w:val="20"/>
                <w:szCs w:val="20"/>
              </w:rPr>
            </w:pPr>
            <w:r w:rsidRPr="00C963DC">
              <w:rPr>
                <w:rFonts w:ascii="Arial Narrow" w:hAnsi="Arial Narrow" w:cstheme="minorHAnsi"/>
                <w:sz w:val="20"/>
                <w:szCs w:val="20"/>
              </w:rPr>
              <w:t>rheumatoid arthritis</w:t>
            </w:r>
          </w:p>
          <w:p w14:paraId="23342413" w14:textId="77777777" w:rsidR="007B0DC4" w:rsidRPr="00C963DC" w:rsidRDefault="007B0DC4" w:rsidP="007B0DC4">
            <w:pPr>
              <w:pStyle w:val="ListParagraph"/>
              <w:numPr>
                <w:ilvl w:val="0"/>
                <w:numId w:val="22"/>
              </w:numPr>
              <w:rPr>
                <w:rFonts w:ascii="Arial Narrow" w:hAnsi="Arial Narrow" w:cstheme="minorHAnsi"/>
                <w:sz w:val="20"/>
                <w:szCs w:val="20"/>
              </w:rPr>
            </w:pPr>
            <w:r w:rsidRPr="00C963DC">
              <w:rPr>
                <w:rFonts w:ascii="Arial Narrow" w:hAnsi="Arial Narrow" w:cstheme="minorHAnsi"/>
                <w:sz w:val="20"/>
                <w:szCs w:val="20"/>
              </w:rPr>
              <w:t>osteoarthritis</w:t>
            </w:r>
          </w:p>
          <w:p w14:paraId="2258B150" w14:textId="77777777" w:rsidR="007B0DC4" w:rsidRPr="00C963DC" w:rsidRDefault="007B0DC4" w:rsidP="007B0DC4">
            <w:pPr>
              <w:pStyle w:val="ListParagraph"/>
              <w:numPr>
                <w:ilvl w:val="0"/>
                <w:numId w:val="22"/>
              </w:numPr>
              <w:rPr>
                <w:rFonts w:ascii="Arial Narrow" w:hAnsi="Arial Narrow" w:cstheme="minorHAnsi"/>
                <w:sz w:val="20"/>
                <w:szCs w:val="20"/>
              </w:rPr>
            </w:pPr>
            <w:r w:rsidRPr="00C963DC">
              <w:rPr>
                <w:rFonts w:ascii="Arial Narrow" w:hAnsi="Arial Narrow" w:cstheme="minorHAnsi"/>
                <w:sz w:val="20"/>
                <w:szCs w:val="20"/>
              </w:rPr>
              <w:t>degenerative joint disease of the hip</w:t>
            </w:r>
          </w:p>
          <w:p w14:paraId="3F971DAF" w14:textId="77777777" w:rsidR="007B0DC4" w:rsidRPr="00C963DC" w:rsidRDefault="007B0DC4" w:rsidP="007B0DC4">
            <w:pPr>
              <w:pStyle w:val="ListParagraph"/>
              <w:numPr>
                <w:ilvl w:val="0"/>
                <w:numId w:val="22"/>
              </w:numPr>
              <w:rPr>
                <w:rFonts w:ascii="Arial Narrow" w:hAnsi="Arial Narrow" w:cstheme="minorHAnsi"/>
                <w:sz w:val="20"/>
                <w:szCs w:val="20"/>
              </w:rPr>
            </w:pPr>
            <w:r w:rsidRPr="00C963DC">
              <w:rPr>
                <w:rFonts w:ascii="Arial Narrow" w:hAnsi="Arial Narrow" w:cstheme="minorHAnsi"/>
                <w:sz w:val="20"/>
                <w:szCs w:val="20"/>
              </w:rPr>
              <w:t>ankylosing spondylitis</w:t>
            </w:r>
          </w:p>
          <w:p w14:paraId="235A9153" w14:textId="77777777" w:rsidR="007B0DC4" w:rsidRPr="00C963DC" w:rsidRDefault="007B0DC4" w:rsidP="007B0DC4">
            <w:pPr>
              <w:pStyle w:val="ListParagraph"/>
              <w:numPr>
                <w:ilvl w:val="0"/>
                <w:numId w:val="22"/>
              </w:numPr>
              <w:rPr>
                <w:rFonts w:ascii="Arial Narrow" w:hAnsi="Arial Narrow" w:cstheme="minorHAnsi"/>
                <w:sz w:val="20"/>
                <w:szCs w:val="20"/>
              </w:rPr>
            </w:pPr>
            <w:r w:rsidRPr="00C963DC">
              <w:rPr>
                <w:rFonts w:ascii="Arial Narrow" w:hAnsi="Arial Narrow" w:cstheme="minorHAnsi"/>
                <w:sz w:val="20"/>
                <w:szCs w:val="20"/>
              </w:rPr>
              <w:t>gout</w:t>
            </w:r>
          </w:p>
          <w:p w14:paraId="6485F351" w14:textId="77777777" w:rsidR="007B0DC4" w:rsidRPr="00C963DC" w:rsidRDefault="007B0DC4" w:rsidP="007B0DC4">
            <w:pPr>
              <w:pStyle w:val="ListParagraph"/>
              <w:numPr>
                <w:ilvl w:val="0"/>
                <w:numId w:val="22"/>
              </w:numPr>
              <w:rPr>
                <w:rFonts w:ascii="Arial Narrow" w:hAnsi="Arial Narrow" w:cstheme="minorHAnsi"/>
                <w:sz w:val="20"/>
                <w:szCs w:val="20"/>
              </w:rPr>
            </w:pPr>
            <w:r w:rsidRPr="00C963DC">
              <w:rPr>
                <w:rFonts w:ascii="Arial Narrow" w:hAnsi="Arial Narrow" w:cstheme="minorHAnsi"/>
                <w:sz w:val="20"/>
                <w:szCs w:val="20"/>
              </w:rPr>
              <w:t>Acute musculoskeletal disorders</w:t>
            </w:r>
          </w:p>
          <w:p w14:paraId="01D46649" w14:textId="77777777" w:rsidR="007B0DC4" w:rsidRPr="00C963DC" w:rsidRDefault="007B0DC4" w:rsidP="007B0DC4">
            <w:pPr>
              <w:pStyle w:val="ListParagraph"/>
              <w:numPr>
                <w:ilvl w:val="0"/>
                <w:numId w:val="22"/>
              </w:numPr>
              <w:rPr>
                <w:rFonts w:ascii="Arial Narrow" w:hAnsi="Arial Narrow" w:cstheme="minorHAnsi"/>
                <w:sz w:val="20"/>
                <w:szCs w:val="20"/>
              </w:rPr>
            </w:pPr>
            <w:r w:rsidRPr="00C963DC">
              <w:rPr>
                <w:rFonts w:ascii="Arial Narrow" w:hAnsi="Arial Narrow" w:cstheme="minorHAnsi"/>
                <w:sz w:val="20"/>
                <w:szCs w:val="20"/>
              </w:rPr>
              <w:t>inflammation, pain and oedema following orthopaedic surgical procedures and nonsurgical procedures associated with reduction and immobilisation of fractures or dislocations</w:t>
            </w:r>
          </w:p>
          <w:p w14:paraId="4C64BBA9" w14:textId="77777777" w:rsidR="007B0DC4" w:rsidRPr="00C963DC" w:rsidRDefault="007B0DC4" w:rsidP="007B0DC4">
            <w:pPr>
              <w:pStyle w:val="ListParagraph"/>
              <w:numPr>
                <w:ilvl w:val="0"/>
                <w:numId w:val="22"/>
              </w:numPr>
              <w:rPr>
                <w:rFonts w:ascii="Arial Narrow" w:hAnsi="Arial Narrow" w:cstheme="minorHAnsi"/>
                <w:b/>
                <w:bCs/>
                <w:sz w:val="20"/>
                <w:szCs w:val="20"/>
              </w:rPr>
            </w:pPr>
            <w:r w:rsidRPr="00C963DC">
              <w:rPr>
                <w:rFonts w:ascii="Arial Narrow" w:hAnsi="Arial Narrow" w:cstheme="minorHAnsi"/>
                <w:b/>
                <w:bCs/>
                <w:sz w:val="20"/>
                <w:szCs w:val="20"/>
              </w:rPr>
              <w:t>pain and associated symptoms of primary dysmenorrhoea</w:t>
            </w:r>
          </w:p>
        </w:tc>
      </w:tr>
      <w:tr w:rsidR="007B0DC4" w:rsidRPr="003B77C6" w14:paraId="758C407E" w14:textId="77777777" w:rsidTr="003E3D43">
        <w:tc>
          <w:tcPr>
            <w:tcW w:w="2405" w:type="dxa"/>
          </w:tcPr>
          <w:p w14:paraId="020A03FE"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 xml:space="preserve">ketoprofen 200mg modified release capsule </w:t>
            </w:r>
          </w:p>
        </w:tc>
        <w:tc>
          <w:tcPr>
            <w:tcW w:w="2126" w:type="dxa"/>
          </w:tcPr>
          <w:p w14:paraId="5547D009"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Oruvail®</w:t>
            </w:r>
          </w:p>
          <w:p w14:paraId="3F04BBEB"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Orudis®</w:t>
            </w:r>
          </w:p>
        </w:tc>
        <w:tc>
          <w:tcPr>
            <w:tcW w:w="2268" w:type="dxa"/>
          </w:tcPr>
          <w:p w14:paraId="33A9FE43"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Propionic acid derivatives</w:t>
            </w:r>
          </w:p>
        </w:tc>
        <w:tc>
          <w:tcPr>
            <w:tcW w:w="2552" w:type="dxa"/>
          </w:tcPr>
          <w:p w14:paraId="1B8C2CA7"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Restricted benefit (dysmenorrhea)</w:t>
            </w:r>
          </w:p>
        </w:tc>
        <w:tc>
          <w:tcPr>
            <w:tcW w:w="4597" w:type="dxa"/>
          </w:tcPr>
          <w:p w14:paraId="6B99D41D" w14:textId="543A4699" w:rsidR="007B0DC4" w:rsidRPr="00C963DC" w:rsidRDefault="007B0DC4" w:rsidP="007B0DC4">
            <w:pPr>
              <w:pStyle w:val="ListParagraph"/>
              <w:numPr>
                <w:ilvl w:val="0"/>
                <w:numId w:val="23"/>
              </w:numPr>
              <w:rPr>
                <w:rFonts w:ascii="Arial Narrow" w:hAnsi="Arial Narrow" w:cstheme="minorHAnsi"/>
                <w:sz w:val="20"/>
                <w:szCs w:val="20"/>
              </w:rPr>
            </w:pPr>
            <w:r w:rsidRPr="00C963DC">
              <w:rPr>
                <w:rFonts w:ascii="Arial Narrow" w:hAnsi="Arial Narrow" w:cstheme="minorHAnsi"/>
                <w:sz w:val="20"/>
                <w:szCs w:val="20"/>
              </w:rPr>
              <w:t>rheumatoid arthritis</w:t>
            </w:r>
            <w:r w:rsidR="001C2D87" w:rsidRPr="00C963DC">
              <w:rPr>
                <w:rFonts w:ascii="Arial Narrow" w:hAnsi="Arial Narrow" w:cstheme="minorHAnsi"/>
                <w:sz w:val="20"/>
                <w:szCs w:val="20"/>
              </w:rPr>
              <w:t xml:space="preserve"> and osteoarthritis</w:t>
            </w:r>
          </w:p>
          <w:p w14:paraId="399E5557" w14:textId="77777777" w:rsidR="007B0DC4" w:rsidRPr="00C963DC" w:rsidRDefault="007B0DC4" w:rsidP="007B0DC4">
            <w:pPr>
              <w:pStyle w:val="ListParagraph"/>
              <w:numPr>
                <w:ilvl w:val="0"/>
                <w:numId w:val="23"/>
              </w:numPr>
              <w:rPr>
                <w:rFonts w:ascii="Arial Narrow" w:hAnsi="Arial Narrow" w:cstheme="minorHAnsi"/>
                <w:sz w:val="20"/>
                <w:szCs w:val="20"/>
              </w:rPr>
            </w:pPr>
            <w:r w:rsidRPr="00C963DC">
              <w:rPr>
                <w:rFonts w:ascii="Arial Narrow" w:hAnsi="Arial Narrow" w:cstheme="minorHAnsi"/>
                <w:sz w:val="20"/>
                <w:szCs w:val="20"/>
              </w:rPr>
              <w:t>ankylosing spondylitis</w:t>
            </w:r>
          </w:p>
          <w:p w14:paraId="0A3CC32D" w14:textId="77777777" w:rsidR="007B0DC4" w:rsidRPr="00C963DC" w:rsidRDefault="007B0DC4" w:rsidP="007B0DC4">
            <w:pPr>
              <w:pStyle w:val="ListParagraph"/>
              <w:numPr>
                <w:ilvl w:val="0"/>
                <w:numId w:val="23"/>
              </w:numPr>
              <w:rPr>
                <w:rFonts w:ascii="Arial Narrow" w:hAnsi="Arial Narrow" w:cstheme="minorHAnsi"/>
                <w:sz w:val="20"/>
                <w:szCs w:val="20"/>
              </w:rPr>
            </w:pPr>
            <w:r w:rsidRPr="00C963DC">
              <w:rPr>
                <w:rFonts w:ascii="Arial Narrow" w:hAnsi="Arial Narrow" w:cstheme="minorHAnsi"/>
                <w:sz w:val="20"/>
                <w:szCs w:val="20"/>
              </w:rPr>
              <w:t xml:space="preserve">acute articular and peri- articular disorders cervical spondylitis </w:t>
            </w:r>
          </w:p>
          <w:p w14:paraId="58183D49" w14:textId="77777777" w:rsidR="007B0DC4" w:rsidRPr="00C963DC" w:rsidRDefault="007B0DC4" w:rsidP="007B0DC4">
            <w:pPr>
              <w:pStyle w:val="ListParagraph"/>
              <w:numPr>
                <w:ilvl w:val="0"/>
                <w:numId w:val="23"/>
              </w:numPr>
              <w:rPr>
                <w:rFonts w:ascii="Arial Narrow" w:hAnsi="Arial Narrow" w:cstheme="minorHAnsi"/>
                <w:sz w:val="20"/>
                <w:szCs w:val="20"/>
              </w:rPr>
            </w:pPr>
            <w:r w:rsidRPr="00C963DC">
              <w:rPr>
                <w:rFonts w:ascii="Arial Narrow" w:hAnsi="Arial Narrow" w:cstheme="minorHAnsi"/>
                <w:sz w:val="20"/>
                <w:szCs w:val="20"/>
              </w:rPr>
              <w:t>low back pain (strain, lumbago, sciatica, fibrositis)</w:t>
            </w:r>
          </w:p>
          <w:p w14:paraId="34F3EC3E" w14:textId="77777777" w:rsidR="007B0DC4" w:rsidRPr="00C963DC" w:rsidRDefault="007B0DC4" w:rsidP="007B0DC4">
            <w:pPr>
              <w:pStyle w:val="ListParagraph"/>
              <w:numPr>
                <w:ilvl w:val="0"/>
                <w:numId w:val="23"/>
              </w:numPr>
              <w:rPr>
                <w:rFonts w:ascii="Arial Narrow" w:hAnsi="Arial Narrow" w:cstheme="minorHAnsi"/>
                <w:sz w:val="20"/>
                <w:szCs w:val="20"/>
              </w:rPr>
            </w:pPr>
            <w:r w:rsidRPr="00C963DC">
              <w:rPr>
                <w:rFonts w:ascii="Arial Narrow" w:hAnsi="Arial Narrow" w:cstheme="minorHAnsi"/>
                <w:sz w:val="20"/>
                <w:szCs w:val="20"/>
              </w:rPr>
              <w:t>painful musculo-skeletal conditions</w:t>
            </w:r>
          </w:p>
          <w:p w14:paraId="0CBACE62" w14:textId="77777777" w:rsidR="007B0DC4" w:rsidRPr="00C963DC" w:rsidRDefault="007B0DC4" w:rsidP="007B0DC4">
            <w:pPr>
              <w:pStyle w:val="ListParagraph"/>
              <w:numPr>
                <w:ilvl w:val="0"/>
                <w:numId w:val="23"/>
              </w:numPr>
              <w:rPr>
                <w:rFonts w:ascii="Arial Narrow" w:hAnsi="Arial Narrow" w:cstheme="minorHAnsi"/>
                <w:b/>
                <w:bCs/>
                <w:sz w:val="20"/>
                <w:szCs w:val="20"/>
              </w:rPr>
            </w:pPr>
            <w:r w:rsidRPr="00C963DC">
              <w:rPr>
                <w:rFonts w:ascii="Arial Narrow" w:hAnsi="Arial Narrow" w:cstheme="minorHAnsi"/>
                <w:b/>
                <w:bCs/>
                <w:sz w:val="20"/>
                <w:szCs w:val="20"/>
              </w:rPr>
              <w:t>dysmenorrhoea</w:t>
            </w:r>
          </w:p>
        </w:tc>
      </w:tr>
      <w:tr w:rsidR="007B0DC4" w:rsidRPr="003B77C6" w14:paraId="719DA5F8" w14:textId="77777777" w:rsidTr="003E3D43">
        <w:tc>
          <w:tcPr>
            <w:tcW w:w="2405" w:type="dxa"/>
          </w:tcPr>
          <w:p w14:paraId="20931923" w14:textId="2436D2C4" w:rsidR="007B0DC4" w:rsidRPr="006B3355" w:rsidRDefault="00907E67" w:rsidP="003E3D43">
            <w:pPr>
              <w:rPr>
                <w:rFonts w:ascii="Arial Narrow" w:hAnsi="Arial Narrow" w:cstheme="minorHAnsi"/>
                <w:sz w:val="20"/>
                <w:szCs w:val="20"/>
              </w:rPr>
            </w:pPr>
            <w:r>
              <w:rPr>
                <w:rFonts w:ascii="Arial Narrow" w:hAnsi="Arial Narrow" w:cstheme="minorHAnsi"/>
                <w:sz w:val="20"/>
                <w:szCs w:val="20"/>
              </w:rPr>
              <w:lastRenderedPageBreak/>
              <w:t>n</w:t>
            </w:r>
            <w:r w:rsidR="007B0DC4" w:rsidRPr="006B3355">
              <w:rPr>
                <w:rFonts w:ascii="Arial Narrow" w:hAnsi="Arial Narrow" w:cstheme="minorHAnsi"/>
                <w:sz w:val="20"/>
                <w:szCs w:val="20"/>
              </w:rPr>
              <w:t>aproxen 250mg &amp; 550mg tablet</w:t>
            </w:r>
          </w:p>
        </w:tc>
        <w:tc>
          <w:tcPr>
            <w:tcW w:w="2126" w:type="dxa"/>
          </w:tcPr>
          <w:p w14:paraId="463814D4"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Naprosyn®</w:t>
            </w:r>
          </w:p>
          <w:p w14:paraId="7083DCEF"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Crysanal®</w:t>
            </w:r>
          </w:p>
          <w:p w14:paraId="0DBFA773"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Anaprox®</w:t>
            </w:r>
          </w:p>
        </w:tc>
        <w:tc>
          <w:tcPr>
            <w:tcW w:w="2268" w:type="dxa"/>
          </w:tcPr>
          <w:p w14:paraId="0C87AC8A"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Propionic acid derivatives</w:t>
            </w:r>
          </w:p>
        </w:tc>
        <w:tc>
          <w:tcPr>
            <w:tcW w:w="2552" w:type="dxa"/>
          </w:tcPr>
          <w:p w14:paraId="4BF2E1BB"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Restricted benefit (chronic arthropathies)</w:t>
            </w:r>
          </w:p>
        </w:tc>
        <w:tc>
          <w:tcPr>
            <w:tcW w:w="4597" w:type="dxa"/>
          </w:tcPr>
          <w:p w14:paraId="3FCA943B" w14:textId="77777777" w:rsidR="007B0DC4" w:rsidRPr="00C963DC" w:rsidRDefault="007B0DC4" w:rsidP="007B0DC4">
            <w:pPr>
              <w:pStyle w:val="ListParagraph"/>
              <w:numPr>
                <w:ilvl w:val="0"/>
                <w:numId w:val="24"/>
              </w:numPr>
              <w:rPr>
                <w:rFonts w:ascii="Arial Narrow" w:hAnsi="Arial Narrow" w:cstheme="minorHAnsi"/>
                <w:sz w:val="20"/>
                <w:szCs w:val="20"/>
              </w:rPr>
            </w:pPr>
            <w:r w:rsidRPr="00C963DC">
              <w:rPr>
                <w:rFonts w:ascii="Arial Narrow" w:hAnsi="Arial Narrow" w:cstheme="minorHAnsi"/>
                <w:sz w:val="20"/>
                <w:szCs w:val="20"/>
              </w:rPr>
              <w:t>acute migraine attacks</w:t>
            </w:r>
          </w:p>
          <w:p w14:paraId="59A57858" w14:textId="77777777" w:rsidR="007B0DC4" w:rsidRPr="00C963DC" w:rsidRDefault="007B0DC4" w:rsidP="007B0DC4">
            <w:pPr>
              <w:pStyle w:val="ListParagraph"/>
              <w:numPr>
                <w:ilvl w:val="0"/>
                <w:numId w:val="24"/>
              </w:numPr>
              <w:rPr>
                <w:rFonts w:ascii="Arial Narrow" w:hAnsi="Arial Narrow" w:cstheme="minorHAnsi"/>
                <w:sz w:val="20"/>
                <w:szCs w:val="20"/>
              </w:rPr>
            </w:pPr>
            <w:r w:rsidRPr="00C963DC">
              <w:rPr>
                <w:rFonts w:ascii="Arial Narrow" w:hAnsi="Arial Narrow" w:cstheme="minorHAnsi"/>
                <w:sz w:val="20"/>
                <w:szCs w:val="20"/>
              </w:rPr>
              <w:t>treatment of gout</w:t>
            </w:r>
          </w:p>
          <w:p w14:paraId="3C06AACD" w14:textId="77777777" w:rsidR="007B0DC4" w:rsidRPr="00C963DC" w:rsidRDefault="007B0DC4" w:rsidP="007B0DC4">
            <w:pPr>
              <w:pStyle w:val="ListParagraph"/>
              <w:numPr>
                <w:ilvl w:val="0"/>
                <w:numId w:val="24"/>
              </w:numPr>
              <w:rPr>
                <w:rFonts w:ascii="Arial Narrow" w:hAnsi="Arial Narrow" w:cstheme="minorHAnsi"/>
                <w:sz w:val="20"/>
                <w:szCs w:val="20"/>
              </w:rPr>
            </w:pPr>
            <w:r w:rsidRPr="00C963DC">
              <w:rPr>
                <w:rFonts w:ascii="Arial Narrow" w:hAnsi="Arial Narrow" w:cstheme="minorHAnsi"/>
                <w:sz w:val="20"/>
                <w:szCs w:val="20"/>
              </w:rPr>
              <w:t>rheumatoid arthritis</w:t>
            </w:r>
          </w:p>
          <w:p w14:paraId="66D3445A" w14:textId="77777777" w:rsidR="007B0DC4" w:rsidRPr="00C963DC" w:rsidRDefault="007B0DC4" w:rsidP="007B0DC4">
            <w:pPr>
              <w:pStyle w:val="ListParagraph"/>
              <w:numPr>
                <w:ilvl w:val="0"/>
                <w:numId w:val="24"/>
              </w:numPr>
              <w:rPr>
                <w:rFonts w:ascii="Arial Narrow" w:hAnsi="Arial Narrow" w:cstheme="minorHAnsi"/>
                <w:sz w:val="20"/>
                <w:szCs w:val="20"/>
              </w:rPr>
            </w:pPr>
            <w:r w:rsidRPr="00C963DC">
              <w:rPr>
                <w:rFonts w:ascii="Arial Narrow" w:hAnsi="Arial Narrow" w:cstheme="minorHAnsi"/>
                <w:sz w:val="20"/>
                <w:szCs w:val="20"/>
              </w:rPr>
              <w:t>osteoarthritis</w:t>
            </w:r>
          </w:p>
          <w:p w14:paraId="51F20E48" w14:textId="77777777" w:rsidR="007B0DC4" w:rsidRPr="00C963DC" w:rsidRDefault="007B0DC4" w:rsidP="007B0DC4">
            <w:pPr>
              <w:pStyle w:val="ListParagraph"/>
              <w:numPr>
                <w:ilvl w:val="0"/>
                <w:numId w:val="24"/>
              </w:numPr>
              <w:rPr>
                <w:rFonts w:ascii="Arial Narrow" w:hAnsi="Arial Narrow" w:cstheme="minorHAnsi"/>
                <w:sz w:val="20"/>
                <w:szCs w:val="20"/>
              </w:rPr>
            </w:pPr>
            <w:r w:rsidRPr="00C963DC">
              <w:rPr>
                <w:rFonts w:ascii="Arial Narrow" w:hAnsi="Arial Narrow" w:cstheme="minorHAnsi"/>
                <w:sz w:val="20"/>
                <w:szCs w:val="20"/>
              </w:rPr>
              <w:t xml:space="preserve">ankylosing spondylitis </w:t>
            </w:r>
          </w:p>
          <w:p w14:paraId="4E1AB4F9" w14:textId="77777777" w:rsidR="007B0DC4" w:rsidRPr="00C963DC" w:rsidRDefault="007B0DC4" w:rsidP="007B0DC4">
            <w:pPr>
              <w:pStyle w:val="ListParagraph"/>
              <w:numPr>
                <w:ilvl w:val="0"/>
                <w:numId w:val="24"/>
              </w:numPr>
              <w:rPr>
                <w:rFonts w:ascii="Arial Narrow" w:hAnsi="Arial Narrow" w:cstheme="minorHAnsi"/>
                <w:b/>
                <w:bCs/>
              </w:rPr>
            </w:pPr>
            <w:r w:rsidRPr="00C963DC">
              <w:rPr>
                <w:rFonts w:ascii="Arial Narrow" w:hAnsi="Arial Narrow" w:cstheme="minorHAnsi"/>
                <w:b/>
                <w:bCs/>
                <w:sz w:val="20"/>
                <w:szCs w:val="20"/>
              </w:rPr>
              <w:t>relief of acute and/or chronic pain states in which there is an inflammatory component.</w:t>
            </w:r>
          </w:p>
        </w:tc>
      </w:tr>
      <w:tr w:rsidR="007B0DC4" w:rsidRPr="003B77C6" w14:paraId="6990758B" w14:textId="77777777" w:rsidTr="003E3D43">
        <w:tc>
          <w:tcPr>
            <w:tcW w:w="2405" w:type="dxa"/>
          </w:tcPr>
          <w:p w14:paraId="47F5226A" w14:textId="664061FF" w:rsidR="007B0DC4" w:rsidRPr="006B3355" w:rsidRDefault="00907E67" w:rsidP="003E3D43">
            <w:pPr>
              <w:rPr>
                <w:rFonts w:ascii="Arial Narrow" w:hAnsi="Arial Narrow" w:cstheme="minorHAnsi"/>
                <w:sz w:val="20"/>
                <w:szCs w:val="20"/>
              </w:rPr>
            </w:pPr>
            <w:r>
              <w:rPr>
                <w:rFonts w:ascii="Arial Narrow" w:hAnsi="Arial Narrow" w:cstheme="minorHAnsi"/>
                <w:sz w:val="20"/>
                <w:szCs w:val="20"/>
              </w:rPr>
              <w:t>n</w:t>
            </w:r>
            <w:r w:rsidR="007B0DC4" w:rsidRPr="006B3355">
              <w:rPr>
                <w:rFonts w:ascii="Arial Narrow" w:hAnsi="Arial Narrow" w:cstheme="minorHAnsi"/>
                <w:sz w:val="20"/>
                <w:szCs w:val="20"/>
              </w:rPr>
              <w:t>aproxen 750mg &amp; 1g modified release tablet</w:t>
            </w:r>
          </w:p>
        </w:tc>
        <w:tc>
          <w:tcPr>
            <w:tcW w:w="2126" w:type="dxa"/>
          </w:tcPr>
          <w:p w14:paraId="22361826"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Proxen SR®</w:t>
            </w:r>
          </w:p>
          <w:p w14:paraId="104922E7"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Naprosyn SR®</w:t>
            </w:r>
          </w:p>
        </w:tc>
        <w:tc>
          <w:tcPr>
            <w:tcW w:w="2268" w:type="dxa"/>
          </w:tcPr>
          <w:p w14:paraId="60CCBB21"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Propionic acid derivatives</w:t>
            </w:r>
          </w:p>
        </w:tc>
        <w:tc>
          <w:tcPr>
            <w:tcW w:w="2552" w:type="dxa"/>
          </w:tcPr>
          <w:p w14:paraId="2933B835"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Restricted benefit (chronic arthropathies)</w:t>
            </w:r>
          </w:p>
        </w:tc>
        <w:tc>
          <w:tcPr>
            <w:tcW w:w="4597" w:type="dxa"/>
          </w:tcPr>
          <w:p w14:paraId="402E8D37" w14:textId="77777777" w:rsidR="007B0DC4" w:rsidRPr="00C963DC" w:rsidRDefault="007B0DC4" w:rsidP="007B0DC4">
            <w:pPr>
              <w:pStyle w:val="ListParagraph"/>
              <w:numPr>
                <w:ilvl w:val="0"/>
                <w:numId w:val="25"/>
              </w:numPr>
              <w:rPr>
                <w:rFonts w:ascii="Arial Narrow" w:hAnsi="Arial Narrow" w:cstheme="minorHAnsi"/>
                <w:sz w:val="20"/>
                <w:szCs w:val="20"/>
              </w:rPr>
            </w:pPr>
            <w:r w:rsidRPr="00C963DC">
              <w:rPr>
                <w:rFonts w:ascii="Arial Narrow" w:hAnsi="Arial Narrow" w:cstheme="minorHAnsi"/>
                <w:sz w:val="20"/>
                <w:szCs w:val="20"/>
              </w:rPr>
              <w:t>Rheumatoid arthritis</w:t>
            </w:r>
          </w:p>
          <w:p w14:paraId="54EC4727" w14:textId="77777777" w:rsidR="007B0DC4" w:rsidRPr="00C963DC" w:rsidRDefault="007B0DC4" w:rsidP="007B0DC4">
            <w:pPr>
              <w:pStyle w:val="ListParagraph"/>
              <w:numPr>
                <w:ilvl w:val="0"/>
                <w:numId w:val="25"/>
              </w:numPr>
              <w:rPr>
                <w:rFonts w:ascii="Arial Narrow" w:hAnsi="Arial Narrow" w:cstheme="minorHAnsi"/>
                <w:sz w:val="20"/>
                <w:szCs w:val="20"/>
              </w:rPr>
            </w:pPr>
            <w:r w:rsidRPr="00C963DC">
              <w:rPr>
                <w:rFonts w:ascii="Arial Narrow" w:hAnsi="Arial Narrow" w:cstheme="minorHAnsi"/>
                <w:sz w:val="20"/>
                <w:szCs w:val="20"/>
              </w:rPr>
              <w:t>osteoarthritis</w:t>
            </w:r>
          </w:p>
          <w:p w14:paraId="07728AA6" w14:textId="77777777" w:rsidR="007B0DC4" w:rsidRPr="00C963DC" w:rsidRDefault="007B0DC4" w:rsidP="007B0DC4">
            <w:pPr>
              <w:pStyle w:val="ListParagraph"/>
              <w:numPr>
                <w:ilvl w:val="0"/>
                <w:numId w:val="25"/>
              </w:numPr>
              <w:rPr>
                <w:rFonts w:ascii="Arial Narrow" w:hAnsi="Arial Narrow" w:cstheme="minorHAnsi"/>
                <w:sz w:val="20"/>
                <w:szCs w:val="20"/>
              </w:rPr>
            </w:pPr>
            <w:r w:rsidRPr="00C963DC">
              <w:rPr>
                <w:rFonts w:ascii="Arial Narrow" w:hAnsi="Arial Narrow" w:cstheme="minorHAnsi"/>
                <w:sz w:val="20"/>
                <w:szCs w:val="20"/>
              </w:rPr>
              <w:t>ankylosing spondylitis</w:t>
            </w:r>
          </w:p>
          <w:p w14:paraId="503DAFDC" w14:textId="77777777" w:rsidR="007B0DC4" w:rsidRPr="00C963DC" w:rsidRDefault="007B0DC4" w:rsidP="007B0DC4">
            <w:pPr>
              <w:pStyle w:val="ListParagraph"/>
              <w:numPr>
                <w:ilvl w:val="0"/>
                <w:numId w:val="25"/>
              </w:numPr>
              <w:rPr>
                <w:rFonts w:ascii="Arial Narrow" w:hAnsi="Arial Narrow" w:cstheme="minorHAnsi"/>
                <w:b/>
                <w:bCs/>
                <w:sz w:val="20"/>
                <w:szCs w:val="20"/>
              </w:rPr>
            </w:pPr>
            <w:r w:rsidRPr="00C963DC">
              <w:rPr>
                <w:rFonts w:ascii="Arial Narrow" w:hAnsi="Arial Narrow" w:cstheme="minorHAnsi"/>
                <w:b/>
                <w:bCs/>
                <w:sz w:val="20"/>
                <w:szCs w:val="20"/>
              </w:rPr>
              <w:t>relief of chronic pain states in which there is an inflammatory component.</w:t>
            </w:r>
          </w:p>
        </w:tc>
      </w:tr>
      <w:tr w:rsidR="007B0DC4" w:rsidRPr="003B77C6" w14:paraId="2C24C9FC" w14:textId="77777777" w:rsidTr="003E3D43">
        <w:tc>
          <w:tcPr>
            <w:tcW w:w="2405" w:type="dxa"/>
          </w:tcPr>
          <w:p w14:paraId="65FA418A" w14:textId="4EFC67B3" w:rsidR="007B0DC4" w:rsidRPr="006B3355" w:rsidRDefault="00907E67" w:rsidP="003E3D43">
            <w:pPr>
              <w:rPr>
                <w:rFonts w:ascii="Arial Narrow" w:hAnsi="Arial Narrow" w:cstheme="minorHAnsi"/>
                <w:sz w:val="20"/>
                <w:szCs w:val="20"/>
              </w:rPr>
            </w:pPr>
            <w:r>
              <w:rPr>
                <w:rFonts w:ascii="Arial Narrow" w:hAnsi="Arial Narrow" w:cstheme="minorHAnsi"/>
                <w:sz w:val="20"/>
                <w:szCs w:val="20"/>
              </w:rPr>
              <w:t>i</w:t>
            </w:r>
            <w:r w:rsidR="007B0DC4" w:rsidRPr="006B3355">
              <w:rPr>
                <w:rFonts w:ascii="Arial Narrow" w:hAnsi="Arial Narrow" w:cstheme="minorHAnsi"/>
                <w:sz w:val="20"/>
                <w:szCs w:val="20"/>
              </w:rPr>
              <w:t>buprofen 400mg tablet</w:t>
            </w:r>
          </w:p>
        </w:tc>
        <w:tc>
          <w:tcPr>
            <w:tcW w:w="2126" w:type="dxa"/>
          </w:tcPr>
          <w:p w14:paraId="4CB1487D"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Brufen®</w:t>
            </w:r>
          </w:p>
          <w:p w14:paraId="4836B8D4"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APO-Ibuprofen®</w:t>
            </w:r>
          </w:p>
        </w:tc>
        <w:tc>
          <w:tcPr>
            <w:tcW w:w="2268" w:type="dxa"/>
          </w:tcPr>
          <w:p w14:paraId="765D798D"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Propionic acid derivatives</w:t>
            </w:r>
          </w:p>
        </w:tc>
        <w:tc>
          <w:tcPr>
            <w:tcW w:w="2552" w:type="dxa"/>
          </w:tcPr>
          <w:p w14:paraId="7B0CFC92"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Unrestricted</w:t>
            </w:r>
          </w:p>
        </w:tc>
        <w:tc>
          <w:tcPr>
            <w:tcW w:w="4597" w:type="dxa"/>
          </w:tcPr>
          <w:p w14:paraId="3C42720A" w14:textId="77777777" w:rsidR="007B0DC4" w:rsidRPr="00C963DC" w:rsidRDefault="007B0DC4" w:rsidP="007B0DC4">
            <w:pPr>
              <w:pStyle w:val="ListParagraph"/>
              <w:numPr>
                <w:ilvl w:val="0"/>
                <w:numId w:val="26"/>
              </w:numPr>
              <w:rPr>
                <w:rFonts w:ascii="Arial Narrow" w:hAnsi="Arial Narrow" w:cstheme="minorHAnsi"/>
                <w:sz w:val="20"/>
                <w:szCs w:val="20"/>
              </w:rPr>
            </w:pPr>
            <w:r w:rsidRPr="00C963DC">
              <w:rPr>
                <w:rFonts w:ascii="Arial Narrow" w:hAnsi="Arial Narrow" w:cstheme="minorHAnsi"/>
                <w:sz w:val="20"/>
                <w:szCs w:val="20"/>
              </w:rPr>
              <w:t>Rheumatoid arthritis</w:t>
            </w:r>
          </w:p>
          <w:p w14:paraId="5C1DACFE" w14:textId="77777777" w:rsidR="007B0DC4" w:rsidRPr="00C963DC" w:rsidRDefault="007B0DC4" w:rsidP="007B0DC4">
            <w:pPr>
              <w:pStyle w:val="ListParagraph"/>
              <w:numPr>
                <w:ilvl w:val="0"/>
                <w:numId w:val="26"/>
              </w:numPr>
              <w:rPr>
                <w:rFonts w:ascii="Arial Narrow" w:hAnsi="Arial Narrow" w:cstheme="minorHAnsi"/>
                <w:sz w:val="20"/>
                <w:szCs w:val="20"/>
              </w:rPr>
            </w:pPr>
            <w:r w:rsidRPr="00C963DC">
              <w:rPr>
                <w:rFonts w:ascii="Arial Narrow" w:hAnsi="Arial Narrow" w:cstheme="minorHAnsi"/>
                <w:sz w:val="20"/>
                <w:szCs w:val="20"/>
              </w:rPr>
              <w:t>osteoarthritis</w:t>
            </w:r>
          </w:p>
          <w:p w14:paraId="7982716C" w14:textId="77777777" w:rsidR="007B0DC4" w:rsidRPr="00C963DC" w:rsidRDefault="007B0DC4" w:rsidP="007B0DC4">
            <w:pPr>
              <w:pStyle w:val="ListParagraph"/>
              <w:numPr>
                <w:ilvl w:val="0"/>
                <w:numId w:val="26"/>
              </w:numPr>
              <w:rPr>
                <w:rFonts w:ascii="Arial Narrow" w:hAnsi="Arial Narrow" w:cstheme="minorHAnsi"/>
                <w:sz w:val="20"/>
                <w:szCs w:val="20"/>
              </w:rPr>
            </w:pPr>
            <w:r w:rsidRPr="00C963DC">
              <w:rPr>
                <w:rFonts w:ascii="Arial Narrow" w:hAnsi="Arial Narrow" w:cstheme="minorHAnsi"/>
                <w:sz w:val="20"/>
                <w:szCs w:val="20"/>
              </w:rPr>
              <w:t>juvenile rheumatoid arthritis</w:t>
            </w:r>
          </w:p>
          <w:p w14:paraId="1C4644AE" w14:textId="77777777" w:rsidR="007B0DC4" w:rsidRPr="00C963DC" w:rsidRDefault="007B0DC4" w:rsidP="007B0DC4">
            <w:pPr>
              <w:pStyle w:val="ListParagraph"/>
              <w:numPr>
                <w:ilvl w:val="0"/>
                <w:numId w:val="26"/>
              </w:numPr>
              <w:rPr>
                <w:rFonts w:ascii="Arial Narrow" w:hAnsi="Arial Narrow" w:cstheme="minorHAnsi"/>
                <w:b/>
                <w:bCs/>
                <w:sz w:val="20"/>
                <w:szCs w:val="20"/>
              </w:rPr>
            </w:pPr>
            <w:r w:rsidRPr="00C963DC">
              <w:rPr>
                <w:rFonts w:ascii="Arial Narrow" w:hAnsi="Arial Narrow" w:cstheme="minorHAnsi"/>
                <w:b/>
                <w:bCs/>
                <w:sz w:val="20"/>
                <w:szCs w:val="20"/>
              </w:rPr>
              <w:t xml:space="preserve">primary dysmenorrhoea  </w:t>
            </w:r>
          </w:p>
          <w:p w14:paraId="4EC59835" w14:textId="77777777" w:rsidR="007B0DC4" w:rsidRPr="00C963DC" w:rsidRDefault="007B0DC4" w:rsidP="007B0DC4">
            <w:pPr>
              <w:pStyle w:val="ListParagraph"/>
              <w:numPr>
                <w:ilvl w:val="0"/>
                <w:numId w:val="26"/>
              </w:numPr>
              <w:rPr>
                <w:rFonts w:ascii="Arial Narrow" w:hAnsi="Arial Narrow" w:cstheme="minorHAnsi"/>
                <w:sz w:val="20"/>
                <w:szCs w:val="20"/>
              </w:rPr>
            </w:pPr>
            <w:r w:rsidRPr="00C963DC">
              <w:rPr>
                <w:rFonts w:ascii="Arial Narrow" w:hAnsi="Arial Narrow" w:cstheme="minorHAnsi"/>
                <w:sz w:val="20"/>
                <w:szCs w:val="20"/>
              </w:rPr>
              <w:t>pyrexia</w:t>
            </w:r>
          </w:p>
          <w:p w14:paraId="0D6D10A9" w14:textId="77777777" w:rsidR="007B0DC4" w:rsidRPr="00C963DC" w:rsidRDefault="007B0DC4" w:rsidP="007B0DC4">
            <w:pPr>
              <w:pStyle w:val="ListParagraph"/>
              <w:numPr>
                <w:ilvl w:val="0"/>
                <w:numId w:val="26"/>
              </w:numPr>
              <w:rPr>
                <w:rFonts w:ascii="Arial Narrow" w:hAnsi="Arial Narrow" w:cstheme="minorHAnsi"/>
                <w:b/>
                <w:bCs/>
                <w:sz w:val="20"/>
                <w:szCs w:val="20"/>
              </w:rPr>
            </w:pPr>
            <w:r w:rsidRPr="00C963DC">
              <w:rPr>
                <w:rFonts w:ascii="Arial Narrow" w:hAnsi="Arial Narrow" w:cstheme="minorHAnsi"/>
                <w:b/>
                <w:bCs/>
                <w:sz w:val="20"/>
                <w:szCs w:val="20"/>
              </w:rPr>
              <w:t>relief of acute and/or chronic pain states in which there is an inflammatory component.</w:t>
            </w:r>
          </w:p>
        </w:tc>
      </w:tr>
      <w:tr w:rsidR="007B0DC4" w:rsidRPr="003B77C6" w14:paraId="563F31BC" w14:textId="77777777" w:rsidTr="003E3D43">
        <w:trPr>
          <w:trHeight w:val="732"/>
        </w:trPr>
        <w:tc>
          <w:tcPr>
            <w:tcW w:w="2405" w:type="dxa"/>
          </w:tcPr>
          <w:p w14:paraId="1A6590EE" w14:textId="442325BA" w:rsidR="007B0DC4" w:rsidRPr="006B3355" w:rsidRDefault="00907E67" w:rsidP="003E3D43">
            <w:pPr>
              <w:rPr>
                <w:rFonts w:ascii="Arial Narrow" w:hAnsi="Arial Narrow" w:cstheme="minorHAnsi"/>
                <w:sz w:val="20"/>
                <w:szCs w:val="20"/>
              </w:rPr>
            </w:pPr>
            <w:r>
              <w:rPr>
                <w:rFonts w:ascii="Arial Narrow" w:hAnsi="Arial Narrow" w:cstheme="minorHAnsi"/>
                <w:sz w:val="20"/>
                <w:szCs w:val="20"/>
              </w:rPr>
              <w:t>p</w:t>
            </w:r>
            <w:r w:rsidR="007B0DC4" w:rsidRPr="006B3355">
              <w:rPr>
                <w:rFonts w:ascii="Arial Narrow" w:hAnsi="Arial Narrow" w:cstheme="minorHAnsi"/>
                <w:sz w:val="20"/>
                <w:szCs w:val="20"/>
              </w:rPr>
              <w:t>iroxicam 10mg &amp; 20mg dispersible tablet and capsule</w:t>
            </w:r>
          </w:p>
        </w:tc>
        <w:tc>
          <w:tcPr>
            <w:tcW w:w="2126" w:type="dxa"/>
          </w:tcPr>
          <w:p w14:paraId="4575BFC5"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Mobilis D®</w:t>
            </w:r>
          </w:p>
          <w:p w14:paraId="514AC314"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Mobilis®</w:t>
            </w:r>
          </w:p>
          <w:p w14:paraId="3C2AC04A"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Feldene®</w:t>
            </w:r>
          </w:p>
        </w:tc>
        <w:tc>
          <w:tcPr>
            <w:tcW w:w="2268" w:type="dxa"/>
          </w:tcPr>
          <w:p w14:paraId="4F1FB18C"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Oxicams</w:t>
            </w:r>
          </w:p>
          <w:p w14:paraId="0DEB1976" w14:textId="77777777" w:rsidR="007B0DC4" w:rsidRPr="006B3355" w:rsidRDefault="007B0DC4" w:rsidP="003E3D43">
            <w:pPr>
              <w:rPr>
                <w:rFonts w:ascii="Arial Narrow" w:hAnsi="Arial Narrow" w:cstheme="minorHAnsi"/>
                <w:sz w:val="20"/>
                <w:szCs w:val="20"/>
              </w:rPr>
            </w:pPr>
          </w:p>
        </w:tc>
        <w:tc>
          <w:tcPr>
            <w:tcW w:w="2552" w:type="dxa"/>
          </w:tcPr>
          <w:p w14:paraId="0F3C6FEE"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Restricted benefit (chronic arthropathies)</w:t>
            </w:r>
          </w:p>
          <w:p w14:paraId="1C9EA972" w14:textId="77777777" w:rsidR="007B0DC4" w:rsidRPr="006B3355" w:rsidRDefault="007B0DC4" w:rsidP="003E3D43">
            <w:pPr>
              <w:rPr>
                <w:rFonts w:ascii="Arial Narrow" w:hAnsi="Arial Narrow" w:cstheme="minorHAnsi"/>
                <w:sz w:val="20"/>
                <w:szCs w:val="20"/>
              </w:rPr>
            </w:pPr>
          </w:p>
        </w:tc>
        <w:tc>
          <w:tcPr>
            <w:tcW w:w="4597" w:type="dxa"/>
          </w:tcPr>
          <w:p w14:paraId="0DD745CC" w14:textId="77777777" w:rsidR="007B0DC4" w:rsidRPr="00C963DC" w:rsidRDefault="007B0DC4" w:rsidP="007B0DC4">
            <w:pPr>
              <w:pStyle w:val="ListParagraph"/>
              <w:numPr>
                <w:ilvl w:val="0"/>
                <w:numId w:val="27"/>
              </w:numPr>
              <w:rPr>
                <w:rFonts w:ascii="Arial Narrow" w:hAnsi="Arial Narrow" w:cstheme="minorHAnsi"/>
                <w:sz w:val="20"/>
                <w:szCs w:val="20"/>
              </w:rPr>
            </w:pPr>
            <w:r w:rsidRPr="00C963DC">
              <w:rPr>
                <w:rFonts w:ascii="Arial Narrow" w:hAnsi="Arial Narrow" w:cstheme="minorHAnsi"/>
                <w:sz w:val="20"/>
                <w:szCs w:val="20"/>
              </w:rPr>
              <w:t>rheumatoid arthritis</w:t>
            </w:r>
          </w:p>
          <w:p w14:paraId="169D4C3F" w14:textId="77777777" w:rsidR="007B0DC4" w:rsidRPr="00C963DC" w:rsidRDefault="007B0DC4" w:rsidP="007B0DC4">
            <w:pPr>
              <w:pStyle w:val="ListParagraph"/>
              <w:numPr>
                <w:ilvl w:val="0"/>
                <w:numId w:val="27"/>
              </w:numPr>
              <w:rPr>
                <w:rFonts w:ascii="Arial Narrow" w:hAnsi="Arial Narrow" w:cstheme="minorHAnsi"/>
                <w:sz w:val="20"/>
                <w:szCs w:val="20"/>
              </w:rPr>
            </w:pPr>
            <w:r w:rsidRPr="00C963DC">
              <w:rPr>
                <w:rFonts w:ascii="Arial Narrow" w:hAnsi="Arial Narrow" w:cstheme="minorHAnsi"/>
                <w:sz w:val="20"/>
                <w:szCs w:val="20"/>
              </w:rPr>
              <w:t>osteoarthritis</w:t>
            </w:r>
          </w:p>
          <w:p w14:paraId="2B82DC03" w14:textId="77777777" w:rsidR="007B0DC4" w:rsidRPr="00C963DC" w:rsidRDefault="007B0DC4" w:rsidP="007B0DC4">
            <w:pPr>
              <w:pStyle w:val="ListParagraph"/>
              <w:numPr>
                <w:ilvl w:val="0"/>
                <w:numId w:val="27"/>
              </w:numPr>
              <w:rPr>
                <w:rFonts w:ascii="Arial Narrow" w:hAnsi="Arial Narrow" w:cstheme="minorHAnsi"/>
                <w:sz w:val="20"/>
                <w:szCs w:val="20"/>
              </w:rPr>
            </w:pPr>
            <w:r w:rsidRPr="00C963DC">
              <w:rPr>
                <w:rFonts w:ascii="Arial Narrow" w:hAnsi="Arial Narrow" w:cstheme="minorHAnsi"/>
                <w:sz w:val="20"/>
                <w:szCs w:val="20"/>
              </w:rPr>
              <w:t>ankylosing spondylitis</w:t>
            </w:r>
          </w:p>
        </w:tc>
      </w:tr>
      <w:tr w:rsidR="007B0DC4" w:rsidRPr="003B77C6" w14:paraId="7BAA2E03" w14:textId="77777777" w:rsidTr="003E3D43">
        <w:tc>
          <w:tcPr>
            <w:tcW w:w="2405" w:type="dxa"/>
          </w:tcPr>
          <w:p w14:paraId="5163E08C" w14:textId="136B3966" w:rsidR="007B0DC4" w:rsidRPr="006B3355" w:rsidRDefault="00907E67" w:rsidP="003E3D43">
            <w:pPr>
              <w:rPr>
                <w:rFonts w:ascii="Arial Narrow" w:hAnsi="Arial Narrow" w:cstheme="minorHAnsi"/>
                <w:sz w:val="20"/>
                <w:szCs w:val="20"/>
              </w:rPr>
            </w:pPr>
            <w:r>
              <w:rPr>
                <w:rFonts w:ascii="Arial Narrow" w:hAnsi="Arial Narrow" w:cstheme="minorHAnsi"/>
                <w:sz w:val="20"/>
                <w:szCs w:val="20"/>
              </w:rPr>
              <w:t>m</w:t>
            </w:r>
            <w:r w:rsidR="007B0DC4" w:rsidRPr="006B3355">
              <w:rPr>
                <w:rFonts w:ascii="Arial Narrow" w:hAnsi="Arial Narrow" w:cstheme="minorHAnsi"/>
                <w:sz w:val="20"/>
                <w:szCs w:val="20"/>
              </w:rPr>
              <w:t>eloxicam 7.5mg &amp; 15mg tablet &amp; capsule</w:t>
            </w:r>
          </w:p>
        </w:tc>
        <w:tc>
          <w:tcPr>
            <w:tcW w:w="2126" w:type="dxa"/>
          </w:tcPr>
          <w:p w14:paraId="7FAA403C"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Mobic®</w:t>
            </w:r>
          </w:p>
          <w:p w14:paraId="416F34C9"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APO-Meloxicam®</w:t>
            </w:r>
          </w:p>
          <w:p w14:paraId="6248C794"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Movalis®</w:t>
            </w:r>
          </w:p>
          <w:p w14:paraId="1D1D5A53"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Moxicam®</w:t>
            </w:r>
          </w:p>
        </w:tc>
        <w:tc>
          <w:tcPr>
            <w:tcW w:w="2268" w:type="dxa"/>
          </w:tcPr>
          <w:p w14:paraId="0A1EE8AA"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Oxicams</w:t>
            </w:r>
          </w:p>
        </w:tc>
        <w:tc>
          <w:tcPr>
            <w:tcW w:w="2552" w:type="dxa"/>
          </w:tcPr>
          <w:p w14:paraId="5ED0724F"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Restricted benefit (osteoarthritis)</w:t>
            </w:r>
          </w:p>
        </w:tc>
        <w:tc>
          <w:tcPr>
            <w:tcW w:w="4597" w:type="dxa"/>
          </w:tcPr>
          <w:p w14:paraId="7DBE3582" w14:textId="77777777" w:rsidR="007B0DC4" w:rsidRPr="00C963DC" w:rsidRDefault="007B0DC4" w:rsidP="007B0DC4">
            <w:pPr>
              <w:pStyle w:val="ListParagraph"/>
              <w:numPr>
                <w:ilvl w:val="0"/>
                <w:numId w:val="28"/>
              </w:numPr>
              <w:rPr>
                <w:rFonts w:ascii="Arial Narrow" w:hAnsi="Arial Narrow" w:cstheme="minorHAnsi"/>
                <w:sz w:val="20"/>
                <w:szCs w:val="20"/>
              </w:rPr>
            </w:pPr>
            <w:r w:rsidRPr="00C963DC">
              <w:rPr>
                <w:rFonts w:ascii="Arial Narrow" w:hAnsi="Arial Narrow" w:cstheme="minorHAnsi"/>
                <w:sz w:val="20"/>
                <w:szCs w:val="20"/>
              </w:rPr>
              <w:t>osteoarthritis</w:t>
            </w:r>
          </w:p>
          <w:p w14:paraId="0517C340" w14:textId="77777777" w:rsidR="007B0DC4" w:rsidRPr="00C963DC" w:rsidRDefault="007B0DC4" w:rsidP="007B0DC4">
            <w:pPr>
              <w:pStyle w:val="ListParagraph"/>
              <w:numPr>
                <w:ilvl w:val="0"/>
                <w:numId w:val="28"/>
              </w:numPr>
              <w:rPr>
                <w:rFonts w:ascii="Arial Narrow" w:hAnsi="Arial Narrow" w:cstheme="minorHAnsi"/>
                <w:sz w:val="20"/>
                <w:szCs w:val="20"/>
              </w:rPr>
            </w:pPr>
            <w:r w:rsidRPr="00C963DC">
              <w:rPr>
                <w:rFonts w:ascii="Arial Narrow" w:hAnsi="Arial Narrow" w:cstheme="minorHAnsi"/>
                <w:sz w:val="20"/>
                <w:szCs w:val="20"/>
              </w:rPr>
              <w:t>rheumatoid arthritis</w:t>
            </w:r>
          </w:p>
        </w:tc>
      </w:tr>
      <w:tr w:rsidR="007B0DC4" w:rsidRPr="003B77C6" w14:paraId="3AAC86D3" w14:textId="77777777" w:rsidTr="003E3D43">
        <w:tc>
          <w:tcPr>
            <w:tcW w:w="2405" w:type="dxa"/>
          </w:tcPr>
          <w:p w14:paraId="4AB41908" w14:textId="1385B5F4" w:rsidR="007B0DC4" w:rsidRPr="006B3355" w:rsidRDefault="00907E67" w:rsidP="003E3D43">
            <w:pPr>
              <w:rPr>
                <w:rFonts w:ascii="Arial Narrow" w:hAnsi="Arial Narrow" w:cstheme="minorHAnsi"/>
                <w:sz w:val="20"/>
                <w:szCs w:val="20"/>
              </w:rPr>
            </w:pPr>
            <w:r>
              <w:rPr>
                <w:rFonts w:ascii="Arial Narrow" w:hAnsi="Arial Narrow" w:cstheme="minorHAnsi"/>
                <w:sz w:val="20"/>
                <w:szCs w:val="20"/>
              </w:rPr>
              <w:t>c</w:t>
            </w:r>
            <w:r w:rsidR="007B0DC4" w:rsidRPr="006B3355">
              <w:rPr>
                <w:rFonts w:ascii="Arial Narrow" w:hAnsi="Arial Narrow" w:cstheme="minorHAnsi"/>
                <w:sz w:val="20"/>
                <w:szCs w:val="20"/>
              </w:rPr>
              <w:t>elecoxib 100mg &amp; 200mg capsule</w:t>
            </w:r>
          </w:p>
        </w:tc>
        <w:tc>
          <w:tcPr>
            <w:tcW w:w="2126" w:type="dxa"/>
          </w:tcPr>
          <w:p w14:paraId="7A313021"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Celebrex®</w:t>
            </w:r>
          </w:p>
          <w:p w14:paraId="4C10553A"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Celaxib®</w:t>
            </w:r>
          </w:p>
          <w:p w14:paraId="29A279FF"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APO-celecoxib®</w:t>
            </w:r>
          </w:p>
          <w:p w14:paraId="592F0300"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Celecoxib Sandoz®</w:t>
            </w:r>
          </w:p>
        </w:tc>
        <w:tc>
          <w:tcPr>
            <w:tcW w:w="2268" w:type="dxa"/>
          </w:tcPr>
          <w:p w14:paraId="7B930F42"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Coxibs</w:t>
            </w:r>
          </w:p>
        </w:tc>
        <w:tc>
          <w:tcPr>
            <w:tcW w:w="2552" w:type="dxa"/>
          </w:tcPr>
          <w:p w14:paraId="53BD4545" w14:textId="77777777" w:rsidR="007B0DC4" w:rsidRPr="006B3355" w:rsidRDefault="007B0DC4" w:rsidP="003E3D43">
            <w:pPr>
              <w:rPr>
                <w:rFonts w:ascii="Arial Narrow" w:hAnsi="Arial Narrow" w:cstheme="minorHAnsi"/>
                <w:sz w:val="20"/>
                <w:szCs w:val="20"/>
              </w:rPr>
            </w:pPr>
            <w:r w:rsidRPr="006B3355">
              <w:rPr>
                <w:rFonts w:ascii="Arial Narrow" w:hAnsi="Arial Narrow" w:cstheme="minorHAnsi"/>
                <w:sz w:val="20"/>
                <w:szCs w:val="20"/>
              </w:rPr>
              <w:t>Restricted benefit (osteoarthritis)</w:t>
            </w:r>
          </w:p>
        </w:tc>
        <w:tc>
          <w:tcPr>
            <w:tcW w:w="4597" w:type="dxa"/>
          </w:tcPr>
          <w:p w14:paraId="1F17504B" w14:textId="77777777" w:rsidR="007B0DC4" w:rsidRPr="00C963DC" w:rsidRDefault="007B0DC4" w:rsidP="007B0DC4">
            <w:pPr>
              <w:pStyle w:val="ListParagraph"/>
              <w:numPr>
                <w:ilvl w:val="0"/>
                <w:numId w:val="29"/>
              </w:numPr>
              <w:rPr>
                <w:rFonts w:ascii="Arial Narrow" w:hAnsi="Arial Narrow" w:cstheme="minorHAnsi"/>
                <w:sz w:val="20"/>
                <w:szCs w:val="20"/>
              </w:rPr>
            </w:pPr>
            <w:r w:rsidRPr="00C963DC">
              <w:rPr>
                <w:rFonts w:ascii="Arial Narrow" w:hAnsi="Arial Narrow" w:cstheme="minorHAnsi"/>
                <w:sz w:val="20"/>
                <w:szCs w:val="20"/>
              </w:rPr>
              <w:t>osteoarthritis</w:t>
            </w:r>
          </w:p>
          <w:p w14:paraId="5C701A1F" w14:textId="77777777" w:rsidR="007B0DC4" w:rsidRPr="00C963DC" w:rsidRDefault="007B0DC4" w:rsidP="007B0DC4">
            <w:pPr>
              <w:pStyle w:val="ListParagraph"/>
              <w:numPr>
                <w:ilvl w:val="0"/>
                <w:numId w:val="29"/>
              </w:numPr>
              <w:rPr>
                <w:rFonts w:ascii="Arial Narrow" w:hAnsi="Arial Narrow" w:cstheme="minorHAnsi"/>
                <w:sz w:val="20"/>
                <w:szCs w:val="20"/>
              </w:rPr>
            </w:pPr>
            <w:r w:rsidRPr="00C963DC">
              <w:rPr>
                <w:rFonts w:ascii="Arial Narrow" w:hAnsi="Arial Narrow" w:cstheme="minorHAnsi"/>
                <w:sz w:val="20"/>
                <w:szCs w:val="20"/>
              </w:rPr>
              <w:t>rheumatoid arthritis</w:t>
            </w:r>
          </w:p>
          <w:p w14:paraId="53A6FF09" w14:textId="77777777" w:rsidR="007B0DC4" w:rsidRPr="00C963DC" w:rsidRDefault="007B0DC4" w:rsidP="007B0DC4">
            <w:pPr>
              <w:pStyle w:val="ListParagraph"/>
              <w:numPr>
                <w:ilvl w:val="0"/>
                <w:numId w:val="29"/>
              </w:numPr>
              <w:rPr>
                <w:rFonts w:ascii="Arial Narrow" w:hAnsi="Arial Narrow" w:cstheme="minorHAnsi"/>
                <w:sz w:val="20"/>
                <w:szCs w:val="20"/>
              </w:rPr>
            </w:pPr>
            <w:r w:rsidRPr="00C963DC">
              <w:rPr>
                <w:rFonts w:ascii="Arial Narrow" w:hAnsi="Arial Narrow" w:cstheme="minorHAnsi"/>
                <w:sz w:val="20"/>
                <w:szCs w:val="20"/>
              </w:rPr>
              <w:t>ankylosing spondylitis</w:t>
            </w:r>
          </w:p>
          <w:p w14:paraId="4892EC10" w14:textId="77777777" w:rsidR="007B0DC4" w:rsidRPr="00C963DC" w:rsidRDefault="007B0DC4" w:rsidP="007B0DC4">
            <w:pPr>
              <w:pStyle w:val="ListParagraph"/>
              <w:numPr>
                <w:ilvl w:val="0"/>
                <w:numId w:val="29"/>
              </w:numPr>
              <w:rPr>
                <w:rFonts w:ascii="Arial Narrow" w:hAnsi="Arial Narrow" w:cstheme="minorHAnsi"/>
                <w:b/>
                <w:bCs/>
                <w:sz w:val="20"/>
                <w:szCs w:val="20"/>
              </w:rPr>
            </w:pPr>
            <w:r w:rsidRPr="00C963DC">
              <w:rPr>
                <w:rFonts w:ascii="Arial Narrow" w:hAnsi="Arial Narrow" w:cstheme="minorHAnsi"/>
                <w:b/>
                <w:bCs/>
                <w:sz w:val="20"/>
                <w:szCs w:val="20"/>
              </w:rPr>
              <w:t>primary dysmenorrhoea in adults</w:t>
            </w:r>
          </w:p>
          <w:p w14:paraId="4776FBF3" w14:textId="77777777" w:rsidR="007B0DC4" w:rsidRPr="00C963DC" w:rsidRDefault="007B0DC4" w:rsidP="007B0DC4">
            <w:pPr>
              <w:pStyle w:val="ListParagraph"/>
              <w:numPr>
                <w:ilvl w:val="0"/>
                <w:numId w:val="29"/>
              </w:numPr>
              <w:rPr>
                <w:rFonts w:ascii="Arial Narrow" w:hAnsi="Arial Narrow" w:cstheme="minorHAnsi"/>
                <w:sz w:val="20"/>
                <w:szCs w:val="20"/>
              </w:rPr>
            </w:pPr>
            <w:r w:rsidRPr="00C963DC">
              <w:rPr>
                <w:rFonts w:ascii="Arial Narrow" w:hAnsi="Arial Narrow" w:cstheme="minorHAnsi"/>
                <w:sz w:val="20"/>
                <w:szCs w:val="20"/>
              </w:rPr>
              <w:t>short term treatment of acute pain in adults following surgery or musculoskeletal and/or soft tissue injury.</w:t>
            </w:r>
          </w:p>
        </w:tc>
      </w:tr>
    </w:tbl>
    <w:p w14:paraId="0A555F9B" w14:textId="77777777" w:rsidR="001C2D87" w:rsidRDefault="001C2D87" w:rsidP="00432826">
      <w:pPr>
        <w:rPr>
          <w:rFonts w:ascii="Cambria" w:hAnsi="Cambria"/>
        </w:rPr>
        <w:sectPr w:rsidR="001C2D87" w:rsidSect="001C2D87">
          <w:pgSz w:w="16838" w:h="11906" w:orient="landscape"/>
          <w:pgMar w:top="1440" w:right="1440" w:bottom="1440" w:left="1440" w:header="708" w:footer="708" w:gutter="0"/>
          <w:cols w:space="708"/>
          <w:docGrid w:linePitch="360"/>
        </w:sectPr>
      </w:pPr>
    </w:p>
    <w:p w14:paraId="1363FA60" w14:textId="25E4C765" w:rsidR="003E3D43" w:rsidRPr="003E3D43" w:rsidRDefault="003E3D43" w:rsidP="00D36B74">
      <w:pPr>
        <w:pStyle w:val="Heading2"/>
      </w:pPr>
      <w:bookmarkStart w:id="21" w:name="_Toc118813840"/>
      <w:r w:rsidRPr="003E3D43">
        <w:lastRenderedPageBreak/>
        <w:t>Key findings from Table 4</w:t>
      </w:r>
      <w:r>
        <w:t>:</w:t>
      </w:r>
      <w:r w:rsidRPr="003E3D43">
        <w:t xml:space="preserve"> NSAIDs available on prescription in Australia </w:t>
      </w:r>
      <w:r w:rsidR="009B2AF7">
        <w:t>including PBS restriction level and TGA indications</w:t>
      </w:r>
      <w:bookmarkEnd w:id="21"/>
    </w:p>
    <w:p w14:paraId="47F00CD1" w14:textId="61FF1F63" w:rsidR="003E3D43" w:rsidRDefault="007B0DC4" w:rsidP="0097240C">
      <w:pPr>
        <w:pStyle w:val="BodyText"/>
        <w:numPr>
          <w:ilvl w:val="0"/>
          <w:numId w:val="42"/>
        </w:numPr>
        <w:spacing w:before="240"/>
      </w:pPr>
      <w:r w:rsidRPr="003E3D43">
        <w:t xml:space="preserve">The eTG recommend NSAIDs for first line treatment of endometriosis-related pain, for use alone or together with hormonal therapies. </w:t>
      </w:r>
    </w:p>
    <w:p w14:paraId="294132A9" w14:textId="77777777" w:rsidR="003E3D43" w:rsidRDefault="007B0DC4" w:rsidP="0097240C">
      <w:pPr>
        <w:pStyle w:val="BodyText"/>
        <w:numPr>
          <w:ilvl w:val="0"/>
          <w:numId w:val="42"/>
        </w:numPr>
        <w:spacing w:before="240"/>
      </w:pPr>
      <w:r w:rsidRPr="003E3D43">
        <w:t>RANZCOG guidelines recommend a short trial of NSAIDs for pain associated with endometriosis</w:t>
      </w:r>
      <w:r w:rsidR="003E3D43">
        <w:t>.</w:t>
      </w:r>
    </w:p>
    <w:p w14:paraId="1F5912A4" w14:textId="6490C034" w:rsidR="007B0DC4" w:rsidRDefault="007B0DC4" w:rsidP="0097240C">
      <w:pPr>
        <w:pStyle w:val="BodyText"/>
        <w:numPr>
          <w:ilvl w:val="0"/>
          <w:numId w:val="42"/>
        </w:numPr>
        <w:spacing w:before="240"/>
      </w:pPr>
      <w:r w:rsidRPr="003E3D43">
        <w:t xml:space="preserve">AMH recommends NSAIDs first line for pain relief, stating though </w:t>
      </w:r>
      <w:r w:rsidR="00935742">
        <w:t xml:space="preserve">evidence is </w:t>
      </w:r>
      <w:r w:rsidRPr="003E3D43">
        <w:t xml:space="preserve">inconclusive regarding </w:t>
      </w:r>
      <w:r w:rsidR="00935742">
        <w:t xml:space="preserve">the </w:t>
      </w:r>
      <w:r w:rsidRPr="003E3D43">
        <w:t xml:space="preserve">effect on pain due to endometriosis, </w:t>
      </w:r>
      <w:r w:rsidR="00506F05">
        <w:t xml:space="preserve">NSAIDs </w:t>
      </w:r>
      <w:r w:rsidR="00506F05" w:rsidRPr="003E3D43">
        <w:t>are</w:t>
      </w:r>
      <w:r w:rsidRPr="003E3D43">
        <w:t xml:space="preserve"> effective in relieving primary dysmenorrhoea</w:t>
      </w:r>
      <w:r w:rsidR="004D0BE7">
        <w:t>,</w:t>
      </w:r>
      <w:r w:rsidRPr="003E3D43">
        <w:t xml:space="preserve"> which is a common symptom of endometriosis. </w:t>
      </w:r>
    </w:p>
    <w:p w14:paraId="6970DBD8" w14:textId="645C6850" w:rsidR="00935742" w:rsidRDefault="00935742" w:rsidP="00935742">
      <w:pPr>
        <w:pStyle w:val="BodyText"/>
        <w:numPr>
          <w:ilvl w:val="0"/>
          <w:numId w:val="42"/>
        </w:numPr>
        <w:spacing w:before="240"/>
      </w:pPr>
      <w:r>
        <w:t xml:space="preserve">Six </w:t>
      </w:r>
      <w:r w:rsidRPr="003E3D43">
        <w:t>NSAIDs are TGA registered for the treatment of primary dysmenorrhoea</w:t>
      </w:r>
      <w:r>
        <w:t>:</w:t>
      </w:r>
    </w:p>
    <w:p w14:paraId="29AED1CD" w14:textId="77777777" w:rsidR="00935742" w:rsidRDefault="00935742" w:rsidP="00935742">
      <w:pPr>
        <w:pStyle w:val="BodyText"/>
        <w:numPr>
          <w:ilvl w:val="1"/>
          <w:numId w:val="42"/>
        </w:numPr>
      </w:pPr>
      <w:r w:rsidRPr="003E3D43">
        <w:t xml:space="preserve">indomethacin </w:t>
      </w:r>
    </w:p>
    <w:p w14:paraId="32B36144" w14:textId="481A9FA7" w:rsidR="00935742" w:rsidRDefault="00935742" w:rsidP="00935742">
      <w:pPr>
        <w:pStyle w:val="BodyText"/>
        <w:numPr>
          <w:ilvl w:val="1"/>
          <w:numId w:val="42"/>
        </w:numPr>
      </w:pPr>
      <w:r w:rsidRPr="003E3D43">
        <w:t>celecoxib</w:t>
      </w:r>
    </w:p>
    <w:p w14:paraId="3EF41CA6" w14:textId="0EE41663" w:rsidR="00935742" w:rsidRDefault="00935742" w:rsidP="00935742">
      <w:pPr>
        <w:pStyle w:val="BodyText"/>
        <w:numPr>
          <w:ilvl w:val="1"/>
          <w:numId w:val="42"/>
        </w:numPr>
      </w:pPr>
      <w:r>
        <w:t>mefenamic acid</w:t>
      </w:r>
    </w:p>
    <w:p w14:paraId="5F3B7C6D" w14:textId="53060CF9" w:rsidR="00935742" w:rsidRDefault="007743B0" w:rsidP="00935742">
      <w:pPr>
        <w:pStyle w:val="BodyText"/>
        <w:numPr>
          <w:ilvl w:val="1"/>
          <w:numId w:val="42"/>
        </w:numPr>
      </w:pPr>
      <w:r>
        <w:t>diclofenac</w:t>
      </w:r>
    </w:p>
    <w:p w14:paraId="2A2C9D87" w14:textId="3AA318B0" w:rsidR="007743B0" w:rsidRDefault="007743B0" w:rsidP="00935742">
      <w:pPr>
        <w:pStyle w:val="BodyText"/>
        <w:numPr>
          <w:ilvl w:val="1"/>
          <w:numId w:val="42"/>
        </w:numPr>
      </w:pPr>
      <w:r>
        <w:t>ketoprofen</w:t>
      </w:r>
    </w:p>
    <w:p w14:paraId="1DF6F946" w14:textId="78E98162" w:rsidR="007743B0" w:rsidRDefault="007743B0" w:rsidP="00935742">
      <w:pPr>
        <w:pStyle w:val="BodyText"/>
        <w:numPr>
          <w:ilvl w:val="1"/>
          <w:numId w:val="42"/>
        </w:numPr>
      </w:pPr>
      <w:r>
        <w:t>ibuprofen</w:t>
      </w:r>
    </w:p>
    <w:p w14:paraId="74DF3FEF" w14:textId="7BBDD13A" w:rsidR="003E3D43" w:rsidRDefault="007743B0" w:rsidP="0097240C">
      <w:pPr>
        <w:pStyle w:val="BodyText"/>
        <w:numPr>
          <w:ilvl w:val="0"/>
          <w:numId w:val="42"/>
        </w:numPr>
        <w:spacing w:before="240"/>
      </w:pPr>
      <w:r>
        <w:t>T</w:t>
      </w:r>
      <w:r w:rsidR="007B0DC4" w:rsidRPr="003E3D43">
        <w:t xml:space="preserve">wo </w:t>
      </w:r>
      <w:r>
        <w:t xml:space="preserve">of these NSAIDs with the TGA registered indication of </w:t>
      </w:r>
      <w:r w:rsidRPr="003E3D43">
        <w:t xml:space="preserve">primary dysmenorrhoea </w:t>
      </w:r>
      <w:r w:rsidR="007B0DC4" w:rsidRPr="003E3D43">
        <w:t xml:space="preserve">are </w:t>
      </w:r>
      <w:r>
        <w:t xml:space="preserve">also </w:t>
      </w:r>
      <w:r w:rsidR="007B0DC4" w:rsidRPr="003E3D43">
        <w:t xml:space="preserve">PBS-listed for </w:t>
      </w:r>
      <w:r>
        <w:t xml:space="preserve">this indication: </w:t>
      </w:r>
    </w:p>
    <w:p w14:paraId="4F92CE30" w14:textId="77777777" w:rsidR="003E3D43" w:rsidRDefault="007B0DC4" w:rsidP="00DA7CB9">
      <w:pPr>
        <w:pStyle w:val="BodyText"/>
        <w:numPr>
          <w:ilvl w:val="1"/>
          <w:numId w:val="42"/>
        </w:numPr>
      </w:pPr>
      <w:r w:rsidRPr="003E3D43">
        <w:t xml:space="preserve">mefenamic acid </w:t>
      </w:r>
    </w:p>
    <w:p w14:paraId="79A8CEF8" w14:textId="3C1089D1" w:rsidR="003E3D43" w:rsidRDefault="007B0DC4" w:rsidP="0097240C">
      <w:pPr>
        <w:pStyle w:val="BodyText"/>
        <w:numPr>
          <w:ilvl w:val="1"/>
          <w:numId w:val="42"/>
        </w:numPr>
      </w:pPr>
      <w:r w:rsidRPr="003E3D43">
        <w:t xml:space="preserve">ketoprofen </w:t>
      </w:r>
    </w:p>
    <w:p w14:paraId="3C1D6B9B" w14:textId="1EE3536D" w:rsidR="003E3D43" w:rsidRDefault="00935742" w:rsidP="0097240C">
      <w:pPr>
        <w:pStyle w:val="BodyText"/>
        <w:numPr>
          <w:ilvl w:val="0"/>
          <w:numId w:val="42"/>
        </w:numPr>
        <w:spacing w:before="240"/>
      </w:pPr>
      <w:r>
        <w:t xml:space="preserve">A further two </w:t>
      </w:r>
      <w:r w:rsidR="007743B0">
        <w:t xml:space="preserve">of these </w:t>
      </w:r>
      <w:r>
        <w:t xml:space="preserve">NSAIDs have </w:t>
      </w:r>
      <w:r w:rsidR="007B0DC4" w:rsidRPr="003E3D43">
        <w:t xml:space="preserve">unrestricted </w:t>
      </w:r>
      <w:r>
        <w:t xml:space="preserve">PBS </w:t>
      </w:r>
      <w:r w:rsidR="003E3D43" w:rsidRPr="003E3D43">
        <w:t>listings</w:t>
      </w:r>
      <w:r w:rsidR="003E3D43">
        <w:t>:</w:t>
      </w:r>
    </w:p>
    <w:p w14:paraId="0F5B0BB7" w14:textId="77777777" w:rsidR="003E3D43" w:rsidRDefault="007B0DC4" w:rsidP="00DA7CB9">
      <w:pPr>
        <w:pStyle w:val="BodyText"/>
        <w:numPr>
          <w:ilvl w:val="1"/>
          <w:numId w:val="42"/>
        </w:numPr>
      </w:pPr>
      <w:r w:rsidRPr="003E3D43">
        <w:t xml:space="preserve">diclofenac </w:t>
      </w:r>
    </w:p>
    <w:p w14:paraId="6B66273B" w14:textId="12044F66" w:rsidR="003E3D43" w:rsidRDefault="007B0DC4" w:rsidP="0097240C">
      <w:pPr>
        <w:pStyle w:val="BodyText"/>
        <w:numPr>
          <w:ilvl w:val="1"/>
          <w:numId w:val="42"/>
        </w:numPr>
      </w:pPr>
      <w:r w:rsidRPr="003E3D43">
        <w:t>ibuprofen.</w:t>
      </w:r>
    </w:p>
    <w:p w14:paraId="372CF1B9" w14:textId="6B0BEAA9" w:rsidR="007B0DC4" w:rsidRPr="003E3D43" w:rsidRDefault="007743B0" w:rsidP="0097240C">
      <w:pPr>
        <w:pStyle w:val="BodyText"/>
        <w:numPr>
          <w:ilvl w:val="0"/>
          <w:numId w:val="42"/>
        </w:numPr>
        <w:spacing w:before="240"/>
      </w:pPr>
      <w:r>
        <w:t xml:space="preserve">PBS subsidy of the two remaining NSAIDs </w:t>
      </w:r>
      <w:r w:rsidR="004D0BE7">
        <w:t xml:space="preserve">with </w:t>
      </w:r>
      <w:r>
        <w:t>TGA regist</w:t>
      </w:r>
      <w:r w:rsidR="004D0BE7">
        <w:t xml:space="preserve">ration </w:t>
      </w:r>
      <w:r>
        <w:t>for dysmenorrhoea (</w:t>
      </w:r>
      <w:r w:rsidR="00C75950">
        <w:t>i.e.,</w:t>
      </w:r>
      <w:r>
        <w:t xml:space="preserve"> celecoxib, indomethacin) is </w:t>
      </w:r>
      <w:r w:rsidR="007B0DC4" w:rsidRPr="003E3D43">
        <w:t xml:space="preserve">restricted </w:t>
      </w:r>
      <w:r>
        <w:t xml:space="preserve">to </w:t>
      </w:r>
      <w:r w:rsidR="007B0DC4" w:rsidRPr="003E3D43">
        <w:t xml:space="preserve">use in chronic arthropathies or osteoarthritis. </w:t>
      </w:r>
    </w:p>
    <w:p w14:paraId="46870398" w14:textId="32E755B2" w:rsidR="003E3D43" w:rsidRDefault="003E3D43" w:rsidP="0097240C">
      <w:pPr>
        <w:pStyle w:val="BodyText"/>
        <w:numPr>
          <w:ilvl w:val="0"/>
          <w:numId w:val="42"/>
        </w:numPr>
        <w:spacing w:before="240"/>
      </w:pPr>
      <w:r>
        <w:t>The</w:t>
      </w:r>
      <w:r w:rsidR="007B0DC4" w:rsidRPr="003E3D43">
        <w:t xml:space="preserve"> various strengths of naproxen are all TGA registered for relief of acute and/or chronic pain states in which there is an inflammatory component. </w:t>
      </w:r>
    </w:p>
    <w:p w14:paraId="52421F5F" w14:textId="1D8D0860" w:rsidR="007B0DC4" w:rsidRPr="003E3D43" w:rsidRDefault="007B0DC4" w:rsidP="0097240C">
      <w:pPr>
        <w:pStyle w:val="BodyText"/>
        <w:numPr>
          <w:ilvl w:val="0"/>
          <w:numId w:val="42"/>
        </w:numPr>
        <w:spacing w:before="240"/>
      </w:pPr>
      <w:r w:rsidRPr="003E3D43">
        <w:t xml:space="preserve">Expanding the PBS-listing of these NSAIDs or allowing an unrestricted listing would increase access for patients with pain related to endometriosis and ease the financial burden of accessing these medicines privately. </w:t>
      </w:r>
    </w:p>
    <w:p w14:paraId="095F7469" w14:textId="77777777" w:rsidR="003E3D43" w:rsidRDefault="003E3D43" w:rsidP="00432826">
      <w:pPr>
        <w:rPr>
          <w:rFonts w:ascii="Cambria" w:hAnsi="Cambria"/>
        </w:rPr>
        <w:sectPr w:rsidR="003E3D43" w:rsidSect="007B0DC4">
          <w:pgSz w:w="11906" w:h="16838"/>
          <w:pgMar w:top="1440" w:right="1440" w:bottom="1440" w:left="1440" w:header="708" w:footer="708" w:gutter="0"/>
          <w:cols w:space="708"/>
          <w:docGrid w:linePitch="360"/>
        </w:sectPr>
      </w:pPr>
    </w:p>
    <w:p w14:paraId="1B135AF8" w14:textId="20FD6577" w:rsidR="00757399" w:rsidRDefault="00757399" w:rsidP="00757399">
      <w:pPr>
        <w:pStyle w:val="Heading5"/>
        <w:numPr>
          <w:ilvl w:val="0"/>
          <w:numId w:val="59"/>
        </w:numPr>
        <w:spacing w:after="240"/>
      </w:pPr>
      <w:r>
        <w:lastRenderedPageBreak/>
        <w:t>Medicines for neuropathic pain</w:t>
      </w:r>
    </w:p>
    <w:p w14:paraId="1521E2E3" w14:textId="41EC519F" w:rsidR="00FB0D97" w:rsidRPr="00DA7CB9" w:rsidRDefault="00FB0D97" w:rsidP="00DA7CB9">
      <w:pPr>
        <w:pStyle w:val="BodyText"/>
        <w:spacing w:before="240"/>
      </w:pPr>
      <w:r w:rsidRPr="00DA7CB9">
        <w:t>Table 5 lists the PBS restriction level and TGA approved indications of the medicines recommended in the eTG treatment guidelines for acute neuropathic pain</w:t>
      </w:r>
      <w:r w:rsidR="00DA7CB9" w:rsidRPr="00DA7CB9">
        <w:t xml:space="preserve">: </w:t>
      </w:r>
    </w:p>
    <w:p w14:paraId="1F34362E" w14:textId="075F935D" w:rsidR="003E3D43" w:rsidRPr="003E3D43" w:rsidRDefault="003E3D43" w:rsidP="00763140">
      <w:pPr>
        <w:pStyle w:val="Heading5"/>
        <w:spacing w:after="240"/>
      </w:pPr>
      <w:r w:rsidRPr="003E3D43">
        <w:t>Table 5: Medicines commonly used for nerve pain in Australia including PBS restriction level and TGA indications</w:t>
      </w:r>
    </w:p>
    <w:tbl>
      <w:tblPr>
        <w:tblStyle w:val="TableGrid"/>
        <w:tblW w:w="0" w:type="auto"/>
        <w:tblLook w:val="04A0" w:firstRow="1" w:lastRow="0" w:firstColumn="1" w:lastColumn="0" w:noHBand="0" w:noVBand="1"/>
      </w:tblPr>
      <w:tblGrid>
        <w:gridCol w:w="2405"/>
        <w:gridCol w:w="2126"/>
        <w:gridCol w:w="2268"/>
        <w:gridCol w:w="2552"/>
        <w:gridCol w:w="4597"/>
      </w:tblGrid>
      <w:tr w:rsidR="003E3D43" w:rsidRPr="003B77C6" w14:paraId="7E5AD8CD" w14:textId="77777777" w:rsidTr="003E3D43">
        <w:tc>
          <w:tcPr>
            <w:tcW w:w="2405" w:type="dxa"/>
            <w:shd w:val="clear" w:color="auto" w:fill="D0CECE" w:themeFill="background2" w:themeFillShade="E6"/>
          </w:tcPr>
          <w:p w14:paraId="310F3909" w14:textId="77777777" w:rsidR="003E3D43" w:rsidRPr="00DA7CB9" w:rsidRDefault="003E3D43" w:rsidP="003E3D43">
            <w:pPr>
              <w:rPr>
                <w:rFonts w:ascii="Arial Narrow" w:hAnsi="Arial Narrow" w:cstheme="minorHAnsi"/>
                <w:b/>
                <w:bCs/>
                <w:sz w:val="20"/>
                <w:szCs w:val="20"/>
              </w:rPr>
            </w:pPr>
            <w:r w:rsidRPr="00DA7CB9">
              <w:rPr>
                <w:rFonts w:ascii="Arial Narrow" w:hAnsi="Arial Narrow" w:cstheme="minorHAnsi"/>
                <w:b/>
                <w:bCs/>
                <w:sz w:val="20"/>
                <w:szCs w:val="20"/>
              </w:rPr>
              <w:t>Drug</w:t>
            </w:r>
          </w:p>
          <w:p w14:paraId="300BDC32" w14:textId="77777777" w:rsidR="003E3D43" w:rsidRPr="00DA7CB9" w:rsidRDefault="003E3D43" w:rsidP="003E3D43">
            <w:pPr>
              <w:rPr>
                <w:rFonts w:ascii="Arial Narrow" w:hAnsi="Arial Narrow" w:cstheme="minorHAnsi"/>
                <w:b/>
                <w:bCs/>
                <w:sz w:val="20"/>
                <w:szCs w:val="20"/>
              </w:rPr>
            </w:pPr>
          </w:p>
        </w:tc>
        <w:tc>
          <w:tcPr>
            <w:tcW w:w="2126" w:type="dxa"/>
            <w:shd w:val="clear" w:color="auto" w:fill="D0CECE" w:themeFill="background2" w:themeFillShade="E6"/>
          </w:tcPr>
          <w:p w14:paraId="520B4068" w14:textId="77777777" w:rsidR="003E3D43" w:rsidRPr="00DA7CB9" w:rsidRDefault="003E3D43" w:rsidP="003E3D43">
            <w:pPr>
              <w:rPr>
                <w:rFonts w:ascii="Arial Narrow" w:hAnsi="Arial Narrow" w:cstheme="minorHAnsi"/>
                <w:b/>
                <w:bCs/>
                <w:sz w:val="20"/>
                <w:szCs w:val="20"/>
              </w:rPr>
            </w:pPr>
            <w:r w:rsidRPr="00DA7CB9">
              <w:rPr>
                <w:rFonts w:ascii="Arial Narrow" w:hAnsi="Arial Narrow" w:cstheme="minorHAnsi"/>
                <w:b/>
                <w:bCs/>
                <w:sz w:val="20"/>
                <w:szCs w:val="20"/>
              </w:rPr>
              <w:t>Brands</w:t>
            </w:r>
          </w:p>
        </w:tc>
        <w:tc>
          <w:tcPr>
            <w:tcW w:w="2268" w:type="dxa"/>
            <w:shd w:val="clear" w:color="auto" w:fill="D0CECE" w:themeFill="background2" w:themeFillShade="E6"/>
          </w:tcPr>
          <w:p w14:paraId="14B2B23F" w14:textId="77777777" w:rsidR="003E3D43" w:rsidRPr="00DA7CB9" w:rsidRDefault="003E3D43" w:rsidP="003E3D43">
            <w:pPr>
              <w:rPr>
                <w:rFonts w:ascii="Arial Narrow" w:hAnsi="Arial Narrow" w:cstheme="minorHAnsi"/>
                <w:b/>
                <w:bCs/>
                <w:sz w:val="20"/>
                <w:szCs w:val="20"/>
              </w:rPr>
            </w:pPr>
            <w:r w:rsidRPr="00DA7CB9">
              <w:rPr>
                <w:rFonts w:ascii="Arial Narrow" w:hAnsi="Arial Narrow" w:cstheme="minorHAnsi"/>
                <w:b/>
                <w:bCs/>
                <w:sz w:val="20"/>
                <w:szCs w:val="20"/>
              </w:rPr>
              <w:t>Class</w:t>
            </w:r>
          </w:p>
        </w:tc>
        <w:tc>
          <w:tcPr>
            <w:tcW w:w="2552" w:type="dxa"/>
            <w:shd w:val="clear" w:color="auto" w:fill="D0CECE" w:themeFill="background2" w:themeFillShade="E6"/>
          </w:tcPr>
          <w:p w14:paraId="266CD3E9" w14:textId="77777777" w:rsidR="003E3D43" w:rsidRPr="00DA7CB9" w:rsidRDefault="003E3D43" w:rsidP="003E3D43">
            <w:pPr>
              <w:rPr>
                <w:rFonts w:ascii="Arial Narrow" w:hAnsi="Arial Narrow" w:cstheme="minorHAnsi"/>
                <w:b/>
                <w:bCs/>
                <w:sz w:val="20"/>
                <w:szCs w:val="20"/>
              </w:rPr>
            </w:pPr>
            <w:r w:rsidRPr="00DA7CB9">
              <w:rPr>
                <w:rFonts w:ascii="Arial Narrow" w:hAnsi="Arial Narrow" w:cstheme="minorHAnsi"/>
                <w:b/>
                <w:bCs/>
                <w:sz w:val="20"/>
                <w:szCs w:val="20"/>
              </w:rPr>
              <w:t>PBS restriction level</w:t>
            </w:r>
          </w:p>
        </w:tc>
        <w:tc>
          <w:tcPr>
            <w:tcW w:w="4597" w:type="dxa"/>
            <w:shd w:val="clear" w:color="auto" w:fill="D0CECE" w:themeFill="background2" w:themeFillShade="E6"/>
          </w:tcPr>
          <w:p w14:paraId="380A4DE3" w14:textId="77777777" w:rsidR="003E3D43" w:rsidRPr="00DA7CB9" w:rsidRDefault="003E3D43" w:rsidP="003E3D43">
            <w:pPr>
              <w:rPr>
                <w:rFonts w:ascii="Arial Narrow" w:hAnsi="Arial Narrow" w:cstheme="minorHAnsi"/>
                <w:b/>
                <w:bCs/>
                <w:sz w:val="20"/>
                <w:szCs w:val="20"/>
              </w:rPr>
            </w:pPr>
            <w:r w:rsidRPr="00DA7CB9">
              <w:rPr>
                <w:rFonts w:ascii="Arial Narrow" w:hAnsi="Arial Narrow" w:cstheme="minorHAnsi"/>
                <w:b/>
                <w:bCs/>
                <w:sz w:val="20"/>
                <w:szCs w:val="20"/>
              </w:rPr>
              <w:t>TGA approved indications</w:t>
            </w:r>
          </w:p>
        </w:tc>
      </w:tr>
      <w:tr w:rsidR="003E3D43" w:rsidRPr="003B77C6" w14:paraId="11D388C5" w14:textId="77777777" w:rsidTr="003E3D43">
        <w:tc>
          <w:tcPr>
            <w:tcW w:w="2405" w:type="dxa"/>
          </w:tcPr>
          <w:p w14:paraId="7E3C1A6B" w14:textId="29855248" w:rsidR="003E3D43" w:rsidRPr="00DA7CB9" w:rsidRDefault="00716990" w:rsidP="003E3D43">
            <w:pPr>
              <w:rPr>
                <w:rFonts w:ascii="Arial Narrow" w:hAnsi="Arial Narrow" w:cstheme="minorHAnsi"/>
                <w:sz w:val="20"/>
                <w:szCs w:val="20"/>
              </w:rPr>
            </w:pPr>
            <w:r>
              <w:rPr>
                <w:rFonts w:ascii="Arial Narrow" w:hAnsi="Arial Narrow" w:cstheme="minorHAnsi"/>
                <w:sz w:val="20"/>
                <w:szCs w:val="20"/>
              </w:rPr>
              <w:t>p</w:t>
            </w:r>
            <w:r w:rsidR="003E3D43" w:rsidRPr="00DA7CB9">
              <w:rPr>
                <w:rFonts w:ascii="Arial Narrow" w:hAnsi="Arial Narrow" w:cstheme="minorHAnsi"/>
                <w:sz w:val="20"/>
                <w:szCs w:val="20"/>
              </w:rPr>
              <w:t xml:space="preserve">regabalin 25mg, 75mg, 150mg, 300mg capsules </w:t>
            </w:r>
          </w:p>
        </w:tc>
        <w:tc>
          <w:tcPr>
            <w:tcW w:w="2126" w:type="dxa"/>
          </w:tcPr>
          <w:p w14:paraId="62CE7514"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Lyrica®</w:t>
            </w:r>
          </w:p>
          <w:p w14:paraId="256E63FF"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Lyzalon®</w:t>
            </w:r>
          </w:p>
          <w:p w14:paraId="16FEFE6A"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APO-Pregabalin®</w:t>
            </w:r>
          </w:p>
          <w:p w14:paraId="4F72D4A4"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Pregabalin Sandoz®</w:t>
            </w:r>
          </w:p>
        </w:tc>
        <w:tc>
          <w:tcPr>
            <w:tcW w:w="2268" w:type="dxa"/>
          </w:tcPr>
          <w:p w14:paraId="035470E6"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Other analgesics and antipyretics</w:t>
            </w:r>
          </w:p>
        </w:tc>
        <w:tc>
          <w:tcPr>
            <w:tcW w:w="2552" w:type="dxa"/>
          </w:tcPr>
          <w:p w14:paraId="597BC872"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 xml:space="preserve">Authority Required (STREAMLINED) – neuropathic pain </w:t>
            </w:r>
          </w:p>
        </w:tc>
        <w:tc>
          <w:tcPr>
            <w:tcW w:w="4597" w:type="dxa"/>
          </w:tcPr>
          <w:p w14:paraId="7CC5B3A6" w14:textId="77777777" w:rsidR="003E3D43" w:rsidRPr="00DA7CB9" w:rsidRDefault="003E3D43" w:rsidP="003E3D43">
            <w:pPr>
              <w:pStyle w:val="ListParagraph"/>
              <w:numPr>
                <w:ilvl w:val="0"/>
                <w:numId w:val="31"/>
              </w:numPr>
              <w:rPr>
                <w:rFonts w:ascii="Arial Narrow" w:hAnsi="Arial Narrow" w:cstheme="minorHAnsi"/>
                <w:sz w:val="20"/>
                <w:szCs w:val="20"/>
              </w:rPr>
            </w:pPr>
            <w:r w:rsidRPr="00DA7CB9">
              <w:rPr>
                <w:rFonts w:ascii="Arial Narrow" w:hAnsi="Arial Narrow" w:cstheme="minorHAnsi"/>
                <w:sz w:val="20"/>
                <w:szCs w:val="20"/>
              </w:rPr>
              <w:t>treatment of neuropathic pain in adults</w:t>
            </w:r>
          </w:p>
          <w:p w14:paraId="4789F046" w14:textId="77777777" w:rsidR="003E3D43" w:rsidRPr="00DA7CB9" w:rsidRDefault="003E3D43" w:rsidP="003E3D43">
            <w:pPr>
              <w:pStyle w:val="ListParagraph"/>
              <w:numPr>
                <w:ilvl w:val="0"/>
                <w:numId w:val="31"/>
              </w:numPr>
              <w:rPr>
                <w:rFonts w:ascii="Arial Narrow" w:hAnsi="Arial Narrow" w:cstheme="minorHAnsi"/>
                <w:sz w:val="20"/>
                <w:szCs w:val="20"/>
              </w:rPr>
            </w:pPr>
            <w:r w:rsidRPr="00DA7CB9">
              <w:rPr>
                <w:rFonts w:ascii="Arial Narrow" w:hAnsi="Arial Narrow" w:cstheme="minorHAnsi"/>
                <w:sz w:val="20"/>
                <w:szCs w:val="20"/>
              </w:rPr>
              <w:t>adjunctive therapy in adults with partial seizures with or without secondary generalisation.</w:t>
            </w:r>
          </w:p>
        </w:tc>
      </w:tr>
      <w:tr w:rsidR="003E3D43" w:rsidRPr="003B77C6" w14:paraId="74D6E62E" w14:textId="77777777" w:rsidTr="003E3D43">
        <w:tc>
          <w:tcPr>
            <w:tcW w:w="2405" w:type="dxa"/>
          </w:tcPr>
          <w:p w14:paraId="7B32B126" w14:textId="7AB24FDF" w:rsidR="003E3D43" w:rsidRPr="00DA7CB9" w:rsidRDefault="00716990" w:rsidP="003E3D43">
            <w:pPr>
              <w:rPr>
                <w:rFonts w:ascii="Arial Narrow" w:hAnsi="Arial Narrow" w:cstheme="minorHAnsi"/>
                <w:sz w:val="20"/>
                <w:szCs w:val="20"/>
              </w:rPr>
            </w:pPr>
            <w:r>
              <w:rPr>
                <w:rFonts w:ascii="Arial Narrow" w:hAnsi="Arial Narrow" w:cstheme="minorHAnsi"/>
                <w:sz w:val="20"/>
                <w:szCs w:val="20"/>
              </w:rPr>
              <w:t>g</w:t>
            </w:r>
            <w:r w:rsidR="003E3D43" w:rsidRPr="00DA7CB9">
              <w:rPr>
                <w:rFonts w:ascii="Arial Narrow" w:hAnsi="Arial Narrow" w:cstheme="minorHAnsi"/>
                <w:sz w:val="20"/>
                <w:szCs w:val="20"/>
              </w:rPr>
              <w:t>abapentin 100mg, 300mg, 400mg, 600mg, 800mg capsules</w:t>
            </w:r>
          </w:p>
        </w:tc>
        <w:tc>
          <w:tcPr>
            <w:tcW w:w="2126" w:type="dxa"/>
          </w:tcPr>
          <w:p w14:paraId="62C2F8DC"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Neurontin®</w:t>
            </w:r>
          </w:p>
          <w:p w14:paraId="6CD20C13"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Gabapentin APOTEX®</w:t>
            </w:r>
          </w:p>
          <w:p w14:paraId="51263448"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Gabapentin Sandoz®</w:t>
            </w:r>
          </w:p>
          <w:p w14:paraId="41B07FE7"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Nupentin®</w:t>
            </w:r>
          </w:p>
        </w:tc>
        <w:tc>
          <w:tcPr>
            <w:tcW w:w="2268" w:type="dxa"/>
          </w:tcPr>
          <w:p w14:paraId="2B27A147"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Other antiepileptics</w:t>
            </w:r>
          </w:p>
        </w:tc>
        <w:tc>
          <w:tcPr>
            <w:tcW w:w="2552" w:type="dxa"/>
          </w:tcPr>
          <w:p w14:paraId="2A62EAE6"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Authority Required (STREAMLINED) – partial epileptic seizures</w:t>
            </w:r>
          </w:p>
        </w:tc>
        <w:tc>
          <w:tcPr>
            <w:tcW w:w="4597" w:type="dxa"/>
          </w:tcPr>
          <w:p w14:paraId="2FDA45AF" w14:textId="77777777" w:rsidR="003E3D43" w:rsidRPr="00DA7CB9" w:rsidRDefault="003E3D43" w:rsidP="003E3D43">
            <w:pPr>
              <w:pStyle w:val="ListParagraph"/>
              <w:numPr>
                <w:ilvl w:val="0"/>
                <w:numId w:val="22"/>
              </w:numPr>
              <w:rPr>
                <w:rFonts w:ascii="Arial Narrow" w:hAnsi="Arial Narrow" w:cstheme="minorHAnsi"/>
                <w:b/>
                <w:bCs/>
                <w:sz w:val="20"/>
                <w:szCs w:val="20"/>
              </w:rPr>
            </w:pPr>
            <w:r w:rsidRPr="00DA7CB9">
              <w:rPr>
                <w:rFonts w:ascii="Arial Narrow" w:hAnsi="Arial Narrow" w:cstheme="minorHAnsi"/>
                <w:sz w:val="20"/>
                <w:szCs w:val="20"/>
              </w:rPr>
              <w:t>treatment of partial seizures</w:t>
            </w:r>
          </w:p>
          <w:p w14:paraId="63B01307" w14:textId="77777777" w:rsidR="003E3D43" w:rsidRPr="00DA7CB9" w:rsidRDefault="003E3D43" w:rsidP="003E3D43">
            <w:pPr>
              <w:pStyle w:val="ListParagraph"/>
              <w:numPr>
                <w:ilvl w:val="0"/>
                <w:numId w:val="22"/>
              </w:numPr>
              <w:rPr>
                <w:rFonts w:ascii="Arial Narrow" w:hAnsi="Arial Narrow" w:cstheme="minorHAnsi"/>
                <w:b/>
                <w:bCs/>
                <w:sz w:val="20"/>
                <w:szCs w:val="20"/>
              </w:rPr>
            </w:pPr>
            <w:r w:rsidRPr="00DA7CB9">
              <w:rPr>
                <w:rFonts w:ascii="Arial Narrow" w:hAnsi="Arial Narrow" w:cstheme="minorHAnsi"/>
                <w:sz w:val="20"/>
                <w:szCs w:val="20"/>
              </w:rPr>
              <w:t>treatment of neuropathic pain</w:t>
            </w:r>
          </w:p>
        </w:tc>
      </w:tr>
      <w:tr w:rsidR="003E3D43" w:rsidRPr="003B77C6" w14:paraId="1A4AEC3F" w14:textId="77777777" w:rsidTr="003E3D43">
        <w:tc>
          <w:tcPr>
            <w:tcW w:w="2405" w:type="dxa"/>
          </w:tcPr>
          <w:p w14:paraId="73496F77" w14:textId="25AF154D" w:rsidR="003E3D43" w:rsidRPr="00DA7CB9" w:rsidRDefault="00716990" w:rsidP="003E3D43">
            <w:pPr>
              <w:rPr>
                <w:rFonts w:ascii="Arial Narrow" w:hAnsi="Arial Narrow" w:cstheme="minorHAnsi"/>
                <w:sz w:val="20"/>
                <w:szCs w:val="20"/>
              </w:rPr>
            </w:pPr>
            <w:r>
              <w:rPr>
                <w:rFonts w:ascii="Arial Narrow" w:hAnsi="Arial Narrow" w:cstheme="minorHAnsi"/>
                <w:sz w:val="20"/>
                <w:szCs w:val="20"/>
              </w:rPr>
              <w:t>a</w:t>
            </w:r>
            <w:r w:rsidR="003E3D43" w:rsidRPr="00DA7CB9">
              <w:rPr>
                <w:rFonts w:ascii="Arial Narrow" w:hAnsi="Arial Narrow" w:cstheme="minorHAnsi"/>
                <w:sz w:val="20"/>
                <w:szCs w:val="20"/>
              </w:rPr>
              <w:t>mitriptyline 10mg, 25mg, 50mg tablet</w:t>
            </w:r>
          </w:p>
        </w:tc>
        <w:tc>
          <w:tcPr>
            <w:tcW w:w="2126" w:type="dxa"/>
          </w:tcPr>
          <w:p w14:paraId="634612B4"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Endep®</w:t>
            </w:r>
          </w:p>
          <w:p w14:paraId="12486194"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Amitriptyline alphapharm®</w:t>
            </w:r>
          </w:p>
          <w:p w14:paraId="7DD42A9A"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APO-Amitriptyline®</w:t>
            </w:r>
          </w:p>
        </w:tc>
        <w:tc>
          <w:tcPr>
            <w:tcW w:w="2268" w:type="dxa"/>
          </w:tcPr>
          <w:p w14:paraId="4F734CDB"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 xml:space="preserve">Tricyclic antidepressants </w:t>
            </w:r>
          </w:p>
        </w:tc>
        <w:tc>
          <w:tcPr>
            <w:tcW w:w="2552" w:type="dxa"/>
          </w:tcPr>
          <w:p w14:paraId="15585197"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Unrestricted</w:t>
            </w:r>
          </w:p>
        </w:tc>
        <w:tc>
          <w:tcPr>
            <w:tcW w:w="4597" w:type="dxa"/>
          </w:tcPr>
          <w:p w14:paraId="783ED423" w14:textId="77777777" w:rsidR="003E3D43" w:rsidRPr="00DA7CB9" w:rsidRDefault="003E3D43" w:rsidP="003E3D43">
            <w:pPr>
              <w:pStyle w:val="ListParagraph"/>
              <w:numPr>
                <w:ilvl w:val="0"/>
                <w:numId w:val="22"/>
              </w:numPr>
              <w:rPr>
                <w:rFonts w:ascii="Arial Narrow" w:hAnsi="Arial Narrow" w:cstheme="minorHAnsi"/>
                <w:b/>
                <w:bCs/>
                <w:sz w:val="20"/>
                <w:szCs w:val="20"/>
              </w:rPr>
            </w:pPr>
            <w:r w:rsidRPr="00DA7CB9">
              <w:rPr>
                <w:rFonts w:ascii="Arial Narrow" w:hAnsi="Arial Narrow" w:cstheme="minorHAnsi"/>
                <w:sz w:val="20"/>
                <w:szCs w:val="20"/>
              </w:rPr>
              <w:t>treatment of major depression.</w:t>
            </w:r>
          </w:p>
          <w:p w14:paraId="1D5D2B18" w14:textId="77777777" w:rsidR="003E3D43" w:rsidRPr="00DA7CB9" w:rsidRDefault="003E3D43" w:rsidP="003E3D43">
            <w:pPr>
              <w:pStyle w:val="ListParagraph"/>
              <w:numPr>
                <w:ilvl w:val="0"/>
                <w:numId w:val="22"/>
              </w:numPr>
              <w:rPr>
                <w:rFonts w:ascii="Arial Narrow" w:hAnsi="Arial Narrow" w:cstheme="minorHAnsi"/>
                <w:b/>
                <w:bCs/>
                <w:sz w:val="20"/>
                <w:szCs w:val="20"/>
              </w:rPr>
            </w:pPr>
            <w:r w:rsidRPr="00DA7CB9">
              <w:rPr>
                <w:rFonts w:ascii="Arial Narrow" w:hAnsi="Arial Narrow" w:cstheme="minorHAnsi"/>
                <w:sz w:val="20"/>
                <w:szCs w:val="20"/>
              </w:rPr>
              <w:t>Nocturnal enuresis where organic pathology has been excluded.</w:t>
            </w:r>
          </w:p>
        </w:tc>
      </w:tr>
      <w:tr w:rsidR="003E3D43" w:rsidRPr="003B77C6" w14:paraId="6059224A" w14:textId="77777777" w:rsidTr="003E3D43">
        <w:tc>
          <w:tcPr>
            <w:tcW w:w="2405" w:type="dxa"/>
          </w:tcPr>
          <w:p w14:paraId="4755ED06" w14:textId="48D0E50B" w:rsidR="003E3D43" w:rsidRPr="00DA7CB9" w:rsidRDefault="00716990" w:rsidP="003E3D43">
            <w:pPr>
              <w:rPr>
                <w:rFonts w:ascii="Arial Narrow" w:hAnsi="Arial Narrow" w:cstheme="minorHAnsi"/>
                <w:sz w:val="20"/>
                <w:szCs w:val="20"/>
              </w:rPr>
            </w:pPr>
            <w:r>
              <w:rPr>
                <w:rFonts w:ascii="Arial Narrow" w:hAnsi="Arial Narrow" w:cstheme="minorHAnsi"/>
                <w:sz w:val="20"/>
                <w:szCs w:val="20"/>
              </w:rPr>
              <w:t>n</w:t>
            </w:r>
            <w:r w:rsidR="003E3D43" w:rsidRPr="00DA7CB9">
              <w:rPr>
                <w:rFonts w:ascii="Arial Narrow" w:hAnsi="Arial Narrow" w:cstheme="minorHAnsi"/>
                <w:sz w:val="20"/>
                <w:szCs w:val="20"/>
              </w:rPr>
              <w:t>ortriptyline 10mg, 25mg tablet</w:t>
            </w:r>
          </w:p>
        </w:tc>
        <w:tc>
          <w:tcPr>
            <w:tcW w:w="2126" w:type="dxa"/>
          </w:tcPr>
          <w:p w14:paraId="4672EB9A"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Allegron®</w:t>
            </w:r>
          </w:p>
        </w:tc>
        <w:tc>
          <w:tcPr>
            <w:tcW w:w="2268" w:type="dxa"/>
          </w:tcPr>
          <w:p w14:paraId="41C5466A"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Tricyclic antidepressants</w:t>
            </w:r>
          </w:p>
        </w:tc>
        <w:tc>
          <w:tcPr>
            <w:tcW w:w="2552" w:type="dxa"/>
          </w:tcPr>
          <w:p w14:paraId="482B37AF"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Restricted benefit (major depression)</w:t>
            </w:r>
          </w:p>
        </w:tc>
        <w:tc>
          <w:tcPr>
            <w:tcW w:w="4597" w:type="dxa"/>
          </w:tcPr>
          <w:p w14:paraId="3D0412FC" w14:textId="77777777" w:rsidR="003E3D43" w:rsidRPr="00DA7CB9" w:rsidRDefault="003E3D43" w:rsidP="003E3D43">
            <w:pPr>
              <w:pStyle w:val="ListParagraph"/>
              <w:numPr>
                <w:ilvl w:val="0"/>
                <w:numId w:val="23"/>
              </w:numPr>
              <w:rPr>
                <w:rFonts w:ascii="Arial Narrow" w:hAnsi="Arial Narrow" w:cstheme="minorHAnsi"/>
                <w:b/>
                <w:bCs/>
                <w:sz w:val="20"/>
                <w:szCs w:val="20"/>
              </w:rPr>
            </w:pPr>
            <w:r w:rsidRPr="00DA7CB9">
              <w:rPr>
                <w:rFonts w:ascii="Arial Narrow" w:hAnsi="Arial Narrow" w:cstheme="minorHAnsi"/>
                <w:sz w:val="20"/>
                <w:szCs w:val="20"/>
              </w:rPr>
              <w:t>treatment of major depression.</w:t>
            </w:r>
          </w:p>
        </w:tc>
      </w:tr>
      <w:tr w:rsidR="003E3D43" w:rsidRPr="003B77C6" w14:paraId="21D4D3D4" w14:textId="77777777" w:rsidTr="003E3D43">
        <w:tc>
          <w:tcPr>
            <w:tcW w:w="2405" w:type="dxa"/>
          </w:tcPr>
          <w:p w14:paraId="56855B6E" w14:textId="10EFA812" w:rsidR="003E3D43" w:rsidRPr="00DA7CB9" w:rsidRDefault="00716990" w:rsidP="003E3D43">
            <w:pPr>
              <w:rPr>
                <w:rFonts w:ascii="Arial Narrow" w:hAnsi="Arial Narrow" w:cstheme="minorHAnsi"/>
                <w:sz w:val="20"/>
                <w:szCs w:val="20"/>
              </w:rPr>
            </w:pPr>
            <w:r>
              <w:rPr>
                <w:rFonts w:ascii="Arial Narrow" w:hAnsi="Arial Narrow" w:cstheme="minorHAnsi"/>
                <w:sz w:val="20"/>
                <w:szCs w:val="20"/>
              </w:rPr>
              <w:t>d</w:t>
            </w:r>
            <w:r w:rsidR="003E3D43" w:rsidRPr="00DA7CB9">
              <w:rPr>
                <w:rFonts w:ascii="Arial Narrow" w:hAnsi="Arial Narrow" w:cstheme="minorHAnsi"/>
                <w:sz w:val="20"/>
                <w:szCs w:val="20"/>
              </w:rPr>
              <w:t>uloxetine 30mg, 60mg capsule</w:t>
            </w:r>
          </w:p>
        </w:tc>
        <w:tc>
          <w:tcPr>
            <w:tcW w:w="2126" w:type="dxa"/>
          </w:tcPr>
          <w:p w14:paraId="5511700A"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Cymbalta®</w:t>
            </w:r>
          </w:p>
          <w:p w14:paraId="19040AC0"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Tixol®</w:t>
            </w:r>
          </w:p>
          <w:p w14:paraId="4B1D166E"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APO-Duloxetine®</w:t>
            </w:r>
          </w:p>
          <w:p w14:paraId="35F25A05"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Duloxetine Sandoz®</w:t>
            </w:r>
          </w:p>
        </w:tc>
        <w:tc>
          <w:tcPr>
            <w:tcW w:w="2268" w:type="dxa"/>
          </w:tcPr>
          <w:p w14:paraId="2D744669"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Serotonin and noradrenaline reuptake inhibitors</w:t>
            </w:r>
          </w:p>
        </w:tc>
        <w:tc>
          <w:tcPr>
            <w:tcW w:w="2552" w:type="dxa"/>
          </w:tcPr>
          <w:p w14:paraId="60BE06C1"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Restricted benefit (major depression)</w:t>
            </w:r>
          </w:p>
        </w:tc>
        <w:tc>
          <w:tcPr>
            <w:tcW w:w="4597" w:type="dxa"/>
          </w:tcPr>
          <w:p w14:paraId="7516076E" w14:textId="77777777" w:rsidR="003E3D43" w:rsidRPr="00DA7CB9" w:rsidRDefault="003E3D43" w:rsidP="003E3D43">
            <w:pPr>
              <w:pStyle w:val="ListParagraph"/>
              <w:numPr>
                <w:ilvl w:val="0"/>
                <w:numId w:val="24"/>
              </w:numPr>
              <w:rPr>
                <w:rFonts w:ascii="Arial Narrow" w:hAnsi="Arial Narrow" w:cstheme="minorHAnsi"/>
                <w:b/>
                <w:bCs/>
                <w:sz w:val="20"/>
                <w:szCs w:val="20"/>
              </w:rPr>
            </w:pPr>
            <w:r w:rsidRPr="00DA7CB9">
              <w:rPr>
                <w:rFonts w:ascii="Arial Narrow" w:hAnsi="Arial Narrow" w:cstheme="minorHAnsi"/>
                <w:sz w:val="20"/>
                <w:szCs w:val="20"/>
              </w:rPr>
              <w:t>treatment of major depressive disorder</w:t>
            </w:r>
          </w:p>
          <w:p w14:paraId="692807B0" w14:textId="77777777" w:rsidR="003E3D43" w:rsidRPr="00DA7CB9" w:rsidRDefault="003E3D43" w:rsidP="003E3D43">
            <w:pPr>
              <w:pStyle w:val="ListParagraph"/>
              <w:numPr>
                <w:ilvl w:val="0"/>
                <w:numId w:val="24"/>
              </w:numPr>
              <w:rPr>
                <w:rFonts w:ascii="Arial Narrow" w:hAnsi="Arial Narrow" w:cstheme="minorHAnsi"/>
                <w:b/>
                <w:bCs/>
                <w:sz w:val="20"/>
                <w:szCs w:val="20"/>
              </w:rPr>
            </w:pPr>
            <w:r w:rsidRPr="00DA7CB9">
              <w:rPr>
                <w:rFonts w:ascii="Arial Narrow" w:hAnsi="Arial Narrow" w:cstheme="minorHAnsi"/>
                <w:sz w:val="20"/>
                <w:szCs w:val="20"/>
              </w:rPr>
              <w:t>treatment of diabetic peripheral neuropathic pain</w:t>
            </w:r>
          </w:p>
          <w:p w14:paraId="3FBBC72D" w14:textId="77777777" w:rsidR="003E3D43" w:rsidRPr="00DA7CB9" w:rsidRDefault="003E3D43" w:rsidP="003E3D43">
            <w:pPr>
              <w:pStyle w:val="ListParagraph"/>
              <w:numPr>
                <w:ilvl w:val="0"/>
                <w:numId w:val="24"/>
              </w:numPr>
              <w:rPr>
                <w:rFonts w:ascii="Arial Narrow" w:hAnsi="Arial Narrow" w:cstheme="minorHAnsi"/>
                <w:b/>
                <w:bCs/>
              </w:rPr>
            </w:pPr>
            <w:r w:rsidRPr="00DA7CB9">
              <w:rPr>
                <w:rFonts w:ascii="Arial Narrow" w:hAnsi="Arial Narrow" w:cstheme="minorHAnsi"/>
                <w:sz w:val="20"/>
                <w:szCs w:val="20"/>
              </w:rPr>
              <w:t>treatment of generalised anxiety disorder.</w:t>
            </w:r>
          </w:p>
        </w:tc>
      </w:tr>
      <w:tr w:rsidR="003E3D43" w:rsidRPr="003B77C6" w14:paraId="630F8E6F" w14:textId="77777777" w:rsidTr="003E3D43">
        <w:tc>
          <w:tcPr>
            <w:tcW w:w="2405" w:type="dxa"/>
          </w:tcPr>
          <w:p w14:paraId="7CCF349E" w14:textId="550F828B" w:rsidR="003E3D43" w:rsidRPr="00DA7CB9" w:rsidRDefault="00716990" w:rsidP="003E3D43">
            <w:pPr>
              <w:rPr>
                <w:rFonts w:ascii="Arial Narrow" w:hAnsi="Arial Narrow" w:cstheme="minorHAnsi"/>
                <w:sz w:val="20"/>
                <w:szCs w:val="20"/>
              </w:rPr>
            </w:pPr>
            <w:r>
              <w:rPr>
                <w:rFonts w:ascii="Arial Narrow" w:hAnsi="Arial Narrow" w:cstheme="minorHAnsi"/>
                <w:sz w:val="20"/>
                <w:szCs w:val="20"/>
              </w:rPr>
              <w:t>v</w:t>
            </w:r>
            <w:r w:rsidR="003E3D43" w:rsidRPr="00DA7CB9">
              <w:rPr>
                <w:rFonts w:ascii="Arial Narrow" w:hAnsi="Arial Narrow" w:cstheme="minorHAnsi"/>
                <w:sz w:val="20"/>
                <w:szCs w:val="20"/>
              </w:rPr>
              <w:t>enlafaxine 37.5mg, 75mg, 150mg capsules</w:t>
            </w:r>
          </w:p>
        </w:tc>
        <w:tc>
          <w:tcPr>
            <w:tcW w:w="2126" w:type="dxa"/>
          </w:tcPr>
          <w:p w14:paraId="342291FA"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Efexor-XR®</w:t>
            </w:r>
          </w:p>
          <w:p w14:paraId="2D46F1F9"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Enlafax-XR®</w:t>
            </w:r>
          </w:p>
          <w:p w14:paraId="15BDA23E"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APO-Venlafaxine XR®</w:t>
            </w:r>
          </w:p>
          <w:p w14:paraId="2705F4A0"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Venlafaxine Sandoz XR®</w:t>
            </w:r>
          </w:p>
        </w:tc>
        <w:tc>
          <w:tcPr>
            <w:tcW w:w="2268" w:type="dxa"/>
          </w:tcPr>
          <w:p w14:paraId="2A865845"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Serotonin and noradrenaline reuptake inhibitors</w:t>
            </w:r>
          </w:p>
        </w:tc>
        <w:tc>
          <w:tcPr>
            <w:tcW w:w="2552" w:type="dxa"/>
          </w:tcPr>
          <w:p w14:paraId="7EF5271B" w14:textId="77777777" w:rsidR="003E3D43" w:rsidRPr="00DA7CB9" w:rsidRDefault="003E3D43" w:rsidP="003E3D43">
            <w:pPr>
              <w:rPr>
                <w:rFonts w:ascii="Arial Narrow" w:hAnsi="Arial Narrow" w:cstheme="minorHAnsi"/>
                <w:sz w:val="20"/>
                <w:szCs w:val="20"/>
              </w:rPr>
            </w:pPr>
            <w:r w:rsidRPr="00DA7CB9">
              <w:rPr>
                <w:rFonts w:ascii="Arial Narrow" w:hAnsi="Arial Narrow" w:cstheme="minorHAnsi"/>
                <w:sz w:val="20"/>
                <w:szCs w:val="20"/>
              </w:rPr>
              <w:t>Restricted benefit (major depressive disorders)</w:t>
            </w:r>
          </w:p>
        </w:tc>
        <w:tc>
          <w:tcPr>
            <w:tcW w:w="4597" w:type="dxa"/>
          </w:tcPr>
          <w:p w14:paraId="1DEA210F" w14:textId="77777777" w:rsidR="003E3D43" w:rsidRPr="00DA7CB9" w:rsidRDefault="003E3D43" w:rsidP="003E3D43">
            <w:pPr>
              <w:pStyle w:val="ListParagraph"/>
              <w:numPr>
                <w:ilvl w:val="0"/>
                <w:numId w:val="25"/>
              </w:numPr>
              <w:rPr>
                <w:rFonts w:ascii="Arial Narrow" w:hAnsi="Arial Narrow" w:cstheme="minorHAnsi"/>
                <w:b/>
                <w:bCs/>
                <w:sz w:val="20"/>
                <w:szCs w:val="20"/>
              </w:rPr>
            </w:pPr>
            <w:r w:rsidRPr="00DA7CB9">
              <w:rPr>
                <w:rFonts w:ascii="Arial Narrow" w:hAnsi="Arial Narrow" w:cstheme="minorHAnsi"/>
                <w:sz w:val="20"/>
                <w:szCs w:val="20"/>
              </w:rPr>
              <w:t>Major depression</w:t>
            </w:r>
          </w:p>
          <w:p w14:paraId="3A0305CE" w14:textId="77777777" w:rsidR="003E3D43" w:rsidRPr="00DA7CB9" w:rsidRDefault="003E3D43" w:rsidP="003E3D43">
            <w:pPr>
              <w:pStyle w:val="ListParagraph"/>
              <w:numPr>
                <w:ilvl w:val="0"/>
                <w:numId w:val="25"/>
              </w:numPr>
              <w:rPr>
                <w:rFonts w:ascii="Arial Narrow" w:hAnsi="Arial Narrow" w:cstheme="minorHAnsi"/>
                <w:b/>
                <w:bCs/>
                <w:sz w:val="20"/>
                <w:szCs w:val="20"/>
              </w:rPr>
            </w:pPr>
            <w:r w:rsidRPr="00DA7CB9">
              <w:rPr>
                <w:rFonts w:ascii="Arial Narrow" w:hAnsi="Arial Narrow" w:cstheme="minorHAnsi"/>
                <w:sz w:val="20"/>
                <w:szCs w:val="20"/>
              </w:rPr>
              <w:t>Generalised anxiety disorder</w:t>
            </w:r>
          </w:p>
          <w:p w14:paraId="21028302" w14:textId="77777777" w:rsidR="003E3D43" w:rsidRPr="00DA7CB9" w:rsidRDefault="003E3D43" w:rsidP="003E3D43">
            <w:pPr>
              <w:pStyle w:val="ListParagraph"/>
              <w:numPr>
                <w:ilvl w:val="0"/>
                <w:numId w:val="25"/>
              </w:numPr>
              <w:rPr>
                <w:rFonts w:ascii="Arial Narrow" w:hAnsi="Arial Narrow" w:cstheme="minorHAnsi"/>
                <w:b/>
                <w:bCs/>
                <w:sz w:val="20"/>
                <w:szCs w:val="20"/>
              </w:rPr>
            </w:pPr>
            <w:r w:rsidRPr="00DA7CB9">
              <w:rPr>
                <w:rFonts w:ascii="Arial Narrow" w:hAnsi="Arial Narrow" w:cstheme="minorHAnsi"/>
                <w:sz w:val="20"/>
                <w:szCs w:val="20"/>
              </w:rPr>
              <w:t>Social Anxiety Disorder</w:t>
            </w:r>
          </w:p>
          <w:p w14:paraId="7868AF07" w14:textId="77777777" w:rsidR="003E3D43" w:rsidRPr="00DA7CB9" w:rsidRDefault="003E3D43" w:rsidP="003E3D43">
            <w:pPr>
              <w:pStyle w:val="ListParagraph"/>
              <w:numPr>
                <w:ilvl w:val="0"/>
                <w:numId w:val="25"/>
              </w:numPr>
              <w:rPr>
                <w:rFonts w:ascii="Arial Narrow" w:hAnsi="Arial Narrow" w:cstheme="minorHAnsi"/>
                <w:b/>
                <w:bCs/>
                <w:sz w:val="20"/>
                <w:szCs w:val="20"/>
              </w:rPr>
            </w:pPr>
            <w:r w:rsidRPr="00DA7CB9">
              <w:rPr>
                <w:rFonts w:ascii="Arial Narrow" w:hAnsi="Arial Narrow" w:cstheme="minorHAnsi"/>
                <w:sz w:val="20"/>
                <w:szCs w:val="20"/>
              </w:rPr>
              <w:t>Panic Disorder</w:t>
            </w:r>
          </w:p>
        </w:tc>
      </w:tr>
    </w:tbl>
    <w:p w14:paraId="66D831EE" w14:textId="77777777" w:rsidR="003E3D43" w:rsidRPr="00D2236C" w:rsidRDefault="003E3D43" w:rsidP="003E3D43"/>
    <w:p w14:paraId="5C6C0C10" w14:textId="77777777" w:rsidR="003E3D43" w:rsidRDefault="003E3D43" w:rsidP="00432826">
      <w:pPr>
        <w:rPr>
          <w:rFonts w:ascii="Cambria" w:hAnsi="Cambria"/>
        </w:rPr>
        <w:sectPr w:rsidR="003E3D43" w:rsidSect="003E3D43">
          <w:pgSz w:w="16838" w:h="11906" w:orient="landscape"/>
          <w:pgMar w:top="1440" w:right="1440" w:bottom="1440" w:left="1440" w:header="708" w:footer="708" w:gutter="0"/>
          <w:cols w:space="708"/>
          <w:docGrid w:linePitch="360"/>
        </w:sectPr>
      </w:pPr>
    </w:p>
    <w:p w14:paraId="0C35E6E2" w14:textId="220414FC" w:rsidR="002D2289" w:rsidRPr="002D2289" w:rsidRDefault="002D2289" w:rsidP="00457127">
      <w:pPr>
        <w:pStyle w:val="Heading2"/>
      </w:pPr>
      <w:bookmarkStart w:id="22" w:name="_Toc118813841"/>
      <w:r w:rsidRPr="002D2289">
        <w:lastRenderedPageBreak/>
        <w:t>Key findings from Table 5: Medicines commonly used for nerve pain in Australia including PBS restriction level and TGA indications</w:t>
      </w:r>
      <w:bookmarkEnd w:id="22"/>
    </w:p>
    <w:p w14:paraId="7C77A672" w14:textId="77777777" w:rsidR="002D2289" w:rsidRPr="002D2289" w:rsidRDefault="002D2289" w:rsidP="0097240C">
      <w:pPr>
        <w:pStyle w:val="BodyText"/>
        <w:numPr>
          <w:ilvl w:val="0"/>
          <w:numId w:val="44"/>
        </w:numPr>
        <w:spacing w:before="240"/>
      </w:pPr>
      <w:r w:rsidRPr="002D2289">
        <w:t xml:space="preserve">The eTG recommendations suggest endometriosis pain may have a neuropathic component because endometrial deposits have been shown to be innervated and that correlations are seen between the degree of innervation and intensity of pain. </w:t>
      </w:r>
    </w:p>
    <w:p w14:paraId="15F64868" w14:textId="61E438CE" w:rsidR="002D2289" w:rsidRPr="002D2289" w:rsidRDefault="002D2289" w:rsidP="0097240C">
      <w:pPr>
        <w:pStyle w:val="BodyText"/>
        <w:numPr>
          <w:ilvl w:val="0"/>
          <w:numId w:val="44"/>
        </w:numPr>
        <w:spacing w:before="240"/>
      </w:pPr>
      <w:r w:rsidRPr="002D2289">
        <w:t xml:space="preserve">According to the eTG treatment guidelines for acute neuropathic pain; gabapentin or pregabalin are both first line treatment, amitriptyline, nortriptyline, </w:t>
      </w:r>
      <w:r w:rsidR="00DA7CB9" w:rsidRPr="002D2289">
        <w:t>duloxetine,</w:t>
      </w:r>
      <w:r w:rsidRPr="002D2289">
        <w:t xml:space="preserve"> or venlafaxine are all second line treatment options. </w:t>
      </w:r>
    </w:p>
    <w:p w14:paraId="0D4909C5" w14:textId="77777777" w:rsidR="002D2289" w:rsidRPr="002D2289" w:rsidRDefault="002D2289" w:rsidP="0097240C">
      <w:pPr>
        <w:pStyle w:val="BodyText"/>
        <w:numPr>
          <w:ilvl w:val="0"/>
          <w:numId w:val="44"/>
        </w:numPr>
        <w:spacing w:before="240"/>
      </w:pPr>
      <w:r w:rsidRPr="002D2289">
        <w:t>RANZCOG endometriosis guidelines state there is no evidence for or against the use of anti-neuropathic pain medications for pain associated with endometriosis.</w:t>
      </w:r>
    </w:p>
    <w:p w14:paraId="24446B0A" w14:textId="6B88A7CA" w:rsidR="002D2289" w:rsidRDefault="002D2289" w:rsidP="0097240C">
      <w:pPr>
        <w:pStyle w:val="BodyText"/>
        <w:numPr>
          <w:ilvl w:val="0"/>
          <w:numId w:val="44"/>
        </w:numPr>
        <w:spacing w:before="240"/>
      </w:pPr>
      <w:r w:rsidRPr="002D2289">
        <w:t xml:space="preserve">The AMH does not mention anti-neuropathic pain medications as a treatment option. </w:t>
      </w:r>
    </w:p>
    <w:p w14:paraId="1698F2E7" w14:textId="77777777" w:rsidR="002D2289" w:rsidRPr="002D2289" w:rsidRDefault="002D2289" w:rsidP="0097240C">
      <w:pPr>
        <w:pStyle w:val="BodyText"/>
        <w:numPr>
          <w:ilvl w:val="0"/>
          <w:numId w:val="44"/>
        </w:numPr>
        <w:spacing w:before="240"/>
      </w:pPr>
      <w:r w:rsidRPr="002D2289">
        <w:t xml:space="preserve">Pregabalin is available as an Authority Required (STREAMLINED) prescription for neuropathic pain, and amitriptyline has an unrestricted listing. </w:t>
      </w:r>
    </w:p>
    <w:p w14:paraId="40841240" w14:textId="40EE7238" w:rsidR="002D2289" w:rsidRPr="002D2289" w:rsidRDefault="002D2289" w:rsidP="0097240C">
      <w:pPr>
        <w:pStyle w:val="BodyText"/>
        <w:numPr>
          <w:ilvl w:val="0"/>
          <w:numId w:val="44"/>
        </w:numPr>
        <w:spacing w:before="240"/>
      </w:pPr>
      <w:r w:rsidRPr="002D2289">
        <w:t>Gabapentin is Authority Required (STREAMLINED) for the treatment of partial epileptic seizures</w:t>
      </w:r>
      <w:r w:rsidR="00FB0D97">
        <w:t xml:space="preserve"> and is not PBS subsidised for neuropathic pain</w:t>
      </w:r>
      <w:r w:rsidRPr="002D2289">
        <w:t>.</w:t>
      </w:r>
      <w:r w:rsidR="007F474E">
        <w:t xml:space="preserve"> </w:t>
      </w:r>
    </w:p>
    <w:p w14:paraId="6FCB2D61" w14:textId="2E8D2D04" w:rsidR="002D2289" w:rsidRDefault="002D2289" w:rsidP="0097240C">
      <w:pPr>
        <w:pStyle w:val="BodyText"/>
        <w:numPr>
          <w:ilvl w:val="0"/>
          <w:numId w:val="44"/>
        </w:numPr>
        <w:spacing w:before="240"/>
      </w:pPr>
      <w:r w:rsidRPr="002D2289">
        <w:t xml:space="preserve">Nortriptyline, </w:t>
      </w:r>
      <w:r w:rsidR="003638B1" w:rsidRPr="002D2289">
        <w:t>duloxetine,</w:t>
      </w:r>
      <w:r w:rsidRPr="002D2289">
        <w:t xml:space="preserve"> and venlafaxine are restricted for use on the PBS for the treatment of major depression or depressive disorders. </w:t>
      </w:r>
    </w:p>
    <w:p w14:paraId="7904AC25" w14:textId="4F0FFDB0" w:rsidR="004D0BE7" w:rsidRPr="002D2289" w:rsidRDefault="004D0BE7" w:rsidP="00934C08">
      <w:pPr>
        <w:pStyle w:val="BodyText"/>
        <w:numPr>
          <w:ilvl w:val="0"/>
          <w:numId w:val="44"/>
        </w:numPr>
        <w:spacing w:before="240" w:after="240"/>
      </w:pPr>
      <w:r w:rsidRPr="003C5A6B">
        <w:t xml:space="preserve">Tricyclic antidepressants are restricted for use on the PBS to major depression, </w:t>
      </w:r>
      <w:r w:rsidR="00506F05" w:rsidRPr="003C5A6B">
        <w:t>apart from</w:t>
      </w:r>
      <w:r w:rsidRPr="003C5A6B">
        <w:t xml:space="preserve"> amitriptyline which is an unrestricted benefit.</w:t>
      </w:r>
    </w:p>
    <w:p w14:paraId="53B09EA5" w14:textId="5653621A" w:rsidR="005E60B1" w:rsidRDefault="006F4BB5" w:rsidP="0097240C">
      <w:pPr>
        <w:pStyle w:val="Heading2"/>
        <w:spacing w:after="240"/>
      </w:pPr>
      <w:bookmarkStart w:id="23" w:name="_Toc118813842"/>
      <w:r>
        <w:t>Issues for consideration</w:t>
      </w:r>
      <w:bookmarkEnd w:id="23"/>
      <w:r>
        <w:t xml:space="preserve"> </w:t>
      </w:r>
    </w:p>
    <w:p w14:paraId="71E8BDCB" w14:textId="08319930" w:rsidR="00A37A02" w:rsidRDefault="004D0BE7" w:rsidP="00A37A02">
      <w:pPr>
        <w:pStyle w:val="BodyText"/>
        <w:spacing w:before="240" w:after="240"/>
        <w:rPr>
          <w:rFonts w:eastAsia="Times New Roman"/>
        </w:rPr>
      </w:pPr>
      <w:r>
        <w:t xml:space="preserve">Issues for consideration are focussed on the availability of </w:t>
      </w:r>
      <w:r w:rsidR="000B758F">
        <w:t xml:space="preserve">stakeholder </w:t>
      </w:r>
      <w:r w:rsidR="00A37A02">
        <w:t xml:space="preserve">requested treatments for the management of </w:t>
      </w:r>
      <w:r w:rsidR="00A37A02">
        <w:rPr>
          <w:rFonts w:eastAsia="Times New Roman"/>
        </w:rPr>
        <w:t xml:space="preserve">endometriosis and related conditions on the Pharmaceutical Benefits Scheme (PBS). </w:t>
      </w:r>
    </w:p>
    <w:p w14:paraId="0E71F502" w14:textId="2E83ED30" w:rsidR="00390667" w:rsidRPr="000B758F" w:rsidRDefault="00390667" w:rsidP="00E35586">
      <w:pPr>
        <w:pStyle w:val="BodyText"/>
        <w:spacing w:before="240"/>
        <w:rPr>
          <w:b/>
          <w:bCs/>
        </w:rPr>
      </w:pPr>
      <w:r w:rsidRPr="000B758F">
        <w:rPr>
          <w:b/>
          <w:bCs/>
        </w:rPr>
        <w:t xml:space="preserve">Intrauterine devices (IUDs) and subdermal implants </w:t>
      </w:r>
    </w:p>
    <w:p w14:paraId="0F2413A0" w14:textId="3384380F" w:rsidR="00A37A02" w:rsidRDefault="00A37A02" w:rsidP="00E35586">
      <w:pPr>
        <w:pStyle w:val="BodyText"/>
        <w:spacing w:before="240"/>
      </w:pPr>
      <w:r>
        <w:t xml:space="preserve">Intrauterine contraceptives are </w:t>
      </w:r>
      <w:r w:rsidR="001D12D9">
        <w:t xml:space="preserve">available on the </w:t>
      </w:r>
      <w:r>
        <w:t>PBS for contraception and idiopathic menorrhagia</w:t>
      </w:r>
      <w:r w:rsidR="002C40EA">
        <w:t>. I</w:t>
      </w:r>
      <w:r>
        <w:t xml:space="preserve">ntravaginal contraception is not PBS-listed. </w:t>
      </w:r>
      <w:r w:rsidR="00690F55">
        <w:t>Etonogestrel</w:t>
      </w:r>
      <w:r>
        <w:t xml:space="preserve"> implant is available on the PBS as an unrestricted benefit</w:t>
      </w:r>
      <w:r w:rsidR="003C5A6B">
        <w:t>, however it is not TGA registered for use in endometriosis</w:t>
      </w:r>
      <w:r w:rsidR="00BB1F7E">
        <w:t>.</w:t>
      </w:r>
    </w:p>
    <w:p w14:paraId="6E5470B5" w14:textId="35B7E073" w:rsidR="001F287E" w:rsidRDefault="002C40EA" w:rsidP="00E35586">
      <w:pPr>
        <w:pStyle w:val="BodyText"/>
        <w:spacing w:before="240"/>
      </w:pPr>
      <w:r>
        <w:t>Feedback from stakeholders is that clinicians consider these to be effective early treatments for endometriosis. S</w:t>
      </w:r>
      <w:r w:rsidR="00A37A02">
        <w:t xml:space="preserve">takeholders report </w:t>
      </w:r>
      <w:r>
        <w:t xml:space="preserve">a </w:t>
      </w:r>
      <w:r w:rsidR="00E35586">
        <w:t xml:space="preserve">challenge to enabling better access to the use of </w:t>
      </w:r>
      <w:r>
        <w:t>IUDs and subdermal implants is limited access to clinicians trained in insertion of these devices.</w:t>
      </w:r>
      <w:r w:rsidR="001D12D9">
        <w:t xml:space="preserve"> Patients may not be able to access these treatments as early in the treatment pathway as required</w:t>
      </w:r>
      <w:r w:rsidR="00390667">
        <w:t>. Stakeholders</w:t>
      </w:r>
      <w:r>
        <w:t xml:space="preserve"> suggest that </w:t>
      </w:r>
      <w:r w:rsidR="001D12D9">
        <w:t>increased training opportunities should be provided to primary care practitioners in community settings. T</w:t>
      </w:r>
      <w:r w:rsidR="00390667">
        <w:t>raining</w:t>
      </w:r>
      <w:r w:rsidR="001D12D9">
        <w:t xml:space="preserve"> and supporting general practitioners (</w:t>
      </w:r>
      <w:r w:rsidR="00390667">
        <w:t>GPs</w:t>
      </w:r>
      <w:r w:rsidR="001D12D9">
        <w:t>)</w:t>
      </w:r>
      <w:r w:rsidR="00390667">
        <w:t xml:space="preserve"> to insert IUDs</w:t>
      </w:r>
      <w:r w:rsidR="003C0393">
        <w:t xml:space="preserve"> and subdermal implants</w:t>
      </w:r>
      <w:r w:rsidR="00390667">
        <w:t xml:space="preserve"> should be a central focus of any plan to increase access to management </w:t>
      </w:r>
      <w:r w:rsidR="001D12D9">
        <w:t xml:space="preserve">of endometriosis </w:t>
      </w:r>
      <w:r w:rsidR="00390667">
        <w:t xml:space="preserve">in primary care. </w:t>
      </w:r>
      <w:r w:rsidR="00E35586">
        <w:t xml:space="preserve"> </w:t>
      </w:r>
    </w:p>
    <w:p w14:paraId="01D73F13" w14:textId="77777777" w:rsidR="00716990" w:rsidRDefault="00716990">
      <w:pPr>
        <w:rPr>
          <w:rFonts w:asciiTheme="minorHAnsi" w:hAnsiTheme="minorHAnsi" w:cs="Cambria"/>
          <w:b/>
          <w:bCs/>
          <w:sz w:val="22"/>
        </w:rPr>
      </w:pPr>
      <w:r>
        <w:rPr>
          <w:b/>
          <w:bCs/>
        </w:rPr>
        <w:br w:type="page"/>
      </w:r>
    </w:p>
    <w:p w14:paraId="2E5AAB92" w14:textId="7267593C" w:rsidR="00390667" w:rsidRDefault="00390667" w:rsidP="00977220">
      <w:pPr>
        <w:pStyle w:val="BodyText"/>
        <w:spacing w:before="240"/>
      </w:pPr>
      <w:r w:rsidRPr="004D0BE7">
        <w:rPr>
          <w:b/>
          <w:bCs/>
        </w:rPr>
        <w:lastRenderedPageBreak/>
        <w:t xml:space="preserve">Botulinum toxin </w:t>
      </w:r>
    </w:p>
    <w:p w14:paraId="42F0FBEF" w14:textId="319CBCB7" w:rsidR="0007196B" w:rsidRDefault="00390667" w:rsidP="0007196B">
      <w:pPr>
        <w:pStyle w:val="BodyText"/>
        <w:spacing w:before="240"/>
      </w:pPr>
      <w:r>
        <w:t>Stakeholders report a</w:t>
      </w:r>
      <w:r w:rsidR="00E35586" w:rsidRPr="00004AAE">
        <w:t xml:space="preserve"> common cause of the most severe</w:t>
      </w:r>
      <w:r>
        <w:t xml:space="preserve"> endometriosis</w:t>
      </w:r>
      <w:r w:rsidR="00E35586" w:rsidRPr="00004AAE">
        <w:t xml:space="preserve"> pain is pelvic muscle spasm, either in the pelvic floor muscles, or the pelvic side wall (obturator internus). </w:t>
      </w:r>
      <w:r w:rsidR="001D12D9">
        <w:t xml:space="preserve">Treatments such as </w:t>
      </w:r>
      <w:r w:rsidR="00E35586" w:rsidRPr="00004AAE">
        <w:t xml:space="preserve">pelvic physiotherapy, pain psychology, pain education, neuropathic pain medications, and management of bladder and bowel </w:t>
      </w:r>
      <w:r w:rsidR="001D12D9">
        <w:t xml:space="preserve">may </w:t>
      </w:r>
      <w:r w:rsidR="0007196B">
        <w:t xml:space="preserve">be beneficial. For well selected patients with severe pelvic muscle spasm, </w:t>
      </w:r>
      <w:r w:rsidR="0007196B" w:rsidRPr="00004AAE">
        <w:t xml:space="preserve">an injection of botulinum toxin in the affected muscles offers </w:t>
      </w:r>
      <w:r w:rsidR="0007196B">
        <w:t xml:space="preserve">up to </w:t>
      </w:r>
      <w:r w:rsidR="0007196B" w:rsidRPr="00004AAE">
        <w:t>6</w:t>
      </w:r>
      <w:r w:rsidR="0007196B">
        <w:t xml:space="preserve"> </w:t>
      </w:r>
      <w:r w:rsidR="0007196B" w:rsidRPr="00004AAE">
        <w:t xml:space="preserve">months of </w:t>
      </w:r>
      <w:r w:rsidR="0007196B">
        <w:t xml:space="preserve">pain relief. Stakeholders suggested that patients with this symptom typically overused opioid medications, with the associated risks of dependence, pain escalation and unintentional death by overdose. </w:t>
      </w:r>
    </w:p>
    <w:p w14:paraId="62E5DADB" w14:textId="77777777" w:rsidR="00E027ED" w:rsidRDefault="00E027ED" w:rsidP="00E027ED">
      <w:pPr>
        <w:pStyle w:val="BodyText"/>
        <w:spacing w:before="240"/>
      </w:pPr>
      <w:r w:rsidRPr="00D36B74">
        <w:t>Botulinum toxin is not recommended in any current clinical guidelines for the pharmacological management of endometriosis.</w:t>
      </w:r>
      <w:r>
        <w:t xml:space="preserve"> The dose of botulinum toxin varies, depending on the site of administration.</w:t>
      </w:r>
    </w:p>
    <w:p w14:paraId="3A95A53A" w14:textId="45CCCDB1" w:rsidR="00E027ED" w:rsidRDefault="0007196B" w:rsidP="00977220">
      <w:pPr>
        <w:pStyle w:val="BodyText"/>
        <w:spacing w:before="240"/>
      </w:pPr>
      <w:r>
        <w:t>B</w:t>
      </w:r>
      <w:r w:rsidR="00E35586" w:rsidRPr="00D36B74">
        <w:t xml:space="preserve">otulinum toxin </w:t>
      </w:r>
      <w:r w:rsidR="00E027ED">
        <w:t>has several therapeutic indications but i</w:t>
      </w:r>
      <w:r w:rsidR="00E35586" w:rsidRPr="00D36B74">
        <w:t xml:space="preserve">s not currently </w:t>
      </w:r>
      <w:r>
        <w:t xml:space="preserve">TGA </w:t>
      </w:r>
      <w:r w:rsidR="00E35586" w:rsidRPr="00D36B74">
        <w:t>registered for use in endometriosis or related conditions</w:t>
      </w:r>
      <w:r>
        <w:t xml:space="preserve">. </w:t>
      </w:r>
      <w:r w:rsidR="00E027ED">
        <w:t>The closest indications to the requested use from the ten currently TGA registered indications are:</w:t>
      </w:r>
    </w:p>
    <w:p w14:paraId="421987DB" w14:textId="46A7F12F" w:rsidR="00E027ED" w:rsidRDefault="00E027ED" w:rsidP="00E027ED">
      <w:pPr>
        <w:pStyle w:val="BodyText"/>
        <w:numPr>
          <w:ilvl w:val="0"/>
          <w:numId w:val="60"/>
        </w:numPr>
        <w:spacing w:before="240"/>
      </w:pPr>
      <w:r>
        <w:t xml:space="preserve">treatment of overactive bladder with symptoms of urinary incontinence, </w:t>
      </w:r>
      <w:r w:rsidR="00BB1F7E">
        <w:t>urgency,</w:t>
      </w:r>
      <w:r>
        <w:t xml:space="preserve"> and frequency, in adult patients who have an inadequate response to or are intolerant of an anticholinergic medication</w:t>
      </w:r>
      <w:r w:rsidR="00BB1F7E">
        <w:t>,</w:t>
      </w:r>
    </w:p>
    <w:p w14:paraId="0169E33D" w14:textId="2309BCD7" w:rsidR="00E027ED" w:rsidRDefault="00E027ED" w:rsidP="00E027ED">
      <w:pPr>
        <w:pStyle w:val="BodyText"/>
        <w:numPr>
          <w:ilvl w:val="0"/>
          <w:numId w:val="60"/>
        </w:numPr>
        <w:spacing w:before="240"/>
      </w:pPr>
      <w:r>
        <w:t>treatment of urinary incontinence due to neurogenic detrusor overactivity resulting from a defined neurological illness (such as spinal cord injury or multiple sclerosis) in adult patients who have an inadequate response to or are intolerant of an anticholinergic medication</w:t>
      </w:r>
      <w:r w:rsidR="00BB1F7E">
        <w:t>.</w:t>
      </w:r>
    </w:p>
    <w:p w14:paraId="64128133" w14:textId="3077BEDF" w:rsidR="00D72148" w:rsidRDefault="00D72148" w:rsidP="00934C08">
      <w:pPr>
        <w:pStyle w:val="BodyText"/>
        <w:spacing w:before="240" w:after="240"/>
        <w:rPr>
          <w:b/>
          <w:bCs/>
        </w:rPr>
      </w:pPr>
      <w:r w:rsidRPr="00E027ED">
        <w:rPr>
          <w:b/>
          <w:bCs/>
        </w:rPr>
        <w:t xml:space="preserve">Diazepam suppositories </w:t>
      </w:r>
    </w:p>
    <w:p w14:paraId="0E2D2ACC" w14:textId="0240638E" w:rsidR="00B94240" w:rsidRDefault="00934C08" w:rsidP="00934C08">
      <w:pPr>
        <w:pStyle w:val="BodyText"/>
        <w:spacing w:before="240"/>
      </w:pPr>
      <w:r w:rsidRPr="00D36B74">
        <w:t xml:space="preserve">Diazepam is not TGA registered for use in endometriosis or related conditions, however it is listed for the relief of reflex muscle spasm due to local trauma (injury, inflammation) to muscles, bones, and joints. </w:t>
      </w:r>
      <w:r w:rsidR="00E027ED">
        <w:t xml:space="preserve">Diazepam in any presentation </w:t>
      </w:r>
      <w:r w:rsidR="00E027ED" w:rsidRPr="00D36B74">
        <w:t xml:space="preserve">is not recommended in </w:t>
      </w:r>
      <w:r w:rsidR="00B94240">
        <w:t xml:space="preserve">any </w:t>
      </w:r>
      <w:r w:rsidR="00E027ED" w:rsidRPr="00D36B74">
        <w:t>current clinical guidelines for the pharmacological management of endometriosis.</w:t>
      </w:r>
      <w:r w:rsidR="00B94240">
        <w:t xml:space="preserve"> </w:t>
      </w:r>
      <w:r w:rsidR="00B94240" w:rsidRPr="00D36B74">
        <w:t xml:space="preserve">Diazepam in any form has an increased risk of addiction and abuse. </w:t>
      </w:r>
    </w:p>
    <w:p w14:paraId="360E5B16" w14:textId="08BB2FCB" w:rsidR="001F16DA" w:rsidRDefault="00B94240" w:rsidP="00B94240">
      <w:pPr>
        <w:pStyle w:val="BodyText"/>
        <w:spacing w:before="240"/>
      </w:pPr>
      <w:r>
        <w:t xml:space="preserve">There are several factors that would make PBS listing challenging. </w:t>
      </w:r>
      <w:r w:rsidR="002D2289" w:rsidRPr="00D36B74">
        <w:t xml:space="preserve">Diazepam suppositories </w:t>
      </w:r>
      <w:r w:rsidR="00E027ED">
        <w:t xml:space="preserve">are not </w:t>
      </w:r>
      <w:r w:rsidR="002D2289" w:rsidRPr="00D36B74">
        <w:t xml:space="preserve">currently </w:t>
      </w:r>
      <w:r w:rsidR="00E027ED">
        <w:t xml:space="preserve">available as a </w:t>
      </w:r>
      <w:r w:rsidR="002D2289" w:rsidRPr="00D36B74">
        <w:t>proprietary product</w:t>
      </w:r>
      <w:r w:rsidR="00E027ED">
        <w:t xml:space="preserve">. </w:t>
      </w:r>
      <w:r>
        <w:t xml:space="preserve">Availability would depend on compounding as an </w:t>
      </w:r>
      <w:r w:rsidR="002D2289" w:rsidRPr="00D36B74">
        <w:t>extemporaneous pharmaceutical product</w:t>
      </w:r>
      <w:r>
        <w:t>.</w:t>
      </w:r>
      <w:r w:rsidR="002D2289" w:rsidRPr="00D36B74">
        <w:t xml:space="preserve"> </w:t>
      </w:r>
      <w:r>
        <w:t xml:space="preserve">The PBS extemporaneous schedule does not include </w:t>
      </w:r>
      <w:r w:rsidR="002D2289" w:rsidRPr="00D36B74">
        <w:t>extemporaneous suppositories or vaginal pessaries</w:t>
      </w:r>
      <w:r>
        <w:t>. S</w:t>
      </w:r>
      <w:r w:rsidR="002D2289" w:rsidRPr="00D36B74">
        <w:t xml:space="preserve">tandard excipients used in the production of suppositories are not listed on the PBS extemporaneous drug tariff. </w:t>
      </w:r>
    </w:p>
    <w:p w14:paraId="6B9F77BF" w14:textId="77777777" w:rsidR="00F3509B" w:rsidRDefault="00F3509B" w:rsidP="001F16DA">
      <w:pPr>
        <w:pStyle w:val="BodyText"/>
      </w:pPr>
    </w:p>
    <w:p w14:paraId="36222F1E" w14:textId="0A769FA7" w:rsidR="00941190" w:rsidRPr="00391E61" w:rsidRDefault="00F47CE4" w:rsidP="001920F2">
      <w:pPr>
        <w:pStyle w:val="BodyText"/>
        <w:spacing w:after="240"/>
        <w:rPr>
          <w:b/>
          <w:bCs/>
        </w:rPr>
      </w:pPr>
      <w:r w:rsidRPr="00391E61">
        <w:rPr>
          <w:b/>
          <w:bCs/>
        </w:rPr>
        <w:t>Hormonal contraceptives</w:t>
      </w:r>
    </w:p>
    <w:p w14:paraId="52EE19F1" w14:textId="77777777" w:rsidR="00391E61" w:rsidRPr="00391E61" w:rsidRDefault="00391E61" w:rsidP="001920F2">
      <w:pPr>
        <w:pStyle w:val="BodyText"/>
        <w:spacing w:after="240"/>
      </w:pPr>
      <w:r w:rsidRPr="00391E61">
        <w:t>Stakeholders requested access to two hormonal contraceptives in particular:</w:t>
      </w:r>
    </w:p>
    <w:p w14:paraId="05F32F18" w14:textId="5C0D17DE" w:rsidR="00391E61" w:rsidRPr="00391E61" w:rsidRDefault="00391E61" w:rsidP="00391E61">
      <w:pPr>
        <w:pStyle w:val="BodyText"/>
        <w:numPr>
          <w:ilvl w:val="0"/>
          <w:numId w:val="61"/>
        </w:numPr>
      </w:pPr>
      <w:r w:rsidRPr="00391E61">
        <w:t xml:space="preserve">Dienogest </w:t>
      </w:r>
      <w:r w:rsidR="00872A3B">
        <w:t>2000 mcg (Visanne</w:t>
      </w:r>
      <w:r w:rsidR="00872A3B">
        <w:rPr>
          <w:rFonts w:cstheme="minorHAnsi"/>
        </w:rPr>
        <w:t>®</w:t>
      </w:r>
      <w:r w:rsidR="00872A3B">
        <w:t xml:space="preserve">) </w:t>
      </w:r>
      <w:r w:rsidRPr="00391E61">
        <w:t>is not PBS listed and has T</w:t>
      </w:r>
      <w:r>
        <w:t>GA</w:t>
      </w:r>
      <w:r w:rsidRPr="00391E61">
        <w:t xml:space="preserve"> registration for </w:t>
      </w:r>
      <w:r w:rsidR="00500BDB">
        <w:t>treatment of endometriosis.</w:t>
      </w:r>
    </w:p>
    <w:p w14:paraId="6361D1BE" w14:textId="3AB8475B" w:rsidR="00391E61" w:rsidRPr="00391E61" w:rsidRDefault="00391E61">
      <w:pPr>
        <w:pStyle w:val="BodyText"/>
      </w:pPr>
    </w:p>
    <w:p w14:paraId="4A964606" w14:textId="710D6AB5" w:rsidR="00391E61" w:rsidRPr="00391E61" w:rsidRDefault="00391E61" w:rsidP="00391E61">
      <w:pPr>
        <w:pStyle w:val="BodyText"/>
        <w:numPr>
          <w:ilvl w:val="0"/>
          <w:numId w:val="61"/>
        </w:numPr>
      </w:pPr>
      <w:r w:rsidRPr="00391E61">
        <w:t xml:space="preserve">Dienogest + estradiol is not PBS-listed and has TGA registration for contraception and </w:t>
      </w:r>
      <w:r>
        <w:t>t</w:t>
      </w:r>
      <w:r w:rsidRPr="00391E61">
        <w:t>reatment of heavy and/or prolonged menstrual bleeding in women without organic pathology who desire oral contraception.</w:t>
      </w:r>
    </w:p>
    <w:p w14:paraId="03D78D42" w14:textId="045D2F7B" w:rsidR="00F47CE4" w:rsidRPr="00391E61" w:rsidRDefault="00F47CE4">
      <w:pPr>
        <w:pStyle w:val="BodyText"/>
        <w:rPr>
          <w:b/>
          <w:bCs/>
        </w:rPr>
      </w:pPr>
    </w:p>
    <w:p w14:paraId="2BAEADCA" w14:textId="54EE7E4E" w:rsidR="00DB2BC3" w:rsidRDefault="00391E61" w:rsidP="00DB2BC3">
      <w:pPr>
        <w:pStyle w:val="BodyText"/>
      </w:pPr>
      <w:r>
        <w:lastRenderedPageBreak/>
        <w:t xml:space="preserve">PBS listing for a specific indication generally requires that the medicine is TGA registered </w:t>
      </w:r>
      <w:r w:rsidR="003C5A6B">
        <w:t xml:space="preserve">for that therapeutic indication. </w:t>
      </w:r>
      <w:r w:rsidR="00500BDB">
        <w:t xml:space="preserve">Dienogest </w:t>
      </w:r>
      <w:r w:rsidR="00872A3B">
        <w:t xml:space="preserve">2000 mcg </w:t>
      </w:r>
      <w:r w:rsidR="00500BDB">
        <w:t>does have a</w:t>
      </w:r>
      <w:r w:rsidR="003C5A6B">
        <w:t xml:space="preserve"> specific TGA registered indication for endometriosis</w:t>
      </w:r>
      <w:r w:rsidR="00872A3B">
        <w:t xml:space="preserve">, however </w:t>
      </w:r>
      <w:r w:rsidR="003C5A6B">
        <w:t xml:space="preserve">to date, the PBAC has not considered a submission from </w:t>
      </w:r>
      <w:r w:rsidR="00872A3B">
        <w:t xml:space="preserve">the </w:t>
      </w:r>
      <w:r w:rsidR="003C5A6B">
        <w:t xml:space="preserve">sponsor to PBS-list. </w:t>
      </w:r>
    </w:p>
    <w:p w14:paraId="32139897" w14:textId="77777777" w:rsidR="00DB2BC3" w:rsidRDefault="00DB2BC3" w:rsidP="00DB2BC3">
      <w:pPr>
        <w:pStyle w:val="BodyText"/>
      </w:pPr>
    </w:p>
    <w:p w14:paraId="617B1273" w14:textId="5FE8302B" w:rsidR="003C5A6B" w:rsidRDefault="003C5A6B" w:rsidP="00DB2BC3">
      <w:pPr>
        <w:pStyle w:val="BodyText"/>
      </w:pPr>
      <w:r>
        <w:t xml:space="preserve">There are a range of older COCs PBS listed, however there are approximately </w:t>
      </w:r>
      <w:r w:rsidRPr="007B0DC4">
        <w:t xml:space="preserve">ten </w:t>
      </w:r>
      <w:r>
        <w:t>other</w:t>
      </w:r>
      <w:r w:rsidRPr="007B0DC4">
        <w:t xml:space="preserve"> COC</w:t>
      </w:r>
      <w:r>
        <w:t xml:space="preserve"> formulations </w:t>
      </w:r>
      <w:r w:rsidRPr="007B0DC4">
        <w:t>available to be prescribed</w:t>
      </w:r>
      <w:r>
        <w:t xml:space="preserve"> in Australia that are neither TGA registered specifically for use in endometriosis nor currently PBS-listed</w:t>
      </w:r>
      <w:r w:rsidR="00DB2BC3">
        <w:t>.</w:t>
      </w:r>
      <w:r>
        <w:t xml:space="preserve"> These newer COCs are often preferentially prescribed as alternative first line treatments for the management of endometriosis</w:t>
      </w:r>
      <w:r w:rsidR="00BB1F7E">
        <w:t xml:space="preserve">. </w:t>
      </w:r>
      <w:r>
        <w:t>They are generally higher pri</w:t>
      </w:r>
      <w:r w:rsidR="00DB2BC3">
        <w:t xml:space="preserve">ced medicines, creating </w:t>
      </w:r>
      <w:r>
        <w:t xml:space="preserve">a high economic burden for those patients who cannot tolerate or achieve symptom relief from the currently available PBS subsidised options. </w:t>
      </w:r>
    </w:p>
    <w:p w14:paraId="00DE8917" w14:textId="743DE116" w:rsidR="003C5A6B" w:rsidRDefault="003C5A6B">
      <w:pPr>
        <w:pStyle w:val="BodyText"/>
      </w:pPr>
    </w:p>
    <w:p w14:paraId="5F0C66EA" w14:textId="698CC4C0" w:rsidR="00BB1F7E" w:rsidRDefault="00DB2BC3" w:rsidP="00872A3B">
      <w:pPr>
        <w:pStyle w:val="BodyText"/>
        <w:spacing w:after="240"/>
      </w:pPr>
      <w:r>
        <w:t xml:space="preserve">The barriers to access </w:t>
      </w:r>
      <w:r w:rsidR="00BB1F7E">
        <w:t>these</w:t>
      </w:r>
      <w:r>
        <w:t xml:space="preserve"> medicines via the PBS may include: </w:t>
      </w:r>
    </w:p>
    <w:p w14:paraId="7D079B2F" w14:textId="77777777" w:rsidR="00BB1F7E" w:rsidRDefault="00DB2BC3" w:rsidP="00872A3B">
      <w:pPr>
        <w:pStyle w:val="BodyText"/>
        <w:numPr>
          <w:ilvl w:val="0"/>
          <w:numId w:val="62"/>
        </w:numPr>
      </w:pPr>
      <w:r>
        <w:t xml:space="preserve">the lack of incentive for medicine sponsors to apply for PBS listing given that use of their medicine may be well established in the private market, </w:t>
      </w:r>
    </w:p>
    <w:p w14:paraId="59A55950" w14:textId="5D3F29CA" w:rsidR="00BB1F7E" w:rsidRDefault="00BB1F7E" w:rsidP="00872A3B">
      <w:pPr>
        <w:pStyle w:val="BodyText"/>
        <w:numPr>
          <w:ilvl w:val="0"/>
          <w:numId w:val="62"/>
        </w:numPr>
      </w:pPr>
      <w:r>
        <w:t xml:space="preserve">the lack of </w:t>
      </w:r>
      <w:r w:rsidR="00DB2BC3">
        <w:t xml:space="preserve">robust evidence to support an application for a specific TGA registered indication for endometriosis and a specific PBS listing for the same indication </w:t>
      </w:r>
      <w:r w:rsidR="00872A3B">
        <w:t>and</w:t>
      </w:r>
    </w:p>
    <w:p w14:paraId="59622B7C" w14:textId="5B332471" w:rsidR="003C5A6B" w:rsidRDefault="00DB2BC3" w:rsidP="00872A3B">
      <w:pPr>
        <w:pStyle w:val="BodyText"/>
        <w:numPr>
          <w:ilvl w:val="0"/>
          <w:numId w:val="62"/>
        </w:numPr>
      </w:pPr>
      <w:r>
        <w:t>sponsors may not be willing to pay the costs involved in making a submission to the PBAC.</w:t>
      </w:r>
    </w:p>
    <w:p w14:paraId="26E0477B" w14:textId="77777777" w:rsidR="000B758F" w:rsidRDefault="000B758F">
      <w:pPr>
        <w:pStyle w:val="BodyText"/>
      </w:pPr>
    </w:p>
    <w:p w14:paraId="3EFE92C3" w14:textId="73BB9602" w:rsidR="000B758F" w:rsidRDefault="000B758F">
      <w:pPr>
        <w:pStyle w:val="BodyText"/>
      </w:pPr>
      <w:r w:rsidRPr="000B758F">
        <w:t xml:space="preserve">The PBAC's consideration is generally initiated by the </w:t>
      </w:r>
      <w:r>
        <w:t xml:space="preserve">medicine sponsor </w:t>
      </w:r>
      <w:r w:rsidRPr="000B758F">
        <w:t xml:space="preserve">responsible for a </w:t>
      </w:r>
      <w:r w:rsidR="00872A3B">
        <w:t xml:space="preserve">particular </w:t>
      </w:r>
      <w:r w:rsidRPr="000B758F">
        <w:t>medicine making an application for the medicine to be considered for PBS listing. It is usually the pharmaceutical company that holds the scientific data and other information necessary to inform the PBAC's consideration.</w:t>
      </w:r>
    </w:p>
    <w:p w14:paraId="6C22E3F0" w14:textId="77777777" w:rsidR="00DB2BC3" w:rsidRDefault="00DB2BC3">
      <w:pPr>
        <w:pStyle w:val="BodyText"/>
      </w:pPr>
    </w:p>
    <w:p w14:paraId="0515BDCC" w14:textId="77777777" w:rsidR="004F5BC7" w:rsidRPr="00E63416" w:rsidRDefault="004F5BC7" w:rsidP="001920F2">
      <w:pPr>
        <w:pStyle w:val="BodyText"/>
        <w:spacing w:after="240"/>
        <w:rPr>
          <w:b/>
          <w:bCs/>
        </w:rPr>
      </w:pPr>
      <w:r w:rsidRPr="00E63416">
        <w:rPr>
          <w:b/>
          <w:bCs/>
        </w:rPr>
        <w:t>Gonadotropin releasing hormone (GnRH) analogues</w:t>
      </w:r>
    </w:p>
    <w:p w14:paraId="6FD08BC8" w14:textId="7E08609C" w:rsidR="004F5BC7" w:rsidRDefault="00E63416" w:rsidP="003844FE">
      <w:pPr>
        <w:pStyle w:val="BodyText"/>
        <w:spacing w:after="240"/>
        <w:rPr>
          <w:rFonts w:eastAsia="Times New Roman"/>
        </w:rPr>
      </w:pPr>
      <w:r>
        <w:rPr>
          <w:rFonts w:eastAsia="Times New Roman"/>
        </w:rPr>
        <w:t xml:space="preserve">All three </w:t>
      </w:r>
      <w:r>
        <w:t xml:space="preserve">clinical guidelines for treatment of endometriosis recommend use of GnRH agonists in specific circumstances. </w:t>
      </w:r>
      <w:r w:rsidR="004F5BC7">
        <w:rPr>
          <w:rFonts w:eastAsia="Times New Roman"/>
        </w:rPr>
        <w:t>There are two GnRH analogues currently PBS subsidised as Restricted Benefits for the treatment of endometriosis that is visually proven:</w:t>
      </w:r>
    </w:p>
    <w:p w14:paraId="50011FA4" w14:textId="45A50252" w:rsidR="004F5BC7" w:rsidRPr="004578CC" w:rsidRDefault="00690F55" w:rsidP="003844FE">
      <w:pPr>
        <w:pStyle w:val="BodyText"/>
        <w:numPr>
          <w:ilvl w:val="1"/>
          <w:numId w:val="17"/>
        </w:numPr>
        <w:spacing w:after="240"/>
      </w:pPr>
      <w:r w:rsidRPr="004578CC">
        <w:t>Goserelin</w:t>
      </w:r>
      <w:r w:rsidR="004F5BC7" w:rsidRPr="004578CC">
        <w:t xml:space="preserve"> (injection) –</w:t>
      </w:r>
      <w:r w:rsidR="004F5BC7">
        <w:t>short term treatment up to six months</w:t>
      </w:r>
      <w:r w:rsidR="00E63416">
        <w:t>, only one course of not more than six months therapy will be authorised</w:t>
      </w:r>
    </w:p>
    <w:p w14:paraId="14CE78E8" w14:textId="1D9AAB45" w:rsidR="004F5BC7" w:rsidRDefault="004F5BC7" w:rsidP="003844FE">
      <w:pPr>
        <w:pStyle w:val="BodyText"/>
        <w:numPr>
          <w:ilvl w:val="1"/>
          <w:numId w:val="17"/>
        </w:numPr>
        <w:spacing w:after="240"/>
      </w:pPr>
      <w:r w:rsidRPr="004578CC">
        <w:t xml:space="preserve">Nafarelin (nasal </w:t>
      </w:r>
      <w:r w:rsidRPr="00E63416">
        <w:rPr>
          <w:rFonts w:eastAsia="Times New Roman"/>
        </w:rPr>
        <w:t>spray) –initial treatment up to 6 months, subseque</w:t>
      </w:r>
      <w:r w:rsidR="00E63416" w:rsidRPr="00E63416">
        <w:rPr>
          <w:rFonts w:eastAsia="Times New Roman"/>
        </w:rPr>
        <w:t>n</w:t>
      </w:r>
      <w:r w:rsidRPr="00E63416">
        <w:rPr>
          <w:rFonts w:eastAsia="Times New Roman"/>
        </w:rPr>
        <w:t xml:space="preserve">t treatment up to 6 months, treatment </w:t>
      </w:r>
      <w:r w:rsidR="00E63416" w:rsidRPr="00E63416">
        <w:rPr>
          <w:rFonts w:eastAsia="Times New Roman"/>
        </w:rPr>
        <w:t>must not be</w:t>
      </w:r>
      <w:r w:rsidRPr="00E63416">
        <w:rPr>
          <w:rFonts w:eastAsia="Times New Roman"/>
        </w:rPr>
        <w:t> within 2 years of the end of the previous course of treatment with this</w:t>
      </w:r>
      <w:r w:rsidR="00E63416" w:rsidRPr="00E63416">
        <w:rPr>
          <w:rFonts w:eastAsia="Times New Roman"/>
        </w:rPr>
        <w:t xml:space="preserve"> medicine</w:t>
      </w:r>
      <w:r w:rsidR="00E63416">
        <w:rPr>
          <w:rFonts w:eastAsia="Times New Roman"/>
        </w:rPr>
        <w:t>.</w:t>
      </w:r>
    </w:p>
    <w:p w14:paraId="02844466" w14:textId="77777777" w:rsidR="004F5BC7" w:rsidRDefault="00B94240" w:rsidP="003844FE">
      <w:pPr>
        <w:pStyle w:val="BodyText"/>
        <w:spacing w:after="240"/>
        <w:rPr>
          <w:b/>
          <w:bCs/>
        </w:rPr>
      </w:pPr>
      <w:r>
        <w:rPr>
          <w:b/>
          <w:bCs/>
        </w:rPr>
        <w:t>NSAIDS</w:t>
      </w:r>
    </w:p>
    <w:p w14:paraId="20D2AEF8" w14:textId="63F310EA" w:rsidR="00B94240" w:rsidRDefault="007A41D2">
      <w:pPr>
        <w:pStyle w:val="BodyText"/>
      </w:pPr>
      <w:r w:rsidRPr="004F5BC7">
        <w:t xml:space="preserve">All three </w:t>
      </w:r>
      <w:r>
        <w:t xml:space="preserve">clinical guidelines </w:t>
      </w:r>
      <w:r w:rsidR="004F5BC7">
        <w:t xml:space="preserve">for treatment of endometriosis </w:t>
      </w:r>
      <w:r>
        <w:t xml:space="preserve">recommend use of NSAIDs for the management </w:t>
      </w:r>
      <w:r w:rsidRPr="003E3D43">
        <w:t>of endometriosis-related pain</w:t>
      </w:r>
      <w:r>
        <w:t xml:space="preserve">. The PBS listed NSAIDs with TGA registration specifically for </w:t>
      </w:r>
      <w:r w:rsidRPr="003E3D43">
        <w:t>primary dysmenorrhoea</w:t>
      </w:r>
      <w:r>
        <w:t xml:space="preserve">, a symptom commonly associated with endometriosis are: mefenamic acid and ketoprofen (Restricted Benefits for </w:t>
      </w:r>
      <w:r w:rsidRPr="004F5BC7">
        <w:t>dysmenorrh</w:t>
      </w:r>
      <w:r w:rsidR="003844FE">
        <w:t>o</w:t>
      </w:r>
      <w:r w:rsidRPr="004F5BC7">
        <w:t xml:space="preserve">ea) and </w:t>
      </w:r>
      <w:r>
        <w:t>di</w:t>
      </w:r>
      <w:r w:rsidRPr="004F5BC7">
        <w:t>clofenac and ibu</w:t>
      </w:r>
      <w:r>
        <w:t>p</w:t>
      </w:r>
      <w:r w:rsidRPr="004F5BC7">
        <w:t>rofen (unrestricted benefits)</w:t>
      </w:r>
      <w:r>
        <w:t>. Two additional NSAIDs have TGA registration for dy</w:t>
      </w:r>
      <w:r w:rsidR="004F5BC7">
        <w:t>s</w:t>
      </w:r>
      <w:r>
        <w:t xml:space="preserve">menorrhoea (celecoxib, indomethacin) but PBS subsidy is limited to </w:t>
      </w:r>
      <w:r w:rsidRPr="003E3D43">
        <w:t>use in chronic arthropathies or osteoarthritis</w:t>
      </w:r>
      <w:r>
        <w:t>.</w:t>
      </w:r>
      <w:r w:rsidR="00BB1F7E">
        <w:t xml:space="preserve"> </w:t>
      </w:r>
      <w:r w:rsidR="000B758F">
        <w:t>Most NSAIDS are available for purchase over the counter in smaller quantities.</w:t>
      </w:r>
    </w:p>
    <w:p w14:paraId="47A36347" w14:textId="77777777" w:rsidR="000B758F" w:rsidRPr="004F5BC7" w:rsidRDefault="000B758F">
      <w:pPr>
        <w:pStyle w:val="BodyText"/>
      </w:pPr>
    </w:p>
    <w:p w14:paraId="3E04651A" w14:textId="2BFEA544" w:rsidR="00B94240" w:rsidRDefault="00B94240" w:rsidP="003844FE">
      <w:pPr>
        <w:pStyle w:val="BodyText"/>
        <w:spacing w:after="240"/>
        <w:rPr>
          <w:b/>
          <w:bCs/>
        </w:rPr>
      </w:pPr>
      <w:r>
        <w:rPr>
          <w:b/>
          <w:bCs/>
        </w:rPr>
        <w:t>Neuropathic pain treatments</w:t>
      </w:r>
    </w:p>
    <w:p w14:paraId="1470D430" w14:textId="5E95094C" w:rsidR="00C728CF" w:rsidRDefault="00B94240" w:rsidP="00C728CF">
      <w:pPr>
        <w:pStyle w:val="BodyText"/>
      </w:pPr>
      <w:r>
        <w:t>There is limited evidence for n</w:t>
      </w:r>
      <w:r w:rsidRPr="002D2289">
        <w:t>europathic pain treatments for</w:t>
      </w:r>
      <w:r>
        <w:t xml:space="preserve"> use in endometriosis</w:t>
      </w:r>
      <w:r w:rsidR="000B758F">
        <w:t>.</w:t>
      </w:r>
      <w:r w:rsidRPr="002D2289">
        <w:t xml:space="preserve"> </w:t>
      </w:r>
      <w:r w:rsidR="00C728CF">
        <w:t xml:space="preserve"> Some clinical guidelines suggest endometriosis pain may have </w:t>
      </w:r>
      <w:r w:rsidR="00C728CF" w:rsidRPr="002D2289">
        <w:t xml:space="preserve">a neuropathic component because endometrial </w:t>
      </w:r>
      <w:r w:rsidR="00C728CF" w:rsidRPr="002D2289">
        <w:lastRenderedPageBreak/>
        <w:t>deposits have been shown to be innervated</w:t>
      </w:r>
      <w:r w:rsidR="00C728CF">
        <w:t xml:space="preserve">; however other clinical guidelines state no evidence for or against the use of anti-neuropathic pain medications for pain associated with endometriosis.  </w:t>
      </w:r>
    </w:p>
    <w:p w14:paraId="25DA8774" w14:textId="77777777" w:rsidR="00C728CF" w:rsidRDefault="00C728CF" w:rsidP="000B758F">
      <w:pPr>
        <w:pStyle w:val="BodyText"/>
      </w:pPr>
    </w:p>
    <w:p w14:paraId="0724AE29" w14:textId="5F39BDF4" w:rsidR="00B94240" w:rsidRDefault="00B94240" w:rsidP="000B758F">
      <w:pPr>
        <w:pStyle w:val="BodyText"/>
      </w:pPr>
      <w:r w:rsidRPr="002D2289">
        <w:t xml:space="preserve">Expanding the PBS restrictions </w:t>
      </w:r>
      <w:r>
        <w:t xml:space="preserve">to allow specific use for endometriosis related pain would require medicine sponsors to first pursue TGA registration for this indication and then apply for PBS listing for this indication. </w:t>
      </w:r>
      <w:r w:rsidR="000B758F">
        <w:t xml:space="preserve">Currently, </w:t>
      </w:r>
      <w:r w:rsidR="003844FE">
        <w:t xml:space="preserve">of medicines used to treat neuropathic pain, </w:t>
      </w:r>
      <w:r w:rsidR="000B758F">
        <w:t>only pregabalin is PBS listed specifically for neuropathic pain, and amitriptyline has an unrestricted benefit listing which would allow use for neuropathic pain</w:t>
      </w:r>
      <w:r>
        <w:t xml:space="preserve">. </w:t>
      </w:r>
    </w:p>
    <w:p w14:paraId="3DD9149C" w14:textId="79D16C8E" w:rsidR="00B94240" w:rsidRPr="002D2289" w:rsidRDefault="00B94240" w:rsidP="000B758F">
      <w:pPr>
        <w:pStyle w:val="BodyText"/>
        <w:spacing w:before="240"/>
      </w:pPr>
      <w:r>
        <w:t xml:space="preserve">There would also be quality use of medicines (QUM) concerns in expanding the PBS restrictions due to the potential for dependency/abuse with pregabalin </w:t>
      </w:r>
      <w:r w:rsidRPr="002D2289">
        <w:t xml:space="preserve">and risk of </w:t>
      </w:r>
      <w:r>
        <w:t xml:space="preserve">use in </w:t>
      </w:r>
      <w:r w:rsidRPr="002D2289">
        <w:t>other</w:t>
      </w:r>
      <w:r>
        <w:t xml:space="preserve"> non-PBS subsidised</w:t>
      </w:r>
      <w:r w:rsidRPr="002D2289">
        <w:t xml:space="preserve"> nerve pain related conditions. </w:t>
      </w:r>
    </w:p>
    <w:p w14:paraId="343B7858" w14:textId="77777777" w:rsidR="00B94240" w:rsidRDefault="00B94240">
      <w:pPr>
        <w:pStyle w:val="BodyText"/>
        <w:rPr>
          <w:b/>
          <w:bCs/>
        </w:rPr>
      </w:pPr>
    </w:p>
    <w:p w14:paraId="41660936" w14:textId="77777777" w:rsidR="00B94240" w:rsidRDefault="00B94240">
      <w:pPr>
        <w:pStyle w:val="BodyText"/>
        <w:rPr>
          <w:b/>
          <w:bCs/>
        </w:rPr>
      </w:pPr>
    </w:p>
    <w:p w14:paraId="709B6B2F" w14:textId="77777777" w:rsidR="00B94240" w:rsidRDefault="00B94240">
      <w:pPr>
        <w:pStyle w:val="BodyText"/>
        <w:rPr>
          <w:b/>
          <w:bCs/>
        </w:rPr>
      </w:pPr>
    </w:p>
    <w:p w14:paraId="66C2BD28" w14:textId="77777777" w:rsidR="00B94240" w:rsidRDefault="00B94240">
      <w:pPr>
        <w:pStyle w:val="BodyText"/>
        <w:rPr>
          <w:b/>
          <w:bCs/>
        </w:rPr>
      </w:pPr>
    </w:p>
    <w:p w14:paraId="3D562B90" w14:textId="77777777" w:rsidR="00CE13F4" w:rsidRPr="0058359E" w:rsidRDefault="00CE13F4">
      <w:pPr>
        <w:pStyle w:val="BodyText"/>
      </w:pPr>
    </w:p>
    <w:p w14:paraId="007D6BD5" w14:textId="77777777" w:rsidR="00F3509B" w:rsidRDefault="00F3509B" w:rsidP="00E86B45">
      <w:pPr>
        <w:pStyle w:val="BodyText"/>
      </w:pPr>
    </w:p>
    <w:p w14:paraId="1DB26ACD" w14:textId="77777777" w:rsidR="004D0BE7" w:rsidRDefault="004D0BE7" w:rsidP="004D0BE7">
      <w:pPr>
        <w:pStyle w:val="Heading2"/>
        <w:spacing w:after="240"/>
        <w:sectPr w:rsidR="004D0BE7" w:rsidSect="003E3D43">
          <w:pgSz w:w="11906" w:h="16838"/>
          <w:pgMar w:top="1440" w:right="1440" w:bottom="1440" w:left="1440" w:header="708" w:footer="708" w:gutter="0"/>
          <w:cols w:space="708"/>
          <w:docGrid w:linePitch="360"/>
        </w:sectPr>
      </w:pPr>
    </w:p>
    <w:p w14:paraId="10F4A32A" w14:textId="747144AA" w:rsidR="00302D88" w:rsidRPr="001C2D87" w:rsidRDefault="00A844F1" w:rsidP="00A844F1">
      <w:pPr>
        <w:pStyle w:val="Heading2"/>
        <w:rPr>
          <w:color w:val="2F5496" w:themeColor="accent1" w:themeShade="BF"/>
        </w:rPr>
      </w:pPr>
      <w:bookmarkStart w:id="24" w:name="_Toc118813843"/>
      <w:r w:rsidRPr="001C2D87">
        <w:rPr>
          <w:color w:val="2F5496" w:themeColor="accent1" w:themeShade="BF"/>
        </w:rPr>
        <w:lastRenderedPageBreak/>
        <w:t>References</w:t>
      </w:r>
      <w:bookmarkEnd w:id="24"/>
    </w:p>
    <w:sectPr w:rsidR="00302D88" w:rsidRPr="001C2D87" w:rsidSect="003E3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95BB1" w14:textId="77777777" w:rsidR="005C5719" w:rsidRDefault="005C5719" w:rsidP="002460F2">
      <w:pPr>
        <w:spacing w:after="0" w:line="240" w:lineRule="auto"/>
      </w:pPr>
      <w:r>
        <w:separator/>
      </w:r>
    </w:p>
  </w:endnote>
  <w:endnote w:type="continuationSeparator" w:id="0">
    <w:p w14:paraId="4BDAF067" w14:textId="77777777" w:rsidR="005C5719" w:rsidRDefault="005C5719" w:rsidP="002460F2">
      <w:pPr>
        <w:spacing w:after="0" w:line="240" w:lineRule="auto"/>
      </w:pPr>
      <w:r>
        <w:continuationSeparator/>
      </w:r>
    </w:p>
  </w:endnote>
  <w:endnote w:id="1">
    <w:p w14:paraId="705297F0" w14:textId="7652C7FD" w:rsidR="00161A53" w:rsidRPr="00A844F1" w:rsidRDefault="00161A53" w:rsidP="0097240C">
      <w:pPr>
        <w:pStyle w:val="BodyText"/>
        <w:spacing w:before="240"/>
      </w:pPr>
      <w:r w:rsidRPr="00A844F1">
        <w:rPr>
          <w:rStyle w:val="EndnoteReference"/>
          <w:rFonts w:ascii="Cambria" w:hAnsi="Cambria" w:cstheme="minorHAnsi"/>
          <w:sz w:val="24"/>
        </w:rPr>
        <w:endnoteRef/>
      </w:r>
      <w:r w:rsidRPr="00A844F1">
        <w:t xml:space="preserve"> Jean Hailes for Women’s Health, symptoms and causes of endometriosis, https://www.jeanhailes.org.au/health-a-z/endometriosis/symptoms-causes#what-is-endometriosis</w:t>
      </w:r>
    </w:p>
  </w:endnote>
  <w:endnote w:id="2">
    <w:p w14:paraId="48C0C4DE" w14:textId="62012894" w:rsidR="00161A53" w:rsidRPr="00A844F1" w:rsidRDefault="00161A53" w:rsidP="0097240C">
      <w:pPr>
        <w:pStyle w:val="BodyText"/>
        <w:spacing w:before="240"/>
      </w:pPr>
      <w:r w:rsidRPr="00A844F1">
        <w:rPr>
          <w:rStyle w:val="EndnoteReference"/>
          <w:rFonts w:ascii="Cambria" w:hAnsi="Cambria" w:cstheme="minorHAnsi"/>
          <w:sz w:val="24"/>
        </w:rPr>
        <w:endnoteRef/>
      </w:r>
      <w:r w:rsidRPr="00A844F1">
        <w:t xml:space="preserve"> Endometriosis Australia, https://www.endometriosisaustralia.org/</w:t>
      </w:r>
    </w:p>
  </w:endnote>
  <w:endnote w:id="3">
    <w:p w14:paraId="68BB40EF" w14:textId="58C2A8E3" w:rsidR="00161A53" w:rsidRPr="0070620E" w:rsidRDefault="00161A53" w:rsidP="0097240C">
      <w:pPr>
        <w:pStyle w:val="BodyText"/>
        <w:spacing w:before="240"/>
      </w:pPr>
      <w:r w:rsidRPr="0070620E">
        <w:rPr>
          <w:rStyle w:val="EndnoteReference"/>
          <w:rFonts w:ascii="Cambria" w:hAnsi="Cambria"/>
          <w:sz w:val="24"/>
        </w:rPr>
        <w:endnoteRef/>
      </w:r>
      <w:r w:rsidRPr="0070620E">
        <w:t xml:space="preserve"> Australian Institute of Health and Welfare, Endometriosis in Australia: prevalence and hospitalisations, https://www.aihw.gov.au/getmedia/a4ba101d-cd6d-4567-a44f-f825047187b8/aihw-phe-247.pdf.aspx?inline=true</w:t>
      </w:r>
    </w:p>
  </w:endnote>
  <w:endnote w:id="4">
    <w:p w14:paraId="793F4EF4" w14:textId="11C2C65B" w:rsidR="00161A53" w:rsidRPr="00C54D27" w:rsidRDefault="00161A53" w:rsidP="0097240C">
      <w:pPr>
        <w:pStyle w:val="BodyText"/>
        <w:spacing w:before="240"/>
      </w:pPr>
      <w:r w:rsidRPr="0052284D">
        <w:rPr>
          <w:rStyle w:val="EndnoteReference"/>
          <w:rFonts w:ascii="Cambria" w:hAnsi="Cambria"/>
          <w:sz w:val="24"/>
        </w:rPr>
        <w:endnoteRef/>
      </w:r>
      <w:r w:rsidRPr="0052284D">
        <w:t xml:space="preserve"> National Action Plan for Endometriosis, https://www.health.gov.au/resources/publications/national-action-plan-for-endometriosis</w:t>
      </w:r>
    </w:p>
  </w:endnote>
  <w:endnote w:id="5">
    <w:p w14:paraId="6B213D72" w14:textId="77777777" w:rsidR="00FF2E26" w:rsidRPr="00C54D27" w:rsidRDefault="00FF2E26" w:rsidP="00FF2E26">
      <w:pPr>
        <w:pStyle w:val="BodyText"/>
        <w:spacing w:before="240"/>
      </w:pPr>
      <w:r w:rsidRPr="00C54D27">
        <w:rPr>
          <w:rStyle w:val="EndnoteReference"/>
          <w:rFonts w:ascii="Cambria" w:hAnsi="Cambria"/>
          <w:sz w:val="24"/>
        </w:rPr>
        <w:endnoteRef/>
      </w:r>
      <w:r w:rsidRPr="00C54D27">
        <w:t xml:space="preserve"> Electronic Therapeutic Guidelines Australia, https://tgldcdp.tg.org.au/etgAccess</w:t>
      </w:r>
    </w:p>
  </w:endnote>
  <w:endnote w:id="6">
    <w:p w14:paraId="753F2C1B" w14:textId="77777777" w:rsidR="00FF2E26" w:rsidRPr="00C54D27" w:rsidRDefault="00FF2E26" w:rsidP="00FF2E26">
      <w:pPr>
        <w:pStyle w:val="BodyText"/>
        <w:spacing w:before="240"/>
      </w:pPr>
      <w:r w:rsidRPr="00C54D27">
        <w:rPr>
          <w:rStyle w:val="EndnoteReference"/>
          <w:rFonts w:ascii="Cambria" w:hAnsi="Cambria"/>
          <w:sz w:val="24"/>
        </w:rPr>
        <w:endnoteRef/>
      </w:r>
      <w:r w:rsidRPr="00C54D27">
        <w:t xml:space="preserve"> Endometriosis Clinical Practice Guideline, RANZCOG, http://ranzcog.edu.au/wp-content/uploads/2022/02/Endometriosis-clinical-practice-guideline.pdf</w:t>
      </w:r>
    </w:p>
  </w:endnote>
  <w:endnote w:id="7">
    <w:p w14:paraId="138C0504" w14:textId="77777777" w:rsidR="00FF2E26" w:rsidRDefault="00FF2E26" w:rsidP="00FF2E26">
      <w:pPr>
        <w:pStyle w:val="BodyText"/>
        <w:spacing w:before="240"/>
      </w:pPr>
      <w:r w:rsidRPr="00C54D27">
        <w:rPr>
          <w:rStyle w:val="EndnoteReference"/>
          <w:rFonts w:ascii="Cambria" w:hAnsi="Cambria"/>
          <w:sz w:val="24"/>
        </w:rPr>
        <w:endnoteRef/>
      </w:r>
      <w:r w:rsidRPr="00C54D27">
        <w:t xml:space="preserve"> Australian Medicines Handbook, Endometriosis, https://amhonline.amh.net.au/</w:t>
      </w:r>
    </w:p>
  </w:endnote>
  <w:endnote w:id="8">
    <w:p w14:paraId="2D904B37" w14:textId="1264946F" w:rsidR="00161A53" w:rsidRPr="00C54D27" w:rsidRDefault="00161A53" w:rsidP="0097240C">
      <w:pPr>
        <w:pStyle w:val="BodyText"/>
        <w:spacing w:before="240"/>
      </w:pPr>
      <w:r w:rsidRPr="00C54D27">
        <w:rPr>
          <w:rStyle w:val="EndnoteReference"/>
          <w:rFonts w:ascii="Cambria" w:hAnsi="Cambria"/>
          <w:sz w:val="24"/>
        </w:rPr>
        <w:endnoteRef/>
      </w:r>
      <w:r w:rsidRPr="00C54D27">
        <w:t xml:space="preserve"> The Pharmaceutical Benefits Scheme, https://www.pbs.gov.au/pbs/home</w:t>
      </w:r>
    </w:p>
  </w:endnote>
  <w:endnote w:id="9">
    <w:p w14:paraId="6D4BE38A" w14:textId="4C08B3B2" w:rsidR="00161A53" w:rsidRPr="00C54D27" w:rsidRDefault="00161A53" w:rsidP="0097240C">
      <w:pPr>
        <w:pStyle w:val="BodyText"/>
        <w:spacing w:before="240"/>
      </w:pPr>
      <w:r w:rsidRPr="00C54D27">
        <w:rPr>
          <w:rStyle w:val="EndnoteReference"/>
          <w:rFonts w:ascii="Cambria" w:hAnsi="Cambria"/>
          <w:sz w:val="24"/>
        </w:rPr>
        <w:endnoteRef/>
      </w:r>
      <w:r w:rsidRPr="00C54D27">
        <w:t xml:space="preserve"> Department of Health and Aged Care, Therapeutic Goods Administration, https://www.tga.gov.au/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151860225"/>
      <w:docPartObj>
        <w:docPartGallery w:val="Page Numbers (Bottom of Page)"/>
        <w:docPartUnique/>
      </w:docPartObj>
    </w:sdtPr>
    <w:sdtEndPr>
      <w:rPr>
        <w:noProof/>
      </w:rPr>
    </w:sdtEndPr>
    <w:sdtContent>
      <w:p w14:paraId="1737FFF9" w14:textId="3D9A5E64" w:rsidR="00161A53" w:rsidRPr="00304A59" w:rsidRDefault="00161A53">
        <w:pPr>
          <w:pStyle w:val="Footer"/>
          <w:jc w:val="center"/>
          <w:rPr>
            <w:rFonts w:asciiTheme="minorHAnsi" w:hAnsiTheme="minorHAnsi" w:cstheme="minorHAnsi"/>
          </w:rPr>
        </w:pPr>
        <w:r w:rsidRPr="00304A59">
          <w:rPr>
            <w:rFonts w:asciiTheme="minorHAnsi" w:hAnsiTheme="minorHAnsi" w:cstheme="minorHAnsi"/>
          </w:rPr>
          <w:fldChar w:fldCharType="begin"/>
        </w:r>
        <w:r w:rsidRPr="001920F2">
          <w:rPr>
            <w:rFonts w:asciiTheme="minorHAnsi" w:hAnsiTheme="minorHAnsi" w:cstheme="minorHAnsi"/>
          </w:rPr>
          <w:instrText xml:space="preserve"> PAGE   \* MERGEFORMAT </w:instrText>
        </w:r>
        <w:r w:rsidRPr="00304A59">
          <w:rPr>
            <w:rFonts w:asciiTheme="minorHAnsi" w:hAnsiTheme="minorHAnsi" w:cstheme="minorHAnsi"/>
          </w:rPr>
          <w:fldChar w:fldCharType="separate"/>
        </w:r>
        <w:r w:rsidRPr="001920F2">
          <w:rPr>
            <w:rFonts w:asciiTheme="minorHAnsi" w:hAnsiTheme="minorHAnsi" w:cstheme="minorHAnsi"/>
            <w:noProof/>
          </w:rPr>
          <w:t>2</w:t>
        </w:r>
        <w:r w:rsidRPr="00304A59">
          <w:rPr>
            <w:rFonts w:asciiTheme="minorHAnsi" w:hAnsiTheme="minorHAnsi" w:cstheme="minorHAnsi"/>
            <w:noProof/>
          </w:rPr>
          <w:fldChar w:fldCharType="end"/>
        </w:r>
      </w:p>
    </w:sdtContent>
  </w:sdt>
  <w:p w14:paraId="1AAC7208" w14:textId="77777777" w:rsidR="00161A53" w:rsidRDefault="00161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ED28A" w14:textId="77777777" w:rsidR="005C5719" w:rsidRDefault="005C5719" w:rsidP="002460F2">
      <w:pPr>
        <w:spacing w:after="0" w:line="240" w:lineRule="auto"/>
      </w:pPr>
      <w:r>
        <w:separator/>
      </w:r>
    </w:p>
  </w:footnote>
  <w:footnote w:type="continuationSeparator" w:id="0">
    <w:p w14:paraId="06D761E7" w14:textId="77777777" w:rsidR="005C5719" w:rsidRDefault="005C5719" w:rsidP="002460F2">
      <w:pPr>
        <w:spacing w:after="0" w:line="240" w:lineRule="auto"/>
      </w:pPr>
      <w:r>
        <w:continuationSeparator/>
      </w:r>
    </w:p>
  </w:footnote>
  <w:footnote w:id="1">
    <w:p w14:paraId="391BC490" w14:textId="2897DED8" w:rsidR="00E63416" w:rsidRDefault="00E63416">
      <w:pPr>
        <w:pStyle w:val="FootnoteText"/>
      </w:pPr>
      <w:r>
        <w:rPr>
          <w:rStyle w:val="FootnoteReference"/>
        </w:rPr>
        <w:footnoteRef/>
      </w:r>
      <w:r>
        <w:t xml:space="preserve"> </w:t>
      </w:r>
      <w:r w:rsidRPr="00E63416">
        <w:rPr>
          <w:rFonts w:asciiTheme="minorHAnsi" w:hAnsiTheme="minorHAnsi" w:cstheme="minorHAnsi"/>
        </w:rPr>
        <w:t>PBS delisted 19 March 2021</w:t>
      </w:r>
    </w:p>
  </w:footnote>
  <w:footnote w:id="2">
    <w:p w14:paraId="77F81C51" w14:textId="77777777" w:rsidR="00E63416" w:rsidRPr="00E63416" w:rsidRDefault="00E63416" w:rsidP="00E63416">
      <w:pPr>
        <w:pStyle w:val="NormalWeb"/>
        <w:spacing w:before="0" w:beforeAutospacing="0" w:after="0" w:afterAutospacing="0"/>
        <w:rPr>
          <w:rFonts w:asciiTheme="minorHAnsi" w:hAnsiTheme="minorHAnsi" w:cstheme="minorHAnsi"/>
          <w:sz w:val="20"/>
          <w:szCs w:val="20"/>
        </w:rPr>
      </w:pPr>
      <w:r>
        <w:rPr>
          <w:rStyle w:val="FootnoteReference"/>
        </w:rPr>
        <w:footnoteRef/>
      </w:r>
      <w:r>
        <w:t xml:space="preserve"> </w:t>
      </w:r>
      <w:r w:rsidRPr="00E63416">
        <w:rPr>
          <w:rFonts w:asciiTheme="minorHAnsi" w:hAnsiTheme="minorHAnsi" w:cstheme="minorHAnsi"/>
          <w:sz w:val="20"/>
          <w:szCs w:val="20"/>
        </w:rPr>
        <w:t xml:space="preserve">PBS delisted 19 March 2021 </w:t>
      </w:r>
    </w:p>
    <w:p w14:paraId="0BB457FB" w14:textId="04635687" w:rsidR="00E63416" w:rsidRDefault="00E6341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73E8" w14:textId="558375D1" w:rsidR="00161A53" w:rsidRPr="00F2186A" w:rsidRDefault="004F184A">
    <w:pPr>
      <w:pStyle w:val="Header"/>
      <w:rPr>
        <w:rFonts w:asciiTheme="minorHAnsi" w:hAnsiTheme="minorHAnsi" w:cstheme="minorHAnsi"/>
        <w:sz w:val="20"/>
        <w:szCs w:val="20"/>
      </w:rPr>
    </w:pPr>
    <w:r w:rsidRPr="00CD3122">
      <w:rPr>
        <w:rFonts w:asciiTheme="minorHAnsi" w:hAnsiTheme="minorHAnsi" w:cstheme="minorHAnsi"/>
        <w:sz w:val="20"/>
        <w:szCs w:val="20"/>
      </w:rPr>
      <w:t>Endometriosis medicines stocktake and guideline comparison report –</w:t>
    </w:r>
    <w:r w:rsidR="00CD3122">
      <w:rPr>
        <w:rFonts w:asciiTheme="minorHAnsi" w:hAnsiTheme="minorHAnsi" w:cstheme="minorHAnsi"/>
        <w:sz w:val="20"/>
        <w:szCs w:val="20"/>
      </w:rPr>
      <w:t>November</w:t>
    </w:r>
    <w:r w:rsidRPr="00CD3122">
      <w:rPr>
        <w:rFonts w:asciiTheme="minorHAnsi" w:hAnsiTheme="minorHAnsi" w:cstheme="minorHAnsi"/>
        <w:sz w:val="20"/>
        <w:szCs w:val="20"/>
      </w:rPr>
      <w:t>2022</w:t>
    </w:r>
    <w:r w:rsidR="00161A53" w:rsidRPr="00F2186A">
      <w:rPr>
        <w:rFonts w:asciiTheme="minorHAnsi" w:hAnsiTheme="minorHAnsi" w:cstheme="minorHAns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766"/>
    <w:multiLevelType w:val="hybridMultilevel"/>
    <w:tmpl w:val="A2B22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51AD1"/>
    <w:multiLevelType w:val="hybridMultilevel"/>
    <w:tmpl w:val="68E48C6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D716D1"/>
    <w:multiLevelType w:val="hybridMultilevel"/>
    <w:tmpl w:val="0F64F3FE"/>
    <w:lvl w:ilvl="0" w:tplc="39B401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292E2B"/>
    <w:multiLevelType w:val="hybridMultilevel"/>
    <w:tmpl w:val="A79ECF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0D2361"/>
    <w:multiLevelType w:val="hybridMultilevel"/>
    <w:tmpl w:val="986625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F30B4A"/>
    <w:multiLevelType w:val="hybridMultilevel"/>
    <w:tmpl w:val="81AC1FDE"/>
    <w:lvl w:ilvl="0" w:tplc="39B401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FD34E0"/>
    <w:multiLevelType w:val="hybridMultilevel"/>
    <w:tmpl w:val="86862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914119"/>
    <w:multiLevelType w:val="hybridMultilevel"/>
    <w:tmpl w:val="3A6EF18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F821B8"/>
    <w:multiLevelType w:val="hybridMultilevel"/>
    <w:tmpl w:val="861A058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AA5A09"/>
    <w:multiLevelType w:val="hybridMultilevel"/>
    <w:tmpl w:val="C58281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B973D5"/>
    <w:multiLevelType w:val="hybridMultilevel"/>
    <w:tmpl w:val="E19CC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D95630"/>
    <w:multiLevelType w:val="hybridMultilevel"/>
    <w:tmpl w:val="5244641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54D4704"/>
    <w:multiLevelType w:val="hybridMultilevel"/>
    <w:tmpl w:val="58343638"/>
    <w:lvl w:ilvl="0" w:tplc="39B401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DF5255"/>
    <w:multiLevelType w:val="hybridMultilevel"/>
    <w:tmpl w:val="936E543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4" w15:restartNumberingAfterBreak="0">
    <w:nsid w:val="2886631D"/>
    <w:multiLevelType w:val="hybridMultilevel"/>
    <w:tmpl w:val="463E2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3500BA"/>
    <w:multiLevelType w:val="hybridMultilevel"/>
    <w:tmpl w:val="E6947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9250E9"/>
    <w:multiLevelType w:val="hybridMultilevel"/>
    <w:tmpl w:val="A1BC34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D0A04A7"/>
    <w:multiLevelType w:val="hybridMultilevel"/>
    <w:tmpl w:val="6D2EF00C"/>
    <w:lvl w:ilvl="0" w:tplc="39B401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402051"/>
    <w:multiLevelType w:val="hybridMultilevel"/>
    <w:tmpl w:val="414A42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2843707"/>
    <w:multiLevelType w:val="multilevel"/>
    <w:tmpl w:val="C4126B60"/>
    <w:lvl w:ilvl="0">
      <w:start w:val="1"/>
      <w:numFmt w:val="decimal"/>
      <w:lvlText w:val="%1."/>
      <w:lvlJc w:val="left"/>
      <w:pPr>
        <w:ind w:left="360" w:hanging="360"/>
      </w:pPr>
      <w:rPr>
        <w:rFonts w:hint="default"/>
        <w:color w:val="auto"/>
      </w:rPr>
    </w:lvl>
    <w:lvl w:ilvl="1">
      <w:start w:val="1"/>
      <w:numFmt w:val="decimal"/>
      <w:isLgl/>
      <w:lvlText w:val="%1.%2"/>
      <w:lvlJc w:val="left"/>
      <w:pPr>
        <w:ind w:left="1004"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35052D2C"/>
    <w:multiLevelType w:val="hybridMultilevel"/>
    <w:tmpl w:val="90663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85570A"/>
    <w:multiLevelType w:val="multilevel"/>
    <w:tmpl w:val="F39E8D5C"/>
    <w:lvl w:ilvl="0">
      <w:start w:val="1"/>
      <w:numFmt w:val="bullet"/>
      <w:lvlText w:val=""/>
      <w:lvlJc w:val="left"/>
      <w:pPr>
        <w:ind w:left="1724" w:hanging="360"/>
      </w:pPr>
      <w:rPr>
        <w:rFonts w:ascii="Symbol" w:hAnsi="Symbol" w:hint="default"/>
        <w:color w:val="auto"/>
      </w:rPr>
    </w:lvl>
    <w:lvl w:ilvl="1">
      <w:start w:val="1"/>
      <w:numFmt w:val="decimal"/>
      <w:isLgl/>
      <w:lvlText w:val="%1.%2"/>
      <w:lvlJc w:val="left"/>
      <w:pPr>
        <w:ind w:left="2368" w:hanging="720"/>
      </w:pPr>
      <w:rPr>
        <w:rFonts w:hint="default"/>
      </w:rPr>
    </w:lvl>
    <w:lvl w:ilvl="2">
      <w:start w:val="1"/>
      <w:numFmt w:val="decimal"/>
      <w:isLgl/>
      <w:lvlText w:val="%1.%2.%3"/>
      <w:lvlJc w:val="left"/>
      <w:pPr>
        <w:ind w:left="3524" w:hanging="720"/>
      </w:pPr>
      <w:rPr>
        <w:rFonts w:hint="default"/>
      </w:rPr>
    </w:lvl>
    <w:lvl w:ilvl="3">
      <w:start w:val="1"/>
      <w:numFmt w:val="decimal"/>
      <w:isLgl/>
      <w:lvlText w:val="%1.%2.%3.%4"/>
      <w:lvlJc w:val="left"/>
      <w:pPr>
        <w:ind w:left="4244" w:hanging="720"/>
      </w:pPr>
      <w:rPr>
        <w:rFonts w:hint="default"/>
      </w:rPr>
    </w:lvl>
    <w:lvl w:ilvl="4">
      <w:start w:val="1"/>
      <w:numFmt w:val="decimal"/>
      <w:isLgl/>
      <w:lvlText w:val="%1.%2.%3.%4.%5"/>
      <w:lvlJc w:val="left"/>
      <w:pPr>
        <w:ind w:left="5324" w:hanging="1080"/>
      </w:pPr>
      <w:rPr>
        <w:rFonts w:hint="default"/>
      </w:rPr>
    </w:lvl>
    <w:lvl w:ilvl="5">
      <w:start w:val="1"/>
      <w:numFmt w:val="decimal"/>
      <w:isLgl/>
      <w:lvlText w:val="%1.%2.%3.%4.%5.%6"/>
      <w:lvlJc w:val="left"/>
      <w:pPr>
        <w:ind w:left="6044" w:hanging="1080"/>
      </w:pPr>
      <w:rPr>
        <w:rFonts w:hint="default"/>
      </w:rPr>
    </w:lvl>
    <w:lvl w:ilvl="6">
      <w:start w:val="1"/>
      <w:numFmt w:val="decimal"/>
      <w:isLgl/>
      <w:lvlText w:val="%1.%2.%3.%4.%5.%6.%7"/>
      <w:lvlJc w:val="left"/>
      <w:pPr>
        <w:ind w:left="7124" w:hanging="1440"/>
      </w:pPr>
      <w:rPr>
        <w:rFonts w:hint="default"/>
      </w:rPr>
    </w:lvl>
    <w:lvl w:ilvl="7">
      <w:start w:val="1"/>
      <w:numFmt w:val="decimal"/>
      <w:isLgl/>
      <w:lvlText w:val="%1.%2.%3.%4.%5.%6.%7.%8"/>
      <w:lvlJc w:val="left"/>
      <w:pPr>
        <w:ind w:left="7844" w:hanging="1440"/>
      </w:pPr>
      <w:rPr>
        <w:rFonts w:hint="default"/>
      </w:rPr>
    </w:lvl>
    <w:lvl w:ilvl="8">
      <w:start w:val="1"/>
      <w:numFmt w:val="decimal"/>
      <w:isLgl/>
      <w:lvlText w:val="%1.%2.%3.%4.%5.%6.%7.%8.%9"/>
      <w:lvlJc w:val="left"/>
      <w:pPr>
        <w:ind w:left="8924" w:hanging="1800"/>
      </w:pPr>
      <w:rPr>
        <w:rFonts w:hint="default"/>
      </w:rPr>
    </w:lvl>
  </w:abstractNum>
  <w:abstractNum w:abstractNumId="22" w15:restartNumberingAfterBreak="0">
    <w:nsid w:val="375F0189"/>
    <w:multiLevelType w:val="hybridMultilevel"/>
    <w:tmpl w:val="19C4C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764052"/>
    <w:multiLevelType w:val="hybridMultilevel"/>
    <w:tmpl w:val="9FBA4C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CF07553"/>
    <w:multiLevelType w:val="hybridMultilevel"/>
    <w:tmpl w:val="E1BA59C8"/>
    <w:lvl w:ilvl="0" w:tplc="39B401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E22E44"/>
    <w:multiLevelType w:val="hybridMultilevel"/>
    <w:tmpl w:val="5C9C3306"/>
    <w:lvl w:ilvl="0" w:tplc="39B401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4E4F44"/>
    <w:multiLevelType w:val="hybridMultilevel"/>
    <w:tmpl w:val="D4D81F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E95833"/>
    <w:multiLevelType w:val="hybridMultilevel"/>
    <w:tmpl w:val="DB34E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254035"/>
    <w:multiLevelType w:val="hybridMultilevel"/>
    <w:tmpl w:val="DDCC8A10"/>
    <w:lvl w:ilvl="0" w:tplc="39B401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CE485C"/>
    <w:multiLevelType w:val="multilevel"/>
    <w:tmpl w:val="E7008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4474A6"/>
    <w:multiLevelType w:val="hybridMultilevel"/>
    <w:tmpl w:val="596E563A"/>
    <w:lvl w:ilvl="0" w:tplc="0C09000F">
      <w:start w:val="1"/>
      <w:numFmt w:val="decimal"/>
      <w:lvlText w:val="%1."/>
      <w:lvlJc w:val="left"/>
      <w:pPr>
        <w:ind w:left="64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7512BFD"/>
    <w:multiLevelType w:val="hybridMultilevel"/>
    <w:tmpl w:val="9CEEBE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91022CB"/>
    <w:multiLevelType w:val="hybridMultilevel"/>
    <w:tmpl w:val="F6442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F5E1327"/>
    <w:multiLevelType w:val="hybridMultilevel"/>
    <w:tmpl w:val="E924CD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15592A"/>
    <w:multiLevelType w:val="hybridMultilevel"/>
    <w:tmpl w:val="04127628"/>
    <w:lvl w:ilvl="0" w:tplc="39B401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0A5461"/>
    <w:multiLevelType w:val="hybridMultilevel"/>
    <w:tmpl w:val="876016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974AE8"/>
    <w:multiLevelType w:val="hybridMultilevel"/>
    <w:tmpl w:val="D714A00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610F53"/>
    <w:multiLevelType w:val="hybridMultilevel"/>
    <w:tmpl w:val="5DF4D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042D7E"/>
    <w:multiLevelType w:val="hybridMultilevel"/>
    <w:tmpl w:val="D0F609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4FF6789"/>
    <w:multiLevelType w:val="hybridMultilevel"/>
    <w:tmpl w:val="79621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5F4408"/>
    <w:multiLevelType w:val="hybridMultilevel"/>
    <w:tmpl w:val="A19EB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3307D6"/>
    <w:multiLevelType w:val="hybridMultilevel"/>
    <w:tmpl w:val="97669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501E9D"/>
    <w:multiLevelType w:val="hybridMultilevel"/>
    <w:tmpl w:val="2FC891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8AA15F3"/>
    <w:multiLevelType w:val="hybridMultilevel"/>
    <w:tmpl w:val="96547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B142362"/>
    <w:multiLevelType w:val="hybridMultilevel"/>
    <w:tmpl w:val="5EC29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5" w15:restartNumberingAfterBreak="0">
    <w:nsid w:val="6C776958"/>
    <w:multiLevelType w:val="hybridMultilevel"/>
    <w:tmpl w:val="3ECEBF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D91B64"/>
    <w:multiLevelType w:val="multilevel"/>
    <w:tmpl w:val="1756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98714D"/>
    <w:multiLevelType w:val="hybridMultilevel"/>
    <w:tmpl w:val="6E461248"/>
    <w:lvl w:ilvl="0" w:tplc="AB7E77B2">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04E42F7"/>
    <w:multiLevelType w:val="hybridMultilevel"/>
    <w:tmpl w:val="0122B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AC5617"/>
    <w:multiLevelType w:val="hybridMultilevel"/>
    <w:tmpl w:val="E6F62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1F102D3"/>
    <w:multiLevelType w:val="hybridMultilevel"/>
    <w:tmpl w:val="141A82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4C03DCB"/>
    <w:multiLevelType w:val="hybridMultilevel"/>
    <w:tmpl w:val="F1029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861"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3" w15:restartNumberingAfterBreak="0">
    <w:nsid w:val="786A4A17"/>
    <w:multiLevelType w:val="hybridMultilevel"/>
    <w:tmpl w:val="14F07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9FA3254"/>
    <w:multiLevelType w:val="hybridMultilevel"/>
    <w:tmpl w:val="0AC0E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E56784"/>
    <w:multiLevelType w:val="hybridMultilevel"/>
    <w:tmpl w:val="FCDC457A"/>
    <w:lvl w:ilvl="0" w:tplc="39B401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B803161"/>
    <w:multiLevelType w:val="hybridMultilevel"/>
    <w:tmpl w:val="0CAEA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C256D04"/>
    <w:multiLevelType w:val="hybridMultilevel"/>
    <w:tmpl w:val="1EF85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C576652"/>
    <w:multiLevelType w:val="hybridMultilevel"/>
    <w:tmpl w:val="27B84C76"/>
    <w:lvl w:ilvl="0" w:tplc="39B401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CF35685"/>
    <w:multiLevelType w:val="multilevel"/>
    <w:tmpl w:val="F39E8D5C"/>
    <w:lvl w:ilvl="0">
      <w:start w:val="1"/>
      <w:numFmt w:val="bullet"/>
      <w:lvlText w:val=""/>
      <w:lvlJc w:val="left"/>
      <w:pPr>
        <w:ind w:left="1724" w:hanging="360"/>
      </w:pPr>
      <w:rPr>
        <w:rFonts w:ascii="Symbol" w:hAnsi="Symbol" w:hint="default"/>
        <w:color w:val="auto"/>
      </w:rPr>
    </w:lvl>
    <w:lvl w:ilvl="1">
      <w:start w:val="1"/>
      <w:numFmt w:val="decimal"/>
      <w:isLgl/>
      <w:lvlText w:val="%1.%2"/>
      <w:lvlJc w:val="left"/>
      <w:pPr>
        <w:ind w:left="2368" w:hanging="720"/>
      </w:pPr>
      <w:rPr>
        <w:rFonts w:hint="default"/>
      </w:rPr>
    </w:lvl>
    <w:lvl w:ilvl="2">
      <w:start w:val="1"/>
      <w:numFmt w:val="decimal"/>
      <w:isLgl/>
      <w:lvlText w:val="%1.%2.%3"/>
      <w:lvlJc w:val="left"/>
      <w:pPr>
        <w:ind w:left="3524" w:hanging="720"/>
      </w:pPr>
      <w:rPr>
        <w:rFonts w:hint="default"/>
      </w:rPr>
    </w:lvl>
    <w:lvl w:ilvl="3">
      <w:start w:val="1"/>
      <w:numFmt w:val="decimal"/>
      <w:isLgl/>
      <w:lvlText w:val="%1.%2.%3.%4"/>
      <w:lvlJc w:val="left"/>
      <w:pPr>
        <w:ind w:left="4244" w:hanging="720"/>
      </w:pPr>
      <w:rPr>
        <w:rFonts w:hint="default"/>
      </w:rPr>
    </w:lvl>
    <w:lvl w:ilvl="4">
      <w:start w:val="1"/>
      <w:numFmt w:val="decimal"/>
      <w:isLgl/>
      <w:lvlText w:val="%1.%2.%3.%4.%5"/>
      <w:lvlJc w:val="left"/>
      <w:pPr>
        <w:ind w:left="5324" w:hanging="1080"/>
      </w:pPr>
      <w:rPr>
        <w:rFonts w:hint="default"/>
      </w:rPr>
    </w:lvl>
    <w:lvl w:ilvl="5">
      <w:start w:val="1"/>
      <w:numFmt w:val="decimal"/>
      <w:isLgl/>
      <w:lvlText w:val="%1.%2.%3.%4.%5.%6"/>
      <w:lvlJc w:val="left"/>
      <w:pPr>
        <w:ind w:left="6044" w:hanging="1080"/>
      </w:pPr>
      <w:rPr>
        <w:rFonts w:hint="default"/>
      </w:rPr>
    </w:lvl>
    <w:lvl w:ilvl="6">
      <w:start w:val="1"/>
      <w:numFmt w:val="decimal"/>
      <w:isLgl/>
      <w:lvlText w:val="%1.%2.%3.%4.%5.%6.%7"/>
      <w:lvlJc w:val="left"/>
      <w:pPr>
        <w:ind w:left="7124" w:hanging="1440"/>
      </w:pPr>
      <w:rPr>
        <w:rFonts w:hint="default"/>
      </w:rPr>
    </w:lvl>
    <w:lvl w:ilvl="7">
      <w:start w:val="1"/>
      <w:numFmt w:val="decimal"/>
      <w:isLgl/>
      <w:lvlText w:val="%1.%2.%3.%4.%5.%6.%7.%8"/>
      <w:lvlJc w:val="left"/>
      <w:pPr>
        <w:ind w:left="7844" w:hanging="1440"/>
      </w:pPr>
      <w:rPr>
        <w:rFonts w:hint="default"/>
      </w:rPr>
    </w:lvl>
    <w:lvl w:ilvl="8">
      <w:start w:val="1"/>
      <w:numFmt w:val="decimal"/>
      <w:isLgl/>
      <w:lvlText w:val="%1.%2.%3.%4.%5.%6.%7.%8.%9"/>
      <w:lvlJc w:val="left"/>
      <w:pPr>
        <w:ind w:left="8924" w:hanging="1800"/>
      </w:pPr>
      <w:rPr>
        <w:rFonts w:hint="default"/>
      </w:rPr>
    </w:lvl>
  </w:abstractNum>
  <w:abstractNum w:abstractNumId="60" w15:restartNumberingAfterBreak="0">
    <w:nsid w:val="7E5016A3"/>
    <w:multiLevelType w:val="hybridMultilevel"/>
    <w:tmpl w:val="47B0C15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num w:numId="1" w16cid:durableId="50345345">
    <w:abstractNumId w:val="19"/>
  </w:num>
  <w:num w:numId="2" w16cid:durableId="255940834">
    <w:abstractNumId w:val="52"/>
  </w:num>
  <w:num w:numId="3" w16cid:durableId="1004630270">
    <w:abstractNumId w:val="48"/>
  </w:num>
  <w:num w:numId="4" w16cid:durableId="1005089575">
    <w:abstractNumId w:val="46"/>
  </w:num>
  <w:num w:numId="5" w16cid:durableId="1467309947">
    <w:abstractNumId w:val="27"/>
  </w:num>
  <w:num w:numId="6" w16cid:durableId="1203615">
    <w:abstractNumId w:val="9"/>
  </w:num>
  <w:num w:numId="7" w16cid:durableId="1955088187">
    <w:abstractNumId w:val="31"/>
  </w:num>
  <w:num w:numId="8" w16cid:durableId="1591505083">
    <w:abstractNumId w:val="35"/>
  </w:num>
  <w:num w:numId="9" w16cid:durableId="1830902452">
    <w:abstractNumId w:val="47"/>
  </w:num>
  <w:num w:numId="10" w16cid:durableId="635139692">
    <w:abstractNumId w:val="0"/>
  </w:num>
  <w:num w:numId="11" w16cid:durableId="1037270785">
    <w:abstractNumId w:val="20"/>
  </w:num>
  <w:num w:numId="12" w16cid:durableId="931861133">
    <w:abstractNumId w:val="51"/>
  </w:num>
  <w:num w:numId="13" w16cid:durableId="1079908069">
    <w:abstractNumId w:val="15"/>
  </w:num>
  <w:num w:numId="14" w16cid:durableId="1347517698">
    <w:abstractNumId w:val="59"/>
  </w:num>
  <w:num w:numId="15" w16cid:durableId="899251833">
    <w:abstractNumId w:val="39"/>
  </w:num>
  <w:num w:numId="16" w16cid:durableId="297299438">
    <w:abstractNumId w:val="6"/>
  </w:num>
  <w:num w:numId="17" w16cid:durableId="1104155045">
    <w:abstractNumId w:val="18"/>
  </w:num>
  <w:num w:numId="18" w16cid:durableId="865679043">
    <w:abstractNumId w:val="36"/>
  </w:num>
  <w:num w:numId="19" w16cid:durableId="1496383706">
    <w:abstractNumId w:val="33"/>
  </w:num>
  <w:num w:numId="20" w16cid:durableId="548610694">
    <w:abstractNumId w:val="21"/>
  </w:num>
  <w:num w:numId="21" w16cid:durableId="786778129">
    <w:abstractNumId w:val="34"/>
  </w:num>
  <w:num w:numId="22" w16cid:durableId="504175794">
    <w:abstractNumId w:val="24"/>
  </w:num>
  <w:num w:numId="23" w16cid:durableId="1290207835">
    <w:abstractNumId w:val="2"/>
  </w:num>
  <w:num w:numId="24" w16cid:durableId="1485471002">
    <w:abstractNumId w:val="55"/>
  </w:num>
  <w:num w:numId="25" w16cid:durableId="1578899435">
    <w:abstractNumId w:val="58"/>
  </w:num>
  <w:num w:numId="26" w16cid:durableId="891312249">
    <w:abstractNumId w:val="25"/>
  </w:num>
  <w:num w:numId="27" w16cid:durableId="394671532">
    <w:abstractNumId w:val="28"/>
  </w:num>
  <w:num w:numId="28" w16cid:durableId="1645770421">
    <w:abstractNumId w:val="17"/>
  </w:num>
  <w:num w:numId="29" w16cid:durableId="34547151">
    <w:abstractNumId w:val="5"/>
  </w:num>
  <w:num w:numId="30" w16cid:durableId="462579721">
    <w:abstractNumId w:val="45"/>
  </w:num>
  <w:num w:numId="31" w16cid:durableId="758985747">
    <w:abstractNumId w:val="12"/>
  </w:num>
  <w:num w:numId="32" w16cid:durableId="1635524887">
    <w:abstractNumId w:val="14"/>
  </w:num>
  <w:num w:numId="33" w16cid:durableId="1321806807">
    <w:abstractNumId w:val="56"/>
  </w:num>
  <w:num w:numId="34" w16cid:durableId="1587301386">
    <w:abstractNumId w:val="49"/>
  </w:num>
  <w:num w:numId="35" w16cid:durableId="838273770">
    <w:abstractNumId w:val="54"/>
  </w:num>
  <w:num w:numId="36" w16cid:durableId="1093281647">
    <w:abstractNumId w:val="41"/>
  </w:num>
  <w:num w:numId="37" w16cid:durableId="556749208">
    <w:abstractNumId w:val="37"/>
  </w:num>
  <w:num w:numId="38" w16cid:durableId="957877467">
    <w:abstractNumId w:val="43"/>
  </w:num>
  <w:num w:numId="39" w16cid:durableId="1211962225">
    <w:abstractNumId w:val="11"/>
  </w:num>
  <w:num w:numId="40" w16cid:durableId="234557443">
    <w:abstractNumId w:val="4"/>
  </w:num>
  <w:num w:numId="41" w16cid:durableId="1361860399">
    <w:abstractNumId w:val="8"/>
  </w:num>
  <w:num w:numId="42" w16cid:durableId="1091581435">
    <w:abstractNumId w:val="26"/>
  </w:num>
  <w:num w:numId="43" w16cid:durableId="1775249378">
    <w:abstractNumId w:val="13"/>
  </w:num>
  <w:num w:numId="44" w16cid:durableId="939794341">
    <w:abstractNumId w:val="53"/>
  </w:num>
  <w:num w:numId="45" w16cid:durableId="269050385">
    <w:abstractNumId w:val="40"/>
  </w:num>
  <w:num w:numId="46" w16cid:durableId="1731270096">
    <w:abstractNumId w:val="23"/>
  </w:num>
  <w:num w:numId="47" w16cid:durableId="686717027">
    <w:abstractNumId w:val="10"/>
  </w:num>
  <w:num w:numId="48" w16cid:durableId="668292914">
    <w:abstractNumId w:val="38"/>
  </w:num>
  <w:num w:numId="49" w16cid:durableId="446043545">
    <w:abstractNumId w:val="3"/>
  </w:num>
  <w:num w:numId="50" w16cid:durableId="1056977531">
    <w:abstractNumId w:val="42"/>
  </w:num>
  <w:num w:numId="51" w16cid:durableId="18168244">
    <w:abstractNumId w:val="16"/>
  </w:num>
  <w:num w:numId="52" w16cid:durableId="1364940650">
    <w:abstractNumId w:val="32"/>
  </w:num>
  <w:num w:numId="53" w16cid:durableId="2104059412">
    <w:abstractNumId w:val="50"/>
  </w:num>
  <w:num w:numId="54" w16cid:durableId="1102189473">
    <w:abstractNumId w:val="48"/>
  </w:num>
  <w:num w:numId="55" w16cid:durableId="817772154">
    <w:abstractNumId w:val="60"/>
  </w:num>
  <w:num w:numId="56" w16cid:durableId="1958948056">
    <w:abstractNumId w:val="44"/>
  </w:num>
  <w:num w:numId="57" w16cid:durableId="962149632">
    <w:abstractNumId w:val="29"/>
  </w:num>
  <w:num w:numId="58" w16cid:durableId="582108718">
    <w:abstractNumId w:val="57"/>
  </w:num>
  <w:num w:numId="59" w16cid:durableId="983508056">
    <w:abstractNumId w:val="30"/>
  </w:num>
  <w:num w:numId="60" w16cid:durableId="1682244028">
    <w:abstractNumId w:val="7"/>
  </w:num>
  <w:num w:numId="61" w16cid:durableId="1432050617">
    <w:abstractNumId w:val="1"/>
  </w:num>
  <w:num w:numId="62" w16cid:durableId="997152960">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E6"/>
    <w:rsid w:val="00004022"/>
    <w:rsid w:val="0001018A"/>
    <w:rsid w:val="00016D65"/>
    <w:rsid w:val="00037FC1"/>
    <w:rsid w:val="0005320C"/>
    <w:rsid w:val="00054AE5"/>
    <w:rsid w:val="000574E6"/>
    <w:rsid w:val="00065733"/>
    <w:rsid w:val="0007196B"/>
    <w:rsid w:val="0007700A"/>
    <w:rsid w:val="0008618C"/>
    <w:rsid w:val="00092365"/>
    <w:rsid w:val="000B62FF"/>
    <w:rsid w:val="000B758F"/>
    <w:rsid w:val="000F1108"/>
    <w:rsid w:val="000F1E2D"/>
    <w:rsid w:val="00144ACF"/>
    <w:rsid w:val="00161A53"/>
    <w:rsid w:val="001920F2"/>
    <w:rsid w:val="00196509"/>
    <w:rsid w:val="001A13F7"/>
    <w:rsid w:val="001B08B5"/>
    <w:rsid w:val="001B3022"/>
    <w:rsid w:val="001B3934"/>
    <w:rsid w:val="001C2D87"/>
    <w:rsid w:val="001D12D9"/>
    <w:rsid w:val="001E0786"/>
    <w:rsid w:val="001F16DA"/>
    <w:rsid w:val="001F287E"/>
    <w:rsid w:val="00200098"/>
    <w:rsid w:val="0020454F"/>
    <w:rsid w:val="00214C29"/>
    <w:rsid w:val="00240560"/>
    <w:rsid w:val="002460F2"/>
    <w:rsid w:val="00275621"/>
    <w:rsid w:val="00280050"/>
    <w:rsid w:val="00284BED"/>
    <w:rsid w:val="00285D08"/>
    <w:rsid w:val="002940CE"/>
    <w:rsid w:val="002B13A3"/>
    <w:rsid w:val="002C40EA"/>
    <w:rsid w:val="002D2289"/>
    <w:rsid w:val="00302D88"/>
    <w:rsid w:val="00304A59"/>
    <w:rsid w:val="003149B1"/>
    <w:rsid w:val="003253EE"/>
    <w:rsid w:val="003638B1"/>
    <w:rsid w:val="00366188"/>
    <w:rsid w:val="0037501E"/>
    <w:rsid w:val="003844FE"/>
    <w:rsid w:val="00390667"/>
    <w:rsid w:val="00391E61"/>
    <w:rsid w:val="00392AB1"/>
    <w:rsid w:val="00393F7A"/>
    <w:rsid w:val="003B146B"/>
    <w:rsid w:val="003B5E07"/>
    <w:rsid w:val="003B77C6"/>
    <w:rsid w:val="003C0393"/>
    <w:rsid w:val="003C5A6B"/>
    <w:rsid w:val="003D5E18"/>
    <w:rsid w:val="003D6262"/>
    <w:rsid w:val="003E3D43"/>
    <w:rsid w:val="00414EE6"/>
    <w:rsid w:val="00432826"/>
    <w:rsid w:val="00457127"/>
    <w:rsid w:val="004578CC"/>
    <w:rsid w:val="00477A43"/>
    <w:rsid w:val="00487D27"/>
    <w:rsid w:val="004A06E9"/>
    <w:rsid w:val="004B11E0"/>
    <w:rsid w:val="004B2BFB"/>
    <w:rsid w:val="004B5294"/>
    <w:rsid w:val="004D0BE7"/>
    <w:rsid w:val="004F184A"/>
    <w:rsid w:val="004F5BC7"/>
    <w:rsid w:val="00500BDB"/>
    <w:rsid w:val="00506F05"/>
    <w:rsid w:val="0051694B"/>
    <w:rsid w:val="00521106"/>
    <w:rsid w:val="0052284D"/>
    <w:rsid w:val="0055051E"/>
    <w:rsid w:val="00550C15"/>
    <w:rsid w:val="005936DC"/>
    <w:rsid w:val="005A0977"/>
    <w:rsid w:val="005C5719"/>
    <w:rsid w:val="005C601C"/>
    <w:rsid w:val="005E60B1"/>
    <w:rsid w:val="00613796"/>
    <w:rsid w:val="0063773D"/>
    <w:rsid w:val="00690F55"/>
    <w:rsid w:val="006A01A2"/>
    <w:rsid w:val="006A5D97"/>
    <w:rsid w:val="006B3355"/>
    <w:rsid w:val="006B3C17"/>
    <w:rsid w:val="006D6590"/>
    <w:rsid w:val="006E7BC4"/>
    <w:rsid w:val="006F4BB5"/>
    <w:rsid w:val="0070620E"/>
    <w:rsid w:val="00716990"/>
    <w:rsid w:val="00724C17"/>
    <w:rsid w:val="00730555"/>
    <w:rsid w:val="00753DF3"/>
    <w:rsid w:val="00757399"/>
    <w:rsid w:val="00763140"/>
    <w:rsid w:val="00766E67"/>
    <w:rsid w:val="00774158"/>
    <w:rsid w:val="007743B0"/>
    <w:rsid w:val="007A41D2"/>
    <w:rsid w:val="007B0DC4"/>
    <w:rsid w:val="007C1EDF"/>
    <w:rsid w:val="007E7971"/>
    <w:rsid w:val="007F474E"/>
    <w:rsid w:val="0086310C"/>
    <w:rsid w:val="00872A3B"/>
    <w:rsid w:val="00872E63"/>
    <w:rsid w:val="00884EA0"/>
    <w:rsid w:val="008871AB"/>
    <w:rsid w:val="0089372B"/>
    <w:rsid w:val="008953A7"/>
    <w:rsid w:val="008A15BF"/>
    <w:rsid w:val="008B49C8"/>
    <w:rsid w:val="008C1FF8"/>
    <w:rsid w:val="008E0DB0"/>
    <w:rsid w:val="008E5047"/>
    <w:rsid w:val="008F1679"/>
    <w:rsid w:val="008F4154"/>
    <w:rsid w:val="009012CE"/>
    <w:rsid w:val="00904D25"/>
    <w:rsid w:val="00906F9E"/>
    <w:rsid w:val="00907E67"/>
    <w:rsid w:val="00934C08"/>
    <w:rsid w:val="00935742"/>
    <w:rsid w:val="00941190"/>
    <w:rsid w:val="00956163"/>
    <w:rsid w:val="00964477"/>
    <w:rsid w:val="0096720D"/>
    <w:rsid w:val="009709E5"/>
    <w:rsid w:val="00971488"/>
    <w:rsid w:val="0097240C"/>
    <w:rsid w:val="00977220"/>
    <w:rsid w:val="00996721"/>
    <w:rsid w:val="00997501"/>
    <w:rsid w:val="009B0E9E"/>
    <w:rsid w:val="009B25DA"/>
    <w:rsid w:val="009B2AF7"/>
    <w:rsid w:val="009B6B3C"/>
    <w:rsid w:val="009E15CE"/>
    <w:rsid w:val="00A04FC5"/>
    <w:rsid w:val="00A15F33"/>
    <w:rsid w:val="00A24639"/>
    <w:rsid w:val="00A27FEF"/>
    <w:rsid w:val="00A37A02"/>
    <w:rsid w:val="00A40131"/>
    <w:rsid w:val="00A5109E"/>
    <w:rsid w:val="00A844F1"/>
    <w:rsid w:val="00AD4786"/>
    <w:rsid w:val="00B03AC1"/>
    <w:rsid w:val="00B03B2A"/>
    <w:rsid w:val="00B17FC3"/>
    <w:rsid w:val="00B50FAF"/>
    <w:rsid w:val="00B94240"/>
    <w:rsid w:val="00BA7D8C"/>
    <w:rsid w:val="00BB1F7E"/>
    <w:rsid w:val="00BB55F7"/>
    <w:rsid w:val="00BC7671"/>
    <w:rsid w:val="00BD1419"/>
    <w:rsid w:val="00BE7539"/>
    <w:rsid w:val="00C274BB"/>
    <w:rsid w:val="00C54D27"/>
    <w:rsid w:val="00C67ABA"/>
    <w:rsid w:val="00C728CF"/>
    <w:rsid w:val="00C746F1"/>
    <w:rsid w:val="00C75950"/>
    <w:rsid w:val="00C963DC"/>
    <w:rsid w:val="00CB090C"/>
    <w:rsid w:val="00CB1914"/>
    <w:rsid w:val="00CB6C68"/>
    <w:rsid w:val="00CD3122"/>
    <w:rsid w:val="00CD5CC5"/>
    <w:rsid w:val="00CE13F4"/>
    <w:rsid w:val="00D1229D"/>
    <w:rsid w:val="00D2123E"/>
    <w:rsid w:val="00D36B74"/>
    <w:rsid w:val="00D61ABD"/>
    <w:rsid w:val="00D64772"/>
    <w:rsid w:val="00D72148"/>
    <w:rsid w:val="00D87065"/>
    <w:rsid w:val="00DA7CB9"/>
    <w:rsid w:val="00DB2BC3"/>
    <w:rsid w:val="00DB4255"/>
    <w:rsid w:val="00DC251B"/>
    <w:rsid w:val="00DC2D69"/>
    <w:rsid w:val="00DE3CB0"/>
    <w:rsid w:val="00DF2F6B"/>
    <w:rsid w:val="00DF58BE"/>
    <w:rsid w:val="00E027ED"/>
    <w:rsid w:val="00E35586"/>
    <w:rsid w:val="00E4660C"/>
    <w:rsid w:val="00E54C6B"/>
    <w:rsid w:val="00E63416"/>
    <w:rsid w:val="00E86B45"/>
    <w:rsid w:val="00E946B2"/>
    <w:rsid w:val="00EB6E79"/>
    <w:rsid w:val="00EE4584"/>
    <w:rsid w:val="00EF4F5D"/>
    <w:rsid w:val="00F0141E"/>
    <w:rsid w:val="00F115E2"/>
    <w:rsid w:val="00F14D6C"/>
    <w:rsid w:val="00F2186A"/>
    <w:rsid w:val="00F3509B"/>
    <w:rsid w:val="00F47CE4"/>
    <w:rsid w:val="00F7108E"/>
    <w:rsid w:val="00F77243"/>
    <w:rsid w:val="00F84BCF"/>
    <w:rsid w:val="00FA5113"/>
    <w:rsid w:val="00FB0D97"/>
    <w:rsid w:val="00FB4CC9"/>
    <w:rsid w:val="00FC0AE7"/>
    <w:rsid w:val="00FD3791"/>
    <w:rsid w:val="00FD657B"/>
    <w:rsid w:val="00FF2E26"/>
    <w:rsid w:val="00FF4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C4D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FEF"/>
    <w:pPr>
      <w:keepNext/>
      <w:keepLines/>
      <w:spacing w:after="0"/>
      <w:outlineLvl w:val="0"/>
    </w:pPr>
    <w:rPr>
      <w:rFonts w:ascii="Cambria" w:eastAsiaTheme="majorEastAsia" w:hAnsi="Cambria" w:cstheme="majorBidi"/>
      <w:b/>
      <w:sz w:val="32"/>
      <w:szCs w:val="32"/>
    </w:rPr>
  </w:style>
  <w:style w:type="paragraph" w:styleId="Heading2">
    <w:name w:val="heading 2"/>
    <w:basedOn w:val="Normal"/>
    <w:next w:val="Normal"/>
    <w:link w:val="Heading2Char"/>
    <w:uiPriority w:val="9"/>
    <w:unhideWhenUsed/>
    <w:qFormat/>
    <w:rsid w:val="0097240C"/>
    <w:pPr>
      <w:keepNext/>
      <w:keepLines/>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2186A"/>
    <w:pPr>
      <w:keepNext/>
      <w:keepLines/>
      <w:spacing w:before="40" w:after="120"/>
      <w:outlineLvl w:val="2"/>
    </w:pPr>
    <w:rPr>
      <w:rFonts w:ascii="Calibri" w:eastAsiaTheme="majorEastAsia" w:hAnsi="Calibri" w:cstheme="majorBidi"/>
      <w:b/>
      <w:sz w:val="28"/>
    </w:rPr>
  </w:style>
  <w:style w:type="paragraph" w:styleId="Heading4">
    <w:name w:val="heading 4"/>
    <w:basedOn w:val="Normal"/>
    <w:next w:val="Normal"/>
    <w:link w:val="Heading4Char"/>
    <w:uiPriority w:val="9"/>
    <w:unhideWhenUsed/>
    <w:qFormat/>
    <w:rsid w:val="00F2186A"/>
    <w:pPr>
      <w:keepNext/>
      <w:keepLines/>
      <w:spacing w:before="40" w:after="120"/>
      <w:outlineLvl w:val="3"/>
    </w:pPr>
    <w:rPr>
      <w:rFonts w:ascii="Calibri" w:eastAsiaTheme="majorEastAsia" w:hAnsi="Calibri" w:cstheme="majorBidi"/>
      <w:b/>
      <w:iCs/>
    </w:rPr>
  </w:style>
  <w:style w:type="paragraph" w:styleId="Heading5">
    <w:name w:val="heading 5"/>
    <w:basedOn w:val="Normal"/>
    <w:next w:val="Normal"/>
    <w:link w:val="Heading5Char"/>
    <w:uiPriority w:val="9"/>
    <w:unhideWhenUsed/>
    <w:qFormat/>
    <w:rsid w:val="0097240C"/>
    <w:pPr>
      <w:keepNext/>
      <w:keepLines/>
      <w:spacing w:before="40" w:after="120"/>
      <w:outlineLvl w:val="4"/>
    </w:pPr>
    <w:rPr>
      <w:rFonts w:ascii="Calibri" w:eastAsiaTheme="majorEastAsia" w:hAnsi="Calibr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460F2"/>
    <w:pPr>
      <w:spacing w:after="0" w:line="240" w:lineRule="auto"/>
    </w:pPr>
    <w:rPr>
      <w:sz w:val="20"/>
      <w:szCs w:val="20"/>
    </w:rPr>
  </w:style>
  <w:style w:type="character" w:customStyle="1" w:styleId="FootnoteTextChar">
    <w:name w:val="Footnote Text Char"/>
    <w:basedOn w:val="DefaultParagraphFont"/>
    <w:link w:val="FootnoteText"/>
    <w:uiPriority w:val="99"/>
    <w:rsid w:val="002460F2"/>
    <w:rPr>
      <w:sz w:val="20"/>
      <w:szCs w:val="20"/>
    </w:rPr>
  </w:style>
  <w:style w:type="character" w:styleId="FootnoteReference">
    <w:name w:val="footnote reference"/>
    <w:basedOn w:val="DefaultParagraphFont"/>
    <w:uiPriority w:val="99"/>
    <w:semiHidden/>
    <w:unhideWhenUsed/>
    <w:rsid w:val="002460F2"/>
    <w:rPr>
      <w:vertAlign w:val="superscript"/>
    </w:rPr>
  </w:style>
  <w:style w:type="paragraph" w:styleId="ListParagraph">
    <w:name w:val="List Paragraph"/>
    <w:basedOn w:val="Normal"/>
    <w:uiPriority w:val="34"/>
    <w:qFormat/>
    <w:rsid w:val="000F1E2D"/>
    <w:pPr>
      <w:ind w:left="720"/>
      <w:contextualSpacing/>
    </w:pPr>
    <w:rPr>
      <w:rFonts w:ascii="Calibri" w:hAnsi="Calibri"/>
    </w:rPr>
  </w:style>
  <w:style w:type="paragraph" w:customStyle="1" w:styleId="3Bodytext">
    <w:name w:val="3. Body text"/>
    <w:basedOn w:val="ListParagraph"/>
    <w:link w:val="3BodytextChar"/>
    <w:qFormat/>
    <w:rsid w:val="000F1E2D"/>
    <w:pPr>
      <w:numPr>
        <w:ilvl w:val="1"/>
        <w:numId w:val="2"/>
      </w:numPr>
      <w:spacing w:after="120" w:line="240" w:lineRule="auto"/>
      <w:contextualSpacing w:val="0"/>
    </w:pPr>
    <w:rPr>
      <w:rFonts w:asciiTheme="minorHAnsi" w:eastAsia="Times New Roman" w:hAnsiTheme="minorHAnsi" w:cs="Arial"/>
      <w:lang w:eastAsia="en-AU"/>
    </w:rPr>
  </w:style>
  <w:style w:type="character" w:customStyle="1" w:styleId="3BodytextChar">
    <w:name w:val="3. Body text Char"/>
    <w:basedOn w:val="DefaultParagraphFont"/>
    <w:link w:val="3Bodytext"/>
    <w:rsid w:val="000F1E2D"/>
    <w:rPr>
      <w:rFonts w:asciiTheme="minorHAnsi" w:eastAsia="Times New Roman" w:hAnsiTheme="minorHAnsi" w:cs="Arial"/>
      <w:lang w:eastAsia="en-AU"/>
    </w:rPr>
  </w:style>
  <w:style w:type="paragraph" w:customStyle="1" w:styleId="2-SectionHeading">
    <w:name w:val="2-Section Heading"/>
    <w:qFormat/>
    <w:rsid w:val="000F1E2D"/>
    <w:pPr>
      <w:keepNext/>
      <w:numPr>
        <w:numId w:val="2"/>
      </w:numPr>
      <w:spacing w:before="240" w:after="120" w:line="240" w:lineRule="auto"/>
      <w:outlineLvl w:val="0"/>
    </w:pPr>
    <w:rPr>
      <w:rFonts w:asciiTheme="minorHAnsi" w:eastAsia="Times New Roman" w:hAnsiTheme="minorHAnsi" w:cs="Arial"/>
      <w:b/>
      <w:snapToGrid w:val="0"/>
      <w:sz w:val="32"/>
      <w:szCs w:val="32"/>
      <w:lang w:eastAsia="en-AU"/>
    </w:rPr>
  </w:style>
  <w:style w:type="paragraph" w:customStyle="1" w:styleId="Default">
    <w:name w:val="Default"/>
    <w:rsid w:val="00432826"/>
    <w:pPr>
      <w:autoSpaceDE w:val="0"/>
      <w:autoSpaceDN w:val="0"/>
      <w:adjustRightInd w:val="0"/>
      <w:spacing w:after="0" w:line="240" w:lineRule="auto"/>
    </w:pPr>
    <w:rPr>
      <w:rFonts w:ascii="Cambria" w:hAnsi="Cambria" w:cs="Cambria"/>
      <w:color w:val="000000"/>
    </w:rPr>
  </w:style>
  <w:style w:type="paragraph" w:styleId="NormalWeb">
    <w:name w:val="Normal (Web)"/>
    <w:basedOn w:val="Normal"/>
    <w:uiPriority w:val="99"/>
    <w:semiHidden/>
    <w:unhideWhenUsed/>
    <w:rsid w:val="00200098"/>
    <w:pPr>
      <w:spacing w:before="100" w:beforeAutospacing="1" w:after="100" w:afterAutospacing="1" w:line="240" w:lineRule="auto"/>
    </w:pPr>
    <w:rPr>
      <w:rFonts w:eastAsia="Times New Roman"/>
      <w:lang w:eastAsia="en-AU"/>
    </w:rPr>
  </w:style>
  <w:style w:type="paragraph" w:styleId="BodyText">
    <w:name w:val="Body Text"/>
    <w:basedOn w:val="Normal"/>
    <w:link w:val="BodyTextChar"/>
    <w:uiPriority w:val="1"/>
    <w:qFormat/>
    <w:rsid w:val="00F2186A"/>
    <w:pPr>
      <w:autoSpaceDE w:val="0"/>
      <w:autoSpaceDN w:val="0"/>
      <w:adjustRightInd w:val="0"/>
      <w:spacing w:after="0" w:line="240" w:lineRule="auto"/>
      <w:ind w:right="114"/>
    </w:pPr>
    <w:rPr>
      <w:rFonts w:asciiTheme="minorHAnsi" w:hAnsiTheme="minorHAnsi" w:cs="Cambria"/>
      <w:sz w:val="22"/>
    </w:rPr>
  </w:style>
  <w:style w:type="character" w:customStyle="1" w:styleId="BodyTextChar">
    <w:name w:val="Body Text Char"/>
    <w:basedOn w:val="DefaultParagraphFont"/>
    <w:link w:val="BodyText"/>
    <w:uiPriority w:val="1"/>
    <w:rsid w:val="00F2186A"/>
    <w:rPr>
      <w:rFonts w:asciiTheme="minorHAnsi" w:hAnsiTheme="minorHAnsi" w:cs="Cambria"/>
      <w:sz w:val="22"/>
    </w:rPr>
  </w:style>
  <w:style w:type="table" w:customStyle="1" w:styleId="TableGrid1">
    <w:name w:val="Table Grid1"/>
    <w:basedOn w:val="TableNormal"/>
    <w:next w:val="TableGrid"/>
    <w:uiPriority w:val="39"/>
    <w:rsid w:val="00593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3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0C15"/>
    <w:rPr>
      <w:color w:val="0000FF"/>
      <w:u w:val="single"/>
    </w:rPr>
  </w:style>
  <w:style w:type="character" w:styleId="CommentReference">
    <w:name w:val="annotation reference"/>
    <w:basedOn w:val="DefaultParagraphFont"/>
    <w:uiPriority w:val="99"/>
    <w:semiHidden/>
    <w:unhideWhenUsed/>
    <w:rsid w:val="003E3D43"/>
    <w:rPr>
      <w:sz w:val="16"/>
      <w:szCs w:val="16"/>
    </w:rPr>
  </w:style>
  <w:style w:type="paragraph" w:styleId="CommentText">
    <w:name w:val="annotation text"/>
    <w:basedOn w:val="Normal"/>
    <w:link w:val="CommentTextChar"/>
    <w:uiPriority w:val="99"/>
    <w:semiHidden/>
    <w:unhideWhenUsed/>
    <w:rsid w:val="003E3D43"/>
    <w:pPr>
      <w:spacing w:line="240" w:lineRule="auto"/>
    </w:pPr>
    <w:rPr>
      <w:sz w:val="20"/>
      <w:szCs w:val="20"/>
    </w:rPr>
  </w:style>
  <w:style w:type="character" w:customStyle="1" w:styleId="CommentTextChar">
    <w:name w:val="Comment Text Char"/>
    <w:basedOn w:val="DefaultParagraphFont"/>
    <w:link w:val="CommentText"/>
    <w:uiPriority w:val="99"/>
    <w:semiHidden/>
    <w:rsid w:val="003E3D43"/>
    <w:rPr>
      <w:sz w:val="20"/>
      <w:szCs w:val="20"/>
    </w:rPr>
  </w:style>
  <w:style w:type="paragraph" w:styleId="CommentSubject">
    <w:name w:val="annotation subject"/>
    <w:basedOn w:val="CommentText"/>
    <w:next w:val="CommentText"/>
    <w:link w:val="CommentSubjectChar"/>
    <w:uiPriority w:val="99"/>
    <w:semiHidden/>
    <w:unhideWhenUsed/>
    <w:rsid w:val="003E3D43"/>
    <w:rPr>
      <w:b/>
      <w:bCs/>
    </w:rPr>
  </w:style>
  <w:style w:type="character" w:customStyle="1" w:styleId="CommentSubjectChar">
    <w:name w:val="Comment Subject Char"/>
    <w:basedOn w:val="CommentTextChar"/>
    <w:link w:val="CommentSubject"/>
    <w:uiPriority w:val="99"/>
    <w:semiHidden/>
    <w:rsid w:val="003E3D43"/>
    <w:rPr>
      <w:b/>
      <w:bCs/>
      <w:sz w:val="20"/>
      <w:szCs w:val="20"/>
    </w:rPr>
  </w:style>
  <w:style w:type="character" w:customStyle="1" w:styleId="Heading2Char">
    <w:name w:val="Heading 2 Char"/>
    <w:basedOn w:val="DefaultParagraphFont"/>
    <w:link w:val="Heading2"/>
    <w:uiPriority w:val="9"/>
    <w:rsid w:val="0097240C"/>
    <w:rPr>
      <w:rFonts w:ascii="Calibri" w:eastAsiaTheme="majorEastAsia" w:hAnsi="Calibri" w:cstheme="majorBidi"/>
      <w:b/>
      <w:sz w:val="28"/>
      <w:szCs w:val="26"/>
    </w:rPr>
  </w:style>
  <w:style w:type="character" w:customStyle="1" w:styleId="Heading1Char">
    <w:name w:val="Heading 1 Char"/>
    <w:basedOn w:val="DefaultParagraphFont"/>
    <w:link w:val="Heading1"/>
    <w:uiPriority w:val="9"/>
    <w:rsid w:val="00A27FEF"/>
    <w:rPr>
      <w:rFonts w:ascii="Cambria" w:eastAsiaTheme="majorEastAsia" w:hAnsi="Cambria" w:cstheme="majorBidi"/>
      <w:b/>
      <w:sz w:val="32"/>
      <w:szCs w:val="32"/>
    </w:rPr>
  </w:style>
  <w:style w:type="paragraph" w:styleId="EndnoteText">
    <w:name w:val="endnote text"/>
    <w:basedOn w:val="Normal"/>
    <w:link w:val="EndnoteTextChar"/>
    <w:uiPriority w:val="99"/>
    <w:semiHidden/>
    <w:unhideWhenUsed/>
    <w:rsid w:val="00A844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44F1"/>
    <w:rPr>
      <w:sz w:val="20"/>
      <w:szCs w:val="20"/>
    </w:rPr>
  </w:style>
  <w:style w:type="character" w:styleId="EndnoteReference">
    <w:name w:val="endnote reference"/>
    <w:basedOn w:val="DefaultParagraphFont"/>
    <w:uiPriority w:val="99"/>
    <w:semiHidden/>
    <w:unhideWhenUsed/>
    <w:rsid w:val="00A844F1"/>
    <w:rPr>
      <w:vertAlign w:val="superscript"/>
    </w:rPr>
  </w:style>
  <w:style w:type="character" w:customStyle="1" w:styleId="Heading3Char">
    <w:name w:val="Heading 3 Char"/>
    <w:basedOn w:val="DefaultParagraphFont"/>
    <w:link w:val="Heading3"/>
    <w:uiPriority w:val="9"/>
    <w:rsid w:val="00F2186A"/>
    <w:rPr>
      <w:rFonts w:ascii="Calibri" w:eastAsiaTheme="majorEastAsia" w:hAnsi="Calibri" w:cstheme="majorBidi"/>
      <w:b/>
      <w:sz w:val="28"/>
    </w:rPr>
  </w:style>
  <w:style w:type="character" w:styleId="HTMLCite">
    <w:name w:val="HTML Cite"/>
    <w:basedOn w:val="DefaultParagraphFont"/>
    <w:uiPriority w:val="99"/>
    <w:semiHidden/>
    <w:unhideWhenUsed/>
    <w:rsid w:val="0070620E"/>
    <w:rPr>
      <w:i/>
      <w:iCs/>
    </w:rPr>
  </w:style>
  <w:style w:type="paragraph" w:styleId="Header">
    <w:name w:val="header"/>
    <w:basedOn w:val="Normal"/>
    <w:link w:val="HeaderChar"/>
    <w:uiPriority w:val="99"/>
    <w:unhideWhenUsed/>
    <w:rsid w:val="00275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621"/>
  </w:style>
  <w:style w:type="paragraph" w:styleId="Footer">
    <w:name w:val="footer"/>
    <w:basedOn w:val="Normal"/>
    <w:link w:val="FooterChar"/>
    <w:uiPriority w:val="99"/>
    <w:unhideWhenUsed/>
    <w:rsid w:val="00275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621"/>
  </w:style>
  <w:style w:type="character" w:customStyle="1" w:styleId="Heading4Char">
    <w:name w:val="Heading 4 Char"/>
    <w:basedOn w:val="DefaultParagraphFont"/>
    <w:link w:val="Heading4"/>
    <w:uiPriority w:val="9"/>
    <w:rsid w:val="00F2186A"/>
    <w:rPr>
      <w:rFonts w:ascii="Calibri" w:eastAsiaTheme="majorEastAsia" w:hAnsi="Calibri" w:cstheme="majorBidi"/>
      <w:b/>
      <w:iCs/>
    </w:rPr>
  </w:style>
  <w:style w:type="character" w:customStyle="1" w:styleId="Heading5Char">
    <w:name w:val="Heading 5 Char"/>
    <w:basedOn w:val="DefaultParagraphFont"/>
    <w:link w:val="Heading5"/>
    <w:uiPriority w:val="9"/>
    <w:rsid w:val="0097240C"/>
    <w:rPr>
      <w:rFonts w:ascii="Calibri" w:eastAsiaTheme="majorEastAsia" w:hAnsi="Calibri" w:cstheme="majorBidi"/>
      <w:b/>
    </w:rPr>
  </w:style>
  <w:style w:type="paragraph" w:styleId="TOCHeading">
    <w:name w:val="TOC Heading"/>
    <w:basedOn w:val="Heading1"/>
    <w:next w:val="Normal"/>
    <w:uiPriority w:val="39"/>
    <w:unhideWhenUsed/>
    <w:qFormat/>
    <w:rsid w:val="00D1229D"/>
    <w:pPr>
      <w:spacing w:before="240"/>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D1229D"/>
    <w:pPr>
      <w:spacing w:after="100"/>
    </w:pPr>
  </w:style>
  <w:style w:type="paragraph" w:styleId="TOC2">
    <w:name w:val="toc 2"/>
    <w:basedOn w:val="Normal"/>
    <w:next w:val="Normal"/>
    <w:autoRedefine/>
    <w:uiPriority w:val="39"/>
    <w:unhideWhenUsed/>
    <w:rsid w:val="00D1229D"/>
    <w:pPr>
      <w:spacing w:after="100"/>
      <w:ind w:left="240"/>
    </w:pPr>
  </w:style>
  <w:style w:type="paragraph" w:styleId="TOC3">
    <w:name w:val="toc 3"/>
    <w:basedOn w:val="Normal"/>
    <w:next w:val="Normal"/>
    <w:autoRedefine/>
    <w:uiPriority w:val="39"/>
    <w:unhideWhenUsed/>
    <w:rsid w:val="00D1229D"/>
    <w:pPr>
      <w:spacing w:after="100"/>
      <w:ind w:left="480"/>
    </w:pPr>
  </w:style>
  <w:style w:type="character" w:styleId="UnresolvedMention">
    <w:name w:val="Unresolved Mention"/>
    <w:basedOn w:val="DefaultParagraphFont"/>
    <w:uiPriority w:val="99"/>
    <w:semiHidden/>
    <w:unhideWhenUsed/>
    <w:rsid w:val="00D1229D"/>
    <w:rPr>
      <w:color w:val="605E5C"/>
      <w:shd w:val="clear" w:color="auto" w:fill="E1DFDD"/>
    </w:rPr>
  </w:style>
  <w:style w:type="paragraph" w:styleId="NoSpacing">
    <w:name w:val="No Spacing"/>
    <w:uiPriority w:val="1"/>
    <w:qFormat/>
    <w:rsid w:val="00F2186A"/>
    <w:pPr>
      <w:spacing w:after="0" w:line="240" w:lineRule="auto"/>
    </w:pPr>
  </w:style>
  <w:style w:type="paragraph" w:styleId="Revision">
    <w:name w:val="Revision"/>
    <w:hidden/>
    <w:uiPriority w:val="99"/>
    <w:semiHidden/>
    <w:rsid w:val="00D61A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873671">
      <w:bodyDiv w:val="1"/>
      <w:marLeft w:val="0"/>
      <w:marRight w:val="0"/>
      <w:marTop w:val="0"/>
      <w:marBottom w:val="0"/>
      <w:divBdr>
        <w:top w:val="none" w:sz="0" w:space="0" w:color="auto"/>
        <w:left w:val="none" w:sz="0" w:space="0" w:color="auto"/>
        <w:bottom w:val="none" w:sz="0" w:space="0" w:color="auto"/>
        <w:right w:val="none" w:sz="0" w:space="0" w:color="auto"/>
      </w:divBdr>
    </w:div>
    <w:div w:id="907612306">
      <w:bodyDiv w:val="1"/>
      <w:marLeft w:val="0"/>
      <w:marRight w:val="0"/>
      <w:marTop w:val="0"/>
      <w:marBottom w:val="0"/>
      <w:divBdr>
        <w:top w:val="none" w:sz="0" w:space="0" w:color="auto"/>
        <w:left w:val="none" w:sz="0" w:space="0" w:color="auto"/>
        <w:bottom w:val="none" w:sz="0" w:space="0" w:color="auto"/>
        <w:right w:val="none" w:sz="0" w:space="0" w:color="auto"/>
      </w:divBdr>
    </w:div>
    <w:div w:id="912272788">
      <w:bodyDiv w:val="1"/>
      <w:marLeft w:val="0"/>
      <w:marRight w:val="0"/>
      <w:marTop w:val="0"/>
      <w:marBottom w:val="0"/>
      <w:divBdr>
        <w:top w:val="none" w:sz="0" w:space="0" w:color="auto"/>
        <w:left w:val="none" w:sz="0" w:space="0" w:color="auto"/>
        <w:bottom w:val="none" w:sz="0" w:space="0" w:color="auto"/>
        <w:right w:val="none" w:sz="0" w:space="0" w:color="auto"/>
      </w:divBdr>
      <w:divsChild>
        <w:div w:id="328027403">
          <w:marLeft w:val="0"/>
          <w:marRight w:val="0"/>
          <w:marTop w:val="0"/>
          <w:marBottom w:val="0"/>
          <w:divBdr>
            <w:top w:val="none" w:sz="0" w:space="0" w:color="auto"/>
            <w:left w:val="none" w:sz="0" w:space="0" w:color="auto"/>
            <w:bottom w:val="none" w:sz="0" w:space="0" w:color="auto"/>
            <w:right w:val="none" w:sz="0" w:space="0" w:color="auto"/>
          </w:divBdr>
        </w:div>
      </w:divsChild>
    </w:div>
    <w:div w:id="132003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02A74-41E6-4B77-8B7C-8419F8AD2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7343</Words>
  <Characters>41860</Characters>
  <Application>Microsoft Office Word</Application>
  <DocSecurity>0</DocSecurity>
  <Lines>348</Lines>
  <Paragraphs>98</Paragraphs>
  <ScaleCrop>false</ScaleCrop>
  <Company/>
  <LinksUpToDate>false</LinksUpToDate>
  <CharactersWithSpaces>49105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2024-03-08T06:08:00Z</dcterms:created>
  <dcterms:modified xsi:type="dcterms:W3CDTF">2024-03-08T06:12:00Z</dcterms:modified>
</cp:coreProperties>
</file>