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A3A84" w14:textId="40C3900D" w:rsidR="00BD3377" w:rsidRPr="001002BB" w:rsidRDefault="00FE1963" w:rsidP="00D93351">
      <w:pPr>
        <w:spacing w:after="0"/>
        <w:ind w:left="720" w:hanging="720"/>
        <w:rPr>
          <w:rFonts w:ascii="Arial" w:hAnsi="Arial" w:cs="Arial"/>
          <w:b/>
          <w:sz w:val="32"/>
        </w:rPr>
      </w:pPr>
      <w:r>
        <w:rPr>
          <w:rFonts w:ascii="Arial" w:hAnsi="Arial" w:cs="Arial"/>
          <w:b/>
          <w:sz w:val="32"/>
        </w:rPr>
        <w:t>14.7</w:t>
      </w:r>
      <w:r w:rsidR="00B86B1A">
        <w:rPr>
          <w:rFonts w:ascii="Arial" w:hAnsi="Arial" w:cs="Arial"/>
          <w:b/>
          <w:sz w:val="32"/>
        </w:rPr>
        <w:tab/>
      </w:r>
      <w:r w:rsidR="0048687F">
        <w:rPr>
          <w:rFonts w:ascii="Arial" w:hAnsi="Arial" w:cs="Arial"/>
          <w:b/>
          <w:sz w:val="32"/>
        </w:rPr>
        <w:t>POST-</w:t>
      </w:r>
      <w:r w:rsidR="001002BB" w:rsidRPr="001002BB">
        <w:rPr>
          <w:rFonts w:ascii="Arial" w:hAnsi="Arial" w:cs="Arial"/>
          <w:b/>
          <w:sz w:val="32"/>
        </w:rPr>
        <w:t xml:space="preserve">MARKET REVIEW OF </w:t>
      </w:r>
      <w:r w:rsidR="0048687F">
        <w:rPr>
          <w:rFonts w:ascii="Arial" w:hAnsi="Arial" w:cs="Arial"/>
          <w:b/>
          <w:sz w:val="32"/>
        </w:rPr>
        <w:t>TYPE 2 DIABETES MEDICINES</w:t>
      </w:r>
    </w:p>
    <w:p w14:paraId="63137D18" w14:textId="77777777" w:rsidR="00F8077A" w:rsidRPr="001002BB" w:rsidRDefault="00F8077A" w:rsidP="00D93351">
      <w:pPr>
        <w:spacing w:after="0" w:line="240" w:lineRule="auto"/>
        <w:rPr>
          <w:rFonts w:ascii="Arial" w:hAnsi="Arial" w:cs="Arial"/>
          <w:b/>
          <w:sz w:val="24"/>
          <w:szCs w:val="24"/>
        </w:rPr>
      </w:pPr>
    </w:p>
    <w:p w14:paraId="7DB2E2D3" w14:textId="04B5AA6C" w:rsidR="00F7532F" w:rsidRPr="005C2752" w:rsidRDefault="00F7532F" w:rsidP="00D20B54">
      <w:pPr>
        <w:pStyle w:val="Heading2"/>
      </w:pPr>
      <w:r w:rsidRPr="005C2752">
        <w:t>The Review</w:t>
      </w:r>
    </w:p>
    <w:p w14:paraId="0ACBA5CF" w14:textId="098C3FF3" w:rsidR="00886E77" w:rsidRPr="001002BB" w:rsidRDefault="009D0D45" w:rsidP="009D0D45">
      <w:pPr>
        <w:tabs>
          <w:tab w:val="left" w:pos="7440"/>
        </w:tabs>
        <w:spacing w:after="60"/>
        <w:rPr>
          <w:rFonts w:ascii="Arial" w:hAnsi="Arial" w:cs="Arial"/>
          <w:b/>
          <w:szCs w:val="24"/>
        </w:rPr>
      </w:pPr>
      <w:r>
        <w:rPr>
          <w:rFonts w:ascii="Arial" w:hAnsi="Arial" w:cs="Arial"/>
          <w:b/>
          <w:szCs w:val="24"/>
        </w:rPr>
        <w:tab/>
      </w:r>
    </w:p>
    <w:p w14:paraId="0244D49B" w14:textId="77777777" w:rsidR="005C2752" w:rsidRDefault="005A58DB" w:rsidP="008A2489">
      <w:pPr>
        <w:pStyle w:val="ListParagraph"/>
        <w:numPr>
          <w:ilvl w:val="1"/>
          <w:numId w:val="37"/>
        </w:numPr>
        <w:spacing w:after="0"/>
        <w:ind w:left="567" w:hanging="567"/>
        <w:rPr>
          <w:rFonts w:ascii="Arial" w:hAnsi="Arial" w:cs="Arial"/>
        </w:rPr>
      </w:pPr>
      <w:r w:rsidRPr="005C2752">
        <w:rPr>
          <w:rFonts w:ascii="Arial" w:hAnsi="Arial" w:cs="Arial"/>
        </w:rPr>
        <w:t>Following a request from the Drug U</w:t>
      </w:r>
      <w:r w:rsidR="008C10EC" w:rsidRPr="005C2752">
        <w:rPr>
          <w:rFonts w:ascii="Arial" w:hAnsi="Arial" w:cs="Arial"/>
        </w:rPr>
        <w:t>tilisation Sub-Committee (DUSC) of</w:t>
      </w:r>
      <w:r w:rsidRPr="005C2752">
        <w:rPr>
          <w:rFonts w:ascii="Arial" w:hAnsi="Arial" w:cs="Arial"/>
        </w:rPr>
        <w:t xml:space="preserve"> the Pharmaceutical Benefits Advisory Committee (PBAC)</w:t>
      </w:r>
      <w:r w:rsidR="008C10EC" w:rsidRPr="005C2752">
        <w:rPr>
          <w:rFonts w:ascii="Arial" w:hAnsi="Arial" w:cs="Arial"/>
        </w:rPr>
        <w:t>, the PBAC</w:t>
      </w:r>
      <w:r w:rsidRPr="005C2752">
        <w:rPr>
          <w:rFonts w:ascii="Arial" w:hAnsi="Arial" w:cs="Arial"/>
        </w:rPr>
        <w:t xml:space="preserve"> recommended a review of the utilisation and cost-effectiveness of type 2 diabetes medicines in March 2012. The PBAC endorsed the Terms of Reference (</w:t>
      </w:r>
      <w:proofErr w:type="spellStart"/>
      <w:r w:rsidRPr="005C2752">
        <w:rPr>
          <w:rFonts w:ascii="Arial" w:hAnsi="Arial" w:cs="Arial"/>
        </w:rPr>
        <w:t>ToR</w:t>
      </w:r>
      <w:proofErr w:type="spellEnd"/>
      <w:r w:rsidRPr="005C2752">
        <w:rPr>
          <w:rFonts w:ascii="Arial" w:hAnsi="Arial" w:cs="Arial"/>
        </w:rPr>
        <w:t xml:space="preserve">) for the Post-market Review of Products used in the Management of Diabetes (Diabetes Review) </w:t>
      </w:r>
      <w:r w:rsidR="005A6A8A" w:rsidRPr="005C2752">
        <w:rPr>
          <w:rFonts w:ascii="Arial" w:hAnsi="Arial" w:cs="Arial"/>
        </w:rPr>
        <w:t>in August </w:t>
      </w:r>
      <w:r w:rsidRPr="005C2752">
        <w:rPr>
          <w:rFonts w:ascii="Arial" w:hAnsi="Arial" w:cs="Arial"/>
        </w:rPr>
        <w:t>2012.</w:t>
      </w:r>
    </w:p>
    <w:p w14:paraId="26AF300F" w14:textId="77777777" w:rsidR="005C2752" w:rsidRDefault="005C2752" w:rsidP="008A2489">
      <w:pPr>
        <w:pStyle w:val="ListParagraph"/>
        <w:spacing w:after="0"/>
        <w:ind w:left="567" w:hanging="567"/>
        <w:rPr>
          <w:rFonts w:ascii="Arial" w:hAnsi="Arial" w:cs="Arial"/>
        </w:rPr>
      </w:pPr>
    </w:p>
    <w:p w14:paraId="0760262C" w14:textId="5D2E8C2A" w:rsidR="005C2752" w:rsidRDefault="00854536" w:rsidP="008A2489">
      <w:pPr>
        <w:pStyle w:val="ListParagraph"/>
        <w:numPr>
          <w:ilvl w:val="1"/>
          <w:numId w:val="37"/>
        </w:numPr>
        <w:spacing w:after="0"/>
        <w:ind w:left="567" w:hanging="567"/>
        <w:rPr>
          <w:rFonts w:ascii="Arial" w:hAnsi="Arial" w:cs="Arial"/>
        </w:rPr>
      </w:pPr>
      <w:r w:rsidRPr="005C2752">
        <w:rPr>
          <w:rFonts w:ascii="Arial" w:hAnsi="Arial" w:cs="Arial"/>
        </w:rPr>
        <w:t>The objective o</w:t>
      </w:r>
      <w:r w:rsidR="00B42A3F" w:rsidRPr="005C2752">
        <w:rPr>
          <w:rFonts w:ascii="Arial" w:hAnsi="Arial" w:cs="Arial"/>
        </w:rPr>
        <w:t>f the Diabetes Review wa</w:t>
      </w:r>
      <w:r w:rsidRPr="005C2752">
        <w:rPr>
          <w:rFonts w:ascii="Arial" w:hAnsi="Arial" w:cs="Arial"/>
        </w:rPr>
        <w:t xml:space="preserve">s to ensure that patients are using </w:t>
      </w:r>
      <w:r w:rsidR="00A00533">
        <w:rPr>
          <w:rFonts w:ascii="Arial" w:hAnsi="Arial" w:cs="Arial"/>
        </w:rPr>
        <w:t>medicines and products effectively and safely</w:t>
      </w:r>
      <w:r w:rsidRPr="005C2752">
        <w:rPr>
          <w:rFonts w:ascii="Arial" w:hAnsi="Arial" w:cs="Arial"/>
        </w:rPr>
        <w:t xml:space="preserve"> to achieve optimal health outcomes and support quality use of medicines.</w:t>
      </w:r>
    </w:p>
    <w:p w14:paraId="29D38372" w14:textId="77777777" w:rsidR="005C2752" w:rsidRPr="005C2752" w:rsidRDefault="005C2752" w:rsidP="008A2489">
      <w:pPr>
        <w:spacing w:after="0"/>
        <w:ind w:left="567" w:hanging="567"/>
        <w:rPr>
          <w:rFonts w:ascii="Arial" w:hAnsi="Arial" w:cs="Arial"/>
        </w:rPr>
      </w:pPr>
    </w:p>
    <w:p w14:paraId="16EECA9E" w14:textId="77777777" w:rsidR="005C2752" w:rsidRDefault="00B42A3F" w:rsidP="008A2489">
      <w:pPr>
        <w:pStyle w:val="ListParagraph"/>
        <w:numPr>
          <w:ilvl w:val="1"/>
          <w:numId w:val="37"/>
        </w:numPr>
        <w:spacing w:after="0"/>
        <w:ind w:left="567" w:hanging="567"/>
        <w:rPr>
          <w:rFonts w:ascii="Arial" w:hAnsi="Arial" w:cs="Arial"/>
        </w:rPr>
      </w:pPr>
      <w:r w:rsidRPr="005C2752">
        <w:rPr>
          <w:rFonts w:ascii="Arial" w:hAnsi="Arial" w:cs="Arial"/>
        </w:rPr>
        <w:t>The Diabetes Review was</w:t>
      </w:r>
      <w:r w:rsidR="005A58DB" w:rsidRPr="005C2752">
        <w:rPr>
          <w:rFonts w:ascii="Arial" w:hAnsi="Arial" w:cs="Arial"/>
        </w:rPr>
        <w:t xml:space="preserve"> divided into three stages:</w:t>
      </w:r>
    </w:p>
    <w:p w14:paraId="4C646BAB" w14:textId="77777777" w:rsidR="005C2752" w:rsidRDefault="005A58DB" w:rsidP="00010C9E">
      <w:pPr>
        <w:pStyle w:val="ListParagraph"/>
        <w:numPr>
          <w:ilvl w:val="2"/>
          <w:numId w:val="38"/>
        </w:numPr>
        <w:spacing w:after="0"/>
        <w:ind w:left="851" w:hanging="284"/>
        <w:rPr>
          <w:rFonts w:ascii="Arial" w:hAnsi="Arial" w:cs="Arial"/>
        </w:rPr>
      </w:pPr>
      <w:r w:rsidRPr="005C2752">
        <w:rPr>
          <w:rFonts w:ascii="Arial" w:hAnsi="Arial" w:cs="Arial"/>
        </w:rPr>
        <w:t>Blood glucose test strips use in people with type 2 diabetes not using insulin.</w:t>
      </w:r>
    </w:p>
    <w:p w14:paraId="012AFAFB" w14:textId="77777777" w:rsidR="005C2752" w:rsidRDefault="005A58DB" w:rsidP="00010C9E">
      <w:pPr>
        <w:pStyle w:val="ListParagraph"/>
        <w:numPr>
          <w:ilvl w:val="2"/>
          <w:numId w:val="38"/>
        </w:numPr>
        <w:spacing w:after="0"/>
        <w:ind w:left="851" w:hanging="284"/>
        <w:rPr>
          <w:rFonts w:ascii="Arial" w:hAnsi="Arial" w:cs="Arial"/>
        </w:rPr>
      </w:pPr>
      <w:r w:rsidRPr="005C2752">
        <w:rPr>
          <w:rFonts w:ascii="Arial" w:hAnsi="Arial" w:cs="Arial"/>
        </w:rPr>
        <w:t>Insulin pumps for people with type 1 diabetes, and the Insulin Pump Programme.</w:t>
      </w:r>
    </w:p>
    <w:p w14:paraId="377E01C7" w14:textId="77777777" w:rsidR="005C2752" w:rsidRDefault="005A58DB" w:rsidP="00010C9E">
      <w:pPr>
        <w:pStyle w:val="ListParagraph"/>
        <w:numPr>
          <w:ilvl w:val="2"/>
          <w:numId w:val="38"/>
        </w:numPr>
        <w:spacing w:after="0"/>
        <w:ind w:left="851" w:hanging="284"/>
        <w:rPr>
          <w:rFonts w:ascii="Arial" w:hAnsi="Arial" w:cs="Arial"/>
        </w:rPr>
      </w:pPr>
      <w:r w:rsidRPr="005C2752">
        <w:rPr>
          <w:rFonts w:ascii="Arial" w:hAnsi="Arial" w:cs="Arial"/>
        </w:rPr>
        <w:t xml:space="preserve">Medicines used in the management of type </w:t>
      </w:r>
      <w:proofErr w:type="gramStart"/>
      <w:r w:rsidRPr="005C2752">
        <w:rPr>
          <w:rFonts w:ascii="Arial" w:hAnsi="Arial" w:cs="Arial"/>
        </w:rPr>
        <w:t>2 diabetes</w:t>
      </w:r>
      <w:proofErr w:type="gramEnd"/>
      <w:r w:rsidRPr="005C2752">
        <w:rPr>
          <w:rFonts w:ascii="Arial" w:hAnsi="Arial" w:cs="Arial"/>
        </w:rPr>
        <w:t xml:space="preserve">. </w:t>
      </w:r>
    </w:p>
    <w:p w14:paraId="4D526727" w14:textId="77777777" w:rsidR="005C2752" w:rsidRPr="005C2752" w:rsidRDefault="005C2752" w:rsidP="005C2752">
      <w:pPr>
        <w:spacing w:after="0"/>
        <w:ind w:left="426" w:hanging="426"/>
        <w:rPr>
          <w:rFonts w:ascii="Arial" w:hAnsi="Arial" w:cs="Arial"/>
        </w:rPr>
      </w:pPr>
    </w:p>
    <w:p w14:paraId="44CB39C3" w14:textId="78170888" w:rsidR="00B42A3F" w:rsidRPr="005C2752" w:rsidRDefault="00854536" w:rsidP="008A2489">
      <w:pPr>
        <w:pStyle w:val="ListParagraph"/>
        <w:numPr>
          <w:ilvl w:val="1"/>
          <w:numId w:val="37"/>
        </w:numPr>
        <w:spacing w:after="0"/>
        <w:ind w:left="567" w:hanging="567"/>
        <w:rPr>
          <w:rFonts w:ascii="Arial" w:hAnsi="Arial" w:cs="Arial"/>
        </w:rPr>
      </w:pPr>
      <w:r w:rsidRPr="005C2752">
        <w:rPr>
          <w:rFonts w:ascii="Arial" w:hAnsi="Arial" w:cs="Arial"/>
        </w:rPr>
        <w:t>The purpose of the Review of Type 2 Diabetes Medicines (Stage 3) was to examine and characterise the complexity and heterogeneity of PBS listings for type 2 diabetes medicines to inform an assessment of their effectiveness in terms of clinical outcomes and cost.</w:t>
      </w:r>
      <w:r w:rsidR="00B42A3F" w:rsidRPr="005C2752">
        <w:rPr>
          <w:rFonts w:ascii="Arial" w:hAnsi="Arial" w:cs="Arial"/>
        </w:rPr>
        <w:t xml:space="preserve"> Further information is available on the </w:t>
      </w:r>
      <w:hyperlink r:id="rId9" w:history="1">
        <w:r w:rsidR="00B42A3F" w:rsidRPr="005C2752">
          <w:rPr>
            <w:rStyle w:val="Hyperlink"/>
            <w:rFonts w:ascii="Arial" w:hAnsi="Arial" w:cs="Arial"/>
          </w:rPr>
          <w:t>Diabetes Review website</w:t>
        </w:r>
      </w:hyperlink>
      <w:r w:rsidR="00B42A3F" w:rsidRPr="005C2752">
        <w:rPr>
          <w:rFonts w:ascii="Arial" w:hAnsi="Arial" w:cs="Arial"/>
        </w:rPr>
        <w:t>.</w:t>
      </w:r>
    </w:p>
    <w:p w14:paraId="6BBBA474" w14:textId="77777777" w:rsidR="00854536" w:rsidRDefault="00854536" w:rsidP="00D93351">
      <w:pPr>
        <w:spacing w:after="60"/>
        <w:rPr>
          <w:rFonts w:ascii="Arial" w:hAnsi="Arial" w:cs="Arial"/>
          <w:b/>
          <w:szCs w:val="24"/>
        </w:rPr>
      </w:pPr>
    </w:p>
    <w:p w14:paraId="48481C47" w14:textId="6FC9A86C" w:rsidR="00F7532F" w:rsidRPr="00D20B54" w:rsidRDefault="00F7532F" w:rsidP="00D20B54">
      <w:pPr>
        <w:pStyle w:val="Heading2"/>
      </w:pPr>
      <w:r w:rsidRPr="00D20B54">
        <w:t>Terms of Reference</w:t>
      </w:r>
    </w:p>
    <w:p w14:paraId="6EB7A7A3" w14:textId="77777777" w:rsidR="00854536" w:rsidRDefault="00854536" w:rsidP="00D93351">
      <w:pPr>
        <w:spacing w:after="60"/>
        <w:rPr>
          <w:rFonts w:ascii="Arial" w:hAnsi="Arial" w:cs="Arial"/>
          <w:b/>
          <w:szCs w:val="24"/>
        </w:rPr>
      </w:pPr>
    </w:p>
    <w:p w14:paraId="6DAFD66A" w14:textId="77777777" w:rsidR="005A58DB" w:rsidRDefault="005A58DB" w:rsidP="000349C8">
      <w:pPr>
        <w:pStyle w:val="ListParagraph"/>
        <w:numPr>
          <w:ilvl w:val="1"/>
          <w:numId w:val="37"/>
        </w:numPr>
        <w:spacing w:after="0"/>
        <w:ind w:left="567" w:hanging="567"/>
        <w:rPr>
          <w:rFonts w:ascii="Arial" w:hAnsi="Arial" w:cs="Arial"/>
        </w:rPr>
      </w:pPr>
      <w:r w:rsidRPr="00854536">
        <w:rPr>
          <w:rFonts w:ascii="Arial" w:hAnsi="Arial" w:cs="Arial"/>
        </w:rPr>
        <w:t>Describe the utilisation and patterns of treatment of PBS listed drugs for type 2 diabetes, and compare these with PBS restrictions.</w:t>
      </w:r>
    </w:p>
    <w:p w14:paraId="336E6D3A" w14:textId="77777777" w:rsidR="000349C8" w:rsidRPr="00854536" w:rsidRDefault="000349C8" w:rsidP="000349C8">
      <w:pPr>
        <w:pStyle w:val="ListParagraph"/>
        <w:spacing w:after="0"/>
        <w:ind w:left="567"/>
        <w:rPr>
          <w:rFonts w:ascii="Arial" w:hAnsi="Arial" w:cs="Arial"/>
        </w:rPr>
      </w:pPr>
    </w:p>
    <w:p w14:paraId="0DC18F8E" w14:textId="77777777" w:rsidR="005A58DB" w:rsidRDefault="005A58DB" w:rsidP="000349C8">
      <w:pPr>
        <w:pStyle w:val="ListParagraph"/>
        <w:numPr>
          <w:ilvl w:val="1"/>
          <w:numId w:val="37"/>
        </w:numPr>
        <w:spacing w:after="0"/>
        <w:ind w:left="567" w:hanging="567"/>
        <w:rPr>
          <w:rFonts w:ascii="Arial" w:hAnsi="Arial" w:cs="Arial"/>
        </w:rPr>
      </w:pPr>
      <w:r w:rsidRPr="00854536">
        <w:rPr>
          <w:rFonts w:ascii="Arial" w:hAnsi="Arial" w:cs="Arial"/>
        </w:rPr>
        <w:t xml:space="preserve">Consider if the utilisation of PBS listed drugs in current clinical practice represents expected cost-effective use. </w:t>
      </w:r>
    </w:p>
    <w:p w14:paraId="2E611680" w14:textId="77777777" w:rsidR="000349C8" w:rsidRPr="00854536" w:rsidRDefault="000349C8" w:rsidP="000349C8">
      <w:pPr>
        <w:pStyle w:val="ListParagraph"/>
        <w:spacing w:after="0"/>
        <w:ind w:left="567"/>
        <w:rPr>
          <w:rFonts w:ascii="Arial" w:hAnsi="Arial" w:cs="Arial"/>
        </w:rPr>
      </w:pPr>
    </w:p>
    <w:p w14:paraId="55ACF567" w14:textId="77777777" w:rsidR="005A58DB" w:rsidRDefault="005A58DB" w:rsidP="000349C8">
      <w:pPr>
        <w:pStyle w:val="ListParagraph"/>
        <w:numPr>
          <w:ilvl w:val="1"/>
          <w:numId w:val="37"/>
        </w:numPr>
        <w:spacing w:after="0"/>
        <w:ind w:left="567" w:hanging="567"/>
        <w:rPr>
          <w:rFonts w:ascii="Arial" w:hAnsi="Arial" w:cs="Arial"/>
        </w:rPr>
      </w:pPr>
      <w:r w:rsidRPr="00854536">
        <w:rPr>
          <w:rFonts w:ascii="Arial" w:hAnsi="Arial" w:cs="Arial"/>
        </w:rPr>
        <w:t>Consolidate the clinical trial evidence used to support PBS listings of diabetes medicines listed since 2002.</w:t>
      </w:r>
    </w:p>
    <w:p w14:paraId="6B871D48" w14:textId="77777777" w:rsidR="000349C8" w:rsidRPr="00854536" w:rsidRDefault="000349C8" w:rsidP="000349C8">
      <w:pPr>
        <w:pStyle w:val="ListParagraph"/>
        <w:spacing w:after="0"/>
        <w:ind w:left="567"/>
        <w:rPr>
          <w:rFonts w:ascii="Arial" w:hAnsi="Arial" w:cs="Arial"/>
        </w:rPr>
      </w:pPr>
    </w:p>
    <w:p w14:paraId="674F60CF" w14:textId="77777777" w:rsidR="005A58DB" w:rsidRPr="00854536" w:rsidRDefault="005A58DB" w:rsidP="000349C8">
      <w:pPr>
        <w:pStyle w:val="ListParagraph"/>
        <w:numPr>
          <w:ilvl w:val="1"/>
          <w:numId w:val="37"/>
        </w:numPr>
        <w:spacing w:after="0"/>
        <w:ind w:left="567" w:hanging="567"/>
        <w:rPr>
          <w:rFonts w:ascii="Arial" w:hAnsi="Arial" w:cs="Arial"/>
        </w:rPr>
      </w:pPr>
      <w:r w:rsidRPr="00854536">
        <w:rPr>
          <w:rFonts w:ascii="Arial" w:hAnsi="Arial" w:cs="Arial"/>
        </w:rPr>
        <w:t>Collate and evaluate any additional clinical studies or meta-analyses for drugs currently PBS listed for type 2 diabetes that the PBAC has not seen and that would inform their consideration.</w:t>
      </w:r>
    </w:p>
    <w:p w14:paraId="4B593245" w14:textId="77777777" w:rsidR="00206169" w:rsidRPr="001002BB" w:rsidRDefault="00206169" w:rsidP="00D93351">
      <w:pPr>
        <w:spacing w:after="60"/>
        <w:rPr>
          <w:rFonts w:ascii="Arial" w:hAnsi="Arial" w:cs="Arial"/>
          <w:b/>
          <w:szCs w:val="24"/>
        </w:rPr>
      </w:pPr>
    </w:p>
    <w:p w14:paraId="37EA5D27" w14:textId="03C1D5CD" w:rsidR="00F7532F" w:rsidRPr="001002BB" w:rsidRDefault="00F7532F" w:rsidP="007C78CB">
      <w:pPr>
        <w:pStyle w:val="Heading2"/>
        <w:keepNext/>
        <w:keepLines/>
      </w:pPr>
      <w:r w:rsidRPr="00D20B54">
        <w:lastRenderedPageBreak/>
        <w:t>Background</w:t>
      </w:r>
    </w:p>
    <w:p w14:paraId="131C343A" w14:textId="77777777" w:rsidR="00010C9E" w:rsidRDefault="00010C9E" w:rsidP="007C78CB">
      <w:pPr>
        <w:keepNext/>
        <w:keepLines/>
        <w:spacing w:after="60"/>
        <w:rPr>
          <w:rFonts w:ascii="Arial" w:eastAsia="Times" w:hAnsi="Arial" w:cs="Arial"/>
          <w:szCs w:val="20"/>
        </w:rPr>
      </w:pPr>
    </w:p>
    <w:p w14:paraId="05E82284" w14:textId="7744F09B" w:rsidR="00010C9E" w:rsidRDefault="0048687F" w:rsidP="007C78CB">
      <w:pPr>
        <w:pStyle w:val="ListParagraph"/>
        <w:keepNext/>
        <w:keepLines/>
        <w:numPr>
          <w:ilvl w:val="1"/>
          <w:numId w:val="37"/>
        </w:numPr>
        <w:spacing w:after="60"/>
        <w:ind w:left="567" w:hanging="567"/>
        <w:rPr>
          <w:rFonts w:ascii="Arial" w:hAnsi="Arial" w:cs="Arial"/>
        </w:rPr>
      </w:pPr>
      <w:r w:rsidRPr="00010C9E">
        <w:rPr>
          <w:rFonts w:ascii="Arial" w:hAnsi="Arial" w:cs="Arial"/>
        </w:rPr>
        <w:t>In F</w:t>
      </w:r>
      <w:r w:rsidR="009B6881">
        <w:rPr>
          <w:rFonts w:ascii="Arial" w:hAnsi="Arial" w:cs="Arial"/>
        </w:rPr>
        <w:t xml:space="preserve">ebruary 2012, the DUSC recommended that the PBAC request </w:t>
      </w:r>
      <w:r w:rsidRPr="00010C9E">
        <w:rPr>
          <w:rFonts w:ascii="Arial" w:hAnsi="Arial" w:cs="Arial"/>
        </w:rPr>
        <w:t xml:space="preserve">a complete review of type 2 diabetes medicines, following its consideration of a number of changes to diabetes products listed on the PBS. These included amended restrictions, additional indications for existing medicines, and the listing of new medicines. The DUSC noted </w:t>
      </w:r>
      <w:r w:rsidR="009B6881">
        <w:rPr>
          <w:rFonts w:ascii="Arial" w:hAnsi="Arial" w:cs="Arial"/>
        </w:rPr>
        <w:t xml:space="preserve">that there was </w:t>
      </w:r>
      <w:r w:rsidRPr="00010C9E">
        <w:rPr>
          <w:rFonts w:ascii="Arial" w:hAnsi="Arial" w:cs="Arial"/>
        </w:rPr>
        <w:t xml:space="preserve">use of medicines outside the PBS </w:t>
      </w:r>
      <w:proofErr w:type="gramStart"/>
      <w:r w:rsidRPr="00010C9E">
        <w:rPr>
          <w:rFonts w:ascii="Arial" w:hAnsi="Arial" w:cs="Arial"/>
        </w:rPr>
        <w:t>restrictions,</w:t>
      </w:r>
      <w:r w:rsidR="00AD6B62">
        <w:rPr>
          <w:rFonts w:ascii="Arial" w:hAnsi="Arial" w:cs="Arial"/>
        </w:rPr>
        <w:t xml:space="preserve"> </w:t>
      </w:r>
      <w:r w:rsidRPr="00010C9E">
        <w:rPr>
          <w:rFonts w:ascii="Arial" w:hAnsi="Arial" w:cs="Arial"/>
        </w:rPr>
        <w:t>that</w:t>
      </w:r>
      <w:proofErr w:type="gramEnd"/>
      <w:r w:rsidRPr="00010C9E">
        <w:rPr>
          <w:rFonts w:ascii="Arial" w:hAnsi="Arial" w:cs="Arial"/>
        </w:rPr>
        <w:t xml:space="preserve"> the PBS restrictions have become complex </w:t>
      </w:r>
      <w:r w:rsidR="009B6881">
        <w:rPr>
          <w:rFonts w:ascii="Arial" w:hAnsi="Arial" w:cs="Arial"/>
        </w:rPr>
        <w:t xml:space="preserve">and somewhat inconsistent with emerging guidance on best practice </w:t>
      </w:r>
      <w:r w:rsidRPr="00010C9E">
        <w:rPr>
          <w:rFonts w:ascii="Arial" w:hAnsi="Arial" w:cs="Arial"/>
        </w:rPr>
        <w:t>over time</w:t>
      </w:r>
      <w:r w:rsidR="009B6881">
        <w:rPr>
          <w:rFonts w:ascii="Arial" w:hAnsi="Arial" w:cs="Arial"/>
        </w:rPr>
        <w:t>,</w:t>
      </w:r>
      <w:r w:rsidRPr="00010C9E">
        <w:rPr>
          <w:rFonts w:ascii="Arial" w:hAnsi="Arial" w:cs="Arial"/>
        </w:rPr>
        <w:t xml:space="preserve"> and that safety concerns have arisen for some medicines. The PBAC considered the DUSC advice and recommended a review of type 2 diabetes medicines in March 2012.</w:t>
      </w:r>
    </w:p>
    <w:p w14:paraId="614D1D0D" w14:textId="77777777" w:rsidR="00010C9E" w:rsidRDefault="00010C9E" w:rsidP="008A2489">
      <w:pPr>
        <w:pStyle w:val="ListParagraph"/>
        <w:spacing w:after="60"/>
        <w:ind w:left="567" w:hanging="567"/>
        <w:rPr>
          <w:rFonts w:ascii="Arial" w:hAnsi="Arial" w:cs="Arial"/>
        </w:rPr>
      </w:pPr>
    </w:p>
    <w:p w14:paraId="3DE8F03E" w14:textId="46D54E96" w:rsidR="00010C9E" w:rsidRPr="00010C9E" w:rsidRDefault="00BC27D8" w:rsidP="008A2489">
      <w:pPr>
        <w:pStyle w:val="ListParagraph"/>
        <w:numPr>
          <w:ilvl w:val="1"/>
          <w:numId w:val="37"/>
        </w:numPr>
        <w:spacing w:after="60"/>
        <w:ind w:left="567" w:hanging="567"/>
        <w:rPr>
          <w:rFonts w:ascii="Arial" w:hAnsi="Arial" w:cs="Arial"/>
        </w:rPr>
      </w:pPr>
      <w:r w:rsidRPr="00010C9E">
        <w:rPr>
          <w:rFonts w:ascii="Arial" w:hAnsi="Arial" w:cs="Arial"/>
          <w:szCs w:val="24"/>
        </w:rPr>
        <w:t>The Review</w:t>
      </w:r>
      <w:r w:rsidR="00572818" w:rsidRPr="00010C9E">
        <w:rPr>
          <w:rFonts w:ascii="Arial" w:hAnsi="Arial" w:cs="Arial"/>
          <w:szCs w:val="24"/>
        </w:rPr>
        <w:t xml:space="preserve"> of Type 2 Diabetes Medicines</w:t>
      </w:r>
      <w:r w:rsidRPr="00010C9E">
        <w:rPr>
          <w:rFonts w:ascii="Arial" w:hAnsi="Arial" w:cs="Arial"/>
          <w:szCs w:val="24"/>
        </w:rPr>
        <w:t xml:space="preserve"> was conducted during 2013</w:t>
      </w:r>
      <w:r w:rsidR="00572818" w:rsidRPr="00010C9E">
        <w:rPr>
          <w:rFonts w:ascii="Arial" w:hAnsi="Arial" w:cs="Arial"/>
          <w:szCs w:val="24"/>
        </w:rPr>
        <w:t>–14</w:t>
      </w:r>
      <w:r w:rsidR="00B42A3F" w:rsidRPr="00010C9E">
        <w:rPr>
          <w:rFonts w:ascii="Arial" w:hAnsi="Arial" w:cs="Arial"/>
          <w:szCs w:val="24"/>
        </w:rPr>
        <w:t>, following the P</w:t>
      </w:r>
      <w:r w:rsidR="009B6881">
        <w:rPr>
          <w:rFonts w:ascii="Arial" w:hAnsi="Arial" w:cs="Arial"/>
          <w:szCs w:val="24"/>
        </w:rPr>
        <w:t xml:space="preserve">ost-market Review framework. A Departmental </w:t>
      </w:r>
      <w:r w:rsidR="00B42A3F" w:rsidRPr="00010C9E">
        <w:rPr>
          <w:rFonts w:ascii="Arial" w:hAnsi="Arial" w:cs="Arial"/>
          <w:szCs w:val="24"/>
        </w:rPr>
        <w:t>Working Group and an expert Reference Group provided guidance an in</w:t>
      </w:r>
      <w:r w:rsidR="009B6881">
        <w:rPr>
          <w:rFonts w:ascii="Arial" w:hAnsi="Arial" w:cs="Arial"/>
          <w:szCs w:val="24"/>
        </w:rPr>
        <w:t>put to the Review.</w:t>
      </w:r>
      <w:r w:rsidR="00B42A3F" w:rsidRPr="00010C9E">
        <w:rPr>
          <w:rFonts w:ascii="Arial" w:hAnsi="Arial" w:cs="Arial"/>
          <w:szCs w:val="24"/>
        </w:rPr>
        <w:t xml:space="preserve"> The Reference Group included experts in</w:t>
      </w:r>
      <w:r w:rsidR="00B42A3F" w:rsidRPr="002158C0">
        <w:t xml:space="preserve"> </w:t>
      </w:r>
      <w:r w:rsidR="00B42A3F" w:rsidRPr="00010C9E">
        <w:rPr>
          <w:rFonts w:ascii="Arial" w:hAnsi="Arial" w:cs="Arial"/>
        </w:rPr>
        <w:t>endocrinology, diabetes education, general practice, consumer advocacy, pharmacy, economics, nutrition, and psychology</w:t>
      </w:r>
      <w:r w:rsidR="00B42A3F" w:rsidRPr="00010C9E">
        <w:rPr>
          <w:rFonts w:ascii="Arial" w:hAnsi="Arial" w:cs="Arial"/>
          <w:szCs w:val="24"/>
        </w:rPr>
        <w:t>.</w:t>
      </w:r>
    </w:p>
    <w:p w14:paraId="666055C9" w14:textId="77777777" w:rsidR="00010C9E" w:rsidRPr="00010C9E" w:rsidRDefault="00010C9E" w:rsidP="008A2489">
      <w:pPr>
        <w:spacing w:after="0"/>
        <w:ind w:left="567" w:hanging="567"/>
        <w:rPr>
          <w:rFonts w:ascii="Arial" w:hAnsi="Arial" w:cs="Arial"/>
        </w:rPr>
      </w:pPr>
    </w:p>
    <w:p w14:paraId="04A725F1" w14:textId="2C55593C" w:rsidR="00572818" w:rsidRPr="00010C9E" w:rsidRDefault="00B42A3F" w:rsidP="008A2489">
      <w:pPr>
        <w:pStyle w:val="ListParagraph"/>
        <w:numPr>
          <w:ilvl w:val="1"/>
          <w:numId w:val="37"/>
        </w:numPr>
        <w:spacing w:after="60"/>
        <w:ind w:left="567" w:hanging="567"/>
        <w:rPr>
          <w:rFonts w:ascii="Arial" w:hAnsi="Arial" w:cs="Arial"/>
        </w:rPr>
      </w:pPr>
      <w:r w:rsidRPr="00010C9E">
        <w:rPr>
          <w:rFonts w:ascii="Arial" w:hAnsi="Arial" w:cs="Arial"/>
          <w:szCs w:val="24"/>
        </w:rPr>
        <w:t xml:space="preserve">The Review </w:t>
      </w:r>
      <w:r w:rsidR="00BC27D8" w:rsidRPr="00010C9E">
        <w:rPr>
          <w:rFonts w:ascii="Arial" w:hAnsi="Arial" w:cs="Arial"/>
          <w:szCs w:val="24"/>
        </w:rPr>
        <w:t>included</w:t>
      </w:r>
      <w:r w:rsidR="00572818" w:rsidRPr="00010C9E">
        <w:rPr>
          <w:rFonts w:ascii="Arial" w:hAnsi="Arial" w:cs="Arial"/>
          <w:szCs w:val="24"/>
        </w:rPr>
        <w:t>:</w:t>
      </w:r>
    </w:p>
    <w:p w14:paraId="602AE158" w14:textId="11AC76D9" w:rsidR="008C2ECE" w:rsidRDefault="002158C0" w:rsidP="008A2489">
      <w:pPr>
        <w:pStyle w:val="ListParagraph"/>
        <w:numPr>
          <w:ilvl w:val="0"/>
          <w:numId w:val="27"/>
        </w:numPr>
        <w:spacing w:after="60"/>
        <w:ind w:left="851" w:hanging="284"/>
        <w:rPr>
          <w:rFonts w:ascii="Arial" w:hAnsi="Arial" w:cs="Arial"/>
          <w:szCs w:val="24"/>
        </w:rPr>
      </w:pPr>
      <w:r>
        <w:rPr>
          <w:rFonts w:ascii="Arial" w:hAnsi="Arial" w:cs="Arial"/>
          <w:szCs w:val="24"/>
        </w:rPr>
        <w:t>A review of the utilisation of</w:t>
      </w:r>
      <w:r w:rsidR="008C10EC">
        <w:rPr>
          <w:rFonts w:ascii="Arial" w:hAnsi="Arial" w:cs="Arial"/>
          <w:szCs w:val="24"/>
        </w:rPr>
        <w:t xml:space="preserve"> the</w:t>
      </w:r>
      <w:r>
        <w:rPr>
          <w:rFonts w:ascii="Arial" w:hAnsi="Arial" w:cs="Arial"/>
          <w:szCs w:val="24"/>
        </w:rPr>
        <w:t xml:space="preserve"> newer </w:t>
      </w:r>
      <w:r w:rsidR="008C10EC">
        <w:rPr>
          <w:rFonts w:ascii="Arial" w:hAnsi="Arial" w:cs="Arial"/>
          <w:szCs w:val="24"/>
        </w:rPr>
        <w:t xml:space="preserve">classes of </w:t>
      </w:r>
      <w:r>
        <w:rPr>
          <w:rFonts w:ascii="Arial" w:hAnsi="Arial" w:cs="Arial"/>
          <w:szCs w:val="24"/>
        </w:rPr>
        <w:t>type 2 diabetes medicines, including patterns of co-administration and use of other diabete</w:t>
      </w:r>
      <w:r w:rsidR="00E62CC2">
        <w:rPr>
          <w:rFonts w:ascii="Arial" w:hAnsi="Arial" w:cs="Arial"/>
          <w:szCs w:val="24"/>
        </w:rPr>
        <w:t>s medicines prior to initiation</w:t>
      </w:r>
      <w:r w:rsidR="009B6881">
        <w:rPr>
          <w:rFonts w:ascii="Arial" w:hAnsi="Arial" w:cs="Arial"/>
          <w:szCs w:val="24"/>
        </w:rPr>
        <w:t xml:space="preserve"> addressing Terms of Reference 1 and 2</w:t>
      </w:r>
      <w:r w:rsidR="00E62CC2">
        <w:rPr>
          <w:rFonts w:ascii="Arial" w:hAnsi="Arial" w:cs="Arial"/>
          <w:szCs w:val="24"/>
        </w:rPr>
        <w:t xml:space="preserve">. The analyses were </w:t>
      </w:r>
      <w:r w:rsidR="00E62CC2">
        <w:rPr>
          <w:rFonts w:ascii="Arial" w:hAnsi="Arial" w:cs="Arial"/>
        </w:rPr>
        <w:t>undertaken by the University of Adelaide and the Department</w:t>
      </w:r>
      <w:r w:rsidR="008C10EC">
        <w:rPr>
          <w:rFonts w:ascii="Arial" w:hAnsi="Arial" w:cs="Arial"/>
        </w:rPr>
        <w:t>.</w:t>
      </w:r>
    </w:p>
    <w:p w14:paraId="4A937743" w14:textId="328E4CF4" w:rsidR="002158C0" w:rsidRPr="000653A5" w:rsidRDefault="002158C0" w:rsidP="008A2489">
      <w:pPr>
        <w:pStyle w:val="ListParagraph"/>
        <w:numPr>
          <w:ilvl w:val="0"/>
          <w:numId w:val="27"/>
        </w:numPr>
        <w:spacing w:after="60"/>
        <w:ind w:left="851" w:hanging="284"/>
        <w:rPr>
          <w:rFonts w:ascii="Arial" w:hAnsi="Arial" w:cs="Arial"/>
          <w:szCs w:val="24"/>
        </w:rPr>
      </w:pPr>
      <w:r>
        <w:rPr>
          <w:rFonts w:ascii="Arial" w:hAnsi="Arial" w:cs="Arial"/>
        </w:rPr>
        <w:t>Development of a</w:t>
      </w:r>
      <w:r w:rsidRPr="002158C0">
        <w:rPr>
          <w:rFonts w:ascii="Arial" w:hAnsi="Arial" w:cs="Arial"/>
        </w:rPr>
        <w:t xml:space="preserve"> </w:t>
      </w:r>
      <w:hyperlink r:id="rId10" w:history="1">
        <w:r w:rsidRPr="000653A5">
          <w:rPr>
            <w:rStyle w:val="Hyperlink"/>
            <w:rFonts w:ascii="Arial" w:hAnsi="Arial" w:cs="Arial"/>
          </w:rPr>
          <w:t xml:space="preserve">report </w:t>
        </w:r>
        <w:r w:rsidR="00B42A3F" w:rsidRPr="000653A5">
          <w:rPr>
            <w:rStyle w:val="Hyperlink"/>
            <w:rFonts w:ascii="Arial" w:hAnsi="Arial" w:cs="Arial"/>
          </w:rPr>
          <w:t>addressing T</w:t>
        </w:r>
        <w:r w:rsidR="000653A5" w:rsidRPr="000653A5">
          <w:rPr>
            <w:rStyle w:val="Hyperlink"/>
            <w:rFonts w:ascii="Arial" w:hAnsi="Arial" w:cs="Arial"/>
          </w:rPr>
          <w:t>erm of Reference 3</w:t>
        </w:r>
      </w:hyperlink>
      <w:r w:rsidR="000653A5">
        <w:rPr>
          <w:rFonts w:ascii="Arial" w:hAnsi="Arial" w:cs="Arial"/>
        </w:rPr>
        <w:t xml:space="preserve"> </w:t>
      </w:r>
      <w:r w:rsidR="00E62CC2">
        <w:rPr>
          <w:rFonts w:ascii="Arial" w:hAnsi="Arial" w:cs="Arial"/>
        </w:rPr>
        <w:t xml:space="preserve">by the University of Newcastle </w:t>
      </w:r>
      <w:r w:rsidRPr="002158C0">
        <w:rPr>
          <w:rFonts w:ascii="Arial" w:hAnsi="Arial" w:cs="Arial"/>
        </w:rPr>
        <w:t>consolidating the clinical trial evidence used to support PBS listings of</w:t>
      </w:r>
      <w:r w:rsidR="008C10EC">
        <w:rPr>
          <w:rFonts w:ascii="Arial" w:hAnsi="Arial" w:cs="Arial"/>
        </w:rPr>
        <w:t xml:space="preserve"> type 2 diabetes medicines in </w:t>
      </w:r>
      <w:r w:rsidRPr="002158C0">
        <w:rPr>
          <w:rFonts w:ascii="Arial" w:hAnsi="Arial" w:cs="Arial"/>
        </w:rPr>
        <w:t xml:space="preserve">submissions </w:t>
      </w:r>
      <w:r w:rsidR="00E62CC2">
        <w:rPr>
          <w:rFonts w:ascii="Arial" w:hAnsi="Arial" w:cs="Arial"/>
        </w:rPr>
        <w:t>between</w:t>
      </w:r>
      <w:r w:rsidR="00D054A1">
        <w:rPr>
          <w:rFonts w:ascii="Arial" w:hAnsi="Arial" w:cs="Arial"/>
        </w:rPr>
        <w:t xml:space="preserve"> </w:t>
      </w:r>
      <w:r w:rsidRPr="002158C0">
        <w:rPr>
          <w:rFonts w:ascii="Arial" w:hAnsi="Arial" w:cs="Arial"/>
        </w:rPr>
        <w:t>2002</w:t>
      </w:r>
      <w:r w:rsidR="00E62CC2">
        <w:rPr>
          <w:rFonts w:ascii="Arial" w:hAnsi="Arial" w:cs="Arial"/>
        </w:rPr>
        <w:t xml:space="preserve"> and January 2014.</w:t>
      </w:r>
    </w:p>
    <w:p w14:paraId="2FC81FDE" w14:textId="52082A05" w:rsidR="000653A5" w:rsidRPr="002158C0" w:rsidRDefault="000653A5" w:rsidP="008A2489">
      <w:pPr>
        <w:pStyle w:val="ListParagraph"/>
        <w:numPr>
          <w:ilvl w:val="0"/>
          <w:numId w:val="27"/>
        </w:numPr>
        <w:spacing w:after="60"/>
        <w:ind w:left="851" w:hanging="284"/>
        <w:rPr>
          <w:rFonts w:ascii="Arial" w:hAnsi="Arial" w:cs="Arial"/>
          <w:szCs w:val="24"/>
        </w:rPr>
      </w:pPr>
      <w:r>
        <w:rPr>
          <w:rFonts w:ascii="Arial" w:hAnsi="Arial" w:cs="Arial"/>
        </w:rPr>
        <w:t>A review of pharmacotherapy algorithms in Australian and international guidelines for the management of type 2 diabetes by Griffith University.</w:t>
      </w:r>
    </w:p>
    <w:p w14:paraId="51BE5704" w14:textId="02BEF796" w:rsidR="008C2ECE" w:rsidRPr="000653A5" w:rsidRDefault="00B42A3F" w:rsidP="008A2489">
      <w:pPr>
        <w:pStyle w:val="ListParagraph"/>
        <w:numPr>
          <w:ilvl w:val="0"/>
          <w:numId w:val="27"/>
        </w:numPr>
        <w:spacing w:after="60"/>
        <w:ind w:left="851" w:hanging="284"/>
        <w:rPr>
          <w:rFonts w:ascii="Arial" w:hAnsi="Arial" w:cs="Arial"/>
          <w:szCs w:val="24"/>
        </w:rPr>
      </w:pPr>
      <w:r>
        <w:rPr>
          <w:rFonts w:ascii="Arial" w:hAnsi="Arial" w:cs="Arial"/>
        </w:rPr>
        <w:t xml:space="preserve">Development of a </w:t>
      </w:r>
      <w:hyperlink r:id="rId11" w:history="1">
        <w:r w:rsidRPr="000653A5">
          <w:rPr>
            <w:rStyle w:val="Hyperlink"/>
            <w:rFonts w:ascii="Arial" w:hAnsi="Arial" w:cs="Arial"/>
          </w:rPr>
          <w:t xml:space="preserve">report </w:t>
        </w:r>
        <w:r w:rsidR="000653A5" w:rsidRPr="000653A5">
          <w:rPr>
            <w:rStyle w:val="Hyperlink"/>
            <w:rFonts w:ascii="Arial" w:hAnsi="Arial" w:cs="Arial"/>
          </w:rPr>
          <w:t>addressing Term of Reference 4</w:t>
        </w:r>
      </w:hyperlink>
      <w:r w:rsidR="000653A5">
        <w:rPr>
          <w:rFonts w:ascii="Arial" w:hAnsi="Arial" w:cs="Arial"/>
        </w:rPr>
        <w:t xml:space="preserve"> </w:t>
      </w:r>
      <w:r>
        <w:rPr>
          <w:rFonts w:ascii="Arial" w:hAnsi="Arial" w:cs="Arial"/>
        </w:rPr>
        <w:t>b</w:t>
      </w:r>
      <w:r w:rsidR="000653A5">
        <w:rPr>
          <w:rFonts w:ascii="Arial" w:hAnsi="Arial" w:cs="Arial"/>
        </w:rPr>
        <w:t>y Griffith University involving a</w:t>
      </w:r>
      <w:r w:rsidR="008C2ECE" w:rsidRPr="000653A5">
        <w:rPr>
          <w:rFonts w:ascii="Arial" w:hAnsi="Arial" w:cs="Arial"/>
          <w:szCs w:val="24"/>
        </w:rPr>
        <w:t xml:space="preserve"> systematic review</w:t>
      </w:r>
      <w:r w:rsidR="00D054A1" w:rsidRPr="000653A5">
        <w:rPr>
          <w:rFonts w:ascii="Arial" w:hAnsi="Arial" w:cs="Arial"/>
          <w:szCs w:val="24"/>
        </w:rPr>
        <w:t xml:space="preserve"> and </w:t>
      </w:r>
      <w:r w:rsidR="008C10EC" w:rsidRPr="000653A5">
        <w:rPr>
          <w:rFonts w:ascii="Arial" w:hAnsi="Arial" w:cs="Arial"/>
          <w:szCs w:val="24"/>
        </w:rPr>
        <w:t xml:space="preserve">network </w:t>
      </w:r>
      <w:r w:rsidR="00D054A1" w:rsidRPr="000653A5">
        <w:rPr>
          <w:rFonts w:ascii="Arial" w:hAnsi="Arial" w:cs="Arial"/>
          <w:szCs w:val="24"/>
        </w:rPr>
        <w:t>meta-analysis of the comparative safety and effectiveness of type 2 diabetes medicin</w:t>
      </w:r>
      <w:r w:rsidR="00E62CC2" w:rsidRPr="000653A5">
        <w:rPr>
          <w:rFonts w:ascii="Arial" w:hAnsi="Arial" w:cs="Arial"/>
          <w:szCs w:val="24"/>
        </w:rPr>
        <w:t>e</w:t>
      </w:r>
      <w:r w:rsidR="000653A5" w:rsidRPr="000653A5">
        <w:rPr>
          <w:rFonts w:ascii="Arial" w:hAnsi="Arial" w:cs="Arial"/>
          <w:szCs w:val="24"/>
        </w:rPr>
        <w:t>s, focussing on triple therapy</w:t>
      </w:r>
      <w:r w:rsidR="00E62CC2" w:rsidRPr="000653A5">
        <w:rPr>
          <w:rFonts w:ascii="Arial" w:hAnsi="Arial" w:cs="Arial"/>
        </w:rPr>
        <w:t>.</w:t>
      </w:r>
    </w:p>
    <w:p w14:paraId="24FB002B" w14:textId="1D280A34" w:rsidR="00572818" w:rsidRPr="008C2ECE" w:rsidRDefault="00E62CC2" w:rsidP="008A2489">
      <w:pPr>
        <w:pStyle w:val="ListParagraph"/>
        <w:numPr>
          <w:ilvl w:val="0"/>
          <w:numId w:val="27"/>
        </w:numPr>
        <w:spacing w:after="60"/>
        <w:ind w:left="851" w:hanging="284"/>
        <w:rPr>
          <w:rFonts w:ascii="Arial" w:hAnsi="Arial" w:cs="Arial"/>
          <w:szCs w:val="24"/>
        </w:rPr>
      </w:pPr>
      <w:r>
        <w:rPr>
          <w:rFonts w:ascii="Arial" w:hAnsi="Arial" w:cs="Arial"/>
          <w:szCs w:val="24"/>
        </w:rPr>
        <w:t>P</w:t>
      </w:r>
      <w:r w:rsidR="00BC27D8" w:rsidRPr="008C2ECE">
        <w:rPr>
          <w:rFonts w:ascii="Arial" w:hAnsi="Arial" w:cs="Arial"/>
          <w:szCs w:val="24"/>
        </w:rPr>
        <w:t>ublic consultation</w:t>
      </w:r>
      <w:r w:rsidR="000653A5">
        <w:rPr>
          <w:rFonts w:ascii="Arial" w:hAnsi="Arial" w:cs="Arial"/>
          <w:szCs w:val="24"/>
        </w:rPr>
        <w:t>,</w:t>
      </w:r>
      <w:r w:rsidR="00BC27D8" w:rsidRPr="008C2ECE">
        <w:rPr>
          <w:rFonts w:ascii="Arial" w:hAnsi="Arial" w:cs="Arial"/>
          <w:szCs w:val="24"/>
        </w:rPr>
        <w:t xml:space="preserve"> </w:t>
      </w:r>
      <w:r w:rsidR="000653A5">
        <w:rPr>
          <w:rFonts w:ascii="Arial" w:hAnsi="Arial" w:cs="Arial"/>
          <w:szCs w:val="24"/>
        </w:rPr>
        <w:t>including</w:t>
      </w:r>
      <w:r w:rsidR="008C2ECE">
        <w:rPr>
          <w:rFonts w:ascii="Arial" w:hAnsi="Arial" w:cs="Arial"/>
          <w:szCs w:val="24"/>
        </w:rPr>
        <w:t xml:space="preserve"> a </w:t>
      </w:r>
      <w:r w:rsidR="00D054A1">
        <w:rPr>
          <w:rFonts w:ascii="Arial" w:hAnsi="Arial" w:cs="Arial"/>
          <w:szCs w:val="24"/>
        </w:rPr>
        <w:t xml:space="preserve">written </w:t>
      </w:r>
      <w:r w:rsidR="008C10EC">
        <w:rPr>
          <w:rFonts w:ascii="Arial" w:hAnsi="Arial" w:cs="Arial"/>
          <w:szCs w:val="24"/>
        </w:rPr>
        <w:t>submission process, stakeholder f</w:t>
      </w:r>
      <w:r w:rsidR="008C2ECE">
        <w:rPr>
          <w:rFonts w:ascii="Arial" w:hAnsi="Arial" w:cs="Arial"/>
          <w:szCs w:val="24"/>
        </w:rPr>
        <w:t>orum</w:t>
      </w:r>
      <w:r w:rsidR="00D054A1">
        <w:rPr>
          <w:rFonts w:ascii="Arial" w:hAnsi="Arial" w:cs="Arial"/>
          <w:szCs w:val="24"/>
        </w:rPr>
        <w:t>,</w:t>
      </w:r>
      <w:r w:rsidR="008C2ECE">
        <w:rPr>
          <w:rFonts w:ascii="Arial" w:hAnsi="Arial" w:cs="Arial"/>
          <w:szCs w:val="24"/>
        </w:rPr>
        <w:t xml:space="preserve"> and </w:t>
      </w:r>
      <w:r w:rsidR="008C10EC">
        <w:rPr>
          <w:rFonts w:ascii="Arial" w:hAnsi="Arial" w:cs="Arial"/>
          <w:szCs w:val="24"/>
        </w:rPr>
        <w:t xml:space="preserve">the </w:t>
      </w:r>
      <w:r w:rsidR="008C2ECE">
        <w:rPr>
          <w:rFonts w:ascii="Arial" w:hAnsi="Arial" w:cs="Arial"/>
          <w:szCs w:val="24"/>
        </w:rPr>
        <w:t xml:space="preserve">opportunity to comment on the draft Report. </w:t>
      </w:r>
    </w:p>
    <w:p w14:paraId="37206961" w14:textId="77777777" w:rsidR="00B42A3F" w:rsidRDefault="00B42A3F" w:rsidP="00D93351">
      <w:pPr>
        <w:spacing w:after="60"/>
        <w:rPr>
          <w:rFonts w:ascii="Arial" w:hAnsi="Arial" w:cs="Arial"/>
          <w:b/>
          <w:szCs w:val="24"/>
        </w:rPr>
      </w:pPr>
    </w:p>
    <w:p w14:paraId="29D13A2E" w14:textId="7BE03E93" w:rsidR="00F7532F" w:rsidRPr="001002BB" w:rsidRDefault="00F7532F" w:rsidP="009D0D45">
      <w:pPr>
        <w:pStyle w:val="Heading2"/>
        <w:keepNext/>
        <w:keepLines/>
      </w:pPr>
      <w:r w:rsidRPr="001002BB">
        <w:t>Main Findings of the Review</w:t>
      </w:r>
    </w:p>
    <w:p w14:paraId="5AB1B666" w14:textId="77777777" w:rsidR="00BA792B" w:rsidRPr="001002BB" w:rsidRDefault="00BA792B" w:rsidP="009D0D45">
      <w:pPr>
        <w:keepNext/>
        <w:keepLines/>
        <w:spacing w:after="60"/>
        <w:contextualSpacing/>
        <w:rPr>
          <w:rFonts w:ascii="Arial" w:eastAsia="SimSun" w:hAnsi="Arial" w:cs="Arial"/>
          <w:i/>
          <w:szCs w:val="24"/>
          <w:lang w:eastAsia="en-AU"/>
        </w:rPr>
      </w:pPr>
    </w:p>
    <w:p w14:paraId="48E7F976" w14:textId="1FCC896C" w:rsidR="0067254A" w:rsidRPr="00D20B54" w:rsidRDefault="008C10EC" w:rsidP="009D0D45">
      <w:pPr>
        <w:pStyle w:val="Heading3"/>
      </w:pPr>
      <w:r w:rsidRPr="00D20B54">
        <w:t>Terms of Reference</w:t>
      </w:r>
      <w:r w:rsidR="00ED11E1" w:rsidRPr="00D20B54">
        <w:t xml:space="preserve"> 1 and 2: Utilisation analysis</w:t>
      </w:r>
    </w:p>
    <w:p w14:paraId="280F1DF3" w14:textId="28B5F883" w:rsidR="00ED11E1" w:rsidRPr="00ED11E1" w:rsidRDefault="00ED11E1" w:rsidP="009D0D45">
      <w:pPr>
        <w:pStyle w:val="BodyText1"/>
        <w:keepNext/>
        <w:keepLines/>
        <w:numPr>
          <w:ilvl w:val="0"/>
          <w:numId w:val="29"/>
        </w:numPr>
        <w:spacing w:after="60"/>
        <w:ind w:left="851" w:hanging="284"/>
        <w:rPr>
          <w:rFonts w:ascii="Arial" w:hAnsi="Arial" w:cs="Arial"/>
          <w:sz w:val="22"/>
          <w:szCs w:val="22"/>
        </w:rPr>
      </w:pPr>
      <w:r w:rsidRPr="00ED11E1">
        <w:rPr>
          <w:rFonts w:ascii="Arial" w:hAnsi="Arial" w:cs="Arial"/>
          <w:sz w:val="22"/>
          <w:szCs w:val="22"/>
        </w:rPr>
        <w:t>Overall Government expenditure on type 2 diabetes medicines increased from around $130 million</w:t>
      </w:r>
      <w:r w:rsidR="00AD6B62">
        <w:rPr>
          <w:rFonts w:ascii="Arial" w:hAnsi="Arial" w:cs="Arial"/>
          <w:sz w:val="22"/>
          <w:szCs w:val="22"/>
        </w:rPr>
        <w:t xml:space="preserve"> per annum</w:t>
      </w:r>
      <w:r w:rsidRPr="00ED11E1">
        <w:rPr>
          <w:rFonts w:ascii="Arial" w:hAnsi="Arial" w:cs="Arial"/>
          <w:sz w:val="22"/>
          <w:szCs w:val="22"/>
        </w:rPr>
        <w:t xml:space="preserve"> in 2000 to $501 million</w:t>
      </w:r>
      <w:r w:rsidR="00AD6B62">
        <w:rPr>
          <w:rFonts w:ascii="Arial" w:hAnsi="Arial" w:cs="Arial"/>
          <w:sz w:val="22"/>
          <w:szCs w:val="22"/>
        </w:rPr>
        <w:t xml:space="preserve"> per annum</w:t>
      </w:r>
      <w:r w:rsidRPr="00ED11E1">
        <w:rPr>
          <w:rFonts w:ascii="Arial" w:hAnsi="Arial" w:cs="Arial"/>
          <w:sz w:val="22"/>
          <w:szCs w:val="22"/>
        </w:rPr>
        <w:t xml:space="preserve"> in 2013. </w:t>
      </w:r>
    </w:p>
    <w:p w14:paraId="66FCC147" w14:textId="71EE5535"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Metformin and sulfonylureas were the most commonly prescribed oral type 2 diabetes medicines between January 2000 and April 2014</w:t>
      </w:r>
      <w:r w:rsidR="003C7D27">
        <w:rPr>
          <w:rFonts w:ascii="Arial" w:hAnsi="Arial" w:cs="Arial"/>
          <w:sz w:val="22"/>
          <w:szCs w:val="22"/>
        </w:rPr>
        <w:t>.</w:t>
      </w:r>
    </w:p>
    <w:p w14:paraId="098F9E02" w14:textId="77777777"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 xml:space="preserve">In patients initiating diabetes pharmacotherapy between 2003–04 and 2009–10, metformin was the most common first line medicine, in line with clinical guidelines. </w:t>
      </w:r>
    </w:p>
    <w:p w14:paraId="47FD2D26" w14:textId="0D445168"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For patients</w:t>
      </w:r>
      <w:r w:rsidR="003C7D27">
        <w:rPr>
          <w:rFonts w:ascii="Arial" w:hAnsi="Arial" w:cs="Arial"/>
          <w:sz w:val="22"/>
          <w:szCs w:val="22"/>
        </w:rPr>
        <w:t xml:space="preserve"> initiating a third line agent (</w:t>
      </w:r>
      <w:r w:rsidRPr="00ED11E1">
        <w:rPr>
          <w:rFonts w:ascii="Arial" w:hAnsi="Arial" w:cs="Arial"/>
          <w:sz w:val="22"/>
          <w:szCs w:val="22"/>
        </w:rPr>
        <w:t xml:space="preserve">a </w:t>
      </w:r>
      <w:r w:rsidR="003C7D27">
        <w:rPr>
          <w:rFonts w:ascii="Arial" w:hAnsi="Arial" w:cs="Arial"/>
          <w:sz w:val="22"/>
          <w:szCs w:val="22"/>
        </w:rPr>
        <w:t>dipeptidyl peptidase 4 (</w:t>
      </w:r>
      <w:r w:rsidRPr="00ED11E1">
        <w:rPr>
          <w:rFonts w:ascii="Arial" w:hAnsi="Arial" w:cs="Arial"/>
          <w:sz w:val="22"/>
          <w:szCs w:val="22"/>
        </w:rPr>
        <w:t>DPP-4</w:t>
      </w:r>
      <w:r w:rsidR="003C7D27">
        <w:rPr>
          <w:rFonts w:ascii="Arial" w:hAnsi="Arial" w:cs="Arial"/>
          <w:sz w:val="22"/>
          <w:szCs w:val="22"/>
        </w:rPr>
        <w:t>)</w:t>
      </w:r>
      <w:r w:rsidRPr="00ED11E1">
        <w:rPr>
          <w:rFonts w:ascii="Arial" w:hAnsi="Arial" w:cs="Arial"/>
          <w:sz w:val="22"/>
          <w:szCs w:val="22"/>
        </w:rPr>
        <w:t xml:space="preserve"> inhibitor, </w:t>
      </w:r>
      <w:r w:rsidR="008C10EC">
        <w:rPr>
          <w:rFonts w:ascii="Arial" w:hAnsi="Arial" w:cs="Arial"/>
          <w:sz w:val="22"/>
          <w:szCs w:val="22"/>
        </w:rPr>
        <w:t>thiazolidinedione</w:t>
      </w:r>
      <w:r w:rsidR="003C7D27" w:rsidRPr="003C7D27">
        <w:rPr>
          <w:rFonts w:ascii="Arial" w:hAnsi="Arial" w:cs="Arial"/>
          <w:sz w:val="22"/>
          <w:szCs w:val="22"/>
        </w:rPr>
        <w:t xml:space="preserve"> (</w:t>
      </w:r>
      <w:r w:rsidRPr="00ED11E1">
        <w:rPr>
          <w:rFonts w:ascii="Arial" w:hAnsi="Arial" w:cs="Arial"/>
          <w:sz w:val="22"/>
          <w:szCs w:val="22"/>
        </w:rPr>
        <w:t>TZD</w:t>
      </w:r>
      <w:r w:rsidR="003C7D27">
        <w:rPr>
          <w:rFonts w:ascii="Arial" w:hAnsi="Arial" w:cs="Arial"/>
          <w:sz w:val="22"/>
          <w:szCs w:val="22"/>
        </w:rPr>
        <w:t>), or exenatide)</w:t>
      </w:r>
      <w:r w:rsidRPr="00ED11E1">
        <w:rPr>
          <w:rFonts w:ascii="Arial" w:hAnsi="Arial" w:cs="Arial"/>
          <w:sz w:val="22"/>
          <w:szCs w:val="22"/>
        </w:rPr>
        <w:t xml:space="preserve"> between July and December 2011, 47.7% had not received a supply of both metformin and a sulfonylurea in</w:t>
      </w:r>
      <w:r w:rsidR="003C7D27">
        <w:rPr>
          <w:rFonts w:ascii="Arial" w:hAnsi="Arial" w:cs="Arial"/>
          <w:sz w:val="22"/>
          <w:szCs w:val="22"/>
        </w:rPr>
        <w:t xml:space="preserve"> the two</w:t>
      </w:r>
      <w:r w:rsidRPr="00ED11E1">
        <w:rPr>
          <w:rFonts w:ascii="Arial" w:hAnsi="Arial" w:cs="Arial"/>
          <w:sz w:val="22"/>
          <w:szCs w:val="22"/>
        </w:rPr>
        <w:t xml:space="preserve"> years </w:t>
      </w:r>
      <w:r w:rsidRPr="00ED11E1">
        <w:rPr>
          <w:rFonts w:ascii="Arial" w:hAnsi="Arial" w:cs="Arial"/>
          <w:sz w:val="22"/>
          <w:szCs w:val="22"/>
        </w:rPr>
        <w:lastRenderedPageBreak/>
        <w:t xml:space="preserve">prior. The PBS restrictions at the time required prior use of metformin and a sulfonylurea, except where contraindicated. </w:t>
      </w:r>
    </w:p>
    <w:p w14:paraId="56B9E9E3" w14:textId="18968A7C"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Use outside the restrictions in patients initiating a third line agent, was highest for those initiating a DPP-4 inhibitor</w:t>
      </w:r>
      <w:r w:rsidR="003C7D27">
        <w:rPr>
          <w:rFonts w:ascii="Arial" w:hAnsi="Arial" w:cs="Arial"/>
          <w:sz w:val="22"/>
          <w:szCs w:val="22"/>
        </w:rPr>
        <w:t xml:space="preserve"> + metformin fixed dose combination (FDC)</w:t>
      </w:r>
      <w:r w:rsidRPr="00ED11E1">
        <w:rPr>
          <w:rFonts w:ascii="Arial" w:hAnsi="Arial" w:cs="Arial"/>
          <w:sz w:val="22"/>
          <w:szCs w:val="22"/>
        </w:rPr>
        <w:t xml:space="preserve"> (55%), a DPP-4 inhibitor (49%), or rosi</w:t>
      </w:r>
      <w:r w:rsidR="003C7D27">
        <w:rPr>
          <w:rFonts w:ascii="Arial" w:hAnsi="Arial" w:cs="Arial"/>
          <w:sz w:val="22"/>
          <w:szCs w:val="22"/>
        </w:rPr>
        <w:t>glitazone + metformin FDC (46%)</w:t>
      </w:r>
      <w:r w:rsidRPr="00ED11E1">
        <w:rPr>
          <w:rFonts w:ascii="Arial" w:hAnsi="Arial" w:cs="Arial"/>
          <w:sz w:val="22"/>
          <w:szCs w:val="22"/>
        </w:rPr>
        <w:t>. The DUSC considered that the availability of FDCs may be contributing to use outside of the PBS restrictions.</w:t>
      </w:r>
    </w:p>
    <w:p w14:paraId="594C8904" w14:textId="6AA761A8" w:rsidR="00ED11E1" w:rsidRPr="003C7D27"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Of patients prescribed a third line agent between February 2011 and May 2012, 27.9% were co-prescribed a regimen of medicines that did not comply with PBS subsidy criteria.</w:t>
      </w:r>
      <w:r w:rsidR="003C7D27">
        <w:rPr>
          <w:rFonts w:ascii="Arial" w:hAnsi="Arial" w:cs="Arial"/>
          <w:sz w:val="22"/>
          <w:szCs w:val="22"/>
        </w:rPr>
        <w:t xml:space="preserve"> </w:t>
      </w:r>
      <w:r w:rsidRPr="003C7D27">
        <w:rPr>
          <w:rFonts w:ascii="Arial" w:hAnsi="Arial" w:cs="Arial"/>
          <w:sz w:val="22"/>
          <w:szCs w:val="22"/>
        </w:rPr>
        <w:t>The use of a DPP-4</w:t>
      </w:r>
      <w:r w:rsidR="008C10EC">
        <w:rPr>
          <w:rFonts w:ascii="Arial" w:hAnsi="Arial" w:cs="Arial"/>
          <w:sz w:val="22"/>
          <w:szCs w:val="22"/>
        </w:rPr>
        <w:t xml:space="preserve"> inhibitor with both metformin and a</w:t>
      </w:r>
      <w:r w:rsidRPr="003C7D27">
        <w:rPr>
          <w:rFonts w:ascii="Arial" w:hAnsi="Arial" w:cs="Arial"/>
          <w:sz w:val="22"/>
          <w:szCs w:val="22"/>
        </w:rPr>
        <w:t xml:space="preserve"> sulfonylurea (triple oral therapy) contributed the most. Some use of DPP-4 inhibitor monotherapy was also evident. </w:t>
      </w:r>
    </w:p>
    <w:p w14:paraId="6831403B" w14:textId="7D03244C"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 xml:space="preserve">Of patients prescribed exenatide, 29.6% were prescribed the medicine in a regimen of co-prescribed therapies that did not comply with PBS subsidy criteria, primarily use in combination with insulin (16.1% of patients). </w:t>
      </w:r>
    </w:p>
    <w:p w14:paraId="447A1936" w14:textId="77777777" w:rsidR="00ED11E1" w:rsidRPr="00ED11E1" w:rsidRDefault="00ED11E1" w:rsidP="00295987">
      <w:pPr>
        <w:pStyle w:val="BodyText1"/>
        <w:numPr>
          <w:ilvl w:val="0"/>
          <w:numId w:val="29"/>
        </w:numPr>
        <w:spacing w:after="60"/>
        <w:ind w:left="851" w:hanging="284"/>
        <w:rPr>
          <w:rFonts w:ascii="Arial" w:hAnsi="Arial" w:cs="Arial"/>
          <w:sz w:val="22"/>
          <w:szCs w:val="22"/>
        </w:rPr>
      </w:pPr>
      <w:r w:rsidRPr="00ED11E1">
        <w:rPr>
          <w:rFonts w:ascii="Arial" w:hAnsi="Arial" w:cs="Arial"/>
          <w:sz w:val="22"/>
          <w:szCs w:val="22"/>
        </w:rPr>
        <w:t>The DUSC considered that the overall rate of use beyond the PBS restrictions in relation to third line agents is at least 30%, and that this is a conservative estimate of non-cost-effective use.</w:t>
      </w:r>
    </w:p>
    <w:p w14:paraId="23DF0994" w14:textId="1499B120" w:rsidR="00ED11E1" w:rsidRDefault="00ED11E1" w:rsidP="00295987">
      <w:pPr>
        <w:spacing w:after="60"/>
        <w:ind w:left="851" w:hanging="284"/>
        <w:rPr>
          <w:rFonts w:ascii="Arial" w:hAnsi="Arial" w:cs="Arial"/>
        </w:rPr>
      </w:pPr>
    </w:p>
    <w:p w14:paraId="200CED11" w14:textId="4531E058" w:rsidR="006C1C01" w:rsidRPr="00010C9E" w:rsidRDefault="008C10EC" w:rsidP="00D20B54">
      <w:pPr>
        <w:pStyle w:val="Heading3"/>
      </w:pPr>
      <w:r w:rsidRPr="00010C9E">
        <w:t>Term of Reference</w:t>
      </w:r>
      <w:r w:rsidR="00ED11E1" w:rsidRPr="00010C9E">
        <w:t xml:space="preserve"> 3: PBS listing of type 2 diabetes medicines</w:t>
      </w:r>
    </w:p>
    <w:p w14:paraId="445749A1" w14:textId="77777777" w:rsidR="006C1C01" w:rsidRDefault="00854ABB" w:rsidP="00295987">
      <w:pPr>
        <w:pStyle w:val="ListParagraph"/>
        <w:keepNext/>
        <w:keepLines/>
        <w:numPr>
          <w:ilvl w:val="0"/>
          <w:numId w:val="30"/>
        </w:numPr>
        <w:spacing w:after="60"/>
        <w:ind w:left="851" w:hanging="284"/>
        <w:rPr>
          <w:rFonts w:ascii="Arial" w:hAnsi="Arial" w:cs="Arial"/>
        </w:rPr>
      </w:pPr>
      <w:r w:rsidRPr="00854ABB">
        <w:rPr>
          <w:rFonts w:ascii="Arial" w:hAnsi="Arial" w:cs="Arial"/>
        </w:rPr>
        <w:t>A total of 177 clinical studies/systematic reviews assessing the newer type 2 diabetes medicin</w:t>
      </w:r>
      <w:r>
        <w:rPr>
          <w:rFonts w:ascii="Arial" w:hAnsi="Arial" w:cs="Arial"/>
        </w:rPr>
        <w:t>es or the nominated comparators</w:t>
      </w:r>
      <w:r w:rsidRPr="00854ABB">
        <w:rPr>
          <w:rFonts w:ascii="Arial" w:hAnsi="Arial" w:cs="Arial"/>
        </w:rPr>
        <w:t xml:space="preserve"> were identified from 47 </w:t>
      </w:r>
      <w:r>
        <w:rPr>
          <w:rFonts w:ascii="Arial" w:hAnsi="Arial" w:cs="Arial"/>
        </w:rPr>
        <w:t xml:space="preserve">PBAC </w:t>
      </w:r>
      <w:r w:rsidRPr="00854ABB">
        <w:rPr>
          <w:rFonts w:ascii="Arial" w:hAnsi="Arial" w:cs="Arial"/>
        </w:rPr>
        <w:t>submissions</w:t>
      </w:r>
      <w:r w:rsidR="006C1C01">
        <w:rPr>
          <w:rFonts w:ascii="Arial" w:hAnsi="Arial" w:cs="Arial"/>
        </w:rPr>
        <w:t>.</w:t>
      </w:r>
    </w:p>
    <w:p w14:paraId="06ED63AB" w14:textId="63B08EE9" w:rsidR="00854ABB" w:rsidRPr="006C1C01" w:rsidRDefault="00854ABB" w:rsidP="00295987">
      <w:pPr>
        <w:pStyle w:val="ListParagraph"/>
        <w:numPr>
          <w:ilvl w:val="0"/>
          <w:numId w:val="30"/>
        </w:numPr>
        <w:spacing w:after="60"/>
        <w:ind w:left="851" w:hanging="284"/>
        <w:rPr>
          <w:rFonts w:ascii="Arial" w:hAnsi="Arial" w:cs="Arial"/>
        </w:rPr>
      </w:pPr>
      <w:r w:rsidRPr="006C1C01">
        <w:rPr>
          <w:rFonts w:ascii="Arial" w:hAnsi="Arial" w:cs="Arial"/>
        </w:rPr>
        <w:t>Only 17 submissions provided direct head-to-head evidence against the main comparator.</w:t>
      </w:r>
    </w:p>
    <w:p w14:paraId="5C1559F5" w14:textId="7153843A" w:rsidR="00854ABB" w:rsidRPr="00854ABB"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 xml:space="preserve">The newer diabetes medicines have been positioned after the use of metformin and/or a sulfonylurea based on a series of non-inferiority comparisons originating from </w:t>
      </w:r>
      <w:r w:rsidR="009B6881">
        <w:rPr>
          <w:rFonts w:ascii="Arial" w:hAnsi="Arial" w:cs="Arial"/>
        </w:rPr>
        <w:t xml:space="preserve">a comparison with </w:t>
      </w:r>
      <w:r w:rsidRPr="00854ABB">
        <w:rPr>
          <w:rFonts w:ascii="Arial" w:hAnsi="Arial" w:cs="Arial"/>
        </w:rPr>
        <w:t>insulin</w:t>
      </w:r>
      <w:r w:rsidR="009B6881">
        <w:rPr>
          <w:rFonts w:ascii="Arial" w:hAnsi="Arial" w:cs="Arial"/>
        </w:rPr>
        <w:t xml:space="preserve"> as the expected medicine to be replaced in practice</w:t>
      </w:r>
      <w:r w:rsidRPr="00854ABB">
        <w:rPr>
          <w:rFonts w:ascii="Arial" w:hAnsi="Arial" w:cs="Arial"/>
        </w:rPr>
        <w:t>.</w:t>
      </w:r>
    </w:p>
    <w:p w14:paraId="4E28DF97" w14:textId="0257AED6" w:rsidR="00854ABB" w:rsidRPr="006C1C01"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 xml:space="preserve">No submission received a positive recommendation on the basis of </w:t>
      </w:r>
      <w:r w:rsidR="006C1C01">
        <w:rPr>
          <w:rFonts w:ascii="Arial" w:hAnsi="Arial" w:cs="Arial"/>
        </w:rPr>
        <w:t>a clinical claim of superiority, although t</w:t>
      </w:r>
      <w:r w:rsidRPr="006C1C01">
        <w:rPr>
          <w:rFonts w:ascii="Arial" w:hAnsi="Arial" w:cs="Arial"/>
        </w:rPr>
        <w:t>he PBAC has acknowledged m</w:t>
      </w:r>
      <w:r w:rsidR="00C64406">
        <w:rPr>
          <w:rFonts w:ascii="Arial" w:hAnsi="Arial" w:cs="Arial"/>
        </w:rPr>
        <w:t>arginal differences in change of</w:t>
      </w:r>
      <w:r w:rsidRPr="006C1C01">
        <w:rPr>
          <w:rFonts w:ascii="Arial" w:hAnsi="Arial" w:cs="Arial"/>
        </w:rPr>
        <w:t xml:space="preserve"> HbA</w:t>
      </w:r>
      <w:r w:rsidRPr="006C1C01">
        <w:rPr>
          <w:rFonts w:ascii="Arial" w:hAnsi="Arial" w:cs="Arial"/>
          <w:vertAlign w:val="subscript"/>
        </w:rPr>
        <w:t xml:space="preserve">1c </w:t>
      </w:r>
      <w:r w:rsidRPr="006C1C01">
        <w:rPr>
          <w:rFonts w:ascii="Arial" w:hAnsi="Arial" w:cs="Arial"/>
        </w:rPr>
        <w:t>between</w:t>
      </w:r>
      <w:r w:rsidRPr="006C1C01">
        <w:rPr>
          <w:rFonts w:ascii="Arial" w:hAnsi="Arial" w:cs="Arial"/>
          <w:vertAlign w:val="subscript"/>
        </w:rPr>
        <w:t xml:space="preserve"> </w:t>
      </w:r>
      <w:r w:rsidR="006C1C01">
        <w:rPr>
          <w:rFonts w:ascii="Arial" w:hAnsi="Arial" w:cs="Arial"/>
        </w:rPr>
        <w:t>medicines</w:t>
      </w:r>
      <w:r w:rsidRPr="006C1C01">
        <w:rPr>
          <w:rFonts w:ascii="Arial" w:hAnsi="Arial" w:cs="Arial"/>
        </w:rPr>
        <w:t>. When presented</w:t>
      </w:r>
      <w:r w:rsidR="00C64406">
        <w:rPr>
          <w:rFonts w:ascii="Arial" w:hAnsi="Arial" w:cs="Arial"/>
        </w:rPr>
        <w:t xml:space="preserve"> in submissions to the PBAC</w:t>
      </w:r>
      <w:r w:rsidRPr="006C1C01">
        <w:rPr>
          <w:rFonts w:ascii="Arial" w:hAnsi="Arial" w:cs="Arial"/>
        </w:rPr>
        <w:t>, the nominated HbA</w:t>
      </w:r>
      <w:r w:rsidRPr="006C1C01">
        <w:rPr>
          <w:rFonts w:ascii="Arial" w:hAnsi="Arial" w:cs="Arial"/>
          <w:vertAlign w:val="subscript"/>
        </w:rPr>
        <w:t>1c</w:t>
      </w:r>
      <w:r w:rsidRPr="006C1C01">
        <w:rPr>
          <w:rFonts w:ascii="Arial" w:hAnsi="Arial" w:cs="Arial"/>
        </w:rPr>
        <w:t xml:space="preserve"> non-inferiority margin was generally 0.3–0.4% (3–4 </w:t>
      </w:r>
      <w:proofErr w:type="spellStart"/>
      <w:r w:rsidRPr="006C1C01">
        <w:rPr>
          <w:rFonts w:ascii="Arial" w:hAnsi="Arial" w:cs="Arial"/>
        </w:rPr>
        <w:t>mmol</w:t>
      </w:r>
      <w:proofErr w:type="spellEnd"/>
      <w:r w:rsidRPr="006C1C01">
        <w:rPr>
          <w:rFonts w:ascii="Arial" w:hAnsi="Arial" w:cs="Arial"/>
        </w:rPr>
        <w:t>/</w:t>
      </w:r>
      <w:proofErr w:type="spellStart"/>
      <w:r w:rsidRPr="006C1C01">
        <w:rPr>
          <w:rFonts w:ascii="Arial" w:hAnsi="Arial" w:cs="Arial"/>
        </w:rPr>
        <w:t>mol</w:t>
      </w:r>
      <w:proofErr w:type="spellEnd"/>
      <w:r w:rsidRPr="006C1C01">
        <w:rPr>
          <w:rFonts w:ascii="Arial" w:hAnsi="Arial" w:cs="Arial"/>
        </w:rPr>
        <w:t xml:space="preserve">). </w:t>
      </w:r>
      <w:r w:rsidR="00C64406">
        <w:rPr>
          <w:rFonts w:ascii="Arial" w:hAnsi="Arial" w:cs="Arial"/>
        </w:rPr>
        <w:t>This was accepted by the PBAC.</w:t>
      </w:r>
    </w:p>
    <w:p w14:paraId="11167229" w14:textId="77777777" w:rsidR="00854ABB" w:rsidRPr="00854ABB"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The PBAC has acknowledged that there may be differences between treatments in weight management and hypoglycaemia outcomes, but the magnitude and clinical importance of these differences has not been adequately demonstrated.</w:t>
      </w:r>
    </w:p>
    <w:p w14:paraId="25263B41" w14:textId="77777777" w:rsidR="00854ABB" w:rsidRPr="00854ABB"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 xml:space="preserve">None of the newer diabetes medicine submissions has presented microvascular/ </w:t>
      </w:r>
      <w:proofErr w:type="spellStart"/>
      <w:r w:rsidRPr="00854ABB">
        <w:rPr>
          <w:rFonts w:ascii="Arial" w:hAnsi="Arial" w:cs="Arial"/>
        </w:rPr>
        <w:t>macrovascular</w:t>
      </w:r>
      <w:proofErr w:type="spellEnd"/>
      <w:r w:rsidRPr="00854ABB">
        <w:rPr>
          <w:rFonts w:ascii="Arial" w:hAnsi="Arial" w:cs="Arial"/>
        </w:rPr>
        <w:t xml:space="preserve"> events as a key outcome. </w:t>
      </w:r>
    </w:p>
    <w:p w14:paraId="46BBF478" w14:textId="77777777" w:rsidR="00854ABB"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The PBAC has noted the lack of long term safety data for many of these medicines, particularly given the safety issues that arose after the listing of rosiglitazone. The PBAC has considered additional cardiovascular safety data for two DPP-4 inhibitors.</w:t>
      </w:r>
    </w:p>
    <w:p w14:paraId="015D2894" w14:textId="77777777" w:rsidR="00854ABB" w:rsidRDefault="00854ABB" w:rsidP="00295987">
      <w:pPr>
        <w:pStyle w:val="ListParagraph"/>
        <w:numPr>
          <w:ilvl w:val="0"/>
          <w:numId w:val="30"/>
        </w:numPr>
        <w:spacing w:after="60"/>
        <w:ind w:left="851" w:hanging="284"/>
        <w:rPr>
          <w:rFonts w:ascii="Arial" w:hAnsi="Arial" w:cs="Arial"/>
        </w:rPr>
      </w:pPr>
      <w:r w:rsidRPr="00854ABB">
        <w:rPr>
          <w:rFonts w:ascii="Arial" w:hAnsi="Arial" w:cs="Arial"/>
        </w:rPr>
        <w:t xml:space="preserve">TGA-approved indications not subsidised by the PBS include use of newer type 2 diabetes medicines as: </w:t>
      </w:r>
    </w:p>
    <w:p w14:paraId="6DEA6C3C" w14:textId="77777777" w:rsidR="00854ABB" w:rsidRDefault="00854ABB" w:rsidP="00C55C44">
      <w:pPr>
        <w:pStyle w:val="ListParagraph"/>
        <w:numPr>
          <w:ilvl w:val="1"/>
          <w:numId w:val="30"/>
        </w:numPr>
        <w:spacing w:after="60"/>
        <w:ind w:left="1276" w:hanging="283"/>
        <w:rPr>
          <w:rFonts w:ascii="Arial" w:hAnsi="Arial" w:cs="Arial"/>
        </w:rPr>
      </w:pPr>
      <w:r>
        <w:rPr>
          <w:rFonts w:ascii="Arial" w:hAnsi="Arial" w:cs="Arial"/>
        </w:rPr>
        <w:t>monotherapy;</w:t>
      </w:r>
    </w:p>
    <w:p w14:paraId="55473C06" w14:textId="3D88E2B4" w:rsidR="00854ABB" w:rsidRDefault="00854ABB" w:rsidP="00C55C44">
      <w:pPr>
        <w:pStyle w:val="ListParagraph"/>
        <w:numPr>
          <w:ilvl w:val="1"/>
          <w:numId w:val="30"/>
        </w:numPr>
        <w:spacing w:after="60"/>
        <w:ind w:left="1276" w:hanging="283"/>
        <w:rPr>
          <w:rFonts w:ascii="Arial" w:hAnsi="Arial" w:cs="Arial"/>
        </w:rPr>
      </w:pPr>
      <w:r w:rsidRPr="00854ABB">
        <w:rPr>
          <w:rFonts w:ascii="Arial" w:hAnsi="Arial" w:cs="Arial"/>
        </w:rPr>
        <w:lastRenderedPageBreak/>
        <w:t>TZD + DPP-4 inhibitor/</w:t>
      </w:r>
      <w:r>
        <w:rPr>
          <w:rFonts w:ascii="Arial" w:hAnsi="Arial" w:cs="Arial"/>
          <w:lang w:eastAsia="en-AU"/>
        </w:rPr>
        <w:t>s</w:t>
      </w:r>
      <w:r w:rsidRPr="00854ABB">
        <w:rPr>
          <w:rFonts w:ascii="Arial" w:hAnsi="Arial" w:cs="Arial"/>
          <w:lang w:eastAsia="en-AU"/>
        </w:rPr>
        <w:t>odium-gl</w:t>
      </w:r>
      <w:r w:rsidR="008C10EC">
        <w:rPr>
          <w:rFonts w:ascii="Arial" w:hAnsi="Arial" w:cs="Arial"/>
          <w:lang w:eastAsia="en-AU"/>
        </w:rPr>
        <w:t>ucose linked transporter-</w:t>
      </w:r>
      <w:r w:rsidRPr="00854ABB">
        <w:rPr>
          <w:rFonts w:ascii="Arial" w:hAnsi="Arial" w:cs="Arial"/>
          <w:lang w:eastAsia="en-AU"/>
        </w:rPr>
        <w:t>2</w:t>
      </w:r>
      <w:r w:rsidRPr="00646887">
        <w:rPr>
          <w:lang w:eastAsia="en-AU"/>
        </w:rPr>
        <w:t xml:space="preserve"> </w:t>
      </w:r>
      <w:r>
        <w:rPr>
          <w:rFonts w:ascii="Arial" w:hAnsi="Arial" w:cs="Arial"/>
        </w:rPr>
        <w:t>(</w:t>
      </w:r>
      <w:r w:rsidRPr="00854ABB">
        <w:rPr>
          <w:rFonts w:ascii="Arial" w:hAnsi="Arial" w:cs="Arial"/>
        </w:rPr>
        <w:t>SGLT2</w:t>
      </w:r>
      <w:r>
        <w:rPr>
          <w:rFonts w:ascii="Arial" w:hAnsi="Arial" w:cs="Arial"/>
        </w:rPr>
        <w:t>)</w:t>
      </w:r>
      <w:r w:rsidRPr="00854ABB">
        <w:rPr>
          <w:rFonts w:ascii="Arial" w:hAnsi="Arial" w:cs="Arial"/>
        </w:rPr>
        <w:t xml:space="preserve"> inhibitor</w:t>
      </w:r>
      <w:r>
        <w:rPr>
          <w:rFonts w:ascii="Arial" w:hAnsi="Arial" w:cs="Arial"/>
        </w:rPr>
        <w:t xml:space="preserve"> combinations;</w:t>
      </w:r>
    </w:p>
    <w:p w14:paraId="28D68BB9" w14:textId="77777777" w:rsidR="00854ABB" w:rsidRDefault="00854ABB" w:rsidP="00C55C44">
      <w:pPr>
        <w:pStyle w:val="ListParagraph"/>
        <w:numPr>
          <w:ilvl w:val="1"/>
          <w:numId w:val="30"/>
        </w:numPr>
        <w:spacing w:after="60"/>
        <w:ind w:left="1276" w:hanging="283"/>
        <w:rPr>
          <w:rFonts w:ascii="Arial" w:hAnsi="Arial" w:cs="Arial"/>
        </w:rPr>
      </w:pPr>
      <w:r w:rsidRPr="00854ABB">
        <w:rPr>
          <w:rFonts w:ascii="Arial" w:hAnsi="Arial" w:cs="Arial"/>
        </w:rPr>
        <w:t>triple therapy with metformin + sulfonylurea + DPP-4 inhibitor/SGLT2 inhibitor</w:t>
      </w:r>
      <w:r>
        <w:rPr>
          <w:rFonts w:ascii="Arial" w:hAnsi="Arial" w:cs="Arial"/>
        </w:rPr>
        <w:t>;</w:t>
      </w:r>
    </w:p>
    <w:p w14:paraId="49BAEE01" w14:textId="5F805E9D" w:rsidR="00854ABB" w:rsidRDefault="00854ABB" w:rsidP="00C55C44">
      <w:pPr>
        <w:pStyle w:val="ListParagraph"/>
        <w:numPr>
          <w:ilvl w:val="1"/>
          <w:numId w:val="30"/>
        </w:numPr>
        <w:spacing w:after="60"/>
        <w:ind w:left="1276" w:hanging="283"/>
        <w:rPr>
          <w:rFonts w:ascii="Arial" w:hAnsi="Arial" w:cs="Arial"/>
        </w:rPr>
      </w:pPr>
      <w:r w:rsidRPr="00854ABB">
        <w:rPr>
          <w:rFonts w:ascii="Arial" w:hAnsi="Arial" w:cs="Arial"/>
        </w:rPr>
        <w:t>insulin + DPP-4 inhibitor/SGLT2 inhibitor/</w:t>
      </w:r>
      <w:r w:rsidR="008C10EC">
        <w:rPr>
          <w:rFonts w:ascii="Arial" w:hAnsi="Arial" w:cs="Arial"/>
        </w:rPr>
        <w:t>glucagon-like peptide-1 (</w:t>
      </w:r>
      <w:r w:rsidRPr="00854ABB">
        <w:rPr>
          <w:rFonts w:ascii="Arial" w:hAnsi="Arial" w:cs="Arial"/>
        </w:rPr>
        <w:t>GLP-1</w:t>
      </w:r>
      <w:r w:rsidR="008C10EC">
        <w:rPr>
          <w:rFonts w:ascii="Arial" w:hAnsi="Arial" w:cs="Arial"/>
        </w:rPr>
        <w:t>)</w:t>
      </w:r>
      <w:r w:rsidRPr="00854ABB">
        <w:rPr>
          <w:rFonts w:ascii="Arial" w:hAnsi="Arial" w:cs="Arial"/>
        </w:rPr>
        <w:t xml:space="preserve"> receptor agonist combinations</w:t>
      </w:r>
      <w:r>
        <w:rPr>
          <w:rFonts w:ascii="Arial" w:hAnsi="Arial" w:cs="Arial"/>
        </w:rPr>
        <w:t>; and</w:t>
      </w:r>
    </w:p>
    <w:p w14:paraId="5D78E103" w14:textId="70CC66C8" w:rsidR="00854ABB" w:rsidRDefault="004217F1" w:rsidP="00C55C44">
      <w:pPr>
        <w:pStyle w:val="ListParagraph"/>
        <w:numPr>
          <w:ilvl w:val="1"/>
          <w:numId w:val="30"/>
        </w:numPr>
        <w:spacing w:after="60"/>
        <w:ind w:left="1276" w:hanging="283"/>
        <w:rPr>
          <w:rFonts w:ascii="Arial" w:hAnsi="Arial" w:cs="Arial"/>
        </w:rPr>
      </w:pPr>
      <w:proofErr w:type="gramStart"/>
      <w:r>
        <w:rPr>
          <w:rFonts w:ascii="Arial" w:hAnsi="Arial" w:cs="Arial"/>
        </w:rPr>
        <w:t>initial</w:t>
      </w:r>
      <w:proofErr w:type="gramEnd"/>
      <w:r>
        <w:rPr>
          <w:rFonts w:ascii="Arial" w:hAnsi="Arial" w:cs="Arial"/>
        </w:rPr>
        <w:t xml:space="preserve"> </w:t>
      </w:r>
      <w:r w:rsidR="00854ABB" w:rsidRPr="00854ABB">
        <w:rPr>
          <w:rFonts w:ascii="Arial" w:hAnsi="Arial" w:cs="Arial"/>
        </w:rPr>
        <w:t xml:space="preserve">use of </w:t>
      </w:r>
      <w:r w:rsidR="000653A5">
        <w:rPr>
          <w:rFonts w:ascii="Arial" w:hAnsi="Arial" w:cs="Arial"/>
        </w:rPr>
        <w:t xml:space="preserve">a </w:t>
      </w:r>
      <w:r w:rsidR="00854ABB" w:rsidRPr="00854ABB">
        <w:rPr>
          <w:rFonts w:ascii="Arial" w:hAnsi="Arial" w:cs="Arial"/>
        </w:rPr>
        <w:t>DPP-4 inhibitor/SGLT2 inhibitor with metformin</w:t>
      </w:r>
      <w:r w:rsidR="00854ABB">
        <w:rPr>
          <w:rFonts w:ascii="Arial" w:hAnsi="Arial" w:cs="Arial"/>
        </w:rPr>
        <w:t>.</w:t>
      </w:r>
    </w:p>
    <w:p w14:paraId="78DAF73E" w14:textId="036E745B" w:rsidR="00C64406" w:rsidRPr="00854ABB" w:rsidRDefault="00C64406" w:rsidP="00295987">
      <w:pPr>
        <w:pStyle w:val="ListParagraph"/>
        <w:numPr>
          <w:ilvl w:val="0"/>
          <w:numId w:val="30"/>
        </w:numPr>
        <w:spacing w:after="60"/>
        <w:ind w:left="851" w:hanging="284"/>
        <w:rPr>
          <w:rFonts w:ascii="Arial" w:hAnsi="Arial" w:cs="Arial"/>
        </w:rPr>
      </w:pPr>
      <w:r>
        <w:rPr>
          <w:rFonts w:ascii="Arial" w:hAnsi="Arial" w:cs="Arial"/>
        </w:rPr>
        <w:t>The utilisation analyses noted that there was some use of newer type 2 diabetes medicines in combination.</w:t>
      </w:r>
    </w:p>
    <w:p w14:paraId="1D0B3D87" w14:textId="77777777" w:rsidR="00ED11E1" w:rsidRDefault="00ED11E1" w:rsidP="00295987">
      <w:pPr>
        <w:spacing w:after="60"/>
        <w:ind w:left="851" w:hanging="284"/>
        <w:rPr>
          <w:rFonts w:ascii="Arial" w:hAnsi="Arial" w:cs="Arial"/>
        </w:rPr>
      </w:pPr>
    </w:p>
    <w:p w14:paraId="534422D5" w14:textId="16BC84AB" w:rsidR="00ED11E1" w:rsidRPr="00010C9E" w:rsidRDefault="008C10EC" w:rsidP="00D20B54">
      <w:pPr>
        <w:pStyle w:val="Heading3"/>
      </w:pPr>
      <w:r w:rsidRPr="00010C9E">
        <w:t>Term of Reference</w:t>
      </w:r>
      <w:r w:rsidR="00ED11E1" w:rsidRPr="00010C9E">
        <w:t xml:space="preserve"> 4: New clinical trial evidence</w:t>
      </w:r>
    </w:p>
    <w:p w14:paraId="71F4CD80" w14:textId="76177D40" w:rsidR="006C1C01" w:rsidRPr="006C1C01" w:rsidRDefault="006C1C01" w:rsidP="00295987">
      <w:pPr>
        <w:pStyle w:val="ListParagraph"/>
        <w:keepNext/>
        <w:keepLines/>
        <w:numPr>
          <w:ilvl w:val="0"/>
          <w:numId w:val="31"/>
        </w:numPr>
        <w:spacing w:after="60"/>
        <w:ind w:left="851" w:hanging="284"/>
        <w:rPr>
          <w:rFonts w:ascii="Arial" w:hAnsi="Arial" w:cs="Arial"/>
        </w:rPr>
      </w:pPr>
      <w:r w:rsidRPr="006C1C01">
        <w:rPr>
          <w:rFonts w:ascii="Arial" w:hAnsi="Arial" w:cs="Arial"/>
        </w:rPr>
        <w:t xml:space="preserve">The systematic literature review on the safety and efficacy of type 2 diabetes medicines identified 87 publications covering 72 </w:t>
      </w:r>
      <w:r w:rsidR="00B2645D">
        <w:rPr>
          <w:rFonts w:ascii="Arial" w:hAnsi="Arial" w:cs="Arial"/>
        </w:rPr>
        <w:t>randomised controlled trials (</w:t>
      </w:r>
      <w:r w:rsidRPr="006C1C01">
        <w:rPr>
          <w:rFonts w:ascii="Arial" w:hAnsi="Arial" w:cs="Arial"/>
        </w:rPr>
        <w:t>RCTs</w:t>
      </w:r>
      <w:r w:rsidR="00B2645D">
        <w:rPr>
          <w:rFonts w:ascii="Arial" w:hAnsi="Arial" w:cs="Arial"/>
        </w:rPr>
        <w:t>)</w:t>
      </w:r>
      <w:r w:rsidRPr="006C1C01">
        <w:rPr>
          <w:rFonts w:ascii="Arial" w:hAnsi="Arial" w:cs="Arial"/>
        </w:rPr>
        <w:t>, including 43 trials not seen by the PBAC previously.</w:t>
      </w:r>
    </w:p>
    <w:p w14:paraId="577CA980" w14:textId="5ABA8A3F"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 xml:space="preserve">No long term </w:t>
      </w:r>
      <w:proofErr w:type="spellStart"/>
      <w:r w:rsidRPr="006C1C01">
        <w:rPr>
          <w:rFonts w:ascii="Arial" w:hAnsi="Arial" w:cs="Arial"/>
        </w:rPr>
        <w:t>macrovascular</w:t>
      </w:r>
      <w:proofErr w:type="spellEnd"/>
      <w:r w:rsidRPr="006C1C01">
        <w:rPr>
          <w:rFonts w:ascii="Arial" w:hAnsi="Arial" w:cs="Arial"/>
        </w:rPr>
        <w:t xml:space="preserve"> or microvascular outcome data for acarbose, insulin, SGLT2 inhibitors and GLP-1 receptor agonists was identified. Limited trial data are available with </w:t>
      </w:r>
      <w:proofErr w:type="gramStart"/>
      <w:r w:rsidRPr="006C1C01">
        <w:rPr>
          <w:rFonts w:ascii="Arial" w:hAnsi="Arial" w:cs="Arial"/>
        </w:rPr>
        <w:t>a duration</w:t>
      </w:r>
      <w:proofErr w:type="gramEnd"/>
      <w:r w:rsidRPr="006C1C01">
        <w:rPr>
          <w:rFonts w:ascii="Arial" w:hAnsi="Arial" w:cs="Arial"/>
        </w:rPr>
        <w:t xml:space="preserve"> of over six months.</w:t>
      </w:r>
    </w:p>
    <w:p w14:paraId="647F7308" w14:textId="77777777"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One dual therapy trial considered a combination not yet seen by the PBAC. Compared to TZD monotherapy, TZD + DPP-4 inhibitor reduced HbA</w:t>
      </w:r>
      <w:r w:rsidRPr="006C1C01">
        <w:rPr>
          <w:rFonts w:ascii="Arial" w:hAnsi="Arial" w:cs="Arial"/>
          <w:vertAlign w:val="subscript"/>
        </w:rPr>
        <w:t>1c</w:t>
      </w:r>
      <w:r w:rsidRPr="006C1C01">
        <w:rPr>
          <w:rFonts w:ascii="Arial" w:hAnsi="Arial" w:cs="Arial"/>
        </w:rPr>
        <w:t xml:space="preserve"> (-0.9%; 95% CI: </w:t>
      </w:r>
      <w:r w:rsidRPr="006C1C01">
        <w:rPr>
          <w:rFonts w:ascii="Arial" w:hAnsi="Arial" w:cs="Arial"/>
        </w:rPr>
        <w:noBreakHyphen/>
        <w:t xml:space="preserve">1.1, </w:t>
      </w:r>
      <w:r w:rsidRPr="006C1C01">
        <w:rPr>
          <w:rFonts w:ascii="Arial" w:hAnsi="Arial" w:cs="Arial"/>
        </w:rPr>
        <w:noBreakHyphen/>
        <w:t>0.7) and increased weight (1.1 kg; p-value not reported).</w:t>
      </w:r>
      <w:hyperlink w:anchor="_ENREF_1" w:tooltip="Yoon, 2011 #119" w:history="1">
        <w:r w:rsidRPr="006C1C01">
          <w:rPr>
            <w:rFonts w:ascii="Arial" w:hAnsi="Arial" w:cs="Arial"/>
          </w:rPr>
          <w:fldChar w:fldCharType="begin">
            <w:fldData xml:space="preserve">PEVuZE5vdGU+PENpdGU+PEF1dGhvcj5Zb29uPC9BdXRob3I+PFllYXI+MjAxMTwvWWVhcj48UmVj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</w:fldData>
          </w:fldChar>
        </w:r>
        <w:r w:rsidRPr="006C1C01">
          <w:rPr>
            <w:rFonts w:ascii="Arial" w:hAnsi="Arial" w:cs="Arial"/>
          </w:rPr>
          <w:instrText xml:space="preserve"> ADDIN EN.CITE </w:instrText>
        </w:r>
        <w:r w:rsidRPr="006C1C01">
          <w:rPr>
            <w:rFonts w:ascii="Arial" w:hAnsi="Arial" w:cs="Arial"/>
          </w:rPr>
          <w:fldChar w:fldCharType="begin">
            <w:fldData xml:space="preserve">PEVuZE5vdGU+PENpdGU+PEF1dGhvcj5Zb29uPC9BdXRob3I+PFllYXI+MjAxMTwvWWVhcj48UmVj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</w:fldData>
          </w:fldChar>
        </w:r>
        <w:r w:rsidRPr="006C1C01">
          <w:rPr>
            <w:rFonts w:ascii="Arial" w:hAnsi="Arial" w:cs="Arial"/>
          </w:rPr>
          <w:instrText xml:space="preserve"> ADDIN EN.CITE.DATA </w:instrText>
        </w:r>
        <w:r w:rsidRPr="006C1C01">
          <w:rPr>
            <w:rFonts w:ascii="Arial" w:hAnsi="Arial" w:cs="Arial"/>
          </w:rPr>
        </w:r>
        <w:r w:rsidRPr="006C1C01">
          <w:rPr>
            <w:rFonts w:ascii="Arial" w:hAnsi="Arial" w:cs="Arial"/>
          </w:rPr>
          <w:fldChar w:fldCharType="end"/>
        </w:r>
        <w:r w:rsidRPr="006C1C01">
          <w:rPr>
            <w:rFonts w:ascii="Arial" w:hAnsi="Arial" w:cs="Arial"/>
          </w:rPr>
        </w:r>
        <w:r w:rsidRPr="006C1C01">
          <w:rPr>
            <w:rFonts w:ascii="Arial" w:hAnsi="Arial" w:cs="Arial"/>
          </w:rPr>
          <w:fldChar w:fldCharType="separate"/>
        </w:r>
        <w:r w:rsidRPr="006C1C01">
          <w:rPr>
            <w:rFonts w:ascii="Arial" w:hAnsi="Arial" w:cs="Arial"/>
            <w:vertAlign w:val="superscript"/>
          </w:rPr>
          <w:t>1</w:t>
        </w:r>
        <w:r w:rsidRPr="006C1C01">
          <w:rPr>
            <w:rFonts w:ascii="Arial" w:hAnsi="Arial" w:cs="Arial"/>
          </w:rPr>
          <w:fldChar w:fldCharType="end"/>
        </w:r>
      </w:hyperlink>
      <w:r w:rsidRPr="006C1C01">
        <w:rPr>
          <w:rFonts w:ascii="Arial" w:hAnsi="Arial" w:cs="Arial"/>
        </w:rPr>
        <w:t xml:space="preserve"> The results may not be applicable to Australian practice as the patients were treatment naïve. </w:t>
      </w:r>
    </w:p>
    <w:p w14:paraId="556B10DF" w14:textId="44A5B671"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 xml:space="preserve">All triple therapy combinations of medicines </w:t>
      </w:r>
      <w:r w:rsidR="00B2645D">
        <w:rPr>
          <w:rFonts w:ascii="Arial" w:hAnsi="Arial" w:cs="Arial"/>
        </w:rPr>
        <w:t xml:space="preserve">identified in the trials </w:t>
      </w:r>
      <w:r w:rsidRPr="006C1C01">
        <w:rPr>
          <w:rFonts w:ascii="Arial" w:hAnsi="Arial" w:cs="Arial"/>
        </w:rPr>
        <w:t>provided a significantly better reduction in HbA</w:t>
      </w:r>
      <w:r w:rsidRPr="006C1C01">
        <w:rPr>
          <w:rFonts w:ascii="Arial" w:hAnsi="Arial" w:cs="Arial"/>
          <w:vertAlign w:val="subscript"/>
        </w:rPr>
        <w:t>1c</w:t>
      </w:r>
      <w:r w:rsidRPr="006C1C01">
        <w:rPr>
          <w:rFonts w:ascii="Arial" w:hAnsi="Arial" w:cs="Arial"/>
        </w:rPr>
        <w:t xml:space="preserve"> at six months compared to metformin + sulfonylurea dual therapy, in the range of 0.7–1.1%, except for metformin + TZD + DPP-4 inhibitor. This improvement was clinically relevant when GLP-1 receptor agonists or insulin were added to metformin + sulfonylurea (upper CI &gt;0.3%). </w:t>
      </w:r>
      <w:r w:rsidR="00C658E1">
        <w:rPr>
          <w:rFonts w:ascii="Arial" w:hAnsi="Arial" w:cs="Arial"/>
        </w:rPr>
        <w:t>Refer to Figure 1.</w:t>
      </w:r>
    </w:p>
    <w:p w14:paraId="077325B7" w14:textId="5CA0E770"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None of the triple therapy combinations demonstrated clinically relevant differences in HbA</w:t>
      </w:r>
      <w:r w:rsidRPr="006C1C01">
        <w:rPr>
          <w:rFonts w:ascii="Arial" w:hAnsi="Arial" w:cs="Arial"/>
          <w:vertAlign w:val="subscript"/>
        </w:rPr>
        <w:t>1c</w:t>
      </w:r>
      <w:r w:rsidRPr="006C1C01">
        <w:rPr>
          <w:rFonts w:ascii="Arial" w:hAnsi="Arial" w:cs="Arial"/>
        </w:rPr>
        <w:t xml:space="preserve"> at six months compared with other triple therapies. However, metformin + sulfonylurea + GLP-1 receptor agonist was significantly better at reducing HbA</w:t>
      </w:r>
      <w:r w:rsidRPr="006C1C01">
        <w:rPr>
          <w:rFonts w:ascii="Arial" w:hAnsi="Arial" w:cs="Arial"/>
          <w:vertAlign w:val="subscript"/>
        </w:rPr>
        <w:t>1c</w:t>
      </w:r>
      <w:r w:rsidRPr="006C1C01">
        <w:rPr>
          <w:rFonts w:ascii="Arial" w:hAnsi="Arial" w:cs="Arial"/>
        </w:rPr>
        <w:t xml:space="preserve"> than metformin + TZD + DPP-4 inhibitor.</w:t>
      </w:r>
      <w:r w:rsidR="00C658E1">
        <w:rPr>
          <w:rFonts w:ascii="Arial" w:hAnsi="Arial" w:cs="Arial"/>
        </w:rPr>
        <w:t xml:space="preserve"> Refer to Figure 2.</w:t>
      </w:r>
    </w:p>
    <w:p w14:paraId="621DEF6F" w14:textId="42CBDB6B" w:rsidR="006C1C01" w:rsidRPr="00B2645D" w:rsidRDefault="00B2645D" w:rsidP="00295987">
      <w:pPr>
        <w:pStyle w:val="ListParagraph"/>
        <w:numPr>
          <w:ilvl w:val="0"/>
          <w:numId w:val="31"/>
        </w:numPr>
        <w:spacing w:after="60"/>
        <w:ind w:left="851" w:hanging="284"/>
        <w:rPr>
          <w:rFonts w:ascii="Arial" w:hAnsi="Arial" w:cs="Arial"/>
        </w:rPr>
      </w:pPr>
      <w:r>
        <w:rPr>
          <w:rFonts w:ascii="Arial" w:hAnsi="Arial" w:cs="Arial"/>
        </w:rPr>
        <w:t>C</w:t>
      </w:r>
      <w:r w:rsidRPr="006C1C01">
        <w:rPr>
          <w:rFonts w:ascii="Arial" w:hAnsi="Arial" w:cs="Arial"/>
        </w:rPr>
        <w:t>ompared to metformin + sulfonylurea</w:t>
      </w:r>
      <w:r>
        <w:rPr>
          <w:rFonts w:ascii="Arial" w:hAnsi="Arial" w:cs="Arial"/>
        </w:rPr>
        <w:t xml:space="preserve">, </w:t>
      </w:r>
      <w:r w:rsidR="006C1C01" w:rsidRPr="006C1C01">
        <w:rPr>
          <w:rFonts w:ascii="Arial" w:hAnsi="Arial" w:cs="Arial"/>
        </w:rPr>
        <w:t xml:space="preserve">metformin + sulfonylurea </w:t>
      </w:r>
      <w:r>
        <w:rPr>
          <w:rFonts w:ascii="Arial" w:hAnsi="Arial" w:cs="Arial"/>
        </w:rPr>
        <w:t>+ SGLT2 inhibitor/ GLP</w:t>
      </w:r>
      <w:r>
        <w:rPr>
          <w:rFonts w:ascii="Arial" w:hAnsi="Arial" w:cs="Arial"/>
        </w:rPr>
        <w:noBreakHyphen/>
      </w:r>
      <w:r w:rsidR="006C1C01" w:rsidRPr="006C1C01">
        <w:rPr>
          <w:rFonts w:ascii="Arial" w:hAnsi="Arial" w:cs="Arial"/>
        </w:rPr>
        <w:t xml:space="preserve">1 receptor agonist </w:t>
      </w:r>
      <w:r>
        <w:rPr>
          <w:rFonts w:ascii="Arial" w:hAnsi="Arial" w:cs="Arial"/>
        </w:rPr>
        <w:t>showed</w:t>
      </w:r>
      <w:r w:rsidR="006C1C01" w:rsidRPr="006C1C01">
        <w:rPr>
          <w:rFonts w:ascii="Arial" w:hAnsi="Arial" w:cs="Arial"/>
        </w:rPr>
        <w:t xml:space="preserve"> a significant reduction</w:t>
      </w:r>
      <w:r>
        <w:rPr>
          <w:rFonts w:ascii="Arial" w:hAnsi="Arial" w:cs="Arial"/>
        </w:rPr>
        <w:t xml:space="preserve"> in weight after six months treatment</w:t>
      </w:r>
      <w:r w:rsidR="006C1C01" w:rsidRPr="006C1C01">
        <w:rPr>
          <w:rFonts w:ascii="Arial" w:hAnsi="Arial" w:cs="Arial"/>
        </w:rPr>
        <w:t xml:space="preserve"> (SGLT2 inhibitors: MD: -2.4 kg; 95% CI: -4.1, -0.6; and GLP-1 receptor agonists: MD:-1.5 kg; 95% CI: -2.4, -0.6). All other combinations caused similar or more weight gain than metformin + sulfonylurea (-0.3 to 3.5 kg).</w:t>
      </w:r>
      <w:r>
        <w:rPr>
          <w:rFonts w:ascii="Arial" w:hAnsi="Arial" w:cs="Arial"/>
        </w:rPr>
        <w:t xml:space="preserve"> </w:t>
      </w:r>
      <w:r w:rsidR="00C658E1">
        <w:rPr>
          <w:rFonts w:ascii="Arial" w:hAnsi="Arial" w:cs="Arial"/>
        </w:rPr>
        <w:t>Refer to Figure 3.</w:t>
      </w:r>
    </w:p>
    <w:p w14:paraId="3177717B" w14:textId="0F0DD133"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 xml:space="preserve">Four trials were identified that examined long term outcomes when a sulfonylurea, TZD or DPP-4 inhibitor was added to existing therapy. All </w:t>
      </w:r>
      <w:r w:rsidR="00CF4959">
        <w:rPr>
          <w:rFonts w:ascii="Arial" w:hAnsi="Arial" w:cs="Arial"/>
        </w:rPr>
        <w:t xml:space="preserve">showed </w:t>
      </w:r>
      <w:r w:rsidRPr="006C1C01">
        <w:rPr>
          <w:rFonts w:ascii="Arial" w:hAnsi="Arial" w:cs="Arial"/>
        </w:rPr>
        <w:t xml:space="preserve">a statistically significant </w:t>
      </w:r>
      <w:r w:rsidR="00CF4959">
        <w:rPr>
          <w:rFonts w:ascii="Arial" w:hAnsi="Arial" w:cs="Arial"/>
        </w:rPr>
        <w:t>increase in</w:t>
      </w:r>
      <w:r w:rsidRPr="006C1C01">
        <w:rPr>
          <w:rFonts w:ascii="Arial" w:hAnsi="Arial" w:cs="Arial"/>
        </w:rPr>
        <w:t xml:space="preserve"> the risk of hypoglycaemia (in trials of greater than two years duration) compared to existing medication. Trial populations and outcome definitions varied between trials precluding meta-analysis.</w:t>
      </w:r>
    </w:p>
    <w:p w14:paraId="4E4954B3" w14:textId="41566B3A"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 xml:space="preserve">The addition of </w:t>
      </w:r>
      <w:r w:rsidR="008C10EC">
        <w:rPr>
          <w:rFonts w:ascii="Arial" w:hAnsi="Arial" w:cs="Arial"/>
        </w:rPr>
        <w:t xml:space="preserve">a </w:t>
      </w:r>
      <w:r w:rsidRPr="006C1C01">
        <w:rPr>
          <w:rFonts w:ascii="Arial" w:hAnsi="Arial" w:cs="Arial"/>
        </w:rPr>
        <w:t xml:space="preserve">sulfonylurea to existing medication reduced major microvascular events (HR: 0.86; 95% CI: 0.77, 0.97).  </w:t>
      </w:r>
    </w:p>
    <w:p w14:paraId="143AF71A" w14:textId="77777777" w:rsidR="008C10EC" w:rsidRDefault="00CF4959" w:rsidP="00295987">
      <w:pPr>
        <w:pStyle w:val="ListParagraph"/>
        <w:numPr>
          <w:ilvl w:val="0"/>
          <w:numId w:val="31"/>
        </w:numPr>
        <w:spacing w:after="60"/>
        <w:ind w:left="851" w:hanging="284"/>
        <w:rPr>
          <w:rFonts w:ascii="Arial" w:hAnsi="Arial" w:cs="Arial"/>
        </w:rPr>
      </w:pPr>
      <w:r>
        <w:rPr>
          <w:rFonts w:ascii="Arial" w:hAnsi="Arial" w:cs="Arial"/>
        </w:rPr>
        <w:t>The a</w:t>
      </w:r>
      <w:r w:rsidR="006C1C01" w:rsidRPr="006C1C01">
        <w:rPr>
          <w:rFonts w:ascii="Arial" w:hAnsi="Arial" w:cs="Arial"/>
        </w:rPr>
        <w:t xml:space="preserve">ddition of TZDs to existing medication reduced </w:t>
      </w:r>
      <w:r>
        <w:rPr>
          <w:rFonts w:ascii="Arial" w:hAnsi="Arial" w:cs="Arial"/>
        </w:rPr>
        <w:t xml:space="preserve">major </w:t>
      </w:r>
      <w:proofErr w:type="spellStart"/>
      <w:r>
        <w:rPr>
          <w:rFonts w:ascii="Arial" w:hAnsi="Arial" w:cs="Arial"/>
        </w:rPr>
        <w:t>macrovascular</w:t>
      </w:r>
      <w:proofErr w:type="spellEnd"/>
      <w:r>
        <w:rPr>
          <w:rFonts w:ascii="Arial" w:hAnsi="Arial" w:cs="Arial"/>
        </w:rPr>
        <w:t xml:space="preserve"> events (HR: </w:t>
      </w:r>
      <w:r w:rsidR="006C1C01" w:rsidRPr="006C1C01">
        <w:rPr>
          <w:rFonts w:ascii="Arial" w:hAnsi="Arial" w:cs="Arial"/>
        </w:rPr>
        <w:t xml:space="preserve">0.84; 95% CI: 0.72, 0.98), </w:t>
      </w:r>
      <w:r>
        <w:rPr>
          <w:rFonts w:ascii="Arial" w:hAnsi="Arial" w:cs="Arial"/>
        </w:rPr>
        <w:t xml:space="preserve">but </w:t>
      </w:r>
      <w:r w:rsidRPr="006C1C01">
        <w:rPr>
          <w:rFonts w:ascii="Arial" w:hAnsi="Arial" w:cs="Arial"/>
        </w:rPr>
        <w:t>increased the risk of heart failure</w:t>
      </w:r>
      <w:r>
        <w:rPr>
          <w:rFonts w:ascii="Arial" w:hAnsi="Arial" w:cs="Arial"/>
        </w:rPr>
        <w:t xml:space="preserve">. </w:t>
      </w:r>
    </w:p>
    <w:p w14:paraId="6E4328C6" w14:textId="5C9DC352" w:rsidR="006C1C01" w:rsidRPr="006C1C01" w:rsidRDefault="006C1C01" w:rsidP="00295987">
      <w:pPr>
        <w:pStyle w:val="ListParagraph"/>
        <w:numPr>
          <w:ilvl w:val="0"/>
          <w:numId w:val="31"/>
        </w:numPr>
        <w:spacing w:after="60"/>
        <w:ind w:left="851" w:hanging="284"/>
        <w:rPr>
          <w:rFonts w:ascii="Arial" w:hAnsi="Arial" w:cs="Arial"/>
        </w:rPr>
      </w:pPr>
      <w:r w:rsidRPr="006C1C01">
        <w:rPr>
          <w:rFonts w:ascii="Arial" w:hAnsi="Arial" w:cs="Arial"/>
        </w:rPr>
        <w:t>DPP-4 inhibitors increased the risk of hospi</w:t>
      </w:r>
      <w:r w:rsidR="008C10EC">
        <w:rPr>
          <w:rFonts w:ascii="Arial" w:hAnsi="Arial" w:cs="Arial"/>
        </w:rPr>
        <w:t>talisation due to heart failure in one trial.</w:t>
      </w:r>
      <w:r w:rsidRPr="006C1C01">
        <w:rPr>
          <w:rFonts w:ascii="Arial" w:hAnsi="Arial" w:cs="Arial"/>
        </w:rPr>
        <w:t xml:space="preserve"> </w:t>
      </w:r>
    </w:p>
    <w:p w14:paraId="3F098274" w14:textId="77777777" w:rsidR="00ED11E1" w:rsidRDefault="00ED11E1" w:rsidP="00295987">
      <w:pPr>
        <w:spacing w:after="60"/>
        <w:ind w:left="851" w:hanging="284"/>
        <w:contextualSpacing/>
        <w:rPr>
          <w:rFonts w:ascii="Arial" w:eastAsia="SimSun" w:hAnsi="Arial" w:cs="Arial"/>
          <w:i/>
          <w:szCs w:val="24"/>
          <w:lang w:eastAsia="en-AU"/>
        </w:rPr>
      </w:pPr>
    </w:p>
    <w:p w14:paraId="23642E9A" w14:textId="77777777" w:rsidR="00FE1963" w:rsidRPr="00C658E1" w:rsidRDefault="00FE1963" w:rsidP="009D0D45">
      <w:pPr>
        <w:keepNext/>
        <w:keepLines/>
        <w:rPr>
          <w:rFonts w:ascii="Arial" w:hAnsi="Arial" w:cs="Arial"/>
          <w:b/>
          <w:sz w:val="20"/>
          <w:szCs w:val="20"/>
        </w:rPr>
      </w:pPr>
      <w:proofErr w:type="gramStart"/>
      <w:r w:rsidRPr="00C658E1">
        <w:rPr>
          <w:rFonts w:ascii="Arial" w:hAnsi="Arial" w:cs="Arial"/>
          <w:b/>
          <w:sz w:val="20"/>
          <w:szCs w:val="20"/>
        </w:rPr>
        <w:lastRenderedPageBreak/>
        <w:t>Figure 1.</w:t>
      </w:r>
      <w:proofErr w:type="gramEnd"/>
      <w:r w:rsidRPr="00C658E1">
        <w:rPr>
          <w:rFonts w:ascii="Arial" w:hAnsi="Arial" w:cs="Arial"/>
          <w:b/>
          <w:sz w:val="20"/>
          <w:szCs w:val="20"/>
        </w:rPr>
        <w:t xml:space="preserve"> Forest plot of mean difference in HbA</w:t>
      </w:r>
      <w:r w:rsidRPr="00C658E1">
        <w:rPr>
          <w:rFonts w:ascii="Arial" w:hAnsi="Arial" w:cs="Arial"/>
          <w:b/>
          <w:sz w:val="20"/>
          <w:szCs w:val="20"/>
          <w:vertAlign w:val="subscript"/>
        </w:rPr>
        <w:t>1c</w:t>
      </w:r>
      <w:r w:rsidRPr="00C658E1">
        <w:rPr>
          <w:rFonts w:ascii="Arial" w:hAnsi="Arial" w:cs="Arial"/>
          <w:b/>
          <w:sz w:val="20"/>
          <w:szCs w:val="20"/>
        </w:rPr>
        <w:t xml:space="preserve"> (%) </w:t>
      </w:r>
      <w:proofErr w:type="gramStart"/>
      <w:r w:rsidRPr="00C658E1">
        <w:rPr>
          <w:rFonts w:ascii="Arial" w:hAnsi="Arial" w:cs="Arial"/>
          <w:b/>
          <w:sz w:val="20"/>
          <w:szCs w:val="20"/>
        </w:rPr>
        <w:t>(95% CI) at six months for triple therapy combinations compared to metformin + sulfonylurea dual therapy – network analysis.</w:t>
      </w:r>
      <w:proofErr w:type="gramEnd"/>
    </w:p>
    <w:p w14:paraId="555C9074" w14:textId="77777777" w:rsidR="00FE1963" w:rsidRDefault="00FE1963" w:rsidP="009D0D45">
      <w:pPr>
        <w:keepNext/>
        <w:keepLines/>
      </w:pPr>
      <w:r>
        <w:rPr>
          <w:noProof/>
          <w:lang w:eastAsia="en-AU"/>
        </w:rPr>
        <w:drawing>
          <wp:inline distT="0" distB="0" distL="0" distR="0" wp14:anchorId="78B3A236" wp14:editId="4FA3D2B9">
            <wp:extent cx="5031537" cy="2476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43398" cy="2482338"/>
                    </a:xfrm>
                    <a:prstGeom prst="rect">
                      <a:avLst/>
                    </a:prstGeom>
                    <a:noFill/>
                    <a:ln>
                      <a:noFill/>
                    </a:ln>
                  </pic:spPr>
                </pic:pic>
              </a:graphicData>
            </a:graphic>
          </wp:inline>
        </w:drawing>
      </w:r>
    </w:p>
    <w:p w14:paraId="5B1E890E" w14:textId="77777777" w:rsidR="00FE1963" w:rsidRPr="00FE1963" w:rsidRDefault="00FE1963" w:rsidP="009D0D45">
      <w:pPr>
        <w:pStyle w:val="Notes"/>
        <w:keepNext/>
        <w:keepLines/>
      </w:pPr>
      <w:r w:rsidRPr="00FE1963">
        <w:t xml:space="preserve">Statistically significant difference are marked in </w:t>
      </w:r>
      <w:r w:rsidRPr="00C658E1">
        <w:rPr>
          <w:b/>
        </w:rPr>
        <w:t>bold</w:t>
      </w:r>
      <w:r w:rsidRPr="00FE1963">
        <w:t>.</w:t>
      </w:r>
    </w:p>
    <w:p w14:paraId="3D7CD2E6" w14:textId="450C7FC4" w:rsidR="00FE1963" w:rsidRPr="00FE1963" w:rsidRDefault="00FE1963" w:rsidP="009D0D45">
      <w:pPr>
        <w:pStyle w:val="Notes"/>
        <w:keepNext/>
        <w:keepLines/>
      </w:pPr>
      <w:r w:rsidRPr="00FE1963">
        <w:t xml:space="preserve">Abbreviations: DPP-4-i = </w:t>
      </w:r>
      <w:r w:rsidR="00C658E1" w:rsidRPr="0006446A">
        <w:t>dipeptidyl peptidase-4 inhibitor</w:t>
      </w:r>
      <w:r w:rsidRPr="00FE1963">
        <w:t>; GLP-1-RA =</w:t>
      </w:r>
      <w:r w:rsidR="00C658E1" w:rsidRPr="00C658E1">
        <w:t xml:space="preserve"> </w:t>
      </w:r>
      <w:r w:rsidR="00C658E1" w:rsidRPr="0006446A">
        <w:t>glucagon-like peptide-1 receptor agonist</w:t>
      </w:r>
      <w:r w:rsidRPr="00FE1963">
        <w:t>; INS = i</w:t>
      </w:r>
      <w:r w:rsidR="009F4F39">
        <w:t>nsulin; MET = metformin; SGLT2</w:t>
      </w:r>
      <w:r w:rsidRPr="00FE1963">
        <w:t xml:space="preserve"> = </w:t>
      </w:r>
      <w:r w:rsidRPr="00FE1963">
        <w:rPr>
          <w:rStyle w:val="TableText"/>
          <w:rFonts w:ascii="Arial" w:hAnsi="Arial" w:cs="Arial"/>
          <w:sz w:val="18"/>
        </w:rPr>
        <w:t>sodium glucose co-transporter 2 inhibitor</w:t>
      </w:r>
      <w:r w:rsidR="00C658E1">
        <w:rPr>
          <w:rStyle w:val="TableText"/>
          <w:rFonts w:ascii="Arial" w:hAnsi="Arial" w:cs="Arial"/>
          <w:sz w:val="18"/>
        </w:rPr>
        <w:t>;</w:t>
      </w:r>
      <w:r w:rsidRPr="00FE1963">
        <w:rPr>
          <w:rStyle w:val="TableText"/>
          <w:rFonts w:ascii="Arial" w:hAnsi="Arial" w:cs="Arial"/>
          <w:sz w:val="18"/>
        </w:rPr>
        <w:t xml:space="preserve"> </w:t>
      </w:r>
      <w:r w:rsidR="00C658E1">
        <w:t>and SU = sulfonylurea</w:t>
      </w:r>
      <w:r w:rsidRPr="00FE1963">
        <w:t xml:space="preserve">. </w:t>
      </w:r>
    </w:p>
    <w:p w14:paraId="3B3AC8D0" w14:textId="77777777" w:rsidR="00FE1963" w:rsidRDefault="00FE1963" w:rsidP="009D0D45">
      <w:pPr>
        <w:rPr>
          <w:lang w:eastAsia="en-AU"/>
        </w:rPr>
      </w:pPr>
    </w:p>
    <w:p w14:paraId="38032BB7" w14:textId="4EB5020F" w:rsidR="00C658E1" w:rsidRDefault="00C658E1" w:rsidP="009D0D45">
      <w:pPr>
        <w:keepNext/>
        <w:keepLines/>
        <w:rPr>
          <w:lang w:eastAsia="en-AU"/>
        </w:rPr>
      </w:pPr>
      <w:bookmarkStart w:id="0" w:name="_Ref390848890"/>
      <w:proofErr w:type="gramStart"/>
      <w:r w:rsidRPr="00C658E1">
        <w:rPr>
          <w:rFonts w:ascii="Arial" w:hAnsi="Arial" w:cs="Arial"/>
          <w:b/>
          <w:sz w:val="20"/>
          <w:szCs w:val="20"/>
        </w:rPr>
        <w:t xml:space="preserve">Figure </w:t>
      </w:r>
      <w:bookmarkEnd w:id="0"/>
      <w:r w:rsidRPr="00C658E1">
        <w:rPr>
          <w:rFonts w:ascii="Arial" w:hAnsi="Arial" w:cs="Arial"/>
          <w:b/>
          <w:sz w:val="20"/>
          <w:szCs w:val="20"/>
        </w:rPr>
        <w:t>2.</w:t>
      </w:r>
      <w:proofErr w:type="gramEnd"/>
      <w:r w:rsidRPr="00C658E1">
        <w:rPr>
          <w:rFonts w:ascii="Arial" w:hAnsi="Arial" w:cs="Arial"/>
          <w:b/>
          <w:sz w:val="20"/>
          <w:szCs w:val="20"/>
        </w:rPr>
        <w:t xml:space="preserve"> Forest plot of mean difference in HbA</w:t>
      </w:r>
      <w:r w:rsidRPr="00C658E1">
        <w:rPr>
          <w:rFonts w:ascii="Arial" w:hAnsi="Arial" w:cs="Arial"/>
          <w:b/>
          <w:sz w:val="20"/>
          <w:szCs w:val="20"/>
          <w:vertAlign w:val="subscript"/>
        </w:rPr>
        <w:t>1c</w:t>
      </w:r>
      <w:r w:rsidRPr="00C658E1">
        <w:rPr>
          <w:rFonts w:ascii="Arial" w:hAnsi="Arial" w:cs="Arial"/>
          <w:b/>
          <w:sz w:val="20"/>
          <w:szCs w:val="20"/>
        </w:rPr>
        <w:t xml:space="preserve"> (%) </w:t>
      </w:r>
      <w:proofErr w:type="gramStart"/>
      <w:r w:rsidRPr="00C658E1">
        <w:rPr>
          <w:rFonts w:ascii="Arial" w:hAnsi="Arial" w:cs="Arial"/>
          <w:b/>
          <w:sz w:val="20"/>
          <w:szCs w:val="20"/>
        </w:rPr>
        <w:t>(95% CI) at six months for triple therapy combinations compared to each other – network analysis.</w:t>
      </w:r>
      <w:proofErr w:type="gramEnd"/>
      <w:r>
        <w:rPr>
          <w:noProof/>
          <w:lang w:eastAsia="en-AU"/>
        </w:rPr>
        <w:drawing>
          <wp:inline distT="0" distB="0" distL="0" distR="0" wp14:anchorId="7DE8D072" wp14:editId="61B10A8D">
            <wp:extent cx="5367178" cy="39814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370998" cy="3984283"/>
                    </a:xfrm>
                    <a:prstGeom prst="rect">
                      <a:avLst/>
                    </a:prstGeom>
                    <a:noFill/>
                    <a:ln>
                      <a:noFill/>
                    </a:ln>
                  </pic:spPr>
                </pic:pic>
              </a:graphicData>
            </a:graphic>
          </wp:inline>
        </w:drawing>
      </w:r>
    </w:p>
    <w:p w14:paraId="6CB0ED69" w14:textId="77777777" w:rsidR="00C658E1" w:rsidRPr="00C658E1" w:rsidRDefault="00C658E1" w:rsidP="009D0D45">
      <w:pPr>
        <w:pStyle w:val="Notes"/>
        <w:keepNext/>
        <w:keepLines/>
      </w:pPr>
      <w:r w:rsidRPr="00C658E1">
        <w:t xml:space="preserve">Statistically significant difference are marked in </w:t>
      </w:r>
      <w:r w:rsidRPr="00C658E1">
        <w:rPr>
          <w:b/>
        </w:rPr>
        <w:t>bold</w:t>
      </w:r>
      <w:r w:rsidRPr="00C658E1">
        <w:t>.</w:t>
      </w:r>
    </w:p>
    <w:p w14:paraId="5A90BE7E" w14:textId="3CB8811B" w:rsidR="00C658E1" w:rsidRPr="00C658E1" w:rsidRDefault="00C658E1" w:rsidP="009D0D45">
      <w:pPr>
        <w:pStyle w:val="Notes"/>
        <w:keepNext/>
        <w:keepLines/>
      </w:pPr>
      <w:r w:rsidRPr="00C658E1">
        <w:t xml:space="preserve">Abbreviations: DPP-4-i = </w:t>
      </w:r>
      <w:r w:rsidRPr="0006446A">
        <w:t>dipeptidyl peptidase-4 inhibitor</w:t>
      </w:r>
      <w:r w:rsidRPr="00C658E1">
        <w:t>; GLP</w:t>
      </w:r>
      <w:r>
        <w:t>-</w:t>
      </w:r>
      <w:r w:rsidRPr="00C658E1">
        <w:t>1</w:t>
      </w:r>
      <w:r>
        <w:t>-RA</w:t>
      </w:r>
      <w:r w:rsidRPr="00C658E1">
        <w:t xml:space="preserve"> = </w:t>
      </w:r>
      <w:r w:rsidRPr="0006446A">
        <w:t>glucagon-like peptide-1 receptor agonist</w:t>
      </w:r>
      <w:r w:rsidRPr="00C658E1">
        <w:t xml:space="preserve">; INS = insulin; MET = metformin; SGLT2 = </w:t>
      </w:r>
      <w:r w:rsidR="009F4F39" w:rsidRPr="0006446A">
        <w:t xml:space="preserve">sodium glucose co-transporter 2 </w:t>
      </w:r>
      <w:r w:rsidRPr="00C658E1">
        <w:rPr>
          <w:rStyle w:val="TableText"/>
          <w:rFonts w:ascii="Arial" w:hAnsi="Arial" w:cs="Arial"/>
          <w:sz w:val="18"/>
        </w:rPr>
        <w:t>inhibitor</w:t>
      </w:r>
      <w:r w:rsidRPr="00C658E1">
        <w:t>; and SU = sulfonylurea.</w:t>
      </w:r>
    </w:p>
    <w:p w14:paraId="33939C17" w14:textId="77777777" w:rsidR="00C658E1" w:rsidRDefault="00C658E1" w:rsidP="009D0D45">
      <w:pPr>
        <w:rPr>
          <w:lang w:eastAsia="en-AU"/>
        </w:rPr>
      </w:pPr>
    </w:p>
    <w:p w14:paraId="24CD9439" w14:textId="7B4B7F3C" w:rsidR="00C658E1" w:rsidRPr="00C658E1" w:rsidRDefault="00C658E1" w:rsidP="009D0D45">
      <w:pPr>
        <w:rPr>
          <w:rFonts w:ascii="Arial" w:hAnsi="Arial" w:cs="Arial"/>
          <w:b/>
          <w:sz w:val="20"/>
          <w:szCs w:val="20"/>
        </w:rPr>
      </w:pPr>
      <w:proofErr w:type="gramStart"/>
      <w:r w:rsidRPr="00C658E1">
        <w:rPr>
          <w:rFonts w:ascii="Arial" w:hAnsi="Arial" w:cs="Arial"/>
          <w:b/>
          <w:sz w:val="20"/>
          <w:szCs w:val="20"/>
        </w:rPr>
        <w:lastRenderedPageBreak/>
        <w:t>Figure 3.</w:t>
      </w:r>
      <w:proofErr w:type="gramEnd"/>
      <w:r w:rsidRPr="00C658E1">
        <w:rPr>
          <w:rFonts w:ascii="Arial" w:hAnsi="Arial" w:cs="Arial"/>
          <w:b/>
          <w:sz w:val="20"/>
          <w:szCs w:val="20"/>
        </w:rPr>
        <w:t xml:space="preserve"> </w:t>
      </w:r>
      <w:proofErr w:type="gramStart"/>
      <w:r w:rsidRPr="00C658E1">
        <w:rPr>
          <w:rFonts w:ascii="Arial" w:hAnsi="Arial" w:cs="Arial"/>
          <w:b/>
          <w:sz w:val="20"/>
          <w:szCs w:val="20"/>
        </w:rPr>
        <w:t>Forest plot of mean difference in change in body weight (kg) (95% CI) at six months for different triple therapy combinations compared to metformin + sulfonylurea dual therapy – network analysis.</w:t>
      </w:r>
      <w:proofErr w:type="gramEnd"/>
    </w:p>
    <w:p w14:paraId="361058AC" w14:textId="77777777" w:rsidR="00C658E1" w:rsidRDefault="00C658E1" w:rsidP="009D0D45">
      <w:pPr>
        <w:keepNext/>
        <w:keepLines/>
      </w:pPr>
      <w:r w:rsidRPr="00003B39">
        <w:rPr>
          <w:noProof/>
          <w:lang w:eastAsia="en-AU"/>
        </w:rPr>
        <w:drawing>
          <wp:inline distT="0" distB="0" distL="0" distR="0" wp14:anchorId="5C615FD8" wp14:editId="00329170">
            <wp:extent cx="5429250" cy="2428331"/>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ed\Research\PBAC\Projects for PBAC\Diabetes\Teleconference 20 Aug 2014\Update forest plots\Triple therapy vs MET+SU BW.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433914" cy="2430417"/>
                    </a:xfrm>
                    <a:prstGeom prst="rect">
                      <a:avLst/>
                    </a:prstGeom>
                    <a:noFill/>
                    <a:ln>
                      <a:noFill/>
                    </a:ln>
                  </pic:spPr>
                </pic:pic>
              </a:graphicData>
            </a:graphic>
          </wp:inline>
        </w:drawing>
      </w:r>
    </w:p>
    <w:p w14:paraId="32CA7390" w14:textId="77777777" w:rsidR="00C658E1" w:rsidRPr="00C658E1" w:rsidRDefault="00C658E1" w:rsidP="009D0D45">
      <w:pPr>
        <w:pStyle w:val="Notes"/>
        <w:keepNext/>
        <w:keepLines/>
      </w:pPr>
      <w:r w:rsidRPr="00C658E1">
        <w:t xml:space="preserve">Statistically significant difference are marked in </w:t>
      </w:r>
      <w:r w:rsidRPr="00C658E1">
        <w:rPr>
          <w:b/>
        </w:rPr>
        <w:t>bold</w:t>
      </w:r>
      <w:r w:rsidRPr="00C658E1">
        <w:t>.</w:t>
      </w:r>
    </w:p>
    <w:p w14:paraId="2C26824C" w14:textId="63A29BF5" w:rsidR="00C658E1" w:rsidRPr="0006446A" w:rsidRDefault="00C658E1" w:rsidP="009D0D45">
      <w:pPr>
        <w:pStyle w:val="Notes"/>
      </w:pPr>
      <w:r>
        <w:t xml:space="preserve">Abbreviations: </w:t>
      </w:r>
      <w:r w:rsidRPr="0006446A">
        <w:t>DPP-4-i = dipeptidyl peptidase-4 inhibitor; GLP-1</w:t>
      </w:r>
      <w:r>
        <w:t>-RA</w:t>
      </w:r>
      <w:r w:rsidRPr="0006446A">
        <w:t xml:space="preserve"> = glucagon-like peptide-1 receptor agonist; INS = insulin; MET = metformin; SGLT2 = sodium glucose co-transporter</w:t>
      </w:r>
      <w:r w:rsidR="009F4F39">
        <w:t xml:space="preserve"> 2 inhibitor; and SU = sulfonylurea</w:t>
      </w:r>
      <w:r>
        <w:t>.</w:t>
      </w:r>
    </w:p>
    <w:p w14:paraId="181A123F" w14:textId="77777777" w:rsidR="00FE1963" w:rsidRDefault="00FE1963" w:rsidP="009F4F39">
      <w:pPr>
        <w:rPr>
          <w:lang w:eastAsia="en-AU"/>
        </w:rPr>
      </w:pPr>
    </w:p>
    <w:p w14:paraId="0986CFCF" w14:textId="7955ED5A" w:rsidR="00625194" w:rsidRPr="00D20B54" w:rsidRDefault="00B2645D" w:rsidP="00D20B54">
      <w:pPr>
        <w:pStyle w:val="Heading3"/>
      </w:pPr>
      <w:r w:rsidRPr="00D20B54">
        <w:t>Stakeholder Views</w:t>
      </w:r>
    </w:p>
    <w:p w14:paraId="05313FA6" w14:textId="7DD0514E" w:rsidR="00C77935" w:rsidRPr="00C77935" w:rsidRDefault="00C77935" w:rsidP="007C78CB">
      <w:pPr>
        <w:keepNext/>
        <w:keepLines/>
        <w:spacing w:after="60"/>
        <w:rPr>
          <w:rFonts w:ascii="Arial" w:hAnsi="Arial" w:cs="Arial"/>
        </w:rPr>
      </w:pPr>
      <w:r>
        <w:rPr>
          <w:rFonts w:ascii="Arial" w:hAnsi="Arial" w:cs="Arial"/>
        </w:rPr>
        <w:t xml:space="preserve">Stakeholder submissions addressing the Terms of Reference, and the stakeholder forum summary, were published on the </w:t>
      </w:r>
      <w:hyperlink r:id="rId15" w:history="1">
        <w:r w:rsidRPr="00C77935">
          <w:rPr>
            <w:rStyle w:val="Hyperlink"/>
            <w:rFonts w:ascii="Arial" w:hAnsi="Arial" w:cs="Arial"/>
          </w:rPr>
          <w:t>Medicines Review Public Consultation website</w:t>
        </w:r>
      </w:hyperlink>
      <w:r>
        <w:rPr>
          <w:rFonts w:ascii="Arial" w:hAnsi="Arial" w:cs="Arial"/>
        </w:rPr>
        <w:t>. Key viewpoints expressed included:</w:t>
      </w:r>
    </w:p>
    <w:p w14:paraId="4692FA54" w14:textId="3C721B12" w:rsidR="00916B66"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Patient-centred, individualised treatment is important to quality care, optimal patient outcomes and adherence to prescribed medicines. HbA</w:t>
      </w:r>
      <w:r w:rsidRPr="009913DA">
        <w:rPr>
          <w:rFonts w:ascii="Arial" w:hAnsi="Arial" w:cs="Arial"/>
          <w:sz w:val="22"/>
          <w:szCs w:val="22"/>
          <w:vertAlign w:val="subscript"/>
        </w:rPr>
        <w:t>1c</w:t>
      </w:r>
      <w:r w:rsidRPr="009913DA">
        <w:rPr>
          <w:rFonts w:ascii="Arial" w:hAnsi="Arial" w:cs="Arial"/>
          <w:sz w:val="22"/>
          <w:szCs w:val="22"/>
        </w:rPr>
        <w:t xml:space="preserve"> targets and choice of medicine should be determined for an individual </w:t>
      </w:r>
      <w:r w:rsidR="00C64406">
        <w:rPr>
          <w:rFonts w:ascii="Arial" w:hAnsi="Arial" w:cs="Arial"/>
          <w:sz w:val="22"/>
          <w:szCs w:val="22"/>
        </w:rPr>
        <w:t>that take</w:t>
      </w:r>
      <w:r w:rsidRPr="009913DA">
        <w:rPr>
          <w:rFonts w:ascii="Arial" w:hAnsi="Arial" w:cs="Arial"/>
          <w:sz w:val="22"/>
          <w:szCs w:val="22"/>
        </w:rPr>
        <w:t xml:space="preserve"> account of factors such as: time since diagnosis, </w:t>
      </w:r>
      <w:r w:rsidR="009913DA" w:rsidRPr="009913DA">
        <w:rPr>
          <w:rFonts w:ascii="Arial" w:hAnsi="Arial" w:cs="Arial"/>
          <w:sz w:val="22"/>
          <w:szCs w:val="22"/>
        </w:rPr>
        <w:t xml:space="preserve">age, </w:t>
      </w:r>
      <w:r w:rsidRPr="009913DA">
        <w:rPr>
          <w:rFonts w:ascii="Arial" w:hAnsi="Arial" w:cs="Arial"/>
          <w:sz w:val="22"/>
          <w:szCs w:val="22"/>
        </w:rPr>
        <w:t>symptoms, cardiovascular profile, weight, risk of hypoglycaemia, side effects, comorbidities and features that may facilitate patient compliance.</w:t>
      </w:r>
      <w:r w:rsidR="009913DA" w:rsidRPr="009913DA">
        <w:rPr>
          <w:rFonts w:ascii="Arial" w:hAnsi="Arial" w:cs="Arial"/>
          <w:sz w:val="22"/>
          <w:szCs w:val="22"/>
        </w:rPr>
        <w:t xml:space="preserve"> </w:t>
      </w:r>
    </w:p>
    <w:p w14:paraId="0EF54968" w14:textId="5EF0E3E9" w:rsidR="009913DA" w:rsidRPr="009913DA" w:rsidRDefault="009913DA"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Patients should be involved in treatment choice and provided with information by their clinician to assist in this decision. Some patients may prefer a treatment strategy that involves earlier intervention and lower HbA</w:t>
      </w:r>
      <w:r w:rsidRPr="009913DA">
        <w:rPr>
          <w:rFonts w:ascii="Arial" w:hAnsi="Arial" w:cs="Arial"/>
          <w:sz w:val="22"/>
          <w:szCs w:val="22"/>
          <w:vertAlign w:val="subscript"/>
        </w:rPr>
        <w:t>1c</w:t>
      </w:r>
      <w:r w:rsidRPr="009913DA">
        <w:rPr>
          <w:rFonts w:ascii="Arial" w:hAnsi="Arial" w:cs="Arial"/>
          <w:sz w:val="22"/>
          <w:szCs w:val="22"/>
        </w:rPr>
        <w:t xml:space="preserve"> targets.</w:t>
      </w:r>
    </w:p>
    <w:p w14:paraId="0F9A3D0A" w14:textId="77777777" w:rsidR="00916B66" w:rsidRPr="009913DA"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The NHMRC-endorsed guidelines should be regularly reviewed and updated.</w:t>
      </w:r>
    </w:p>
    <w:p w14:paraId="2B2457EA" w14:textId="77777777" w:rsidR="00916B66" w:rsidRPr="009913DA"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 xml:space="preserve">PBS restrictions are increasingly inconsistent with best practice and clinical need. </w:t>
      </w:r>
    </w:p>
    <w:p w14:paraId="5856E378" w14:textId="77777777" w:rsidR="009913DA"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Most third line agents are comparable to sulfonylureas in terms of HbA</w:t>
      </w:r>
      <w:r w:rsidRPr="009913DA">
        <w:rPr>
          <w:rFonts w:ascii="Arial" w:hAnsi="Arial" w:cs="Arial"/>
          <w:sz w:val="22"/>
          <w:szCs w:val="22"/>
          <w:vertAlign w:val="subscript"/>
        </w:rPr>
        <w:t>1c</w:t>
      </w:r>
      <w:r w:rsidR="009913DA">
        <w:rPr>
          <w:rFonts w:ascii="Arial" w:hAnsi="Arial" w:cs="Arial"/>
          <w:sz w:val="22"/>
          <w:szCs w:val="22"/>
        </w:rPr>
        <w:t xml:space="preserve"> lowering.</w:t>
      </w:r>
    </w:p>
    <w:p w14:paraId="0BD0ADA2" w14:textId="6AD1AC8F" w:rsidR="00916B66" w:rsidRPr="009913DA" w:rsidRDefault="009913DA" w:rsidP="00295987">
      <w:pPr>
        <w:pStyle w:val="BodyText1"/>
        <w:numPr>
          <w:ilvl w:val="0"/>
          <w:numId w:val="32"/>
        </w:numPr>
        <w:spacing w:after="60"/>
        <w:ind w:left="851" w:hanging="284"/>
        <w:rPr>
          <w:rFonts w:ascii="Arial" w:hAnsi="Arial" w:cs="Arial"/>
          <w:sz w:val="22"/>
          <w:szCs w:val="22"/>
        </w:rPr>
      </w:pPr>
      <w:r>
        <w:rPr>
          <w:rFonts w:ascii="Arial" w:hAnsi="Arial" w:cs="Arial"/>
          <w:sz w:val="22"/>
          <w:szCs w:val="22"/>
        </w:rPr>
        <w:t>D</w:t>
      </w:r>
      <w:r w:rsidR="00916B66" w:rsidRPr="009913DA">
        <w:rPr>
          <w:rFonts w:ascii="Arial" w:hAnsi="Arial" w:cs="Arial"/>
          <w:sz w:val="22"/>
          <w:szCs w:val="22"/>
        </w:rPr>
        <w:t>iabetes outcomes should not be measured by HbA</w:t>
      </w:r>
      <w:r w:rsidR="00916B66" w:rsidRPr="009913DA">
        <w:rPr>
          <w:rFonts w:ascii="Arial" w:hAnsi="Arial" w:cs="Arial"/>
          <w:sz w:val="22"/>
          <w:szCs w:val="22"/>
          <w:vertAlign w:val="subscript"/>
        </w:rPr>
        <w:t>1c</w:t>
      </w:r>
      <w:r w:rsidR="00916B66" w:rsidRPr="009913DA">
        <w:rPr>
          <w:rFonts w:ascii="Arial" w:hAnsi="Arial" w:cs="Arial"/>
          <w:sz w:val="22"/>
          <w:szCs w:val="22"/>
        </w:rPr>
        <w:t xml:space="preserve"> levels alone. Other important outcomes include avoidance of hypoglycaemia, weight, side effects, hospitalisations, long term health outcomes, and development of microvascular and macrovascular complications.</w:t>
      </w:r>
    </w:p>
    <w:p w14:paraId="5FA1E336" w14:textId="77777777" w:rsidR="00916B66" w:rsidRPr="009913DA"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It is important to try to minimise hypoglycaemic events due to their multi-dimensional effect on patients, including quality of life, productivity, risk of falls in the elderly, and for severe hypoglycaemia, limiting expensive hospital admissions.</w:t>
      </w:r>
    </w:p>
    <w:p w14:paraId="43AF33BA" w14:textId="681D1A06" w:rsidR="00916B66" w:rsidRDefault="00916B66"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t>Treatment pathways need to consider prevention, e</w:t>
      </w:r>
      <w:r w:rsidR="008C10EC">
        <w:rPr>
          <w:rFonts w:ascii="Arial" w:hAnsi="Arial" w:cs="Arial"/>
          <w:sz w:val="22"/>
          <w:szCs w:val="22"/>
        </w:rPr>
        <w:t>ducation and lifestyle factors.</w:t>
      </w:r>
    </w:p>
    <w:p w14:paraId="049AA9B0" w14:textId="594479BC" w:rsidR="009913DA" w:rsidRPr="009913DA" w:rsidRDefault="009913DA" w:rsidP="00295987">
      <w:pPr>
        <w:pStyle w:val="BodyText1"/>
        <w:numPr>
          <w:ilvl w:val="0"/>
          <w:numId w:val="32"/>
        </w:numPr>
        <w:spacing w:after="60"/>
        <w:ind w:left="851" w:hanging="284"/>
        <w:rPr>
          <w:rFonts w:ascii="Arial" w:hAnsi="Arial" w:cs="Arial"/>
          <w:sz w:val="22"/>
          <w:szCs w:val="22"/>
        </w:rPr>
      </w:pPr>
      <w:r w:rsidRPr="009913DA">
        <w:rPr>
          <w:rFonts w:ascii="Arial" w:hAnsi="Arial" w:cs="Arial"/>
          <w:sz w:val="22"/>
          <w:szCs w:val="22"/>
        </w:rPr>
        <w:lastRenderedPageBreak/>
        <w:t xml:space="preserve">Concern over Review processes, including transparency and appropriate consultation. </w:t>
      </w:r>
    </w:p>
    <w:p w14:paraId="0B883406" w14:textId="77777777" w:rsidR="00921EDB" w:rsidRPr="001002BB" w:rsidRDefault="00921EDB" w:rsidP="00295987">
      <w:pPr>
        <w:spacing w:after="0" w:line="240" w:lineRule="auto"/>
        <w:rPr>
          <w:rFonts w:ascii="Arial" w:hAnsi="Arial" w:cs="Arial"/>
          <w:b/>
        </w:rPr>
      </w:pPr>
    </w:p>
    <w:p w14:paraId="561F48F1" w14:textId="77777777" w:rsidR="00AA5DCB" w:rsidRPr="001002BB" w:rsidRDefault="00AA5DCB" w:rsidP="00D93351">
      <w:pPr>
        <w:spacing w:after="0" w:line="240" w:lineRule="auto"/>
        <w:rPr>
          <w:rFonts w:ascii="Arial" w:hAnsi="Arial" w:cs="Arial"/>
          <w:b/>
        </w:rPr>
      </w:pPr>
    </w:p>
    <w:p w14:paraId="7C4DF8C3" w14:textId="5EC3A428" w:rsidR="00F7532F" w:rsidRPr="001002BB" w:rsidRDefault="00073F2C" w:rsidP="00D20B54">
      <w:pPr>
        <w:pStyle w:val="Heading2"/>
      </w:pPr>
      <w:r w:rsidRPr="001002BB">
        <w:t>PBAC Consideration and Advice to the Minister</w:t>
      </w:r>
      <w:r w:rsidR="00141F91" w:rsidRPr="001002BB">
        <w:t xml:space="preserve"> </w:t>
      </w:r>
      <w:r w:rsidRPr="001002BB">
        <w:t>for Health</w:t>
      </w:r>
    </w:p>
    <w:p w14:paraId="0DFC72AA" w14:textId="77777777" w:rsidR="009D2CA0" w:rsidRDefault="009D2CA0" w:rsidP="00D93351">
      <w:pPr>
        <w:spacing w:after="0"/>
        <w:rPr>
          <w:rFonts w:ascii="Arial" w:hAnsi="Arial" w:cs="Arial"/>
        </w:rPr>
      </w:pPr>
    </w:p>
    <w:p w14:paraId="4722224C" w14:textId="1CFE1AC7" w:rsidR="00010C9E" w:rsidRDefault="00010C9E" w:rsidP="008A2489">
      <w:pPr>
        <w:pStyle w:val="ListParagraph"/>
        <w:numPr>
          <w:ilvl w:val="1"/>
          <w:numId w:val="37"/>
        </w:numPr>
        <w:spacing w:after="0"/>
        <w:ind w:left="567" w:hanging="567"/>
        <w:rPr>
          <w:rFonts w:ascii="Arial" w:hAnsi="Arial" w:cs="Arial"/>
        </w:rPr>
      </w:pPr>
      <w:r>
        <w:rPr>
          <w:rFonts w:ascii="Arial" w:hAnsi="Arial" w:cs="Arial"/>
        </w:rPr>
        <w:t>The PBAC considered the draft Report, the stakeholder comments and</w:t>
      </w:r>
      <w:r w:rsidR="008A2489">
        <w:rPr>
          <w:rFonts w:ascii="Arial" w:hAnsi="Arial" w:cs="Arial"/>
        </w:rPr>
        <w:t xml:space="preserve"> the studies undertaken for each Term of Reference.</w:t>
      </w:r>
    </w:p>
    <w:p w14:paraId="5B55F2D2" w14:textId="77777777" w:rsidR="008A2489" w:rsidRDefault="008A2489" w:rsidP="008A2489">
      <w:pPr>
        <w:pStyle w:val="ListParagraph"/>
        <w:spacing w:after="0"/>
        <w:ind w:left="567" w:hanging="567"/>
        <w:rPr>
          <w:rFonts w:ascii="Arial" w:hAnsi="Arial" w:cs="Arial"/>
        </w:rPr>
      </w:pPr>
    </w:p>
    <w:p w14:paraId="74E8B6A3" w14:textId="77777777" w:rsidR="008A2489" w:rsidRDefault="009D2CA0" w:rsidP="008A2489">
      <w:pPr>
        <w:pStyle w:val="ListParagraph"/>
        <w:numPr>
          <w:ilvl w:val="1"/>
          <w:numId w:val="37"/>
        </w:numPr>
        <w:spacing w:after="0"/>
        <w:ind w:left="567" w:hanging="567"/>
        <w:rPr>
          <w:rFonts w:ascii="Arial" w:hAnsi="Arial" w:cs="Arial"/>
        </w:rPr>
      </w:pPr>
      <w:r w:rsidRPr="00010C9E">
        <w:rPr>
          <w:rFonts w:ascii="Arial" w:hAnsi="Arial" w:cs="Arial"/>
        </w:rPr>
        <w:t>The PBAC noted the stakeholder comments including the desire for access to type 2 diabetes medicines to ali</w:t>
      </w:r>
      <w:r w:rsidR="008C10EC" w:rsidRPr="00010C9E">
        <w:rPr>
          <w:rFonts w:ascii="Arial" w:hAnsi="Arial" w:cs="Arial"/>
        </w:rPr>
        <w:t xml:space="preserve">gn with clinical guidelines </w:t>
      </w:r>
      <w:r w:rsidRPr="00010C9E">
        <w:rPr>
          <w:rFonts w:ascii="Arial" w:hAnsi="Arial" w:cs="Arial"/>
        </w:rPr>
        <w:t>allow</w:t>
      </w:r>
      <w:r w:rsidR="008C10EC" w:rsidRPr="00010C9E">
        <w:rPr>
          <w:rFonts w:ascii="Arial" w:hAnsi="Arial" w:cs="Arial"/>
        </w:rPr>
        <w:t>ing</w:t>
      </w:r>
      <w:r w:rsidRPr="00010C9E">
        <w:rPr>
          <w:rFonts w:ascii="Arial" w:hAnsi="Arial" w:cs="Arial"/>
        </w:rPr>
        <w:t xml:space="preserve"> greater individualisation of treatment, and concerns about the post-market review process.</w:t>
      </w:r>
    </w:p>
    <w:p w14:paraId="69C19090" w14:textId="77777777" w:rsidR="008A2489" w:rsidRPr="008A2489" w:rsidRDefault="008A2489" w:rsidP="008A2489">
      <w:pPr>
        <w:pStyle w:val="ListParagraph"/>
        <w:ind w:left="567" w:hanging="567"/>
        <w:rPr>
          <w:rFonts w:ascii="Arial" w:hAnsi="Arial" w:cs="Arial"/>
        </w:rPr>
      </w:pPr>
    </w:p>
    <w:p w14:paraId="56B377A2" w14:textId="7E76CE53" w:rsidR="008A2489" w:rsidRDefault="00C64406" w:rsidP="008A2489">
      <w:pPr>
        <w:pStyle w:val="ListParagraph"/>
        <w:numPr>
          <w:ilvl w:val="1"/>
          <w:numId w:val="37"/>
        </w:numPr>
        <w:spacing w:after="0"/>
        <w:ind w:left="567" w:hanging="567"/>
        <w:rPr>
          <w:rFonts w:ascii="Arial" w:hAnsi="Arial" w:cs="Arial"/>
        </w:rPr>
      </w:pPr>
      <w:r>
        <w:rPr>
          <w:rFonts w:ascii="Arial" w:hAnsi="Arial" w:cs="Arial"/>
        </w:rPr>
        <w:t xml:space="preserve">The PBAC noted </w:t>
      </w:r>
      <w:r w:rsidR="009D2CA0" w:rsidRPr="008A2489">
        <w:rPr>
          <w:rFonts w:ascii="Arial" w:hAnsi="Arial" w:cs="Arial"/>
        </w:rPr>
        <w:t>that recent clinical guidelines recommend individualisation of HbA</w:t>
      </w:r>
      <w:r w:rsidR="009D2CA0" w:rsidRPr="008A2489">
        <w:rPr>
          <w:rFonts w:ascii="Arial" w:hAnsi="Arial" w:cs="Arial"/>
          <w:vertAlign w:val="subscript"/>
        </w:rPr>
        <w:t>1c</w:t>
      </w:r>
      <w:r w:rsidR="009D2CA0" w:rsidRPr="008A2489">
        <w:rPr>
          <w:rFonts w:ascii="Arial" w:hAnsi="Arial" w:cs="Arial"/>
        </w:rPr>
        <w:t xml:space="preserve"> targets,</w:t>
      </w:r>
      <w:r>
        <w:rPr>
          <w:rFonts w:ascii="Arial" w:hAnsi="Arial" w:cs="Arial"/>
        </w:rPr>
        <w:t xml:space="preserve"> which may be less than 7% in some patients. However, the clinical trial evidence seen by the PBAC required patients to have an HbA</w:t>
      </w:r>
      <w:r w:rsidRPr="00C64406">
        <w:rPr>
          <w:rFonts w:ascii="Arial" w:hAnsi="Arial" w:cs="Arial"/>
          <w:vertAlign w:val="subscript"/>
        </w:rPr>
        <w:t>1c</w:t>
      </w:r>
      <w:r>
        <w:rPr>
          <w:rFonts w:ascii="Arial" w:hAnsi="Arial" w:cs="Arial"/>
        </w:rPr>
        <w:t xml:space="preserve"> greater than 7% before initiation with newer type 2 diabetes medicines. T</w:t>
      </w:r>
      <w:r w:rsidR="009D2CA0" w:rsidRPr="008A2489">
        <w:rPr>
          <w:rFonts w:ascii="Arial" w:hAnsi="Arial" w:cs="Arial"/>
        </w:rPr>
        <w:t xml:space="preserve">he </w:t>
      </w:r>
      <w:r w:rsidR="008C10EC" w:rsidRPr="008A2489">
        <w:rPr>
          <w:rFonts w:ascii="Arial" w:hAnsi="Arial" w:cs="Arial"/>
        </w:rPr>
        <w:t xml:space="preserve">PBAC considered that the </w:t>
      </w:r>
      <w:r w:rsidR="009D2CA0" w:rsidRPr="008A2489">
        <w:rPr>
          <w:rFonts w:ascii="Arial" w:hAnsi="Arial" w:cs="Arial"/>
        </w:rPr>
        <w:t xml:space="preserve">current </w:t>
      </w:r>
      <w:r w:rsidR="008C10EC" w:rsidRPr="008A2489">
        <w:rPr>
          <w:rFonts w:ascii="Arial" w:hAnsi="Arial" w:cs="Arial"/>
        </w:rPr>
        <w:t>HbA</w:t>
      </w:r>
      <w:r w:rsidR="008C10EC" w:rsidRPr="008A2489">
        <w:rPr>
          <w:rFonts w:ascii="Arial" w:hAnsi="Arial" w:cs="Arial"/>
          <w:vertAlign w:val="subscript"/>
        </w:rPr>
        <w:t>1c</w:t>
      </w:r>
      <w:r w:rsidR="008C10EC" w:rsidRPr="008A2489">
        <w:rPr>
          <w:rFonts w:ascii="Arial" w:hAnsi="Arial" w:cs="Arial"/>
        </w:rPr>
        <w:t xml:space="preserve"> requirements</w:t>
      </w:r>
      <w:r w:rsidR="00E856E5" w:rsidRPr="008A2489">
        <w:rPr>
          <w:rFonts w:ascii="Arial" w:hAnsi="Arial" w:cs="Arial"/>
        </w:rPr>
        <w:t xml:space="preserve"> were</w:t>
      </w:r>
      <w:r w:rsidR="009D2CA0" w:rsidRPr="008A2489">
        <w:rPr>
          <w:rFonts w:ascii="Arial" w:hAnsi="Arial" w:cs="Arial"/>
        </w:rPr>
        <w:t xml:space="preserve"> still</w:t>
      </w:r>
      <w:r w:rsidR="008C10EC" w:rsidRPr="008A2489">
        <w:rPr>
          <w:rFonts w:ascii="Arial" w:hAnsi="Arial" w:cs="Arial"/>
        </w:rPr>
        <w:t xml:space="preserve"> </w:t>
      </w:r>
      <w:r w:rsidR="00E856E5" w:rsidRPr="008A2489">
        <w:rPr>
          <w:rFonts w:ascii="Arial" w:hAnsi="Arial" w:cs="Arial"/>
        </w:rPr>
        <w:t>appropriate</w:t>
      </w:r>
      <w:r w:rsidR="008C10EC" w:rsidRPr="008A2489">
        <w:rPr>
          <w:rFonts w:ascii="Arial" w:hAnsi="Arial" w:cs="Arial"/>
        </w:rPr>
        <w:t>,</w:t>
      </w:r>
      <w:r w:rsidR="00E856E5" w:rsidRPr="008A2489">
        <w:rPr>
          <w:rFonts w:ascii="Arial" w:hAnsi="Arial" w:cs="Arial"/>
        </w:rPr>
        <w:t xml:space="preserve"> as patients</w:t>
      </w:r>
      <w:r w:rsidR="009D2CA0" w:rsidRPr="008A2489">
        <w:rPr>
          <w:rFonts w:ascii="Arial" w:hAnsi="Arial" w:cs="Arial"/>
        </w:rPr>
        <w:t xml:space="preserve"> with targ</w:t>
      </w:r>
      <w:r w:rsidR="00B11CF9" w:rsidRPr="008A2489">
        <w:rPr>
          <w:rFonts w:ascii="Arial" w:hAnsi="Arial" w:cs="Arial"/>
        </w:rPr>
        <w:t>ets below 7% are generally</w:t>
      </w:r>
      <w:r w:rsidR="009D2CA0" w:rsidRPr="008A2489">
        <w:rPr>
          <w:rFonts w:ascii="Arial" w:hAnsi="Arial" w:cs="Arial"/>
        </w:rPr>
        <w:t xml:space="preserve"> able to be controlled by diet and exercise, or are pregnant. In both cases, </w:t>
      </w:r>
      <w:r w:rsidR="00E856E5" w:rsidRPr="008A2489">
        <w:rPr>
          <w:rFonts w:ascii="Arial" w:hAnsi="Arial" w:cs="Arial"/>
        </w:rPr>
        <w:t>these classes of</w:t>
      </w:r>
      <w:r w:rsidR="009D2CA0" w:rsidRPr="008A2489">
        <w:rPr>
          <w:rFonts w:ascii="Arial" w:hAnsi="Arial" w:cs="Arial"/>
        </w:rPr>
        <w:t xml:space="preserve"> type 2 diabetes medicines would not be prescribed.</w:t>
      </w:r>
    </w:p>
    <w:p w14:paraId="598B5468" w14:textId="77777777" w:rsidR="008A2489" w:rsidRPr="008A2489" w:rsidRDefault="008A2489" w:rsidP="008A2489">
      <w:pPr>
        <w:pStyle w:val="ListParagraph"/>
        <w:ind w:left="567" w:hanging="567"/>
        <w:rPr>
          <w:rFonts w:ascii="Arial" w:hAnsi="Arial" w:cs="Arial"/>
        </w:rPr>
      </w:pPr>
    </w:p>
    <w:p w14:paraId="7EB153D3" w14:textId="72E9C2F6" w:rsidR="008A2489" w:rsidRDefault="00B11CF9" w:rsidP="008A2489">
      <w:pPr>
        <w:pStyle w:val="ListParagraph"/>
        <w:numPr>
          <w:ilvl w:val="1"/>
          <w:numId w:val="37"/>
        </w:numPr>
        <w:spacing w:after="0"/>
        <w:ind w:left="567" w:hanging="567"/>
        <w:rPr>
          <w:rFonts w:ascii="Arial" w:hAnsi="Arial" w:cs="Arial"/>
        </w:rPr>
      </w:pPr>
      <w:r w:rsidRPr="008A2489">
        <w:rPr>
          <w:rFonts w:ascii="Arial" w:hAnsi="Arial" w:cs="Arial"/>
        </w:rPr>
        <w:t>In terms of HbA</w:t>
      </w:r>
      <w:r w:rsidRPr="008A2489">
        <w:rPr>
          <w:rFonts w:ascii="Arial" w:hAnsi="Arial" w:cs="Arial"/>
          <w:vertAlign w:val="subscript"/>
        </w:rPr>
        <w:t>1c</w:t>
      </w:r>
      <w:r w:rsidRPr="008A2489">
        <w:rPr>
          <w:rFonts w:ascii="Arial" w:hAnsi="Arial" w:cs="Arial"/>
        </w:rPr>
        <w:t>,</w:t>
      </w:r>
      <w:r w:rsidR="0011745F" w:rsidRPr="008A2489">
        <w:rPr>
          <w:rFonts w:ascii="Arial" w:hAnsi="Arial" w:cs="Arial"/>
        </w:rPr>
        <w:t xml:space="preserve"> the PBAC noted that </w:t>
      </w:r>
      <w:r w:rsidR="008C10EC" w:rsidRPr="008A2489">
        <w:rPr>
          <w:rFonts w:ascii="Arial" w:hAnsi="Arial" w:cs="Arial"/>
        </w:rPr>
        <w:t xml:space="preserve">there were no significant differences between </w:t>
      </w:r>
      <w:r w:rsidR="0011745F" w:rsidRPr="008A2489">
        <w:rPr>
          <w:rFonts w:ascii="Arial" w:hAnsi="Arial" w:cs="Arial"/>
        </w:rPr>
        <w:t>the</w:t>
      </w:r>
      <w:r w:rsidRPr="008A2489">
        <w:rPr>
          <w:rFonts w:ascii="Arial" w:hAnsi="Arial" w:cs="Arial"/>
        </w:rPr>
        <w:t xml:space="preserve"> triple therapy combinations presented in the </w:t>
      </w:r>
      <w:r w:rsidR="00E856E5" w:rsidRPr="008A2489">
        <w:rPr>
          <w:rFonts w:ascii="Arial" w:hAnsi="Arial" w:cs="Arial"/>
        </w:rPr>
        <w:t>network meta-analysis</w:t>
      </w:r>
      <w:r w:rsidRPr="008A2489">
        <w:rPr>
          <w:rFonts w:ascii="Arial" w:hAnsi="Arial" w:cs="Arial"/>
        </w:rPr>
        <w:t>, with the exception of metformin + TZD + DP</w:t>
      </w:r>
      <w:r w:rsidR="0011745F" w:rsidRPr="008A2489">
        <w:rPr>
          <w:rFonts w:ascii="Arial" w:hAnsi="Arial" w:cs="Arial"/>
        </w:rPr>
        <w:t>P-4 inhibitor</w:t>
      </w:r>
      <w:r w:rsidR="00C64406">
        <w:rPr>
          <w:rFonts w:ascii="Arial" w:hAnsi="Arial" w:cs="Arial"/>
        </w:rPr>
        <w:t xml:space="preserve">. The meta-analysis showed that the combination of </w:t>
      </w:r>
      <w:r w:rsidR="00C64406" w:rsidRPr="008A2489">
        <w:rPr>
          <w:rFonts w:ascii="Arial" w:hAnsi="Arial" w:cs="Arial"/>
        </w:rPr>
        <w:t xml:space="preserve">metformin + TZD + DPP-4 inhibitor </w:t>
      </w:r>
      <w:r w:rsidR="00C64406">
        <w:rPr>
          <w:rFonts w:ascii="Arial" w:hAnsi="Arial" w:cs="Arial"/>
        </w:rPr>
        <w:t>resulted in a significantly lower</w:t>
      </w:r>
      <w:r w:rsidR="0011745F" w:rsidRPr="008A2489">
        <w:rPr>
          <w:rFonts w:ascii="Arial" w:hAnsi="Arial" w:cs="Arial"/>
        </w:rPr>
        <w:t xml:space="preserve"> </w:t>
      </w:r>
      <w:r w:rsidR="00C64406">
        <w:rPr>
          <w:rFonts w:ascii="Arial" w:hAnsi="Arial" w:cs="Arial"/>
        </w:rPr>
        <w:t>reduction in</w:t>
      </w:r>
      <w:r w:rsidR="0011745F" w:rsidRPr="008A2489">
        <w:rPr>
          <w:rFonts w:ascii="Arial" w:hAnsi="Arial" w:cs="Arial"/>
        </w:rPr>
        <w:t xml:space="preserve"> HbA</w:t>
      </w:r>
      <w:r w:rsidR="0011745F" w:rsidRPr="008A2489">
        <w:rPr>
          <w:rFonts w:ascii="Arial" w:hAnsi="Arial" w:cs="Arial"/>
          <w:vertAlign w:val="subscript"/>
        </w:rPr>
        <w:t>1c</w:t>
      </w:r>
      <w:r w:rsidR="0011745F" w:rsidRPr="008A2489">
        <w:rPr>
          <w:rFonts w:ascii="Arial" w:hAnsi="Arial" w:cs="Arial"/>
        </w:rPr>
        <w:t xml:space="preserve"> than metformin + sulfonylurea + </w:t>
      </w:r>
      <w:r w:rsidR="001B6B0B" w:rsidRPr="008A2489">
        <w:rPr>
          <w:rFonts w:ascii="Arial" w:hAnsi="Arial" w:cs="Arial"/>
        </w:rPr>
        <w:t>GLP-1 receptor agonist</w:t>
      </w:r>
      <w:r w:rsidR="0011745F" w:rsidRPr="008A2489">
        <w:rPr>
          <w:rFonts w:ascii="Arial" w:hAnsi="Arial" w:cs="Arial"/>
        </w:rPr>
        <w:t>.</w:t>
      </w:r>
      <w:r w:rsidR="00CB35AD" w:rsidRPr="008A2489">
        <w:rPr>
          <w:rFonts w:ascii="Arial" w:hAnsi="Arial" w:cs="Arial"/>
        </w:rPr>
        <w:t xml:space="preserve"> Compared to other triple therapy combinations, the combination of metformin + sulfonylurea + SGLT2 inhibitor </w:t>
      </w:r>
      <w:r w:rsidR="001C794E" w:rsidRPr="008A2489">
        <w:rPr>
          <w:rFonts w:ascii="Arial" w:hAnsi="Arial" w:cs="Arial"/>
        </w:rPr>
        <w:t xml:space="preserve">resulted in the lowest mean difference in </w:t>
      </w:r>
      <w:r w:rsidR="00B53B45" w:rsidRPr="008A2489">
        <w:rPr>
          <w:rFonts w:ascii="Arial" w:hAnsi="Arial" w:cs="Arial"/>
        </w:rPr>
        <w:t>HbA</w:t>
      </w:r>
      <w:r w:rsidR="00B53B45" w:rsidRPr="008A2489">
        <w:rPr>
          <w:rFonts w:ascii="Arial" w:hAnsi="Arial" w:cs="Arial"/>
          <w:vertAlign w:val="subscript"/>
        </w:rPr>
        <w:t>1c</w:t>
      </w:r>
      <w:r w:rsidR="001C794E" w:rsidRPr="008A2489">
        <w:rPr>
          <w:rFonts w:ascii="Arial" w:hAnsi="Arial" w:cs="Arial"/>
          <w:vertAlign w:val="subscript"/>
        </w:rPr>
        <w:t xml:space="preserve"> </w:t>
      </w:r>
      <w:r w:rsidR="00140E29">
        <w:rPr>
          <w:rFonts w:ascii="Arial" w:hAnsi="Arial" w:cs="Arial"/>
        </w:rPr>
        <w:t xml:space="preserve">(MD: </w:t>
      </w:r>
      <w:r w:rsidR="00140E29">
        <w:rPr>
          <w:rFonts w:ascii="Arial" w:hAnsi="Arial" w:cs="Arial"/>
        </w:rPr>
        <w:noBreakHyphen/>
        <w:t xml:space="preserve">1.11; CI: </w:t>
      </w:r>
      <w:r w:rsidR="00140E29">
        <w:rPr>
          <w:rFonts w:ascii="Arial" w:hAnsi="Arial" w:cs="Arial"/>
        </w:rPr>
        <w:noBreakHyphen/>
        <w:t xml:space="preserve">2.2, </w:t>
      </w:r>
      <w:r w:rsidR="00140E29">
        <w:rPr>
          <w:rFonts w:ascii="Arial" w:hAnsi="Arial" w:cs="Arial"/>
        </w:rPr>
        <w:noBreakHyphen/>
      </w:r>
      <w:r w:rsidR="001C794E" w:rsidRPr="008A2489">
        <w:rPr>
          <w:rFonts w:ascii="Arial" w:hAnsi="Arial" w:cs="Arial"/>
        </w:rPr>
        <w:t>0.02)</w:t>
      </w:r>
      <w:r w:rsidR="00CB35AD" w:rsidRPr="008A2489">
        <w:rPr>
          <w:rFonts w:ascii="Arial" w:hAnsi="Arial" w:cs="Arial"/>
        </w:rPr>
        <w:t xml:space="preserve">, although </w:t>
      </w:r>
      <w:r w:rsidR="00C64406">
        <w:rPr>
          <w:rFonts w:ascii="Arial" w:hAnsi="Arial" w:cs="Arial"/>
        </w:rPr>
        <w:t xml:space="preserve">this difference </w:t>
      </w:r>
      <w:r w:rsidR="00B53B45" w:rsidRPr="008A2489">
        <w:rPr>
          <w:rFonts w:ascii="Arial" w:hAnsi="Arial" w:cs="Arial"/>
        </w:rPr>
        <w:t xml:space="preserve">was </w:t>
      </w:r>
      <w:r w:rsidR="00CB35AD" w:rsidRPr="008A2489">
        <w:rPr>
          <w:rFonts w:ascii="Arial" w:hAnsi="Arial" w:cs="Arial"/>
        </w:rPr>
        <w:t>not significantly different.</w:t>
      </w:r>
    </w:p>
    <w:p w14:paraId="6A527490" w14:textId="77777777" w:rsidR="008A2489" w:rsidRPr="008A2489" w:rsidRDefault="008A2489" w:rsidP="008A2489">
      <w:pPr>
        <w:pStyle w:val="ListParagraph"/>
        <w:ind w:left="567" w:hanging="567"/>
        <w:rPr>
          <w:rFonts w:ascii="Arial" w:hAnsi="Arial" w:cs="Arial"/>
        </w:rPr>
      </w:pPr>
    </w:p>
    <w:p w14:paraId="6E9C8D33" w14:textId="73E9C5B4" w:rsidR="00B53B45" w:rsidRPr="008A2489" w:rsidRDefault="00CB35AD" w:rsidP="008A2489">
      <w:pPr>
        <w:pStyle w:val="ListParagraph"/>
        <w:numPr>
          <w:ilvl w:val="1"/>
          <w:numId w:val="37"/>
        </w:numPr>
        <w:spacing w:after="0"/>
        <w:ind w:left="567" w:hanging="567"/>
        <w:rPr>
          <w:rFonts w:ascii="Arial" w:hAnsi="Arial" w:cs="Arial"/>
        </w:rPr>
      </w:pPr>
      <w:r w:rsidRPr="008A2489">
        <w:rPr>
          <w:rFonts w:ascii="Arial" w:hAnsi="Arial" w:cs="Arial"/>
        </w:rPr>
        <w:t>With regard to body weight</w:t>
      </w:r>
      <w:r w:rsidR="00B53B45" w:rsidRPr="008A2489">
        <w:rPr>
          <w:rFonts w:ascii="Arial" w:hAnsi="Arial" w:cs="Arial"/>
        </w:rPr>
        <w:t xml:space="preserve"> change</w:t>
      </w:r>
      <w:r w:rsidRPr="008A2489">
        <w:rPr>
          <w:rFonts w:ascii="Arial" w:hAnsi="Arial" w:cs="Arial"/>
        </w:rPr>
        <w:t>, the PBAC noted that</w:t>
      </w:r>
      <w:r w:rsidR="00B53B45" w:rsidRPr="008A2489">
        <w:rPr>
          <w:rFonts w:ascii="Arial" w:hAnsi="Arial" w:cs="Arial"/>
        </w:rPr>
        <w:t xml:space="preserve"> there were three broad groups in terms of triple therapy in combination with metformin + sulfonylurea:</w:t>
      </w:r>
    </w:p>
    <w:p w14:paraId="0A1723BA" w14:textId="152E5355" w:rsidR="00B53B45" w:rsidRDefault="00B53B45" w:rsidP="008A2489">
      <w:pPr>
        <w:pStyle w:val="ListParagraph"/>
        <w:numPr>
          <w:ilvl w:val="0"/>
          <w:numId w:val="35"/>
        </w:numPr>
        <w:spacing w:after="0"/>
        <w:ind w:left="851" w:hanging="284"/>
        <w:rPr>
          <w:rFonts w:ascii="Arial" w:hAnsi="Arial" w:cs="Arial"/>
        </w:rPr>
      </w:pPr>
      <w:r>
        <w:rPr>
          <w:rFonts w:ascii="Arial" w:hAnsi="Arial" w:cs="Arial"/>
        </w:rPr>
        <w:t>SGLT2 i</w:t>
      </w:r>
      <w:bookmarkStart w:id="1" w:name="_GoBack"/>
      <w:bookmarkEnd w:id="1"/>
      <w:r>
        <w:rPr>
          <w:rFonts w:ascii="Arial" w:hAnsi="Arial" w:cs="Arial"/>
        </w:rPr>
        <w:t>nhibitors and GLP-1 recep</w:t>
      </w:r>
      <w:r w:rsidR="00140E29">
        <w:rPr>
          <w:rFonts w:ascii="Arial" w:hAnsi="Arial" w:cs="Arial"/>
        </w:rPr>
        <w:t>tor a</w:t>
      </w:r>
      <w:r w:rsidR="009F4F39">
        <w:rPr>
          <w:rFonts w:ascii="Arial" w:hAnsi="Arial" w:cs="Arial"/>
        </w:rPr>
        <w:t>gonists caused weight loss</w:t>
      </w:r>
      <w:r w:rsidR="00140E29">
        <w:rPr>
          <w:rFonts w:ascii="Arial" w:hAnsi="Arial" w:cs="Arial"/>
        </w:rPr>
        <w:t>.</w:t>
      </w:r>
    </w:p>
    <w:p w14:paraId="4CD61F96" w14:textId="52476E1D" w:rsidR="00B53B45" w:rsidRDefault="00B53B45" w:rsidP="008A2489">
      <w:pPr>
        <w:pStyle w:val="ListParagraph"/>
        <w:numPr>
          <w:ilvl w:val="0"/>
          <w:numId w:val="35"/>
        </w:numPr>
        <w:spacing w:after="0"/>
        <w:ind w:left="851" w:hanging="284"/>
        <w:rPr>
          <w:rFonts w:ascii="Arial" w:hAnsi="Arial" w:cs="Arial"/>
        </w:rPr>
      </w:pPr>
      <w:r>
        <w:rPr>
          <w:rFonts w:ascii="Arial" w:hAnsi="Arial" w:cs="Arial"/>
        </w:rPr>
        <w:t>DPP-4 inhibitors were relatively weight neutral or caused a small amount of weight gain.</w:t>
      </w:r>
    </w:p>
    <w:p w14:paraId="66B202CE" w14:textId="77777777" w:rsidR="008A2489" w:rsidRDefault="00B53B45" w:rsidP="008A2489">
      <w:pPr>
        <w:pStyle w:val="ListParagraph"/>
        <w:numPr>
          <w:ilvl w:val="0"/>
          <w:numId w:val="35"/>
        </w:numPr>
        <w:spacing w:after="0"/>
        <w:ind w:left="851" w:hanging="284"/>
        <w:rPr>
          <w:rFonts w:ascii="Arial" w:hAnsi="Arial" w:cs="Arial"/>
        </w:rPr>
      </w:pPr>
      <w:r>
        <w:rPr>
          <w:rFonts w:ascii="Arial" w:hAnsi="Arial" w:cs="Arial"/>
        </w:rPr>
        <w:t>Insulin and TZDs resulted in weight gain.</w:t>
      </w:r>
    </w:p>
    <w:p w14:paraId="1E9EC585" w14:textId="77777777" w:rsidR="008A2489" w:rsidRPr="008A2489" w:rsidRDefault="008A2489" w:rsidP="008A2489">
      <w:pPr>
        <w:spacing w:after="0"/>
        <w:ind w:left="360"/>
        <w:rPr>
          <w:rFonts w:ascii="Arial" w:hAnsi="Arial" w:cs="Arial"/>
        </w:rPr>
      </w:pPr>
    </w:p>
    <w:p w14:paraId="230C1186" w14:textId="4013B20E" w:rsidR="008A2489" w:rsidRDefault="00E95E64" w:rsidP="008A2489">
      <w:pPr>
        <w:pStyle w:val="ListParagraph"/>
        <w:numPr>
          <w:ilvl w:val="1"/>
          <w:numId w:val="37"/>
        </w:numPr>
        <w:spacing w:after="0"/>
        <w:ind w:left="567" w:hanging="567"/>
        <w:rPr>
          <w:rFonts w:ascii="Arial" w:hAnsi="Arial" w:cs="Arial"/>
        </w:rPr>
      </w:pPr>
      <w:r w:rsidRPr="008A2489">
        <w:rPr>
          <w:rFonts w:ascii="Arial" w:hAnsi="Arial" w:cs="Arial"/>
        </w:rPr>
        <w:t>In terms of hypoglycaemia,</w:t>
      </w:r>
      <w:r w:rsidR="000649BB" w:rsidRPr="008A2489">
        <w:rPr>
          <w:rFonts w:ascii="Arial" w:hAnsi="Arial" w:cs="Arial"/>
        </w:rPr>
        <w:t xml:space="preserve"> </w:t>
      </w:r>
      <w:r w:rsidR="00E856E5" w:rsidRPr="008A2489">
        <w:rPr>
          <w:rFonts w:ascii="Arial" w:hAnsi="Arial" w:cs="Arial"/>
        </w:rPr>
        <w:t xml:space="preserve">there were no </w:t>
      </w:r>
      <w:r w:rsidR="0087776B" w:rsidRPr="008A2489">
        <w:rPr>
          <w:rFonts w:ascii="Arial" w:hAnsi="Arial" w:cs="Arial"/>
        </w:rPr>
        <w:t xml:space="preserve">significant </w:t>
      </w:r>
      <w:r w:rsidR="00E856E5" w:rsidRPr="008A2489">
        <w:rPr>
          <w:rFonts w:ascii="Arial" w:hAnsi="Arial" w:cs="Arial"/>
        </w:rPr>
        <w:t>differences</w:t>
      </w:r>
      <w:r w:rsidR="0087776B" w:rsidRPr="008A2489">
        <w:rPr>
          <w:rFonts w:ascii="Arial" w:hAnsi="Arial" w:cs="Arial"/>
        </w:rPr>
        <w:t xml:space="preserve"> between the triple </w:t>
      </w:r>
      <w:proofErr w:type="gramStart"/>
      <w:r w:rsidR="0087776B" w:rsidRPr="008A2489">
        <w:rPr>
          <w:rFonts w:ascii="Arial" w:hAnsi="Arial" w:cs="Arial"/>
        </w:rPr>
        <w:t>therapy</w:t>
      </w:r>
      <w:proofErr w:type="gramEnd"/>
      <w:r w:rsidR="0087776B" w:rsidRPr="008A2489">
        <w:rPr>
          <w:rFonts w:ascii="Arial" w:hAnsi="Arial" w:cs="Arial"/>
        </w:rPr>
        <w:t xml:space="preserve"> combinations included in the network meta-analysis, with the exception of </w:t>
      </w:r>
      <w:r w:rsidR="000649BB" w:rsidRPr="008A2489">
        <w:rPr>
          <w:rFonts w:ascii="Arial" w:hAnsi="Arial" w:cs="Arial"/>
        </w:rPr>
        <w:t>the combination of metformin + sulfonylurea + GLP-1 receptor agonist</w:t>
      </w:r>
      <w:r w:rsidR="00140E29">
        <w:rPr>
          <w:rFonts w:ascii="Arial" w:hAnsi="Arial" w:cs="Arial"/>
        </w:rPr>
        <w:t>. This combination resulted in a statistically s</w:t>
      </w:r>
      <w:r w:rsidR="000649BB" w:rsidRPr="008A2489">
        <w:rPr>
          <w:rFonts w:ascii="Arial" w:hAnsi="Arial" w:cs="Arial"/>
        </w:rPr>
        <w:t xml:space="preserve">ignificantly </w:t>
      </w:r>
      <w:r w:rsidR="00140E29">
        <w:rPr>
          <w:rFonts w:ascii="Arial" w:hAnsi="Arial" w:cs="Arial"/>
        </w:rPr>
        <w:t xml:space="preserve">lower rate of any hypoglycaemia </w:t>
      </w:r>
      <w:r w:rsidR="000649BB" w:rsidRPr="008A2489">
        <w:rPr>
          <w:rFonts w:ascii="Arial" w:hAnsi="Arial" w:cs="Arial"/>
        </w:rPr>
        <w:t>than met</w:t>
      </w:r>
      <w:r w:rsidR="00E856E5" w:rsidRPr="008A2489">
        <w:rPr>
          <w:rFonts w:ascii="Arial" w:hAnsi="Arial" w:cs="Arial"/>
        </w:rPr>
        <w:t>formin + sulfonylurea + insulin</w:t>
      </w:r>
      <w:r w:rsidR="000649BB" w:rsidRPr="008A2489">
        <w:rPr>
          <w:rFonts w:ascii="Arial" w:hAnsi="Arial" w:cs="Arial"/>
        </w:rPr>
        <w:t>. There were no statistically significant differences in severe hypoglycaemia between triple therapies in trials that reported these outcomes.</w:t>
      </w:r>
    </w:p>
    <w:p w14:paraId="14559479" w14:textId="77777777" w:rsidR="008A2489" w:rsidRDefault="008A2489" w:rsidP="008A2489">
      <w:pPr>
        <w:pStyle w:val="ListParagraph"/>
        <w:spacing w:after="0"/>
        <w:ind w:left="567" w:hanging="567"/>
        <w:rPr>
          <w:rFonts w:ascii="Arial" w:hAnsi="Arial" w:cs="Arial"/>
        </w:rPr>
      </w:pPr>
    </w:p>
    <w:p w14:paraId="20ECBE15" w14:textId="70D92ABE" w:rsidR="008A2489" w:rsidRDefault="00884BA6" w:rsidP="004D30B9">
      <w:pPr>
        <w:pStyle w:val="ListParagraph"/>
        <w:numPr>
          <w:ilvl w:val="1"/>
          <w:numId w:val="37"/>
        </w:numPr>
        <w:spacing w:after="0"/>
        <w:ind w:left="567" w:hanging="567"/>
        <w:rPr>
          <w:rFonts w:ascii="Arial" w:hAnsi="Arial" w:cs="Arial"/>
        </w:rPr>
      </w:pPr>
      <w:r w:rsidRPr="008A2489">
        <w:rPr>
          <w:rFonts w:ascii="Arial" w:hAnsi="Arial" w:cs="Arial"/>
        </w:rPr>
        <w:t xml:space="preserve">Overall, the PBAC considered that </w:t>
      </w:r>
      <w:r w:rsidR="00063760" w:rsidRPr="008A2489">
        <w:rPr>
          <w:rFonts w:ascii="Arial" w:hAnsi="Arial" w:cs="Arial"/>
        </w:rPr>
        <w:t>the report provided useful data for the comparison of triple therapy combinations. T</w:t>
      </w:r>
      <w:r w:rsidRPr="008A2489">
        <w:rPr>
          <w:rFonts w:ascii="Arial" w:hAnsi="Arial" w:cs="Arial"/>
        </w:rPr>
        <w:t xml:space="preserve">he </w:t>
      </w:r>
      <w:r w:rsidR="00063760" w:rsidRPr="008A2489">
        <w:rPr>
          <w:rFonts w:ascii="Arial" w:hAnsi="Arial" w:cs="Arial"/>
        </w:rPr>
        <w:t xml:space="preserve">review indicates that of the triple oral therapy options, </w:t>
      </w:r>
      <w:r w:rsidRPr="008A2489">
        <w:rPr>
          <w:rFonts w:ascii="Arial" w:hAnsi="Arial" w:cs="Arial"/>
        </w:rPr>
        <w:t xml:space="preserve">metformin + sulfonylurea + SGLT2 inhibitor </w:t>
      </w:r>
      <w:r w:rsidR="00063760" w:rsidRPr="008A2489">
        <w:rPr>
          <w:rFonts w:ascii="Arial" w:hAnsi="Arial" w:cs="Arial"/>
        </w:rPr>
        <w:t xml:space="preserve">provided the </w:t>
      </w:r>
      <w:r w:rsidR="006D5EF1">
        <w:rPr>
          <w:rFonts w:ascii="Arial" w:hAnsi="Arial" w:cs="Arial"/>
        </w:rPr>
        <w:t>large</w:t>
      </w:r>
      <w:r w:rsidR="00063760" w:rsidRPr="008A2489">
        <w:rPr>
          <w:rFonts w:ascii="Arial" w:hAnsi="Arial" w:cs="Arial"/>
        </w:rPr>
        <w:t xml:space="preserve">st reductions </w:t>
      </w:r>
      <w:r w:rsidRPr="008A2489">
        <w:rPr>
          <w:rFonts w:ascii="Arial" w:hAnsi="Arial" w:cs="Arial"/>
        </w:rPr>
        <w:t>in HbA</w:t>
      </w:r>
      <w:r w:rsidRPr="008A2489">
        <w:rPr>
          <w:rFonts w:ascii="Arial" w:hAnsi="Arial" w:cs="Arial"/>
          <w:vertAlign w:val="subscript"/>
        </w:rPr>
        <w:t>1c</w:t>
      </w:r>
      <w:r w:rsidRPr="008A2489">
        <w:rPr>
          <w:rFonts w:ascii="Arial" w:hAnsi="Arial" w:cs="Arial"/>
        </w:rPr>
        <w:t xml:space="preserve"> and</w:t>
      </w:r>
      <w:r w:rsidR="006D5EF1">
        <w:rPr>
          <w:rFonts w:ascii="Arial" w:hAnsi="Arial" w:cs="Arial"/>
        </w:rPr>
        <w:t xml:space="preserve"> </w:t>
      </w:r>
      <w:r w:rsidR="009F4F39">
        <w:rPr>
          <w:rFonts w:ascii="Arial" w:hAnsi="Arial" w:cs="Arial"/>
        </w:rPr>
        <w:t xml:space="preserve">likely </w:t>
      </w:r>
      <w:r w:rsidR="006D5EF1">
        <w:rPr>
          <w:rFonts w:ascii="Arial" w:hAnsi="Arial" w:cs="Arial"/>
        </w:rPr>
        <w:t>important</w:t>
      </w:r>
      <w:r w:rsidRPr="008A2489">
        <w:rPr>
          <w:rFonts w:ascii="Arial" w:hAnsi="Arial" w:cs="Arial"/>
        </w:rPr>
        <w:t xml:space="preserve"> weight</w:t>
      </w:r>
      <w:r w:rsidR="006D5EF1">
        <w:rPr>
          <w:rFonts w:ascii="Arial" w:hAnsi="Arial" w:cs="Arial"/>
        </w:rPr>
        <w:t xml:space="preserve"> loss</w:t>
      </w:r>
      <w:r w:rsidRPr="008A2489">
        <w:rPr>
          <w:rFonts w:ascii="Arial" w:hAnsi="Arial" w:cs="Arial"/>
        </w:rPr>
        <w:t xml:space="preserve">. The Committee also noted small reductions in </w:t>
      </w:r>
      <w:r w:rsidRPr="008A2489">
        <w:rPr>
          <w:rFonts w:ascii="Arial" w:hAnsi="Arial" w:cs="Arial"/>
        </w:rPr>
        <w:lastRenderedPageBreak/>
        <w:t xml:space="preserve">systolic and diastolic blood pressure </w:t>
      </w:r>
      <w:r w:rsidR="00063760" w:rsidRPr="008A2489">
        <w:rPr>
          <w:rFonts w:ascii="Arial" w:hAnsi="Arial" w:cs="Arial"/>
        </w:rPr>
        <w:t xml:space="preserve">associated </w:t>
      </w:r>
      <w:r w:rsidRPr="008A2489">
        <w:rPr>
          <w:rFonts w:ascii="Arial" w:hAnsi="Arial" w:cs="Arial"/>
        </w:rPr>
        <w:t xml:space="preserve">with the use of SGLT2 inhibitors. </w:t>
      </w:r>
      <w:r w:rsidR="000E1C3A" w:rsidRPr="008A2489">
        <w:rPr>
          <w:rFonts w:ascii="Arial" w:hAnsi="Arial" w:cs="Arial"/>
        </w:rPr>
        <w:t>The PBAC noted that to</w:t>
      </w:r>
      <w:r w:rsidR="00521506" w:rsidRPr="008A2489">
        <w:rPr>
          <w:rFonts w:ascii="Arial" w:hAnsi="Arial" w:cs="Arial"/>
        </w:rPr>
        <w:t xml:space="preserve"> date it had not received any submissions for PBS subsidy for this combination. </w:t>
      </w:r>
      <w:r w:rsidR="008C36CA" w:rsidRPr="008A2489">
        <w:rPr>
          <w:rFonts w:ascii="Arial" w:hAnsi="Arial" w:cs="Arial"/>
        </w:rPr>
        <w:t xml:space="preserve">The PBAC </w:t>
      </w:r>
      <w:r w:rsidR="006D5EF1">
        <w:rPr>
          <w:rFonts w:ascii="Arial" w:hAnsi="Arial" w:cs="Arial"/>
        </w:rPr>
        <w:t xml:space="preserve">would welcome </w:t>
      </w:r>
      <w:r w:rsidR="00521506" w:rsidRPr="008A2489">
        <w:rPr>
          <w:rFonts w:ascii="Arial" w:hAnsi="Arial" w:cs="Arial"/>
        </w:rPr>
        <w:t>submissions for PBS listing of the triple oral therapy combination of metformin + sulfonylurea + SGLT2 inhibitor. The process and evaluation of any submissions would follow the standard PBAC processes.</w:t>
      </w:r>
    </w:p>
    <w:p w14:paraId="5C80B717" w14:textId="77777777" w:rsidR="004D30B9" w:rsidRPr="004D30B9" w:rsidRDefault="004D30B9" w:rsidP="004D30B9">
      <w:pPr>
        <w:spacing w:after="0"/>
        <w:rPr>
          <w:rFonts w:ascii="Arial" w:hAnsi="Arial" w:cs="Arial"/>
        </w:rPr>
      </w:pPr>
    </w:p>
    <w:p w14:paraId="236F2A9D" w14:textId="5D29AFD4" w:rsidR="00B11CF9" w:rsidRPr="008A2489" w:rsidRDefault="00D93351" w:rsidP="008A2489">
      <w:pPr>
        <w:pStyle w:val="ListParagraph"/>
        <w:numPr>
          <w:ilvl w:val="1"/>
          <w:numId w:val="37"/>
        </w:numPr>
        <w:spacing w:after="0"/>
        <w:ind w:left="567" w:hanging="567"/>
        <w:rPr>
          <w:rFonts w:ascii="Arial" w:hAnsi="Arial" w:cs="Arial"/>
        </w:rPr>
      </w:pPr>
      <w:r w:rsidRPr="008A2489">
        <w:rPr>
          <w:rFonts w:ascii="Arial" w:hAnsi="Arial" w:cs="Arial"/>
        </w:rPr>
        <w:t xml:space="preserve">The PBAC recommended that the </w:t>
      </w:r>
      <w:r w:rsidR="006D5EF1">
        <w:rPr>
          <w:rFonts w:ascii="Arial" w:hAnsi="Arial" w:cs="Arial"/>
        </w:rPr>
        <w:t xml:space="preserve">evidence presented in the Review did not support subsidy of the </w:t>
      </w:r>
      <w:r w:rsidRPr="008A2489">
        <w:rPr>
          <w:rFonts w:ascii="Arial" w:hAnsi="Arial" w:cs="Arial"/>
        </w:rPr>
        <w:t>combination of me</w:t>
      </w:r>
      <w:r w:rsidR="006D5EF1">
        <w:rPr>
          <w:rFonts w:ascii="Arial" w:hAnsi="Arial" w:cs="Arial"/>
        </w:rPr>
        <w:t xml:space="preserve">tformin + TZD + DPP-4 inhibitor. This combination </w:t>
      </w:r>
      <w:r w:rsidRPr="008A2489">
        <w:rPr>
          <w:rFonts w:ascii="Arial" w:hAnsi="Arial" w:cs="Arial"/>
        </w:rPr>
        <w:t>was not significantly better than metformin + sulfonylurea dual therapy in lowering HbA</w:t>
      </w:r>
      <w:r w:rsidRPr="008A2489">
        <w:rPr>
          <w:rFonts w:ascii="Arial" w:hAnsi="Arial" w:cs="Arial"/>
          <w:vertAlign w:val="subscript"/>
        </w:rPr>
        <w:t>1c</w:t>
      </w:r>
      <w:r w:rsidRPr="008A2489">
        <w:rPr>
          <w:rFonts w:ascii="Arial" w:hAnsi="Arial" w:cs="Arial"/>
        </w:rPr>
        <w:t>.</w:t>
      </w:r>
      <w:r w:rsidR="00B22439" w:rsidRPr="008A2489">
        <w:rPr>
          <w:rFonts w:ascii="Arial" w:hAnsi="Arial" w:cs="Arial"/>
        </w:rPr>
        <w:t xml:space="preserve"> </w:t>
      </w:r>
      <w:r w:rsidR="00B11CF9" w:rsidRPr="008A2489">
        <w:rPr>
          <w:rFonts w:ascii="Arial" w:hAnsi="Arial" w:cs="Arial"/>
        </w:rPr>
        <w:t xml:space="preserve">The PBAC </w:t>
      </w:r>
      <w:r w:rsidR="00B22439" w:rsidRPr="008A2489">
        <w:rPr>
          <w:rFonts w:ascii="Arial" w:hAnsi="Arial" w:cs="Arial"/>
        </w:rPr>
        <w:t xml:space="preserve">also </w:t>
      </w:r>
      <w:r w:rsidR="00B11CF9" w:rsidRPr="008A2489">
        <w:rPr>
          <w:rFonts w:ascii="Arial" w:hAnsi="Arial" w:cs="Arial"/>
        </w:rPr>
        <w:t xml:space="preserve">recommended that </w:t>
      </w:r>
      <w:r w:rsidR="002A5038" w:rsidRPr="008A2489">
        <w:rPr>
          <w:rFonts w:ascii="Arial" w:hAnsi="Arial" w:cs="Arial"/>
        </w:rPr>
        <w:t>the following</w:t>
      </w:r>
      <w:r w:rsidR="004A1E93" w:rsidRPr="008A2489">
        <w:rPr>
          <w:rFonts w:ascii="Arial" w:hAnsi="Arial" w:cs="Arial"/>
        </w:rPr>
        <w:t xml:space="preserve"> combinations should not be PBS-</w:t>
      </w:r>
      <w:r w:rsidR="00B11CF9" w:rsidRPr="008A2489">
        <w:rPr>
          <w:rFonts w:ascii="Arial" w:hAnsi="Arial" w:cs="Arial"/>
        </w:rPr>
        <w:t>subsidised</w:t>
      </w:r>
      <w:r w:rsidRPr="008A2489">
        <w:rPr>
          <w:rFonts w:ascii="Arial" w:hAnsi="Arial" w:cs="Arial"/>
        </w:rPr>
        <w:t xml:space="preserve"> on the basis that no trial data </w:t>
      </w:r>
      <w:r w:rsidR="0024475F" w:rsidRPr="008A2489">
        <w:rPr>
          <w:rFonts w:ascii="Arial" w:hAnsi="Arial" w:cs="Arial"/>
        </w:rPr>
        <w:t xml:space="preserve">demonstrating efficacy </w:t>
      </w:r>
      <w:r w:rsidRPr="008A2489">
        <w:rPr>
          <w:rFonts w:ascii="Arial" w:hAnsi="Arial" w:cs="Arial"/>
        </w:rPr>
        <w:t>was available</w:t>
      </w:r>
      <w:r w:rsidR="006D5EF1">
        <w:rPr>
          <w:rFonts w:ascii="Arial" w:hAnsi="Arial" w:cs="Arial"/>
        </w:rPr>
        <w:t xml:space="preserve"> at this time</w:t>
      </w:r>
      <w:r w:rsidR="00B11CF9" w:rsidRPr="008A2489">
        <w:rPr>
          <w:rFonts w:ascii="Arial" w:hAnsi="Arial" w:cs="Arial"/>
        </w:rPr>
        <w:t>:</w:t>
      </w:r>
    </w:p>
    <w:p w14:paraId="281C3362" w14:textId="77777777" w:rsidR="006D5EF1" w:rsidRDefault="00D93351" w:rsidP="008A2489">
      <w:pPr>
        <w:pStyle w:val="ListParagraph"/>
        <w:numPr>
          <w:ilvl w:val="0"/>
          <w:numId w:val="34"/>
        </w:numPr>
        <w:spacing w:after="0"/>
        <w:ind w:left="851" w:hanging="284"/>
        <w:rPr>
          <w:rFonts w:ascii="Arial" w:hAnsi="Arial" w:cs="Arial"/>
        </w:rPr>
      </w:pPr>
      <w:r>
        <w:rPr>
          <w:rFonts w:ascii="Arial" w:hAnsi="Arial" w:cs="Arial"/>
        </w:rPr>
        <w:t>Metformin + DP</w:t>
      </w:r>
      <w:r w:rsidR="006D5EF1">
        <w:rPr>
          <w:rFonts w:ascii="Arial" w:hAnsi="Arial" w:cs="Arial"/>
        </w:rPr>
        <w:t>P-4 inhibitor + SGLT2 inhibitor.</w:t>
      </w:r>
    </w:p>
    <w:p w14:paraId="039A2FF1" w14:textId="77777777" w:rsidR="006D5EF1" w:rsidRDefault="006D5EF1" w:rsidP="008A2489">
      <w:pPr>
        <w:pStyle w:val="ListParagraph"/>
        <w:numPr>
          <w:ilvl w:val="0"/>
          <w:numId w:val="34"/>
        </w:numPr>
        <w:spacing w:after="0"/>
        <w:ind w:left="851" w:hanging="284"/>
        <w:rPr>
          <w:rFonts w:ascii="Arial" w:hAnsi="Arial" w:cs="Arial"/>
        </w:rPr>
      </w:pPr>
      <w:r>
        <w:rPr>
          <w:rFonts w:ascii="Arial" w:hAnsi="Arial" w:cs="Arial"/>
        </w:rPr>
        <w:t>Metformin + DPP-4 inhibitor + GLP-1 receptor agonist</w:t>
      </w:r>
    </w:p>
    <w:p w14:paraId="71F8BE6F" w14:textId="747213A2" w:rsidR="00884BA6" w:rsidRDefault="006D5EF1" w:rsidP="008A2489">
      <w:pPr>
        <w:pStyle w:val="ListParagraph"/>
        <w:numPr>
          <w:ilvl w:val="0"/>
          <w:numId w:val="34"/>
        </w:numPr>
        <w:spacing w:after="0"/>
        <w:ind w:left="851" w:hanging="284"/>
        <w:rPr>
          <w:rFonts w:ascii="Arial" w:hAnsi="Arial" w:cs="Arial"/>
        </w:rPr>
      </w:pPr>
      <w:r>
        <w:rPr>
          <w:rFonts w:ascii="Arial" w:hAnsi="Arial" w:cs="Arial"/>
        </w:rPr>
        <w:t xml:space="preserve">Metformin + DPP-4 inhibitor + </w:t>
      </w:r>
      <w:r w:rsidR="00D93351">
        <w:rPr>
          <w:rFonts w:ascii="Arial" w:hAnsi="Arial" w:cs="Arial"/>
        </w:rPr>
        <w:t>insulin.</w:t>
      </w:r>
    </w:p>
    <w:p w14:paraId="011410B1" w14:textId="77777777" w:rsidR="006D5EF1" w:rsidRDefault="00D93351" w:rsidP="008A2489">
      <w:pPr>
        <w:pStyle w:val="ListParagraph"/>
        <w:numPr>
          <w:ilvl w:val="0"/>
          <w:numId w:val="34"/>
        </w:numPr>
        <w:spacing w:after="0"/>
        <w:ind w:left="851" w:hanging="284"/>
        <w:rPr>
          <w:rFonts w:ascii="Arial" w:hAnsi="Arial" w:cs="Arial"/>
        </w:rPr>
      </w:pPr>
      <w:r>
        <w:rPr>
          <w:rFonts w:ascii="Arial" w:hAnsi="Arial" w:cs="Arial"/>
        </w:rPr>
        <w:t>Sulfonylurea + DPP-4 inhibitor + SGLT2 inhib</w:t>
      </w:r>
      <w:r w:rsidR="006D5EF1">
        <w:rPr>
          <w:rFonts w:ascii="Arial" w:hAnsi="Arial" w:cs="Arial"/>
        </w:rPr>
        <w:t>itor</w:t>
      </w:r>
    </w:p>
    <w:p w14:paraId="54E4BBEE" w14:textId="77777777" w:rsidR="006D5EF1" w:rsidRDefault="006D5EF1" w:rsidP="008A2489">
      <w:pPr>
        <w:pStyle w:val="ListParagraph"/>
        <w:numPr>
          <w:ilvl w:val="0"/>
          <w:numId w:val="34"/>
        </w:numPr>
        <w:spacing w:after="0"/>
        <w:ind w:left="851" w:hanging="284"/>
        <w:rPr>
          <w:rFonts w:ascii="Arial" w:hAnsi="Arial" w:cs="Arial"/>
        </w:rPr>
      </w:pPr>
      <w:r>
        <w:rPr>
          <w:rFonts w:ascii="Arial" w:hAnsi="Arial" w:cs="Arial"/>
        </w:rPr>
        <w:t xml:space="preserve">Sulfonylurea + DPP-4 inhibitor + </w:t>
      </w:r>
      <w:r w:rsidR="00D93351">
        <w:rPr>
          <w:rFonts w:ascii="Arial" w:hAnsi="Arial" w:cs="Arial"/>
        </w:rPr>
        <w:t>GLP-1 receptor agonist</w:t>
      </w:r>
    </w:p>
    <w:p w14:paraId="3B534F84" w14:textId="635F55FF" w:rsidR="00D93351" w:rsidRDefault="006D5EF1" w:rsidP="008A2489">
      <w:pPr>
        <w:pStyle w:val="ListParagraph"/>
        <w:numPr>
          <w:ilvl w:val="0"/>
          <w:numId w:val="34"/>
        </w:numPr>
        <w:spacing w:after="0"/>
        <w:ind w:left="851" w:hanging="284"/>
        <w:rPr>
          <w:rFonts w:ascii="Arial" w:hAnsi="Arial" w:cs="Arial"/>
        </w:rPr>
      </w:pPr>
      <w:r>
        <w:rPr>
          <w:rFonts w:ascii="Arial" w:hAnsi="Arial" w:cs="Arial"/>
        </w:rPr>
        <w:t xml:space="preserve">Sulfonylurea + DPP-4 inhibitor + </w:t>
      </w:r>
      <w:r w:rsidR="00D93351">
        <w:rPr>
          <w:rFonts w:ascii="Arial" w:hAnsi="Arial" w:cs="Arial"/>
        </w:rPr>
        <w:t>insulin.</w:t>
      </w:r>
    </w:p>
    <w:p w14:paraId="57683492" w14:textId="76525B10" w:rsidR="006D5EF1" w:rsidRDefault="006D5EF1" w:rsidP="008A2489">
      <w:pPr>
        <w:pStyle w:val="ListParagraph"/>
        <w:numPr>
          <w:ilvl w:val="0"/>
          <w:numId w:val="34"/>
        </w:numPr>
        <w:spacing w:after="0"/>
        <w:ind w:left="851" w:hanging="284"/>
        <w:rPr>
          <w:rFonts w:ascii="Arial" w:hAnsi="Arial" w:cs="Arial"/>
        </w:rPr>
      </w:pPr>
      <w:r>
        <w:rPr>
          <w:rFonts w:ascii="Arial" w:hAnsi="Arial" w:cs="Arial"/>
        </w:rPr>
        <w:t>Metformin + SGLT2 inhibitor + GLP-1 receptor agonist</w:t>
      </w:r>
    </w:p>
    <w:p w14:paraId="6ACC512E" w14:textId="5287E1DA" w:rsidR="00D93351" w:rsidRDefault="006D5EF1" w:rsidP="008A2489">
      <w:pPr>
        <w:pStyle w:val="ListParagraph"/>
        <w:numPr>
          <w:ilvl w:val="0"/>
          <w:numId w:val="34"/>
        </w:numPr>
        <w:spacing w:after="0"/>
        <w:ind w:left="851" w:hanging="284"/>
        <w:rPr>
          <w:rFonts w:ascii="Arial" w:hAnsi="Arial" w:cs="Arial"/>
        </w:rPr>
      </w:pPr>
      <w:r>
        <w:rPr>
          <w:rFonts w:ascii="Arial" w:hAnsi="Arial" w:cs="Arial"/>
        </w:rPr>
        <w:t>S</w:t>
      </w:r>
      <w:r w:rsidR="00B22439">
        <w:rPr>
          <w:rFonts w:ascii="Arial" w:hAnsi="Arial" w:cs="Arial"/>
        </w:rPr>
        <w:t>ulfonylurea + SGLT2 inhibitor + GLP-1 receptor agonist.</w:t>
      </w:r>
    </w:p>
    <w:p w14:paraId="18918A27" w14:textId="1809FD15" w:rsidR="00B22439" w:rsidRDefault="00B22439" w:rsidP="008A2489">
      <w:pPr>
        <w:pStyle w:val="ListParagraph"/>
        <w:numPr>
          <w:ilvl w:val="0"/>
          <w:numId w:val="34"/>
        </w:numPr>
        <w:spacing w:after="0"/>
        <w:ind w:left="851" w:hanging="284"/>
        <w:rPr>
          <w:rFonts w:ascii="Arial" w:hAnsi="Arial" w:cs="Arial"/>
        </w:rPr>
      </w:pPr>
      <w:r>
        <w:rPr>
          <w:rFonts w:ascii="Arial" w:hAnsi="Arial" w:cs="Arial"/>
        </w:rPr>
        <w:t>Any triple therapy combination of the following medicines: DPP-4 inhibitor, TZD, SGLT2 inhibitor, insulin, and GLP-1 receptor agonist.</w:t>
      </w:r>
    </w:p>
    <w:p w14:paraId="468FA83F" w14:textId="5B4EAB47" w:rsidR="008A2489" w:rsidRDefault="00B22439" w:rsidP="008A2489">
      <w:pPr>
        <w:pStyle w:val="ListParagraph"/>
        <w:numPr>
          <w:ilvl w:val="0"/>
          <w:numId w:val="34"/>
        </w:numPr>
        <w:spacing w:after="0"/>
        <w:ind w:left="851" w:hanging="284"/>
        <w:rPr>
          <w:rFonts w:ascii="Arial" w:hAnsi="Arial" w:cs="Arial"/>
        </w:rPr>
      </w:pPr>
      <w:r>
        <w:rPr>
          <w:rFonts w:ascii="Arial" w:hAnsi="Arial" w:cs="Arial"/>
        </w:rPr>
        <w:t xml:space="preserve">Any </w:t>
      </w:r>
      <w:r w:rsidR="00E96878">
        <w:rPr>
          <w:rFonts w:ascii="Arial" w:hAnsi="Arial" w:cs="Arial"/>
        </w:rPr>
        <w:t>combination of insulin with three oral therapies.</w:t>
      </w:r>
    </w:p>
    <w:p w14:paraId="72DD07E6" w14:textId="77777777" w:rsidR="008A2489" w:rsidRPr="008A2489" w:rsidRDefault="008A2489" w:rsidP="008A2489">
      <w:pPr>
        <w:spacing w:after="0"/>
        <w:rPr>
          <w:rFonts w:ascii="Arial" w:hAnsi="Arial" w:cs="Arial"/>
        </w:rPr>
      </w:pPr>
    </w:p>
    <w:p w14:paraId="74936604" w14:textId="77777777" w:rsidR="008A2489" w:rsidRDefault="00884BA6" w:rsidP="008A2489">
      <w:pPr>
        <w:pStyle w:val="ListParagraph"/>
        <w:numPr>
          <w:ilvl w:val="1"/>
          <w:numId w:val="37"/>
        </w:numPr>
        <w:spacing w:after="0"/>
        <w:ind w:left="567" w:hanging="567"/>
        <w:rPr>
          <w:rFonts w:ascii="Arial" w:hAnsi="Arial" w:cs="Arial"/>
        </w:rPr>
      </w:pPr>
      <w:r w:rsidRPr="008A2489">
        <w:rPr>
          <w:rFonts w:ascii="Arial" w:hAnsi="Arial" w:cs="Arial"/>
        </w:rPr>
        <w:t xml:space="preserve">The PBAC noted </w:t>
      </w:r>
      <w:r w:rsidR="0024475F" w:rsidRPr="008A2489">
        <w:rPr>
          <w:rFonts w:ascii="Arial" w:hAnsi="Arial" w:cs="Arial"/>
        </w:rPr>
        <w:t xml:space="preserve">the need expressed by stakeholders for updated clinical guidelines and </w:t>
      </w:r>
      <w:r w:rsidRPr="008A2489">
        <w:rPr>
          <w:rFonts w:ascii="Arial" w:hAnsi="Arial" w:cs="Arial"/>
        </w:rPr>
        <w:t>that the new Australian Diabetes Society pharmacotherapy algorithm for the treatment of type 2 diabetes was scheduled to be published in the December</w:t>
      </w:r>
      <w:r w:rsidR="0024475F" w:rsidRPr="008A2489">
        <w:rPr>
          <w:rFonts w:ascii="Arial" w:hAnsi="Arial" w:cs="Arial"/>
        </w:rPr>
        <w:t xml:space="preserve"> 2014</w:t>
      </w:r>
      <w:r w:rsidRPr="008A2489">
        <w:rPr>
          <w:rFonts w:ascii="Arial" w:hAnsi="Arial" w:cs="Arial"/>
        </w:rPr>
        <w:t xml:space="preserve"> issue of the </w:t>
      </w:r>
      <w:r w:rsidRPr="008A2489">
        <w:rPr>
          <w:rFonts w:ascii="Arial" w:hAnsi="Arial" w:cs="Arial"/>
          <w:i/>
        </w:rPr>
        <w:t>Medical Journal of Australia</w:t>
      </w:r>
      <w:r w:rsidRPr="008A2489">
        <w:rPr>
          <w:rFonts w:ascii="Arial" w:hAnsi="Arial" w:cs="Arial"/>
        </w:rPr>
        <w:t xml:space="preserve">. </w:t>
      </w:r>
    </w:p>
    <w:p w14:paraId="4EF0C1E8" w14:textId="77777777" w:rsidR="008A2489" w:rsidRDefault="008A2489" w:rsidP="008A2489">
      <w:pPr>
        <w:pStyle w:val="ListParagraph"/>
        <w:spacing w:after="0"/>
        <w:ind w:left="567"/>
        <w:rPr>
          <w:rFonts w:ascii="Arial" w:hAnsi="Arial" w:cs="Arial"/>
        </w:rPr>
      </w:pPr>
    </w:p>
    <w:p w14:paraId="4583DBB8" w14:textId="11BF3ECE" w:rsidR="008A2489" w:rsidRDefault="00B22439" w:rsidP="008A2489">
      <w:pPr>
        <w:pStyle w:val="ListParagraph"/>
        <w:numPr>
          <w:ilvl w:val="1"/>
          <w:numId w:val="37"/>
        </w:numPr>
        <w:spacing w:after="0"/>
        <w:ind w:left="567" w:hanging="567"/>
        <w:rPr>
          <w:rFonts w:ascii="Arial" w:hAnsi="Arial" w:cs="Arial"/>
        </w:rPr>
      </w:pPr>
      <w:r w:rsidRPr="008A2489">
        <w:rPr>
          <w:rFonts w:ascii="Arial" w:hAnsi="Arial" w:cs="Arial"/>
        </w:rPr>
        <w:t>The PBAC noted that acarbose is also PBS subsidised for triple oral therapy with metformin + sulfonylurea. This was considered a relatively inexpen</w:t>
      </w:r>
      <w:r w:rsidR="0024475F" w:rsidRPr="008A2489">
        <w:rPr>
          <w:rFonts w:ascii="Arial" w:hAnsi="Arial" w:cs="Arial"/>
        </w:rPr>
        <w:t xml:space="preserve">sive combination with low usage. Although 20% of patients were intolerant of the side-effects of acarbose, the PBAC considered it a useful combination that should be </w:t>
      </w:r>
      <w:r w:rsidR="009F4F39">
        <w:rPr>
          <w:rFonts w:ascii="Arial" w:hAnsi="Arial" w:cs="Arial"/>
        </w:rPr>
        <w:t xml:space="preserve">considered as an option for </w:t>
      </w:r>
      <w:r w:rsidR="00D20B54">
        <w:rPr>
          <w:rFonts w:ascii="Arial" w:hAnsi="Arial" w:cs="Arial"/>
        </w:rPr>
        <w:t xml:space="preserve">therapy in more patients. Increased awareness of the benefits could be promoted through prescriber education focussing on evidence and cost-effectiveness. </w:t>
      </w:r>
      <w:r w:rsidR="002A5038" w:rsidRPr="008A2489">
        <w:rPr>
          <w:rFonts w:ascii="Arial" w:hAnsi="Arial" w:cs="Arial"/>
        </w:rPr>
        <w:t xml:space="preserve">The PBAC </w:t>
      </w:r>
      <w:r w:rsidRPr="008A2489">
        <w:rPr>
          <w:rFonts w:ascii="Arial" w:hAnsi="Arial" w:cs="Arial"/>
        </w:rPr>
        <w:t>considered that this could be combined with education on the new SI units for HbA</w:t>
      </w:r>
      <w:r w:rsidRPr="008A2489">
        <w:rPr>
          <w:rFonts w:ascii="Arial" w:hAnsi="Arial" w:cs="Arial"/>
          <w:vertAlign w:val="subscript"/>
        </w:rPr>
        <w:t>1c</w:t>
      </w:r>
      <w:r w:rsidRPr="008A2489">
        <w:rPr>
          <w:rFonts w:ascii="Arial" w:hAnsi="Arial" w:cs="Arial"/>
        </w:rPr>
        <w:t xml:space="preserve"> (</w:t>
      </w:r>
      <w:proofErr w:type="spellStart"/>
      <w:r w:rsidRPr="008A2489">
        <w:rPr>
          <w:rFonts w:ascii="Arial" w:hAnsi="Arial" w:cs="Arial"/>
        </w:rPr>
        <w:t>mmol</w:t>
      </w:r>
      <w:proofErr w:type="spellEnd"/>
      <w:r w:rsidRPr="008A2489">
        <w:rPr>
          <w:rFonts w:ascii="Arial" w:hAnsi="Arial" w:cs="Arial"/>
        </w:rPr>
        <w:t>/</w:t>
      </w:r>
      <w:proofErr w:type="spellStart"/>
      <w:r w:rsidRPr="008A2489">
        <w:rPr>
          <w:rFonts w:ascii="Arial" w:hAnsi="Arial" w:cs="Arial"/>
        </w:rPr>
        <w:t>mol</w:t>
      </w:r>
      <w:proofErr w:type="spellEnd"/>
      <w:r w:rsidRPr="008A2489">
        <w:rPr>
          <w:rFonts w:ascii="Arial" w:hAnsi="Arial" w:cs="Arial"/>
        </w:rPr>
        <w:t>) and the recent subsidisation of HbA</w:t>
      </w:r>
      <w:r w:rsidRPr="008A2489">
        <w:rPr>
          <w:rFonts w:ascii="Arial" w:hAnsi="Arial" w:cs="Arial"/>
          <w:vertAlign w:val="subscript"/>
        </w:rPr>
        <w:t>1c</w:t>
      </w:r>
      <w:r w:rsidRPr="008A2489">
        <w:rPr>
          <w:rFonts w:ascii="Arial" w:hAnsi="Arial" w:cs="Arial"/>
        </w:rPr>
        <w:t xml:space="preserve"> as a test for </w:t>
      </w:r>
      <w:r w:rsidR="002A5038" w:rsidRPr="008A2489">
        <w:rPr>
          <w:rFonts w:ascii="Arial" w:hAnsi="Arial" w:cs="Arial"/>
        </w:rPr>
        <w:t xml:space="preserve">the </w:t>
      </w:r>
      <w:r w:rsidRPr="008A2489">
        <w:rPr>
          <w:rFonts w:ascii="Arial" w:hAnsi="Arial" w:cs="Arial"/>
        </w:rPr>
        <w:t>diagnosis of type 2 diabetes.</w:t>
      </w:r>
    </w:p>
    <w:p w14:paraId="054BCB75" w14:textId="77777777" w:rsidR="008A2489" w:rsidRPr="008A2489" w:rsidRDefault="008A2489" w:rsidP="008A2489">
      <w:pPr>
        <w:spacing w:after="0"/>
        <w:rPr>
          <w:rFonts w:ascii="Arial" w:hAnsi="Arial" w:cs="Arial"/>
        </w:rPr>
      </w:pPr>
    </w:p>
    <w:p w14:paraId="304F5A8A" w14:textId="6E90EFEB" w:rsidR="008436E7" w:rsidRPr="008A2489" w:rsidRDefault="008436E7" w:rsidP="008A2489">
      <w:pPr>
        <w:pStyle w:val="ListParagraph"/>
        <w:numPr>
          <w:ilvl w:val="1"/>
          <w:numId w:val="37"/>
        </w:numPr>
        <w:spacing w:after="0"/>
        <w:ind w:left="567" w:hanging="567"/>
        <w:rPr>
          <w:rFonts w:ascii="Arial" w:hAnsi="Arial" w:cs="Arial"/>
        </w:rPr>
      </w:pPr>
      <w:r w:rsidRPr="008A2489">
        <w:rPr>
          <w:rFonts w:ascii="Arial" w:hAnsi="Arial" w:cs="Arial"/>
        </w:rPr>
        <w:t xml:space="preserve">The PBAC noted that there were limited treatment options for patients on dialysis. </w:t>
      </w:r>
      <w:r w:rsidR="001F0D95" w:rsidRPr="008A2489">
        <w:rPr>
          <w:rFonts w:ascii="Arial" w:hAnsi="Arial" w:cs="Arial"/>
        </w:rPr>
        <w:t>The PBAC noted that there is anecdotal evidence of off-label use of low dose DPP</w:t>
      </w:r>
      <w:r w:rsidR="00B25A9C" w:rsidRPr="008A2489">
        <w:rPr>
          <w:rFonts w:ascii="Arial" w:hAnsi="Arial" w:cs="Arial"/>
        </w:rPr>
        <w:t>-</w:t>
      </w:r>
      <w:r w:rsidR="001F0D95" w:rsidRPr="008A2489">
        <w:rPr>
          <w:rFonts w:ascii="Arial" w:hAnsi="Arial" w:cs="Arial"/>
        </w:rPr>
        <w:t xml:space="preserve">4 inhibitors for this indication. </w:t>
      </w:r>
      <w:r w:rsidRPr="008A2489">
        <w:rPr>
          <w:rFonts w:ascii="Arial" w:hAnsi="Arial" w:cs="Arial"/>
        </w:rPr>
        <w:t>It was considered that this may partly explain the DPP-4 inhibitor monotherapy use seen in the DUSC analysis of type 2 diabetes medicines utilisation.</w:t>
      </w:r>
    </w:p>
    <w:p w14:paraId="3D17D3AA" w14:textId="77777777" w:rsidR="009D2CA0" w:rsidRDefault="009D2CA0" w:rsidP="00D93351">
      <w:pPr>
        <w:spacing w:after="0"/>
        <w:rPr>
          <w:rFonts w:ascii="Arial" w:hAnsi="Arial" w:cs="Arial"/>
        </w:rPr>
      </w:pPr>
    </w:p>
    <w:p w14:paraId="5A5518AB" w14:textId="705DA588" w:rsidR="00295987" w:rsidRDefault="00D20B54" w:rsidP="0000332E">
      <w:pPr>
        <w:pStyle w:val="Heading2"/>
        <w:keepNext/>
        <w:keepLines/>
      </w:pPr>
      <w:r>
        <w:lastRenderedPageBreak/>
        <w:t>Outcome Statement</w:t>
      </w:r>
    </w:p>
    <w:p w14:paraId="10DF5691" w14:textId="77777777" w:rsidR="00295987" w:rsidRDefault="00295987" w:rsidP="0000332E">
      <w:pPr>
        <w:keepNext/>
        <w:keepLines/>
        <w:spacing w:after="0"/>
        <w:rPr>
          <w:rFonts w:ascii="Arial" w:hAnsi="Arial" w:cs="Arial"/>
        </w:rPr>
      </w:pPr>
    </w:p>
    <w:p w14:paraId="14E1D4B3" w14:textId="69875F65" w:rsidR="00D20B54" w:rsidRPr="00D20B54" w:rsidRDefault="00D20B54" w:rsidP="0000332E">
      <w:pPr>
        <w:keepNext/>
        <w:keepLines/>
        <w:rPr>
          <w:rFonts w:ascii="Arial" w:hAnsi="Arial" w:cs="Arial"/>
        </w:rPr>
      </w:pPr>
      <w:r w:rsidRPr="00D20B54">
        <w:rPr>
          <w:rFonts w:ascii="Arial" w:hAnsi="Arial" w:cs="Arial"/>
        </w:rPr>
        <w:t xml:space="preserve">The </w:t>
      </w:r>
      <w:r>
        <w:rPr>
          <w:rFonts w:ascii="Arial" w:hAnsi="Arial" w:cs="Arial"/>
        </w:rPr>
        <w:t xml:space="preserve">PBAC considered the Report, supporting studies and stakeholder submissions to the </w:t>
      </w:r>
      <w:r w:rsidR="004E6B64">
        <w:rPr>
          <w:rFonts w:ascii="Arial" w:hAnsi="Arial" w:cs="Arial"/>
        </w:rPr>
        <w:t>Post-market Review of</w:t>
      </w:r>
      <w:r>
        <w:rPr>
          <w:rFonts w:ascii="Arial" w:hAnsi="Arial" w:cs="Arial"/>
        </w:rPr>
        <w:t xml:space="preserve"> Type 2 Diabetes Medicines (Terms of Reference 1–4). The PBAC noted that while most dual therapy combinations are PBS subsidised, there are currently limited options for subsidised triple therapy. However, a number of triple therapy combinations are being used in practice. There is limited evidence of benefit</w:t>
      </w:r>
      <w:r w:rsidR="00567AE9">
        <w:rPr>
          <w:rFonts w:ascii="Arial" w:hAnsi="Arial" w:cs="Arial"/>
        </w:rPr>
        <w:t xml:space="preserve"> in reduction of HbA</w:t>
      </w:r>
      <w:r w:rsidRPr="00567AE9">
        <w:rPr>
          <w:rFonts w:ascii="Arial" w:hAnsi="Arial" w:cs="Arial"/>
          <w:vertAlign w:val="subscript"/>
        </w:rPr>
        <w:t>1c</w:t>
      </w:r>
      <w:r>
        <w:rPr>
          <w:rFonts w:ascii="Arial" w:hAnsi="Arial" w:cs="Arial"/>
        </w:rPr>
        <w:t>, reduced rates of hypoglycaemia and weight loss associated with most combinations</w:t>
      </w:r>
      <w:r w:rsidR="004E6B64">
        <w:rPr>
          <w:rFonts w:ascii="Arial" w:hAnsi="Arial" w:cs="Arial"/>
        </w:rPr>
        <w:t xml:space="preserve"> that are not currently subsidised</w:t>
      </w:r>
      <w:r>
        <w:rPr>
          <w:rFonts w:ascii="Arial" w:hAnsi="Arial" w:cs="Arial"/>
        </w:rPr>
        <w:t>. The exception is metformin + sulfonylurea + SGLT2</w:t>
      </w:r>
      <w:r w:rsidR="00343905">
        <w:rPr>
          <w:rFonts w:ascii="Arial" w:hAnsi="Arial" w:cs="Arial"/>
        </w:rPr>
        <w:t xml:space="preserve"> inhibitor</w:t>
      </w:r>
      <w:r w:rsidR="00567AE9">
        <w:rPr>
          <w:rFonts w:ascii="Arial" w:hAnsi="Arial" w:cs="Arial"/>
        </w:rPr>
        <w:t>. The PBAC would welcome submissions for this combination.</w:t>
      </w:r>
    </w:p>
    <w:sectPr w:rsidR="00D20B54" w:rsidRPr="00D20B54" w:rsidSect="009D0D45">
      <w:footerReference w:type="default" r:id="rId16"/>
      <w:headerReference w:type="first" r:id="rId17"/>
      <w:footerReference w:type="first" r:id="rId18"/>
      <w:pgSz w:w="11906" w:h="16838"/>
      <w:pgMar w:top="1204" w:right="1440" w:bottom="1440" w:left="1440" w:header="709" w:footer="6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83147" w14:textId="77777777" w:rsidR="00EC5E40" w:rsidRDefault="00EC5E40" w:rsidP="00C60766">
      <w:pPr>
        <w:spacing w:after="0" w:line="240" w:lineRule="auto"/>
      </w:pPr>
      <w:r>
        <w:separator/>
      </w:r>
    </w:p>
  </w:endnote>
  <w:endnote w:type="continuationSeparator" w:id="0">
    <w:p w14:paraId="33A4A796" w14:textId="77777777" w:rsidR="00EC5E40" w:rsidRDefault="00EC5E40" w:rsidP="00C6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14:paraId="1B7F6802" w14:textId="752C7D72" w:rsidR="006C1C01" w:rsidRPr="0000332E" w:rsidRDefault="006C1C01" w:rsidP="0000332E">
        <w:pPr>
          <w:pStyle w:val="Footer"/>
          <w:jc w:val="center"/>
          <w:rPr>
            <w:rFonts w:ascii="Arial" w:hAnsi="Arial" w:cs="Arial"/>
            <w:noProof/>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F5F68">
          <w:rPr>
            <w:rFonts w:ascii="Arial" w:hAnsi="Arial" w:cs="Arial"/>
            <w:noProof/>
            <w:sz w:val="20"/>
            <w:szCs w:val="20"/>
          </w:rPr>
          <w:t>9</w:t>
        </w:r>
        <w:r w:rsidRPr="0065116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755133"/>
      <w:docPartObj>
        <w:docPartGallery w:val="Page Numbers (Bottom of Page)"/>
        <w:docPartUnique/>
      </w:docPartObj>
    </w:sdtPr>
    <w:sdtEndPr>
      <w:rPr>
        <w:noProof/>
      </w:rPr>
    </w:sdtEndPr>
    <w:sdtContent>
      <w:p w14:paraId="58ED25C5" w14:textId="471220F3" w:rsidR="0000332E" w:rsidRDefault="0000332E">
        <w:pPr>
          <w:pStyle w:val="Footer"/>
          <w:jc w:val="center"/>
        </w:pPr>
        <w:r>
          <w:fldChar w:fldCharType="begin"/>
        </w:r>
        <w:r>
          <w:instrText xml:space="preserve"> PAGE   \* MERGEFORMAT </w:instrText>
        </w:r>
        <w:r>
          <w:fldChar w:fldCharType="separate"/>
        </w:r>
        <w:r w:rsidR="007F5F68">
          <w:rPr>
            <w:noProof/>
          </w:rPr>
          <w:t>1</w:t>
        </w:r>
        <w:r>
          <w:rPr>
            <w:noProof/>
          </w:rPr>
          <w:fldChar w:fldCharType="end"/>
        </w:r>
      </w:p>
    </w:sdtContent>
  </w:sdt>
  <w:p w14:paraId="5DA82ACA" w14:textId="0314E026" w:rsidR="009D0D45" w:rsidRPr="009D0D45" w:rsidRDefault="009D0D45" w:rsidP="009D0D45">
    <w:pPr>
      <w:widowControl w:val="0"/>
      <w:tabs>
        <w:tab w:val="left" w:pos="142"/>
        <w:tab w:val="right" w:pos="9027"/>
      </w:tabs>
      <w:jc w:val="center"/>
      <w:rPr>
        <w:rFonts w:ascii="Arial" w:hAnsi="Arial" w:cs="Arial"/>
        <w:i/>
        <w:snapToGrid w:val="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5BDA7" w14:textId="77777777" w:rsidR="00EC5E40" w:rsidRDefault="00EC5E40" w:rsidP="00C60766">
      <w:pPr>
        <w:spacing w:after="0" w:line="240" w:lineRule="auto"/>
      </w:pPr>
      <w:r>
        <w:separator/>
      </w:r>
    </w:p>
  </w:footnote>
  <w:footnote w:type="continuationSeparator" w:id="0">
    <w:p w14:paraId="475D7FA0" w14:textId="77777777" w:rsidR="00EC5E40" w:rsidRDefault="00EC5E40" w:rsidP="00C60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05400" w14:textId="6678FB0D" w:rsidR="009D0D45" w:rsidRDefault="009D0D45" w:rsidP="009D0D45">
    <w:pPr>
      <w:widowControl w:val="0"/>
      <w:tabs>
        <w:tab w:val="left" w:pos="142"/>
        <w:tab w:val="right" w:pos="9027"/>
      </w:tabs>
      <w:spacing w:after="0"/>
      <w:jc w:val="center"/>
      <w:rPr>
        <w:rFonts w:ascii="Arial" w:hAnsi="Arial" w:cs="Arial"/>
        <w:i/>
        <w:snapToGrid w:val="0"/>
        <w:szCs w:val="20"/>
      </w:rPr>
    </w:pPr>
    <w:r>
      <w:rPr>
        <w:rFonts w:ascii="Arial" w:hAnsi="Arial" w:cs="Arial"/>
        <w:i/>
        <w:snapToGrid w:val="0"/>
        <w:szCs w:val="20"/>
      </w:rPr>
      <w:t>Ratified PBAC Minutes – November 2014</w:t>
    </w:r>
  </w:p>
  <w:p w14:paraId="1468D214" w14:textId="77777777" w:rsidR="009D0D45" w:rsidRDefault="009D0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6F6"/>
    <w:multiLevelType w:val="hybridMultilevel"/>
    <w:tmpl w:val="9600E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BE26EA"/>
    <w:multiLevelType w:val="hybridMultilevel"/>
    <w:tmpl w:val="6DE8B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3F5081"/>
    <w:multiLevelType w:val="hybridMultilevel"/>
    <w:tmpl w:val="4C666F04"/>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3F078E"/>
    <w:multiLevelType w:val="hybridMultilevel"/>
    <w:tmpl w:val="0F44EEB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17FE24FA"/>
    <w:multiLevelType w:val="hybridMultilevel"/>
    <w:tmpl w:val="9774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8674C26"/>
    <w:multiLevelType w:val="hybridMultilevel"/>
    <w:tmpl w:val="EA0C8FC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DD76ED"/>
    <w:multiLevelType w:val="hybridMultilevel"/>
    <w:tmpl w:val="86E6CF4E"/>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A55D96"/>
    <w:multiLevelType w:val="hybridMultilevel"/>
    <w:tmpl w:val="F67A6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8E023B"/>
    <w:multiLevelType w:val="hybridMultilevel"/>
    <w:tmpl w:val="87CE77C0"/>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EB72AD"/>
    <w:multiLevelType w:val="hybridMultilevel"/>
    <w:tmpl w:val="6ABE5E24"/>
    <w:lvl w:ilvl="0" w:tplc="5A9A2DFA">
      <w:numFmt w:val="bullet"/>
      <w:lvlText w:val="•"/>
      <w:lvlJc w:val="left"/>
      <w:pPr>
        <w:ind w:left="1789" w:hanging="720"/>
      </w:pPr>
      <w:rPr>
        <w:rFonts w:ascii="Times New Roman" w:eastAsiaTheme="minorHAnsi"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2F94744F"/>
    <w:multiLevelType w:val="hybridMultilevel"/>
    <w:tmpl w:val="BDBEA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51283C"/>
    <w:multiLevelType w:val="hybridMultilevel"/>
    <w:tmpl w:val="A598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2B57AB"/>
    <w:multiLevelType w:val="hybridMultilevel"/>
    <w:tmpl w:val="A9A83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F914E8C"/>
    <w:multiLevelType w:val="hybridMultilevel"/>
    <w:tmpl w:val="0BE0E5B2"/>
    <w:lvl w:ilvl="0" w:tplc="5A9A2DFA">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71365DD"/>
    <w:multiLevelType w:val="hybridMultilevel"/>
    <w:tmpl w:val="55E22376"/>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5767E5"/>
    <w:multiLevelType w:val="multilevel"/>
    <w:tmpl w:val="9C48F4E2"/>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C9A7B1F"/>
    <w:multiLevelType w:val="hybridMultilevel"/>
    <w:tmpl w:val="563CA484"/>
    <w:lvl w:ilvl="0" w:tplc="5A9A2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D5C1191"/>
    <w:multiLevelType w:val="hybridMultilevel"/>
    <w:tmpl w:val="5984775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710529"/>
    <w:multiLevelType w:val="hybridMultilevel"/>
    <w:tmpl w:val="3B14E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0A1CF9"/>
    <w:multiLevelType w:val="hybridMultilevel"/>
    <w:tmpl w:val="5A68C71C"/>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135271"/>
    <w:multiLevelType w:val="hybridMultilevel"/>
    <w:tmpl w:val="140C65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4E2AE1"/>
    <w:multiLevelType w:val="hybridMultilevel"/>
    <w:tmpl w:val="457273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AF7071E"/>
    <w:multiLevelType w:val="hybridMultilevel"/>
    <w:tmpl w:val="6EC88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2F5292"/>
    <w:multiLevelType w:val="hybridMultilevel"/>
    <w:tmpl w:val="39D8757A"/>
    <w:lvl w:ilvl="0" w:tplc="0C090001">
      <w:start w:val="1"/>
      <w:numFmt w:val="bullet"/>
      <w:lvlText w:val=""/>
      <w:lvlJc w:val="left"/>
      <w:pPr>
        <w:ind w:left="720" w:hanging="360"/>
      </w:pPr>
      <w:rPr>
        <w:rFonts w:ascii="Symbol" w:hAnsi="Symbol" w:hint="default"/>
      </w:rPr>
    </w:lvl>
    <w:lvl w:ilvl="1" w:tplc="45A2C2DC">
      <w:numFmt w:val="bullet"/>
      <w:lvlText w:val="•"/>
      <w:lvlJc w:val="left"/>
      <w:pPr>
        <w:ind w:left="1800" w:hanging="720"/>
      </w:pPr>
      <w:rPr>
        <w:rFonts w:ascii="Cambria" w:eastAsiaTheme="minorHAnsi" w:hAnsi="Cambria"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F017E1"/>
    <w:multiLevelType w:val="hybridMultilevel"/>
    <w:tmpl w:val="A6E8C096"/>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723249"/>
    <w:multiLevelType w:val="hybridMultilevel"/>
    <w:tmpl w:val="7FEE5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1F4256C"/>
    <w:multiLevelType w:val="hybridMultilevel"/>
    <w:tmpl w:val="A0C2D14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7">
    <w:nsid w:val="62A4033F"/>
    <w:multiLevelType w:val="hybridMultilevel"/>
    <w:tmpl w:val="A718BCE0"/>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390477E"/>
    <w:multiLevelType w:val="hybridMultilevel"/>
    <w:tmpl w:val="0694C36E"/>
    <w:lvl w:ilvl="0" w:tplc="5A9A2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553E7F"/>
    <w:multiLevelType w:val="hybridMultilevel"/>
    <w:tmpl w:val="7D326634"/>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0">
    <w:nsid w:val="66575B24"/>
    <w:multiLevelType w:val="hybridMultilevel"/>
    <w:tmpl w:val="69EE5800"/>
    <w:lvl w:ilvl="0" w:tplc="0C090001">
      <w:start w:val="1"/>
      <w:numFmt w:val="bullet"/>
      <w:lvlText w:val=""/>
      <w:lvlJc w:val="left"/>
      <w:pPr>
        <w:ind w:left="720" w:hanging="360"/>
      </w:pPr>
      <w:rPr>
        <w:rFonts w:ascii="Symbol" w:hAnsi="Symbol" w:hint="default"/>
      </w:rPr>
    </w:lvl>
    <w:lvl w:ilvl="1" w:tplc="6F8E1BF0">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B55000"/>
    <w:multiLevelType w:val="hybridMultilevel"/>
    <w:tmpl w:val="8E525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CB4D83"/>
    <w:multiLevelType w:val="hybridMultilevel"/>
    <w:tmpl w:val="ECD692D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E13A3F"/>
    <w:multiLevelType w:val="hybridMultilevel"/>
    <w:tmpl w:val="682C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AC54B38"/>
    <w:multiLevelType w:val="hybridMultilevel"/>
    <w:tmpl w:val="D3CAA1E0"/>
    <w:lvl w:ilvl="0" w:tplc="5A9A2DFA">
      <w:numFmt w:val="bullet"/>
      <w:lvlText w:val="•"/>
      <w:lvlJc w:val="left"/>
      <w:pPr>
        <w:ind w:left="1080" w:hanging="72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FC1757"/>
    <w:multiLevelType w:val="hybridMultilevel"/>
    <w:tmpl w:val="A9A83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0E75F9"/>
    <w:multiLevelType w:val="hybridMultilevel"/>
    <w:tmpl w:val="6EF065B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5227945"/>
    <w:multiLevelType w:val="multilevel"/>
    <w:tmpl w:val="2E5CD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27"/>
  </w:num>
  <w:num w:numId="3">
    <w:abstractNumId w:val="32"/>
  </w:num>
  <w:num w:numId="4">
    <w:abstractNumId w:val="20"/>
  </w:num>
  <w:num w:numId="5">
    <w:abstractNumId w:val="1"/>
  </w:num>
  <w:num w:numId="6">
    <w:abstractNumId w:val="23"/>
  </w:num>
  <w:num w:numId="7">
    <w:abstractNumId w:val="31"/>
  </w:num>
  <w:num w:numId="8">
    <w:abstractNumId w:val="33"/>
  </w:num>
  <w:num w:numId="9">
    <w:abstractNumId w:val="14"/>
  </w:num>
  <w:num w:numId="10">
    <w:abstractNumId w:val="9"/>
  </w:num>
  <w:num w:numId="11">
    <w:abstractNumId w:val="24"/>
  </w:num>
  <w:num w:numId="12">
    <w:abstractNumId w:val="6"/>
  </w:num>
  <w:num w:numId="13">
    <w:abstractNumId w:val="5"/>
  </w:num>
  <w:num w:numId="14">
    <w:abstractNumId w:val="17"/>
  </w:num>
  <w:num w:numId="15">
    <w:abstractNumId w:val="34"/>
  </w:num>
  <w:num w:numId="16">
    <w:abstractNumId w:val="19"/>
  </w:num>
  <w:num w:numId="17">
    <w:abstractNumId w:val="2"/>
  </w:num>
  <w:num w:numId="18">
    <w:abstractNumId w:val="8"/>
  </w:num>
  <w:num w:numId="19">
    <w:abstractNumId w:val="16"/>
  </w:num>
  <w:num w:numId="20">
    <w:abstractNumId w:val="28"/>
  </w:num>
  <w:num w:numId="21">
    <w:abstractNumId w:val="11"/>
  </w:num>
  <w:num w:numId="22">
    <w:abstractNumId w:val="0"/>
  </w:num>
  <w:num w:numId="23">
    <w:abstractNumId w:val="13"/>
  </w:num>
  <w:num w:numId="24">
    <w:abstractNumId w:val="35"/>
  </w:num>
  <w:num w:numId="25">
    <w:abstractNumId w:val="21"/>
  </w:num>
  <w:num w:numId="26">
    <w:abstractNumId w:val="29"/>
  </w:num>
  <w:num w:numId="27">
    <w:abstractNumId w:val="3"/>
  </w:num>
  <w:num w:numId="28">
    <w:abstractNumId w:val="12"/>
  </w:num>
  <w:num w:numId="29">
    <w:abstractNumId w:val="26"/>
  </w:num>
  <w:num w:numId="30">
    <w:abstractNumId w:val="30"/>
  </w:num>
  <w:num w:numId="31">
    <w:abstractNumId w:val="4"/>
  </w:num>
  <w:num w:numId="32">
    <w:abstractNumId w:val="22"/>
  </w:num>
  <w:num w:numId="33">
    <w:abstractNumId w:val="18"/>
  </w:num>
  <w:num w:numId="34">
    <w:abstractNumId w:val="25"/>
  </w:num>
  <w:num w:numId="35">
    <w:abstractNumId w:val="7"/>
  </w:num>
  <w:num w:numId="36">
    <w:abstractNumId w:val="10"/>
  </w:num>
  <w:num w:numId="37">
    <w:abstractNumId w:val="15"/>
  </w:num>
  <w:num w:numId="38">
    <w:abstractNumId w:val="3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8B"/>
    <w:rsid w:val="0000332E"/>
    <w:rsid w:val="00010C9E"/>
    <w:rsid w:val="000349C8"/>
    <w:rsid w:val="00044C96"/>
    <w:rsid w:val="000476DF"/>
    <w:rsid w:val="000618E8"/>
    <w:rsid w:val="00063760"/>
    <w:rsid w:val="000649BB"/>
    <w:rsid w:val="000653A5"/>
    <w:rsid w:val="00073F2C"/>
    <w:rsid w:val="00081EC5"/>
    <w:rsid w:val="00082621"/>
    <w:rsid w:val="00083BDF"/>
    <w:rsid w:val="000915E3"/>
    <w:rsid w:val="00095F49"/>
    <w:rsid w:val="000B13A2"/>
    <w:rsid w:val="000B70C9"/>
    <w:rsid w:val="000C468B"/>
    <w:rsid w:val="000C4F4F"/>
    <w:rsid w:val="000E0AB1"/>
    <w:rsid w:val="000E1C3A"/>
    <w:rsid w:val="001002BB"/>
    <w:rsid w:val="00102391"/>
    <w:rsid w:val="001077E9"/>
    <w:rsid w:val="0011745F"/>
    <w:rsid w:val="00120176"/>
    <w:rsid w:val="00120E4A"/>
    <w:rsid w:val="001229F0"/>
    <w:rsid w:val="00130546"/>
    <w:rsid w:val="001309B4"/>
    <w:rsid w:val="00133509"/>
    <w:rsid w:val="00140E29"/>
    <w:rsid w:val="00141F91"/>
    <w:rsid w:val="001452C3"/>
    <w:rsid w:val="001472C3"/>
    <w:rsid w:val="00151846"/>
    <w:rsid w:val="00152C51"/>
    <w:rsid w:val="001623F6"/>
    <w:rsid w:val="001636B8"/>
    <w:rsid w:val="001763C0"/>
    <w:rsid w:val="00182EC1"/>
    <w:rsid w:val="00190CAF"/>
    <w:rsid w:val="00196259"/>
    <w:rsid w:val="001B6B0B"/>
    <w:rsid w:val="001B7048"/>
    <w:rsid w:val="001C794E"/>
    <w:rsid w:val="001D0595"/>
    <w:rsid w:val="001D2B9E"/>
    <w:rsid w:val="001E54CD"/>
    <w:rsid w:val="001F0D95"/>
    <w:rsid w:val="001F50E0"/>
    <w:rsid w:val="001F710D"/>
    <w:rsid w:val="00206169"/>
    <w:rsid w:val="002158C0"/>
    <w:rsid w:val="00222ECD"/>
    <w:rsid w:val="00242804"/>
    <w:rsid w:val="0024475F"/>
    <w:rsid w:val="00255F57"/>
    <w:rsid w:val="0026202E"/>
    <w:rsid w:val="00273E2A"/>
    <w:rsid w:val="00277528"/>
    <w:rsid w:val="002805CF"/>
    <w:rsid w:val="00295987"/>
    <w:rsid w:val="002A47D1"/>
    <w:rsid w:val="002A5038"/>
    <w:rsid w:val="002A5CF0"/>
    <w:rsid w:val="002C4A10"/>
    <w:rsid w:val="002C580F"/>
    <w:rsid w:val="002C6C23"/>
    <w:rsid w:val="002D7E56"/>
    <w:rsid w:val="003072E5"/>
    <w:rsid w:val="0031455B"/>
    <w:rsid w:val="00322C7A"/>
    <w:rsid w:val="00343905"/>
    <w:rsid w:val="00344A17"/>
    <w:rsid w:val="00345EF0"/>
    <w:rsid w:val="003460F8"/>
    <w:rsid w:val="003A1DAB"/>
    <w:rsid w:val="003A6724"/>
    <w:rsid w:val="003C7D27"/>
    <w:rsid w:val="003D3D3D"/>
    <w:rsid w:val="003D76EE"/>
    <w:rsid w:val="003F13B1"/>
    <w:rsid w:val="003F3893"/>
    <w:rsid w:val="004011B1"/>
    <w:rsid w:val="00402402"/>
    <w:rsid w:val="00411327"/>
    <w:rsid w:val="0041269C"/>
    <w:rsid w:val="00414E35"/>
    <w:rsid w:val="004217F1"/>
    <w:rsid w:val="004339F5"/>
    <w:rsid w:val="004352A0"/>
    <w:rsid w:val="00437AD8"/>
    <w:rsid w:val="004663C7"/>
    <w:rsid w:val="00467C85"/>
    <w:rsid w:val="0048687F"/>
    <w:rsid w:val="004873B5"/>
    <w:rsid w:val="00496D62"/>
    <w:rsid w:val="0049731F"/>
    <w:rsid w:val="004A1DA6"/>
    <w:rsid w:val="004A1E93"/>
    <w:rsid w:val="004B51CB"/>
    <w:rsid w:val="004B795F"/>
    <w:rsid w:val="004C0238"/>
    <w:rsid w:val="004D30B9"/>
    <w:rsid w:val="004D3413"/>
    <w:rsid w:val="004E6B64"/>
    <w:rsid w:val="004F37FE"/>
    <w:rsid w:val="00506411"/>
    <w:rsid w:val="00521506"/>
    <w:rsid w:val="00531C69"/>
    <w:rsid w:val="0053337F"/>
    <w:rsid w:val="00535BBB"/>
    <w:rsid w:val="0053746C"/>
    <w:rsid w:val="00545ED6"/>
    <w:rsid w:val="00547356"/>
    <w:rsid w:val="00552D21"/>
    <w:rsid w:val="00555026"/>
    <w:rsid w:val="00567AE9"/>
    <w:rsid w:val="00572818"/>
    <w:rsid w:val="0058095D"/>
    <w:rsid w:val="00581CEF"/>
    <w:rsid w:val="005A1316"/>
    <w:rsid w:val="005A294A"/>
    <w:rsid w:val="005A58DB"/>
    <w:rsid w:val="005A6A8A"/>
    <w:rsid w:val="005B4928"/>
    <w:rsid w:val="005B6684"/>
    <w:rsid w:val="005C2752"/>
    <w:rsid w:val="005D6559"/>
    <w:rsid w:val="0060665A"/>
    <w:rsid w:val="00612D72"/>
    <w:rsid w:val="00625194"/>
    <w:rsid w:val="00631D33"/>
    <w:rsid w:val="00634358"/>
    <w:rsid w:val="006371C6"/>
    <w:rsid w:val="00641B85"/>
    <w:rsid w:val="006627FC"/>
    <w:rsid w:val="00667641"/>
    <w:rsid w:val="0067254A"/>
    <w:rsid w:val="00675198"/>
    <w:rsid w:val="006774D3"/>
    <w:rsid w:val="0068081C"/>
    <w:rsid w:val="00682CFB"/>
    <w:rsid w:val="006842F1"/>
    <w:rsid w:val="00691EF2"/>
    <w:rsid w:val="00693F2A"/>
    <w:rsid w:val="006A30D8"/>
    <w:rsid w:val="006A7966"/>
    <w:rsid w:val="006B4ED3"/>
    <w:rsid w:val="006C1C01"/>
    <w:rsid w:val="006D5EF1"/>
    <w:rsid w:val="006E33E1"/>
    <w:rsid w:val="006E73D5"/>
    <w:rsid w:val="006F21A5"/>
    <w:rsid w:val="00720D09"/>
    <w:rsid w:val="00731852"/>
    <w:rsid w:val="007451C7"/>
    <w:rsid w:val="0074785A"/>
    <w:rsid w:val="00795C76"/>
    <w:rsid w:val="007B73F3"/>
    <w:rsid w:val="007C78CB"/>
    <w:rsid w:val="007D1489"/>
    <w:rsid w:val="007D4606"/>
    <w:rsid w:val="007E31F4"/>
    <w:rsid w:val="007F0C39"/>
    <w:rsid w:val="007F1835"/>
    <w:rsid w:val="007F5F68"/>
    <w:rsid w:val="008146A5"/>
    <w:rsid w:val="00837BFE"/>
    <w:rsid w:val="008436E7"/>
    <w:rsid w:val="00850D30"/>
    <w:rsid w:val="00854536"/>
    <w:rsid w:val="00854ABB"/>
    <w:rsid w:val="00854B8B"/>
    <w:rsid w:val="008672DC"/>
    <w:rsid w:val="0087776B"/>
    <w:rsid w:val="00884BA6"/>
    <w:rsid w:val="00885FD6"/>
    <w:rsid w:val="00886E77"/>
    <w:rsid w:val="00890B7D"/>
    <w:rsid w:val="008A2489"/>
    <w:rsid w:val="008A6DF6"/>
    <w:rsid w:val="008C10EC"/>
    <w:rsid w:val="008C2ECE"/>
    <w:rsid w:val="008C36CA"/>
    <w:rsid w:val="008C3B4F"/>
    <w:rsid w:val="008D0B03"/>
    <w:rsid w:val="008E5E24"/>
    <w:rsid w:val="008F3273"/>
    <w:rsid w:val="00904A18"/>
    <w:rsid w:val="0091596B"/>
    <w:rsid w:val="00916B66"/>
    <w:rsid w:val="00921EDB"/>
    <w:rsid w:val="009305F6"/>
    <w:rsid w:val="00932C34"/>
    <w:rsid w:val="009369EE"/>
    <w:rsid w:val="00941236"/>
    <w:rsid w:val="00941343"/>
    <w:rsid w:val="009469D7"/>
    <w:rsid w:val="00965EBF"/>
    <w:rsid w:val="00977E17"/>
    <w:rsid w:val="00983D23"/>
    <w:rsid w:val="00986A99"/>
    <w:rsid w:val="009913DA"/>
    <w:rsid w:val="009940C5"/>
    <w:rsid w:val="00995EAD"/>
    <w:rsid w:val="009B6881"/>
    <w:rsid w:val="009B730E"/>
    <w:rsid w:val="009D0D45"/>
    <w:rsid w:val="009D2CA0"/>
    <w:rsid w:val="009E2D76"/>
    <w:rsid w:val="009F4F39"/>
    <w:rsid w:val="00A00533"/>
    <w:rsid w:val="00A02EB3"/>
    <w:rsid w:val="00A41576"/>
    <w:rsid w:val="00A44BAF"/>
    <w:rsid w:val="00A46A06"/>
    <w:rsid w:val="00A46A41"/>
    <w:rsid w:val="00A6382D"/>
    <w:rsid w:val="00A652DB"/>
    <w:rsid w:val="00A70CC7"/>
    <w:rsid w:val="00A77F79"/>
    <w:rsid w:val="00AA5DCB"/>
    <w:rsid w:val="00AA794C"/>
    <w:rsid w:val="00AB0506"/>
    <w:rsid w:val="00AB0E07"/>
    <w:rsid w:val="00AD3B88"/>
    <w:rsid w:val="00AD558E"/>
    <w:rsid w:val="00AD6B62"/>
    <w:rsid w:val="00AF13BE"/>
    <w:rsid w:val="00B000B2"/>
    <w:rsid w:val="00B070F3"/>
    <w:rsid w:val="00B11CF9"/>
    <w:rsid w:val="00B22439"/>
    <w:rsid w:val="00B25A9C"/>
    <w:rsid w:val="00B2645D"/>
    <w:rsid w:val="00B40E60"/>
    <w:rsid w:val="00B42A3F"/>
    <w:rsid w:val="00B53B45"/>
    <w:rsid w:val="00B56602"/>
    <w:rsid w:val="00B86B1A"/>
    <w:rsid w:val="00BA792B"/>
    <w:rsid w:val="00BC27D8"/>
    <w:rsid w:val="00BD3377"/>
    <w:rsid w:val="00BD3723"/>
    <w:rsid w:val="00BD458D"/>
    <w:rsid w:val="00BE1D65"/>
    <w:rsid w:val="00BE3EF3"/>
    <w:rsid w:val="00BE5287"/>
    <w:rsid w:val="00C16F32"/>
    <w:rsid w:val="00C24AF8"/>
    <w:rsid w:val="00C30F9A"/>
    <w:rsid w:val="00C366F1"/>
    <w:rsid w:val="00C40587"/>
    <w:rsid w:val="00C55C44"/>
    <w:rsid w:val="00C60766"/>
    <w:rsid w:val="00C61E65"/>
    <w:rsid w:val="00C63321"/>
    <w:rsid w:val="00C64406"/>
    <w:rsid w:val="00C658E1"/>
    <w:rsid w:val="00C66359"/>
    <w:rsid w:val="00C77935"/>
    <w:rsid w:val="00C800FF"/>
    <w:rsid w:val="00C82C13"/>
    <w:rsid w:val="00C83170"/>
    <w:rsid w:val="00C83230"/>
    <w:rsid w:val="00CA61AC"/>
    <w:rsid w:val="00CB35AD"/>
    <w:rsid w:val="00CB593C"/>
    <w:rsid w:val="00CB749E"/>
    <w:rsid w:val="00CC080F"/>
    <w:rsid w:val="00CC7BF4"/>
    <w:rsid w:val="00CD1CE5"/>
    <w:rsid w:val="00CD5103"/>
    <w:rsid w:val="00CF4959"/>
    <w:rsid w:val="00CF574B"/>
    <w:rsid w:val="00CF7E7D"/>
    <w:rsid w:val="00D00143"/>
    <w:rsid w:val="00D054A1"/>
    <w:rsid w:val="00D20B54"/>
    <w:rsid w:val="00D24F32"/>
    <w:rsid w:val="00D3297A"/>
    <w:rsid w:val="00D40585"/>
    <w:rsid w:val="00D53AC7"/>
    <w:rsid w:val="00D53FDD"/>
    <w:rsid w:val="00D61306"/>
    <w:rsid w:val="00D70973"/>
    <w:rsid w:val="00D75CB1"/>
    <w:rsid w:val="00D93351"/>
    <w:rsid w:val="00DA7A9E"/>
    <w:rsid w:val="00DB55B1"/>
    <w:rsid w:val="00DC297C"/>
    <w:rsid w:val="00DE391F"/>
    <w:rsid w:val="00DF6003"/>
    <w:rsid w:val="00E117DC"/>
    <w:rsid w:val="00E12968"/>
    <w:rsid w:val="00E133B7"/>
    <w:rsid w:val="00E54DB3"/>
    <w:rsid w:val="00E61037"/>
    <w:rsid w:val="00E62CC2"/>
    <w:rsid w:val="00E74BDF"/>
    <w:rsid w:val="00E75C9D"/>
    <w:rsid w:val="00E83B9D"/>
    <w:rsid w:val="00E856E5"/>
    <w:rsid w:val="00E85DDD"/>
    <w:rsid w:val="00E86AF0"/>
    <w:rsid w:val="00E95E64"/>
    <w:rsid w:val="00E96878"/>
    <w:rsid w:val="00EA5886"/>
    <w:rsid w:val="00EB6230"/>
    <w:rsid w:val="00EB7D40"/>
    <w:rsid w:val="00EC5E40"/>
    <w:rsid w:val="00ED11E1"/>
    <w:rsid w:val="00ED6EC1"/>
    <w:rsid w:val="00EE1AB5"/>
    <w:rsid w:val="00EE4990"/>
    <w:rsid w:val="00EE4AC0"/>
    <w:rsid w:val="00F12C32"/>
    <w:rsid w:val="00F14174"/>
    <w:rsid w:val="00F36E34"/>
    <w:rsid w:val="00F43CE9"/>
    <w:rsid w:val="00F6412A"/>
    <w:rsid w:val="00F7532F"/>
    <w:rsid w:val="00F7798E"/>
    <w:rsid w:val="00F806C9"/>
    <w:rsid w:val="00F8077A"/>
    <w:rsid w:val="00F8597D"/>
    <w:rsid w:val="00F865BA"/>
    <w:rsid w:val="00FA2528"/>
    <w:rsid w:val="00FA371B"/>
    <w:rsid w:val="00FB6123"/>
    <w:rsid w:val="00FC4E88"/>
    <w:rsid w:val="00FD155B"/>
    <w:rsid w:val="00FD4C86"/>
    <w:rsid w:val="00FD7FD8"/>
    <w:rsid w:val="00FE1963"/>
    <w:rsid w:val="00FF11B4"/>
    <w:rsid w:val="00FF47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C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Paragraph"/>
    <w:next w:val="Normal"/>
    <w:link w:val="Heading2Char"/>
    <w:uiPriority w:val="9"/>
    <w:unhideWhenUsed/>
    <w:qFormat/>
    <w:rsid w:val="00D20B54"/>
    <w:pPr>
      <w:numPr>
        <w:numId w:val="37"/>
      </w:numPr>
      <w:spacing w:after="60"/>
      <w:ind w:left="567" w:hanging="567"/>
      <w:outlineLvl w:val="1"/>
    </w:pPr>
    <w:rPr>
      <w:rFonts w:ascii="Arial" w:hAnsi="Arial" w:cs="Arial"/>
      <w:b/>
      <w:szCs w:val="24"/>
    </w:rPr>
  </w:style>
  <w:style w:type="paragraph" w:styleId="Heading3">
    <w:name w:val="heading 3"/>
    <w:basedOn w:val="ListParagraph"/>
    <w:next w:val="Normal"/>
    <w:link w:val="Heading3Char"/>
    <w:uiPriority w:val="9"/>
    <w:unhideWhenUsed/>
    <w:qFormat/>
    <w:rsid w:val="00D20B54"/>
    <w:pPr>
      <w:keepNext/>
      <w:keepLines/>
      <w:numPr>
        <w:ilvl w:val="1"/>
        <w:numId w:val="37"/>
      </w:numPr>
      <w:spacing w:after="60"/>
      <w:ind w:left="567" w:hanging="567"/>
      <w:outlineLvl w:val="2"/>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note"/>
    <w:basedOn w:val="Normal"/>
    <w:link w:val="ListParagraphChar"/>
    <w:uiPriority w:val="34"/>
    <w:qFormat/>
    <w:rsid w:val="001077E9"/>
    <w:pPr>
      <w:ind w:left="720"/>
      <w:contextualSpacing/>
    </w:pPr>
  </w:style>
  <w:style w:type="paragraph" w:styleId="Header">
    <w:name w:val="header"/>
    <w:aliases w:val="Page Header,Header title,he=header,cntr/bld"/>
    <w:basedOn w:val="Normal"/>
    <w:link w:val="HeaderChar"/>
    <w:uiPriority w:val="99"/>
    <w:unhideWhenUsed/>
    <w:rsid w:val="00C60766"/>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60766"/>
  </w:style>
  <w:style w:type="paragraph" w:styleId="Footer">
    <w:name w:val="footer"/>
    <w:basedOn w:val="Normal"/>
    <w:link w:val="FooterChar"/>
    <w:uiPriority w:val="99"/>
    <w:unhideWhenUsed/>
    <w:rsid w:val="00C60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66"/>
  </w:style>
  <w:style w:type="table" w:customStyle="1" w:styleId="TableGrid1">
    <w:name w:val="Table Grid1"/>
    <w:basedOn w:val="TableNormal"/>
    <w:next w:val="TableGrid"/>
    <w:uiPriority w:val="59"/>
    <w:rsid w:val="004126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10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CF"/>
    <w:rPr>
      <w:rFonts w:ascii="Tahoma" w:hAnsi="Tahoma" w:cs="Tahoma"/>
      <w:sz w:val="16"/>
      <w:szCs w:val="16"/>
    </w:rPr>
  </w:style>
  <w:style w:type="character" w:styleId="CommentReference">
    <w:name w:val="annotation reference"/>
    <w:basedOn w:val="DefaultParagraphFont"/>
    <w:uiPriority w:val="99"/>
    <w:semiHidden/>
    <w:unhideWhenUsed/>
    <w:rsid w:val="00890B7D"/>
    <w:rPr>
      <w:sz w:val="16"/>
      <w:szCs w:val="16"/>
    </w:rPr>
  </w:style>
  <w:style w:type="paragraph" w:styleId="CommentText">
    <w:name w:val="annotation text"/>
    <w:basedOn w:val="Normal"/>
    <w:link w:val="CommentTextChar"/>
    <w:uiPriority w:val="99"/>
    <w:semiHidden/>
    <w:unhideWhenUsed/>
    <w:rsid w:val="00890B7D"/>
    <w:pPr>
      <w:spacing w:line="240" w:lineRule="auto"/>
    </w:pPr>
    <w:rPr>
      <w:sz w:val="20"/>
      <w:szCs w:val="20"/>
    </w:rPr>
  </w:style>
  <w:style w:type="character" w:customStyle="1" w:styleId="CommentTextChar">
    <w:name w:val="Comment Text Char"/>
    <w:basedOn w:val="DefaultParagraphFont"/>
    <w:link w:val="CommentText"/>
    <w:uiPriority w:val="99"/>
    <w:semiHidden/>
    <w:rsid w:val="00890B7D"/>
    <w:rPr>
      <w:sz w:val="20"/>
      <w:szCs w:val="20"/>
    </w:rPr>
  </w:style>
  <w:style w:type="paragraph" w:styleId="CommentSubject">
    <w:name w:val="annotation subject"/>
    <w:basedOn w:val="CommentText"/>
    <w:next w:val="CommentText"/>
    <w:link w:val="CommentSubjectChar"/>
    <w:uiPriority w:val="99"/>
    <w:semiHidden/>
    <w:unhideWhenUsed/>
    <w:rsid w:val="00890B7D"/>
    <w:rPr>
      <w:b/>
      <w:bCs/>
    </w:rPr>
  </w:style>
  <w:style w:type="character" w:customStyle="1" w:styleId="CommentSubjectChar">
    <w:name w:val="Comment Subject Char"/>
    <w:basedOn w:val="CommentTextChar"/>
    <w:link w:val="CommentSubject"/>
    <w:uiPriority w:val="99"/>
    <w:semiHidden/>
    <w:rsid w:val="00890B7D"/>
    <w:rPr>
      <w:b/>
      <w:bCs/>
      <w:sz w:val="20"/>
      <w:szCs w:val="20"/>
    </w:rPr>
  </w:style>
  <w:style w:type="table" w:customStyle="1" w:styleId="TableGrid21">
    <w:name w:val="Table Grid21"/>
    <w:basedOn w:val="TableNormal"/>
    <w:uiPriority w:val="59"/>
    <w:rsid w:val="00D53FDD"/>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4785A"/>
    <w:pPr>
      <w:spacing w:after="0" w:line="240" w:lineRule="auto"/>
    </w:pPr>
  </w:style>
  <w:style w:type="paragraph" w:customStyle="1" w:styleId="BodyText1">
    <w:name w:val="Body Text1"/>
    <w:basedOn w:val="Normal"/>
    <w:uiPriority w:val="1"/>
    <w:qFormat/>
    <w:rsid w:val="0048687F"/>
    <w:pPr>
      <w:spacing w:after="120"/>
    </w:pPr>
    <w:rPr>
      <w:rFonts w:ascii="Cambria" w:eastAsia="Times New Roman" w:hAnsi="Cambria" w:cs="Calibri"/>
      <w:noProof/>
      <w:sz w:val="24"/>
      <w:szCs w:val="24"/>
    </w:rPr>
  </w:style>
  <w:style w:type="character" w:customStyle="1" w:styleId="ListParagraphChar">
    <w:name w:val="List Paragraph Char"/>
    <w:aliases w:val="Footnote Char"/>
    <w:basedOn w:val="DefaultParagraphFont"/>
    <w:link w:val="ListParagraph"/>
    <w:uiPriority w:val="34"/>
    <w:rsid w:val="005A58DB"/>
  </w:style>
  <w:style w:type="character" w:styleId="Hyperlink">
    <w:name w:val="Hyperlink"/>
    <w:basedOn w:val="DefaultParagraphFont"/>
    <w:uiPriority w:val="99"/>
    <w:unhideWhenUsed/>
    <w:rsid w:val="00B42A3F"/>
    <w:rPr>
      <w:color w:val="0000FF" w:themeColor="hyperlink"/>
      <w:u w:val="single"/>
    </w:rPr>
  </w:style>
  <w:style w:type="character" w:customStyle="1" w:styleId="Heading2Char">
    <w:name w:val="Heading 2 Char"/>
    <w:basedOn w:val="DefaultParagraphFont"/>
    <w:link w:val="Heading2"/>
    <w:uiPriority w:val="9"/>
    <w:rsid w:val="00D20B54"/>
    <w:rPr>
      <w:rFonts w:ascii="Arial" w:hAnsi="Arial" w:cs="Arial"/>
      <w:b/>
      <w:szCs w:val="24"/>
    </w:rPr>
  </w:style>
  <w:style w:type="character" w:customStyle="1" w:styleId="Heading3Char">
    <w:name w:val="Heading 3 Char"/>
    <w:basedOn w:val="DefaultParagraphFont"/>
    <w:link w:val="Heading3"/>
    <w:uiPriority w:val="9"/>
    <w:rsid w:val="00D20B54"/>
    <w:rPr>
      <w:rFonts w:ascii="Arial" w:hAnsi="Arial" w:cs="Arial"/>
      <w:b/>
      <w:i/>
      <w:iCs/>
    </w:rPr>
  </w:style>
  <w:style w:type="paragraph" w:customStyle="1" w:styleId="Notes">
    <w:name w:val="Notes"/>
    <w:basedOn w:val="Normal"/>
    <w:qFormat/>
    <w:rsid w:val="00FE1963"/>
    <w:pPr>
      <w:spacing w:after="0" w:line="240" w:lineRule="auto"/>
    </w:pPr>
    <w:rPr>
      <w:rFonts w:ascii="Arial" w:eastAsia="Times New Roman" w:hAnsi="Arial" w:cs="Arial"/>
      <w:noProof/>
      <w:sz w:val="18"/>
      <w:szCs w:val="18"/>
      <w:lang w:val="en-US" w:eastAsia="en-AU"/>
    </w:rPr>
  </w:style>
  <w:style w:type="character" w:customStyle="1" w:styleId="TableText">
    <w:name w:val="Table Text"/>
    <w:basedOn w:val="DefaultParagraphFont"/>
    <w:uiPriority w:val="4"/>
    <w:qFormat/>
    <w:rsid w:val="00FE1963"/>
    <w:rPr>
      <w:rFonts w:ascii="Arial Narrow" w:hAnsi="Arial Narrow" w:cs="Times New Roman"/>
      <w:sz w:val="20"/>
    </w:rPr>
  </w:style>
  <w:style w:type="paragraph" w:customStyle="1" w:styleId="TableFooter">
    <w:name w:val="Table Footer"/>
    <w:basedOn w:val="Normal"/>
    <w:qFormat/>
    <w:rsid w:val="00C658E1"/>
    <w:pPr>
      <w:widowControl w:val="0"/>
      <w:spacing w:after="0" w:line="240" w:lineRule="auto"/>
      <w:jc w:val="both"/>
    </w:pPr>
    <w:rPr>
      <w:rFonts w:ascii="Arial Narrow" w:eastAsia="Times New Roman" w:hAnsi="Arial Narrow" w:cs="Arial"/>
      <w:snapToGrid w:val="0"/>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ListParagraph"/>
    <w:next w:val="Normal"/>
    <w:link w:val="Heading2Char"/>
    <w:uiPriority w:val="9"/>
    <w:unhideWhenUsed/>
    <w:qFormat/>
    <w:rsid w:val="00D20B54"/>
    <w:pPr>
      <w:numPr>
        <w:numId w:val="37"/>
      </w:numPr>
      <w:spacing w:after="60"/>
      <w:ind w:left="567" w:hanging="567"/>
      <w:outlineLvl w:val="1"/>
    </w:pPr>
    <w:rPr>
      <w:rFonts w:ascii="Arial" w:hAnsi="Arial" w:cs="Arial"/>
      <w:b/>
      <w:szCs w:val="24"/>
    </w:rPr>
  </w:style>
  <w:style w:type="paragraph" w:styleId="Heading3">
    <w:name w:val="heading 3"/>
    <w:basedOn w:val="ListParagraph"/>
    <w:next w:val="Normal"/>
    <w:link w:val="Heading3Char"/>
    <w:uiPriority w:val="9"/>
    <w:unhideWhenUsed/>
    <w:qFormat/>
    <w:rsid w:val="00D20B54"/>
    <w:pPr>
      <w:keepNext/>
      <w:keepLines/>
      <w:numPr>
        <w:ilvl w:val="1"/>
        <w:numId w:val="37"/>
      </w:numPr>
      <w:spacing w:after="60"/>
      <w:ind w:left="567" w:hanging="567"/>
      <w:outlineLvl w:val="2"/>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note"/>
    <w:basedOn w:val="Normal"/>
    <w:link w:val="ListParagraphChar"/>
    <w:uiPriority w:val="34"/>
    <w:qFormat/>
    <w:rsid w:val="001077E9"/>
    <w:pPr>
      <w:ind w:left="720"/>
      <w:contextualSpacing/>
    </w:pPr>
  </w:style>
  <w:style w:type="paragraph" w:styleId="Header">
    <w:name w:val="header"/>
    <w:aliases w:val="Page Header,Header title,he=header,cntr/bld"/>
    <w:basedOn w:val="Normal"/>
    <w:link w:val="HeaderChar"/>
    <w:uiPriority w:val="99"/>
    <w:unhideWhenUsed/>
    <w:rsid w:val="00C60766"/>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60766"/>
  </w:style>
  <w:style w:type="paragraph" w:styleId="Footer">
    <w:name w:val="footer"/>
    <w:basedOn w:val="Normal"/>
    <w:link w:val="FooterChar"/>
    <w:uiPriority w:val="99"/>
    <w:unhideWhenUsed/>
    <w:rsid w:val="00C60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766"/>
  </w:style>
  <w:style w:type="table" w:customStyle="1" w:styleId="TableGrid1">
    <w:name w:val="Table Grid1"/>
    <w:basedOn w:val="TableNormal"/>
    <w:next w:val="TableGrid"/>
    <w:uiPriority w:val="59"/>
    <w:rsid w:val="004126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10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80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5CF"/>
    <w:rPr>
      <w:rFonts w:ascii="Tahoma" w:hAnsi="Tahoma" w:cs="Tahoma"/>
      <w:sz w:val="16"/>
      <w:szCs w:val="16"/>
    </w:rPr>
  </w:style>
  <w:style w:type="character" w:styleId="CommentReference">
    <w:name w:val="annotation reference"/>
    <w:basedOn w:val="DefaultParagraphFont"/>
    <w:uiPriority w:val="99"/>
    <w:semiHidden/>
    <w:unhideWhenUsed/>
    <w:rsid w:val="00890B7D"/>
    <w:rPr>
      <w:sz w:val="16"/>
      <w:szCs w:val="16"/>
    </w:rPr>
  </w:style>
  <w:style w:type="paragraph" w:styleId="CommentText">
    <w:name w:val="annotation text"/>
    <w:basedOn w:val="Normal"/>
    <w:link w:val="CommentTextChar"/>
    <w:uiPriority w:val="99"/>
    <w:semiHidden/>
    <w:unhideWhenUsed/>
    <w:rsid w:val="00890B7D"/>
    <w:pPr>
      <w:spacing w:line="240" w:lineRule="auto"/>
    </w:pPr>
    <w:rPr>
      <w:sz w:val="20"/>
      <w:szCs w:val="20"/>
    </w:rPr>
  </w:style>
  <w:style w:type="character" w:customStyle="1" w:styleId="CommentTextChar">
    <w:name w:val="Comment Text Char"/>
    <w:basedOn w:val="DefaultParagraphFont"/>
    <w:link w:val="CommentText"/>
    <w:uiPriority w:val="99"/>
    <w:semiHidden/>
    <w:rsid w:val="00890B7D"/>
    <w:rPr>
      <w:sz w:val="20"/>
      <w:szCs w:val="20"/>
    </w:rPr>
  </w:style>
  <w:style w:type="paragraph" w:styleId="CommentSubject">
    <w:name w:val="annotation subject"/>
    <w:basedOn w:val="CommentText"/>
    <w:next w:val="CommentText"/>
    <w:link w:val="CommentSubjectChar"/>
    <w:uiPriority w:val="99"/>
    <w:semiHidden/>
    <w:unhideWhenUsed/>
    <w:rsid w:val="00890B7D"/>
    <w:rPr>
      <w:b/>
      <w:bCs/>
    </w:rPr>
  </w:style>
  <w:style w:type="character" w:customStyle="1" w:styleId="CommentSubjectChar">
    <w:name w:val="Comment Subject Char"/>
    <w:basedOn w:val="CommentTextChar"/>
    <w:link w:val="CommentSubject"/>
    <w:uiPriority w:val="99"/>
    <w:semiHidden/>
    <w:rsid w:val="00890B7D"/>
    <w:rPr>
      <w:b/>
      <w:bCs/>
      <w:sz w:val="20"/>
      <w:szCs w:val="20"/>
    </w:rPr>
  </w:style>
  <w:style w:type="table" w:customStyle="1" w:styleId="TableGrid21">
    <w:name w:val="Table Grid21"/>
    <w:basedOn w:val="TableNormal"/>
    <w:uiPriority w:val="59"/>
    <w:rsid w:val="00D53FDD"/>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4785A"/>
    <w:pPr>
      <w:spacing w:after="0" w:line="240" w:lineRule="auto"/>
    </w:pPr>
  </w:style>
  <w:style w:type="paragraph" w:customStyle="1" w:styleId="BodyText1">
    <w:name w:val="Body Text1"/>
    <w:basedOn w:val="Normal"/>
    <w:uiPriority w:val="1"/>
    <w:qFormat/>
    <w:rsid w:val="0048687F"/>
    <w:pPr>
      <w:spacing w:after="120"/>
    </w:pPr>
    <w:rPr>
      <w:rFonts w:ascii="Cambria" w:eastAsia="Times New Roman" w:hAnsi="Cambria" w:cs="Calibri"/>
      <w:noProof/>
      <w:sz w:val="24"/>
      <w:szCs w:val="24"/>
    </w:rPr>
  </w:style>
  <w:style w:type="character" w:customStyle="1" w:styleId="ListParagraphChar">
    <w:name w:val="List Paragraph Char"/>
    <w:aliases w:val="Footnote Char"/>
    <w:basedOn w:val="DefaultParagraphFont"/>
    <w:link w:val="ListParagraph"/>
    <w:uiPriority w:val="34"/>
    <w:rsid w:val="005A58DB"/>
  </w:style>
  <w:style w:type="character" w:styleId="Hyperlink">
    <w:name w:val="Hyperlink"/>
    <w:basedOn w:val="DefaultParagraphFont"/>
    <w:uiPriority w:val="99"/>
    <w:unhideWhenUsed/>
    <w:rsid w:val="00B42A3F"/>
    <w:rPr>
      <w:color w:val="0000FF" w:themeColor="hyperlink"/>
      <w:u w:val="single"/>
    </w:rPr>
  </w:style>
  <w:style w:type="character" w:customStyle="1" w:styleId="Heading2Char">
    <w:name w:val="Heading 2 Char"/>
    <w:basedOn w:val="DefaultParagraphFont"/>
    <w:link w:val="Heading2"/>
    <w:uiPriority w:val="9"/>
    <w:rsid w:val="00D20B54"/>
    <w:rPr>
      <w:rFonts w:ascii="Arial" w:hAnsi="Arial" w:cs="Arial"/>
      <w:b/>
      <w:szCs w:val="24"/>
    </w:rPr>
  </w:style>
  <w:style w:type="character" w:customStyle="1" w:styleId="Heading3Char">
    <w:name w:val="Heading 3 Char"/>
    <w:basedOn w:val="DefaultParagraphFont"/>
    <w:link w:val="Heading3"/>
    <w:uiPriority w:val="9"/>
    <w:rsid w:val="00D20B54"/>
    <w:rPr>
      <w:rFonts w:ascii="Arial" w:hAnsi="Arial" w:cs="Arial"/>
      <w:b/>
      <w:i/>
      <w:iCs/>
    </w:rPr>
  </w:style>
  <w:style w:type="paragraph" w:customStyle="1" w:styleId="Notes">
    <w:name w:val="Notes"/>
    <w:basedOn w:val="Normal"/>
    <w:qFormat/>
    <w:rsid w:val="00FE1963"/>
    <w:pPr>
      <w:spacing w:after="0" w:line="240" w:lineRule="auto"/>
    </w:pPr>
    <w:rPr>
      <w:rFonts w:ascii="Arial" w:eastAsia="Times New Roman" w:hAnsi="Arial" w:cs="Arial"/>
      <w:noProof/>
      <w:sz w:val="18"/>
      <w:szCs w:val="18"/>
      <w:lang w:val="en-US" w:eastAsia="en-AU"/>
    </w:rPr>
  </w:style>
  <w:style w:type="character" w:customStyle="1" w:styleId="TableText">
    <w:name w:val="Table Text"/>
    <w:basedOn w:val="DefaultParagraphFont"/>
    <w:uiPriority w:val="4"/>
    <w:qFormat/>
    <w:rsid w:val="00FE1963"/>
    <w:rPr>
      <w:rFonts w:ascii="Arial Narrow" w:hAnsi="Arial Narrow" w:cs="Times New Roman"/>
      <w:sz w:val="20"/>
    </w:rPr>
  </w:style>
  <w:style w:type="paragraph" w:customStyle="1" w:styleId="TableFooter">
    <w:name w:val="Table Footer"/>
    <w:basedOn w:val="Normal"/>
    <w:qFormat/>
    <w:rsid w:val="00C658E1"/>
    <w:pPr>
      <w:widowControl w:val="0"/>
      <w:spacing w:after="0" w:line="240" w:lineRule="auto"/>
      <w:jc w:val="both"/>
    </w:pPr>
    <w:rPr>
      <w:rFonts w:ascii="Arial Narrow" w:eastAsia="Times New Roman" w:hAnsi="Arial Narrow" w:cs="Arial"/>
      <w:snapToGrid w:val="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reviews/diabetes-medicines-files/review-diabetes-management-tor4.pdf" TargetMode="External"/><Relationship Id="rId5" Type="http://schemas.openxmlformats.org/officeDocument/2006/relationships/settings" Target="settings.xml"/><Relationship Id="rId15" Type="http://schemas.openxmlformats.org/officeDocument/2006/relationships/hyperlink" Target="http://www.pbs.gov.au/info/reviews/diabetes-medicines-review-consultation" TargetMode="External"/><Relationship Id="rId10" Type="http://schemas.openxmlformats.org/officeDocument/2006/relationships/hyperlink" Target="http://www.pbs.gov.au/reviews/diabetes-medicines-files/review-diabetes-management-tor3.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bs.gov.au/info/reviews/diabetes"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3871-CD37-4863-93C5-92278F05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Shaiyena</dc:creator>
  <cp:lastModifiedBy>Williams Shaiyena</cp:lastModifiedBy>
  <cp:revision>3</cp:revision>
  <cp:lastPrinted>2015-03-27T01:52:00Z</cp:lastPrinted>
  <dcterms:created xsi:type="dcterms:W3CDTF">2015-05-28T03:27:00Z</dcterms:created>
  <dcterms:modified xsi:type="dcterms:W3CDTF">2015-05-28T03:28:00Z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