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C5" w:rsidRPr="005B5D2A" w:rsidRDefault="00E079C5" w:rsidP="00E079C5">
      <w:pPr>
        <w:pStyle w:val="Titlepage"/>
        <w:spacing w:before="3240"/>
      </w:pPr>
      <w:bookmarkStart w:id="0" w:name="_Toc468022799"/>
      <w:r w:rsidRPr="005B5D2A">
        <w:t>Pharmaceutical Benefits Scheme</w:t>
      </w:r>
    </w:p>
    <w:p w:rsidR="00E079C5" w:rsidRPr="005B5D2A" w:rsidRDefault="00E079C5" w:rsidP="00E079C5">
      <w:pPr>
        <w:pStyle w:val="Titlepage"/>
        <w:spacing w:before="200"/>
        <w:rPr>
          <w:b/>
        </w:rPr>
      </w:pPr>
      <w:r w:rsidRPr="005B5D2A">
        <w:rPr>
          <w:b/>
        </w:rPr>
        <w:t>Post-market Review</w:t>
      </w:r>
      <w:r w:rsidR="00C515E3">
        <w:rPr>
          <w:b/>
        </w:rPr>
        <w:t xml:space="preserve"> of</w:t>
      </w:r>
    </w:p>
    <w:p w:rsidR="00E079C5" w:rsidRDefault="00E079C5" w:rsidP="00E079C5">
      <w:pPr>
        <w:pStyle w:val="Titlepage"/>
        <w:spacing w:before="200"/>
        <w:rPr>
          <w:b/>
          <w:color w:val="4F81BD"/>
        </w:rPr>
      </w:pPr>
      <w:r w:rsidRPr="00194011">
        <w:rPr>
          <w:b/>
          <w:color w:val="4F81BD"/>
        </w:rPr>
        <w:t>Chronic Obstructive Pulmonary Disease Medicines</w:t>
      </w:r>
    </w:p>
    <w:p w:rsidR="003E15DE" w:rsidRPr="00194011" w:rsidRDefault="003E15DE" w:rsidP="00E079C5">
      <w:pPr>
        <w:pStyle w:val="Titlepage"/>
        <w:spacing w:before="200"/>
        <w:rPr>
          <w:b/>
          <w:color w:val="4F81BD"/>
        </w:rPr>
      </w:pPr>
      <w:proofErr w:type="spellStart"/>
      <w:r>
        <w:rPr>
          <w:b/>
          <w:color w:val="4F81BD"/>
        </w:rPr>
        <w:t>ToR</w:t>
      </w:r>
      <w:proofErr w:type="spellEnd"/>
      <w:r>
        <w:rPr>
          <w:b/>
          <w:color w:val="4F81BD"/>
        </w:rPr>
        <w:t xml:space="preserve"> 6</w:t>
      </w:r>
    </w:p>
    <w:p w:rsidR="00E079C5" w:rsidRDefault="00015586" w:rsidP="00E079C5">
      <w:pPr>
        <w:pStyle w:val="Titlepage"/>
        <w:spacing w:before="3120"/>
        <w:rPr>
          <w:b/>
          <w:color w:val="4F81BD"/>
          <w:sz w:val="32"/>
          <w:szCs w:val="32"/>
        </w:rPr>
      </w:pPr>
      <w:r>
        <w:rPr>
          <w:b/>
          <w:color w:val="4F81BD"/>
          <w:sz w:val="32"/>
          <w:szCs w:val="32"/>
        </w:rPr>
        <w:t>Final</w:t>
      </w:r>
      <w:r w:rsidR="00E079C5" w:rsidRPr="00194011">
        <w:rPr>
          <w:b/>
          <w:color w:val="4F81BD"/>
          <w:sz w:val="32"/>
          <w:szCs w:val="32"/>
        </w:rPr>
        <w:t xml:space="preserve"> Report</w:t>
      </w:r>
    </w:p>
    <w:p w:rsidR="00E079C5" w:rsidRDefault="0054684E" w:rsidP="00E079C5">
      <w:pPr>
        <w:pStyle w:val="Titlepage"/>
        <w:spacing w:before="3120"/>
        <w:rPr>
          <w:sz w:val="32"/>
        </w:rPr>
      </w:pPr>
      <w:r>
        <w:rPr>
          <w:b/>
          <w:sz w:val="32"/>
          <w:szCs w:val="32"/>
        </w:rPr>
        <w:t>August</w:t>
      </w:r>
      <w:bookmarkStart w:id="1" w:name="_GoBack"/>
      <w:bookmarkEnd w:id="1"/>
      <w:r w:rsidR="00E079C5">
        <w:rPr>
          <w:b/>
          <w:sz w:val="32"/>
          <w:szCs w:val="32"/>
        </w:rPr>
        <w:t xml:space="preserve"> 2017</w:t>
      </w:r>
    </w:p>
    <w:p w:rsidR="00E079C5" w:rsidRDefault="00E079C5" w:rsidP="00B9022B">
      <w:pPr>
        <w:pStyle w:val="Heading1"/>
        <w:numPr>
          <w:ilvl w:val="0"/>
          <w:numId w:val="0"/>
        </w:numPr>
      </w:pPr>
      <w:bookmarkStart w:id="2" w:name="_Toc482623800"/>
      <w:bookmarkStart w:id="3" w:name="_Toc486252571"/>
      <w:bookmarkStart w:id="4" w:name="_Toc486604679"/>
      <w:r>
        <w:lastRenderedPageBreak/>
        <w:t>Contents</w:t>
      </w:r>
      <w:bookmarkEnd w:id="2"/>
      <w:bookmarkEnd w:id="3"/>
      <w:bookmarkEnd w:id="4"/>
    </w:p>
    <w:p w:rsidR="00B72B1B" w:rsidRDefault="00B72B1B">
      <w:pPr>
        <w:pStyle w:val="TOC1"/>
        <w:rPr>
          <w:rFonts w:asciiTheme="minorHAnsi" w:eastAsiaTheme="minorEastAsia" w:hAnsiTheme="minorHAnsi" w:cstheme="minorBidi"/>
          <w:sz w:val="22"/>
          <w:szCs w:val="22"/>
          <w:lang w:eastAsia="en-AU"/>
        </w:rPr>
      </w:pPr>
    </w:p>
    <w:p w:rsidR="00B72B1B" w:rsidRDefault="00B72B1B">
      <w:pPr>
        <w:pStyle w:val="TOC1"/>
        <w:rPr>
          <w:rFonts w:asciiTheme="minorHAnsi" w:eastAsiaTheme="minorEastAsia" w:hAnsiTheme="minorHAnsi" w:cstheme="minorBidi"/>
          <w:sz w:val="22"/>
          <w:szCs w:val="22"/>
          <w:lang w:eastAsia="en-AU"/>
        </w:rPr>
      </w:pPr>
      <w:r w:rsidRPr="00FC2039">
        <w:t>Section 6: ToR 6 Need for a review of cost-effectiveness</w:t>
      </w:r>
      <w:r>
        <w:rPr>
          <w:webHidden/>
        </w:rPr>
        <w:tab/>
      </w:r>
      <w:r w:rsidR="00540DB0">
        <w:rPr>
          <w:webHidden/>
        </w:rPr>
        <w:t>3</w:t>
      </w:r>
    </w:p>
    <w:p w:rsidR="00B72B1B" w:rsidRDefault="00B72B1B">
      <w:pPr>
        <w:pStyle w:val="TOC2"/>
        <w:rPr>
          <w:rFonts w:asciiTheme="minorHAnsi" w:eastAsiaTheme="minorEastAsia" w:hAnsiTheme="minorHAnsi" w:cstheme="minorBidi"/>
          <w:noProof/>
          <w:sz w:val="22"/>
          <w:szCs w:val="22"/>
          <w:lang w:eastAsia="en-AU"/>
        </w:rPr>
      </w:pPr>
      <w:r w:rsidRPr="00FC2039">
        <w:rPr>
          <w:noProof/>
        </w:rPr>
        <w:t>6.1</w:t>
      </w:r>
      <w:r>
        <w:rPr>
          <w:rFonts w:asciiTheme="minorHAnsi" w:eastAsiaTheme="minorEastAsia" w:hAnsiTheme="minorHAnsi" w:cstheme="minorBidi"/>
          <w:noProof/>
          <w:sz w:val="22"/>
          <w:szCs w:val="22"/>
          <w:lang w:eastAsia="en-AU"/>
        </w:rPr>
        <w:tab/>
      </w:r>
      <w:r w:rsidRPr="00FC2039">
        <w:rPr>
          <w:noProof/>
        </w:rPr>
        <w:t>Key findings for ToR 6</w:t>
      </w:r>
      <w:r>
        <w:rPr>
          <w:noProof/>
          <w:webHidden/>
        </w:rPr>
        <w:tab/>
      </w:r>
      <w:r w:rsidR="00540DB0">
        <w:rPr>
          <w:noProof/>
          <w:webHidden/>
        </w:rPr>
        <w:t>3</w:t>
      </w:r>
    </w:p>
    <w:p w:rsidR="00B72B1B" w:rsidRDefault="00B72B1B">
      <w:pPr>
        <w:pStyle w:val="TOC3"/>
        <w:rPr>
          <w:rFonts w:asciiTheme="minorHAnsi" w:eastAsiaTheme="minorEastAsia" w:hAnsiTheme="minorHAnsi" w:cstheme="minorBidi"/>
          <w:noProof/>
          <w:sz w:val="22"/>
          <w:szCs w:val="22"/>
          <w:lang w:eastAsia="en-AU"/>
        </w:rPr>
      </w:pPr>
      <w:r w:rsidRPr="00FC2039">
        <w:rPr>
          <w:noProof/>
        </w:rPr>
        <w:t>Utilisation</w:t>
      </w:r>
      <w:r>
        <w:rPr>
          <w:noProof/>
          <w:webHidden/>
        </w:rPr>
        <w:tab/>
      </w:r>
      <w:r w:rsidR="00540DB0">
        <w:rPr>
          <w:noProof/>
          <w:webHidden/>
        </w:rPr>
        <w:t>3</w:t>
      </w:r>
    </w:p>
    <w:p w:rsidR="00B72B1B" w:rsidRDefault="00B72B1B">
      <w:pPr>
        <w:pStyle w:val="TOC3"/>
        <w:rPr>
          <w:rFonts w:asciiTheme="minorHAnsi" w:eastAsiaTheme="minorEastAsia" w:hAnsiTheme="minorHAnsi" w:cstheme="minorBidi"/>
          <w:noProof/>
          <w:sz w:val="22"/>
          <w:szCs w:val="22"/>
          <w:lang w:eastAsia="en-AU"/>
        </w:rPr>
      </w:pPr>
      <w:r w:rsidRPr="00FC2039">
        <w:rPr>
          <w:noProof/>
        </w:rPr>
        <w:t>Efficacy and safety</w:t>
      </w:r>
      <w:r>
        <w:rPr>
          <w:noProof/>
          <w:webHidden/>
        </w:rPr>
        <w:tab/>
      </w:r>
      <w:r w:rsidR="00540DB0">
        <w:rPr>
          <w:noProof/>
          <w:webHidden/>
        </w:rPr>
        <w:t>3</w:t>
      </w:r>
    </w:p>
    <w:p w:rsidR="00B72B1B" w:rsidRDefault="00B72B1B">
      <w:pPr>
        <w:pStyle w:val="TOC3"/>
        <w:rPr>
          <w:rFonts w:asciiTheme="minorHAnsi" w:eastAsiaTheme="minorEastAsia" w:hAnsiTheme="minorHAnsi" w:cstheme="minorBidi"/>
          <w:noProof/>
          <w:sz w:val="22"/>
          <w:szCs w:val="22"/>
          <w:lang w:eastAsia="en-AU"/>
        </w:rPr>
      </w:pPr>
      <w:r w:rsidRPr="00FC2039">
        <w:rPr>
          <w:noProof/>
        </w:rPr>
        <w:t>Stakeholder views (Forum and public consultations)</w:t>
      </w:r>
      <w:r>
        <w:rPr>
          <w:noProof/>
          <w:webHidden/>
        </w:rPr>
        <w:tab/>
      </w:r>
      <w:r w:rsidR="00540DB0">
        <w:rPr>
          <w:noProof/>
          <w:webHidden/>
        </w:rPr>
        <w:t>4</w:t>
      </w:r>
    </w:p>
    <w:p w:rsidR="00B72B1B" w:rsidRDefault="00B72B1B">
      <w:pPr>
        <w:pStyle w:val="TOC2"/>
        <w:rPr>
          <w:rFonts w:asciiTheme="minorHAnsi" w:eastAsiaTheme="minorEastAsia" w:hAnsiTheme="minorHAnsi" w:cstheme="minorBidi"/>
          <w:noProof/>
          <w:sz w:val="22"/>
          <w:szCs w:val="22"/>
          <w:lang w:eastAsia="en-AU"/>
        </w:rPr>
      </w:pPr>
      <w:r w:rsidRPr="00FC2039">
        <w:rPr>
          <w:noProof/>
        </w:rPr>
        <w:t>6.2</w:t>
      </w:r>
      <w:r>
        <w:rPr>
          <w:rFonts w:asciiTheme="minorHAnsi" w:eastAsiaTheme="minorEastAsia" w:hAnsiTheme="minorHAnsi" w:cstheme="minorBidi"/>
          <w:noProof/>
          <w:sz w:val="22"/>
          <w:szCs w:val="22"/>
          <w:lang w:eastAsia="en-AU"/>
        </w:rPr>
        <w:tab/>
      </w:r>
      <w:r w:rsidRPr="00FC2039">
        <w:rPr>
          <w:noProof/>
        </w:rPr>
        <w:t>Comparative efficacy and safety</w:t>
      </w:r>
      <w:r>
        <w:rPr>
          <w:noProof/>
          <w:webHidden/>
        </w:rPr>
        <w:tab/>
      </w:r>
      <w:r w:rsidR="00540DB0">
        <w:rPr>
          <w:noProof/>
          <w:webHidden/>
        </w:rPr>
        <w:t>5</w:t>
      </w:r>
    </w:p>
    <w:p w:rsidR="00B72B1B" w:rsidRDefault="00B72B1B">
      <w:pPr>
        <w:pStyle w:val="TOC3"/>
        <w:tabs>
          <w:tab w:val="left" w:pos="1851"/>
        </w:tabs>
        <w:rPr>
          <w:rFonts w:asciiTheme="minorHAnsi" w:eastAsiaTheme="minorEastAsia" w:hAnsiTheme="minorHAnsi" w:cstheme="minorBidi"/>
          <w:noProof/>
          <w:sz w:val="22"/>
          <w:szCs w:val="22"/>
          <w:lang w:eastAsia="en-AU"/>
        </w:rPr>
      </w:pPr>
      <w:r w:rsidRPr="00FC2039">
        <w:rPr>
          <w:noProof/>
        </w:rPr>
        <w:t>6.2.1</w:t>
      </w:r>
      <w:r>
        <w:rPr>
          <w:rFonts w:asciiTheme="minorHAnsi" w:eastAsiaTheme="minorEastAsia" w:hAnsiTheme="minorHAnsi" w:cstheme="minorBidi"/>
          <w:noProof/>
          <w:sz w:val="22"/>
          <w:szCs w:val="22"/>
          <w:lang w:eastAsia="en-AU"/>
        </w:rPr>
        <w:tab/>
      </w:r>
      <w:r w:rsidRPr="00FC2039">
        <w:rPr>
          <w:noProof/>
        </w:rPr>
        <w:t>Monotherapy versus monotherapy in patients with COPD</w:t>
      </w:r>
      <w:r>
        <w:rPr>
          <w:noProof/>
          <w:webHidden/>
        </w:rPr>
        <w:tab/>
      </w:r>
      <w:r w:rsidR="00540DB0">
        <w:rPr>
          <w:noProof/>
          <w:webHidden/>
        </w:rPr>
        <w:t>5</w:t>
      </w:r>
    </w:p>
    <w:p w:rsidR="00B72B1B" w:rsidRDefault="00B72B1B">
      <w:pPr>
        <w:pStyle w:val="TOC3"/>
        <w:tabs>
          <w:tab w:val="left" w:pos="1851"/>
        </w:tabs>
        <w:rPr>
          <w:rFonts w:asciiTheme="minorHAnsi" w:eastAsiaTheme="minorEastAsia" w:hAnsiTheme="minorHAnsi" w:cstheme="minorBidi"/>
          <w:noProof/>
          <w:sz w:val="22"/>
          <w:szCs w:val="22"/>
          <w:lang w:eastAsia="en-AU"/>
        </w:rPr>
      </w:pPr>
      <w:r w:rsidRPr="00FC2039">
        <w:rPr>
          <w:noProof/>
        </w:rPr>
        <w:t>6.2.2</w:t>
      </w:r>
      <w:r>
        <w:rPr>
          <w:rFonts w:asciiTheme="minorHAnsi" w:eastAsiaTheme="minorEastAsia" w:hAnsiTheme="minorHAnsi" w:cstheme="minorBidi"/>
          <w:noProof/>
          <w:sz w:val="22"/>
          <w:szCs w:val="22"/>
          <w:lang w:eastAsia="en-AU"/>
        </w:rPr>
        <w:tab/>
      </w:r>
      <w:r w:rsidRPr="00FC2039">
        <w:rPr>
          <w:noProof/>
        </w:rPr>
        <w:t>Monotherapy versus dual therapy in patients with COPDs</w:t>
      </w:r>
      <w:r>
        <w:rPr>
          <w:noProof/>
          <w:webHidden/>
        </w:rPr>
        <w:tab/>
      </w:r>
      <w:r w:rsidR="00540DB0">
        <w:rPr>
          <w:noProof/>
          <w:webHidden/>
        </w:rPr>
        <w:t>5</w:t>
      </w:r>
    </w:p>
    <w:p w:rsidR="00B72B1B" w:rsidRDefault="00B72B1B">
      <w:pPr>
        <w:pStyle w:val="TOC3"/>
        <w:tabs>
          <w:tab w:val="left" w:pos="1851"/>
        </w:tabs>
        <w:rPr>
          <w:rFonts w:asciiTheme="minorHAnsi" w:eastAsiaTheme="minorEastAsia" w:hAnsiTheme="minorHAnsi" w:cstheme="minorBidi"/>
          <w:noProof/>
          <w:sz w:val="22"/>
          <w:szCs w:val="22"/>
          <w:lang w:eastAsia="en-AU"/>
        </w:rPr>
      </w:pPr>
      <w:r w:rsidRPr="00FC2039">
        <w:rPr>
          <w:noProof/>
        </w:rPr>
        <w:t>6.2.3</w:t>
      </w:r>
      <w:r>
        <w:rPr>
          <w:rFonts w:asciiTheme="minorHAnsi" w:eastAsiaTheme="minorEastAsia" w:hAnsiTheme="minorHAnsi" w:cstheme="minorBidi"/>
          <w:noProof/>
          <w:sz w:val="22"/>
          <w:szCs w:val="22"/>
          <w:lang w:eastAsia="en-AU"/>
        </w:rPr>
        <w:tab/>
      </w:r>
      <w:r w:rsidRPr="00FC2039">
        <w:rPr>
          <w:noProof/>
        </w:rPr>
        <w:t>Dual therapy versus dual therapy in patients with COPD</w:t>
      </w:r>
      <w:r>
        <w:rPr>
          <w:noProof/>
          <w:webHidden/>
        </w:rPr>
        <w:tab/>
      </w:r>
      <w:r w:rsidR="00540DB0">
        <w:rPr>
          <w:noProof/>
          <w:webHidden/>
        </w:rPr>
        <w:t>8</w:t>
      </w:r>
    </w:p>
    <w:p w:rsidR="00B72B1B" w:rsidRDefault="00B72B1B">
      <w:pPr>
        <w:pStyle w:val="TOC3"/>
        <w:tabs>
          <w:tab w:val="left" w:pos="1851"/>
        </w:tabs>
        <w:rPr>
          <w:rFonts w:asciiTheme="minorHAnsi" w:eastAsiaTheme="minorEastAsia" w:hAnsiTheme="minorHAnsi" w:cstheme="minorBidi"/>
          <w:noProof/>
          <w:sz w:val="22"/>
          <w:szCs w:val="22"/>
          <w:lang w:eastAsia="en-AU"/>
        </w:rPr>
      </w:pPr>
      <w:r w:rsidRPr="00FC2039">
        <w:rPr>
          <w:noProof/>
        </w:rPr>
        <w:t>6.2.4</w:t>
      </w:r>
      <w:r>
        <w:rPr>
          <w:rFonts w:asciiTheme="minorHAnsi" w:eastAsiaTheme="minorEastAsia" w:hAnsiTheme="minorHAnsi" w:cstheme="minorBidi"/>
          <w:noProof/>
          <w:sz w:val="22"/>
          <w:szCs w:val="22"/>
          <w:lang w:eastAsia="en-AU"/>
        </w:rPr>
        <w:tab/>
      </w:r>
      <w:r w:rsidRPr="00FC2039">
        <w:rPr>
          <w:noProof/>
        </w:rPr>
        <w:t>Comparison of dual and triple therapy</w:t>
      </w:r>
      <w:r>
        <w:rPr>
          <w:noProof/>
          <w:webHidden/>
        </w:rPr>
        <w:tab/>
      </w:r>
      <w:r w:rsidR="00540DB0">
        <w:rPr>
          <w:noProof/>
          <w:webHidden/>
        </w:rPr>
        <w:t>9</w:t>
      </w:r>
    </w:p>
    <w:p w:rsidR="00B72B1B" w:rsidRDefault="00B72B1B">
      <w:pPr>
        <w:pStyle w:val="TOC2"/>
        <w:rPr>
          <w:rFonts w:asciiTheme="minorHAnsi" w:eastAsiaTheme="minorEastAsia" w:hAnsiTheme="minorHAnsi" w:cstheme="minorBidi"/>
          <w:noProof/>
          <w:sz w:val="22"/>
          <w:szCs w:val="22"/>
          <w:lang w:eastAsia="en-AU"/>
        </w:rPr>
      </w:pPr>
      <w:r w:rsidRPr="00FC2039">
        <w:rPr>
          <w:noProof/>
        </w:rPr>
        <w:t>6.3</w:t>
      </w:r>
      <w:r>
        <w:rPr>
          <w:rFonts w:asciiTheme="minorHAnsi" w:eastAsiaTheme="minorEastAsia" w:hAnsiTheme="minorHAnsi" w:cstheme="minorBidi"/>
          <w:noProof/>
          <w:sz w:val="22"/>
          <w:szCs w:val="22"/>
          <w:lang w:eastAsia="en-AU"/>
        </w:rPr>
        <w:tab/>
      </w:r>
      <w:r w:rsidRPr="00FC2039">
        <w:rPr>
          <w:noProof/>
        </w:rPr>
        <w:t>Utilisation of COPD inhaled preventer medicines</w:t>
      </w:r>
      <w:r>
        <w:rPr>
          <w:noProof/>
          <w:webHidden/>
        </w:rPr>
        <w:tab/>
      </w:r>
      <w:r w:rsidR="00540DB0">
        <w:rPr>
          <w:noProof/>
          <w:webHidden/>
        </w:rPr>
        <w:t>9</w:t>
      </w:r>
    </w:p>
    <w:p w:rsidR="003E15DE" w:rsidRDefault="003E15DE" w:rsidP="003E15DE">
      <w:pPr>
        <w:pStyle w:val="BodyTextnospacebefore"/>
      </w:pPr>
    </w:p>
    <w:p w:rsidR="00941680" w:rsidRPr="00A455D0" w:rsidRDefault="00941680" w:rsidP="00A455D0">
      <w:pPr>
        <w:pStyle w:val="BodyText"/>
        <w:jc w:val="center"/>
        <w:rPr>
          <w:b/>
          <w:color w:val="548DD4" w:themeColor="text2" w:themeTint="99"/>
          <w:sz w:val="32"/>
          <w:szCs w:val="32"/>
        </w:rPr>
      </w:pPr>
      <w:r w:rsidRPr="00A455D0">
        <w:rPr>
          <w:b/>
          <w:color w:val="548DD4" w:themeColor="text2" w:themeTint="99"/>
          <w:sz w:val="32"/>
          <w:szCs w:val="32"/>
        </w:rPr>
        <w:t>List of Tables</w:t>
      </w:r>
    </w:p>
    <w:p w:rsidR="00173FC0" w:rsidRDefault="00173FC0">
      <w:pPr>
        <w:pStyle w:val="TableofFigures"/>
        <w:tabs>
          <w:tab w:val="right" w:leader="dot" w:pos="9628"/>
        </w:tabs>
        <w:rPr>
          <w:rFonts w:asciiTheme="minorHAnsi" w:eastAsiaTheme="minorEastAsia" w:hAnsiTheme="minorHAnsi" w:cstheme="minorBidi"/>
          <w:noProof/>
          <w:sz w:val="22"/>
          <w:szCs w:val="22"/>
          <w:lang w:eastAsia="en-AU"/>
        </w:rPr>
      </w:pPr>
      <w:r w:rsidRPr="00FC2039">
        <w:rPr>
          <w:noProof/>
        </w:rPr>
        <w:t>Table 6.1</w:t>
      </w:r>
      <w:r>
        <w:rPr>
          <w:rFonts w:asciiTheme="minorHAnsi" w:eastAsiaTheme="minorEastAsia" w:hAnsiTheme="minorHAnsi" w:cstheme="minorBidi"/>
          <w:noProof/>
          <w:sz w:val="22"/>
          <w:szCs w:val="22"/>
          <w:lang w:eastAsia="en-AU"/>
        </w:rPr>
        <w:tab/>
      </w:r>
      <w:r w:rsidRPr="00FC2039">
        <w:rPr>
          <w:noProof/>
        </w:rPr>
        <w:t>Least squares mean difference in trough FEV</w:t>
      </w:r>
      <w:r w:rsidRPr="00FC2039">
        <w:rPr>
          <w:noProof/>
          <w:vertAlign w:val="subscript"/>
        </w:rPr>
        <w:t>1</w:t>
      </w:r>
      <w:r w:rsidRPr="00FC2039">
        <w:rPr>
          <w:noProof/>
        </w:rPr>
        <w:t xml:space="preserve"> – GLY/IND vs TIO</w:t>
      </w:r>
      <w:r>
        <w:rPr>
          <w:noProof/>
          <w:webHidden/>
        </w:rPr>
        <w:tab/>
      </w:r>
      <w:r w:rsidR="00540DB0">
        <w:rPr>
          <w:noProof/>
          <w:webHidden/>
        </w:rPr>
        <w:t>6</w:t>
      </w:r>
    </w:p>
    <w:p w:rsidR="00173FC0" w:rsidRDefault="00173FC0">
      <w:pPr>
        <w:pStyle w:val="TableofFigures"/>
        <w:tabs>
          <w:tab w:val="right" w:leader="dot" w:pos="9628"/>
        </w:tabs>
        <w:rPr>
          <w:rFonts w:asciiTheme="minorHAnsi" w:eastAsiaTheme="minorEastAsia" w:hAnsiTheme="minorHAnsi" w:cstheme="minorBidi"/>
          <w:noProof/>
          <w:sz w:val="22"/>
          <w:szCs w:val="22"/>
          <w:lang w:eastAsia="en-AU"/>
        </w:rPr>
      </w:pPr>
      <w:r w:rsidRPr="00FC2039">
        <w:rPr>
          <w:noProof/>
        </w:rPr>
        <w:t>Table 6.2</w:t>
      </w:r>
      <w:r>
        <w:rPr>
          <w:rFonts w:asciiTheme="minorHAnsi" w:eastAsiaTheme="minorEastAsia" w:hAnsiTheme="minorHAnsi" w:cstheme="minorBidi"/>
          <w:noProof/>
          <w:sz w:val="22"/>
          <w:szCs w:val="22"/>
          <w:lang w:eastAsia="en-AU"/>
        </w:rPr>
        <w:tab/>
      </w:r>
      <w:r w:rsidRPr="00FC2039">
        <w:rPr>
          <w:noProof/>
        </w:rPr>
        <w:t>Adjusted mean trough FEV</w:t>
      </w:r>
      <w:r w:rsidRPr="00FC2039">
        <w:rPr>
          <w:noProof/>
          <w:vertAlign w:val="subscript"/>
        </w:rPr>
        <w:t>1</w:t>
      </w:r>
      <w:r w:rsidRPr="00FC2039">
        <w:rPr>
          <w:noProof/>
        </w:rPr>
        <w:t xml:space="preserve"> after 24 weeks of treatment according to treatment history and GOLD classification – TIO/OLO vs TIO</w:t>
      </w:r>
      <w:r>
        <w:rPr>
          <w:noProof/>
          <w:webHidden/>
        </w:rPr>
        <w:tab/>
      </w:r>
      <w:r w:rsidR="00540DB0">
        <w:rPr>
          <w:noProof/>
          <w:webHidden/>
        </w:rPr>
        <w:t>6</w:t>
      </w:r>
    </w:p>
    <w:p w:rsidR="00173FC0" w:rsidRDefault="00173FC0">
      <w:pPr>
        <w:pStyle w:val="TableofFigures"/>
        <w:tabs>
          <w:tab w:val="right" w:leader="dot" w:pos="9628"/>
        </w:tabs>
        <w:rPr>
          <w:rFonts w:asciiTheme="minorHAnsi" w:eastAsiaTheme="minorEastAsia" w:hAnsiTheme="minorHAnsi" w:cstheme="minorBidi"/>
          <w:noProof/>
          <w:sz w:val="22"/>
          <w:szCs w:val="22"/>
          <w:lang w:eastAsia="en-AU"/>
        </w:rPr>
      </w:pPr>
      <w:r w:rsidRPr="00FC2039">
        <w:rPr>
          <w:noProof/>
        </w:rPr>
        <w:t>Table 6.3</w:t>
      </w:r>
      <w:r>
        <w:rPr>
          <w:rFonts w:asciiTheme="minorHAnsi" w:eastAsiaTheme="minorEastAsia" w:hAnsiTheme="minorHAnsi" w:cstheme="minorBidi"/>
          <w:noProof/>
          <w:sz w:val="22"/>
          <w:szCs w:val="22"/>
          <w:lang w:eastAsia="en-AU"/>
        </w:rPr>
        <w:tab/>
      </w:r>
      <w:r w:rsidRPr="00FC2039">
        <w:rPr>
          <w:noProof/>
        </w:rPr>
        <w:t>Trough FEV</w:t>
      </w:r>
      <w:r w:rsidRPr="00FC2039">
        <w:rPr>
          <w:noProof/>
          <w:vertAlign w:val="subscript"/>
        </w:rPr>
        <w:t>1</w:t>
      </w:r>
      <w:r w:rsidRPr="00FC2039">
        <w:rPr>
          <w:noProof/>
        </w:rPr>
        <w:t xml:space="preserve"> in OTEMTO 1 and 2 after 12 weeks – ITT on full analysis set</w:t>
      </w:r>
      <w:r w:rsidRPr="00FC2039">
        <w:rPr>
          <w:noProof/>
          <w:vertAlign w:val="superscript"/>
        </w:rPr>
        <w:t>a</w:t>
      </w:r>
      <w:r>
        <w:rPr>
          <w:noProof/>
          <w:webHidden/>
        </w:rPr>
        <w:tab/>
      </w:r>
      <w:r w:rsidR="00540DB0">
        <w:rPr>
          <w:noProof/>
          <w:webHidden/>
        </w:rPr>
        <w:t>7</w:t>
      </w:r>
    </w:p>
    <w:p w:rsidR="00173FC0" w:rsidRDefault="00173FC0">
      <w:pPr>
        <w:pStyle w:val="TableofFigures"/>
        <w:tabs>
          <w:tab w:val="right" w:leader="dot" w:pos="9628"/>
        </w:tabs>
        <w:rPr>
          <w:rFonts w:asciiTheme="minorHAnsi" w:eastAsiaTheme="minorEastAsia" w:hAnsiTheme="minorHAnsi" w:cstheme="minorBidi"/>
          <w:noProof/>
          <w:sz w:val="22"/>
          <w:szCs w:val="22"/>
          <w:lang w:eastAsia="en-AU"/>
        </w:rPr>
      </w:pPr>
      <w:r w:rsidRPr="00FC2039">
        <w:rPr>
          <w:noProof/>
        </w:rPr>
        <w:t>Table 6.4</w:t>
      </w:r>
      <w:r>
        <w:rPr>
          <w:rFonts w:asciiTheme="minorHAnsi" w:eastAsiaTheme="minorEastAsia" w:hAnsiTheme="minorHAnsi" w:cstheme="minorBidi"/>
          <w:noProof/>
          <w:sz w:val="22"/>
          <w:szCs w:val="22"/>
          <w:lang w:eastAsia="en-AU"/>
        </w:rPr>
        <w:tab/>
      </w:r>
      <w:r w:rsidRPr="00FC2039">
        <w:rPr>
          <w:noProof/>
        </w:rPr>
        <w:t>Treatment differences in least squares mean change from baseline – Trough FEV</w:t>
      </w:r>
      <w:r w:rsidRPr="00FC2039">
        <w:rPr>
          <w:noProof/>
          <w:vertAlign w:val="subscript"/>
        </w:rPr>
        <w:t>1</w:t>
      </w:r>
      <w:r>
        <w:rPr>
          <w:noProof/>
          <w:webHidden/>
        </w:rPr>
        <w:tab/>
      </w:r>
      <w:r w:rsidR="00540DB0">
        <w:rPr>
          <w:noProof/>
          <w:webHidden/>
        </w:rPr>
        <w:t>7</w:t>
      </w:r>
    </w:p>
    <w:p w:rsidR="00941680" w:rsidRDefault="00941680" w:rsidP="006C152B">
      <w:pPr>
        <w:pStyle w:val="BodyText"/>
      </w:pPr>
    </w:p>
    <w:p w:rsidR="00E079C5" w:rsidRDefault="00E079C5" w:rsidP="00E079C5">
      <w:pPr>
        <w:pStyle w:val="BodyText"/>
      </w:pPr>
      <w:r>
        <w:br w:type="page"/>
      </w:r>
    </w:p>
    <w:p w:rsidR="00675E77" w:rsidRDefault="00C35BF4" w:rsidP="00E079C5">
      <w:pPr>
        <w:pStyle w:val="Heading1"/>
        <w:numPr>
          <w:ilvl w:val="0"/>
          <w:numId w:val="0"/>
        </w:numPr>
      </w:pPr>
      <w:bookmarkStart w:id="5" w:name="_Toc486604680"/>
      <w:r>
        <w:lastRenderedPageBreak/>
        <w:t xml:space="preserve">Section </w:t>
      </w:r>
      <w:r w:rsidR="00452314">
        <w:t>6</w:t>
      </w:r>
      <w:r w:rsidR="00D726A1">
        <w:t xml:space="preserve">: </w:t>
      </w:r>
      <w:bookmarkStart w:id="6" w:name="_Toc480374294"/>
      <w:r w:rsidR="00675E77" w:rsidRPr="00DF0ED0">
        <w:t xml:space="preserve">ToR </w:t>
      </w:r>
      <w:r w:rsidR="00452314">
        <w:t>6</w:t>
      </w:r>
      <w:r w:rsidR="00675E77">
        <w:br/>
      </w:r>
      <w:r w:rsidR="00452314" w:rsidRPr="00452314">
        <w:t>Need for a review of cost-effectiveness</w:t>
      </w:r>
      <w:bookmarkEnd w:id="0"/>
      <w:bookmarkEnd w:id="5"/>
      <w:bookmarkEnd w:id="6"/>
    </w:p>
    <w:p w:rsidR="00452314" w:rsidRDefault="00452314" w:rsidP="00452314">
      <w:pPr>
        <w:pStyle w:val="ToRinbox"/>
      </w:pPr>
      <w:r w:rsidRPr="00AF439E">
        <w:t>Evaluate if the current utilisation of multiple therapies and the latest evidence relating to safety and efficacy justifies a review of cost-effectiveness for some or all medicines indicated for COPD.</w:t>
      </w:r>
    </w:p>
    <w:p w:rsidR="00675E77" w:rsidRDefault="00675E77" w:rsidP="00452314">
      <w:pPr>
        <w:pStyle w:val="Heading2"/>
      </w:pPr>
      <w:bookmarkStart w:id="7" w:name="_Toc468022800"/>
      <w:bookmarkStart w:id="8" w:name="_Toc480374295"/>
      <w:bookmarkStart w:id="9" w:name="_Toc486604681"/>
      <w:r>
        <w:t xml:space="preserve">Key findings for ToR </w:t>
      </w:r>
      <w:r w:rsidR="00452314">
        <w:t>6</w:t>
      </w:r>
      <w:bookmarkEnd w:id="7"/>
      <w:bookmarkEnd w:id="8"/>
      <w:bookmarkEnd w:id="9"/>
    </w:p>
    <w:p w:rsidR="00D63C81" w:rsidRDefault="00D63C81" w:rsidP="004909FE">
      <w:pPr>
        <w:pStyle w:val="BodyText"/>
      </w:pPr>
      <w:r>
        <w:t xml:space="preserve">The key findings from this Review regarding the </w:t>
      </w:r>
      <w:r w:rsidR="00452314">
        <w:t>cost</w:t>
      </w:r>
      <w:r w:rsidR="00E95D42">
        <w:t>-</w:t>
      </w:r>
      <w:r w:rsidR="00452314">
        <w:t>effectiveness of</w:t>
      </w:r>
      <w:r>
        <w:t xml:space="preserve"> </w:t>
      </w:r>
      <w:r w:rsidR="00452314">
        <w:t xml:space="preserve">COPD </w:t>
      </w:r>
      <w:r w:rsidR="00E95D42">
        <w:t>m</w:t>
      </w:r>
      <w:r w:rsidR="00452314">
        <w:t>edicines</w:t>
      </w:r>
      <w:r>
        <w:t xml:space="preserve"> are:</w:t>
      </w:r>
    </w:p>
    <w:p w:rsidR="00E95D42" w:rsidRDefault="00E95D42" w:rsidP="00E079C5">
      <w:pPr>
        <w:pStyle w:val="Heading3"/>
        <w:numPr>
          <w:ilvl w:val="0"/>
          <w:numId w:val="0"/>
        </w:numPr>
      </w:pPr>
      <w:bookmarkStart w:id="10" w:name="_Toc486604682"/>
      <w:r>
        <w:t>Utilisation</w:t>
      </w:r>
      <w:bookmarkEnd w:id="10"/>
    </w:p>
    <w:p w:rsidR="00E95D42" w:rsidRDefault="00E95D42" w:rsidP="00E95D42">
      <w:pPr>
        <w:pStyle w:val="Bullettext"/>
      </w:pPr>
      <w:r>
        <w:t>From a cost and QUM perspective, the key concern identified by the Review is the growing proportion of patients initiating dual or triple inhaled therapy</w:t>
      </w:r>
      <w:r w:rsidR="00A76B2A">
        <w:t xml:space="preserve"> of the COPD medicines in scope</w:t>
      </w:r>
      <w:r>
        <w:t xml:space="preserve"> (a quarter of patients). </w:t>
      </w:r>
      <w:r w:rsidR="00A76B2A">
        <w:t>This is not recommended in the COPD-X Guidelines, is not in line with the PBS restrictions, and the cost-effectiveness of this use is unknown.</w:t>
      </w:r>
    </w:p>
    <w:p w:rsidR="00E95D42" w:rsidRDefault="00E95D42" w:rsidP="00E47F61">
      <w:pPr>
        <w:pStyle w:val="Bullettext"/>
      </w:pPr>
      <w:r>
        <w:t>NPS MedicineInsight data indicates that around 3.9% of patients recorded with a diagnosis of COPD only, and 6.1% of patients recorded with a diagnosis of COPD plus asthma, may have duplicated therapy.</w:t>
      </w:r>
    </w:p>
    <w:p w:rsidR="00E95D42" w:rsidRDefault="00E95D42" w:rsidP="00E079C5">
      <w:pPr>
        <w:pStyle w:val="Heading3"/>
        <w:numPr>
          <w:ilvl w:val="0"/>
          <w:numId w:val="0"/>
        </w:numPr>
      </w:pPr>
      <w:bookmarkStart w:id="11" w:name="_Toc486604683"/>
      <w:r>
        <w:t>Efficacy and safety</w:t>
      </w:r>
      <w:bookmarkEnd w:id="11"/>
    </w:p>
    <w:p w:rsidR="00452314" w:rsidRDefault="007807B6" w:rsidP="00B7573A">
      <w:pPr>
        <w:pStyle w:val="Bullettext"/>
        <w:spacing w:after="120"/>
      </w:pPr>
      <w:r>
        <w:t xml:space="preserve">Previous PBAC decision </w:t>
      </w:r>
      <w:r w:rsidR="00452314">
        <w:t>making has considered medicines in the LAMA, LABA, ICS/LABA and LAMA/LABA classes to be of comparable efficacy and similar safety to other medicines within their class. Where available, new evidence generally supports these decisions and the previously determined price relativities.</w:t>
      </w:r>
    </w:p>
    <w:p w:rsidR="007807B6" w:rsidRDefault="00452314" w:rsidP="007807B6">
      <w:pPr>
        <w:pStyle w:val="Bullettext"/>
        <w:spacing w:after="120"/>
      </w:pPr>
      <w:r>
        <w:t xml:space="preserve">PBS-listed LAMAs, LABAs and ICS/LABAs were all considered by the PBAC to be of comparative efficacy and similar safety and were cost-minimised. </w:t>
      </w:r>
      <w:r w:rsidR="002E275B" w:rsidRPr="00B43E32">
        <w:t>Overall, new evidence regarding the comparative efficacy and safety of LAMAs and LABAs compared to ICS/LABA FDCs is inconclusive, but does not support a c</w:t>
      </w:r>
      <w:r w:rsidR="007807B6">
        <w:t xml:space="preserve">hange to previous PBAC decision </w:t>
      </w:r>
      <w:r w:rsidR="002E275B" w:rsidRPr="00B43E32">
        <w:t>making.</w:t>
      </w:r>
      <w:r w:rsidR="002E275B">
        <w:t xml:space="preserve"> </w:t>
      </w:r>
      <w:r>
        <w:t>No new evidence was identified that would change the previously determined price relativities</w:t>
      </w:r>
      <w:r w:rsidR="002E275B">
        <w:t xml:space="preserve"> for these therapies</w:t>
      </w:r>
      <w:r>
        <w:t>.</w:t>
      </w:r>
      <w:r w:rsidR="007807B6" w:rsidRPr="007807B6">
        <w:t xml:space="preserve"> </w:t>
      </w:r>
    </w:p>
    <w:p w:rsidR="00C23E19" w:rsidRPr="00FC2039" w:rsidRDefault="00FC2039" w:rsidP="00FC2039">
      <w:pPr>
        <w:pStyle w:val="Bullettext"/>
        <w:numPr>
          <w:ilvl w:val="0"/>
          <w:numId w:val="0"/>
        </w:numPr>
        <w:spacing w:after="120"/>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lastRenderedPageBreak/>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E95D42" w:rsidRDefault="00452314" w:rsidP="00B7573A">
      <w:pPr>
        <w:pStyle w:val="Bullettext"/>
        <w:spacing w:after="120"/>
      </w:pPr>
      <w:r>
        <w:t xml:space="preserve">There is evidence </w:t>
      </w:r>
      <w:r w:rsidR="009B5D99">
        <w:t xml:space="preserve">to support a </w:t>
      </w:r>
      <w:r>
        <w:t xml:space="preserve">modest benefit of stepping up from LAMA </w:t>
      </w:r>
      <w:proofErr w:type="gramStart"/>
      <w:r>
        <w:t>monotherapy</w:t>
      </w:r>
      <w:proofErr w:type="gramEnd"/>
      <w:r>
        <w:t xml:space="preserve"> to LAMA/LABA dual therapy. </w:t>
      </w:r>
      <w:r w:rsidR="00334867">
        <w:t xml:space="preserve">Based on </w:t>
      </w:r>
      <w:r>
        <w:t xml:space="preserve">four </w:t>
      </w:r>
      <w:r w:rsidR="00334867">
        <w:t>studies</w:t>
      </w:r>
      <w:r>
        <w:t xml:space="preserve"> </w:t>
      </w:r>
      <w:r w:rsidR="00334867">
        <w:t>identified in this review, t</w:t>
      </w:r>
      <w:r>
        <w:t>he mean difference in trough FEV</w:t>
      </w:r>
      <w:r w:rsidRPr="00B7573A">
        <w:rPr>
          <w:vertAlign w:val="subscript"/>
        </w:rPr>
        <w:t xml:space="preserve">1 </w:t>
      </w:r>
      <w:r>
        <w:t>between LAMA alone and LABA/LAMA ranged from 28 mL (Singh et al, 2015b) to 112 mL (</w:t>
      </w:r>
      <w:proofErr w:type="spellStart"/>
      <w:r>
        <w:t>Maleki-Yazdi</w:t>
      </w:r>
      <w:proofErr w:type="spellEnd"/>
      <w:r>
        <w:t xml:space="preserve"> et al, 2014). </w:t>
      </w:r>
      <w:r w:rsidR="00C23E19" w:rsidRPr="00D319A7">
        <w:t>It is worth noting that the PBAC has previously considered the MCID for change in trough FEV</w:t>
      </w:r>
      <w:r w:rsidR="00C23E19" w:rsidRPr="00D319A7">
        <w:rPr>
          <w:vertAlign w:val="subscript"/>
        </w:rPr>
        <w:t>1</w:t>
      </w:r>
      <w:r w:rsidR="00C23E19" w:rsidRPr="00D319A7">
        <w:t xml:space="preserve"> was in the range of 100 to 140 mL.</w:t>
      </w:r>
      <w:r w:rsidR="00C23E19">
        <w:t xml:space="preserve"> </w:t>
      </w:r>
      <w:r w:rsidR="00334867">
        <w:t>No studies were identified that examined the benefits of stepping up from LABA monotherapy to LAMA/LABA dual therapy.</w:t>
      </w:r>
    </w:p>
    <w:p w:rsidR="00791826" w:rsidRDefault="00E95D42" w:rsidP="00B7573A">
      <w:pPr>
        <w:pStyle w:val="Bullettext"/>
        <w:spacing w:after="120"/>
      </w:pPr>
      <w:r>
        <w:t xml:space="preserve">Of the four RCTs identified that compared LAMA </w:t>
      </w:r>
      <w:proofErr w:type="gramStart"/>
      <w:r>
        <w:t>monotherapy</w:t>
      </w:r>
      <w:proofErr w:type="gramEnd"/>
      <w:r>
        <w:t xml:space="preserve"> to LAMA/LABA dual therapy, the following PROs were reported: SGRQ (3 studies), rescue medication (2 studies), time to first exacerbation (1 study), and physiological response to exercise during SMETT (1 study). The SGRQ results from the TONADO 1 and 2 studies have previously been considered by the PBAC (Fer</w:t>
      </w:r>
      <w:r w:rsidR="005A2C28">
        <w:t xml:space="preserve">guson et al, 2015). Singh </w:t>
      </w:r>
      <w:r>
        <w:t>(2015b and 2016)</w:t>
      </w:r>
      <w:r w:rsidR="002B6C24">
        <w:t xml:space="preserve"> concluded of the OTEMTO study</w:t>
      </w:r>
      <w:r>
        <w:t xml:space="preserve"> that treatment with tiotropium/olodaterol </w:t>
      </w:r>
      <w:r w:rsidR="00E26A07">
        <w:t xml:space="preserve">versus tiotropium </w:t>
      </w:r>
      <w:r>
        <w:t>led to improvements i</w:t>
      </w:r>
      <w:r w:rsidR="002B6C24">
        <w:t>n lung function over</w:t>
      </w:r>
      <w:r>
        <w:t xml:space="preserve"> tiotropium that “were translated into clinically significant improvements in symptoms and health-related qual</w:t>
      </w:r>
      <w:r w:rsidR="007807B6">
        <w:t xml:space="preserve">ity of life”. </w:t>
      </w:r>
      <w:proofErr w:type="spellStart"/>
      <w:r w:rsidR="007807B6">
        <w:t>Maleki-Yazdi</w:t>
      </w:r>
      <w:proofErr w:type="spellEnd"/>
      <w:r>
        <w:t xml:space="preserve"> (2014) showed that time to first exacerbation favoured dual therapy over monotherapy with marginal statistical significance.</w:t>
      </w:r>
      <w:r w:rsidR="009B5D99">
        <w:t xml:space="preserve"> </w:t>
      </w:r>
    </w:p>
    <w:p w:rsidR="00E079C5" w:rsidRDefault="0089587E" w:rsidP="00B7573A">
      <w:pPr>
        <w:pStyle w:val="Bullettext"/>
        <w:spacing w:after="120"/>
      </w:pPr>
      <w:r>
        <w:t xml:space="preserve">Several RCTs were identified that examined the comparative efficacy and safety of LAMA/LABA and ICS/LABA FDCs. In general, these studies found LAMA/LABA FDCs provide superior efficacy and similar safety to ICS/LABA FDCs in COPD patients. </w:t>
      </w:r>
    </w:p>
    <w:p w:rsidR="00452314" w:rsidRDefault="00452314" w:rsidP="00B7573A">
      <w:pPr>
        <w:pStyle w:val="Bullettext"/>
        <w:spacing w:after="120"/>
      </w:pPr>
      <w:r>
        <w:t xml:space="preserve">No RCTs or large observational studies were identified that examined the comparative efficacy and safety of ICS </w:t>
      </w:r>
      <w:r w:rsidR="002B6C24">
        <w:t>plus</w:t>
      </w:r>
      <w:r>
        <w:t xml:space="preserve"> LAMA/LABA versus LAMA/LABA. A recent Cochrane </w:t>
      </w:r>
      <w:r w:rsidR="002B6C24">
        <w:t>r</w:t>
      </w:r>
      <w:r>
        <w:t xml:space="preserve">eview also failed to identify any ongoing or completed RCTs comparing these treatments in stable COPD (Tan et al, 2016). </w:t>
      </w:r>
      <w:r w:rsidR="00DB4D6C">
        <w:t>Thus it is uncertain if triple therapy is cost-effective over dual therapy with LABA/LAMA.</w:t>
      </w:r>
    </w:p>
    <w:p w:rsidR="00FD5A0F" w:rsidRPr="00A455D0" w:rsidRDefault="00FD5A0F" w:rsidP="00FD5A0F">
      <w:pPr>
        <w:pStyle w:val="Heading3"/>
        <w:numPr>
          <w:ilvl w:val="0"/>
          <w:numId w:val="0"/>
        </w:numPr>
        <w:rPr>
          <w:sz w:val="24"/>
        </w:rPr>
      </w:pPr>
      <w:bookmarkStart w:id="12" w:name="_Toc485978473"/>
      <w:bookmarkStart w:id="13" w:name="_Toc486604684"/>
      <w:r>
        <w:t xml:space="preserve">Stakeholder views </w:t>
      </w:r>
      <w:r w:rsidR="007807B6">
        <w:rPr>
          <w:sz w:val="24"/>
        </w:rPr>
        <w:t>(Forum and p</w:t>
      </w:r>
      <w:r w:rsidRPr="00A455D0">
        <w:rPr>
          <w:sz w:val="24"/>
        </w:rPr>
        <w:t>ublic consultation</w:t>
      </w:r>
      <w:r w:rsidR="007807B6">
        <w:rPr>
          <w:sz w:val="24"/>
        </w:rPr>
        <w:t>s</w:t>
      </w:r>
      <w:r w:rsidRPr="00A455D0">
        <w:rPr>
          <w:sz w:val="24"/>
        </w:rPr>
        <w:t>)</w:t>
      </w:r>
      <w:bookmarkEnd w:id="12"/>
      <w:bookmarkEnd w:id="13"/>
    </w:p>
    <w:p w:rsidR="00BC6A41" w:rsidRDefault="00BC6A41" w:rsidP="007807B6">
      <w:pPr>
        <w:pStyle w:val="Bullettext"/>
        <w:numPr>
          <w:ilvl w:val="0"/>
          <w:numId w:val="81"/>
        </w:numPr>
      </w:pPr>
      <w:r>
        <w:t xml:space="preserve">PBAC recommendations </w:t>
      </w:r>
      <w:r w:rsidR="00BC54EB">
        <w:t>are required to</w:t>
      </w:r>
      <w:r>
        <w:t xml:space="preserve"> be considered in the context of the available clinical evidence and best practice guidelines</w:t>
      </w:r>
      <w:r w:rsidR="0002126C">
        <w:t xml:space="preserve">. A number of stakeholders provided </w:t>
      </w:r>
      <w:r w:rsidR="007807B6">
        <w:t xml:space="preserve">additional recent </w:t>
      </w:r>
      <w:r w:rsidR="00805225">
        <w:t xml:space="preserve">published </w:t>
      </w:r>
      <w:r w:rsidR="0002126C">
        <w:t>evidence</w:t>
      </w:r>
      <w:r w:rsidR="00B007FE">
        <w:t>,</w:t>
      </w:r>
      <w:r w:rsidR="0002126C">
        <w:t xml:space="preserve"> including updates to guidelines</w:t>
      </w:r>
      <w:r w:rsidR="00B007FE">
        <w:t xml:space="preserve"> and further utilisation analyses (refer to </w:t>
      </w:r>
      <w:proofErr w:type="spellStart"/>
      <w:r w:rsidR="00B007FE">
        <w:t>ToR</w:t>
      </w:r>
      <w:proofErr w:type="spellEnd"/>
      <w:r w:rsidR="00B007FE">
        <w:t xml:space="preserve"> 1 to </w:t>
      </w:r>
      <w:proofErr w:type="gramStart"/>
      <w:r w:rsidR="00B007FE">
        <w:t>5</w:t>
      </w:r>
      <w:r w:rsidR="00805225">
        <w:t>,</w:t>
      </w:r>
      <w:proofErr w:type="gramEnd"/>
      <w:r w:rsidR="00805225">
        <w:t xml:space="preserve"> and Appendix U</w:t>
      </w:r>
      <w:r w:rsidR="00B007FE">
        <w:t>)</w:t>
      </w:r>
      <w:r w:rsidR="0002126C">
        <w:t>.</w:t>
      </w:r>
    </w:p>
    <w:p w:rsidR="00CF2C2A" w:rsidRDefault="00B70724" w:rsidP="007807B6">
      <w:pPr>
        <w:pStyle w:val="ListParagraph"/>
        <w:numPr>
          <w:ilvl w:val="0"/>
          <w:numId w:val="81"/>
        </w:numPr>
        <w:spacing w:before="0"/>
      </w:pPr>
      <w:r>
        <w:t>A number of stakeholder</w:t>
      </w:r>
      <w:r w:rsidR="007807B6">
        <w:t>s were not supportive of a cost-effec</w:t>
      </w:r>
      <w:r>
        <w:t xml:space="preserve">tiveness review </w:t>
      </w:r>
      <w:r w:rsidR="00677DC4">
        <w:t>of FDC inhalers for COPD, citing that:</w:t>
      </w:r>
    </w:p>
    <w:p w:rsidR="00091A6B" w:rsidRDefault="005215D1" w:rsidP="007807B6">
      <w:pPr>
        <w:pStyle w:val="ListParagraph"/>
        <w:numPr>
          <w:ilvl w:val="1"/>
          <w:numId w:val="81"/>
        </w:numPr>
        <w:ind w:left="1134" w:hanging="425"/>
      </w:pPr>
      <w:r>
        <w:t xml:space="preserve">The PBAC has previously established and accepted the cost-effectiveness of </w:t>
      </w:r>
      <w:r w:rsidR="00677DC4">
        <w:t xml:space="preserve">these </w:t>
      </w:r>
      <w:r>
        <w:t xml:space="preserve">medicines through a robust evaluation process. </w:t>
      </w:r>
    </w:p>
    <w:p w:rsidR="005215D1" w:rsidRDefault="00677DC4" w:rsidP="007807B6">
      <w:pPr>
        <w:pStyle w:val="ListParagraph"/>
        <w:numPr>
          <w:ilvl w:val="1"/>
          <w:numId w:val="81"/>
        </w:numPr>
        <w:ind w:left="1134" w:hanging="425"/>
      </w:pPr>
      <w:r>
        <w:t>Th</w:t>
      </w:r>
      <w:r w:rsidR="00BC6A41">
        <w:t>e</w:t>
      </w:r>
      <w:r w:rsidR="005215D1">
        <w:t xml:space="preserve"> </w:t>
      </w:r>
      <w:r>
        <w:t xml:space="preserve">Review </w:t>
      </w:r>
      <w:r w:rsidR="00091A6B">
        <w:t xml:space="preserve">findings </w:t>
      </w:r>
      <w:r w:rsidR="00A027A0">
        <w:t>were</w:t>
      </w:r>
      <w:r>
        <w:t xml:space="preserve"> insufficient to warrant a cost-</w:t>
      </w:r>
      <w:r w:rsidR="00091A6B">
        <w:t>effectiveness review.</w:t>
      </w:r>
    </w:p>
    <w:p w:rsidR="00CF2C2A" w:rsidRDefault="00CF2C2A" w:rsidP="007807B6">
      <w:pPr>
        <w:pStyle w:val="ListParagraph"/>
        <w:numPr>
          <w:ilvl w:val="1"/>
          <w:numId w:val="81"/>
        </w:numPr>
        <w:ind w:left="1134" w:hanging="425"/>
      </w:pPr>
      <w:r>
        <w:t xml:space="preserve">The price disparity </w:t>
      </w:r>
      <w:r w:rsidR="005215D1">
        <w:t xml:space="preserve">in combination products resulting from </w:t>
      </w:r>
      <w:r w:rsidR="00B9022B">
        <w:t xml:space="preserve">individual </w:t>
      </w:r>
      <w:r w:rsidR="005215D1">
        <w:t xml:space="preserve">component drugs not being listed on the PBS </w:t>
      </w:r>
      <w:r w:rsidR="00677DC4">
        <w:t>has been reme</w:t>
      </w:r>
      <w:r w:rsidR="00A027A0">
        <w:t>di</w:t>
      </w:r>
      <w:r>
        <w:t>ed</w:t>
      </w:r>
      <w:r w:rsidR="005215D1">
        <w:t xml:space="preserve"> </w:t>
      </w:r>
      <w:r w:rsidR="00677DC4">
        <w:t>by the 2017 Strategic A</w:t>
      </w:r>
      <w:r w:rsidR="001C4516">
        <w:t xml:space="preserve">greement between </w:t>
      </w:r>
      <w:r w:rsidR="00677DC4">
        <w:t>Medicines Australia</w:t>
      </w:r>
      <w:r>
        <w:t xml:space="preserve"> </w:t>
      </w:r>
      <w:r w:rsidR="001C4516">
        <w:t xml:space="preserve">and </w:t>
      </w:r>
      <w:r w:rsidR="00677DC4">
        <w:t>the Department of Health</w:t>
      </w:r>
      <w:r w:rsidR="00426AB4">
        <w:t>.</w:t>
      </w:r>
    </w:p>
    <w:p w:rsidR="00125049" w:rsidRPr="00A455D0" w:rsidRDefault="00125049" w:rsidP="007807B6">
      <w:pPr>
        <w:pStyle w:val="ListParagraph"/>
        <w:numPr>
          <w:ilvl w:val="1"/>
          <w:numId w:val="81"/>
        </w:numPr>
        <w:ind w:left="1134" w:hanging="425"/>
      </w:pPr>
      <w:r w:rsidRPr="00A455D0">
        <w:t xml:space="preserve">Inappropriate prescribing </w:t>
      </w:r>
      <w:r w:rsidR="00CF2C2A">
        <w:t>may</w:t>
      </w:r>
      <w:r w:rsidRPr="00A455D0">
        <w:t xml:space="preserve"> be managed by education</w:t>
      </w:r>
      <w:r w:rsidR="00CF2C2A">
        <w:t xml:space="preserve"> and </w:t>
      </w:r>
      <w:r w:rsidR="00677DC4">
        <w:t xml:space="preserve">QUM </w:t>
      </w:r>
      <w:r w:rsidR="00CF2C2A">
        <w:t>measures</w:t>
      </w:r>
      <w:r w:rsidR="00426AB4">
        <w:t>.</w:t>
      </w:r>
    </w:p>
    <w:p w:rsidR="007C7A33" w:rsidRDefault="007C7A33" w:rsidP="00A455D0">
      <w:pPr>
        <w:pStyle w:val="Bullettext"/>
        <w:numPr>
          <w:ilvl w:val="0"/>
          <w:numId w:val="81"/>
        </w:numPr>
        <w:spacing w:after="120"/>
      </w:pPr>
      <w:r>
        <w:lastRenderedPageBreak/>
        <w:t xml:space="preserve">Utilisation data presented in the COPD review has limitations </w:t>
      </w:r>
      <w:r w:rsidR="00677DC4">
        <w:t>(r</w:t>
      </w:r>
      <w:r w:rsidR="00336411">
        <w:t xml:space="preserve">efer to </w:t>
      </w:r>
      <w:proofErr w:type="spellStart"/>
      <w:r w:rsidR="00336411">
        <w:t>ToR</w:t>
      </w:r>
      <w:proofErr w:type="spellEnd"/>
      <w:r w:rsidR="00336411">
        <w:t xml:space="preserve"> 5) </w:t>
      </w:r>
      <w:r>
        <w:t>and</w:t>
      </w:r>
      <w:r w:rsidR="00677DC4">
        <w:t xml:space="preserve"> over-estimates use outside guidelines and PBS restrictions</w:t>
      </w:r>
      <w:r w:rsidR="005E6AC4">
        <w:t>.</w:t>
      </w:r>
    </w:p>
    <w:p w:rsidR="00186458" w:rsidRDefault="00B9022B" w:rsidP="00A455D0">
      <w:pPr>
        <w:pStyle w:val="Bullettext"/>
        <w:numPr>
          <w:ilvl w:val="0"/>
          <w:numId w:val="81"/>
        </w:numPr>
        <w:spacing w:after="120"/>
      </w:pPr>
      <w:r>
        <w:t>Concern</w:t>
      </w:r>
      <w:r w:rsidR="00A027A0">
        <w:t>s</w:t>
      </w:r>
      <w:r>
        <w:t xml:space="preserve"> were raised </w:t>
      </w:r>
      <w:r w:rsidR="00186458">
        <w:t xml:space="preserve">regarding the </w:t>
      </w:r>
      <w:r w:rsidR="005E6AC4">
        <w:t xml:space="preserve">Review </w:t>
      </w:r>
      <w:r w:rsidR="00186458">
        <w:t>conclusions relating to price relativ</w:t>
      </w:r>
      <w:r w:rsidR="00677DC4">
        <w:t>iti</w:t>
      </w:r>
      <w:r w:rsidR="00186458">
        <w:t>es across classes of COPD medicines</w:t>
      </w:r>
      <w:r w:rsidR="001C4516">
        <w:t xml:space="preserve">. </w:t>
      </w:r>
      <w:r w:rsidR="005E6AC4">
        <w:t>COPD c</w:t>
      </w:r>
      <w:r w:rsidR="00E70DC3">
        <w:t xml:space="preserve">lasses have </w:t>
      </w:r>
      <w:r w:rsidR="005E6AC4">
        <w:t xml:space="preserve">different </w:t>
      </w:r>
      <w:r w:rsidR="00E70DC3">
        <w:t xml:space="preserve">pharmacological </w:t>
      </w:r>
      <w:r w:rsidR="001C4516">
        <w:t xml:space="preserve">properties, safety </w:t>
      </w:r>
      <w:r w:rsidR="005E6AC4">
        <w:t xml:space="preserve">profiles </w:t>
      </w:r>
      <w:r w:rsidR="00E70DC3">
        <w:t xml:space="preserve">and </w:t>
      </w:r>
      <w:r w:rsidR="001C4516">
        <w:t>clinical place</w:t>
      </w:r>
      <w:r>
        <w:t>s</w:t>
      </w:r>
      <w:r w:rsidR="001C4516">
        <w:t xml:space="preserve"> in therapy</w:t>
      </w:r>
      <w:r w:rsidR="00186458">
        <w:t>.</w:t>
      </w:r>
    </w:p>
    <w:p w:rsidR="002557C8" w:rsidRDefault="00B9022B" w:rsidP="00677DC4">
      <w:pPr>
        <w:pStyle w:val="Bullettext"/>
        <w:numPr>
          <w:ilvl w:val="0"/>
          <w:numId w:val="81"/>
        </w:numPr>
        <w:spacing w:before="0"/>
      </w:pPr>
      <w:r>
        <w:t>S</w:t>
      </w:r>
      <w:r w:rsidR="00186458">
        <w:t xml:space="preserve">ubstantial </w:t>
      </w:r>
      <w:r w:rsidR="005E0E14">
        <w:t xml:space="preserve">reductions to the cost of PBS-listed </w:t>
      </w:r>
      <w:r w:rsidR="00186458">
        <w:t xml:space="preserve">COPD medicines </w:t>
      </w:r>
      <w:r w:rsidR="005E0E14">
        <w:t>will result</w:t>
      </w:r>
      <w:r w:rsidR="00186458">
        <w:t xml:space="preserve"> from </w:t>
      </w:r>
      <w:r w:rsidR="000B2DC8">
        <w:t xml:space="preserve">statutory price reductions in </w:t>
      </w:r>
      <w:r w:rsidR="00186458">
        <w:t>the 201</w:t>
      </w:r>
      <w:r w:rsidR="001C4516">
        <w:t>7</w:t>
      </w:r>
      <w:r w:rsidR="00186458">
        <w:t xml:space="preserve"> </w:t>
      </w:r>
      <w:r w:rsidR="001C4516">
        <w:t xml:space="preserve">Medicines Australia </w:t>
      </w:r>
      <w:r w:rsidR="00805225">
        <w:t xml:space="preserve">Strategic </w:t>
      </w:r>
      <w:r w:rsidR="001C4516">
        <w:t>Agreement</w:t>
      </w:r>
      <w:r w:rsidR="00E533F4">
        <w:t>.</w:t>
      </w:r>
      <w:r w:rsidR="002557C8">
        <w:t xml:space="preserve"> </w:t>
      </w:r>
    </w:p>
    <w:p w:rsidR="007C7A33" w:rsidRDefault="000B2DC8" w:rsidP="00677DC4">
      <w:pPr>
        <w:pStyle w:val="ListParagraph"/>
        <w:numPr>
          <w:ilvl w:val="0"/>
          <w:numId w:val="81"/>
        </w:numPr>
        <w:spacing w:before="0"/>
      </w:pPr>
      <w:r>
        <w:t xml:space="preserve">Review outcomes </w:t>
      </w:r>
      <w:r w:rsidR="00A027A0">
        <w:t xml:space="preserve">should </w:t>
      </w:r>
      <w:r w:rsidR="007C7A33" w:rsidRPr="007C7A33">
        <w:t>be implemented collaboratively over agreed timeframes.</w:t>
      </w:r>
    </w:p>
    <w:p w:rsidR="000B2DC8" w:rsidRDefault="001C4516" w:rsidP="001C4516">
      <w:pPr>
        <w:pStyle w:val="ListParagraph"/>
        <w:numPr>
          <w:ilvl w:val="0"/>
          <w:numId w:val="81"/>
        </w:numPr>
      </w:pPr>
      <w:r w:rsidRPr="001C4516">
        <w:t>For further information, the Stakeholder Forum Summary is available at Appendix F</w:t>
      </w:r>
      <w:r w:rsidR="000B2DC8">
        <w:t>.</w:t>
      </w:r>
    </w:p>
    <w:p w:rsidR="00675E77" w:rsidRDefault="00452314" w:rsidP="00452314">
      <w:pPr>
        <w:pStyle w:val="Heading2"/>
      </w:pPr>
      <w:bookmarkStart w:id="14" w:name="_Toc486604685"/>
      <w:r w:rsidRPr="00452314">
        <w:t>Comparative efficacy and safety</w:t>
      </w:r>
      <w:bookmarkEnd w:id="14"/>
    </w:p>
    <w:p w:rsidR="00452314" w:rsidRDefault="00452314" w:rsidP="00452314">
      <w:pPr>
        <w:keepNext/>
        <w:keepLines/>
      </w:pPr>
      <w:r>
        <w:t xml:space="preserve">The following section provides a summary of findings from ToR 3 and 4 of relevance to the cost-effectiveness of COPD medicines. </w:t>
      </w:r>
    </w:p>
    <w:p w:rsidR="00F55376" w:rsidRDefault="00F55376" w:rsidP="00F55376">
      <w:pPr>
        <w:pStyle w:val="Heading3"/>
        <w:numPr>
          <w:ilvl w:val="2"/>
          <w:numId w:val="77"/>
        </w:numPr>
      </w:pPr>
      <w:bookmarkStart w:id="15" w:name="_Toc486604686"/>
      <w:r>
        <w:t>Monotherapy versus monotherapy in patients with COPD</w:t>
      </w:r>
      <w:bookmarkEnd w:id="15"/>
    </w:p>
    <w:p w:rsidR="00452314" w:rsidRPr="00D16CB6" w:rsidRDefault="00452314" w:rsidP="00791826">
      <w:pPr>
        <w:pStyle w:val="Heading4"/>
      </w:pPr>
      <w:r w:rsidRPr="00D16CB6">
        <w:t>Comparison of LAMAs</w:t>
      </w:r>
    </w:p>
    <w:p w:rsidR="00452314" w:rsidRPr="00D16CB6" w:rsidRDefault="00452314" w:rsidP="00B7573A">
      <w:pPr>
        <w:pStyle w:val="BodyText"/>
        <w:spacing w:before="120"/>
      </w:pPr>
      <w:r w:rsidRPr="00D16CB6">
        <w:t xml:space="preserve">The review of new evidence found no significant differences in efficacy between the PBS-listed LAMA </w:t>
      </w:r>
      <w:proofErr w:type="gramStart"/>
      <w:r w:rsidRPr="00D16CB6">
        <w:t>monotherapies</w:t>
      </w:r>
      <w:proofErr w:type="gramEnd"/>
      <w:r w:rsidRPr="00D16CB6">
        <w:t xml:space="preserve">, which is consistent with previous PBAC recommendations. Furthermore, there were no noteworthy safety findings and all LAMA </w:t>
      </w:r>
      <w:proofErr w:type="gramStart"/>
      <w:r w:rsidRPr="00D16CB6">
        <w:t>monotherapies</w:t>
      </w:r>
      <w:proofErr w:type="gramEnd"/>
      <w:r w:rsidRPr="00D16CB6">
        <w:t xml:space="preserve"> were well tolerated.</w:t>
      </w:r>
    </w:p>
    <w:p w:rsidR="00452314" w:rsidRPr="00D16CB6" w:rsidRDefault="00452314" w:rsidP="00791826">
      <w:pPr>
        <w:pStyle w:val="Heading4"/>
      </w:pPr>
      <w:r w:rsidRPr="00D16CB6">
        <w:t>Comparison of LABAs</w:t>
      </w:r>
    </w:p>
    <w:p w:rsidR="00452314" w:rsidRPr="00D16CB6" w:rsidRDefault="00452314" w:rsidP="00452314">
      <w:r w:rsidRPr="00D16CB6">
        <w:t>The previously established comparable clinical efficacy of indacaterol 150 μg and indacaterol 300 μg (both once daily) is supported by newer evidence from the INDORSE study (Chapman et al, 2011; good quality). Indacaterol demonstrated good overall tolerability and long-term safety in patients with moderate to severe COPD.</w:t>
      </w:r>
    </w:p>
    <w:p w:rsidR="00452314" w:rsidRPr="00D16CB6" w:rsidRDefault="008B5573" w:rsidP="0054732B">
      <w:pPr>
        <w:pStyle w:val="Heading3"/>
        <w:numPr>
          <w:ilvl w:val="2"/>
          <w:numId w:val="77"/>
        </w:numPr>
      </w:pPr>
      <w:bookmarkStart w:id="16" w:name="_Toc486604687"/>
      <w:r>
        <w:t>Monotherapy versus dual therapy in patients with COPD</w:t>
      </w:r>
      <w:r w:rsidR="0054732B">
        <w:t>s</w:t>
      </w:r>
      <w:bookmarkEnd w:id="16"/>
      <w:r w:rsidR="000023D1">
        <w:t xml:space="preserve"> </w:t>
      </w:r>
    </w:p>
    <w:p w:rsidR="00452314" w:rsidRPr="00F55376" w:rsidRDefault="00452314" w:rsidP="00452314">
      <w:pPr>
        <w:keepNext/>
        <w:keepLines/>
      </w:pPr>
      <w:r w:rsidRPr="00F55376">
        <w:t xml:space="preserve">There is evidence of modest benefit of moving from LAMA </w:t>
      </w:r>
      <w:proofErr w:type="gramStart"/>
      <w:r w:rsidRPr="00F55376">
        <w:t>monotherapy</w:t>
      </w:r>
      <w:proofErr w:type="gramEnd"/>
      <w:r w:rsidRPr="00F55376">
        <w:t xml:space="preserve"> to LAMA/LABA dual therapy. However, it should be noted that many of the studies were only powered to detect a difference between LAMA/</w:t>
      </w:r>
      <w:r w:rsidR="00805225">
        <w:t xml:space="preserve">LABA dual therapy and placebo. </w:t>
      </w:r>
      <w:r w:rsidR="00C61559" w:rsidRPr="00581AA1">
        <w:t>This finding is consist</w:t>
      </w:r>
      <w:r w:rsidR="00C61559">
        <w:t xml:space="preserve">ent with previous PBAC decision </w:t>
      </w:r>
      <w:r w:rsidR="00C61559" w:rsidRPr="00581AA1">
        <w:t xml:space="preserve">making, where LAMA/LABA dual therapy was considered superior </w:t>
      </w:r>
      <w:r w:rsidR="00C61559">
        <w:t xml:space="preserve">to LAMA </w:t>
      </w:r>
      <w:proofErr w:type="gramStart"/>
      <w:r w:rsidR="00C61559">
        <w:t>monotherapy</w:t>
      </w:r>
      <w:proofErr w:type="gramEnd"/>
      <w:r w:rsidR="00C61559">
        <w:t xml:space="preserve"> (July 2014).</w:t>
      </w:r>
      <w:r w:rsidR="00C61559" w:rsidRPr="00581AA1">
        <w:t xml:space="preserve"> </w:t>
      </w:r>
      <w:r w:rsidRPr="00F55376">
        <w:t xml:space="preserve">No studies were identified that examined the benefits of stepping up from LABA monotherapy to LAMA/LABA dual therapy. </w:t>
      </w:r>
    </w:p>
    <w:p w:rsidR="007F3E63" w:rsidRPr="00FC2039" w:rsidRDefault="00452314" w:rsidP="007F3E63">
      <w:r w:rsidRPr="00F55376">
        <w:t>The major submission for umeclidinium/vilanterol, considered at the March 2014 PBAC meeting</w:t>
      </w:r>
      <w:r w:rsidRPr="00791826">
        <w:t xml:space="preserve">, </w:t>
      </w:r>
      <w:r w:rsidRPr="00D319A7">
        <w:t xml:space="preserve">included a meta-analysis of two pivotal studies (DB2113360 and DB2113374) that compared </w:t>
      </w:r>
      <w:proofErr w:type="spellStart"/>
      <w:r w:rsidRPr="00D319A7">
        <w:t>umeclindium</w:t>
      </w:r>
      <w:proofErr w:type="spellEnd"/>
      <w:r w:rsidRPr="00D319A7">
        <w:t>/</w:t>
      </w:r>
      <w:proofErr w:type="spellStart"/>
      <w:r w:rsidRPr="00D319A7">
        <w:t>vilanterol</w:t>
      </w:r>
      <w:proofErr w:type="spellEnd"/>
      <w:r w:rsidRPr="00D319A7">
        <w:t xml:space="preserve"> and tiotropium</w:t>
      </w:r>
      <w:r w:rsidRPr="00AF30F5">
        <w:t xml:space="preserve">. </w:t>
      </w:r>
      <w:r w:rsidR="00FC2039">
        <w:rPr>
          <w:noProof/>
          <w:color w:val="000000"/>
          <w:highlight w:val="black"/>
        </w:rPr>
        <w:t>'''''''' ''''''''''''''''''''''' '''''''''''''''' '''''''' ''''''''''' '''''''''' '''''''' '''''' ''''''' ''''''''''''' ''''' ''''''''''' ''''''''''''' '''''''' ''''''''''''''''''''''''''''''''''''''''''''''' ''''''''''''''''''' ''''''''' '''''''''' '''''''''''' '''''''''' '''''''''''''''''''''</w:t>
      </w:r>
    </w:p>
    <w:p w:rsidR="007F3E63" w:rsidRPr="00FC2039" w:rsidRDefault="00452314" w:rsidP="007F3E63">
      <w:r w:rsidRPr="00F55376">
        <w:lastRenderedPageBreak/>
        <w:t>To determine the relative pricing of the two products</w:t>
      </w:r>
      <w:r w:rsidRPr="00AF30F5">
        <w:t xml:space="preserve">, </w:t>
      </w:r>
      <w:r w:rsidR="00FC2039">
        <w:rPr>
          <w:noProof/>
          <w:color w:val="000000"/>
          <w:highlight w:val="black"/>
        </w:rPr>
        <w:t>''' ''''''''''''''''''''''' '''' ''''' '''''''''''''''''' ''''''''''''' '''''''''''''''' ''''''''''''' ''''''''' ''''''''''''''''' ''''''''''''' ''''''''''' '''''''' '''' ''''''''''' ''''' '''''''' ''''''''''''''''''''''' '''''''''''' '''''' ''''''' '''''''''''''''''''''''' ''''''''' '''' '''''''''''' '''''''''' '''' '''''''''' '''''' '''''' '''''''''''''''''' '''''''''''' '''''''''''''''' ''''''''''''' '''''''' '''''''' '''''' '''''''''''' '''' ''''''''''''''''''''' ''' ''''''' ''''''''' '''''''''''''''' '' ''''''''' ''''''' ''''''' ''''''''''''''''''''''''''' '''' ''''''''''' '''' ''''''''''''''' ''''''' ''''''''''''''''''</w:t>
      </w:r>
    </w:p>
    <w:p w:rsidR="00A15F0F" w:rsidRDefault="00452314" w:rsidP="00452314">
      <w:r w:rsidRPr="00F55376">
        <w:t xml:space="preserve">The </w:t>
      </w:r>
      <w:proofErr w:type="spellStart"/>
      <w:r w:rsidRPr="00F55376">
        <w:t>umeclidium</w:t>
      </w:r>
      <w:proofErr w:type="spellEnd"/>
      <w:r w:rsidRPr="00F55376">
        <w:t>/</w:t>
      </w:r>
      <w:proofErr w:type="spellStart"/>
      <w:r w:rsidRPr="00F55376">
        <w:t>vilanterol</w:t>
      </w:r>
      <w:proofErr w:type="spellEnd"/>
      <w:r w:rsidRPr="00F55376">
        <w:t xml:space="preserve"> (July 2014) </w:t>
      </w:r>
      <w:r w:rsidR="003106A5">
        <w:t xml:space="preserve">minor PBAC </w:t>
      </w:r>
      <w:r w:rsidRPr="00F55376">
        <w:t>submission presented a new trial which claimed an incremental benefit in FEV</w:t>
      </w:r>
      <w:r w:rsidRPr="00F55376">
        <w:rPr>
          <w:vertAlign w:val="subscript"/>
        </w:rPr>
        <w:t>1</w:t>
      </w:r>
      <w:r w:rsidRPr="00F55376">
        <w:t xml:space="preserve"> of 112mL over tiotropium monotherapy. </w:t>
      </w:r>
      <w:r w:rsidR="003106A5" w:rsidRPr="00D319A7">
        <w:t>T</w:t>
      </w:r>
      <w:r w:rsidRPr="00D319A7">
        <w:t>h</w:t>
      </w:r>
      <w:r w:rsidR="00AB6DE9" w:rsidRPr="00D319A7">
        <w:t>e</w:t>
      </w:r>
      <w:r w:rsidRPr="00D319A7">
        <w:t xml:space="preserve"> </w:t>
      </w:r>
      <w:proofErr w:type="spellStart"/>
      <w:r w:rsidR="00AB6DE9" w:rsidRPr="00D319A7">
        <w:t>Maleki-Yazdi</w:t>
      </w:r>
      <w:proofErr w:type="spellEnd"/>
      <w:r w:rsidR="00AB6DE9" w:rsidRPr="00D319A7">
        <w:t xml:space="preserve"> (2014) </w:t>
      </w:r>
      <w:r w:rsidRPr="00D319A7">
        <w:t>trial was not evaluated.</w:t>
      </w:r>
    </w:p>
    <w:p w:rsidR="00452314" w:rsidRPr="00F55376" w:rsidRDefault="00452314" w:rsidP="00452314">
      <w:r w:rsidRPr="00F55376">
        <w:t xml:space="preserve">In this review, five RCTs were identified that compared LAMA </w:t>
      </w:r>
      <w:proofErr w:type="gramStart"/>
      <w:r w:rsidRPr="00F55376">
        <w:t>monotherapy</w:t>
      </w:r>
      <w:proofErr w:type="gramEnd"/>
      <w:r w:rsidRPr="00F55376">
        <w:t xml:space="preserve"> to LAMA/LABA dual therapy. However, one study did not undertake statistical comparisons between monotherapy and dual therapy as the studies were not powered for this (</w:t>
      </w:r>
      <w:proofErr w:type="spellStart"/>
      <w:r w:rsidRPr="00F55376">
        <w:t>Maltais</w:t>
      </w:r>
      <w:proofErr w:type="spellEnd"/>
      <w:r w:rsidRPr="00F55376">
        <w:t xml:space="preserve"> et al, 2014). The tables from chapter 3 showing the mean change in trough FEV</w:t>
      </w:r>
      <w:r w:rsidRPr="00F55376">
        <w:rPr>
          <w:vertAlign w:val="subscript"/>
        </w:rPr>
        <w:t>1</w:t>
      </w:r>
      <w:r w:rsidRPr="00F55376">
        <w:t xml:space="preserve"> for the remaining four studies are reproduced below (Tables 6.1 to 6.4).</w:t>
      </w:r>
    </w:p>
    <w:p w:rsidR="00452314" w:rsidRPr="00FC2039" w:rsidRDefault="00452314" w:rsidP="00452314">
      <w:r w:rsidRPr="00F55376">
        <w:t>Only the OTEMO 1 study did not show a statistically significant benefit in mean change in trough FEV</w:t>
      </w:r>
      <w:r w:rsidRPr="00F55376">
        <w:rPr>
          <w:vertAlign w:val="subscript"/>
        </w:rPr>
        <w:t>1</w:t>
      </w:r>
      <w:r w:rsidRPr="00F55376">
        <w:t xml:space="preserve"> for LABA/LAMA dual therapy compared to LAMA alone (Singh et al, 2015b). The mean difference in trough FEV</w:t>
      </w:r>
      <w:r w:rsidRPr="00F55376">
        <w:rPr>
          <w:vertAlign w:val="subscript"/>
        </w:rPr>
        <w:t>1</w:t>
      </w:r>
      <w:r w:rsidRPr="00F55376">
        <w:t xml:space="preserve"> between LAMA alone and LABA/LAMA ranged from 28 mL in the OTEMTO 1 study (Singh et al, 2015b) to 112 mL (</w:t>
      </w:r>
      <w:proofErr w:type="spellStart"/>
      <w:r w:rsidRPr="00F55376">
        <w:t>Maleki-Yazdi</w:t>
      </w:r>
      <w:proofErr w:type="spellEnd"/>
      <w:r w:rsidRPr="00F55376">
        <w:t xml:space="preserve"> et al, 2014). </w:t>
      </w:r>
      <w:r w:rsidRPr="00D319A7">
        <w:t>Two of the four studies did not produce benefits in trough FEV</w:t>
      </w:r>
      <w:r w:rsidRPr="00D319A7">
        <w:rPr>
          <w:vertAlign w:val="subscript"/>
        </w:rPr>
        <w:t>1</w:t>
      </w:r>
      <w:r w:rsidRPr="00D319A7">
        <w:t xml:space="preserve"> that would generally be considered clinically meaningful by the PBAC, given their previous statement that the MCID for FEV</w:t>
      </w:r>
      <w:r w:rsidRPr="00D319A7">
        <w:rPr>
          <w:vertAlign w:val="subscript"/>
        </w:rPr>
        <w:t xml:space="preserve">1 </w:t>
      </w:r>
      <w:r w:rsidRPr="00D319A7">
        <w:t>was in the range of 100 to 140 mL</w:t>
      </w:r>
      <w:r w:rsidRPr="00AF30F5">
        <w:t xml:space="preserve">. </w:t>
      </w:r>
      <w:r w:rsidR="00FC2039">
        <w:rPr>
          <w:noProof/>
          <w:color w:val="000000"/>
          <w:highlight w:val="black"/>
        </w:rPr>
        <w:t>''''' '''''''''''' '''''''''''' '''''' '''''''''' '''''''''''''''''''' '''''''''' '' ''''''''''' ''''''''''''' '''' ''''''''''''' ''''''''''' ''''' ''''' '''''' '''' ''''''' ''''''''' '''''''''''''''' ''''' '''''''''' ''''''''''''''''''''</w:t>
      </w:r>
    </w:p>
    <w:p w:rsidR="00452314" w:rsidRDefault="00452314" w:rsidP="00A455D0">
      <w:pPr>
        <w:pStyle w:val="ToR6Tableheader"/>
      </w:pPr>
      <w:bookmarkStart w:id="17" w:name="_Ref467833023"/>
      <w:bookmarkStart w:id="18" w:name="_Toc468006270"/>
      <w:bookmarkStart w:id="19" w:name="_Toc468012315"/>
      <w:bookmarkStart w:id="20" w:name="_Toc468034471"/>
      <w:bookmarkStart w:id="21" w:name="_Toc471891026"/>
      <w:bookmarkStart w:id="22" w:name="_Toc480375108"/>
      <w:bookmarkStart w:id="23" w:name="_Toc486253386"/>
      <w:r>
        <w:t>Table</w:t>
      </w:r>
      <w:bookmarkEnd w:id="17"/>
      <w:r>
        <w:t xml:space="preserve"> 6.1</w:t>
      </w:r>
      <w:r>
        <w:tab/>
        <w:t>Least squares mean difference in trough FEV</w:t>
      </w:r>
      <w:r>
        <w:rPr>
          <w:vertAlign w:val="subscript"/>
        </w:rPr>
        <w:t>1</w:t>
      </w:r>
      <w:r>
        <w:t xml:space="preserve"> – GLY/IND vs TIO</w:t>
      </w:r>
      <w:bookmarkEnd w:id="18"/>
      <w:bookmarkEnd w:id="19"/>
      <w:bookmarkEnd w:id="20"/>
      <w:bookmarkEnd w:id="21"/>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Least squares mean difference in trough FEV1 "/>
        <w:tblDescription w:val="GLY/IND versus TIO"/>
      </w:tblPr>
      <w:tblGrid>
        <w:gridCol w:w="3407"/>
        <w:gridCol w:w="4535"/>
        <w:gridCol w:w="1706"/>
      </w:tblGrid>
      <w:tr w:rsidR="00452314" w:rsidRPr="00F01736" w:rsidTr="005516AB">
        <w:trPr>
          <w:cantSplit/>
          <w:tblHeader/>
        </w:trPr>
        <w:tc>
          <w:tcPr>
            <w:tcW w:w="1766" w:type="pct"/>
            <w:shd w:val="clear" w:color="auto" w:fill="BFBFBF"/>
          </w:tcPr>
          <w:p w:rsidR="00452314" w:rsidRPr="00F01736" w:rsidRDefault="00452314" w:rsidP="00E079C5">
            <w:pPr>
              <w:pStyle w:val="01TableHEADINGleftaligned"/>
              <w:keepLines/>
              <w:spacing w:line="276" w:lineRule="auto"/>
            </w:pPr>
          </w:p>
        </w:tc>
        <w:tc>
          <w:tcPr>
            <w:tcW w:w="2350" w:type="pct"/>
            <w:shd w:val="clear" w:color="auto" w:fill="BFBFBF"/>
          </w:tcPr>
          <w:p w:rsidR="00452314" w:rsidRPr="00461976" w:rsidRDefault="00452314" w:rsidP="00E079C5">
            <w:pPr>
              <w:pStyle w:val="01TableHEADINGleftaligned"/>
              <w:keepLines/>
              <w:spacing w:line="276" w:lineRule="auto"/>
              <w:jc w:val="center"/>
            </w:pPr>
            <w:r>
              <w:t>Treatment difference</w:t>
            </w:r>
            <w:r>
              <w:br/>
              <w:t>GLY/IND vs TIO</w:t>
            </w:r>
          </w:p>
        </w:tc>
        <w:tc>
          <w:tcPr>
            <w:tcW w:w="884" w:type="pct"/>
            <w:shd w:val="clear" w:color="auto" w:fill="BFBFBF"/>
          </w:tcPr>
          <w:p w:rsidR="00452314" w:rsidRPr="00F01736" w:rsidRDefault="00452314" w:rsidP="00E079C5">
            <w:pPr>
              <w:pStyle w:val="01TableHEADINGleftaligned"/>
              <w:keepLines/>
              <w:spacing w:line="276" w:lineRule="auto"/>
              <w:jc w:val="center"/>
            </w:pPr>
            <w:r w:rsidRPr="00F01736">
              <w:t>p-</w:t>
            </w:r>
            <w:r w:rsidRPr="00DE60B1">
              <w:t>value</w:t>
            </w:r>
          </w:p>
        </w:tc>
      </w:tr>
      <w:tr w:rsidR="00452314" w:rsidRPr="00194011" w:rsidTr="005516AB">
        <w:trPr>
          <w:cantSplit/>
        </w:trPr>
        <w:tc>
          <w:tcPr>
            <w:tcW w:w="1766" w:type="pct"/>
            <w:shd w:val="clear" w:color="auto" w:fill="auto"/>
          </w:tcPr>
          <w:p w:rsidR="00452314" w:rsidRPr="006F2C81" w:rsidRDefault="00452314" w:rsidP="00E079C5">
            <w:pPr>
              <w:pStyle w:val="05Tabletext"/>
              <w:keepNext/>
              <w:keepLines/>
              <w:spacing w:line="276" w:lineRule="auto"/>
              <w:rPr>
                <w:b/>
              </w:rPr>
            </w:pPr>
            <w:r>
              <w:t>LS mean difference in trough FEV</w:t>
            </w:r>
            <w:r>
              <w:rPr>
                <w:vertAlign w:val="subscript"/>
              </w:rPr>
              <w:t xml:space="preserve">1 </w:t>
            </w:r>
            <w:r>
              <w:t>at 3 weeks, L</w:t>
            </w:r>
          </w:p>
        </w:tc>
        <w:tc>
          <w:tcPr>
            <w:tcW w:w="2350" w:type="pct"/>
            <w:shd w:val="clear" w:color="auto" w:fill="auto"/>
          </w:tcPr>
          <w:p w:rsidR="00452314" w:rsidRPr="00BC7782" w:rsidRDefault="00452314" w:rsidP="00E079C5">
            <w:pPr>
              <w:pStyle w:val="05Tabletext"/>
              <w:keepNext/>
              <w:keepLines/>
              <w:spacing w:line="276" w:lineRule="auto"/>
              <w:jc w:val="center"/>
            </w:pPr>
            <w:r>
              <w:t>0.10 (0.05, 0.15)</w:t>
            </w:r>
          </w:p>
        </w:tc>
        <w:tc>
          <w:tcPr>
            <w:tcW w:w="884" w:type="pct"/>
            <w:shd w:val="clear" w:color="auto" w:fill="auto"/>
          </w:tcPr>
          <w:p w:rsidR="00452314" w:rsidRPr="00194011" w:rsidRDefault="00452314" w:rsidP="00E079C5">
            <w:pPr>
              <w:pStyle w:val="05Tabletext"/>
              <w:keepNext/>
              <w:keepLines/>
              <w:spacing w:line="276" w:lineRule="auto"/>
              <w:jc w:val="center"/>
            </w:pPr>
            <w:r>
              <w:t>&lt;0.001</w:t>
            </w:r>
          </w:p>
        </w:tc>
      </w:tr>
    </w:tbl>
    <w:p w:rsidR="00452314" w:rsidRDefault="00452314" w:rsidP="00E079C5">
      <w:pPr>
        <w:pStyle w:val="10TableorFigurefootnote"/>
        <w:keepLines/>
        <w:spacing w:line="276" w:lineRule="auto"/>
      </w:pPr>
      <w:r>
        <w:t xml:space="preserve">Source: </w:t>
      </w:r>
      <w:proofErr w:type="spellStart"/>
      <w:r>
        <w:t>Beeh</w:t>
      </w:r>
      <w:proofErr w:type="spellEnd"/>
      <w:r>
        <w:t xml:space="preserve"> (2014), Table 2.</w:t>
      </w:r>
    </w:p>
    <w:p w:rsidR="00452314" w:rsidRDefault="00452314" w:rsidP="00E079C5">
      <w:pPr>
        <w:pStyle w:val="10TableorFigurefootnote"/>
        <w:keepLines/>
        <w:spacing w:line="276" w:lineRule="auto"/>
      </w:pPr>
      <w:r>
        <w:t xml:space="preserve">Note: </w:t>
      </w:r>
      <w:r w:rsidRPr="005E6069">
        <w:t>Treatment effects for each of the three cross</w:t>
      </w:r>
      <w:r>
        <w:t>-over</w:t>
      </w:r>
      <w:r w:rsidRPr="005E6069">
        <w:t xml:space="preserve"> periods were not reported separately.</w:t>
      </w:r>
    </w:p>
    <w:p w:rsidR="00452314" w:rsidRDefault="00452314" w:rsidP="00E079C5">
      <w:pPr>
        <w:pStyle w:val="11TableorFigurefootnotenostick"/>
        <w:keepNext/>
        <w:keepLines/>
        <w:spacing w:line="276" w:lineRule="auto"/>
      </w:pPr>
      <w:r>
        <w:t>Abbreviations: CI, confidence interval; FEV</w:t>
      </w:r>
      <w:r>
        <w:rPr>
          <w:vertAlign w:val="subscript"/>
        </w:rPr>
        <w:t>1</w:t>
      </w:r>
      <w:r>
        <w:t>, forced expiratory volume in 1 second; GLY, glycopyrronium; IND, indacaterol; LS, least squares; TIO, tiotropium.</w:t>
      </w:r>
    </w:p>
    <w:p w:rsidR="00452314" w:rsidRPr="00EF1FE8" w:rsidRDefault="00452314" w:rsidP="00A455D0">
      <w:pPr>
        <w:pStyle w:val="ToR6Tableheader"/>
      </w:pPr>
      <w:bookmarkStart w:id="24" w:name="_Ref467836251"/>
      <w:bookmarkStart w:id="25" w:name="_Toc468006272"/>
      <w:bookmarkStart w:id="26" w:name="_Toc468012317"/>
      <w:bookmarkStart w:id="27" w:name="_Toc468034473"/>
      <w:bookmarkStart w:id="28" w:name="_Toc471891028"/>
      <w:bookmarkStart w:id="29" w:name="_Toc480375110"/>
      <w:bookmarkStart w:id="30" w:name="_Toc486253387"/>
      <w:r>
        <w:t>Table</w:t>
      </w:r>
      <w:bookmarkEnd w:id="24"/>
      <w:r>
        <w:t xml:space="preserve"> 6.2</w:t>
      </w:r>
      <w:r>
        <w:tab/>
        <w:t>Adjusted mean trough FEV</w:t>
      </w:r>
      <w:r>
        <w:rPr>
          <w:vertAlign w:val="subscript"/>
        </w:rPr>
        <w:t>1</w:t>
      </w:r>
      <w:r>
        <w:t xml:space="preserve"> after 24 weeks of treatment according to treatment history and GOLD classification – TIO/OLO vs TIO</w:t>
      </w:r>
      <w:bookmarkEnd w:id="25"/>
      <w:bookmarkEnd w:id="26"/>
      <w:bookmarkEnd w:id="27"/>
      <w:bookmarkEnd w:id="28"/>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Adjusted mean trough FEV1 after 24 weeks of treatment according to treatment history and GOLD classification "/>
        <w:tblDescription w:val="TIO/OLO vs TIO"/>
      </w:tblPr>
      <w:tblGrid>
        <w:gridCol w:w="1990"/>
        <w:gridCol w:w="956"/>
        <w:gridCol w:w="957"/>
        <w:gridCol w:w="957"/>
        <w:gridCol w:w="957"/>
        <w:gridCol w:w="1702"/>
        <w:gridCol w:w="992"/>
        <w:gridCol w:w="1137"/>
      </w:tblGrid>
      <w:tr w:rsidR="00452314" w:rsidRPr="00194011" w:rsidTr="005516AB">
        <w:trPr>
          <w:cantSplit/>
          <w:tblHeader/>
        </w:trPr>
        <w:tc>
          <w:tcPr>
            <w:tcW w:w="1031" w:type="pct"/>
            <w:shd w:val="clear" w:color="auto" w:fill="BFBFBF"/>
          </w:tcPr>
          <w:p w:rsidR="00452314" w:rsidRPr="00194011" w:rsidRDefault="00452314" w:rsidP="005516AB">
            <w:pPr>
              <w:pStyle w:val="01TableHEADINGleftaligned"/>
              <w:spacing w:line="276" w:lineRule="auto"/>
              <w:rPr>
                <w:i/>
              </w:rPr>
            </w:pPr>
          </w:p>
        </w:tc>
        <w:tc>
          <w:tcPr>
            <w:tcW w:w="495" w:type="pct"/>
            <w:tcBorders>
              <w:bottom w:val="single" w:sz="4" w:space="0" w:color="auto"/>
              <w:right w:val="nil"/>
            </w:tcBorders>
            <w:shd w:val="clear" w:color="auto" w:fill="BFBFBF"/>
          </w:tcPr>
          <w:p w:rsidR="00452314" w:rsidRPr="00815893" w:rsidRDefault="00452314" w:rsidP="005516AB">
            <w:pPr>
              <w:pStyle w:val="01TableHEADINGleftaligned"/>
              <w:spacing w:line="276" w:lineRule="auto"/>
              <w:ind w:right="0"/>
              <w:jc w:val="right"/>
            </w:pPr>
          </w:p>
        </w:tc>
        <w:tc>
          <w:tcPr>
            <w:tcW w:w="496" w:type="pct"/>
            <w:tcBorders>
              <w:left w:val="nil"/>
              <w:bottom w:val="single" w:sz="4" w:space="0" w:color="auto"/>
              <w:right w:val="nil"/>
            </w:tcBorders>
            <w:shd w:val="clear" w:color="auto" w:fill="BFBFBF"/>
          </w:tcPr>
          <w:p w:rsidR="00452314" w:rsidRPr="00815893" w:rsidRDefault="00452314" w:rsidP="005516AB">
            <w:pPr>
              <w:pStyle w:val="01TableHEADINGleftaligned"/>
              <w:spacing w:line="276" w:lineRule="auto"/>
              <w:ind w:right="0"/>
              <w:jc w:val="right"/>
            </w:pPr>
            <w:r>
              <w:t>Adjusted</w:t>
            </w:r>
            <w:r>
              <w:br/>
              <w:t xml:space="preserve"> FEV</w:t>
            </w:r>
            <w:r>
              <w:rPr>
                <w:vertAlign w:val="subscript"/>
              </w:rPr>
              <w:t>1</w:t>
            </w:r>
            <w:r>
              <w:t>,</w:t>
            </w:r>
          </w:p>
        </w:tc>
        <w:tc>
          <w:tcPr>
            <w:tcW w:w="496" w:type="pct"/>
            <w:tcBorders>
              <w:left w:val="nil"/>
              <w:bottom w:val="single" w:sz="4" w:space="0" w:color="auto"/>
              <w:right w:val="nil"/>
            </w:tcBorders>
            <w:shd w:val="clear" w:color="auto" w:fill="BFBFBF"/>
          </w:tcPr>
          <w:p w:rsidR="00452314" w:rsidRPr="00815893" w:rsidRDefault="00452314" w:rsidP="005516AB">
            <w:pPr>
              <w:pStyle w:val="01TableHEADINGleftaligned"/>
              <w:spacing w:line="276" w:lineRule="auto"/>
              <w:ind w:left="28"/>
            </w:pPr>
            <w:r>
              <w:t>mean (SE)</w:t>
            </w:r>
            <w:r>
              <w:br/>
              <w:t>mL</w:t>
            </w:r>
          </w:p>
        </w:tc>
        <w:tc>
          <w:tcPr>
            <w:tcW w:w="496" w:type="pct"/>
            <w:tcBorders>
              <w:left w:val="nil"/>
              <w:bottom w:val="single" w:sz="4" w:space="0" w:color="auto"/>
              <w:right w:val="single" w:sz="4" w:space="0" w:color="auto"/>
            </w:tcBorders>
            <w:shd w:val="clear" w:color="auto" w:fill="BFBFBF"/>
          </w:tcPr>
          <w:p w:rsidR="00452314" w:rsidRPr="00815893" w:rsidRDefault="00452314" w:rsidP="005516AB">
            <w:pPr>
              <w:pStyle w:val="01TableHEADINGleftaligned"/>
              <w:spacing w:line="276" w:lineRule="auto"/>
              <w:ind w:left="28"/>
            </w:pPr>
          </w:p>
        </w:tc>
        <w:tc>
          <w:tcPr>
            <w:tcW w:w="882" w:type="pct"/>
            <w:tcBorders>
              <w:left w:val="single" w:sz="4" w:space="0" w:color="auto"/>
              <w:bottom w:val="single" w:sz="4" w:space="0" w:color="auto"/>
              <w:right w:val="single" w:sz="4" w:space="0" w:color="auto"/>
            </w:tcBorders>
            <w:shd w:val="clear" w:color="auto" w:fill="BFBFBF"/>
          </w:tcPr>
          <w:p w:rsidR="00452314" w:rsidRPr="00F86301" w:rsidRDefault="00452314" w:rsidP="005516AB">
            <w:pPr>
              <w:pStyle w:val="01TableHEADINGleftaligned"/>
              <w:spacing w:line="276" w:lineRule="auto"/>
              <w:jc w:val="center"/>
            </w:pPr>
            <w:r>
              <w:t>Treatment difference, mL, (SE)</w:t>
            </w:r>
          </w:p>
        </w:tc>
        <w:tc>
          <w:tcPr>
            <w:tcW w:w="514" w:type="pct"/>
            <w:tcBorders>
              <w:left w:val="single" w:sz="4" w:space="0" w:color="auto"/>
              <w:bottom w:val="single" w:sz="4" w:space="0" w:color="auto"/>
              <w:right w:val="single" w:sz="4" w:space="0" w:color="auto"/>
            </w:tcBorders>
            <w:shd w:val="clear" w:color="auto" w:fill="BFBFBF"/>
          </w:tcPr>
          <w:p w:rsidR="00452314" w:rsidRDefault="00452314" w:rsidP="005516AB">
            <w:pPr>
              <w:pStyle w:val="01TableHEADINGleftaligned"/>
              <w:spacing w:line="276" w:lineRule="auto"/>
              <w:jc w:val="center"/>
            </w:pPr>
            <w:r>
              <w:t>95% CI</w:t>
            </w:r>
          </w:p>
        </w:tc>
        <w:tc>
          <w:tcPr>
            <w:tcW w:w="589" w:type="pct"/>
            <w:tcBorders>
              <w:left w:val="single" w:sz="4" w:space="0" w:color="auto"/>
              <w:bottom w:val="single" w:sz="4" w:space="0" w:color="auto"/>
            </w:tcBorders>
            <w:shd w:val="clear" w:color="auto" w:fill="BFBFBF"/>
          </w:tcPr>
          <w:p w:rsidR="00452314" w:rsidRPr="00194011" w:rsidRDefault="00452314" w:rsidP="005516AB">
            <w:pPr>
              <w:pStyle w:val="01TableHEADINGleftaligned"/>
              <w:spacing w:line="276" w:lineRule="auto"/>
              <w:jc w:val="center"/>
            </w:pPr>
            <w:r>
              <w:t>p-value</w:t>
            </w:r>
          </w:p>
        </w:tc>
      </w:tr>
      <w:tr w:rsidR="00452314" w:rsidRPr="00194011" w:rsidTr="005516AB">
        <w:trPr>
          <w:cantSplit/>
        </w:trPr>
        <w:tc>
          <w:tcPr>
            <w:tcW w:w="1031" w:type="pct"/>
            <w:shd w:val="clear" w:color="auto" w:fill="000000"/>
          </w:tcPr>
          <w:p w:rsidR="00452314" w:rsidRPr="00194011" w:rsidRDefault="00452314" w:rsidP="005516AB">
            <w:pPr>
              <w:pStyle w:val="04Tablesubheading"/>
              <w:spacing w:line="276" w:lineRule="auto"/>
            </w:pPr>
            <w:r>
              <w:t>Treatment-naïve</w:t>
            </w:r>
          </w:p>
        </w:tc>
        <w:tc>
          <w:tcPr>
            <w:tcW w:w="495" w:type="pct"/>
            <w:shd w:val="clear" w:color="auto" w:fill="000000"/>
          </w:tcPr>
          <w:p w:rsidR="00452314" w:rsidRPr="00194011" w:rsidRDefault="00452314" w:rsidP="005516AB">
            <w:pPr>
              <w:pStyle w:val="04Tablesubheading"/>
              <w:spacing w:line="276" w:lineRule="auto"/>
              <w:jc w:val="center"/>
            </w:pPr>
            <w:r>
              <w:t>n</w:t>
            </w:r>
          </w:p>
        </w:tc>
        <w:tc>
          <w:tcPr>
            <w:tcW w:w="496" w:type="pct"/>
            <w:shd w:val="clear" w:color="auto" w:fill="000000"/>
          </w:tcPr>
          <w:p w:rsidR="00452314" w:rsidRPr="00194011" w:rsidRDefault="00452314" w:rsidP="005516AB">
            <w:pPr>
              <w:pStyle w:val="04Tablesubheading"/>
              <w:spacing w:line="276" w:lineRule="auto"/>
              <w:jc w:val="center"/>
            </w:pPr>
            <w:r>
              <w:t>TIO/OLO</w:t>
            </w:r>
          </w:p>
        </w:tc>
        <w:tc>
          <w:tcPr>
            <w:tcW w:w="496" w:type="pct"/>
            <w:shd w:val="clear" w:color="auto" w:fill="000000"/>
          </w:tcPr>
          <w:p w:rsidR="00452314" w:rsidRPr="00194011" w:rsidRDefault="00452314" w:rsidP="005516AB">
            <w:pPr>
              <w:pStyle w:val="04Tablesubheading"/>
              <w:spacing w:line="276" w:lineRule="auto"/>
              <w:jc w:val="center"/>
            </w:pPr>
            <w:r>
              <w:t>n</w:t>
            </w:r>
          </w:p>
        </w:tc>
        <w:tc>
          <w:tcPr>
            <w:tcW w:w="496" w:type="pct"/>
            <w:shd w:val="clear" w:color="auto" w:fill="000000"/>
          </w:tcPr>
          <w:p w:rsidR="00452314" w:rsidRPr="00194011" w:rsidRDefault="00452314" w:rsidP="005516AB">
            <w:pPr>
              <w:pStyle w:val="04Tablesubheading"/>
              <w:spacing w:line="276" w:lineRule="auto"/>
              <w:jc w:val="center"/>
            </w:pPr>
            <w:r>
              <w:t>TIO</w:t>
            </w:r>
          </w:p>
        </w:tc>
        <w:tc>
          <w:tcPr>
            <w:tcW w:w="882" w:type="pct"/>
            <w:shd w:val="clear" w:color="auto" w:fill="000000"/>
          </w:tcPr>
          <w:p w:rsidR="00452314" w:rsidRPr="00194011" w:rsidRDefault="00452314" w:rsidP="005516AB">
            <w:pPr>
              <w:pStyle w:val="04Tablesubheading"/>
              <w:spacing w:line="276" w:lineRule="auto"/>
              <w:jc w:val="center"/>
            </w:pPr>
          </w:p>
        </w:tc>
        <w:tc>
          <w:tcPr>
            <w:tcW w:w="514" w:type="pct"/>
            <w:shd w:val="clear" w:color="auto" w:fill="000000"/>
          </w:tcPr>
          <w:p w:rsidR="00452314" w:rsidRPr="00194011" w:rsidRDefault="00452314" w:rsidP="005516AB">
            <w:pPr>
              <w:pStyle w:val="04Tablesubheading"/>
              <w:spacing w:line="276" w:lineRule="auto"/>
              <w:jc w:val="center"/>
            </w:pPr>
          </w:p>
        </w:tc>
        <w:tc>
          <w:tcPr>
            <w:tcW w:w="589" w:type="pct"/>
            <w:shd w:val="clear" w:color="auto" w:fill="000000"/>
          </w:tcPr>
          <w:p w:rsidR="00452314" w:rsidRPr="00194011" w:rsidRDefault="00452314" w:rsidP="005516AB">
            <w:pPr>
              <w:pStyle w:val="04Tablesubheading"/>
              <w:spacing w:line="276" w:lineRule="auto"/>
              <w:jc w:val="center"/>
            </w:pPr>
          </w:p>
        </w:tc>
      </w:tr>
      <w:tr w:rsidR="00452314" w:rsidRPr="00194011" w:rsidTr="005516AB">
        <w:trPr>
          <w:cantSplit/>
        </w:trPr>
        <w:tc>
          <w:tcPr>
            <w:tcW w:w="1031" w:type="pct"/>
            <w:shd w:val="clear" w:color="auto" w:fill="auto"/>
          </w:tcPr>
          <w:p w:rsidR="00452314" w:rsidRDefault="00452314" w:rsidP="005516AB">
            <w:pPr>
              <w:pStyle w:val="05Tabletext"/>
              <w:spacing w:line="276" w:lineRule="auto"/>
            </w:pPr>
            <w:r>
              <w:t>GOLD 2</w:t>
            </w:r>
          </w:p>
        </w:tc>
        <w:tc>
          <w:tcPr>
            <w:tcW w:w="495" w:type="pct"/>
            <w:shd w:val="clear" w:color="auto" w:fill="auto"/>
          </w:tcPr>
          <w:p w:rsidR="00452314" w:rsidRDefault="00452314" w:rsidP="005516AB">
            <w:pPr>
              <w:pStyle w:val="05Tabletext"/>
              <w:spacing w:line="276" w:lineRule="auto"/>
              <w:jc w:val="center"/>
            </w:pPr>
            <w:r>
              <w:t>226</w:t>
            </w:r>
          </w:p>
        </w:tc>
        <w:tc>
          <w:tcPr>
            <w:tcW w:w="496" w:type="pct"/>
            <w:shd w:val="clear" w:color="auto" w:fill="auto"/>
          </w:tcPr>
          <w:p w:rsidR="00452314" w:rsidRDefault="00452314" w:rsidP="005516AB">
            <w:pPr>
              <w:pStyle w:val="05Tabletext"/>
              <w:spacing w:line="276" w:lineRule="auto"/>
              <w:jc w:val="center"/>
            </w:pPr>
            <w:r>
              <w:t>146 (14)</w:t>
            </w:r>
          </w:p>
        </w:tc>
        <w:tc>
          <w:tcPr>
            <w:tcW w:w="496" w:type="pct"/>
            <w:shd w:val="clear" w:color="auto" w:fill="auto"/>
          </w:tcPr>
          <w:p w:rsidR="00452314" w:rsidRDefault="00452314" w:rsidP="005516AB">
            <w:pPr>
              <w:pStyle w:val="05Tabletext"/>
              <w:spacing w:line="276" w:lineRule="auto"/>
              <w:jc w:val="center"/>
            </w:pPr>
            <w:r>
              <w:t>237</w:t>
            </w:r>
          </w:p>
        </w:tc>
        <w:tc>
          <w:tcPr>
            <w:tcW w:w="496" w:type="pct"/>
            <w:shd w:val="clear" w:color="auto" w:fill="auto"/>
          </w:tcPr>
          <w:p w:rsidR="00452314" w:rsidRDefault="00452314" w:rsidP="005516AB">
            <w:pPr>
              <w:pStyle w:val="05Tabletext"/>
              <w:spacing w:line="276" w:lineRule="auto"/>
              <w:jc w:val="center"/>
            </w:pPr>
            <w:r>
              <w:t>68 (14)</w:t>
            </w:r>
          </w:p>
        </w:tc>
        <w:tc>
          <w:tcPr>
            <w:tcW w:w="882" w:type="pct"/>
            <w:shd w:val="clear" w:color="auto" w:fill="auto"/>
          </w:tcPr>
          <w:p w:rsidR="00452314" w:rsidRDefault="00452314" w:rsidP="005516AB">
            <w:pPr>
              <w:pStyle w:val="05Tabletext"/>
              <w:spacing w:line="276" w:lineRule="auto"/>
              <w:jc w:val="center"/>
            </w:pPr>
            <w:r>
              <w:t>79 (20)</w:t>
            </w:r>
          </w:p>
        </w:tc>
        <w:tc>
          <w:tcPr>
            <w:tcW w:w="514" w:type="pct"/>
          </w:tcPr>
          <w:p w:rsidR="00452314" w:rsidRDefault="00452314" w:rsidP="005516AB">
            <w:pPr>
              <w:pStyle w:val="05Tabletext"/>
              <w:spacing w:line="276" w:lineRule="auto"/>
              <w:jc w:val="center"/>
            </w:pPr>
            <w:r>
              <w:t>40, 118</w:t>
            </w:r>
          </w:p>
        </w:tc>
        <w:tc>
          <w:tcPr>
            <w:tcW w:w="589" w:type="pct"/>
          </w:tcPr>
          <w:p w:rsidR="00452314" w:rsidRDefault="00452314" w:rsidP="005516AB">
            <w:pPr>
              <w:pStyle w:val="05Tabletext"/>
              <w:spacing w:line="276" w:lineRule="auto"/>
              <w:jc w:val="center"/>
            </w:pPr>
            <w:r>
              <w:t>&lt;0.0001</w:t>
            </w:r>
          </w:p>
        </w:tc>
      </w:tr>
      <w:tr w:rsidR="00452314" w:rsidRPr="00194011" w:rsidTr="005516AB">
        <w:trPr>
          <w:cantSplit/>
        </w:trPr>
        <w:tc>
          <w:tcPr>
            <w:tcW w:w="1031" w:type="pct"/>
            <w:shd w:val="clear" w:color="auto" w:fill="auto"/>
          </w:tcPr>
          <w:p w:rsidR="00452314" w:rsidRDefault="00452314" w:rsidP="005516AB">
            <w:pPr>
              <w:pStyle w:val="05Tabletext"/>
              <w:spacing w:line="276" w:lineRule="auto"/>
            </w:pPr>
            <w:r>
              <w:t>GOLD 3-4</w:t>
            </w:r>
          </w:p>
        </w:tc>
        <w:tc>
          <w:tcPr>
            <w:tcW w:w="495" w:type="pct"/>
            <w:shd w:val="clear" w:color="auto" w:fill="auto"/>
          </w:tcPr>
          <w:p w:rsidR="00452314" w:rsidRDefault="00452314" w:rsidP="005516AB">
            <w:pPr>
              <w:pStyle w:val="05Tabletext"/>
              <w:spacing w:line="276" w:lineRule="auto"/>
              <w:jc w:val="center"/>
            </w:pPr>
            <w:r>
              <w:t>193</w:t>
            </w:r>
          </w:p>
        </w:tc>
        <w:tc>
          <w:tcPr>
            <w:tcW w:w="496" w:type="pct"/>
            <w:shd w:val="clear" w:color="auto" w:fill="auto"/>
          </w:tcPr>
          <w:p w:rsidR="00452314" w:rsidRDefault="00452314" w:rsidP="005516AB">
            <w:pPr>
              <w:pStyle w:val="05Tabletext"/>
              <w:spacing w:line="276" w:lineRule="auto"/>
              <w:jc w:val="center"/>
            </w:pPr>
            <w:r>
              <w:t>148 (14)</w:t>
            </w:r>
          </w:p>
        </w:tc>
        <w:tc>
          <w:tcPr>
            <w:tcW w:w="496" w:type="pct"/>
            <w:shd w:val="clear" w:color="auto" w:fill="auto"/>
          </w:tcPr>
          <w:p w:rsidR="00452314" w:rsidRDefault="00452314" w:rsidP="005516AB">
            <w:pPr>
              <w:pStyle w:val="05Tabletext"/>
              <w:spacing w:line="276" w:lineRule="auto"/>
              <w:jc w:val="center"/>
            </w:pPr>
            <w:r>
              <w:t>206</w:t>
            </w:r>
          </w:p>
        </w:tc>
        <w:tc>
          <w:tcPr>
            <w:tcW w:w="496" w:type="pct"/>
            <w:shd w:val="clear" w:color="auto" w:fill="auto"/>
          </w:tcPr>
          <w:p w:rsidR="00452314" w:rsidRDefault="00452314" w:rsidP="005516AB">
            <w:pPr>
              <w:pStyle w:val="05Tabletext"/>
              <w:spacing w:line="276" w:lineRule="auto"/>
              <w:jc w:val="center"/>
            </w:pPr>
            <w:r>
              <w:t>79 (13)</w:t>
            </w:r>
          </w:p>
        </w:tc>
        <w:tc>
          <w:tcPr>
            <w:tcW w:w="882" w:type="pct"/>
            <w:shd w:val="clear" w:color="auto" w:fill="auto"/>
          </w:tcPr>
          <w:p w:rsidR="00452314" w:rsidRDefault="00452314" w:rsidP="005516AB">
            <w:pPr>
              <w:pStyle w:val="05Tabletext"/>
              <w:spacing w:line="276" w:lineRule="auto"/>
              <w:jc w:val="center"/>
            </w:pPr>
            <w:r>
              <w:t>69 (19)</w:t>
            </w:r>
          </w:p>
        </w:tc>
        <w:tc>
          <w:tcPr>
            <w:tcW w:w="514" w:type="pct"/>
          </w:tcPr>
          <w:p w:rsidR="00452314" w:rsidRDefault="00452314" w:rsidP="005516AB">
            <w:pPr>
              <w:pStyle w:val="05Tabletext"/>
              <w:spacing w:line="276" w:lineRule="auto"/>
              <w:jc w:val="center"/>
            </w:pPr>
            <w:r>
              <w:t>32, 106</w:t>
            </w:r>
          </w:p>
        </w:tc>
        <w:tc>
          <w:tcPr>
            <w:tcW w:w="589" w:type="pct"/>
          </w:tcPr>
          <w:p w:rsidR="00452314" w:rsidRDefault="00452314" w:rsidP="005516AB">
            <w:pPr>
              <w:pStyle w:val="05Tabletext"/>
              <w:spacing w:line="276" w:lineRule="auto"/>
              <w:jc w:val="center"/>
            </w:pPr>
            <w:r>
              <w:t>0.0002</w:t>
            </w:r>
          </w:p>
        </w:tc>
      </w:tr>
      <w:tr w:rsidR="00452314" w:rsidRPr="00194011" w:rsidTr="005516AB">
        <w:trPr>
          <w:cantSplit/>
        </w:trPr>
        <w:tc>
          <w:tcPr>
            <w:tcW w:w="1031" w:type="pct"/>
            <w:shd w:val="clear" w:color="auto" w:fill="000000"/>
          </w:tcPr>
          <w:p w:rsidR="00452314" w:rsidRDefault="00452314" w:rsidP="005516AB">
            <w:pPr>
              <w:pStyle w:val="04Tablesubheading"/>
              <w:spacing w:line="276" w:lineRule="auto"/>
            </w:pPr>
            <w:r>
              <w:t>Treatment-experienced</w:t>
            </w:r>
          </w:p>
        </w:tc>
        <w:tc>
          <w:tcPr>
            <w:tcW w:w="495" w:type="pct"/>
            <w:shd w:val="clear" w:color="auto" w:fill="000000"/>
          </w:tcPr>
          <w:p w:rsidR="00452314" w:rsidRPr="00815893" w:rsidRDefault="00452314" w:rsidP="005516AB">
            <w:pPr>
              <w:pStyle w:val="04Tablesubheading"/>
              <w:spacing w:line="276" w:lineRule="auto"/>
              <w:jc w:val="center"/>
            </w:pPr>
            <w:r>
              <w:t>n</w:t>
            </w:r>
          </w:p>
        </w:tc>
        <w:tc>
          <w:tcPr>
            <w:tcW w:w="496" w:type="pct"/>
            <w:shd w:val="clear" w:color="auto" w:fill="000000"/>
          </w:tcPr>
          <w:p w:rsidR="00452314" w:rsidRPr="00815893" w:rsidRDefault="00452314" w:rsidP="005516AB">
            <w:pPr>
              <w:pStyle w:val="04Tablesubheading"/>
              <w:spacing w:line="276" w:lineRule="auto"/>
              <w:jc w:val="center"/>
            </w:pPr>
            <w:r>
              <w:t>TIO/OLO</w:t>
            </w:r>
          </w:p>
        </w:tc>
        <w:tc>
          <w:tcPr>
            <w:tcW w:w="496" w:type="pct"/>
            <w:shd w:val="clear" w:color="auto" w:fill="000000"/>
          </w:tcPr>
          <w:p w:rsidR="00452314" w:rsidRPr="00815893" w:rsidRDefault="00452314" w:rsidP="005516AB">
            <w:pPr>
              <w:pStyle w:val="04Tablesubheading"/>
              <w:spacing w:line="276" w:lineRule="auto"/>
              <w:jc w:val="center"/>
            </w:pPr>
            <w:r>
              <w:t>n</w:t>
            </w:r>
          </w:p>
        </w:tc>
        <w:tc>
          <w:tcPr>
            <w:tcW w:w="496" w:type="pct"/>
            <w:shd w:val="clear" w:color="auto" w:fill="000000"/>
          </w:tcPr>
          <w:p w:rsidR="00452314" w:rsidRPr="00815893" w:rsidRDefault="00452314" w:rsidP="005516AB">
            <w:pPr>
              <w:pStyle w:val="04Tablesubheading"/>
              <w:spacing w:line="276" w:lineRule="auto"/>
              <w:jc w:val="center"/>
            </w:pPr>
            <w:r>
              <w:t>TIO</w:t>
            </w:r>
          </w:p>
        </w:tc>
        <w:tc>
          <w:tcPr>
            <w:tcW w:w="882" w:type="pct"/>
            <w:shd w:val="clear" w:color="auto" w:fill="000000"/>
          </w:tcPr>
          <w:p w:rsidR="00452314" w:rsidRPr="00815893" w:rsidRDefault="00452314" w:rsidP="005516AB">
            <w:pPr>
              <w:pStyle w:val="04Tablesubheading"/>
              <w:spacing w:line="276" w:lineRule="auto"/>
            </w:pPr>
          </w:p>
        </w:tc>
        <w:tc>
          <w:tcPr>
            <w:tcW w:w="514" w:type="pct"/>
            <w:shd w:val="clear" w:color="auto" w:fill="000000"/>
          </w:tcPr>
          <w:p w:rsidR="00452314" w:rsidRPr="00815893" w:rsidRDefault="00452314" w:rsidP="005516AB">
            <w:pPr>
              <w:pStyle w:val="04Tablesubheading"/>
              <w:spacing w:line="276" w:lineRule="auto"/>
            </w:pPr>
          </w:p>
        </w:tc>
        <w:tc>
          <w:tcPr>
            <w:tcW w:w="589" w:type="pct"/>
            <w:shd w:val="clear" w:color="auto" w:fill="000000"/>
          </w:tcPr>
          <w:p w:rsidR="00452314" w:rsidRPr="00815893" w:rsidRDefault="00452314" w:rsidP="005516AB">
            <w:pPr>
              <w:pStyle w:val="04Tablesubheading"/>
              <w:spacing w:line="276" w:lineRule="auto"/>
            </w:pPr>
          </w:p>
        </w:tc>
      </w:tr>
      <w:tr w:rsidR="00452314" w:rsidRPr="00194011" w:rsidTr="005516AB">
        <w:trPr>
          <w:cantSplit/>
        </w:trPr>
        <w:tc>
          <w:tcPr>
            <w:tcW w:w="1031" w:type="pct"/>
            <w:shd w:val="clear" w:color="auto" w:fill="auto"/>
          </w:tcPr>
          <w:p w:rsidR="00452314" w:rsidRPr="00A140AA" w:rsidRDefault="00452314" w:rsidP="005516AB">
            <w:pPr>
              <w:pStyle w:val="05Tabletext"/>
              <w:spacing w:line="276" w:lineRule="auto"/>
            </w:pPr>
            <w:r>
              <w:t xml:space="preserve">GOLD 2 </w:t>
            </w:r>
          </w:p>
        </w:tc>
        <w:tc>
          <w:tcPr>
            <w:tcW w:w="495" w:type="pct"/>
            <w:shd w:val="clear" w:color="auto" w:fill="auto"/>
          </w:tcPr>
          <w:p w:rsidR="00452314" w:rsidRPr="00815893" w:rsidRDefault="00452314" w:rsidP="005516AB">
            <w:pPr>
              <w:pStyle w:val="05Tabletext"/>
              <w:spacing w:line="276" w:lineRule="auto"/>
              <w:jc w:val="center"/>
            </w:pPr>
            <w:r>
              <w:t>270</w:t>
            </w:r>
          </w:p>
        </w:tc>
        <w:tc>
          <w:tcPr>
            <w:tcW w:w="496" w:type="pct"/>
            <w:shd w:val="clear" w:color="auto" w:fill="auto"/>
          </w:tcPr>
          <w:p w:rsidR="00452314" w:rsidRPr="00815893" w:rsidRDefault="00452314" w:rsidP="005516AB">
            <w:pPr>
              <w:pStyle w:val="05Tabletext"/>
              <w:spacing w:line="276" w:lineRule="auto"/>
              <w:jc w:val="center"/>
            </w:pPr>
            <w:r>
              <w:t>156 (13)</w:t>
            </w:r>
          </w:p>
        </w:tc>
        <w:tc>
          <w:tcPr>
            <w:tcW w:w="496" w:type="pct"/>
            <w:shd w:val="clear" w:color="auto" w:fill="auto"/>
          </w:tcPr>
          <w:p w:rsidR="00452314" w:rsidRPr="00815893" w:rsidRDefault="00452314" w:rsidP="005516AB">
            <w:pPr>
              <w:pStyle w:val="05Tabletext"/>
              <w:spacing w:line="276" w:lineRule="auto"/>
              <w:jc w:val="center"/>
            </w:pPr>
            <w:r>
              <w:t>275</w:t>
            </w:r>
          </w:p>
        </w:tc>
        <w:tc>
          <w:tcPr>
            <w:tcW w:w="496" w:type="pct"/>
            <w:shd w:val="clear" w:color="auto" w:fill="auto"/>
          </w:tcPr>
          <w:p w:rsidR="00452314" w:rsidRPr="00815893" w:rsidRDefault="00452314" w:rsidP="005516AB">
            <w:pPr>
              <w:pStyle w:val="05Tabletext"/>
              <w:spacing w:line="276" w:lineRule="auto"/>
              <w:jc w:val="center"/>
            </w:pPr>
            <w:r>
              <w:t>95 (13)</w:t>
            </w:r>
          </w:p>
        </w:tc>
        <w:tc>
          <w:tcPr>
            <w:tcW w:w="882" w:type="pct"/>
            <w:shd w:val="clear" w:color="auto" w:fill="auto"/>
          </w:tcPr>
          <w:p w:rsidR="00452314" w:rsidRPr="00815893" w:rsidRDefault="00452314" w:rsidP="005516AB">
            <w:pPr>
              <w:pStyle w:val="05Tabletext"/>
              <w:spacing w:line="276" w:lineRule="auto"/>
              <w:jc w:val="center"/>
            </w:pPr>
            <w:r>
              <w:t>61 (18)</w:t>
            </w:r>
          </w:p>
        </w:tc>
        <w:tc>
          <w:tcPr>
            <w:tcW w:w="514" w:type="pct"/>
          </w:tcPr>
          <w:p w:rsidR="00452314" w:rsidRDefault="00452314" w:rsidP="005516AB">
            <w:pPr>
              <w:pStyle w:val="05Tabletext"/>
              <w:spacing w:line="276" w:lineRule="auto"/>
              <w:jc w:val="center"/>
            </w:pPr>
            <w:r>
              <w:t>26, 97</w:t>
            </w:r>
          </w:p>
        </w:tc>
        <w:tc>
          <w:tcPr>
            <w:tcW w:w="589" w:type="pct"/>
          </w:tcPr>
          <w:p w:rsidR="00452314" w:rsidRPr="00815893" w:rsidRDefault="00452314" w:rsidP="005516AB">
            <w:pPr>
              <w:pStyle w:val="05Tabletext"/>
              <w:spacing w:line="276" w:lineRule="auto"/>
              <w:jc w:val="center"/>
            </w:pPr>
            <w:r>
              <w:t>0.0007</w:t>
            </w:r>
          </w:p>
        </w:tc>
      </w:tr>
      <w:tr w:rsidR="00452314" w:rsidRPr="00194011" w:rsidTr="005516AB">
        <w:trPr>
          <w:cantSplit/>
        </w:trPr>
        <w:tc>
          <w:tcPr>
            <w:tcW w:w="1031" w:type="pct"/>
            <w:shd w:val="clear" w:color="auto" w:fill="auto"/>
          </w:tcPr>
          <w:p w:rsidR="00452314" w:rsidRDefault="00452314" w:rsidP="005516AB">
            <w:pPr>
              <w:pStyle w:val="05Tabletext"/>
              <w:spacing w:line="276" w:lineRule="auto"/>
            </w:pPr>
            <w:r>
              <w:t xml:space="preserve">GOLD 3-4 </w:t>
            </w:r>
          </w:p>
        </w:tc>
        <w:tc>
          <w:tcPr>
            <w:tcW w:w="495" w:type="pct"/>
            <w:shd w:val="clear" w:color="auto" w:fill="auto"/>
          </w:tcPr>
          <w:p w:rsidR="00452314" w:rsidRPr="00815893" w:rsidRDefault="00452314" w:rsidP="005516AB">
            <w:pPr>
              <w:pStyle w:val="05Tabletext"/>
              <w:spacing w:line="276" w:lineRule="auto"/>
              <w:jc w:val="center"/>
            </w:pPr>
            <w:r>
              <w:t>328</w:t>
            </w:r>
          </w:p>
        </w:tc>
        <w:tc>
          <w:tcPr>
            <w:tcW w:w="496" w:type="pct"/>
            <w:shd w:val="clear" w:color="auto" w:fill="auto"/>
          </w:tcPr>
          <w:p w:rsidR="00452314" w:rsidRPr="00815893" w:rsidRDefault="00452314" w:rsidP="005516AB">
            <w:pPr>
              <w:pStyle w:val="05Tabletext"/>
              <w:spacing w:line="276" w:lineRule="auto"/>
              <w:jc w:val="center"/>
            </w:pPr>
            <w:r>
              <w:t>118 (9)</w:t>
            </w:r>
          </w:p>
        </w:tc>
        <w:tc>
          <w:tcPr>
            <w:tcW w:w="496" w:type="pct"/>
            <w:shd w:val="clear" w:color="auto" w:fill="auto"/>
          </w:tcPr>
          <w:p w:rsidR="00452314" w:rsidRPr="00815893" w:rsidRDefault="00452314" w:rsidP="005516AB">
            <w:pPr>
              <w:pStyle w:val="05Tabletext"/>
              <w:spacing w:line="276" w:lineRule="auto"/>
              <w:jc w:val="center"/>
            </w:pPr>
            <w:r>
              <w:t>299</w:t>
            </w:r>
          </w:p>
        </w:tc>
        <w:tc>
          <w:tcPr>
            <w:tcW w:w="496" w:type="pct"/>
            <w:shd w:val="clear" w:color="auto" w:fill="auto"/>
          </w:tcPr>
          <w:p w:rsidR="00452314" w:rsidRPr="00815893" w:rsidRDefault="00452314" w:rsidP="005516AB">
            <w:pPr>
              <w:pStyle w:val="05Tabletext"/>
              <w:spacing w:line="276" w:lineRule="auto"/>
              <w:jc w:val="center"/>
            </w:pPr>
            <w:r>
              <w:t>76 (10)</w:t>
            </w:r>
          </w:p>
        </w:tc>
        <w:tc>
          <w:tcPr>
            <w:tcW w:w="882" w:type="pct"/>
            <w:shd w:val="clear" w:color="auto" w:fill="auto"/>
          </w:tcPr>
          <w:p w:rsidR="00452314" w:rsidRPr="00815893" w:rsidRDefault="00452314" w:rsidP="005516AB">
            <w:pPr>
              <w:pStyle w:val="05Tabletext"/>
              <w:spacing w:line="276" w:lineRule="auto"/>
              <w:jc w:val="center"/>
            </w:pPr>
            <w:r>
              <w:t>41 (14)</w:t>
            </w:r>
          </w:p>
        </w:tc>
        <w:tc>
          <w:tcPr>
            <w:tcW w:w="514" w:type="pct"/>
          </w:tcPr>
          <w:p w:rsidR="00452314" w:rsidRDefault="00452314" w:rsidP="005516AB">
            <w:pPr>
              <w:pStyle w:val="05Tabletext"/>
              <w:spacing w:line="276" w:lineRule="auto"/>
              <w:jc w:val="center"/>
            </w:pPr>
            <w:r>
              <w:t>15, 68</w:t>
            </w:r>
          </w:p>
        </w:tc>
        <w:tc>
          <w:tcPr>
            <w:tcW w:w="589" w:type="pct"/>
          </w:tcPr>
          <w:p w:rsidR="00452314" w:rsidRPr="00815893" w:rsidRDefault="00452314" w:rsidP="005516AB">
            <w:pPr>
              <w:pStyle w:val="05Tabletext"/>
              <w:spacing w:line="276" w:lineRule="auto"/>
              <w:jc w:val="center"/>
            </w:pPr>
            <w:r>
              <w:t>0.0023</w:t>
            </w:r>
          </w:p>
        </w:tc>
      </w:tr>
    </w:tbl>
    <w:p w:rsidR="00452314" w:rsidRDefault="00452314" w:rsidP="00452314">
      <w:pPr>
        <w:pStyle w:val="10TableorFigurefootnote"/>
        <w:spacing w:line="276" w:lineRule="auto"/>
      </w:pPr>
      <w:r>
        <w:t>Source: Ferguson (2015), Tables 3 and 4; Table S1 and S2 in online supplementary materials.</w:t>
      </w:r>
    </w:p>
    <w:p w:rsidR="00452314" w:rsidRDefault="00452314" w:rsidP="00452314">
      <w:pPr>
        <w:pStyle w:val="10TableorFigurefootnote"/>
        <w:spacing w:line="276" w:lineRule="auto"/>
      </w:pPr>
      <w:r>
        <w:t xml:space="preserve">Note: Adjusted mean (SE) obtained from fitting a mixed model for repeated measurements including fixed effects of treatment, planned test day, treatment-by-test-day interaction, baseline, and baseline-by-test-day interaction; patient as a random effect; spatial power covariance structure for within-patient errors and </w:t>
      </w:r>
      <w:proofErr w:type="spellStart"/>
      <w:r>
        <w:t>Kenward</w:t>
      </w:r>
      <w:proofErr w:type="spellEnd"/>
      <w:r>
        <w:t>–Roger approximation of denominator degrees of freedom.</w:t>
      </w:r>
    </w:p>
    <w:p w:rsidR="00452314" w:rsidRDefault="00452314" w:rsidP="00452314">
      <w:pPr>
        <w:pStyle w:val="11TableorFigurefootnotenostick"/>
        <w:spacing w:line="276" w:lineRule="auto"/>
      </w:pPr>
      <w:r>
        <w:t>Abbreviations: CI, confidence interval; FEV</w:t>
      </w:r>
      <w:r>
        <w:rPr>
          <w:vertAlign w:val="subscript"/>
        </w:rPr>
        <w:t>1</w:t>
      </w:r>
      <w:r>
        <w:t>, forced expiratory volume in 1 second; GOLD, Global initiative for chronic Obstructive Lung Disease; OLO, olodaterol; SE, standard error; TIO, tiotropium.</w:t>
      </w:r>
    </w:p>
    <w:p w:rsidR="00452314" w:rsidRPr="004C2703" w:rsidRDefault="00452314" w:rsidP="006C152B">
      <w:pPr>
        <w:pStyle w:val="ToR6Tableheader"/>
        <w:rPr>
          <w:vertAlign w:val="superscript"/>
        </w:rPr>
      </w:pPr>
      <w:bookmarkStart w:id="31" w:name="_Ref467840949"/>
      <w:bookmarkStart w:id="32" w:name="_Toc468006274"/>
      <w:bookmarkStart w:id="33" w:name="_Toc468012319"/>
      <w:bookmarkStart w:id="34" w:name="_Toc468034475"/>
      <w:bookmarkStart w:id="35" w:name="_Toc471891029"/>
      <w:bookmarkStart w:id="36" w:name="_Toc480375111"/>
      <w:bookmarkStart w:id="37" w:name="_Toc486253388"/>
      <w:r>
        <w:lastRenderedPageBreak/>
        <w:t>Table</w:t>
      </w:r>
      <w:bookmarkEnd w:id="31"/>
      <w:r>
        <w:t xml:space="preserve"> 6.3</w:t>
      </w:r>
      <w:r>
        <w:tab/>
        <w:t>Trough FEV</w:t>
      </w:r>
      <w:r>
        <w:rPr>
          <w:vertAlign w:val="subscript"/>
        </w:rPr>
        <w:t>1</w:t>
      </w:r>
      <w:r>
        <w:t xml:space="preserve"> in OTEMTO 1 and 2 after 12 weeks – ITT on full analysis set</w:t>
      </w:r>
      <w:r>
        <w:rPr>
          <w:vertAlign w:val="superscript"/>
        </w:rPr>
        <w:t>a</w:t>
      </w:r>
      <w:bookmarkEnd w:id="32"/>
      <w:bookmarkEnd w:id="33"/>
      <w:bookmarkEnd w:id="34"/>
      <w:bookmarkEnd w:id="35"/>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Trough FEV1 in OTEMTO 1 and 2 after 12 weeks "/>
        <w:tblDescription w:val="TIO/OLO vs TIO"/>
      </w:tblPr>
      <w:tblGrid>
        <w:gridCol w:w="2982"/>
        <w:gridCol w:w="2269"/>
        <w:gridCol w:w="2267"/>
        <w:gridCol w:w="2130"/>
      </w:tblGrid>
      <w:tr w:rsidR="00452314" w:rsidRPr="00194011" w:rsidTr="005516AB">
        <w:trPr>
          <w:cantSplit/>
          <w:tblHeader/>
        </w:trPr>
        <w:tc>
          <w:tcPr>
            <w:tcW w:w="1545" w:type="pct"/>
            <w:shd w:val="clear" w:color="auto" w:fill="BFBFBF"/>
          </w:tcPr>
          <w:p w:rsidR="00452314" w:rsidRPr="00306479" w:rsidRDefault="00452314" w:rsidP="005516AB">
            <w:pPr>
              <w:pStyle w:val="01TableHEADINGleftaligned"/>
              <w:keepLines/>
              <w:spacing w:line="276" w:lineRule="auto"/>
            </w:pPr>
            <w:r>
              <w:t>Difference in trough FEV</w:t>
            </w:r>
            <w:r>
              <w:rPr>
                <w:vertAlign w:val="subscript"/>
              </w:rPr>
              <w:t>1</w:t>
            </w:r>
            <w:r>
              <w:t>, L</w:t>
            </w:r>
          </w:p>
        </w:tc>
        <w:tc>
          <w:tcPr>
            <w:tcW w:w="1176" w:type="pct"/>
            <w:tcBorders>
              <w:bottom w:val="single" w:sz="4" w:space="0" w:color="auto"/>
              <w:right w:val="single" w:sz="4" w:space="0" w:color="auto"/>
            </w:tcBorders>
            <w:shd w:val="clear" w:color="auto" w:fill="BFBFBF"/>
          </w:tcPr>
          <w:p w:rsidR="00452314" w:rsidRPr="00194011" w:rsidRDefault="00452314" w:rsidP="005516AB">
            <w:pPr>
              <w:pStyle w:val="01TableHEADINGleftaligned"/>
              <w:keepLines/>
              <w:spacing w:line="276" w:lineRule="auto"/>
              <w:jc w:val="center"/>
            </w:pPr>
            <w:r w:rsidRPr="00306479">
              <w:t>TIO/OLO vs TIO</w:t>
            </w:r>
          </w:p>
        </w:tc>
        <w:tc>
          <w:tcPr>
            <w:tcW w:w="1175" w:type="pct"/>
            <w:tcBorders>
              <w:left w:val="single" w:sz="4" w:space="0" w:color="auto"/>
              <w:bottom w:val="single" w:sz="4" w:space="0" w:color="auto"/>
              <w:right w:val="single" w:sz="4" w:space="0" w:color="auto"/>
            </w:tcBorders>
            <w:shd w:val="clear" w:color="auto" w:fill="BFBFBF"/>
          </w:tcPr>
          <w:p w:rsidR="00452314" w:rsidRPr="00F86301" w:rsidRDefault="00452314" w:rsidP="005516AB">
            <w:pPr>
              <w:pStyle w:val="01TableHEADINGleftaligned"/>
              <w:keepLines/>
              <w:spacing w:line="276" w:lineRule="auto"/>
              <w:jc w:val="center"/>
            </w:pPr>
            <w:r w:rsidRPr="00306479">
              <w:t>TIO/OLO vs PBO</w:t>
            </w:r>
          </w:p>
        </w:tc>
        <w:tc>
          <w:tcPr>
            <w:tcW w:w="1104" w:type="pct"/>
            <w:tcBorders>
              <w:left w:val="single" w:sz="4" w:space="0" w:color="auto"/>
              <w:bottom w:val="single" w:sz="4" w:space="0" w:color="auto"/>
            </w:tcBorders>
            <w:shd w:val="clear" w:color="auto" w:fill="BFBFBF"/>
          </w:tcPr>
          <w:p w:rsidR="00452314" w:rsidRPr="00194011" w:rsidRDefault="00452314" w:rsidP="005516AB">
            <w:pPr>
              <w:pStyle w:val="01TableHEADINGleftaligned"/>
              <w:keepLines/>
              <w:spacing w:line="276" w:lineRule="auto"/>
              <w:jc w:val="center"/>
            </w:pPr>
            <w:r w:rsidRPr="00306479">
              <w:t>TIO vs PBO</w:t>
            </w:r>
          </w:p>
        </w:tc>
      </w:tr>
      <w:tr w:rsidR="00452314" w:rsidRPr="00194011" w:rsidTr="005516AB">
        <w:trPr>
          <w:cantSplit/>
        </w:trPr>
        <w:tc>
          <w:tcPr>
            <w:tcW w:w="1545" w:type="pct"/>
            <w:shd w:val="clear" w:color="auto" w:fill="000000"/>
          </w:tcPr>
          <w:p w:rsidR="00452314" w:rsidRPr="00194011" w:rsidRDefault="00452314" w:rsidP="005516AB">
            <w:pPr>
              <w:pStyle w:val="04Tablesubheading"/>
              <w:keepLines/>
              <w:spacing w:line="276" w:lineRule="auto"/>
            </w:pPr>
          </w:p>
        </w:tc>
        <w:tc>
          <w:tcPr>
            <w:tcW w:w="1176" w:type="pct"/>
            <w:shd w:val="clear" w:color="auto" w:fill="000000"/>
          </w:tcPr>
          <w:p w:rsidR="00452314" w:rsidRDefault="00452314" w:rsidP="005516AB">
            <w:pPr>
              <w:pStyle w:val="04Tablesubheading"/>
              <w:keepLines/>
              <w:spacing w:line="276" w:lineRule="auto"/>
              <w:jc w:val="center"/>
            </w:pPr>
            <w:r>
              <w:t>Mean (SE) [95% CI]</w:t>
            </w:r>
          </w:p>
        </w:tc>
        <w:tc>
          <w:tcPr>
            <w:tcW w:w="1175" w:type="pct"/>
            <w:shd w:val="clear" w:color="auto" w:fill="000000"/>
          </w:tcPr>
          <w:p w:rsidR="00452314" w:rsidRDefault="00452314" w:rsidP="005516AB">
            <w:pPr>
              <w:pStyle w:val="04Tablesubheading"/>
              <w:keepLines/>
              <w:spacing w:line="276" w:lineRule="auto"/>
              <w:jc w:val="center"/>
            </w:pPr>
            <w:r>
              <w:t>Mean (SE) [95% CI]</w:t>
            </w:r>
          </w:p>
        </w:tc>
        <w:tc>
          <w:tcPr>
            <w:tcW w:w="1104" w:type="pct"/>
            <w:shd w:val="clear" w:color="auto" w:fill="000000"/>
          </w:tcPr>
          <w:p w:rsidR="00452314" w:rsidRDefault="00452314" w:rsidP="005516AB">
            <w:pPr>
              <w:pStyle w:val="04Tablesubheading"/>
              <w:keepLines/>
              <w:spacing w:line="276" w:lineRule="auto"/>
              <w:jc w:val="center"/>
            </w:pPr>
            <w:r>
              <w:t>Mean (SE) [95% CI]</w:t>
            </w:r>
          </w:p>
        </w:tc>
      </w:tr>
      <w:tr w:rsidR="00452314" w:rsidRPr="00194011" w:rsidTr="005516AB">
        <w:trPr>
          <w:cantSplit/>
        </w:trPr>
        <w:tc>
          <w:tcPr>
            <w:tcW w:w="1545" w:type="pct"/>
            <w:shd w:val="clear" w:color="auto" w:fill="auto"/>
          </w:tcPr>
          <w:p w:rsidR="00452314" w:rsidRPr="00194011" w:rsidRDefault="00452314" w:rsidP="005516AB">
            <w:pPr>
              <w:pStyle w:val="05Tabletext"/>
              <w:keepNext/>
              <w:keepLines/>
              <w:spacing w:line="276" w:lineRule="auto"/>
            </w:pPr>
            <w:r>
              <w:t>OTEMTO 1</w:t>
            </w:r>
          </w:p>
        </w:tc>
        <w:tc>
          <w:tcPr>
            <w:tcW w:w="1176" w:type="pct"/>
            <w:shd w:val="clear" w:color="auto" w:fill="auto"/>
          </w:tcPr>
          <w:p w:rsidR="00452314" w:rsidRPr="00194011" w:rsidRDefault="00452314" w:rsidP="005516AB">
            <w:pPr>
              <w:pStyle w:val="05Tabletext"/>
              <w:keepNext/>
              <w:keepLines/>
              <w:spacing w:line="276" w:lineRule="auto"/>
              <w:jc w:val="center"/>
            </w:pPr>
            <w:r>
              <w:t>0.028 (0.019) [–0.009, 0.066]</w:t>
            </w:r>
          </w:p>
        </w:tc>
        <w:tc>
          <w:tcPr>
            <w:tcW w:w="1175" w:type="pct"/>
            <w:shd w:val="clear" w:color="auto" w:fill="auto"/>
          </w:tcPr>
          <w:p w:rsidR="00452314" w:rsidRPr="0012128F" w:rsidRDefault="00452314" w:rsidP="005516AB">
            <w:pPr>
              <w:pStyle w:val="05Tabletext"/>
              <w:keepNext/>
              <w:keepLines/>
              <w:spacing w:line="276" w:lineRule="auto"/>
              <w:jc w:val="center"/>
              <w:rPr>
                <w:vertAlign w:val="superscript"/>
              </w:rPr>
            </w:pPr>
            <w:r>
              <w:t>0.162 (0.019) [0.124, 0.200]</w:t>
            </w:r>
            <w:r>
              <w:rPr>
                <w:vertAlign w:val="superscript"/>
              </w:rPr>
              <w:t>b</w:t>
            </w:r>
          </w:p>
        </w:tc>
        <w:tc>
          <w:tcPr>
            <w:tcW w:w="1104" w:type="pct"/>
          </w:tcPr>
          <w:p w:rsidR="00452314" w:rsidRPr="0012128F" w:rsidRDefault="00452314" w:rsidP="005516AB">
            <w:pPr>
              <w:pStyle w:val="05Tabletext"/>
              <w:keepNext/>
              <w:keepLines/>
              <w:spacing w:line="276" w:lineRule="auto"/>
              <w:jc w:val="center"/>
              <w:rPr>
                <w:vertAlign w:val="superscript"/>
              </w:rPr>
            </w:pPr>
            <w:r>
              <w:t>0.134 (0.019) [0.096, 0.172]</w:t>
            </w:r>
            <w:r>
              <w:rPr>
                <w:vertAlign w:val="superscript"/>
              </w:rPr>
              <w:t>b</w:t>
            </w:r>
          </w:p>
        </w:tc>
      </w:tr>
      <w:tr w:rsidR="00452314" w:rsidRPr="00194011" w:rsidTr="005516AB">
        <w:trPr>
          <w:cantSplit/>
        </w:trPr>
        <w:tc>
          <w:tcPr>
            <w:tcW w:w="1545" w:type="pct"/>
            <w:shd w:val="clear" w:color="auto" w:fill="auto"/>
          </w:tcPr>
          <w:p w:rsidR="00452314" w:rsidRPr="00A140AA" w:rsidRDefault="00452314" w:rsidP="005516AB">
            <w:pPr>
              <w:pStyle w:val="05Tabletext"/>
              <w:keepNext/>
              <w:keepLines/>
              <w:spacing w:line="276" w:lineRule="auto"/>
            </w:pPr>
            <w:r>
              <w:t>OTEMTO 2</w:t>
            </w:r>
          </w:p>
        </w:tc>
        <w:tc>
          <w:tcPr>
            <w:tcW w:w="1176" w:type="pct"/>
            <w:shd w:val="clear" w:color="auto" w:fill="auto"/>
          </w:tcPr>
          <w:p w:rsidR="00452314" w:rsidRPr="0012128F" w:rsidRDefault="00452314" w:rsidP="005516AB">
            <w:pPr>
              <w:pStyle w:val="05Tabletext"/>
              <w:keepNext/>
              <w:keepLines/>
              <w:spacing w:line="276" w:lineRule="auto"/>
              <w:jc w:val="center"/>
              <w:rPr>
                <w:vertAlign w:val="superscript"/>
              </w:rPr>
            </w:pPr>
            <w:r>
              <w:t>0.039 (0.019) [0.002, 0.076]</w:t>
            </w:r>
            <w:r>
              <w:rPr>
                <w:vertAlign w:val="superscript"/>
              </w:rPr>
              <w:t>c</w:t>
            </w:r>
          </w:p>
        </w:tc>
        <w:tc>
          <w:tcPr>
            <w:tcW w:w="1175" w:type="pct"/>
            <w:shd w:val="clear" w:color="auto" w:fill="auto"/>
          </w:tcPr>
          <w:p w:rsidR="00452314" w:rsidRPr="0012128F" w:rsidRDefault="00452314" w:rsidP="005516AB">
            <w:pPr>
              <w:pStyle w:val="05Tabletext"/>
              <w:keepNext/>
              <w:keepLines/>
              <w:spacing w:line="276" w:lineRule="auto"/>
              <w:jc w:val="center"/>
              <w:rPr>
                <w:vertAlign w:val="superscript"/>
              </w:rPr>
            </w:pPr>
            <w:r>
              <w:t>0.166 (0.019)</w:t>
            </w:r>
            <w:r>
              <w:rPr>
                <w:vertAlign w:val="superscript"/>
              </w:rPr>
              <w:t xml:space="preserve"> </w:t>
            </w:r>
            <w:r>
              <w:t>[0.129, 0.203]</w:t>
            </w:r>
            <w:r>
              <w:rPr>
                <w:vertAlign w:val="superscript"/>
              </w:rPr>
              <w:t>b</w:t>
            </w:r>
          </w:p>
        </w:tc>
        <w:tc>
          <w:tcPr>
            <w:tcW w:w="1104" w:type="pct"/>
          </w:tcPr>
          <w:p w:rsidR="00452314" w:rsidRPr="0012128F" w:rsidRDefault="00452314" w:rsidP="005516AB">
            <w:pPr>
              <w:pStyle w:val="05Tabletext"/>
              <w:keepNext/>
              <w:keepLines/>
              <w:spacing w:line="276" w:lineRule="auto"/>
              <w:jc w:val="center"/>
              <w:rPr>
                <w:vertAlign w:val="superscript"/>
              </w:rPr>
            </w:pPr>
            <w:r>
              <w:t>0.127 (0.019) [0.090, 0.165]</w:t>
            </w:r>
            <w:r>
              <w:rPr>
                <w:vertAlign w:val="superscript"/>
              </w:rPr>
              <w:t>b</w:t>
            </w:r>
          </w:p>
        </w:tc>
      </w:tr>
    </w:tbl>
    <w:p w:rsidR="00452314" w:rsidRDefault="00452314" w:rsidP="00452314">
      <w:pPr>
        <w:pStyle w:val="10TableorFigurefootnote"/>
        <w:keepLines/>
        <w:spacing w:line="276" w:lineRule="auto"/>
      </w:pPr>
      <w:r>
        <w:t>Source: Singh (2015b), pg 1314 and Supplementary Table S2.</w:t>
      </w:r>
    </w:p>
    <w:p w:rsidR="00452314" w:rsidRDefault="00452314" w:rsidP="00452314">
      <w:pPr>
        <w:pStyle w:val="10TableorFigurefootnote"/>
        <w:keepLines/>
        <w:spacing w:line="276" w:lineRule="auto"/>
        <w:rPr>
          <w:noProof/>
          <w:lang w:eastAsia="en-AU"/>
        </w:rPr>
      </w:pPr>
      <w:r>
        <w:rPr>
          <w:noProof/>
          <w:lang w:eastAsia="en-AU"/>
        </w:rPr>
        <w:t>Abbreviations: CI, confidence interval; FEV</w:t>
      </w:r>
      <w:r>
        <w:rPr>
          <w:noProof/>
          <w:vertAlign w:val="subscript"/>
          <w:lang w:eastAsia="en-AU"/>
        </w:rPr>
        <w:t>1</w:t>
      </w:r>
      <w:r>
        <w:rPr>
          <w:noProof/>
          <w:lang w:eastAsia="en-AU"/>
        </w:rPr>
        <w:t>, forced expiratory volume in 1 second; ITT, intention-to-treat; OLO, olodaterol; SE, standard error; TIO, triotropium.</w:t>
      </w:r>
    </w:p>
    <w:p w:rsidR="00452314" w:rsidRDefault="00452314" w:rsidP="00452314">
      <w:pPr>
        <w:pStyle w:val="10TableorFigurefootnote"/>
        <w:keepLines/>
        <w:spacing w:line="276" w:lineRule="auto"/>
      </w:pPr>
      <w:r>
        <w:t>Note: OTEMTO 1: placebo n=198; TIO n=200; TIO/OLO n=200. OTEMTO 2: placebo n=193; TIO n=197; TIO/OLO n=199.</w:t>
      </w:r>
    </w:p>
    <w:p w:rsidR="00452314" w:rsidRDefault="00452314" w:rsidP="00452314">
      <w:pPr>
        <w:pStyle w:val="10TableorFigurefootnote"/>
        <w:keepLines/>
        <w:spacing w:line="276" w:lineRule="auto"/>
      </w:pPr>
      <w:proofErr w:type="spellStart"/>
      <w:proofErr w:type="gramStart"/>
      <w:r>
        <w:rPr>
          <w:b/>
        </w:rPr>
        <w:t>a</w:t>
      </w:r>
      <w:proofErr w:type="spellEnd"/>
      <w:proofErr w:type="gramEnd"/>
      <w:r>
        <w:t xml:space="preserve"> All patients who received at least one dose of study medication and had baseline and at least one post-baseline measurement for any of the primary endpoints.</w:t>
      </w:r>
    </w:p>
    <w:p w:rsidR="00452314" w:rsidRDefault="00452314" w:rsidP="00452314">
      <w:pPr>
        <w:pStyle w:val="10TableorFigurefootnote"/>
        <w:keepLines/>
        <w:spacing w:line="276" w:lineRule="auto"/>
      </w:pPr>
      <w:proofErr w:type="gramStart"/>
      <w:r>
        <w:rPr>
          <w:b/>
        </w:rPr>
        <w:t>b</w:t>
      </w:r>
      <w:proofErr w:type="gramEnd"/>
      <w:r>
        <w:rPr>
          <w:b/>
        </w:rPr>
        <w:t xml:space="preserve"> </w:t>
      </w:r>
      <w:r>
        <w:t>p&lt;0.0001.</w:t>
      </w:r>
    </w:p>
    <w:p w:rsidR="00452314" w:rsidRDefault="00452314" w:rsidP="00452314">
      <w:pPr>
        <w:pStyle w:val="11TableorFigurefootnotenostick"/>
        <w:keepNext/>
        <w:keepLines/>
        <w:spacing w:line="276" w:lineRule="auto"/>
      </w:pPr>
      <w:proofErr w:type="gramStart"/>
      <w:r>
        <w:rPr>
          <w:b/>
        </w:rPr>
        <w:t>c</w:t>
      </w:r>
      <w:proofErr w:type="gramEnd"/>
      <w:r>
        <w:t xml:space="preserve"> p=0.0395.</w:t>
      </w:r>
    </w:p>
    <w:p w:rsidR="00452314" w:rsidRPr="00EF1FE8" w:rsidRDefault="00452314" w:rsidP="006C152B">
      <w:pPr>
        <w:pStyle w:val="ToR6Tableheader"/>
      </w:pPr>
      <w:bookmarkStart w:id="38" w:name="_Ref467782187"/>
      <w:bookmarkStart w:id="39" w:name="_Toc468006280"/>
      <w:bookmarkStart w:id="40" w:name="_Toc468012325"/>
      <w:bookmarkStart w:id="41" w:name="_Toc468034481"/>
      <w:bookmarkStart w:id="42" w:name="_Toc471891031"/>
      <w:bookmarkStart w:id="43" w:name="_Toc480375113"/>
      <w:bookmarkStart w:id="44" w:name="_Toc486253389"/>
      <w:r>
        <w:t>Table</w:t>
      </w:r>
      <w:bookmarkEnd w:id="38"/>
      <w:r>
        <w:t xml:space="preserve"> 6.4</w:t>
      </w:r>
      <w:r>
        <w:tab/>
        <w:t>Treatment differences in least squares mean change from baseline – Trough FEV</w:t>
      </w:r>
      <w:r>
        <w:rPr>
          <w:vertAlign w:val="subscript"/>
        </w:rPr>
        <w:t>1</w:t>
      </w:r>
      <w:bookmarkEnd w:id="39"/>
      <w:bookmarkEnd w:id="40"/>
      <w:bookmarkEnd w:id="41"/>
      <w:bookmarkEnd w:id="42"/>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Caption w:val="Treatment differences in least squares mean change from baseline – Trough FEV1"/>
        <w:tblDescription w:val="UME/VIL vs TIO"/>
      </w:tblPr>
      <w:tblGrid>
        <w:gridCol w:w="1986"/>
        <w:gridCol w:w="1241"/>
        <w:gridCol w:w="1241"/>
        <w:gridCol w:w="1241"/>
        <w:gridCol w:w="1243"/>
        <w:gridCol w:w="1702"/>
        <w:gridCol w:w="994"/>
      </w:tblGrid>
      <w:tr w:rsidR="00452314" w:rsidRPr="00194011" w:rsidTr="005516AB">
        <w:trPr>
          <w:cantSplit/>
          <w:tblHeader/>
        </w:trPr>
        <w:tc>
          <w:tcPr>
            <w:tcW w:w="1030" w:type="pct"/>
            <w:shd w:val="clear" w:color="auto" w:fill="BFBFBF"/>
          </w:tcPr>
          <w:p w:rsidR="00452314" w:rsidRPr="00424904" w:rsidRDefault="00452314" w:rsidP="005516AB">
            <w:pPr>
              <w:pStyle w:val="01TableHEADINGleftaligned"/>
              <w:spacing w:line="276" w:lineRule="auto"/>
            </w:pPr>
            <w:r>
              <w:t>LS mean change from baseline</w:t>
            </w:r>
          </w:p>
        </w:tc>
        <w:tc>
          <w:tcPr>
            <w:tcW w:w="643" w:type="pct"/>
            <w:tcBorders>
              <w:bottom w:val="single" w:sz="4" w:space="0" w:color="auto"/>
              <w:right w:val="nil"/>
            </w:tcBorders>
            <w:shd w:val="clear" w:color="auto" w:fill="BFBFBF"/>
          </w:tcPr>
          <w:p w:rsidR="00452314" w:rsidRPr="00815893" w:rsidRDefault="00452314" w:rsidP="005516AB">
            <w:pPr>
              <w:pStyle w:val="01TableHEADINGleftaligned"/>
              <w:spacing w:line="276" w:lineRule="auto"/>
              <w:ind w:right="0"/>
              <w:jc w:val="right"/>
            </w:pPr>
            <w:r>
              <w:t>UME/VIL</w:t>
            </w:r>
          </w:p>
        </w:tc>
        <w:tc>
          <w:tcPr>
            <w:tcW w:w="643" w:type="pct"/>
            <w:tcBorders>
              <w:left w:val="nil"/>
              <w:bottom w:val="single" w:sz="4" w:space="0" w:color="auto"/>
              <w:right w:val="single" w:sz="4" w:space="0" w:color="auto"/>
            </w:tcBorders>
            <w:shd w:val="clear" w:color="auto" w:fill="BFBFBF"/>
          </w:tcPr>
          <w:p w:rsidR="00452314" w:rsidRPr="00815893" w:rsidRDefault="00452314" w:rsidP="005516AB">
            <w:pPr>
              <w:pStyle w:val="01TableHEADINGleftaligned"/>
              <w:spacing w:line="276" w:lineRule="auto"/>
              <w:ind w:left="28" w:right="0"/>
            </w:pPr>
            <w:r>
              <w:t>62.5/25</w:t>
            </w:r>
          </w:p>
        </w:tc>
        <w:tc>
          <w:tcPr>
            <w:tcW w:w="643" w:type="pct"/>
            <w:tcBorders>
              <w:left w:val="single" w:sz="4" w:space="0" w:color="auto"/>
              <w:bottom w:val="single" w:sz="4" w:space="0" w:color="auto"/>
              <w:right w:val="nil"/>
            </w:tcBorders>
            <w:shd w:val="clear" w:color="auto" w:fill="BFBFBF"/>
          </w:tcPr>
          <w:p w:rsidR="00452314" w:rsidRPr="00815893" w:rsidRDefault="00452314" w:rsidP="005516AB">
            <w:pPr>
              <w:pStyle w:val="01TableHEADINGleftaligned"/>
              <w:spacing w:line="276" w:lineRule="auto"/>
              <w:ind w:left="28" w:right="0"/>
              <w:jc w:val="right"/>
            </w:pPr>
            <w:r>
              <w:t>TIO</w:t>
            </w:r>
          </w:p>
        </w:tc>
        <w:tc>
          <w:tcPr>
            <w:tcW w:w="644" w:type="pct"/>
            <w:tcBorders>
              <w:left w:val="nil"/>
              <w:bottom w:val="single" w:sz="4" w:space="0" w:color="auto"/>
              <w:right w:val="single" w:sz="4" w:space="0" w:color="auto"/>
            </w:tcBorders>
            <w:shd w:val="clear" w:color="auto" w:fill="BFBFBF"/>
          </w:tcPr>
          <w:p w:rsidR="00452314" w:rsidRPr="00815893" w:rsidRDefault="00452314" w:rsidP="005516AB">
            <w:pPr>
              <w:pStyle w:val="01TableHEADINGleftaligned"/>
              <w:spacing w:line="276" w:lineRule="auto"/>
              <w:ind w:left="28"/>
            </w:pPr>
            <w:r>
              <w:t>18</w:t>
            </w:r>
          </w:p>
        </w:tc>
        <w:tc>
          <w:tcPr>
            <w:tcW w:w="882" w:type="pct"/>
            <w:tcBorders>
              <w:left w:val="single" w:sz="4" w:space="0" w:color="auto"/>
              <w:bottom w:val="single" w:sz="4" w:space="0" w:color="auto"/>
              <w:right w:val="single" w:sz="4" w:space="0" w:color="auto"/>
            </w:tcBorders>
            <w:shd w:val="clear" w:color="auto" w:fill="BFBFBF"/>
          </w:tcPr>
          <w:p w:rsidR="00452314" w:rsidRDefault="00452314" w:rsidP="005516AB">
            <w:pPr>
              <w:pStyle w:val="01TableHEADINGleftaligned"/>
              <w:spacing w:line="276" w:lineRule="auto"/>
              <w:jc w:val="center"/>
            </w:pPr>
            <w:r>
              <w:t>Treatment difference, L, (95% CI)</w:t>
            </w:r>
          </w:p>
        </w:tc>
        <w:tc>
          <w:tcPr>
            <w:tcW w:w="515" w:type="pct"/>
            <w:tcBorders>
              <w:left w:val="single" w:sz="4" w:space="0" w:color="auto"/>
              <w:bottom w:val="single" w:sz="4" w:space="0" w:color="auto"/>
            </w:tcBorders>
            <w:shd w:val="clear" w:color="auto" w:fill="BFBFBF"/>
          </w:tcPr>
          <w:p w:rsidR="00452314" w:rsidRPr="00194011" w:rsidRDefault="00452314" w:rsidP="005516AB">
            <w:pPr>
              <w:pStyle w:val="01TableHEADINGleftaligned"/>
              <w:spacing w:line="276" w:lineRule="auto"/>
              <w:jc w:val="center"/>
            </w:pPr>
            <w:r>
              <w:t>p-value</w:t>
            </w:r>
          </w:p>
        </w:tc>
      </w:tr>
      <w:tr w:rsidR="00452314" w:rsidRPr="00194011" w:rsidTr="005516AB">
        <w:trPr>
          <w:cantSplit/>
        </w:trPr>
        <w:tc>
          <w:tcPr>
            <w:tcW w:w="1030" w:type="pct"/>
            <w:shd w:val="clear" w:color="auto" w:fill="000000"/>
          </w:tcPr>
          <w:p w:rsidR="00452314" w:rsidRPr="00194011" w:rsidRDefault="00452314" w:rsidP="005516AB">
            <w:pPr>
              <w:pStyle w:val="04Tablesubheading"/>
              <w:spacing w:line="276" w:lineRule="auto"/>
            </w:pPr>
          </w:p>
        </w:tc>
        <w:tc>
          <w:tcPr>
            <w:tcW w:w="643" w:type="pct"/>
            <w:shd w:val="clear" w:color="auto" w:fill="000000"/>
          </w:tcPr>
          <w:p w:rsidR="00452314" w:rsidRPr="00194011" w:rsidRDefault="00452314" w:rsidP="005516AB">
            <w:pPr>
              <w:pStyle w:val="04Tablesubheading"/>
              <w:spacing w:line="276" w:lineRule="auto"/>
              <w:jc w:val="center"/>
            </w:pPr>
            <w:r>
              <w:t>n</w:t>
            </w:r>
          </w:p>
        </w:tc>
        <w:tc>
          <w:tcPr>
            <w:tcW w:w="643" w:type="pct"/>
            <w:shd w:val="clear" w:color="auto" w:fill="000000"/>
          </w:tcPr>
          <w:p w:rsidR="00452314" w:rsidRPr="00194011" w:rsidRDefault="00452314" w:rsidP="005516AB">
            <w:pPr>
              <w:pStyle w:val="04Tablesubheading"/>
              <w:spacing w:line="276" w:lineRule="auto"/>
              <w:jc w:val="center"/>
            </w:pPr>
            <w:r>
              <w:t>Mean (SE)</w:t>
            </w:r>
          </w:p>
        </w:tc>
        <w:tc>
          <w:tcPr>
            <w:tcW w:w="643" w:type="pct"/>
            <w:shd w:val="clear" w:color="auto" w:fill="000000"/>
          </w:tcPr>
          <w:p w:rsidR="00452314" w:rsidRPr="00194011" w:rsidRDefault="00452314" w:rsidP="005516AB">
            <w:pPr>
              <w:pStyle w:val="04Tablesubheading"/>
              <w:spacing w:line="276" w:lineRule="auto"/>
              <w:jc w:val="center"/>
            </w:pPr>
            <w:r>
              <w:t>n</w:t>
            </w:r>
          </w:p>
        </w:tc>
        <w:tc>
          <w:tcPr>
            <w:tcW w:w="644" w:type="pct"/>
            <w:shd w:val="clear" w:color="auto" w:fill="000000"/>
          </w:tcPr>
          <w:p w:rsidR="00452314" w:rsidRPr="00194011" w:rsidRDefault="00452314" w:rsidP="005516AB">
            <w:pPr>
              <w:pStyle w:val="04Tablesubheading"/>
              <w:spacing w:line="276" w:lineRule="auto"/>
              <w:jc w:val="center"/>
            </w:pPr>
            <w:r>
              <w:t>Mean (SE)</w:t>
            </w:r>
          </w:p>
        </w:tc>
        <w:tc>
          <w:tcPr>
            <w:tcW w:w="882" w:type="pct"/>
            <w:shd w:val="clear" w:color="auto" w:fill="000000"/>
          </w:tcPr>
          <w:p w:rsidR="00452314" w:rsidRPr="00194011" w:rsidRDefault="00452314" w:rsidP="005516AB">
            <w:pPr>
              <w:pStyle w:val="04Tablesubheading"/>
              <w:spacing w:line="276" w:lineRule="auto"/>
              <w:jc w:val="center"/>
            </w:pPr>
          </w:p>
        </w:tc>
        <w:tc>
          <w:tcPr>
            <w:tcW w:w="515" w:type="pct"/>
            <w:shd w:val="clear" w:color="auto" w:fill="000000"/>
          </w:tcPr>
          <w:p w:rsidR="00452314" w:rsidRPr="00194011" w:rsidRDefault="00452314" w:rsidP="005516AB">
            <w:pPr>
              <w:pStyle w:val="04Tablesubheading"/>
              <w:spacing w:line="276" w:lineRule="auto"/>
              <w:jc w:val="center"/>
            </w:pPr>
          </w:p>
        </w:tc>
      </w:tr>
      <w:tr w:rsidR="00452314" w:rsidRPr="00194011" w:rsidTr="005516AB">
        <w:trPr>
          <w:cantSplit/>
        </w:trPr>
        <w:tc>
          <w:tcPr>
            <w:tcW w:w="1030" w:type="pct"/>
            <w:shd w:val="clear" w:color="auto" w:fill="auto"/>
          </w:tcPr>
          <w:p w:rsidR="00452314" w:rsidRPr="00C22F2F" w:rsidRDefault="00452314" w:rsidP="005516AB">
            <w:pPr>
              <w:pStyle w:val="05Tabletext"/>
              <w:spacing w:line="276" w:lineRule="auto"/>
              <w:rPr>
                <w:vertAlign w:val="superscript"/>
              </w:rPr>
            </w:pPr>
            <w:r>
              <w:t>Trough FEV</w:t>
            </w:r>
            <w:r>
              <w:rPr>
                <w:vertAlign w:val="subscript"/>
              </w:rPr>
              <w:t>1</w:t>
            </w:r>
            <w:r>
              <w:t xml:space="preserve"> at Day 84, L</w:t>
            </w:r>
            <w:r>
              <w:rPr>
                <w:vertAlign w:val="superscript"/>
              </w:rPr>
              <w:t>a</w:t>
            </w:r>
          </w:p>
        </w:tc>
        <w:tc>
          <w:tcPr>
            <w:tcW w:w="643" w:type="pct"/>
            <w:shd w:val="clear" w:color="auto" w:fill="auto"/>
          </w:tcPr>
          <w:p w:rsidR="00452314" w:rsidRDefault="00452314" w:rsidP="005516AB">
            <w:pPr>
              <w:pStyle w:val="05Tabletext"/>
              <w:spacing w:line="276" w:lineRule="auto"/>
              <w:jc w:val="center"/>
            </w:pPr>
            <w:r>
              <w:t>453</w:t>
            </w:r>
          </w:p>
        </w:tc>
        <w:tc>
          <w:tcPr>
            <w:tcW w:w="643" w:type="pct"/>
            <w:shd w:val="clear" w:color="auto" w:fill="auto"/>
          </w:tcPr>
          <w:p w:rsidR="00452314" w:rsidRDefault="00452314" w:rsidP="005516AB">
            <w:pPr>
              <w:pStyle w:val="05Tabletext"/>
              <w:spacing w:line="276" w:lineRule="auto"/>
              <w:jc w:val="center"/>
            </w:pPr>
            <w:r>
              <w:t>0.189 (0.0111)</w:t>
            </w:r>
          </w:p>
        </w:tc>
        <w:tc>
          <w:tcPr>
            <w:tcW w:w="643" w:type="pct"/>
            <w:shd w:val="clear" w:color="auto" w:fill="auto"/>
          </w:tcPr>
          <w:p w:rsidR="00452314" w:rsidRDefault="00452314" w:rsidP="005516AB">
            <w:pPr>
              <w:pStyle w:val="05Tabletext"/>
              <w:spacing w:line="276" w:lineRule="auto"/>
              <w:jc w:val="center"/>
            </w:pPr>
            <w:r>
              <w:t>449</w:t>
            </w:r>
          </w:p>
        </w:tc>
        <w:tc>
          <w:tcPr>
            <w:tcW w:w="644" w:type="pct"/>
            <w:shd w:val="clear" w:color="auto" w:fill="auto"/>
          </w:tcPr>
          <w:p w:rsidR="00452314" w:rsidRDefault="00452314" w:rsidP="005516AB">
            <w:pPr>
              <w:pStyle w:val="05Tabletext"/>
              <w:spacing w:line="276" w:lineRule="auto"/>
              <w:jc w:val="center"/>
            </w:pPr>
            <w:r>
              <w:t>0.081 (0.0113)</w:t>
            </w:r>
          </w:p>
        </w:tc>
        <w:tc>
          <w:tcPr>
            <w:tcW w:w="882" w:type="pct"/>
            <w:shd w:val="clear" w:color="auto" w:fill="auto"/>
          </w:tcPr>
          <w:p w:rsidR="00452314" w:rsidRDefault="00452314" w:rsidP="005516AB">
            <w:pPr>
              <w:pStyle w:val="05Tabletext"/>
              <w:spacing w:line="276" w:lineRule="auto"/>
              <w:jc w:val="center"/>
            </w:pPr>
            <w:r>
              <w:t>0.109 (0.078, 0.140)</w:t>
            </w:r>
          </w:p>
        </w:tc>
        <w:tc>
          <w:tcPr>
            <w:tcW w:w="515" w:type="pct"/>
          </w:tcPr>
          <w:p w:rsidR="00452314" w:rsidRDefault="00452314" w:rsidP="005516AB">
            <w:pPr>
              <w:pStyle w:val="05Tabletext"/>
              <w:spacing w:line="276" w:lineRule="auto"/>
              <w:jc w:val="center"/>
            </w:pPr>
            <w:r>
              <w:t>&lt;0.001</w:t>
            </w:r>
          </w:p>
        </w:tc>
      </w:tr>
      <w:tr w:rsidR="00452314" w:rsidRPr="00194011" w:rsidTr="005516AB">
        <w:trPr>
          <w:cantSplit/>
        </w:trPr>
        <w:tc>
          <w:tcPr>
            <w:tcW w:w="1030" w:type="pct"/>
            <w:shd w:val="clear" w:color="auto" w:fill="auto"/>
          </w:tcPr>
          <w:p w:rsidR="00452314" w:rsidRPr="00C22F2F" w:rsidRDefault="00452314" w:rsidP="005516AB">
            <w:pPr>
              <w:pStyle w:val="05Tabletext"/>
              <w:spacing w:line="276" w:lineRule="auto"/>
              <w:rPr>
                <w:vertAlign w:val="superscript"/>
              </w:rPr>
            </w:pPr>
            <w:r>
              <w:t>Trough FEV</w:t>
            </w:r>
            <w:r>
              <w:rPr>
                <w:vertAlign w:val="subscript"/>
              </w:rPr>
              <w:t>1</w:t>
            </w:r>
            <w:r>
              <w:t xml:space="preserve"> at Day 169, L</w:t>
            </w:r>
            <w:r>
              <w:rPr>
                <w:vertAlign w:val="superscript"/>
              </w:rPr>
              <w:t>b</w:t>
            </w:r>
          </w:p>
        </w:tc>
        <w:tc>
          <w:tcPr>
            <w:tcW w:w="643" w:type="pct"/>
            <w:shd w:val="clear" w:color="auto" w:fill="auto"/>
          </w:tcPr>
          <w:p w:rsidR="00452314" w:rsidRDefault="00452314" w:rsidP="005516AB">
            <w:pPr>
              <w:pStyle w:val="05Tabletext"/>
              <w:spacing w:line="276" w:lineRule="auto"/>
              <w:jc w:val="center"/>
            </w:pPr>
            <w:r>
              <w:t>454</w:t>
            </w:r>
          </w:p>
        </w:tc>
        <w:tc>
          <w:tcPr>
            <w:tcW w:w="643" w:type="pct"/>
            <w:shd w:val="clear" w:color="auto" w:fill="auto"/>
          </w:tcPr>
          <w:p w:rsidR="00452314" w:rsidRDefault="00452314" w:rsidP="005516AB">
            <w:pPr>
              <w:pStyle w:val="05Tabletext"/>
              <w:spacing w:line="276" w:lineRule="auto"/>
              <w:jc w:val="center"/>
            </w:pPr>
            <w:r>
              <w:t>0.205 (0.0114)</w:t>
            </w:r>
          </w:p>
        </w:tc>
        <w:tc>
          <w:tcPr>
            <w:tcW w:w="643" w:type="pct"/>
            <w:shd w:val="clear" w:color="auto" w:fill="auto"/>
          </w:tcPr>
          <w:p w:rsidR="00452314" w:rsidRDefault="00452314" w:rsidP="005516AB">
            <w:pPr>
              <w:pStyle w:val="05Tabletext"/>
              <w:spacing w:line="276" w:lineRule="auto"/>
              <w:jc w:val="center"/>
            </w:pPr>
            <w:r>
              <w:t>451</w:t>
            </w:r>
          </w:p>
        </w:tc>
        <w:tc>
          <w:tcPr>
            <w:tcW w:w="644" w:type="pct"/>
            <w:shd w:val="clear" w:color="auto" w:fill="auto"/>
          </w:tcPr>
          <w:p w:rsidR="00452314" w:rsidRDefault="00452314" w:rsidP="005516AB">
            <w:pPr>
              <w:pStyle w:val="05Tabletext"/>
              <w:spacing w:line="276" w:lineRule="auto"/>
              <w:jc w:val="center"/>
            </w:pPr>
            <w:r>
              <w:t>0.093 (0.0115)</w:t>
            </w:r>
          </w:p>
        </w:tc>
        <w:tc>
          <w:tcPr>
            <w:tcW w:w="882" w:type="pct"/>
            <w:shd w:val="clear" w:color="auto" w:fill="auto"/>
          </w:tcPr>
          <w:p w:rsidR="00452314" w:rsidRDefault="00452314" w:rsidP="005516AB">
            <w:pPr>
              <w:pStyle w:val="05Tabletext"/>
              <w:spacing w:line="276" w:lineRule="auto"/>
              <w:jc w:val="center"/>
            </w:pPr>
            <w:r>
              <w:t>0.112 (0.081, 0.144)</w:t>
            </w:r>
          </w:p>
        </w:tc>
        <w:tc>
          <w:tcPr>
            <w:tcW w:w="515" w:type="pct"/>
          </w:tcPr>
          <w:p w:rsidR="00452314" w:rsidRDefault="00452314" w:rsidP="005516AB">
            <w:pPr>
              <w:pStyle w:val="05Tabletext"/>
              <w:spacing w:line="276" w:lineRule="auto"/>
              <w:jc w:val="center"/>
            </w:pPr>
            <w:r>
              <w:t>&lt;0.001</w:t>
            </w:r>
          </w:p>
        </w:tc>
      </w:tr>
    </w:tbl>
    <w:p w:rsidR="00452314" w:rsidRDefault="00452314" w:rsidP="00452314">
      <w:pPr>
        <w:pStyle w:val="10TableorFigurefootnote"/>
        <w:spacing w:line="276" w:lineRule="auto"/>
      </w:pPr>
      <w:r>
        <w:t xml:space="preserve">Source: </w:t>
      </w:r>
      <w:proofErr w:type="spellStart"/>
      <w:r>
        <w:t>Maleki-Yazdi</w:t>
      </w:r>
      <w:proofErr w:type="spellEnd"/>
      <w:r>
        <w:t xml:space="preserve"> (2014), Table 2 and Supplementary file 7.</w:t>
      </w:r>
    </w:p>
    <w:p w:rsidR="00452314" w:rsidRDefault="00452314" w:rsidP="00452314">
      <w:pPr>
        <w:pStyle w:val="10TableorFigurefootnote"/>
        <w:spacing w:line="276" w:lineRule="auto"/>
      </w:pPr>
      <w:r>
        <w:t xml:space="preserve">Note: </w:t>
      </w:r>
      <w:r w:rsidRPr="00C22F2F">
        <w:t xml:space="preserve">Analysis performed using a repeated measures model with covariates of treatment, baseline (mean of the two assessments made 30 and 5 min pre-dose on </w:t>
      </w:r>
      <w:r>
        <w:t>D</w:t>
      </w:r>
      <w:r w:rsidRPr="00C22F2F">
        <w:t xml:space="preserve">ay 1), smoking status, </w:t>
      </w:r>
      <w:proofErr w:type="spellStart"/>
      <w:r w:rsidRPr="00C22F2F">
        <w:t>center</w:t>
      </w:r>
      <w:proofErr w:type="spellEnd"/>
      <w:r w:rsidRPr="00C22F2F">
        <w:t xml:space="preserve"> group, Day, Day by baseline, and Day by treatment interactions.</w:t>
      </w:r>
    </w:p>
    <w:p w:rsidR="00452314" w:rsidRDefault="00452314" w:rsidP="00452314">
      <w:pPr>
        <w:pStyle w:val="10TableorFigurefootnote"/>
        <w:spacing w:line="276" w:lineRule="auto"/>
      </w:pPr>
      <w:r>
        <w:t>Abbreviations: CI, confidence interval; FEV</w:t>
      </w:r>
      <w:r>
        <w:rPr>
          <w:vertAlign w:val="subscript"/>
        </w:rPr>
        <w:t>1</w:t>
      </w:r>
      <w:r>
        <w:t>, forced expiratory volume in one second; ITT, intention-to-treat; TIO, tiotropium; UME, umeclidinium; VIL, vilanterol.</w:t>
      </w:r>
    </w:p>
    <w:p w:rsidR="00452314" w:rsidRDefault="00452314" w:rsidP="00452314">
      <w:pPr>
        <w:pStyle w:val="10TableorFigurefootnote"/>
        <w:spacing w:line="276" w:lineRule="auto"/>
      </w:pPr>
      <w:proofErr w:type="gramStart"/>
      <w:r>
        <w:rPr>
          <w:b/>
        </w:rPr>
        <w:t>a</w:t>
      </w:r>
      <w:proofErr w:type="gramEnd"/>
      <w:r>
        <w:t xml:space="preserve"> Based on patients with analysable data for one or more visits.</w:t>
      </w:r>
    </w:p>
    <w:p w:rsidR="00452314" w:rsidRDefault="00452314" w:rsidP="00452314">
      <w:pPr>
        <w:pStyle w:val="11TableorFigurefootnotenostick"/>
        <w:spacing w:line="276" w:lineRule="auto"/>
      </w:pPr>
      <w:proofErr w:type="gramStart"/>
      <w:r>
        <w:rPr>
          <w:b/>
        </w:rPr>
        <w:t>b</w:t>
      </w:r>
      <w:proofErr w:type="gramEnd"/>
      <w:r>
        <w:rPr>
          <w:b/>
        </w:rPr>
        <w:t xml:space="preserve"> </w:t>
      </w:r>
      <w:r>
        <w:t>Primary outcome; ITT population.</w:t>
      </w:r>
    </w:p>
    <w:p w:rsidR="00452314" w:rsidRDefault="00452314" w:rsidP="00E079C5">
      <w:pPr>
        <w:pStyle w:val="BodyText"/>
        <w:keepNext/>
        <w:keepLines/>
      </w:pPr>
      <w:r w:rsidRPr="00D16CB6">
        <w:t xml:space="preserve">Of the four RCTs identified that compared LAMA </w:t>
      </w:r>
      <w:proofErr w:type="gramStart"/>
      <w:r w:rsidRPr="00D16CB6">
        <w:t>monotherapy</w:t>
      </w:r>
      <w:proofErr w:type="gramEnd"/>
      <w:r w:rsidRPr="00D16CB6">
        <w:t xml:space="preserve"> to LAMA/LABA dual therapy, the following PROs were reported: SGRQ (3 studies), rescue medication (2 studies), time to first exacerbation (1 study), and physiological response to exercise during SMETT (1 study). The SGRQ results from the TONADO 1 and 2 studies (Ferguson et al, 2015) have previously been considered by the PBAC. Singh et al (2015b and 2016) concluded of the OTEMTO studies that treatment with tiotropium/olodaterol led to improvements in lung function over and tiotropium that “were translated into clinically significant improvements in symptoms and health-related quality of life”. </w:t>
      </w:r>
      <w:proofErr w:type="spellStart"/>
      <w:r w:rsidRPr="00D16CB6">
        <w:t>Maleki-Yazdi</w:t>
      </w:r>
      <w:proofErr w:type="spellEnd"/>
      <w:r w:rsidRPr="00D16CB6">
        <w:t xml:space="preserve"> et al (2014) showed that time to first exacerbation favoured dual therapy over monotherapy with marginal statistical significance.</w:t>
      </w:r>
    </w:p>
    <w:p w:rsidR="00B77A6A" w:rsidRPr="00D16CB6" w:rsidRDefault="00B77A6A" w:rsidP="00B77A6A">
      <w:pPr>
        <w:pStyle w:val="Heading4"/>
      </w:pPr>
      <w:r w:rsidRPr="00D16CB6">
        <w:t>Comparison of LAMA</w:t>
      </w:r>
      <w:r w:rsidR="00A15F0F">
        <w:t xml:space="preserve"> or</w:t>
      </w:r>
      <w:r w:rsidRPr="00D16CB6">
        <w:t xml:space="preserve"> LABA</w:t>
      </w:r>
      <w:r w:rsidR="00A15F0F">
        <w:t xml:space="preserve"> monotherapy</w:t>
      </w:r>
      <w:r w:rsidRPr="00D16CB6">
        <w:t xml:space="preserve"> and ICS</w:t>
      </w:r>
      <w:r w:rsidR="00805225">
        <w:t>/LABA</w:t>
      </w:r>
      <w:r w:rsidRPr="00D16CB6">
        <w:t xml:space="preserve"> FDCs</w:t>
      </w:r>
    </w:p>
    <w:p w:rsidR="00B77A6A" w:rsidRPr="00D16CB6" w:rsidRDefault="00B77A6A" w:rsidP="00C61559">
      <w:pPr>
        <w:pStyle w:val="BodyText"/>
        <w:keepNext/>
        <w:keepLines/>
      </w:pPr>
      <w:r w:rsidRPr="00D16CB6">
        <w:t>Overall, new evidence regarding the comparative efficacy and safety of LAMAs and LABAs compared to ICS/LABA FDCs is inconclusive, but does not support a change to p</w:t>
      </w:r>
      <w:r w:rsidR="00805225">
        <w:t xml:space="preserve">revious PBAC decision </w:t>
      </w:r>
      <w:r w:rsidRPr="00D16CB6">
        <w:t>making, which considered these therapies generally comparable</w:t>
      </w:r>
      <w:r w:rsidR="00C61559">
        <w:t xml:space="preserve">. </w:t>
      </w:r>
      <w:r w:rsidR="00C61559" w:rsidRPr="00581AA1">
        <w:t xml:space="preserve">ICS/LABA FDC was considered non-inferior to LAMA </w:t>
      </w:r>
      <w:proofErr w:type="gramStart"/>
      <w:r w:rsidR="00C61559" w:rsidRPr="00581AA1">
        <w:t>monotherapy</w:t>
      </w:r>
      <w:proofErr w:type="gramEnd"/>
      <w:r w:rsidR="00C61559" w:rsidRPr="00581AA1">
        <w:t xml:space="preserve"> </w:t>
      </w:r>
      <w:r w:rsidR="00C61559">
        <w:t>in March 2007</w:t>
      </w:r>
      <w:r w:rsidRPr="00D16CB6">
        <w:t>.</w:t>
      </w:r>
      <w:r w:rsidR="00C61559" w:rsidRPr="00C61559">
        <w:t xml:space="preserve"> </w:t>
      </w:r>
    </w:p>
    <w:p w:rsidR="00D006A7" w:rsidRDefault="00B77A6A" w:rsidP="00B77A6A">
      <w:r w:rsidRPr="00D16CB6">
        <w:t xml:space="preserve">Three RCTs were identified that compared the efficacy and safety of LAMAs </w:t>
      </w:r>
      <w:r w:rsidR="00805225">
        <w:t xml:space="preserve">to ICS/LABA FDCs. </w:t>
      </w:r>
      <w:proofErr w:type="spellStart"/>
      <w:r w:rsidR="00805225">
        <w:t>Wedzicha</w:t>
      </w:r>
      <w:proofErr w:type="spellEnd"/>
      <w:r w:rsidRPr="00D16CB6">
        <w:t xml:space="preserve"> (2008) found a similar rate of exacerbations between patients treated with fluticasone</w:t>
      </w:r>
      <w:r w:rsidR="002D2A82">
        <w:t xml:space="preserve"> propionate</w:t>
      </w:r>
      <w:r w:rsidRPr="00D16CB6">
        <w:t>/salmeterol compared to tiotropium, but significant improve</w:t>
      </w:r>
      <w:r w:rsidR="00981B56">
        <w:t xml:space="preserve">d risks in </w:t>
      </w:r>
      <w:proofErr w:type="spellStart"/>
      <w:r w:rsidR="00981B56">
        <w:t>all cause</w:t>
      </w:r>
      <w:proofErr w:type="spellEnd"/>
      <w:r w:rsidR="00981B56">
        <w:t xml:space="preserve"> mortality</w:t>
      </w:r>
      <w:r w:rsidRPr="00D16CB6">
        <w:t xml:space="preserve"> with the</w:t>
      </w:r>
      <w:r w:rsidR="00805225">
        <w:t xml:space="preserve"> ICS/LABA treatment. </w:t>
      </w:r>
      <w:proofErr w:type="spellStart"/>
      <w:r w:rsidR="00805225">
        <w:t>Sarac</w:t>
      </w:r>
      <w:proofErr w:type="spellEnd"/>
      <w:r w:rsidRPr="00D16CB6">
        <w:t xml:space="preserve"> (2016) found no significant difference in exacerbation risk between fluticasone</w:t>
      </w:r>
      <w:r w:rsidR="002D2A82">
        <w:t xml:space="preserve"> propionate</w:t>
      </w:r>
      <w:r w:rsidRPr="00D16CB6">
        <w:t>/salmeterol and tiotropium treatments, but the study may not have been suf</w:t>
      </w:r>
      <w:r w:rsidR="00805225">
        <w:t xml:space="preserve">ficiently powered. </w:t>
      </w:r>
      <w:proofErr w:type="spellStart"/>
      <w:r w:rsidR="00805225">
        <w:t>Covelli</w:t>
      </w:r>
      <w:proofErr w:type="spellEnd"/>
      <w:r w:rsidRPr="00D16CB6">
        <w:t xml:space="preserve"> (2016) compared the safety and efficacy of fluticasone</w:t>
      </w:r>
      <w:r w:rsidR="002D2A82">
        <w:t xml:space="preserve"> furoate</w:t>
      </w:r>
      <w:r w:rsidRPr="00D16CB6">
        <w:t xml:space="preserve">/vilanterol to tiotropium and found a similar improvement in </w:t>
      </w:r>
      <w:r w:rsidRPr="00D16CB6">
        <w:lastRenderedPageBreak/>
        <w:t>FEV</w:t>
      </w:r>
      <w:r w:rsidRPr="00D16CB6">
        <w:rPr>
          <w:vertAlign w:val="subscript"/>
        </w:rPr>
        <w:t xml:space="preserve">1, </w:t>
      </w:r>
      <w:r w:rsidRPr="00D16CB6">
        <w:t>and comparable safety</w:t>
      </w:r>
      <w:r w:rsidR="00A15F0F">
        <w:t>, although a</w:t>
      </w:r>
      <w:r w:rsidR="00D006A7">
        <w:t xml:space="preserve"> minor increase in the number of pneumonia events in the </w:t>
      </w:r>
      <w:r w:rsidR="00D006A7" w:rsidRPr="00D16CB6">
        <w:t>fluticason</w:t>
      </w:r>
      <w:r w:rsidR="002D2A82">
        <w:t>e furoate</w:t>
      </w:r>
      <w:r w:rsidR="00D006A7" w:rsidRPr="00D16CB6">
        <w:t>/vilanterol</w:t>
      </w:r>
      <w:r w:rsidR="00D006A7">
        <w:t xml:space="preserve"> group was observed.</w:t>
      </w:r>
    </w:p>
    <w:p w:rsidR="00B77A6A" w:rsidRPr="00D16CB6" w:rsidRDefault="00B77A6A" w:rsidP="00B77A6A">
      <w:r w:rsidRPr="00D16CB6">
        <w:t>No studies were identified that compared ICS/LABA FDC with a PBS-listed LABA monotherapy (i.e. indacaterol). However, one withdrawal trial was identified that found that patients with moderate airflow limitation and a history of no exacerbations in the previous year can safely withdraw from fluticasone</w:t>
      </w:r>
      <w:r w:rsidR="002D2A82">
        <w:t xml:space="preserve"> propionate</w:t>
      </w:r>
      <w:r w:rsidRPr="00D16CB6">
        <w:t>/salmeterol treatment to LABA (indacaterol) alone without any loss in efficacy in terms of FEV</w:t>
      </w:r>
      <w:r w:rsidRPr="00D16CB6">
        <w:rPr>
          <w:vertAlign w:val="subscript"/>
        </w:rPr>
        <w:t>1</w:t>
      </w:r>
      <w:r w:rsidRPr="00D16CB6">
        <w:t xml:space="preserve"> and exacerbations (Rossi et al, 2014).</w:t>
      </w:r>
    </w:p>
    <w:p w:rsidR="00B77A6A" w:rsidRDefault="00B77A6A" w:rsidP="00791826">
      <w:pPr>
        <w:pStyle w:val="Heading3"/>
      </w:pPr>
      <w:bookmarkStart w:id="45" w:name="_Toc486604688"/>
      <w:r>
        <w:t xml:space="preserve">Dual therapy </w:t>
      </w:r>
      <w:r w:rsidRPr="00B77A6A">
        <w:t>versus</w:t>
      </w:r>
      <w:r>
        <w:t xml:space="preserve"> dual therapy in patients with COPD</w:t>
      </w:r>
      <w:bookmarkEnd w:id="45"/>
    </w:p>
    <w:p w:rsidR="00B77A6A" w:rsidRPr="00D16CB6" w:rsidRDefault="00B77A6A">
      <w:pPr>
        <w:pStyle w:val="Heading4"/>
      </w:pPr>
      <w:r w:rsidRPr="00D16CB6">
        <w:t xml:space="preserve">Comparison of LAMA/LABA </w:t>
      </w:r>
      <w:r w:rsidRPr="00B77A6A">
        <w:t>FDCs</w:t>
      </w:r>
    </w:p>
    <w:p w:rsidR="00B77A6A" w:rsidRDefault="00B77A6A" w:rsidP="00B77A6A">
      <w:r w:rsidRPr="00D16CB6">
        <w:t xml:space="preserve">Only </w:t>
      </w:r>
      <w:r w:rsidR="00941680">
        <w:t>two</w:t>
      </w:r>
      <w:r w:rsidRPr="00D16CB6">
        <w:t xml:space="preserve"> RCT</w:t>
      </w:r>
      <w:r w:rsidR="00426AB4">
        <w:t>s</w:t>
      </w:r>
      <w:r w:rsidRPr="00D16CB6">
        <w:t xml:space="preserve"> w</w:t>
      </w:r>
      <w:r w:rsidR="00941680">
        <w:t>ere</w:t>
      </w:r>
      <w:r w:rsidRPr="00D16CB6">
        <w:t xml:space="preserve"> identified that compared two LAMA/LABA dual therapy combinations (</w:t>
      </w:r>
      <w:proofErr w:type="spellStart"/>
      <w:r w:rsidRPr="00D16CB6">
        <w:t>umeclidium</w:t>
      </w:r>
      <w:proofErr w:type="spellEnd"/>
      <w:r w:rsidRPr="00D16CB6">
        <w:t>/</w:t>
      </w:r>
      <w:proofErr w:type="spellStart"/>
      <w:r w:rsidRPr="00D16CB6">
        <w:t>vilanterol</w:t>
      </w:r>
      <w:proofErr w:type="spellEnd"/>
      <w:r w:rsidRPr="00D16CB6">
        <w:t xml:space="preserve"> FDC versus tiotropium plus </w:t>
      </w:r>
      <w:proofErr w:type="spellStart"/>
      <w:r w:rsidRPr="00D16CB6">
        <w:t>indacaterol</w:t>
      </w:r>
      <w:proofErr w:type="spellEnd"/>
      <w:r w:rsidR="00C61559">
        <w:t>;</w:t>
      </w:r>
      <w:r w:rsidR="003257A1">
        <w:t xml:space="preserve"> and </w:t>
      </w:r>
      <w:proofErr w:type="spellStart"/>
      <w:r w:rsidR="003257A1" w:rsidRPr="003257A1">
        <w:t>indacaterol</w:t>
      </w:r>
      <w:proofErr w:type="spellEnd"/>
      <w:r w:rsidR="003257A1" w:rsidRPr="003257A1">
        <w:t>/</w:t>
      </w:r>
      <w:proofErr w:type="spellStart"/>
      <w:r w:rsidR="003257A1" w:rsidRPr="003257A1">
        <w:t>glycopyrronium</w:t>
      </w:r>
      <w:proofErr w:type="spellEnd"/>
      <w:r w:rsidR="003257A1" w:rsidRPr="003257A1">
        <w:t xml:space="preserve"> versus tiotropium plus eformoterol</w:t>
      </w:r>
      <w:r w:rsidRPr="00D16CB6">
        <w:t xml:space="preserve">). </w:t>
      </w:r>
      <w:r w:rsidR="003257A1" w:rsidRPr="003257A1">
        <w:t>Compared with tiotropium plus eformoterol, patients receiving indacaterol/glycopyrronium showed a significantly increased pre-dose FEV</w:t>
      </w:r>
      <w:r w:rsidR="003257A1" w:rsidRPr="006C152B">
        <w:rPr>
          <w:vertAlign w:val="subscript"/>
        </w:rPr>
        <w:t>1</w:t>
      </w:r>
      <w:r w:rsidR="003257A1" w:rsidRPr="003257A1">
        <w:t xml:space="preserve"> and FVC at week 26.</w:t>
      </w:r>
      <w:r w:rsidR="003257A1">
        <w:t xml:space="preserve"> </w:t>
      </w:r>
      <w:r w:rsidR="003257A1" w:rsidRPr="003257A1">
        <w:t>Observed differences in lung function require further investigation because the trial was not designed to detect a minimally important difference in FEV</w:t>
      </w:r>
      <w:r w:rsidR="003257A1" w:rsidRPr="006C152B">
        <w:rPr>
          <w:vertAlign w:val="subscript"/>
        </w:rPr>
        <w:t>1</w:t>
      </w:r>
      <w:r w:rsidR="003257A1" w:rsidRPr="003257A1">
        <w:t xml:space="preserve"> or FVC.</w:t>
      </w:r>
      <w:r w:rsidR="003257A1">
        <w:t xml:space="preserve"> </w:t>
      </w:r>
      <w:r w:rsidRPr="00D16CB6">
        <w:t xml:space="preserve">Despite the limited body of evidence, the findings of </w:t>
      </w:r>
      <w:r w:rsidR="00C61559">
        <w:t xml:space="preserve">these studies </w:t>
      </w:r>
      <w:r w:rsidRPr="00D16CB6">
        <w:t>were consistent with previous PBAC recommendations; that is, there appears to be no significant difference in efficacy or safety between PBS-listed LAMA/LABA FDC therapies.</w:t>
      </w:r>
      <w:r w:rsidR="00941680">
        <w:t xml:space="preserve"> </w:t>
      </w:r>
    </w:p>
    <w:p w:rsidR="00B77A6A" w:rsidRPr="004B71AD" w:rsidRDefault="00B77A6A" w:rsidP="00A455D0">
      <w:pPr>
        <w:pStyle w:val="Heading4"/>
      </w:pPr>
      <w:r w:rsidRPr="004B71AD">
        <w:t xml:space="preserve">Comparison </w:t>
      </w:r>
      <w:r w:rsidRPr="00B77A6A">
        <w:t>of</w:t>
      </w:r>
      <w:r w:rsidRPr="004B71AD">
        <w:t xml:space="preserve"> </w:t>
      </w:r>
      <w:r w:rsidRPr="00B77A6A">
        <w:t>LAMA</w:t>
      </w:r>
      <w:r w:rsidRPr="004B71AD">
        <w:t>/LABA dual therapy with ICS/LABA dual therapy</w:t>
      </w:r>
    </w:p>
    <w:p w:rsidR="00A83485" w:rsidRDefault="00B77A6A" w:rsidP="00B77A6A">
      <w:r>
        <w:t>S</w:t>
      </w:r>
      <w:r w:rsidRPr="00581AA1">
        <w:t xml:space="preserve">everal RCTs </w:t>
      </w:r>
      <w:r>
        <w:t xml:space="preserve">were identified </w:t>
      </w:r>
      <w:r w:rsidRPr="00581AA1">
        <w:t xml:space="preserve">that examined the comparative efficacy and safety of LAMA/LABA and ICS/LABA FDCs. </w:t>
      </w:r>
      <w:r>
        <w:t xml:space="preserve">In general, these studies found LAMA/LABA FDCs provide superior efficacy and similar safety to ICS/LABA FDCs in COPD patients. </w:t>
      </w:r>
    </w:p>
    <w:p w:rsidR="00C61559" w:rsidRDefault="00A83485" w:rsidP="00C61559">
      <w:r w:rsidRPr="0089587E">
        <w:t>The FLAME trial is of particular interest</w:t>
      </w:r>
      <w:r w:rsidR="00C61559">
        <w:t xml:space="preserve"> as included patients had a history of one or more exacerbations in the previous 12 months</w:t>
      </w:r>
      <w:r w:rsidRPr="0089587E">
        <w:t>. The FLAME trial demonstrated non-inferiority of glycopyrronium/indacaterol to fluticasone</w:t>
      </w:r>
      <w:r w:rsidR="002D2A82">
        <w:t xml:space="preserve"> propionate</w:t>
      </w:r>
      <w:r w:rsidRPr="0089587E">
        <w:t>/salmeterol and, on a subsequent subgroup analysis, superiority of the LAMA/LABA FDC to the ICS/LABA FDC based on exacerbation and lung function outcomes.</w:t>
      </w:r>
      <w:r w:rsidR="00C61559">
        <w:t xml:space="preserve"> However, there was no statistically significant difference between the FDCs in patients who had experienced two or more </w:t>
      </w:r>
      <w:proofErr w:type="spellStart"/>
      <w:r w:rsidR="00C61559">
        <w:t>exaccerbations</w:t>
      </w:r>
      <w:proofErr w:type="spellEnd"/>
      <w:r w:rsidR="00C61559">
        <w:t xml:space="preserve"> in the previous year.</w:t>
      </w:r>
    </w:p>
    <w:p w:rsidR="00B77A6A" w:rsidRPr="00D16CB6" w:rsidRDefault="00B77A6A">
      <w:pPr>
        <w:pStyle w:val="Heading4"/>
      </w:pPr>
      <w:r w:rsidRPr="00B77A6A">
        <w:t>Comparison</w:t>
      </w:r>
      <w:r w:rsidRPr="00D16CB6">
        <w:t xml:space="preserve"> of ICS/LABA FDCs</w:t>
      </w:r>
    </w:p>
    <w:p w:rsidR="00B77A6A" w:rsidRPr="00D16CB6" w:rsidRDefault="00B77A6A" w:rsidP="00B77A6A">
      <w:r w:rsidRPr="00D16CB6">
        <w:t>No new RCTs were identified that compared ICS/LABA FDCs. The review of safety of ICS use under ToR 4 found that there is some evidence for an intra-class difference for pneumonia risk between fluticasone and budesonide, favouring budesonide, but it is not conclusive.</w:t>
      </w:r>
      <w:r>
        <w:t xml:space="preserve">  </w:t>
      </w:r>
      <w:r w:rsidRPr="00B77A6A">
        <w:t>An</w:t>
      </w:r>
      <w:r w:rsidR="00981B56">
        <w:t xml:space="preserve"> </w:t>
      </w:r>
      <w:r w:rsidRPr="00B77A6A">
        <w:t>ICS dose-response for pneumonia is apparent, but not conclusive.</w:t>
      </w:r>
    </w:p>
    <w:p w:rsidR="00452314" w:rsidRPr="004B71AD" w:rsidRDefault="00452314" w:rsidP="00D16CB6">
      <w:pPr>
        <w:pStyle w:val="Heading3"/>
      </w:pPr>
      <w:bookmarkStart w:id="46" w:name="_Toc486604689"/>
      <w:r w:rsidRPr="004B71AD">
        <w:lastRenderedPageBreak/>
        <w:t>Comparison of dual and triple therapy</w:t>
      </w:r>
      <w:bookmarkEnd w:id="46"/>
    </w:p>
    <w:p w:rsidR="00452314" w:rsidRDefault="00452314" w:rsidP="00452314">
      <w:r>
        <w:t>S</w:t>
      </w:r>
      <w:r w:rsidRPr="00581AA1">
        <w:t>tudies that investigated the benefit of adding a LAMA to ICS/LABA dual therapy showed that the step up from dual to triple therapy results in stati</w:t>
      </w:r>
      <w:r>
        <w:t>sti</w:t>
      </w:r>
      <w:r w:rsidRPr="00581AA1">
        <w:t>cally significant and clinically meaningful improvements in trough FEV</w:t>
      </w:r>
      <w:r w:rsidRPr="00581AA1">
        <w:rPr>
          <w:vertAlign w:val="subscript"/>
        </w:rPr>
        <w:t>1</w:t>
      </w:r>
      <w:r w:rsidRPr="00581AA1">
        <w:t>. The PBAC has previously seen evidence from the GLISTEN trial that demonstrated that glycopyrronium plus fluticasone</w:t>
      </w:r>
      <w:r w:rsidR="002D2A82">
        <w:t xml:space="preserve"> propionate</w:t>
      </w:r>
      <w:r w:rsidRPr="00581AA1">
        <w:t>/salmeterol is statistically superior to fluticasone</w:t>
      </w:r>
      <w:r w:rsidR="002D2A82">
        <w:t xml:space="preserve"> propionate</w:t>
      </w:r>
      <w:r w:rsidRPr="00581AA1">
        <w:t>/salmeterol alone in terms of trough FEV</w:t>
      </w:r>
      <w:r w:rsidRPr="00581AA1">
        <w:rPr>
          <w:vertAlign w:val="subscript"/>
        </w:rPr>
        <w:t>1</w:t>
      </w:r>
      <w:r w:rsidRPr="00581AA1">
        <w:t xml:space="preserve"> (November 2015 PSD for glycopyrronium).</w:t>
      </w:r>
    </w:p>
    <w:p w:rsidR="00452314" w:rsidRPr="00581AA1" w:rsidRDefault="00452314" w:rsidP="00452314">
      <w:r>
        <w:t>N</w:t>
      </w:r>
      <w:r w:rsidRPr="00581AA1">
        <w:t xml:space="preserve">o RCTs or large observational studies were identified that examined the comparative efficacy and safety of ICS </w:t>
      </w:r>
      <w:r w:rsidR="00E577F2">
        <w:t>plus</w:t>
      </w:r>
      <w:r w:rsidRPr="00581AA1">
        <w:t xml:space="preserve"> LAMA/LABA versu</w:t>
      </w:r>
      <w:r w:rsidR="00DB0F63">
        <w:t>s LAMA/LABA. A recent Cochrane r</w:t>
      </w:r>
      <w:r w:rsidRPr="00581AA1">
        <w:t xml:space="preserve">eview also failed to identify any ongoing or completed RCTs comparing the treatment of stable COPD with ICS plus combination LAMA/LABA inhalers against combination LAMA/LABA inhalers alone (Tan et al, 2016). </w:t>
      </w:r>
    </w:p>
    <w:p w:rsidR="00675E77" w:rsidRDefault="00452314" w:rsidP="00675E77">
      <w:pPr>
        <w:pStyle w:val="Heading2"/>
      </w:pPr>
      <w:bookmarkStart w:id="47" w:name="_Toc486604690"/>
      <w:r>
        <w:t>Utilisation of COPD inhaled preventer medicines</w:t>
      </w:r>
      <w:bookmarkEnd w:id="47"/>
    </w:p>
    <w:p w:rsidR="00452314" w:rsidRDefault="00452314" w:rsidP="00452314">
      <w:r>
        <w:t xml:space="preserve">The review of COPD medicines utilisation (ToR 5) identified a growing proportion of patients initiating dual and triple therapy for COPD in both the analysis of PBS data and MedicineInsight prescriber data.  Initiation to combinations of the COPD medicines in scope is not </w:t>
      </w:r>
      <w:r w:rsidR="00B1498A">
        <w:t>supported by either the COPD-X g</w:t>
      </w:r>
      <w:r>
        <w:t xml:space="preserve">uidelines or PBS restrictions, and has not been assessed as cost-effective by the PBAC. </w:t>
      </w:r>
    </w:p>
    <w:p w:rsidR="00452314" w:rsidRDefault="00B1498A" w:rsidP="00452314">
      <w:r>
        <w:t>The COPD-X g</w:t>
      </w:r>
      <w:r w:rsidR="00452314">
        <w:t xml:space="preserve">uidelines and PBS restrictions support initiation of monotherapy preventers only for COPD. The analysis of PBS/RPBS claims data found that in 2016 around 26% of patients initiating a COPD medicine, initiated to combination therapy (up from around 15% in 2010). As patients initiating ICS/LABA were excluded from this analysis, this likely represents an underestimate. In 2016, around 15.6% initiated to LAMA plus LABA, 8.5% initiated triple therapy with ICS, LABA and LAMA, and 1.8% initiated duplicated therapies (i.e. therapies that involved the use of multiple medicines from the same class). </w:t>
      </w:r>
    </w:p>
    <w:p w:rsidR="00452314" w:rsidRDefault="00452314" w:rsidP="00452314">
      <w:pPr>
        <w:pStyle w:val="BodyText"/>
      </w:pPr>
      <w:r w:rsidRPr="00D16CB6">
        <w:t xml:space="preserve">The analysis of NPS MedicineInsight data, found that 46.3% of COPD only patients initiated combinations of preventer medicines:  7.4% initiated LABA plus LAMA; 38.5% initiated ICS plus LABA; and a further </w:t>
      </w:r>
      <w:r w:rsidR="00B1498A">
        <w:t xml:space="preserve">5.1% initiated triple therapy. </w:t>
      </w:r>
      <w:r w:rsidRPr="00D16CB6">
        <w:t>MedicineInsight data also indicates that around 3.9% of COPD only and 6.1% of COPD plus asthma patients may have duplicated therapy, which presents an issue for both safety and cost-effectiveness.</w:t>
      </w:r>
    </w:p>
    <w:p w:rsidR="00E577F2" w:rsidRPr="00D16CB6" w:rsidRDefault="00E577F2" w:rsidP="00452314">
      <w:pPr>
        <w:pStyle w:val="BodyText"/>
      </w:pPr>
      <w:r>
        <w:t>At the Stakeholder Forum, stakeholders identified that m</w:t>
      </w:r>
      <w:r w:rsidRPr="00DC080C">
        <w:t>any</w:t>
      </w:r>
      <w:r>
        <w:t xml:space="preserve"> doctors prescribe</w:t>
      </w:r>
      <w:r w:rsidRPr="00DC080C">
        <w:t xml:space="preserve"> ICS/LABA early in the treatment pathway </w:t>
      </w:r>
      <w:r>
        <w:t xml:space="preserve">of all respiratory conditions, </w:t>
      </w:r>
      <w:r w:rsidRPr="00DC080C">
        <w:t>partly because a diagnosis has not been initially confirmed and partly because IC</w:t>
      </w:r>
      <w:r>
        <w:t>S/LABA</w:t>
      </w:r>
      <w:r w:rsidRPr="00DC080C">
        <w:t xml:space="preserve">s </w:t>
      </w:r>
      <w:r>
        <w:t xml:space="preserve">were </w:t>
      </w:r>
      <w:r w:rsidRPr="00DC080C">
        <w:t xml:space="preserve">available on the PBS for some years before </w:t>
      </w:r>
      <w:r>
        <w:t>the listing of monotherapy LABA</w:t>
      </w:r>
      <w:r w:rsidRPr="00DC080C">
        <w:t xml:space="preserve">s and </w:t>
      </w:r>
      <w:r>
        <w:t>LABA/LAMA FDC</w:t>
      </w:r>
      <w:r w:rsidR="00B1498A">
        <w:t xml:space="preserve">s. </w:t>
      </w:r>
      <w:r>
        <w:t>The LFA</w:t>
      </w:r>
      <w:r w:rsidR="00B1498A">
        <w:t xml:space="preserve"> Consumer Research R</w:t>
      </w:r>
      <w:r>
        <w:t>eport found that some patients with COPD may be using antibiotics and oral steroids long-term, which may have QUM implications.</w:t>
      </w:r>
    </w:p>
    <w:sectPr w:rsidR="00E577F2" w:rsidRPr="00D16CB6" w:rsidSect="003E15DE">
      <w:headerReference w:type="default"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8AC57B" w15:done="0"/>
  <w15:commentEx w15:paraId="78C6C8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39" w:rsidRDefault="00FC2039" w:rsidP="00DD796F">
      <w:pPr>
        <w:spacing w:before="0" w:line="240" w:lineRule="auto"/>
      </w:pPr>
      <w:r>
        <w:separator/>
      </w:r>
    </w:p>
    <w:p w:rsidR="00FC2039" w:rsidRDefault="00FC2039"/>
    <w:p w:rsidR="00FC2039" w:rsidRDefault="00FC2039"/>
  </w:endnote>
  <w:endnote w:type="continuationSeparator" w:id="0">
    <w:p w:rsidR="00FC2039" w:rsidRDefault="00FC2039" w:rsidP="00DD796F">
      <w:pPr>
        <w:spacing w:before="0" w:line="240" w:lineRule="auto"/>
      </w:pPr>
      <w:r>
        <w:continuationSeparator/>
      </w:r>
    </w:p>
    <w:p w:rsidR="00FC2039" w:rsidRDefault="00FC2039"/>
    <w:p w:rsidR="00FC2039" w:rsidRDefault="00FC2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FA6" w:rsidRDefault="00221F8A" w:rsidP="003E15DE">
    <w:pPr>
      <w:pStyle w:val="FooterwithPortrait"/>
      <w:spacing w:before="120"/>
      <w:rPr>
        <w:noProof/>
      </w:rPr>
    </w:pPr>
    <w:r>
      <w:tab/>
    </w:r>
    <w:r>
      <w:fldChar w:fldCharType="begin"/>
    </w:r>
    <w:r>
      <w:instrText xml:space="preserve"> PAGE   \* MERGEFORMAT </w:instrText>
    </w:r>
    <w:r>
      <w:fldChar w:fldCharType="separate"/>
    </w:r>
    <w:r w:rsidR="0054684E">
      <w:rPr>
        <w:noProof/>
      </w:rPr>
      <w:t>6</w:t>
    </w:r>
    <w:r>
      <w:rPr>
        <w:noProof/>
      </w:rPr>
      <w:fldChar w:fldCharType="end"/>
    </w:r>
  </w:p>
  <w:p w:rsidR="003E15DE" w:rsidRPr="003E15DE" w:rsidRDefault="003E15DE" w:rsidP="003E15DE">
    <w:pPr>
      <w:pStyle w:val="Header"/>
      <w:pBdr>
        <w:bottom w:val="none" w:sz="0" w:space="0" w:color="auto"/>
      </w:pBdr>
      <w:spacing w:after="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E" w:rsidRPr="003E15DE" w:rsidRDefault="003E15DE" w:rsidP="003E15DE">
    <w:pPr>
      <w:pStyle w:val="Header"/>
      <w:pBdr>
        <w:bottom w:val="none" w:sz="0" w:space="0" w:color="auto"/>
      </w:pBdr>
      <w:spacing w:after="0"/>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39" w:rsidRDefault="00FC2039" w:rsidP="00DD796F">
      <w:pPr>
        <w:spacing w:before="0" w:line="240" w:lineRule="auto"/>
      </w:pPr>
      <w:r>
        <w:separator/>
      </w:r>
    </w:p>
  </w:footnote>
  <w:footnote w:type="continuationSeparator" w:id="0">
    <w:p w:rsidR="00FC2039" w:rsidRDefault="00FC2039" w:rsidP="00DD796F">
      <w:pPr>
        <w:spacing w:before="0" w:line="240" w:lineRule="auto"/>
      </w:pPr>
      <w:r>
        <w:continuationSeparator/>
      </w:r>
    </w:p>
    <w:p w:rsidR="00FC2039" w:rsidRDefault="00FC2039"/>
    <w:p w:rsidR="00FC2039" w:rsidRDefault="00FC20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E" w:rsidRDefault="003E15DE" w:rsidP="003E15DE">
    <w:pPr>
      <w:pStyle w:val="Header"/>
      <w:spacing w:after="120"/>
    </w:pPr>
    <w:r>
      <w:t>Post-market Review of COPD Medicines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E" w:rsidRPr="003E15DE" w:rsidRDefault="003E15DE" w:rsidP="003E15DE">
    <w:pPr>
      <w:pStyle w:val="Header"/>
      <w:pBdr>
        <w:bottom w:val="none" w:sz="0" w:space="0" w:color="auto"/>
      </w:pBdr>
      <w:spacing w:after="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CD6"/>
    <w:multiLevelType w:val="hybridMultilevel"/>
    <w:tmpl w:val="1222F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E739B8"/>
    <w:multiLevelType w:val="hybridMultilevel"/>
    <w:tmpl w:val="08CCD776"/>
    <w:lvl w:ilvl="0" w:tplc="C1D8369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
    <w:nsid w:val="02077482"/>
    <w:multiLevelType w:val="hybridMultilevel"/>
    <w:tmpl w:val="ED44FCB2"/>
    <w:lvl w:ilvl="0" w:tplc="FFC6DE9E">
      <w:start w:val="1"/>
      <w:numFmt w:val="bullet"/>
      <w:pStyle w:val="08Bulletsseriesofsentences"/>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nsid w:val="020D5BE6"/>
    <w:multiLevelType w:val="hybridMultilevel"/>
    <w:tmpl w:val="D2A004FA"/>
    <w:lvl w:ilvl="0" w:tplc="7DDCFD6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nsid w:val="09327C54"/>
    <w:multiLevelType w:val="hybridMultilevel"/>
    <w:tmpl w:val="E1787402"/>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nsid w:val="09484027"/>
    <w:multiLevelType w:val="hybridMultilevel"/>
    <w:tmpl w:val="A87AEAAA"/>
    <w:lvl w:ilvl="0" w:tplc="42369FDE">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597FA0"/>
    <w:multiLevelType w:val="hybridMultilevel"/>
    <w:tmpl w:val="D236FD9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7">
    <w:nsid w:val="0C68343F"/>
    <w:multiLevelType w:val="hybridMultilevel"/>
    <w:tmpl w:val="05003222"/>
    <w:lvl w:ilvl="0" w:tplc="A37E978A">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nsid w:val="112A2494"/>
    <w:multiLevelType w:val="hybridMultilevel"/>
    <w:tmpl w:val="0582CC98"/>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nsid w:val="114951C0"/>
    <w:multiLevelType w:val="hybridMultilevel"/>
    <w:tmpl w:val="DEB2F22A"/>
    <w:lvl w:ilvl="0" w:tplc="7ECA6BCC">
      <w:start w:val="1"/>
      <w:numFmt w:val="bullet"/>
      <w:pStyle w:val="Bullettextsecondlevel"/>
      <w:lvlText w:val=""/>
      <w:lvlJc w:val="left"/>
      <w:pPr>
        <w:ind w:left="814"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181B9B"/>
    <w:multiLevelType w:val="hybridMultilevel"/>
    <w:tmpl w:val="6D26D46A"/>
    <w:lvl w:ilvl="0" w:tplc="FA2ADC28">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1">
    <w:nsid w:val="143F6BEA"/>
    <w:multiLevelType w:val="hybridMultilevel"/>
    <w:tmpl w:val="D19870BE"/>
    <w:lvl w:ilvl="0" w:tplc="93B4DE2C">
      <w:start w:val="5"/>
      <w:numFmt w:val="bullet"/>
      <w:lvlText w:val=""/>
      <w:lvlJc w:val="left"/>
      <w:pPr>
        <w:ind w:left="417" w:hanging="360"/>
      </w:pPr>
      <w:rPr>
        <w:rFonts w:ascii="Wingdings 2" w:eastAsia="Calibri" w:hAnsi="Wingdings 2" w:cs="Times New Roman"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nsid w:val="177A5E63"/>
    <w:multiLevelType w:val="hybridMultilevel"/>
    <w:tmpl w:val="A780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9557DD8"/>
    <w:multiLevelType w:val="hybridMultilevel"/>
    <w:tmpl w:val="16BCA7C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
    <w:nsid w:val="1B97141B"/>
    <w:multiLevelType w:val="hybridMultilevel"/>
    <w:tmpl w:val="0D90A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EFA0BA0"/>
    <w:multiLevelType w:val="hybridMultilevel"/>
    <w:tmpl w:val="6EFE66CE"/>
    <w:lvl w:ilvl="0" w:tplc="ECE6FCF8">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6">
    <w:nsid w:val="1FDD14F8"/>
    <w:multiLevelType w:val="hybridMultilevel"/>
    <w:tmpl w:val="E524431A"/>
    <w:styleLink w:val="Numbered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0A45D0F"/>
    <w:multiLevelType w:val="hybridMultilevel"/>
    <w:tmpl w:val="8B26B3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1CC48A2"/>
    <w:multiLevelType w:val="hybridMultilevel"/>
    <w:tmpl w:val="6A04AC62"/>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nsid w:val="22F66D2C"/>
    <w:multiLevelType w:val="hybridMultilevel"/>
    <w:tmpl w:val="05B8D7A4"/>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1">
    <w:nsid w:val="25C53B03"/>
    <w:multiLevelType w:val="multilevel"/>
    <w:tmpl w:val="164243D4"/>
    <w:styleLink w:val="Headings"/>
    <w:lvl w:ilvl="0">
      <w:start w:val="6"/>
      <w:numFmt w:val="decimal"/>
      <w:pStyle w:val="Heading1"/>
      <w:suff w:val="nothing"/>
      <w:lvlText w:val="Section %1"/>
      <w:lvlJc w:val="left"/>
      <w:pPr>
        <w:ind w:left="3403" w:firstLine="0"/>
      </w:pPr>
      <w:rPr>
        <w:rFonts w:hint="default"/>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3119"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292811B0"/>
    <w:multiLevelType w:val="hybridMultilevel"/>
    <w:tmpl w:val="A09E699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3">
    <w:nsid w:val="29CD493E"/>
    <w:multiLevelType w:val="hybridMultilevel"/>
    <w:tmpl w:val="384C0E4A"/>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nsid w:val="2A7E62EF"/>
    <w:multiLevelType w:val="hybridMultilevel"/>
    <w:tmpl w:val="630EA02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nsid w:val="2CB020A6"/>
    <w:multiLevelType w:val="hybridMultilevel"/>
    <w:tmpl w:val="4C5E0A8A"/>
    <w:lvl w:ilvl="0" w:tplc="B95EC132">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6">
    <w:nsid w:val="334518AF"/>
    <w:multiLevelType w:val="hybridMultilevel"/>
    <w:tmpl w:val="39D04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37956D8"/>
    <w:multiLevelType w:val="hybridMultilevel"/>
    <w:tmpl w:val="921A9D50"/>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5F07911"/>
    <w:multiLevelType w:val="hybridMultilevel"/>
    <w:tmpl w:val="E7DA5392"/>
    <w:lvl w:ilvl="0" w:tplc="6F82700C">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0">
    <w:nsid w:val="398C6EF7"/>
    <w:multiLevelType w:val="hybridMultilevel"/>
    <w:tmpl w:val="6AD4A812"/>
    <w:lvl w:ilvl="0" w:tplc="546075A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1">
    <w:nsid w:val="3A243664"/>
    <w:multiLevelType w:val="hybridMultilevel"/>
    <w:tmpl w:val="17B0F972"/>
    <w:lvl w:ilvl="0" w:tplc="D1706AD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2">
    <w:nsid w:val="3A517A5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A6F6760"/>
    <w:multiLevelType w:val="hybridMultilevel"/>
    <w:tmpl w:val="4E84A802"/>
    <w:lvl w:ilvl="0" w:tplc="0106989A">
      <w:start w:val="1"/>
      <w:numFmt w:val="decimal"/>
      <w:lvlText w:val="%1."/>
      <w:lvlJc w:val="left"/>
      <w:pPr>
        <w:ind w:left="227" w:hanging="170"/>
      </w:pPr>
      <w:rPr>
        <w:rFonts w:ascii="Arial Narrow" w:eastAsia="Calibri" w:hAnsi="Arial Narrow" w:cs="Times New Roman"/>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4">
    <w:nsid w:val="3AE80BEC"/>
    <w:multiLevelType w:val="hybridMultilevel"/>
    <w:tmpl w:val="14208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B015C10"/>
    <w:multiLevelType w:val="hybridMultilevel"/>
    <w:tmpl w:val="3988855C"/>
    <w:lvl w:ilvl="0" w:tplc="24F41754">
      <w:start w:val="1"/>
      <w:numFmt w:val="decimal"/>
      <w:lvlText w:val="%1."/>
      <w:lvlJc w:val="left"/>
      <w:pPr>
        <w:ind w:left="227" w:hanging="170"/>
      </w:pPr>
      <w:rPr>
        <w:rFonts w:hint="default"/>
        <w:i w:val="0"/>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6">
    <w:nsid w:val="3C21031B"/>
    <w:multiLevelType w:val="hybridMultilevel"/>
    <w:tmpl w:val="428C5C32"/>
    <w:lvl w:ilvl="0" w:tplc="BC8495F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7">
    <w:nsid w:val="3D510C8E"/>
    <w:multiLevelType w:val="multilevel"/>
    <w:tmpl w:val="526C7668"/>
    <w:styleLink w:val="Numberedlist"/>
    <w:lvl w:ilvl="0">
      <w:start w:val="1"/>
      <w:numFmt w:val="none"/>
      <w:lvlText w:val="(%11)"/>
      <w:lvlJc w:val="left"/>
      <w:pPr>
        <w:ind w:left="0" w:firstLine="0"/>
      </w:pPr>
      <w:rPr>
        <w:rFonts w:hint="default"/>
      </w:rPr>
    </w:lvl>
    <w:lvl w:ilvl="1">
      <w:start w:val="2"/>
      <w:numFmt w:val="decimal"/>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nsid w:val="41563AEE"/>
    <w:multiLevelType w:val="hybridMultilevel"/>
    <w:tmpl w:val="D7BCBEF8"/>
    <w:lvl w:ilvl="0" w:tplc="B87C008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9">
    <w:nsid w:val="41FA53E0"/>
    <w:multiLevelType w:val="hybridMultilevel"/>
    <w:tmpl w:val="15EC573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0">
    <w:nsid w:val="45C9616B"/>
    <w:multiLevelType w:val="hybridMultilevel"/>
    <w:tmpl w:val="0046C9B8"/>
    <w:styleLink w:val="1111111"/>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1">
    <w:nsid w:val="46BA1DB7"/>
    <w:multiLevelType w:val="hybridMultilevel"/>
    <w:tmpl w:val="6660E648"/>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2">
    <w:nsid w:val="488963D1"/>
    <w:multiLevelType w:val="hybridMultilevel"/>
    <w:tmpl w:val="306CE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B0B3354"/>
    <w:multiLevelType w:val="hybridMultilevel"/>
    <w:tmpl w:val="28F4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D161851"/>
    <w:multiLevelType w:val="hybridMultilevel"/>
    <w:tmpl w:val="39144416"/>
    <w:lvl w:ilvl="0" w:tplc="D9BEE21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5">
    <w:nsid w:val="4EE862EA"/>
    <w:multiLevelType w:val="hybridMultilevel"/>
    <w:tmpl w:val="CF3E0466"/>
    <w:lvl w:ilvl="0" w:tplc="B1EC349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6">
    <w:nsid w:val="4F2040A4"/>
    <w:multiLevelType w:val="hybridMultilevel"/>
    <w:tmpl w:val="504E4F06"/>
    <w:lvl w:ilvl="0" w:tplc="FD18203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7">
    <w:nsid w:val="50231435"/>
    <w:multiLevelType w:val="hybridMultilevel"/>
    <w:tmpl w:val="D3EE0F4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8">
    <w:nsid w:val="50D53A42"/>
    <w:multiLevelType w:val="hybridMultilevel"/>
    <w:tmpl w:val="5D52750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9">
    <w:nsid w:val="54C4192B"/>
    <w:multiLevelType w:val="hybridMultilevel"/>
    <w:tmpl w:val="4F78034E"/>
    <w:lvl w:ilvl="0" w:tplc="D3BA439E">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0">
    <w:nsid w:val="5583525B"/>
    <w:multiLevelType w:val="hybridMultilevel"/>
    <w:tmpl w:val="60503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797041D"/>
    <w:multiLevelType w:val="hybridMultilevel"/>
    <w:tmpl w:val="040A7474"/>
    <w:lvl w:ilvl="0" w:tplc="E090A5F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2">
    <w:nsid w:val="591E201E"/>
    <w:multiLevelType w:val="hybridMultilevel"/>
    <w:tmpl w:val="A2D66482"/>
    <w:lvl w:ilvl="0" w:tplc="B1D2321C">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3">
    <w:nsid w:val="5ACB5430"/>
    <w:multiLevelType w:val="hybridMultilevel"/>
    <w:tmpl w:val="4582FC36"/>
    <w:lvl w:ilvl="0" w:tplc="3110A758">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4">
    <w:nsid w:val="5D1A7B4A"/>
    <w:multiLevelType w:val="hybridMultilevel"/>
    <w:tmpl w:val="04B02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5D9A310B"/>
    <w:multiLevelType w:val="hybridMultilevel"/>
    <w:tmpl w:val="3D5EC8F2"/>
    <w:lvl w:ilvl="0" w:tplc="6A56EBB6">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6">
    <w:nsid w:val="5E511A44"/>
    <w:multiLevelType w:val="hybridMultilevel"/>
    <w:tmpl w:val="B0D46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nsid w:val="601D0643"/>
    <w:multiLevelType w:val="hybridMultilevel"/>
    <w:tmpl w:val="7E062F58"/>
    <w:lvl w:ilvl="0" w:tplc="53E0397A">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8">
    <w:nsid w:val="60C36840"/>
    <w:multiLevelType w:val="hybridMultilevel"/>
    <w:tmpl w:val="63E24DD0"/>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9">
    <w:nsid w:val="661A44C7"/>
    <w:multiLevelType w:val="hybridMultilevel"/>
    <w:tmpl w:val="2286C7C8"/>
    <w:lvl w:ilvl="0" w:tplc="C02AB382">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0">
    <w:nsid w:val="6661524C"/>
    <w:multiLevelType w:val="hybridMultilevel"/>
    <w:tmpl w:val="CDE8EBC4"/>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1">
    <w:nsid w:val="67F7371C"/>
    <w:multiLevelType w:val="hybridMultilevel"/>
    <w:tmpl w:val="46627684"/>
    <w:lvl w:ilvl="0" w:tplc="A1AE146E">
      <w:start w:val="1"/>
      <w:numFmt w:val="decimal"/>
      <w:lvlText w:val="%1."/>
      <w:lvlJc w:val="left"/>
      <w:pPr>
        <w:ind w:left="227" w:hanging="17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2">
    <w:nsid w:val="69AD63BA"/>
    <w:multiLevelType w:val="hybridMultilevel"/>
    <w:tmpl w:val="318666E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3">
    <w:nsid w:val="6B5856DB"/>
    <w:multiLevelType w:val="hybridMultilevel"/>
    <w:tmpl w:val="8866478C"/>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4">
    <w:nsid w:val="6E3C3F00"/>
    <w:multiLevelType w:val="hybridMultilevel"/>
    <w:tmpl w:val="4FE8045A"/>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5">
    <w:nsid w:val="6E9B042D"/>
    <w:multiLevelType w:val="hybridMultilevel"/>
    <w:tmpl w:val="CE901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1756BCA"/>
    <w:multiLevelType w:val="hybridMultilevel"/>
    <w:tmpl w:val="E234A206"/>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7">
    <w:nsid w:val="72230358"/>
    <w:multiLevelType w:val="hybridMultilevel"/>
    <w:tmpl w:val="2376C6C6"/>
    <w:lvl w:ilvl="0" w:tplc="7E32C550">
      <w:start w:val="1"/>
      <w:numFmt w:val="decimal"/>
      <w:lvlText w:val="%1."/>
      <w:lvlJc w:val="left"/>
      <w:pPr>
        <w:ind w:left="227" w:hanging="17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68">
    <w:nsid w:val="770E20AA"/>
    <w:multiLevelType w:val="hybridMultilevel"/>
    <w:tmpl w:val="845AFC7C"/>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9">
    <w:nsid w:val="780D5CA2"/>
    <w:multiLevelType w:val="hybridMultilevel"/>
    <w:tmpl w:val="705A969C"/>
    <w:lvl w:ilvl="0" w:tplc="878C752C">
      <w:start w:val="1"/>
      <w:numFmt w:val="decimal"/>
      <w:lvlText w:val="%1."/>
      <w:lvlJc w:val="left"/>
      <w:pPr>
        <w:ind w:left="777" w:hanging="360"/>
      </w:pPr>
      <w:rPr>
        <w:b/>
      </w:rPr>
    </w:lvl>
    <w:lvl w:ilvl="1" w:tplc="4D96EF50">
      <w:start w:val="1"/>
      <w:numFmt w:val="lowerLetter"/>
      <w:lvlText w:val="%2."/>
      <w:lvlJc w:val="left"/>
      <w:pPr>
        <w:ind w:left="1497" w:hanging="360"/>
      </w:pPr>
      <w:rPr>
        <w:rFonts w:hint="default"/>
      </w:r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70">
    <w:nsid w:val="78595295"/>
    <w:multiLevelType w:val="hybridMultilevel"/>
    <w:tmpl w:val="A47EFD1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71">
    <w:nsid w:val="799170CD"/>
    <w:multiLevelType w:val="hybridMultilevel"/>
    <w:tmpl w:val="299A7D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2">
    <w:nsid w:val="7B0D00B7"/>
    <w:multiLevelType w:val="hybridMultilevel"/>
    <w:tmpl w:val="2F1A4DA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num w:numId="1">
    <w:abstractNumId w:val="27"/>
  </w:num>
  <w:num w:numId="2">
    <w:abstractNumId w:val="9"/>
  </w:num>
  <w:num w:numId="3">
    <w:abstractNumId w:val="28"/>
  </w:num>
  <w:num w:numId="4">
    <w:abstractNumId w:val="16"/>
  </w:num>
  <w:num w:numId="5">
    <w:abstractNumId w:val="20"/>
  </w:num>
  <w:num w:numId="6">
    <w:abstractNumId w:val="2"/>
  </w:num>
  <w:num w:numId="7">
    <w:abstractNumId w:val="37"/>
  </w:num>
  <w:num w:numId="8">
    <w:abstractNumId w:val="32"/>
  </w:num>
  <w:num w:numId="9">
    <w:abstractNumId w:val="40"/>
  </w:num>
  <w:num w:numId="10">
    <w:abstractNumId w:val="63"/>
  </w:num>
  <w:num w:numId="11">
    <w:abstractNumId w:val="23"/>
  </w:num>
  <w:num w:numId="12">
    <w:abstractNumId w:val="4"/>
  </w:num>
  <w:num w:numId="13">
    <w:abstractNumId w:val="69"/>
  </w:num>
  <w:num w:numId="14">
    <w:abstractNumId w:val="19"/>
  </w:num>
  <w:num w:numId="15">
    <w:abstractNumId w:val="68"/>
  </w:num>
  <w:num w:numId="16">
    <w:abstractNumId w:val="21"/>
    <w:lvlOverride w:ilvl="0">
      <w:lvl w:ilvl="0">
        <w:start w:val="1"/>
        <w:numFmt w:val="decimal"/>
        <w:pStyle w:val="Heading1"/>
        <w:suff w:val="nothing"/>
        <w:lvlText w:val="Section %1"/>
        <w:lvlJc w:val="left"/>
        <w:pPr>
          <w:ind w:left="4253" w:firstLine="0"/>
        </w:pPr>
        <w:rPr>
          <w:rFonts w:hint="default"/>
        </w:rPr>
      </w:lvl>
    </w:lvlOverride>
    <w:lvlOverride w:ilvl="1">
      <w:lvl w:ilvl="1">
        <w:start w:val="1"/>
        <w:numFmt w:val="decimal"/>
        <w:pStyle w:val="Heading2"/>
        <w:lvlText w:val="%1.%2"/>
        <w:lvlJc w:val="left"/>
        <w:pPr>
          <w:tabs>
            <w:tab w:val="num" w:pos="1701"/>
          </w:tabs>
          <w:ind w:left="850" w:firstLine="0"/>
        </w:pPr>
        <w:rPr>
          <w:rFonts w:hint="default"/>
        </w:rPr>
      </w:lvl>
    </w:lvlOverride>
    <w:lvlOverride w:ilvl="2">
      <w:lvl w:ilvl="2">
        <w:start w:val="1"/>
        <w:numFmt w:val="decimal"/>
        <w:pStyle w:val="Heading3"/>
        <w:lvlText w:val="%1.%2.%3"/>
        <w:lvlJc w:val="left"/>
        <w:pPr>
          <w:tabs>
            <w:tab w:val="num" w:pos="1701"/>
          </w:tabs>
          <w:ind w:left="850" w:firstLine="0"/>
        </w:pPr>
        <w:rPr>
          <w:rFonts w:hint="default"/>
        </w:rPr>
      </w:lvl>
    </w:lvlOverride>
    <w:lvlOverride w:ilvl="3">
      <w:lvl w:ilvl="3">
        <w:start w:val="1"/>
        <w:numFmt w:val="none"/>
        <w:pStyle w:val="Heading4"/>
        <w:suff w:val="nothing"/>
        <w:lvlText w:val=""/>
        <w:lvlJc w:val="left"/>
        <w:pPr>
          <w:ind w:left="850" w:firstLine="0"/>
        </w:pPr>
        <w:rPr>
          <w:rFonts w:hint="default"/>
        </w:rPr>
      </w:lvl>
    </w:lvlOverride>
    <w:lvlOverride w:ilvl="4">
      <w:lvl w:ilvl="4">
        <w:start w:val="1"/>
        <w:numFmt w:val="none"/>
        <w:pStyle w:val="Heading5"/>
        <w:suff w:val="nothing"/>
        <w:lvlText w:val=""/>
        <w:lvlJc w:val="left"/>
        <w:pPr>
          <w:ind w:left="850" w:firstLine="0"/>
        </w:pPr>
        <w:rPr>
          <w:rFonts w:hint="default"/>
        </w:rPr>
      </w:lvl>
    </w:lvlOverride>
    <w:lvlOverride w:ilvl="5">
      <w:lvl w:ilvl="5">
        <w:start w:val="1"/>
        <w:numFmt w:val="none"/>
        <w:pStyle w:val="Heading6"/>
        <w:suff w:val="nothing"/>
        <w:lvlText w:val=""/>
        <w:lvlJc w:val="left"/>
        <w:pPr>
          <w:ind w:left="850" w:firstLine="0"/>
        </w:pPr>
        <w:rPr>
          <w:rFonts w:hint="default"/>
        </w:rPr>
      </w:lvl>
    </w:lvlOverride>
    <w:lvlOverride w:ilvl="6">
      <w:lvl w:ilvl="6">
        <w:start w:val="1"/>
        <w:numFmt w:val="upperLetter"/>
        <w:pStyle w:val="Heading7"/>
        <w:lvlText w:val="Appendix %7"/>
        <w:lvlJc w:val="left"/>
        <w:pPr>
          <w:ind w:left="3969" w:firstLine="0"/>
        </w:pPr>
        <w:rPr>
          <w:rFonts w:hint="default"/>
        </w:rPr>
      </w:lvl>
    </w:lvlOverride>
    <w:lvlOverride w:ilvl="7">
      <w:lvl w:ilvl="7">
        <w:start w:val="1"/>
        <w:numFmt w:val="decimal"/>
        <w:pStyle w:val="Heading8"/>
        <w:lvlText w:val="%7.%8"/>
        <w:lvlJc w:val="left"/>
        <w:pPr>
          <w:ind w:left="850" w:firstLine="0"/>
        </w:pPr>
        <w:rPr>
          <w:rFonts w:hint="default"/>
        </w:rPr>
      </w:lvl>
    </w:lvlOverride>
    <w:lvlOverride w:ilvl="8">
      <w:lvl w:ilvl="8">
        <w:start w:val="1"/>
        <w:numFmt w:val="none"/>
        <w:pStyle w:val="Heading9"/>
        <w:suff w:val="nothing"/>
        <w:lvlText w:val=""/>
        <w:lvlJc w:val="left"/>
        <w:pPr>
          <w:ind w:left="850" w:firstLine="0"/>
        </w:pPr>
        <w:rPr>
          <w:rFonts w:hint="default"/>
        </w:rPr>
      </w:lvl>
    </w:lvlOverride>
  </w:num>
  <w:num w:numId="17">
    <w:abstractNumId w:val="21"/>
    <w:lvlOverride w:ilvl="0">
      <w:lvl w:ilvl="0">
        <w:start w:val="1"/>
        <w:numFmt w:val="decimal"/>
        <w:pStyle w:val="Heading1"/>
        <w:suff w:val="nothing"/>
        <w:lvlText w:val="Section %1"/>
        <w:lvlJc w:val="left"/>
        <w:pPr>
          <w:ind w:left="3119" w:firstLine="0"/>
        </w:pPr>
        <w:rPr>
          <w:rFonts w:hint="default"/>
        </w:rPr>
      </w:lvl>
    </w:lvlOverride>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lvlText w:val=""/>
        <w:lvlJc w:val="left"/>
        <w:pPr>
          <w:ind w:left="0" w:firstLine="0"/>
        </w:pPr>
        <w:rPr>
          <w:rFonts w:hint="default"/>
        </w:rPr>
      </w:lvl>
    </w:lvlOverride>
    <w:lvlOverride w:ilvl="6">
      <w:lvl w:ilvl="6">
        <w:start w:val="1"/>
        <w:numFmt w:val="upperLetter"/>
        <w:pStyle w:val="Heading7"/>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18">
    <w:abstractNumId w:val="21"/>
    <w:lvlOverride w:ilvl="1">
      <w:lvl w:ilvl="1">
        <w:start w:val="1"/>
        <w:numFmt w:val="decimal"/>
        <w:pStyle w:val="Heading2"/>
        <w:lvlText w:val="%1.%2"/>
        <w:lvlJc w:val="left"/>
        <w:pPr>
          <w:tabs>
            <w:tab w:val="num" w:pos="851"/>
          </w:tabs>
          <w:ind w:left="0" w:firstLine="0"/>
        </w:pPr>
        <w:rPr>
          <w:rFonts w:hint="default"/>
        </w:rPr>
      </w:lvl>
    </w:lvlOverride>
  </w:num>
  <w:num w:numId="19">
    <w:abstractNumId w:val="25"/>
  </w:num>
  <w:num w:numId="20">
    <w:abstractNumId w:val="35"/>
  </w:num>
  <w:num w:numId="21">
    <w:abstractNumId w:val="3"/>
  </w:num>
  <w:num w:numId="22">
    <w:abstractNumId w:val="53"/>
  </w:num>
  <w:num w:numId="23">
    <w:abstractNumId w:val="33"/>
  </w:num>
  <w:num w:numId="24">
    <w:abstractNumId w:val="46"/>
  </w:num>
  <w:num w:numId="25">
    <w:abstractNumId w:val="7"/>
  </w:num>
  <w:num w:numId="26">
    <w:abstractNumId w:val="49"/>
  </w:num>
  <w:num w:numId="27">
    <w:abstractNumId w:val="38"/>
  </w:num>
  <w:num w:numId="28">
    <w:abstractNumId w:val="15"/>
  </w:num>
  <w:num w:numId="29">
    <w:abstractNumId w:val="51"/>
  </w:num>
  <w:num w:numId="30">
    <w:abstractNumId w:val="61"/>
  </w:num>
  <w:num w:numId="31">
    <w:abstractNumId w:val="36"/>
  </w:num>
  <w:num w:numId="32">
    <w:abstractNumId w:val="29"/>
  </w:num>
  <w:num w:numId="33">
    <w:abstractNumId w:val="52"/>
  </w:num>
  <w:num w:numId="34">
    <w:abstractNumId w:val="31"/>
  </w:num>
  <w:num w:numId="35">
    <w:abstractNumId w:val="45"/>
  </w:num>
  <w:num w:numId="36">
    <w:abstractNumId w:val="1"/>
  </w:num>
  <w:num w:numId="37">
    <w:abstractNumId w:val="44"/>
  </w:num>
  <w:num w:numId="38">
    <w:abstractNumId w:val="57"/>
  </w:num>
  <w:num w:numId="39">
    <w:abstractNumId w:val="67"/>
  </w:num>
  <w:num w:numId="40">
    <w:abstractNumId w:val="55"/>
  </w:num>
  <w:num w:numId="41">
    <w:abstractNumId w:val="5"/>
  </w:num>
  <w:num w:numId="42">
    <w:abstractNumId w:val="11"/>
  </w:num>
  <w:num w:numId="43">
    <w:abstractNumId w:val="10"/>
  </w:num>
  <w:num w:numId="44">
    <w:abstractNumId w:val="30"/>
  </w:num>
  <w:num w:numId="45">
    <w:abstractNumId w:val="59"/>
  </w:num>
  <w:num w:numId="46">
    <w:abstractNumId w:val="62"/>
  </w:num>
  <w:num w:numId="47">
    <w:abstractNumId w:val="24"/>
  </w:num>
  <w:num w:numId="48">
    <w:abstractNumId w:val="48"/>
  </w:num>
  <w:num w:numId="49">
    <w:abstractNumId w:val="66"/>
  </w:num>
  <w:num w:numId="50">
    <w:abstractNumId w:val="60"/>
  </w:num>
  <w:num w:numId="51">
    <w:abstractNumId w:val="22"/>
  </w:num>
  <w:num w:numId="52">
    <w:abstractNumId w:val="8"/>
  </w:num>
  <w:num w:numId="53">
    <w:abstractNumId w:val="72"/>
  </w:num>
  <w:num w:numId="54">
    <w:abstractNumId w:val="39"/>
  </w:num>
  <w:num w:numId="55">
    <w:abstractNumId w:val="58"/>
  </w:num>
  <w:num w:numId="56">
    <w:abstractNumId w:val="41"/>
  </w:num>
  <w:num w:numId="57">
    <w:abstractNumId w:val="70"/>
  </w:num>
  <w:num w:numId="58">
    <w:abstractNumId w:val="6"/>
  </w:num>
  <w:num w:numId="59">
    <w:abstractNumId w:val="18"/>
  </w:num>
  <w:num w:numId="60">
    <w:abstractNumId w:val="47"/>
  </w:num>
  <w:num w:numId="61">
    <w:abstractNumId w:val="64"/>
  </w:num>
  <w:num w:numId="62">
    <w:abstractNumId w:val="13"/>
  </w:num>
  <w:num w:numId="63">
    <w:abstractNumId w:val="21"/>
    <w:lvlOverride w:ilvl="0">
      <w:lvl w:ilvl="0">
        <w:start w:val="1"/>
        <w:numFmt w:val="decimal"/>
        <w:pStyle w:val="Heading1"/>
        <w:suff w:val="nothing"/>
        <w:lvlText w:val="Section %1"/>
        <w:lvlJc w:val="left"/>
        <w:pPr>
          <w:ind w:left="0" w:firstLine="0"/>
        </w:pPr>
        <w:rPr>
          <w:rFonts w:hint="default"/>
        </w:rPr>
      </w:lvl>
    </w:lvlOverride>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upperLetter"/>
        <w:pStyle w:val="Heading7"/>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64">
    <w:abstractNumId w:val="43"/>
  </w:num>
  <w:num w:numId="65">
    <w:abstractNumId w:val="17"/>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4"/>
  </w:num>
  <w:num w:numId="69">
    <w:abstractNumId w:val="34"/>
  </w:num>
  <w:num w:numId="70">
    <w:abstractNumId w:val="56"/>
  </w:num>
  <w:num w:numId="71">
    <w:abstractNumId w:val="0"/>
  </w:num>
  <w:num w:numId="72">
    <w:abstractNumId w:val="21"/>
  </w:num>
  <w:num w:numId="73">
    <w:abstractNumId w:val="27"/>
  </w:num>
  <w:num w:numId="74">
    <w:abstractNumId w:val="71"/>
  </w:num>
  <w:num w:numId="75">
    <w:abstractNumId w:val="54"/>
  </w:num>
  <w:num w:numId="76">
    <w:abstractNumId w:val="26"/>
  </w:num>
  <w:num w:numId="77">
    <w:abstractNumId w:val="21"/>
    <w:lvlOverride w:ilvl="0">
      <w:lvl w:ilvl="0">
        <w:start w:val="1"/>
        <w:numFmt w:val="decimal"/>
        <w:pStyle w:val="Heading1"/>
        <w:suff w:val="nothing"/>
        <w:lvlText w:val="Section %1"/>
        <w:lvlJc w:val="left"/>
        <w:pPr>
          <w:ind w:left="3402" w:firstLine="0"/>
        </w:pPr>
        <w:rPr>
          <w:rFonts w:hint="default"/>
        </w:rPr>
      </w:lvl>
    </w:lvlOverride>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num>
  <w:num w:numId="78">
    <w:abstractNumId w:val="12"/>
  </w:num>
  <w:num w:numId="79">
    <w:abstractNumId w:val="65"/>
  </w:num>
  <w:num w:numId="80">
    <w:abstractNumId w:val="21"/>
    <w:lvlOverride w:ilvl="1">
      <w:lvl w:ilvl="1">
        <w:start w:val="1"/>
        <w:numFmt w:val="decimal"/>
        <w:pStyle w:val="Heading2"/>
        <w:lvlText w:val="%1.%2"/>
        <w:lvlJc w:val="left"/>
        <w:pPr>
          <w:tabs>
            <w:tab w:val="num" w:pos="851"/>
          </w:tabs>
          <w:ind w:left="0" w:firstLine="0"/>
        </w:pPr>
        <w:rPr>
          <w:rFonts w:hint="default"/>
        </w:rPr>
      </w:lvl>
    </w:lvlOverride>
    <w:lvlOverride w:ilvl="2">
      <w:lvl w:ilvl="2">
        <w:start w:val="1"/>
        <w:numFmt w:val="decimal"/>
        <w:pStyle w:val="Heading3"/>
        <w:lvlText w:val="%1.%2.%3"/>
        <w:lvlJc w:val="left"/>
        <w:pPr>
          <w:tabs>
            <w:tab w:val="num" w:pos="851"/>
          </w:tabs>
          <w:ind w:left="0" w:firstLine="0"/>
        </w:pPr>
        <w:rPr>
          <w:rFonts w:hint="default"/>
        </w:rPr>
      </w:lvl>
    </w:lvlOverride>
  </w:num>
  <w:num w:numId="81">
    <w:abstractNumId w:val="42"/>
  </w:num>
  <w:num w:numId="82">
    <w:abstractNumId w:val="5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H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pezfr0jezvsle2vz0x5vps2ad90atpppsw&quot;&gt;COPD Review_ToR3_Medline and EMBASE_31Aug2016&lt;record-ids&gt;&lt;item&gt;1011&lt;/item&gt;&lt;/record-ids&gt;&lt;/item&gt;&lt;/Libraries&gt;"/>
  </w:docVars>
  <w:rsids>
    <w:rsidRoot w:val="000B0C8C"/>
    <w:rsid w:val="00000676"/>
    <w:rsid w:val="00001143"/>
    <w:rsid w:val="000023D1"/>
    <w:rsid w:val="00002CBE"/>
    <w:rsid w:val="000039E6"/>
    <w:rsid w:val="000058DE"/>
    <w:rsid w:val="0000707E"/>
    <w:rsid w:val="000077CE"/>
    <w:rsid w:val="00012746"/>
    <w:rsid w:val="0001276B"/>
    <w:rsid w:val="00012A89"/>
    <w:rsid w:val="00012C43"/>
    <w:rsid w:val="00012EF0"/>
    <w:rsid w:val="00013DEC"/>
    <w:rsid w:val="00013DF5"/>
    <w:rsid w:val="000145AF"/>
    <w:rsid w:val="00015586"/>
    <w:rsid w:val="00015D02"/>
    <w:rsid w:val="00016BF6"/>
    <w:rsid w:val="0001713E"/>
    <w:rsid w:val="00017C1F"/>
    <w:rsid w:val="00017FBF"/>
    <w:rsid w:val="0002051B"/>
    <w:rsid w:val="0002126C"/>
    <w:rsid w:val="000218B1"/>
    <w:rsid w:val="000221F5"/>
    <w:rsid w:val="0002235B"/>
    <w:rsid w:val="00022DA6"/>
    <w:rsid w:val="00022E3F"/>
    <w:rsid w:val="000232A6"/>
    <w:rsid w:val="000245BD"/>
    <w:rsid w:val="0002479A"/>
    <w:rsid w:val="00024991"/>
    <w:rsid w:val="00026080"/>
    <w:rsid w:val="00026B3C"/>
    <w:rsid w:val="00026CB1"/>
    <w:rsid w:val="000273DB"/>
    <w:rsid w:val="00027957"/>
    <w:rsid w:val="00032398"/>
    <w:rsid w:val="00033623"/>
    <w:rsid w:val="00033681"/>
    <w:rsid w:val="0003409D"/>
    <w:rsid w:val="000342DC"/>
    <w:rsid w:val="000347D4"/>
    <w:rsid w:val="00034EAB"/>
    <w:rsid w:val="00035233"/>
    <w:rsid w:val="00035C43"/>
    <w:rsid w:val="00035CAA"/>
    <w:rsid w:val="0003622D"/>
    <w:rsid w:val="0003789A"/>
    <w:rsid w:val="00040BD7"/>
    <w:rsid w:val="00041372"/>
    <w:rsid w:val="000416AB"/>
    <w:rsid w:val="00041A7E"/>
    <w:rsid w:val="00043AD5"/>
    <w:rsid w:val="00043CB4"/>
    <w:rsid w:val="00045558"/>
    <w:rsid w:val="000460DF"/>
    <w:rsid w:val="00047E33"/>
    <w:rsid w:val="000504A4"/>
    <w:rsid w:val="00052353"/>
    <w:rsid w:val="000546C2"/>
    <w:rsid w:val="0005536D"/>
    <w:rsid w:val="000559E2"/>
    <w:rsid w:val="00055DCD"/>
    <w:rsid w:val="00055F77"/>
    <w:rsid w:val="00056161"/>
    <w:rsid w:val="00056B0F"/>
    <w:rsid w:val="000604DC"/>
    <w:rsid w:val="00062FC9"/>
    <w:rsid w:val="000633E2"/>
    <w:rsid w:val="000637FC"/>
    <w:rsid w:val="00064658"/>
    <w:rsid w:val="00064766"/>
    <w:rsid w:val="00065489"/>
    <w:rsid w:val="00065F42"/>
    <w:rsid w:val="000660F8"/>
    <w:rsid w:val="000662F1"/>
    <w:rsid w:val="00066834"/>
    <w:rsid w:val="00066AB2"/>
    <w:rsid w:val="000676BE"/>
    <w:rsid w:val="000724B1"/>
    <w:rsid w:val="00072A71"/>
    <w:rsid w:val="00072E12"/>
    <w:rsid w:val="0007323D"/>
    <w:rsid w:val="0007521E"/>
    <w:rsid w:val="00075AE3"/>
    <w:rsid w:val="00075D0E"/>
    <w:rsid w:val="0007681B"/>
    <w:rsid w:val="00076A20"/>
    <w:rsid w:val="00080ED5"/>
    <w:rsid w:val="000824DB"/>
    <w:rsid w:val="00083208"/>
    <w:rsid w:val="000852FB"/>
    <w:rsid w:val="00087A6A"/>
    <w:rsid w:val="00091491"/>
    <w:rsid w:val="00091A6B"/>
    <w:rsid w:val="00091E7E"/>
    <w:rsid w:val="00092310"/>
    <w:rsid w:val="000925CE"/>
    <w:rsid w:val="000940EB"/>
    <w:rsid w:val="00094EC1"/>
    <w:rsid w:val="00097C45"/>
    <w:rsid w:val="00097C6E"/>
    <w:rsid w:val="00097E3A"/>
    <w:rsid w:val="000A193C"/>
    <w:rsid w:val="000A1B83"/>
    <w:rsid w:val="000A1EBA"/>
    <w:rsid w:val="000A2DB5"/>
    <w:rsid w:val="000A30C5"/>
    <w:rsid w:val="000A4602"/>
    <w:rsid w:val="000A4677"/>
    <w:rsid w:val="000A5911"/>
    <w:rsid w:val="000A6228"/>
    <w:rsid w:val="000A6697"/>
    <w:rsid w:val="000A6E36"/>
    <w:rsid w:val="000A7292"/>
    <w:rsid w:val="000A72FD"/>
    <w:rsid w:val="000B0485"/>
    <w:rsid w:val="000B0C8C"/>
    <w:rsid w:val="000B1B9E"/>
    <w:rsid w:val="000B23AB"/>
    <w:rsid w:val="000B254C"/>
    <w:rsid w:val="000B2DC8"/>
    <w:rsid w:val="000B5265"/>
    <w:rsid w:val="000B6B79"/>
    <w:rsid w:val="000C06A9"/>
    <w:rsid w:val="000C0A78"/>
    <w:rsid w:val="000C0D98"/>
    <w:rsid w:val="000C3700"/>
    <w:rsid w:val="000C3AA8"/>
    <w:rsid w:val="000C4305"/>
    <w:rsid w:val="000C46DF"/>
    <w:rsid w:val="000C49E2"/>
    <w:rsid w:val="000C585D"/>
    <w:rsid w:val="000C60B4"/>
    <w:rsid w:val="000C61FF"/>
    <w:rsid w:val="000C66AF"/>
    <w:rsid w:val="000C66B3"/>
    <w:rsid w:val="000C70E2"/>
    <w:rsid w:val="000C745C"/>
    <w:rsid w:val="000C74B1"/>
    <w:rsid w:val="000D0670"/>
    <w:rsid w:val="000D06EF"/>
    <w:rsid w:val="000D1D1E"/>
    <w:rsid w:val="000D2511"/>
    <w:rsid w:val="000D27CF"/>
    <w:rsid w:val="000D2FC8"/>
    <w:rsid w:val="000D3BCC"/>
    <w:rsid w:val="000D40BF"/>
    <w:rsid w:val="000D4B07"/>
    <w:rsid w:val="000D564C"/>
    <w:rsid w:val="000D5DD0"/>
    <w:rsid w:val="000D6FC6"/>
    <w:rsid w:val="000D7D43"/>
    <w:rsid w:val="000E153B"/>
    <w:rsid w:val="000E1BDD"/>
    <w:rsid w:val="000E1F27"/>
    <w:rsid w:val="000E294F"/>
    <w:rsid w:val="000E36F8"/>
    <w:rsid w:val="000E512C"/>
    <w:rsid w:val="000E79FE"/>
    <w:rsid w:val="000E7F06"/>
    <w:rsid w:val="000F0119"/>
    <w:rsid w:val="000F044F"/>
    <w:rsid w:val="000F0E1B"/>
    <w:rsid w:val="000F2E0E"/>
    <w:rsid w:val="000F3079"/>
    <w:rsid w:val="000F3AFC"/>
    <w:rsid w:val="000F3EBE"/>
    <w:rsid w:val="000F4182"/>
    <w:rsid w:val="000F4BA3"/>
    <w:rsid w:val="000F5807"/>
    <w:rsid w:val="000F68D2"/>
    <w:rsid w:val="000F763B"/>
    <w:rsid w:val="000F7E14"/>
    <w:rsid w:val="00100017"/>
    <w:rsid w:val="00100197"/>
    <w:rsid w:val="00101225"/>
    <w:rsid w:val="00101A77"/>
    <w:rsid w:val="001024C8"/>
    <w:rsid w:val="001046AF"/>
    <w:rsid w:val="001051F9"/>
    <w:rsid w:val="001055C5"/>
    <w:rsid w:val="00105AA9"/>
    <w:rsid w:val="00105B66"/>
    <w:rsid w:val="001066D2"/>
    <w:rsid w:val="001071DA"/>
    <w:rsid w:val="001103FF"/>
    <w:rsid w:val="00110455"/>
    <w:rsid w:val="00110ABA"/>
    <w:rsid w:val="00111D1E"/>
    <w:rsid w:val="00111E4E"/>
    <w:rsid w:val="00111FA3"/>
    <w:rsid w:val="001121F8"/>
    <w:rsid w:val="00113A4A"/>
    <w:rsid w:val="00113F1E"/>
    <w:rsid w:val="00120A7B"/>
    <w:rsid w:val="001211AE"/>
    <w:rsid w:val="00122438"/>
    <w:rsid w:val="001234DA"/>
    <w:rsid w:val="00123AD8"/>
    <w:rsid w:val="00124027"/>
    <w:rsid w:val="00124F08"/>
    <w:rsid w:val="00125049"/>
    <w:rsid w:val="00125AF7"/>
    <w:rsid w:val="0012643A"/>
    <w:rsid w:val="00126D7C"/>
    <w:rsid w:val="00127CC2"/>
    <w:rsid w:val="00130B4A"/>
    <w:rsid w:val="00131C31"/>
    <w:rsid w:val="00132B2B"/>
    <w:rsid w:val="00132E10"/>
    <w:rsid w:val="0013307D"/>
    <w:rsid w:val="00133D05"/>
    <w:rsid w:val="001356C1"/>
    <w:rsid w:val="001368CE"/>
    <w:rsid w:val="0013782E"/>
    <w:rsid w:val="00140687"/>
    <w:rsid w:val="001406D9"/>
    <w:rsid w:val="00140B62"/>
    <w:rsid w:val="00140C48"/>
    <w:rsid w:val="00141508"/>
    <w:rsid w:val="00141AB4"/>
    <w:rsid w:val="00141E3A"/>
    <w:rsid w:val="001428E7"/>
    <w:rsid w:val="0014300C"/>
    <w:rsid w:val="00144722"/>
    <w:rsid w:val="00145CE3"/>
    <w:rsid w:val="00146391"/>
    <w:rsid w:val="00146692"/>
    <w:rsid w:val="00146A18"/>
    <w:rsid w:val="00146A8B"/>
    <w:rsid w:val="0015014E"/>
    <w:rsid w:val="001504AA"/>
    <w:rsid w:val="00150D82"/>
    <w:rsid w:val="00150DBD"/>
    <w:rsid w:val="00150DC0"/>
    <w:rsid w:val="00150EEE"/>
    <w:rsid w:val="00151A01"/>
    <w:rsid w:val="001532AF"/>
    <w:rsid w:val="0015420F"/>
    <w:rsid w:val="00154702"/>
    <w:rsid w:val="00156EB5"/>
    <w:rsid w:val="0016130F"/>
    <w:rsid w:val="001639A2"/>
    <w:rsid w:val="00164021"/>
    <w:rsid w:val="0016423E"/>
    <w:rsid w:val="001647A0"/>
    <w:rsid w:val="00164C1C"/>
    <w:rsid w:val="001660ED"/>
    <w:rsid w:val="00167375"/>
    <w:rsid w:val="00167471"/>
    <w:rsid w:val="0016766E"/>
    <w:rsid w:val="00171297"/>
    <w:rsid w:val="00173FC0"/>
    <w:rsid w:val="001750D5"/>
    <w:rsid w:val="001761C7"/>
    <w:rsid w:val="00176CE6"/>
    <w:rsid w:val="001776BF"/>
    <w:rsid w:val="001779A4"/>
    <w:rsid w:val="00180812"/>
    <w:rsid w:val="00181151"/>
    <w:rsid w:val="00182493"/>
    <w:rsid w:val="0018288F"/>
    <w:rsid w:val="001835B6"/>
    <w:rsid w:val="00183A64"/>
    <w:rsid w:val="0018400D"/>
    <w:rsid w:val="00184332"/>
    <w:rsid w:val="00184ED9"/>
    <w:rsid w:val="00185623"/>
    <w:rsid w:val="00186004"/>
    <w:rsid w:val="001863E5"/>
    <w:rsid w:val="00186458"/>
    <w:rsid w:val="00186483"/>
    <w:rsid w:val="00186728"/>
    <w:rsid w:val="00187E28"/>
    <w:rsid w:val="001904AD"/>
    <w:rsid w:val="001909F5"/>
    <w:rsid w:val="0019224F"/>
    <w:rsid w:val="0019235B"/>
    <w:rsid w:val="00193204"/>
    <w:rsid w:val="0019393C"/>
    <w:rsid w:val="00194011"/>
    <w:rsid w:val="00195E30"/>
    <w:rsid w:val="00195FC1"/>
    <w:rsid w:val="00196FAB"/>
    <w:rsid w:val="001976D5"/>
    <w:rsid w:val="001A03AD"/>
    <w:rsid w:val="001A058C"/>
    <w:rsid w:val="001A1585"/>
    <w:rsid w:val="001A1802"/>
    <w:rsid w:val="001A1B19"/>
    <w:rsid w:val="001A20AE"/>
    <w:rsid w:val="001A2E31"/>
    <w:rsid w:val="001A3284"/>
    <w:rsid w:val="001A4566"/>
    <w:rsid w:val="001A49DD"/>
    <w:rsid w:val="001A4CCF"/>
    <w:rsid w:val="001A4EB3"/>
    <w:rsid w:val="001A57C7"/>
    <w:rsid w:val="001A675B"/>
    <w:rsid w:val="001A6A82"/>
    <w:rsid w:val="001A747A"/>
    <w:rsid w:val="001A7F97"/>
    <w:rsid w:val="001B0312"/>
    <w:rsid w:val="001B199D"/>
    <w:rsid w:val="001B1DAA"/>
    <w:rsid w:val="001B38BB"/>
    <w:rsid w:val="001B53BA"/>
    <w:rsid w:val="001B6836"/>
    <w:rsid w:val="001B6EE5"/>
    <w:rsid w:val="001B7272"/>
    <w:rsid w:val="001B72DE"/>
    <w:rsid w:val="001C09B9"/>
    <w:rsid w:val="001C0AB9"/>
    <w:rsid w:val="001C1006"/>
    <w:rsid w:val="001C1E27"/>
    <w:rsid w:val="001C2742"/>
    <w:rsid w:val="001C349D"/>
    <w:rsid w:val="001C3B62"/>
    <w:rsid w:val="001C41A4"/>
    <w:rsid w:val="001C4302"/>
    <w:rsid w:val="001C4516"/>
    <w:rsid w:val="001C49D2"/>
    <w:rsid w:val="001C5235"/>
    <w:rsid w:val="001C54E0"/>
    <w:rsid w:val="001C6234"/>
    <w:rsid w:val="001C79F5"/>
    <w:rsid w:val="001D0185"/>
    <w:rsid w:val="001D0732"/>
    <w:rsid w:val="001D1093"/>
    <w:rsid w:val="001D17E9"/>
    <w:rsid w:val="001D21EC"/>
    <w:rsid w:val="001D2A80"/>
    <w:rsid w:val="001D2F0A"/>
    <w:rsid w:val="001D3236"/>
    <w:rsid w:val="001D3838"/>
    <w:rsid w:val="001D4A97"/>
    <w:rsid w:val="001D55A7"/>
    <w:rsid w:val="001D602C"/>
    <w:rsid w:val="001D61C0"/>
    <w:rsid w:val="001D6865"/>
    <w:rsid w:val="001D70D4"/>
    <w:rsid w:val="001D769E"/>
    <w:rsid w:val="001E0756"/>
    <w:rsid w:val="001E17A1"/>
    <w:rsid w:val="001E1B87"/>
    <w:rsid w:val="001E4C07"/>
    <w:rsid w:val="001E50F5"/>
    <w:rsid w:val="001E634F"/>
    <w:rsid w:val="001E793F"/>
    <w:rsid w:val="001F044A"/>
    <w:rsid w:val="001F064C"/>
    <w:rsid w:val="001F06A3"/>
    <w:rsid w:val="001F09E7"/>
    <w:rsid w:val="001F14CB"/>
    <w:rsid w:val="001F1F12"/>
    <w:rsid w:val="001F40B2"/>
    <w:rsid w:val="001F43F7"/>
    <w:rsid w:val="001F46A2"/>
    <w:rsid w:val="001F4E27"/>
    <w:rsid w:val="001F6496"/>
    <w:rsid w:val="001F65FA"/>
    <w:rsid w:val="001F6A4C"/>
    <w:rsid w:val="001F6AC1"/>
    <w:rsid w:val="001F70C1"/>
    <w:rsid w:val="001F73A8"/>
    <w:rsid w:val="00200F50"/>
    <w:rsid w:val="00201497"/>
    <w:rsid w:val="00202D4D"/>
    <w:rsid w:val="00203356"/>
    <w:rsid w:val="00203E3E"/>
    <w:rsid w:val="002045AE"/>
    <w:rsid w:val="00205A79"/>
    <w:rsid w:val="00205AA5"/>
    <w:rsid w:val="00205B06"/>
    <w:rsid w:val="00205BCE"/>
    <w:rsid w:val="00205F79"/>
    <w:rsid w:val="00206369"/>
    <w:rsid w:val="002109F3"/>
    <w:rsid w:val="0021149E"/>
    <w:rsid w:val="00211F2D"/>
    <w:rsid w:val="00212382"/>
    <w:rsid w:val="00212941"/>
    <w:rsid w:val="002136BC"/>
    <w:rsid w:val="00215768"/>
    <w:rsid w:val="002160CD"/>
    <w:rsid w:val="00216CC6"/>
    <w:rsid w:val="00216DA2"/>
    <w:rsid w:val="002174D7"/>
    <w:rsid w:val="00220C07"/>
    <w:rsid w:val="00221A10"/>
    <w:rsid w:val="00221F8A"/>
    <w:rsid w:val="0022228D"/>
    <w:rsid w:val="00222782"/>
    <w:rsid w:val="00224431"/>
    <w:rsid w:val="00224E0A"/>
    <w:rsid w:val="002258FA"/>
    <w:rsid w:val="002274A5"/>
    <w:rsid w:val="00227584"/>
    <w:rsid w:val="00230C5A"/>
    <w:rsid w:val="002312DA"/>
    <w:rsid w:val="00231338"/>
    <w:rsid w:val="00231B1D"/>
    <w:rsid w:val="0023265F"/>
    <w:rsid w:val="00233948"/>
    <w:rsid w:val="00234634"/>
    <w:rsid w:val="00234FD7"/>
    <w:rsid w:val="0023621C"/>
    <w:rsid w:val="002378F3"/>
    <w:rsid w:val="0024003B"/>
    <w:rsid w:val="0024006E"/>
    <w:rsid w:val="00241406"/>
    <w:rsid w:val="00242EA0"/>
    <w:rsid w:val="0024328B"/>
    <w:rsid w:val="00244675"/>
    <w:rsid w:val="0024467B"/>
    <w:rsid w:val="00244728"/>
    <w:rsid w:val="002503CC"/>
    <w:rsid w:val="00250EBD"/>
    <w:rsid w:val="00251919"/>
    <w:rsid w:val="002521A4"/>
    <w:rsid w:val="002522E0"/>
    <w:rsid w:val="0025314D"/>
    <w:rsid w:val="002532EC"/>
    <w:rsid w:val="00253B90"/>
    <w:rsid w:val="002541D8"/>
    <w:rsid w:val="00255731"/>
    <w:rsid w:val="002557C8"/>
    <w:rsid w:val="00257E1E"/>
    <w:rsid w:val="00262AD2"/>
    <w:rsid w:val="00262C0A"/>
    <w:rsid w:val="0026536F"/>
    <w:rsid w:val="00265391"/>
    <w:rsid w:val="002677E1"/>
    <w:rsid w:val="00267A57"/>
    <w:rsid w:val="00270357"/>
    <w:rsid w:val="00270A37"/>
    <w:rsid w:val="00271086"/>
    <w:rsid w:val="002718B3"/>
    <w:rsid w:val="0028228D"/>
    <w:rsid w:val="002824C8"/>
    <w:rsid w:val="00282865"/>
    <w:rsid w:val="00283614"/>
    <w:rsid w:val="00283E6D"/>
    <w:rsid w:val="00284BD6"/>
    <w:rsid w:val="00284E18"/>
    <w:rsid w:val="00284EBE"/>
    <w:rsid w:val="0028628F"/>
    <w:rsid w:val="00286E3B"/>
    <w:rsid w:val="0028753E"/>
    <w:rsid w:val="002876CD"/>
    <w:rsid w:val="0029005A"/>
    <w:rsid w:val="0029058D"/>
    <w:rsid w:val="00290B6A"/>
    <w:rsid w:val="00291747"/>
    <w:rsid w:val="002928D0"/>
    <w:rsid w:val="00294743"/>
    <w:rsid w:val="002963C1"/>
    <w:rsid w:val="002965EB"/>
    <w:rsid w:val="00296A77"/>
    <w:rsid w:val="00296C04"/>
    <w:rsid w:val="0029701D"/>
    <w:rsid w:val="0029749A"/>
    <w:rsid w:val="0029750E"/>
    <w:rsid w:val="00297721"/>
    <w:rsid w:val="002A0DA1"/>
    <w:rsid w:val="002A22EC"/>
    <w:rsid w:val="002A44E0"/>
    <w:rsid w:val="002A5065"/>
    <w:rsid w:val="002A5739"/>
    <w:rsid w:val="002A59F9"/>
    <w:rsid w:val="002A5CA2"/>
    <w:rsid w:val="002A6729"/>
    <w:rsid w:val="002A73C2"/>
    <w:rsid w:val="002B11AF"/>
    <w:rsid w:val="002B14FA"/>
    <w:rsid w:val="002B15F2"/>
    <w:rsid w:val="002B16D4"/>
    <w:rsid w:val="002B17E6"/>
    <w:rsid w:val="002B3187"/>
    <w:rsid w:val="002B3E8B"/>
    <w:rsid w:val="002B4347"/>
    <w:rsid w:val="002B6C24"/>
    <w:rsid w:val="002B756B"/>
    <w:rsid w:val="002C1E4D"/>
    <w:rsid w:val="002C383E"/>
    <w:rsid w:val="002C6659"/>
    <w:rsid w:val="002C7B12"/>
    <w:rsid w:val="002D1BC0"/>
    <w:rsid w:val="002D1FA4"/>
    <w:rsid w:val="002D228E"/>
    <w:rsid w:val="002D27FE"/>
    <w:rsid w:val="002D2A82"/>
    <w:rsid w:val="002D33AD"/>
    <w:rsid w:val="002D42F3"/>
    <w:rsid w:val="002D4A37"/>
    <w:rsid w:val="002D503C"/>
    <w:rsid w:val="002D583D"/>
    <w:rsid w:val="002D6BFF"/>
    <w:rsid w:val="002D785D"/>
    <w:rsid w:val="002E0693"/>
    <w:rsid w:val="002E12C0"/>
    <w:rsid w:val="002E275B"/>
    <w:rsid w:val="002E4E0B"/>
    <w:rsid w:val="002E5CBD"/>
    <w:rsid w:val="002E5D56"/>
    <w:rsid w:val="002E5F67"/>
    <w:rsid w:val="002E68F1"/>
    <w:rsid w:val="002E7FF1"/>
    <w:rsid w:val="002F0002"/>
    <w:rsid w:val="002F06A0"/>
    <w:rsid w:val="002F18F7"/>
    <w:rsid w:val="002F1FF1"/>
    <w:rsid w:val="002F3008"/>
    <w:rsid w:val="002F3746"/>
    <w:rsid w:val="002F38B0"/>
    <w:rsid w:val="002F60E8"/>
    <w:rsid w:val="002F61C4"/>
    <w:rsid w:val="002F6D08"/>
    <w:rsid w:val="002F7095"/>
    <w:rsid w:val="002F7338"/>
    <w:rsid w:val="0030053F"/>
    <w:rsid w:val="00300A50"/>
    <w:rsid w:val="00301A67"/>
    <w:rsid w:val="00301DF6"/>
    <w:rsid w:val="00302076"/>
    <w:rsid w:val="00302C19"/>
    <w:rsid w:val="00303106"/>
    <w:rsid w:val="0030374E"/>
    <w:rsid w:val="003037BB"/>
    <w:rsid w:val="00303FB1"/>
    <w:rsid w:val="003041CB"/>
    <w:rsid w:val="0030435D"/>
    <w:rsid w:val="00306DCF"/>
    <w:rsid w:val="00307AEA"/>
    <w:rsid w:val="00310238"/>
    <w:rsid w:val="003106A5"/>
    <w:rsid w:val="003109CA"/>
    <w:rsid w:val="003114C7"/>
    <w:rsid w:val="003118D5"/>
    <w:rsid w:val="00315A30"/>
    <w:rsid w:val="00317610"/>
    <w:rsid w:val="00317DF1"/>
    <w:rsid w:val="00317E57"/>
    <w:rsid w:val="003203F1"/>
    <w:rsid w:val="00321179"/>
    <w:rsid w:val="003214BC"/>
    <w:rsid w:val="003229AC"/>
    <w:rsid w:val="00324F88"/>
    <w:rsid w:val="003257A1"/>
    <w:rsid w:val="00325A2E"/>
    <w:rsid w:val="0032778B"/>
    <w:rsid w:val="00327B56"/>
    <w:rsid w:val="003315C7"/>
    <w:rsid w:val="003316D9"/>
    <w:rsid w:val="00331D1A"/>
    <w:rsid w:val="00331FE5"/>
    <w:rsid w:val="003330DE"/>
    <w:rsid w:val="00333BD7"/>
    <w:rsid w:val="00333E1B"/>
    <w:rsid w:val="00334867"/>
    <w:rsid w:val="003350B7"/>
    <w:rsid w:val="003357E6"/>
    <w:rsid w:val="0033633B"/>
    <w:rsid w:val="00336411"/>
    <w:rsid w:val="0033676F"/>
    <w:rsid w:val="00341FEC"/>
    <w:rsid w:val="0034246B"/>
    <w:rsid w:val="00342BE4"/>
    <w:rsid w:val="00342CF9"/>
    <w:rsid w:val="00342D87"/>
    <w:rsid w:val="0034378E"/>
    <w:rsid w:val="00343EB1"/>
    <w:rsid w:val="003461B9"/>
    <w:rsid w:val="0034780D"/>
    <w:rsid w:val="00350357"/>
    <w:rsid w:val="00350E5D"/>
    <w:rsid w:val="003520C2"/>
    <w:rsid w:val="00353CA5"/>
    <w:rsid w:val="00355FC2"/>
    <w:rsid w:val="00355FEF"/>
    <w:rsid w:val="00356377"/>
    <w:rsid w:val="00357C25"/>
    <w:rsid w:val="00357C74"/>
    <w:rsid w:val="0036146E"/>
    <w:rsid w:val="00363DC4"/>
    <w:rsid w:val="00364C35"/>
    <w:rsid w:val="00364DA8"/>
    <w:rsid w:val="00364E7C"/>
    <w:rsid w:val="00365863"/>
    <w:rsid w:val="0036687A"/>
    <w:rsid w:val="00366ED2"/>
    <w:rsid w:val="003679E1"/>
    <w:rsid w:val="0037014F"/>
    <w:rsid w:val="00371DA1"/>
    <w:rsid w:val="00372290"/>
    <w:rsid w:val="00373E92"/>
    <w:rsid w:val="003748E9"/>
    <w:rsid w:val="00374974"/>
    <w:rsid w:val="00375777"/>
    <w:rsid w:val="00376226"/>
    <w:rsid w:val="0037678B"/>
    <w:rsid w:val="00377D07"/>
    <w:rsid w:val="003803FD"/>
    <w:rsid w:val="00380525"/>
    <w:rsid w:val="00381AA8"/>
    <w:rsid w:val="00383046"/>
    <w:rsid w:val="003853A4"/>
    <w:rsid w:val="00385515"/>
    <w:rsid w:val="00386B3D"/>
    <w:rsid w:val="00386CFD"/>
    <w:rsid w:val="003871E0"/>
    <w:rsid w:val="00387FC7"/>
    <w:rsid w:val="003900AD"/>
    <w:rsid w:val="003903BC"/>
    <w:rsid w:val="00390EF7"/>
    <w:rsid w:val="00391F0B"/>
    <w:rsid w:val="00392AF7"/>
    <w:rsid w:val="003932E0"/>
    <w:rsid w:val="00394BD2"/>
    <w:rsid w:val="003958E3"/>
    <w:rsid w:val="00395AEC"/>
    <w:rsid w:val="00396A99"/>
    <w:rsid w:val="003A0136"/>
    <w:rsid w:val="003A1267"/>
    <w:rsid w:val="003A1886"/>
    <w:rsid w:val="003A2545"/>
    <w:rsid w:val="003A2E59"/>
    <w:rsid w:val="003A4614"/>
    <w:rsid w:val="003A4C1A"/>
    <w:rsid w:val="003A5590"/>
    <w:rsid w:val="003A5FE7"/>
    <w:rsid w:val="003A6C5F"/>
    <w:rsid w:val="003A7256"/>
    <w:rsid w:val="003A78B3"/>
    <w:rsid w:val="003B0BB6"/>
    <w:rsid w:val="003B23BC"/>
    <w:rsid w:val="003B3F80"/>
    <w:rsid w:val="003B401C"/>
    <w:rsid w:val="003B612D"/>
    <w:rsid w:val="003B61E8"/>
    <w:rsid w:val="003B75A8"/>
    <w:rsid w:val="003B7777"/>
    <w:rsid w:val="003B79F7"/>
    <w:rsid w:val="003B7B67"/>
    <w:rsid w:val="003C1705"/>
    <w:rsid w:val="003C19FC"/>
    <w:rsid w:val="003C2B55"/>
    <w:rsid w:val="003C391E"/>
    <w:rsid w:val="003C5308"/>
    <w:rsid w:val="003C5912"/>
    <w:rsid w:val="003C5C6D"/>
    <w:rsid w:val="003C6123"/>
    <w:rsid w:val="003C6347"/>
    <w:rsid w:val="003C67FE"/>
    <w:rsid w:val="003C78F2"/>
    <w:rsid w:val="003D0211"/>
    <w:rsid w:val="003D028D"/>
    <w:rsid w:val="003D0736"/>
    <w:rsid w:val="003D1878"/>
    <w:rsid w:val="003D22D0"/>
    <w:rsid w:val="003D34A6"/>
    <w:rsid w:val="003D49DB"/>
    <w:rsid w:val="003D6003"/>
    <w:rsid w:val="003D66A6"/>
    <w:rsid w:val="003D695A"/>
    <w:rsid w:val="003D77FF"/>
    <w:rsid w:val="003E0741"/>
    <w:rsid w:val="003E0985"/>
    <w:rsid w:val="003E15DE"/>
    <w:rsid w:val="003E19C5"/>
    <w:rsid w:val="003E2952"/>
    <w:rsid w:val="003E2B15"/>
    <w:rsid w:val="003E3104"/>
    <w:rsid w:val="003E40C5"/>
    <w:rsid w:val="003E46E7"/>
    <w:rsid w:val="003E59A2"/>
    <w:rsid w:val="003E65E9"/>
    <w:rsid w:val="003E6949"/>
    <w:rsid w:val="003E6962"/>
    <w:rsid w:val="003E6BCB"/>
    <w:rsid w:val="003E7620"/>
    <w:rsid w:val="003F03FF"/>
    <w:rsid w:val="003F0E27"/>
    <w:rsid w:val="003F1021"/>
    <w:rsid w:val="003F200F"/>
    <w:rsid w:val="003F28E0"/>
    <w:rsid w:val="003F29F5"/>
    <w:rsid w:val="003F2B7F"/>
    <w:rsid w:val="003F3323"/>
    <w:rsid w:val="003F3C2D"/>
    <w:rsid w:val="003F6B25"/>
    <w:rsid w:val="003F7E3D"/>
    <w:rsid w:val="003F7EA5"/>
    <w:rsid w:val="003F7FC2"/>
    <w:rsid w:val="00400396"/>
    <w:rsid w:val="00401C78"/>
    <w:rsid w:val="004024C2"/>
    <w:rsid w:val="004033C7"/>
    <w:rsid w:val="00404EC4"/>
    <w:rsid w:val="004059B1"/>
    <w:rsid w:val="00405B82"/>
    <w:rsid w:val="00405F3C"/>
    <w:rsid w:val="00407050"/>
    <w:rsid w:val="004072A5"/>
    <w:rsid w:val="004078DC"/>
    <w:rsid w:val="00407B30"/>
    <w:rsid w:val="00407C06"/>
    <w:rsid w:val="00410011"/>
    <w:rsid w:val="00410A95"/>
    <w:rsid w:val="00411B59"/>
    <w:rsid w:val="00411BF3"/>
    <w:rsid w:val="0041311A"/>
    <w:rsid w:val="00413A4B"/>
    <w:rsid w:val="00413EE3"/>
    <w:rsid w:val="00414614"/>
    <w:rsid w:val="00414F21"/>
    <w:rsid w:val="00415EC6"/>
    <w:rsid w:val="00417354"/>
    <w:rsid w:val="00417A76"/>
    <w:rsid w:val="00420735"/>
    <w:rsid w:val="00421B3C"/>
    <w:rsid w:val="00423053"/>
    <w:rsid w:val="00424339"/>
    <w:rsid w:val="00424342"/>
    <w:rsid w:val="004246AD"/>
    <w:rsid w:val="00425085"/>
    <w:rsid w:val="004253F0"/>
    <w:rsid w:val="00425B21"/>
    <w:rsid w:val="00425D10"/>
    <w:rsid w:val="0042686E"/>
    <w:rsid w:val="00426AB4"/>
    <w:rsid w:val="00431B1B"/>
    <w:rsid w:val="00432352"/>
    <w:rsid w:val="00432C93"/>
    <w:rsid w:val="004334B2"/>
    <w:rsid w:val="00433A16"/>
    <w:rsid w:val="004341D3"/>
    <w:rsid w:val="00434ED4"/>
    <w:rsid w:val="00437012"/>
    <w:rsid w:val="00437AEA"/>
    <w:rsid w:val="00440ED1"/>
    <w:rsid w:val="00441356"/>
    <w:rsid w:val="00445EBA"/>
    <w:rsid w:val="00446D86"/>
    <w:rsid w:val="0044721D"/>
    <w:rsid w:val="00447A4C"/>
    <w:rsid w:val="00447E76"/>
    <w:rsid w:val="004504BE"/>
    <w:rsid w:val="004522F0"/>
    <w:rsid w:val="00452314"/>
    <w:rsid w:val="00452BFD"/>
    <w:rsid w:val="00453911"/>
    <w:rsid w:val="0045396D"/>
    <w:rsid w:val="00454B4A"/>
    <w:rsid w:val="00454BB8"/>
    <w:rsid w:val="00454D71"/>
    <w:rsid w:val="004553BB"/>
    <w:rsid w:val="00455DBE"/>
    <w:rsid w:val="00455F8B"/>
    <w:rsid w:val="004569B8"/>
    <w:rsid w:val="00456B7D"/>
    <w:rsid w:val="004571D9"/>
    <w:rsid w:val="00460D54"/>
    <w:rsid w:val="00460E94"/>
    <w:rsid w:val="004610DD"/>
    <w:rsid w:val="004624D8"/>
    <w:rsid w:val="00463AEE"/>
    <w:rsid w:val="00464133"/>
    <w:rsid w:val="00464256"/>
    <w:rsid w:val="00464AD2"/>
    <w:rsid w:val="0046562B"/>
    <w:rsid w:val="00465ACD"/>
    <w:rsid w:val="00470678"/>
    <w:rsid w:val="00470E59"/>
    <w:rsid w:val="00471188"/>
    <w:rsid w:val="00471451"/>
    <w:rsid w:val="0047255E"/>
    <w:rsid w:val="004730D1"/>
    <w:rsid w:val="004745FF"/>
    <w:rsid w:val="00475727"/>
    <w:rsid w:val="00475F6C"/>
    <w:rsid w:val="0047767E"/>
    <w:rsid w:val="00477896"/>
    <w:rsid w:val="00480351"/>
    <w:rsid w:val="00480633"/>
    <w:rsid w:val="0048170A"/>
    <w:rsid w:val="00482360"/>
    <w:rsid w:val="004823AB"/>
    <w:rsid w:val="004831F9"/>
    <w:rsid w:val="00483846"/>
    <w:rsid w:val="00483EC5"/>
    <w:rsid w:val="00485127"/>
    <w:rsid w:val="0048547C"/>
    <w:rsid w:val="004864BF"/>
    <w:rsid w:val="00486EDA"/>
    <w:rsid w:val="00487016"/>
    <w:rsid w:val="004878F1"/>
    <w:rsid w:val="00487E9D"/>
    <w:rsid w:val="004902F5"/>
    <w:rsid w:val="004906AD"/>
    <w:rsid w:val="004909FE"/>
    <w:rsid w:val="00491126"/>
    <w:rsid w:val="004915B2"/>
    <w:rsid w:val="00492ECC"/>
    <w:rsid w:val="004932AA"/>
    <w:rsid w:val="004933B8"/>
    <w:rsid w:val="0049386A"/>
    <w:rsid w:val="00494974"/>
    <w:rsid w:val="00494989"/>
    <w:rsid w:val="00494E79"/>
    <w:rsid w:val="004955C1"/>
    <w:rsid w:val="00497729"/>
    <w:rsid w:val="004977A9"/>
    <w:rsid w:val="004A1247"/>
    <w:rsid w:val="004A22FB"/>
    <w:rsid w:val="004A281B"/>
    <w:rsid w:val="004A2DAC"/>
    <w:rsid w:val="004A32FE"/>
    <w:rsid w:val="004A440D"/>
    <w:rsid w:val="004A571D"/>
    <w:rsid w:val="004A5E3D"/>
    <w:rsid w:val="004A67A6"/>
    <w:rsid w:val="004B09CC"/>
    <w:rsid w:val="004B15BA"/>
    <w:rsid w:val="004B1AC2"/>
    <w:rsid w:val="004B1AD2"/>
    <w:rsid w:val="004B2444"/>
    <w:rsid w:val="004B2947"/>
    <w:rsid w:val="004B3085"/>
    <w:rsid w:val="004B3CA1"/>
    <w:rsid w:val="004B4168"/>
    <w:rsid w:val="004B5C24"/>
    <w:rsid w:val="004B6002"/>
    <w:rsid w:val="004B6AD1"/>
    <w:rsid w:val="004C01A3"/>
    <w:rsid w:val="004C24B0"/>
    <w:rsid w:val="004C31C4"/>
    <w:rsid w:val="004C6601"/>
    <w:rsid w:val="004C6982"/>
    <w:rsid w:val="004C7053"/>
    <w:rsid w:val="004D002A"/>
    <w:rsid w:val="004D004A"/>
    <w:rsid w:val="004D0B97"/>
    <w:rsid w:val="004D3838"/>
    <w:rsid w:val="004D3E68"/>
    <w:rsid w:val="004D6835"/>
    <w:rsid w:val="004D6BA7"/>
    <w:rsid w:val="004D77F9"/>
    <w:rsid w:val="004D7C94"/>
    <w:rsid w:val="004E0A8C"/>
    <w:rsid w:val="004E1863"/>
    <w:rsid w:val="004E1B5A"/>
    <w:rsid w:val="004E1E8D"/>
    <w:rsid w:val="004E2622"/>
    <w:rsid w:val="004E2BCA"/>
    <w:rsid w:val="004E2E2A"/>
    <w:rsid w:val="004E3008"/>
    <w:rsid w:val="004E35BF"/>
    <w:rsid w:val="004E3B9D"/>
    <w:rsid w:val="004E3DE7"/>
    <w:rsid w:val="004E3FBA"/>
    <w:rsid w:val="004E4602"/>
    <w:rsid w:val="004E5209"/>
    <w:rsid w:val="004E5399"/>
    <w:rsid w:val="004E6220"/>
    <w:rsid w:val="004E6CF0"/>
    <w:rsid w:val="004F0FBF"/>
    <w:rsid w:val="004F1506"/>
    <w:rsid w:val="004F1557"/>
    <w:rsid w:val="004F1882"/>
    <w:rsid w:val="004F2441"/>
    <w:rsid w:val="004F2DC1"/>
    <w:rsid w:val="004F3579"/>
    <w:rsid w:val="004F3821"/>
    <w:rsid w:val="004F3C29"/>
    <w:rsid w:val="004F3EA6"/>
    <w:rsid w:val="004F48F6"/>
    <w:rsid w:val="004F6D9A"/>
    <w:rsid w:val="00500769"/>
    <w:rsid w:val="00500B3C"/>
    <w:rsid w:val="00501401"/>
    <w:rsid w:val="0050164C"/>
    <w:rsid w:val="00501D63"/>
    <w:rsid w:val="00503ED6"/>
    <w:rsid w:val="00504D62"/>
    <w:rsid w:val="00506B62"/>
    <w:rsid w:val="00510722"/>
    <w:rsid w:val="00510D5F"/>
    <w:rsid w:val="00510DC8"/>
    <w:rsid w:val="00511DD8"/>
    <w:rsid w:val="00511F7C"/>
    <w:rsid w:val="00512442"/>
    <w:rsid w:val="00513C8D"/>
    <w:rsid w:val="00514154"/>
    <w:rsid w:val="00515169"/>
    <w:rsid w:val="00515348"/>
    <w:rsid w:val="00515ED8"/>
    <w:rsid w:val="00517155"/>
    <w:rsid w:val="00517818"/>
    <w:rsid w:val="00520066"/>
    <w:rsid w:val="00520971"/>
    <w:rsid w:val="00520E9E"/>
    <w:rsid w:val="005215D1"/>
    <w:rsid w:val="00522F3E"/>
    <w:rsid w:val="00523242"/>
    <w:rsid w:val="00524F40"/>
    <w:rsid w:val="0052547F"/>
    <w:rsid w:val="005269D4"/>
    <w:rsid w:val="005270DD"/>
    <w:rsid w:val="00530493"/>
    <w:rsid w:val="005313AD"/>
    <w:rsid w:val="0053171D"/>
    <w:rsid w:val="00532271"/>
    <w:rsid w:val="00533936"/>
    <w:rsid w:val="00534393"/>
    <w:rsid w:val="00536001"/>
    <w:rsid w:val="00536105"/>
    <w:rsid w:val="00536864"/>
    <w:rsid w:val="00537B65"/>
    <w:rsid w:val="00540527"/>
    <w:rsid w:val="00540959"/>
    <w:rsid w:val="00540DB0"/>
    <w:rsid w:val="00541584"/>
    <w:rsid w:val="00541AE5"/>
    <w:rsid w:val="00541F61"/>
    <w:rsid w:val="0054248E"/>
    <w:rsid w:val="0054272D"/>
    <w:rsid w:val="00544588"/>
    <w:rsid w:val="00544B4E"/>
    <w:rsid w:val="00545328"/>
    <w:rsid w:val="0054680E"/>
    <w:rsid w:val="0054684E"/>
    <w:rsid w:val="00546890"/>
    <w:rsid w:val="00546B6E"/>
    <w:rsid w:val="0054732B"/>
    <w:rsid w:val="00547BA5"/>
    <w:rsid w:val="00547CB0"/>
    <w:rsid w:val="005510C8"/>
    <w:rsid w:val="00553F4B"/>
    <w:rsid w:val="00555E5D"/>
    <w:rsid w:val="00556562"/>
    <w:rsid w:val="00556EB6"/>
    <w:rsid w:val="005577A2"/>
    <w:rsid w:val="00557AAF"/>
    <w:rsid w:val="00561DEA"/>
    <w:rsid w:val="005628A1"/>
    <w:rsid w:val="00562B76"/>
    <w:rsid w:val="00562F0C"/>
    <w:rsid w:val="00564BCE"/>
    <w:rsid w:val="00564BF5"/>
    <w:rsid w:val="00564DDB"/>
    <w:rsid w:val="005653F2"/>
    <w:rsid w:val="00565B06"/>
    <w:rsid w:val="00567AFC"/>
    <w:rsid w:val="00570223"/>
    <w:rsid w:val="00571626"/>
    <w:rsid w:val="00572F5C"/>
    <w:rsid w:val="0057316F"/>
    <w:rsid w:val="00574B9C"/>
    <w:rsid w:val="005756F4"/>
    <w:rsid w:val="00575C09"/>
    <w:rsid w:val="005769C5"/>
    <w:rsid w:val="005771C2"/>
    <w:rsid w:val="00577EEF"/>
    <w:rsid w:val="0058075E"/>
    <w:rsid w:val="0058099A"/>
    <w:rsid w:val="00583C7B"/>
    <w:rsid w:val="00583D01"/>
    <w:rsid w:val="00584A21"/>
    <w:rsid w:val="00585268"/>
    <w:rsid w:val="0058528C"/>
    <w:rsid w:val="00585C90"/>
    <w:rsid w:val="0058657B"/>
    <w:rsid w:val="00586BD2"/>
    <w:rsid w:val="00586DAB"/>
    <w:rsid w:val="005920CA"/>
    <w:rsid w:val="005935CF"/>
    <w:rsid w:val="005940CE"/>
    <w:rsid w:val="00595172"/>
    <w:rsid w:val="005952D3"/>
    <w:rsid w:val="00596C5A"/>
    <w:rsid w:val="005A0693"/>
    <w:rsid w:val="005A0C4F"/>
    <w:rsid w:val="005A1876"/>
    <w:rsid w:val="005A2C28"/>
    <w:rsid w:val="005A3267"/>
    <w:rsid w:val="005A38D6"/>
    <w:rsid w:val="005A65D4"/>
    <w:rsid w:val="005A690B"/>
    <w:rsid w:val="005B041A"/>
    <w:rsid w:val="005B0EAE"/>
    <w:rsid w:val="005B1314"/>
    <w:rsid w:val="005B1EA0"/>
    <w:rsid w:val="005B35AB"/>
    <w:rsid w:val="005B45F8"/>
    <w:rsid w:val="005B5D2A"/>
    <w:rsid w:val="005B5D32"/>
    <w:rsid w:val="005B6BCC"/>
    <w:rsid w:val="005B6E37"/>
    <w:rsid w:val="005C0D11"/>
    <w:rsid w:val="005C12D4"/>
    <w:rsid w:val="005C17E3"/>
    <w:rsid w:val="005C19BC"/>
    <w:rsid w:val="005C2D4B"/>
    <w:rsid w:val="005C3000"/>
    <w:rsid w:val="005C371E"/>
    <w:rsid w:val="005C489C"/>
    <w:rsid w:val="005C4DCD"/>
    <w:rsid w:val="005C4EFD"/>
    <w:rsid w:val="005C7344"/>
    <w:rsid w:val="005C76DD"/>
    <w:rsid w:val="005C77B1"/>
    <w:rsid w:val="005D377E"/>
    <w:rsid w:val="005D4A7A"/>
    <w:rsid w:val="005D4F0A"/>
    <w:rsid w:val="005D5814"/>
    <w:rsid w:val="005D68B2"/>
    <w:rsid w:val="005E048F"/>
    <w:rsid w:val="005E0E14"/>
    <w:rsid w:val="005E0F89"/>
    <w:rsid w:val="005E1BF0"/>
    <w:rsid w:val="005E5A64"/>
    <w:rsid w:val="005E5CF5"/>
    <w:rsid w:val="005E6576"/>
    <w:rsid w:val="005E6AC4"/>
    <w:rsid w:val="005E6B72"/>
    <w:rsid w:val="005E7127"/>
    <w:rsid w:val="005F18FE"/>
    <w:rsid w:val="005F3D9C"/>
    <w:rsid w:val="005F3FE3"/>
    <w:rsid w:val="005F46F0"/>
    <w:rsid w:val="005F4A50"/>
    <w:rsid w:val="005F6CED"/>
    <w:rsid w:val="005F6E76"/>
    <w:rsid w:val="005F738E"/>
    <w:rsid w:val="005F7965"/>
    <w:rsid w:val="005F7C24"/>
    <w:rsid w:val="00600108"/>
    <w:rsid w:val="00600372"/>
    <w:rsid w:val="00600C83"/>
    <w:rsid w:val="006055B4"/>
    <w:rsid w:val="00605CC0"/>
    <w:rsid w:val="006060C4"/>
    <w:rsid w:val="00606118"/>
    <w:rsid w:val="006068D9"/>
    <w:rsid w:val="006069DE"/>
    <w:rsid w:val="00607DAA"/>
    <w:rsid w:val="0061001D"/>
    <w:rsid w:val="006101F6"/>
    <w:rsid w:val="0061251F"/>
    <w:rsid w:val="006135AB"/>
    <w:rsid w:val="00613E37"/>
    <w:rsid w:val="00614500"/>
    <w:rsid w:val="006152C4"/>
    <w:rsid w:val="00616140"/>
    <w:rsid w:val="00616319"/>
    <w:rsid w:val="006170BA"/>
    <w:rsid w:val="00617B53"/>
    <w:rsid w:val="0062061D"/>
    <w:rsid w:val="00622316"/>
    <w:rsid w:val="00623B9C"/>
    <w:rsid w:val="00625781"/>
    <w:rsid w:val="00626C56"/>
    <w:rsid w:val="006325A4"/>
    <w:rsid w:val="00632F7C"/>
    <w:rsid w:val="006333E9"/>
    <w:rsid w:val="0063355B"/>
    <w:rsid w:val="00633861"/>
    <w:rsid w:val="006346DB"/>
    <w:rsid w:val="0063506B"/>
    <w:rsid w:val="00635B21"/>
    <w:rsid w:val="006406A6"/>
    <w:rsid w:val="00640806"/>
    <w:rsid w:val="006416AE"/>
    <w:rsid w:val="006433EF"/>
    <w:rsid w:val="00643CDE"/>
    <w:rsid w:val="00646E0A"/>
    <w:rsid w:val="00646FBF"/>
    <w:rsid w:val="006477B4"/>
    <w:rsid w:val="00650B25"/>
    <w:rsid w:val="006512DF"/>
    <w:rsid w:val="00651A08"/>
    <w:rsid w:val="006522D4"/>
    <w:rsid w:val="0065262D"/>
    <w:rsid w:val="00652C91"/>
    <w:rsid w:val="00653A91"/>
    <w:rsid w:val="006556A8"/>
    <w:rsid w:val="006604E2"/>
    <w:rsid w:val="00660E47"/>
    <w:rsid w:val="00661581"/>
    <w:rsid w:val="00662DCF"/>
    <w:rsid w:val="0066300C"/>
    <w:rsid w:val="00663CBC"/>
    <w:rsid w:val="006641C2"/>
    <w:rsid w:val="006645F2"/>
    <w:rsid w:val="00664F2E"/>
    <w:rsid w:val="00665167"/>
    <w:rsid w:val="00667BDC"/>
    <w:rsid w:val="006701F2"/>
    <w:rsid w:val="006728A4"/>
    <w:rsid w:val="00672B68"/>
    <w:rsid w:val="00673CB2"/>
    <w:rsid w:val="00674E0D"/>
    <w:rsid w:val="006756B5"/>
    <w:rsid w:val="00675C84"/>
    <w:rsid w:val="00675E77"/>
    <w:rsid w:val="006760D4"/>
    <w:rsid w:val="006769EC"/>
    <w:rsid w:val="00676B78"/>
    <w:rsid w:val="00677DC4"/>
    <w:rsid w:val="00680250"/>
    <w:rsid w:val="00680468"/>
    <w:rsid w:val="00680476"/>
    <w:rsid w:val="0068098A"/>
    <w:rsid w:val="006818C0"/>
    <w:rsid w:val="0068271B"/>
    <w:rsid w:val="00682F21"/>
    <w:rsid w:val="00682F9C"/>
    <w:rsid w:val="006838BA"/>
    <w:rsid w:val="00683965"/>
    <w:rsid w:val="00683D01"/>
    <w:rsid w:val="00684BAB"/>
    <w:rsid w:val="00685B08"/>
    <w:rsid w:val="00686EDC"/>
    <w:rsid w:val="006875EE"/>
    <w:rsid w:val="00687948"/>
    <w:rsid w:val="00690DD5"/>
    <w:rsid w:val="006917D9"/>
    <w:rsid w:val="00693F55"/>
    <w:rsid w:val="00693F70"/>
    <w:rsid w:val="00693FEC"/>
    <w:rsid w:val="006962A1"/>
    <w:rsid w:val="00696AC8"/>
    <w:rsid w:val="00696BA6"/>
    <w:rsid w:val="00697BEE"/>
    <w:rsid w:val="006A004D"/>
    <w:rsid w:val="006A0B6E"/>
    <w:rsid w:val="006A0BF0"/>
    <w:rsid w:val="006A0F9A"/>
    <w:rsid w:val="006A397E"/>
    <w:rsid w:val="006A4F43"/>
    <w:rsid w:val="006A5D37"/>
    <w:rsid w:val="006A5D40"/>
    <w:rsid w:val="006A66FA"/>
    <w:rsid w:val="006A6969"/>
    <w:rsid w:val="006A7882"/>
    <w:rsid w:val="006A7E57"/>
    <w:rsid w:val="006B07F0"/>
    <w:rsid w:val="006B31FE"/>
    <w:rsid w:val="006B3423"/>
    <w:rsid w:val="006B366D"/>
    <w:rsid w:val="006B49D5"/>
    <w:rsid w:val="006B5DF1"/>
    <w:rsid w:val="006B6A54"/>
    <w:rsid w:val="006B6D9C"/>
    <w:rsid w:val="006B7E9F"/>
    <w:rsid w:val="006C152B"/>
    <w:rsid w:val="006C1DFA"/>
    <w:rsid w:val="006C561D"/>
    <w:rsid w:val="006C5C55"/>
    <w:rsid w:val="006C6C08"/>
    <w:rsid w:val="006C6FAE"/>
    <w:rsid w:val="006C71C1"/>
    <w:rsid w:val="006C787C"/>
    <w:rsid w:val="006D0E77"/>
    <w:rsid w:val="006D15EB"/>
    <w:rsid w:val="006D27FC"/>
    <w:rsid w:val="006D2969"/>
    <w:rsid w:val="006D5CA4"/>
    <w:rsid w:val="006D6315"/>
    <w:rsid w:val="006D660E"/>
    <w:rsid w:val="006D6ED3"/>
    <w:rsid w:val="006D7258"/>
    <w:rsid w:val="006D7C9E"/>
    <w:rsid w:val="006E0197"/>
    <w:rsid w:val="006E03EA"/>
    <w:rsid w:val="006E0764"/>
    <w:rsid w:val="006E0D10"/>
    <w:rsid w:val="006E1435"/>
    <w:rsid w:val="006E45EB"/>
    <w:rsid w:val="006E5548"/>
    <w:rsid w:val="006E7433"/>
    <w:rsid w:val="006F1826"/>
    <w:rsid w:val="006F2460"/>
    <w:rsid w:val="006F28D3"/>
    <w:rsid w:val="006F6DCC"/>
    <w:rsid w:val="0070192A"/>
    <w:rsid w:val="00702B5C"/>
    <w:rsid w:val="007048DD"/>
    <w:rsid w:val="00705E3A"/>
    <w:rsid w:val="00706951"/>
    <w:rsid w:val="007070EB"/>
    <w:rsid w:val="0070795F"/>
    <w:rsid w:val="00707E7A"/>
    <w:rsid w:val="00710ABC"/>
    <w:rsid w:val="007121F2"/>
    <w:rsid w:val="00712B14"/>
    <w:rsid w:val="00712D29"/>
    <w:rsid w:val="00713B3B"/>
    <w:rsid w:val="00713F9D"/>
    <w:rsid w:val="00715FE0"/>
    <w:rsid w:val="00716C73"/>
    <w:rsid w:val="00717262"/>
    <w:rsid w:val="00720284"/>
    <w:rsid w:val="00720722"/>
    <w:rsid w:val="00720ECF"/>
    <w:rsid w:val="00722609"/>
    <w:rsid w:val="00722FE3"/>
    <w:rsid w:val="007249B1"/>
    <w:rsid w:val="00724A37"/>
    <w:rsid w:val="00724B96"/>
    <w:rsid w:val="007256DA"/>
    <w:rsid w:val="007263A4"/>
    <w:rsid w:val="007265BC"/>
    <w:rsid w:val="0073004B"/>
    <w:rsid w:val="0073018C"/>
    <w:rsid w:val="00730CF8"/>
    <w:rsid w:val="0073342A"/>
    <w:rsid w:val="007349AB"/>
    <w:rsid w:val="0073511B"/>
    <w:rsid w:val="007360B8"/>
    <w:rsid w:val="00736852"/>
    <w:rsid w:val="00736A72"/>
    <w:rsid w:val="00737AD3"/>
    <w:rsid w:val="00737C40"/>
    <w:rsid w:val="00740E93"/>
    <w:rsid w:val="00741C38"/>
    <w:rsid w:val="00741ED0"/>
    <w:rsid w:val="00741F5F"/>
    <w:rsid w:val="007420FA"/>
    <w:rsid w:val="0074243E"/>
    <w:rsid w:val="0074269E"/>
    <w:rsid w:val="00743483"/>
    <w:rsid w:val="00743606"/>
    <w:rsid w:val="00744350"/>
    <w:rsid w:val="0074456F"/>
    <w:rsid w:val="007445A0"/>
    <w:rsid w:val="007448CC"/>
    <w:rsid w:val="00745BC6"/>
    <w:rsid w:val="00746A02"/>
    <w:rsid w:val="00747A32"/>
    <w:rsid w:val="0075063A"/>
    <w:rsid w:val="00753761"/>
    <w:rsid w:val="00753D1F"/>
    <w:rsid w:val="00754189"/>
    <w:rsid w:val="00754A76"/>
    <w:rsid w:val="00754C65"/>
    <w:rsid w:val="00754E3C"/>
    <w:rsid w:val="00756449"/>
    <w:rsid w:val="00756DDD"/>
    <w:rsid w:val="00757493"/>
    <w:rsid w:val="00757EE4"/>
    <w:rsid w:val="00760E24"/>
    <w:rsid w:val="007619CD"/>
    <w:rsid w:val="0076241E"/>
    <w:rsid w:val="007641DD"/>
    <w:rsid w:val="00764F4B"/>
    <w:rsid w:val="0076503B"/>
    <w:rsid w:val="00765491"/>
    <w:rsid w:val="00765FF0"/>
    <w:rsid w:val="007660BB"/>
    <w:rsid w:val="0076735F"/>
    <w:rsid w:val="00767832"/>
    <w:rsid w:val="00767896"/>
    <w:rsid w:val="0077137C"/>
    <w:rsid w:val="00771A08"/>
    <w:rsid w:val="00771CD0"/>
    <w:rsid w:val="00772546"/>
    <w:rsid w:val="007732B1"/>
    <w:rsid w:val="00773726"/>
    <w:rsid w:val="00774F83"/>
    <w:rsid w:val="00776E8A"/>
    <w:rsid w:val="0077787A"/>
    <w:rsid w:val="00777978"/>
    <w:rsid w:val="007807B6"/>
    <w:rsid w:val="007808A6"/>
    <w:rsid w:val="00781174"/>
    <w:rsid w:val="007815A9"/>
    <w:rsid w:val="007819EE"/>
    <w:rsid w:val="00784011"/>
    <w:rsid w:val="00784B31"/>
    <w:rsid w:val="0078562C"/>
    <w:rsid w:val="007868A9"/>
    <w:rsid w:val="00787215"/>
    <w:rsid w:val="007872E5"/>
    <w:rsid w:val="0079008B"/>
    <w:rsid w:val="007903D1"/>
    <w:rsid w:val="0079066B"/>
    <w:rsid w:val="00791134"/>
    <w:rsid w:val="0079162F"/>
    <w:rsid w:val="00791826"/>
    <w:rsid w:val="00794C6E"/>
    <w:rsid w:val="007957A0"/>
    <w:rsid w:val="00795AD0"/>
    <w:rsid w:val="00796817"/>
    <w:rsid w:val="00797895"/>
    <w:rsid w:val="007A0654"/>
    <w:rsid w:val="007A0DBF"/>
    <w:rsid w:val="007A1315"/>
    <w:rsid w:val="007A1D58"/>
    <w:rsid w:val="007A264E"/>
    <w:rsid w:val="007A30E8"/>
    <w:rsid w:val="007A3A6B"/>
    <w:rsid w:val="007A3C7A"/>
    <w:rsid w:val="007A3CC9"/>
    <w:rsid w:val="007A437F"/>
    <w:rsid w:val="007A51FC"/>
    <w:rsid w:val="007A57F0"/>
    <w:rsid w:val="007A6899"/>
    <w:rsid w:val="007A7D76"/>
    <w:rsid w:val="007B0368"/>
    <w:rsid w:val="007B05D3"/>
    <w:rsid w:val="007B087A"/>
    <w:rsid w:val="007B0F52"/>
    <w:rsid w:val="007B3C09"/>
    <w:rsid w:val="007B3E45"/>
    <w:rsid w:val="007B4820"/>
    <w:rsid w:val="007B4D42"/>
    <w:rsid w:val="007B51D7"/>
    <w:rsid w:val="007B53CF"/>
    <w:rsid w:val="007B581A"/>
    <w:rsid w:val="007B6A32"/>
    <w:rsid w:val="007B6EF7"/>
    <w:rsid w:val="007B6F4C"/>
    <w:rsid w:val="007C028C"/>
    <w:rsid w:val="007C1311"/>
    <w:rsid w:val="007C16D6"/>
    <w:rsid w:val="007C1CC6"/>
    <w:rsid w:val="007C2310"/>
    <w:rsid w:val="007C2CD3"/>
    <w:rsid w:val="007C2D07"/>
    <w:rsid w:val="007C3461"/>
    <w:rsid w:val="007C4609"/>
    <w:rsid w:val="007C5D3D"/>
    <w:rsid w:val="007C6024"/>
    <w:rsid w:val="007C6357"/>
    <w:rsid w:val="007C7A33"/>
    <w:rsid w:val="007D14C2"/>
    <w:rsid w:val="007D1985"/>
    <w:rsid w:val="007D2180"/>
    <w:rsid w:val="007D218C"/>
    <w:rsid w:val="007D34F5"/>
    <w:rsid w:val="007D3EAF"/>
    <w:rsid w:val="007D5559"/>
    <w:rsid w:val="007D55AF"/>
    <w:rsid w:val="007D61C1"/>
    <w:rsid w:val="007D7183"/>
    <w:rsid w:val="007E038D"/>
    <w:rsid w:val="007E0651"/>
    <w:rsid w:val="007E0829"/>
    <w:rsid w:val="007E29B9"/>
    <w:rsid w:val="007E3E1D"/>
    <w:rsid w:val="007E4208"/>
    <w:rsid w:val="007E4909"/>
    <w:rsid w:val="007E5786"/>
    <w:rsid w:val="007E7714"/>
    <w:rsid w:val="007E7C95"/>
    <w:rsid w:val="007F0049"/>
    <w:rsid w:val="007F0556"/>
    <w:rsid w:val="007F0705"/>
    <w:rsid w:val="007F0849"/>
    <w:rsid w:val="007F0CF0"/>
    <w:rsid w:val="007F0E94"/>
    <w:rsid w:val="007F3320"/>
    <w:rsid w:val="007F339F"/>
    <w:rsid w:val="007F380D"/>
    <w:rsid w:val="007F389B"/>
    <w:rsid w:val="007F3DFE"/>
    <w:rsid w:val="007F3E63"/>
    <w:rsid w:val="007F54EF"/>
    <w:rsid w:val="007F6775"/>
    <w:rsid w:val="007F67A6"/>
    <w:rsid w:val="008019B2"/>
    <w:rsid w:val="00801C89"/>
    <w:rsid w:val="008021AA"/>
    <w:rsid w:val="00802365"/>
    <w:rsid w:val="00803406"/>
    <w:rsid w:val="008050A3"/>
    <w:rsid w:val="008050E2"/>
    <w:rsid w:val="00805225"/>
    <w:rsid w:val="00805480"/>
    <w:rsid w:val="0080549E"/>
    <w:rsid w:val="00805B6F"/>
    <w:rsid w:val="00805F1D"/>
    <w:rsid w:val="00805FFC"/>
    <w:rsid w:val="0080777B"/>
    <w:rsid w:val="00810797"/>
    <w:rsid w:val="00810A43"/>
    <w:rsid w:val="00810C3D"/>
    <w:rsid w:val="0081171D"/>
    <w:rsid w:val="008126B4"/>
    <w:rsid w:val="00812ACA"/>
    <w:rsid w:val="008130AF"/>
    <w:rsid w:val="008155C6"/>
    <w:rsid w:val="0081581A"/>
    <w:rsid w:val="00815A04"/>
    <w:rsid w:val="00815A33"/>
    <w:rsid w:val="0081710F"/>
    <w:rsid w:val="0081764C"/>
    <w:rsid w:val="008179EC"/>
    <w:rsid w:val="00817FE2"/>
    <w:rsid w:val="0082039D"/>
    <w:rsid w:val="0082108D"/>
    <w:rsid w:val="00822CE5"/>
    <w:rsid w:val="00823BBD"/>
    <w:rsid w:val="00823E67"/>
    <w:rsid w:val="008257A8"/>
    <w:rsid w:val="008261B8"/>
    <w:rsid w:val="008264DD"/>
    <w:rsid w:val="008269E8"/>
    <w:rsid w:val="00826A82"/>
    <w:rsid w:val="00826A8F"/>
    <w:rsid w:val="00826B5E"/>
    <w:rsid w:val="008272CF"/>
    <w:rsid w:val="00827AAF"/>
    <w:rsid w:val="00827D83"/>
    <w:rsid w:val="00830534"/>
    <w:rsid w:val="008316FE"/>
    <w:rsid w:val="008323BB"/>
    <w:rsid w:val="00834197"/>
    <w:rsid w:val="00834DC2"/>
    <w:rsid w:val="008351C6"/>
    <w:rsid w:val="008352BF"/>
    <w:rsid w:val="008362F8"/>
    <w:rsid w:val="00836AAD"/>
    <w:rsid w:val="00840122"/>
    <w:rsid w:val="00840B7D"/>
    <w:rsid w:val="00841049"/>
    <w:rsid w:val="00842075"/>
    <w:rsid w:val="0084232B"/>
    <w:rsid w:val="008458C0"/>
    <w:rsid w:val="008468FA"/>
    <w:rsid w:val="00846BE0"/>
    <w:rsid w:val="00847462"/>
    <w:rsid w:val="00851139"/>
    <w:rsid w:val="008511F4"/>
    <w:rsid w:val="0085272C"/>
    <w:rsid w:val="00854483"/>
    <w:rsid w:val="00855E8E"/>
    <w:rsid w:val="0085664C"/>
    <w:rsid w:val="00857D2B"/>
    <w:rsid w:val="008617E4"/>
    <w:rsid w:val="0086399C"/>
    <w:rsid w:val="00864148"/>
    <w:rsid w:val="00864C88"/>
    <w:rsid w:val="00864E0D"/>
    <w:rsid w:val="00865B4E"/>
    <w:rsid w:val="00866D6D"/>
    <w:rsid w:val="008676F1"/>
    <w:rsid w:val="00870EBB"/>
    <w:rsid w:val="008739E4"/>
    <w:rsid w:val="008739F8"/>
    <w:rsid w:val="00874CC1"/>
    <w:rsid w:val="00875EE4"/>
    <w:rsid w:val="00876124"/>
    <w:rsid w:val="0087714C"/>
    <w:rsid w:val="00877CA0"/>
    <w:rsid w:val="0088097A"/>
    <w:rsid w:val="00881096"/>
    <w:rsid w:val="0088224C"/>
    <w:rsid w:val="008822C7"/>
    <w:rsid w:val="0088264B"/>
    <w:rsid w:val="00882A2F"/>
    <w:rsid w:val="00883A8A"/>
    <w:rsid w:val="00883EE0"/>
    <w:rsid w:val="00883F0C"/>
    <w:rsid w:val="008861B5"/>
    <w:rsid w:val="00887686"/>
    <w:rsid w:val="008877E5"/>
    <w:rsid w:val="0088796B"/>
    <w:rsid w:val="00891AEF"/>
    <w:rsid w:val="0089221E"/>
    <w:rsid w:val="00893445"/>
    <w:rsid w:val="00893B38"/>
    <w:rsid w:val="008940E7"/>
    <w:rsid w:val="00894600"/>
    <w:rsid w:val="00894B40"/>
    <w:rsid w:val="00895270"/>
    <w:rsid w:val="0089587E"/>
    <w:rsid w:val="00896006"/>
    <w:rsid w:val="0089664D"/>
    <w:rsid w:val="00896B0E"/>
    <w:rsid w:val="00896B6A"/>
    <w:rsid w:val="00896DC0"/>
    <w:rsid w:val="00897DB1"/>
    <w:rsid w:val="008A2985"/>
    <w:rsid w:val="008A4355"/>
    <w:rsid w:val="008A721C"/>
    <w:rsid w:val="008B030A"/>
    <w:rsid w:val="008B0C25"/>
    <w:rsid w:val="008B150C"/>
    <w:rsid w:val="008B2319"/>
    <w:rsid w:val="008B268D"/>
    <w:rsid w:val="008B4E49"/>
    <w:rsid w:val="008B5573"/>
    <w:rsid w:val="008B6973"/>
    <w:rsid w:val="008B6981"/>
    <w:rsid w:val="008B7B51"/>
    <w:rsid w:val="008C0289"/>
    <w:rsid w:val="008C0C8B"/>
    <w:rsid w:val="008C0DBC"/>
    <w:rsid w:val="008C1F49"/>
    <w:rsid w:val="008C3EAF"/>
    <w:rsid w:val="008C3F43"/>
    <w:rsid w:val="008C4687"/>
    <w:rsid w:val="008C4D8F"/>
    <w:rsid w:val="008C52AB"/>
    <w:rsid w:val="008C5303"/>
    <w:rsid w:val="008C66FD"/>
    <w:rsid w:val="008C6E42"/>
    <w:rsid w:val="008C7FDE"/>
    <w:rsid w:val="008D05D4"/>
    <w:rsid w:val="008D092A"/>
    <w:rsid w:val="008D13CD"/>
    <w:rsid w:val="008D2AE4"/>
    <w:rsid w:val="008D2C2D"/>
    <w:rsid w:val="008D440A"/>
    <w:rsid w:val="008D455A"/>
    <w:rsid w:val="008D4567"/>
    <w:rsid w:val="008D4D09"/>
    <w:rsid w:val="008D529D"/>
    <w:rsid w:val="008D58AF"/>
    <w:rsid w:val="008D7AD5"/>
    <w:rsid w:val="008D7C61"/>
    <w:rsid w:val="008E14CF"/>
    <w:rsid w:val="008E1D91"/>
    <w:rsid w:val="008E29BE"/>
    <w:rsid w:val="008E413F"/>
    <w:rsid w:val="008E48C3"/>
    <w:rsid w:val="008E4DB6"/>
    <w:rsid w:val="008E4E6A"/>
    <w:rsid w:val="008E5B3E"/>
    <w:rsid w:val="008E5BB7"/>
    <w:rsid w:val="008E5E1A"/>
    <w:rsid w:val="008F0365"/>
    <w:rsid w:val="008F14F1"/>
    <w:rsid w:val="008F15C2"/>
    <w:rsid w:val="008F1F6B"/>
    <w:rsid w:val="008F2254"/>
    <w:rsid w:val="008F3005"/>
    <w:rsid w:val="008F40F8"/>
    <w:rsid w:val="008F4176"/>
    <w:rsid w:val="009006D0"/>
    <w:rsid w:val="0090167D"/>
    <w:rsid w:val="00902475"/>
    <w:rsid w:val="009047C6"/>
    <w:rsid w:val="00904869"/>
    <w:rsid w:val="00904A5B"/>
    <w:rsid w:val="00907130"/>
    <w:rsid w:val="00907F3E"/>
    <w:rsid w:val="00907F4C"/>
    <w:rsid w:val="00910536"/>
    <w:rsid w:val="009113EF"/>
    <w:rsid w:val="009124E5"/>
    <w:rsid w:val="00913697"/>
    <w:rsid w:val="0091401F"/>
    <w:rsid w:val="00915DE8"/>
    <w:rsid w:val="00916C10"/>
    <w:rsid w:val="00916E6D"/>
    <w:rsid w:val="00917790"/>
    <w:rsid w:val="00921F25"/>
    <w:rsid w:val="00922154"/>
    <w:rsid w:val="00923E87"/>
    <w:rsid w:val="009248FB"/>
    <w:rsid w:val="00925541"/>
    <w:rsid w:val="00925A9C"/>
    <w:rsid w:val="0092600E"/>
    <w:rsid w:val="0092736A"/>
    <w:rsid w:val="00931109"/>
    <w:rsid w:val="00931139"/>
    <w:rsid w:val="00931223"/>
    <w:rsid w:val="00932555"/>
    <w:rsid w:val="0093268E"/>
    <w:rsid w:val="00932EAE"/>
    <w:rsid w:val="009332C9"/>
    <w:rsid w:val="00933892"/>
    <w:rsid w:val="00933A3E"/>
    <w:rsid w:val="00934338"/>
    <w:rsid w:val="009349AC"/>
    <w:rsid w:val="00934E09"/>
    <w:rsid w:val="0093675F"/>
    <w:rsid w:val="00940468"/>
    <w:rsid w:val="00941680"/>
    <w:rsid w:val="009421CC"/>
    <w:rsid w:val="00943B41"/>
    <w:rsid w:val="009450E2"/>
    <w:rsid w:val="009453BA"/>
    <w:rsid w:val="00945F8D"/>
    <w:rsid w:val="009462B7"/>
    <w:rsid w:val="009463F4"/>
    <w:rsid w:val="0094744D"/>
    <w:rsid w:val="009474A6"/>
    <w:rsid w:val="00947C6F"/>
    <w:rsid w:val="00947DC2"/>
    <w:rsid w:val="009503BD"/>
    <w:rsid w:val="00950573"/>
    <w:rsid w:val="00950825"/>
    <w:rsid w:val="00950856"/>
    <w:rsid w:val="009514C4"/>
    <w:rsid w:val="0095153E"/>
    <w:rsid w:val="0095257E"/>
    <w:rsid w:val="00952A83"/>
    <w:rsid w:val="00953DCB"/>
    <w:rsid w:val="009542C4"/>
    <w:rsid w:val="00954ED8"/>
    <w:rsid w:val="0096052D"/>
    <w:rsid w:val="0096056C"/>
    <w:rsid w:val="00962049"/>
    <w:rsid w:val="0096243F"/>
    <w:rsid w:val="0096271D"/>
    <w:rsid w:val="00962FBF"/>
    <w:rsid w:val="00964831"/>
    <w:rsid w:val="00964D9E"/>
    <w:rsid w:val="0096531D"/>
    <w:rsid w:val="00965831"/>
    <w:rsid w:val="00966618"/>
    <w:rsid w:val="00967C30"/>
    <w:rsid w:val="009700A2"/>
    <w:rsid w:val="0097190D"/>
    <w:rsid w:val="00972686"/>
    <w:rsid w:val="009736CB"/>
    <w:rsid w:val="00975155"/>
    <w:rsid w:val="00975557"/>
    <w:rsid w:val="009757AD"/>
    <w:rsid w:val="00976974"/>
    <w:rsid w:val="0097780F"/>
    <w:rsid w:val="009800DE"/>
    <w:rsid w:val="009806FB"/>
    <w:rsid w:val="00981B56"/>
    <w:rsid w:val="0098271C"/>
    <w:rsid w:val="009828FD"/>
    <w:rsid w:val="0098300E"/>
    <w:rsid w:val="0098474E"/>
    <w:rsid w:val="00987F82"/>
    <w:rsid w:val="009901D6"/>
    <w:rsid w:val="0099024A"/>
    <w:rsid w:val="00990D59"/>
    <w:rsid w:val="00991AA5"/>
    <w:rsid w:val="009922BE"/>
    <w:rsid w:val="009924A5"/>
    <w:rsid w:val="00992E4B"/>
    <w:rsid w:val="00993B8B"/>
    <w:rsid w:val="0099401A"/>
    <w:rsid w:val="009945D2"/>
    <w:rsid w:val="00995976"/>
    <w:rsid w:val="009969BD"/>
    <w:rsid w:val="00996D81"/>
    <w:rsid w:val="009970DD"/>
    <w:rsid w:val="00997232"/>
    <w:rsid w:val="00997241"/>
    <w:rsid w:val="00997AB2"/>
    <w:rsid w:val="009A0320"/>
    <w:rsid w:val="009A10CC"/>
    <w:rsid w:val="009A153B"/>
    <w:rsid w:val="009A18E3"/>
    <w:rsid w:val="009A3000"/>
    <w:rsid w:val="009A3B2F"/>
    <w:rsid w:val="009A46A0"/>
    <w:rsid w:val="009A5231"/>
    <w:rsid w:val="009A6AEA"/>
    <w:rsid w:val="009A7EF8"/>
    <w:rsid w:val="009B2620"/>
    <w:rsid w:val="009B3FE7"/>
    <w:rsid w:val="009B4D20"/>
    <w:rsid w:val="009B5D99"/>
    <w:rsid w:val="009B6314"/>
    <w:rsid w:val="009B6770"/>
    <w:rsid w:val="009B6C11"/>
    <w:rsid w:val="009B75A5"/>
    <w:rsid w:val="009B7CF3"/>
    <w:rsid w:val="009C0DB1"/>
    <w:rsid w:val="009C1181"/>
    <w:rsid w:val="009C27C8"/>
    <w:rsid w:val="009C31EB"/>
    <w:rsid w:val="009C3786"/>
    <w:rsid w:val="009C58E8"/>
    <w:rsid w:val="009C60A7"/>
    <w:rsid w:val="009C6872"/>
    <w:rsid w:val="009C6FDC"/>
    <w:rsid w:val="009C7D61"/>
    <w:rsid w:val="009D3242"/>
    <w:rsid w:val="009D367C"/>
    <w:rsid w:val="009D373F"/>
    <w:rsid w:val="009D58D5"/>
    <w:rsid w:val="009D617B"/>
    <w:rsid w:val="009D6433"/>
    <w:rsid w:val="009D6A8A"/>
    <w:rsid w:val="009D6DDC"/>
    <w:rsid w:val="009D7142"/>
    <w:rsid w:val="009E020E"/>
    <w:rsid w:val="009E04E9"/>
    <w:rsid w:val="009E1259"/>
    <w:rsid w:val="009E1614"/>
    <w:rsid w:val="009E17E1"/>
    <w:rsid w:val="009E24C1"/>
    <w:rsid w:val="009E45CB"/>
    <w:rsid w:val="009E54E2"/>
    <w:rsid w:val="009E709C"/>
    <w:rsid w:val="009E73EB"/>
    <w:rsid w:val="009E7AF4"/>
    <w:rsid w:val="009E7BBE"/>
    <w:rsid w:val="009F126C"/>
    <w:rsid w:val="009F139D"/>
    <w:rsid w:val="009F4F18"/>
    <w:rsid w:val="009F5A65"/>
    <w:rsid w:val="00A01DE8"/>
    <w:rsid w:val="00A02135"/>
    <w:rsid w:val="00A023EC"/>
    <w:rsid w:val="00A027A0"/>
    <w:rsid w:val="00A02892"/>
    <w:rsid w:val="00A0321C"/>
    <w:rsid w:val="00A03F9D"/>
    <w:rsid w:val="00A046AA"/>
    <w:rsid w:val="00A0593A"/>
    <w:rsid w:val="00A063C5"/>
    <w:rsid w:val="00A06E67"/>
    <w:rsid w:val="00A108DF"/>
    <w:rsid w:val="00A12F67"/>
    <w:rsid w:val="00A134B0"/>
    <w:rsid w:val="00A14B50"/>
    <w:rsid w:val="00A14CA8"/>
    <w:rsid w:val="00A156F0"/>
    <w:rsid w:val="00A15A1A"/>
    <w:rsid w:val="00A15F0F"/>
    <w:rsid w:val="00A160C6"/>
    <w:rsid w:val="00A16371"/>
    <w:rsid w:val="00A175E2"/>
    <w:rsid w:val="00A1774E"/>
    <w:rsid w:val="00A2043B"/>
    <w:rsid w:val="00A21884"/>
    <w:rsid w:val="00A21CC3"/>
    <w:rsid w:val="00A225BE"/>
    <w:rsid w:val="00A2354C"/>
    <w:rsid w:val="00A247D9"/>
    <w:rsid w:val="00A2500C"/>
    <w:rsid w:val="00A2513B"/>
    <w:rsid w:val="00A27A1B"/>
    <w:rsid w:val="00A27B71"/>
    <w:rsid w:val="00A27C4C"/>
    <w:rsid w:val="00A30938"/>
    <w:rsid w:val="00A332E5"/>
    <w:rsid w:val="00A332EB"/>
    <w:rsid w:val="00A3778B"/>
    <w:rsid w:val="00A377ED"/>
    <w:rsid w:val="00A37FC3"/>
    <w:rsid w:val="00A40E26"/>
    <w:rsid w:val="00A4103C"/>
    <w:rsid w:val="00A42875"/>
    <w:rsid w:val="00A42BF3"/>
    <w:rsid w:val="00A42D61"/>
    <w:rsid w:val="00A43C0C"/>
    <w:rsid w:val="00A44BFF"/>
    <w:rsid w:val="00A455D0"/>
    <w:rsid w:val="00A45DDC"/>
    <w:rsid w:val="00A4660F"/>
    <w:rsid w:val="00A50ACF"/>
    <w:rsid w:val="00A51279"/>
    <w:rsid w:val="00A51C05"/>
    <w:rsid w:val="00A5249C"/>
    <w:rsid w:val="00A5311B"/>
    <w:rsid w:val="00A54385"/>
    <w:rsid w:val="00A54B74"/>
    <w:rsid w:val="00A55480"/>
    <w:rsid w:val="00A56E19"/>
    <w:rsid w:val="00A578C5"/>
    <w:rsid w:val="00A609BA"/>
    <w:rsid w:val="00A60FB4"/>
    <w:rsid w:val="00A611FD"/>
    <w:rsid w:val="00A61F6B"/>
    <w:rsid w:val="00A634D7"/>
    <w:rsid w:val="00A64AAD"/>
    <w:rsid w:val="00A64F2A"/>
    <w:rsid w:val="00A671BD"/>
    <w:rsid w:val="00A67F43"/>
    <w:rsid w:val="00A700F7"/>
    <w:rsid w:val="00A7277F"/>
    <w:rsid w:val="00A738EB"/>
    <w:rsid w:val="00A73BA6"/>
    <w:rsid w:val="00A73E34"/>
    <w:rsid w:val="00A740DC"/>
    <w:rsid w:val="00A74122"/>
    <w:rsid w:val="00A742A3"/>
    <w:rsid w:val="00A744F4"/>
    <w:rsid w:val="00A74F27"/>
    <w:rsid w:val="00A750B2"/>
    <w:rsid w:val="00A75F19"/>
    <w:rsid w:val="00A7635E"/>
    <w:rsid w:val="00A76B2A"/>
    <w:rsid w:val="00A76D0A"/>
    <w:rsid w:val="00A81CE3"/>
    <w:rsid w:val="00A83485"/>
    <w:rsid w:val="00A83C72"/>
    <w:rsid w:val="00A83F3F"/>
    <w:rsid w:val="00A862BF"/>
    <w:rsid w:val="00A8643B"/>
    <w:rsid w:val="00A865FF"/>
    <w:rsid w:val="00A86753"/>
    <w:rsid w:val="00A878FD"/>
    <w:rsid w:val="00A87BEF"/>
    <w:rsid w:val="00A90890"/>
    <w:rsid w:val="00A92818"/>
    <w:rsid w:val="00A94102"/>
    <w:rsid w:val="00A946A0"/>
    <w:rsid w:val="00A95695"/>
    <w:rsid w:val="00AA238A"/>
    <w:rsid w:val="00AA3C1A"/>
    <w:rsid w:val="00AA4B72"/>
    <w:rsid w:val="00AA5A76"/>
    <w:rsid w:val="00AA5DF4"/>
    <w:rsid w:val="00AA6113"/>
    <w:rsid w:val="00AA61A9"/>
    <w:rsid w:val="00AA718A"/>
    <w:rsid w:val="00AA7927"/>
    <w:rsid w:val="00AA7C86"/>
    <w:rsid w:val="00AA7D14"/>
    <w:rsid w:val="00AB1B2B"/>
    <w:rsid w:val="00AB1D40"/>
    <w:rsid w:val="00AB35A5"/>
    <w:rsid w:val="00AB4587"/>
    <w:rsid w:val="00AB4AA2"/>
    <w:rsid w:val="00AB4F49"/>
    <w:rsid w:val="00AB6DE9"/>
    <w:rsid w:val="00AB7926"/>
    <w:rsid w:val="00AB7AE7"/>
    <w:rsid w:val="00AC0686"/>
    <w:rsid w:val="00AC105C"/>
    <w:rsid w:val="00AC17EE"/>
    <w:rsid w:val="00AC3855"/>
    <w:rsid w:val="00AC5BE9"/>
    <w:rsid w:val="00AC6B0E"/>
    <w:rsid w:val="00AC7BC4"/>
    <w:rsid w:val="00AD0911"/>
    <w:rsid w:val="00AD0E3F"/>
    <w:rsid w:val="00AD1C9F"/>
    <w:rsid w:val="00AD22F5"/>
    <w:rsid w:val="00AD2827"/>
    <w:rsid w:val="00AD297C"/>
    <w:rsid w:val="00AD2B4C"/>
    <w:rsid w:val="00AD2F26"/>
    <w:rsid w:val="00AD3A80"/>
    <w:rsid w:val="00AD3C2B"/>
    <w:rsid w:val="00AD52AC"/>
    <w:rsid w:val="00AD60AB"/>
    <w:rsid w:val="00AD65E4"/>
    <w:rsid w:val="00AD7383"/>
    <w:rsid w:val="00AD76AC"/>
    <w:rsid w:val="00AD7BD9"/>
    <w:rsid w:val="00AE06FC"/>
    <w:rsid w:val="00AE1061"/>
    <w:rsid w:val="00AE19E8"/>
    <w:rsid w:val="00AE21B6"/>
    <w:rsid w:val="00AE2CE1"/>
    <w:rsid w:val="00AE5251"/>
    <w:rsid w:val="00AE6653"/>
    <w:rsid w:val="00AE6800"/>
    <w:rsid w:val="00AF1D3A"/>
    <w:rsid w:val="00AF1EA3"/>
    <w:rsid w:val="00AF240A"/>
    <w:rsid w:val="00AF30F5"/>
    <w:rsid w:val="00AF439E"/>
    <w:rsid w:val="00AF5421"/>
    <w:rsid w:val="00AF5A10"/>
    <w:rsid w:val="00AF6570"/>
    <w:rsid w:val="00AF709E"/>
    <w:rsid w:val="00AF74B9"/>
    <w:rsid w:val="00AF7B62"/>
    <w:rsid w:val="00AF7C09"/>
    <w:rsid w:val="00B006C1"/>
    <w:rsid w:val="00B007FE"/>
    <w:rsid w:val="00B009E4"/>
    <w:rsid w:val="00B00F64"/>
    <w:rsid w:val="00B01035"/>
    <w:rsid w:val="00B01F73"/>
    <w:rsid w:val="00B02745"/>
    <w:rsid w:val="00B02801"/>
    <w:rsid w:val="00B02A7F"/>
    <w:rsid w:val="00B03355"/>
    <w:rsid w:val="00B03431"/>
    <w:rsid w:val="00B03B07"/>
    <w:rsid w:val="00B04125"/>
    <w:rsid w:val="00B04567"/>
    <w:rsid w:val="00B046F8"/>
    <w:rsid w:val="00B04BFF"/>
    <w:rsid w:val="00B057CB"/>
    <w:rsid w:val="00B06704"/>
    <w:rsid w:val="00B069DC"/>
    <w:rsid w:val="00B07275"/>
    <w:rsid w:val="00B0730C"/>
    <w:rsid w:val="00B11439"/>
    <w:rsid w:val="00B12AD8"/>
    <w:rsid w:val="00B144AC"/>
    <w:rsid w:val="00B1498A"/>
    <w:rsid w:val="00B17704"/>
    <w:rsid w:val="00B21E79"/>
    <w:rsid w:val="00B225A3"/>
    <w:rsid w:val="00B225A4"/>
    <w:rsid w:val="00B2264E"/>
    <w:rsid w:val="00B22734"/>
    <w:rsid w:val="00B22CAD"/>
    <w:rsid w:val="00B23368"/>
    <w:rsid w:val="00B23442"/>
    <w:rsid w:val="00B23726"/>
    <w:rsid w:val="00B23975"/>
    <w:rsid w:val="00B245C5"/>
    <w:rsid w:val="00B24C9F"/>
    <w:rsid w:val="00B24CB7"/>
    <w:rsid w:val="00B256B5"/>
    <w:rsid w:val="00B264C5"/>
    <w:rsid w:val="00B27105"/>
    <w:rsid w:val="00B27A3F"/>
    <w:rsid w:val="00B32A7C"/>
    <w:rsid w:val="00B33526"/>
    <w:rsid w:val="00B35164"/>
    <w:rsid w:val="00B358F2"/>
    <w:rsid w:val="00B360D9"/>
    <w:rsid w:val="00B3667E"/>
    <w:rsid w:val="00B37053"/>
    <w:rsid w:val="00B403AD"/>
    <w:rsid w:val="00B406CB"/>
    <w:rsid w:val="00B4079B"/>
    <w:rsid w:val="00B419BF"/>
    <w:rsid w:val="00B420AB"/>
    <w:rsid w:val="00B438B0"/>
    <w:rsid w:val="00B43B3C"/>
    <w:rsid w:val="00B43D19"/>
    <w:rsid w:val="00B43E32"/>
    <w:rsid w:val="00B451DA"/>
    <w:rsid w:val="00B4581D"/>
    <w:rsid w:val="00B4639E"/>
    <w:rsid w:val="00B46EE5"/>
    <w:rsid w:val="00B502DA"/>
    <w:rsid w:val="00B50337"/>
    <w:rsid w:val="00B518C9"/>
    <w:rsid w:val="00B51C8E"/>
    <w:rsid w:val="00B525BC"/>
    <w:rsid w:val="00B52CF0"/>
    <w:rsid w:val="00B538B4"/>
    <w:rsid w:val="00B53BB6"/>
    <w:rsid w:val="00B545D0"/>
    <w:rsid w:val="00B5470F"/>
    <w:rsid w:val="00B55CCE"/>
    <w:rsid w:val="00B565D9"/>
    <w:rsid w:val="00B56C8D"/>
    <w:rsid w:val="00B5745D"/>
    <w:rsid w:val="00B575EB"/>
    <w:rsid w:val="00B57A4F"/>
    <w:rsid w:val="00B60ABD"/>
    <w:rsid w:val="00B623C7"/>
    <w:rsid w:val="00B62F6D"/>
    <w:rsid w:val="00B634DC"/>
    <w:rsid w:val="00B63A3F"/>
    <w:rsid w:val="00B63EC9"/>
    <w:rsid w:val="00B64A81"/>
    <w:rsid w:val="00B656E7"/>
    <w:rsid w:val="00B66560"/>
    <w:rsid w:val="00B66CC1"/>
    <w:rsid w:val="00B67150"/>
    <w:rsid w:val="00B67603"/>
    <w:rsid w:val="00B67938"/>
    <w:rsid w:val="00B67C3B"/>
    <w:rsid w:val="00B7018E"/>
    <w:rsid w:val="00B70724"/>
    <w:rsid w:val="00B71F03"/>
    <w:rsid w:val="00B72B1B"/>
    <w:rsid w:val="00B72D30"/>
    <w:rsid w:val="00B741FF"/>
    <w:rsid w:val="00B744A8"/>
    <w:rsid w:val="00B74AEC"/>
    <w:rsid w:val="00B7534E"/>
    <w:rsid w:val="00B7573A"/>
    <w:rsid w:val="00B758DC"/>
    <w:rsid w:val="00B75E93"/>
    <w:rsid w:val="00B76E2D"/>
    <w:rsid w:val="00B771FE"/>
    <w:rsid w:val="00B77439"/>
    <w:rsid w:val="00B77A6A"/>
    <w:rsid w:val="00B77C4C"/>
    <w:rsid w:val="00B806EA"/>
    <w:rsid w:val="00B82864"/>
    <w:rsid w:val="00B82A26"/>
    <w:rsid w:val="00B83CE7"/>
    <w:rsid w:val="00B83EC8"/>
    <w:rsid w:val="00B84666"/>
    <w:rsid w:val="00B867E7"/>
    <w:rsid w:val="00B8682C"/>
    <w:rsid w:val="00B9022B"/>
    <w:rsid w:val="00B917BF"/>
    <w:rsid w:val="00B91F3F"/>
    <w:rsid w:val="00B924EC"/>
    <w:rsid w:val="00B92CC9"/>
    <w:rsid w:val="00B92E5F"/>
    <w:rsid w:val="00B933A9"/>
    <w:rsid w:val="00B95CD5"/>
    <w:rsid w:val="00BA0380"/>
    <w:rsid w:val="00BA25A7"/>
    <w:rsid w:val="00BA274C"/>
    <w:rsid w:val="00BA2E75"/>
    <w:rsid w:val="00BA52D1"/>
    <w:rsid w:val="00BA5322"/>
    <w:rsid w:val="00BA58EF"/>
    <w:rsid w:val="00BA5CE0"/>
    <w:rsid w:val="00BB0414"/>
    <w:rsid w:val="00BB04C9"/>
    <w:rsid w:val="00BB0746"/>
    <w:rsid w:val="00BB1098"/>
    <w:rsid w:val="00BB1273"/>
    <w:rsid w:val="00BB14CF"/>
    <w:rsid w:val="00BB2EC2"/>
    <w:rsid w:val="00BB3466"/>
    <w:rsid w:val="00BB3609"/>
    <w:rsid w:val="00BB390F"/>
    <w:rsid w:val="00BB3B4D"/>
    <w:rsid w:val="00BB3D10"/>
    <w:rsid w:val="00BB5950"/>
    <w:rsid w:val="00BB7124"/>
    <w:rsid w:val="00BC0629"/>
    <w:rsid w:val="00BC22F4"/>
    <w:rsid w:val="00BC24BB"/>
    <w:rsid w:val="00BC2735"/>
    <w:rsid w:val="00BC43A8"/>
    <w:rsid w:val="00BC4E6E"/>
    <w:rsid w:val="00BC54EB"/>
    <w:rsid w:val="00BC6A41"/>
    <w:rsid w:val="00BD003C"/>
    <w:rsid w:val="00BD065F"/>
    <w:rsid w:val="00BD0E70"/>
    <w:rsid w:val="00BD0F57"/>
    <w:rsid w:val="00BD4F6E"/>
    <w:rsid w:val="00BD517A"/>
    <w:rsid w:val="00BD53A5"/>
    <w:rsid w:val="00BD5577"/>
    <w:rsid w:val="00BE1D4C"/>
    <w:rsid w:val="00BE2F81"/>
    <w:rsid w:val="00BE4F56"/>
    <w:rsid w:val="00BE5266"/>
    <w:rsid w:val="00BE5BCE"/>
    <w:rsid w:val="00BE6E74"/>
    <w:rsid w:val="00BE7D82"/>
    <w:rsid w:val="00BE7EE0"/>
    <w:rsid w:val="00BF0C06"/>
    <w:rsid w:val="00BF2C11"/>
    <w:rsid w:val="00BF4C85"/>
    <w:rsid w:val="00BF4F3C"/>
    <w:rsid w:val="00BF652C"/>
    <w:rsid w:val="00BF6AA5"/>
    <w:rsid w:val="00C01E26"/>
    <w:rsid w:val="00C02217"/>
    <w:rsid w:val="00C0293A"/>
    <w:rsid w:val="00C03175"/>
    <w:rsid w:val="00C04871"/>
    <w:rsid w:val="00C069EA"/>
    <w:rsid w:val="00C06D37"/>
    <w:rsid w:val="00C06D9B"/>
    <w:rsid w:val="00C076F5"/>
    <w:rsid w:val="00C102DA"/>
    <w:rsid w:val="00C107D8"/>
    <w:rsid w:val="00C10FF6"/>
    <w:rsid w:val="00C1211E"/>
    <w:rsid w:val="00C12457"/>
    <w:rsid w:val="00C1317F"/>
    <w:rsid w:val="00C13FA8"/>
    <w:rsid w:val="00C14922"/>
    <w:rsid w:val="00C15A5C"/>
    <w:rsid w:val="00C163E9"/>
    <w:rsid w:val="00C23087"/>
    <w:rsid w:val="00C23E19"/>
    <w:rsid w:val="00C23E86"/>
    <w:rsid w:val="00C24ED8"/>
    <w:rsid w:val="00C26F4F"/>
    <w:rsid w:val="00C274DC"/>
    <w:rsid w:val="00C301CA"/>
    <w:rsid w:val="00C306D1"/>
    <w:rsid w:val="00C30B32"/>
    <w:rsid w:val="00C3118A"/>
    <w:rsid w:val="00C31B32"/>
    <w:rsid w:val="00C3387A"/>
    <w:rsid w:val="00C3503C"/>
    <w:rsid w:val="00C35148"/>
    <w:rsid w:val="00C35BF4"/>
    <w:rsid w:val="00C36202"/>
    <w:rsid w:val="00C37735"/>
    <w:rsid w:val="00C410A3"/>
    <w:rsid w:val="00C413D3"/>
    <w:rsid w:val="00C43DE4"/>
    <w:rsid w:val="00C44E9D"/>
    <w:rsid w:val="00C47782"/>
    <w:rsid w:val="00C47C21"/>
    <w:rsid w:val="00C5098E"/>
    <w:rsid w:val="00C50AF1"/>
    <w:rsid w:val="00C50EE6"/>
    <w:rsid w:val="00C515E3"/>
    <w:rsid w:val="00C52153"/>
    <w:rsid w:val="00C52478"/>
    <w:rsid w:val="00C53490"/>
    <w:rsid w:val="00C549B0"/>
    <w:rsid w:val="00C5538B"/>
    <w:rsid w:val="00C56020"/>
    <w:rsid w:val="00C56892"/>
    <w:rsid w:val="00C56A89"/>
    <w:rsid w:val="00C57123"/>
    <w:rsid w:val="00C57319"/>
    <w:rsid w:val="00C57644"/>
    <w:rsid w:val="00C605CE"/>
    <w:rsid w:val="00C60DCE"/>
    <w:rsid w:val="00C61559"/>
    <w:rsid w:val="00C61C97"/>
    <w:rsid w:val="00C61D9F"/>
    <w:rsid w:val="00C62770"/>
    <w:rsid w:val="00C62BBB"/>
    <w:rsid w:val="00C62CA7"/>
    <w:rsid w:val="00C63477"/>
    <w:rsid w:val="00C64466"/>
    <w:rsid w:val="00C64B08"/>
    <w:rsid w:val="00C66162"/>
    <w:rsid w:val="00C67236"/>
    <w:rsid w:val="00C70DFB"/>
    <w:rsid w:val="00C7222E"/>
    <w:rsid w:val="00C7351C"/>
    <w:rsid w:val="00C73ACA"/>
    <w:rsid w:val="00C747BF"/>
    <w:rsid w:val="00C74B65"/>
    <w:rsid w:val="00C767CF"/>
    <w:rsid w:val="00C7734B"/>
    <w:rsid w:val="00C77CFA"/>
    <w:rsid w:val="00C80790"/>
    <w:rsid w:val="00C80A83"/>
    <w:rsid w:val="00C80DC9"/>
    <w:rsid w:val="00C81229"/>
    <w:rsid w:val="00C81799"/>
    <w:rsid w:val="00C8193F"/>
    <w:rsid w:val="00C81AE8"/>
    <w:rsid w:val="00C81E4A"/>
    <w:rsid w:val="00C821EB"/>
    <w:rsid w:val="00C82290"/>
    <w:rsid w:val="00C82592"/>
    <w:rsid w:val="00C832C1"/>
    <w:rsid w:val="00C8363D"/>
    <w:rsid w:val="00C8402D"/>
    <w:rsid w:val="00C8554B"/>
    <w:rsid w:val="00C85735"/>
    <w:rsid w:val="00C8599B"/>
    <w:rsid w:val="00C8746F"/>
    <w:rsid w:val="00C87545"/>
    <w:rsid w:val="00C9284A"/>
    <w:rsid w:val="00C92AE3"/>
    <w:rsid w:val="00C93363"/>
    <w:rsid w:val="00C93BAA"/>
    <w:rsid w:val="00C94B75"/>
    <w:rsid w:val="00C95257"/>
    <w:rsid w:val="00C95A2F"/>
    <w:rsid w:val="00C96ACA"/>
    <w:rsid w:val="00CA01D8"/>
    <w:rsid w:val="00CA0346"/>
    <w:rsid w:val="00CA043B"/>
    <w:rsid w:val="00CA3E84"/>
    <w:rsid w:val="00CA3E8E"/>
    <w:rsid w:val="00CA456B"/>
    <w:rsid w:val="00CA5F9A"/>
    <w:rsid w:val="00CA66BF"/>
    <w:rsid w:val="00CA7BCC"/>
    <w:rsid w:val="00CA7EE3"/>
    <w:rsid w:val="00CB03FE"/>
    <w:rsid w:val="00CB0DA8"/>
    <w:rsid w:val="00CB145A"/>
    <w:rsid w:val="00CB2EED"/>
    <w:rsid w:val="00CB3D44"/>
    <w:rsid w:val="00CB4D24"/>
    <w:rsid w:val="00CB565A"/>
    <w:rsid w:val="00CB590C"/>
    <w:rsid w:val="00CB707A"/>
    <w:rsid w:val="00CC0111"/>
    <w:rsid w:val="00CC1772"/>
    <w:rsid w:val="00CC18D4"/>
    <w:rsid w:val="00CC1BDA"/>
    <w:rsid w:val="00CC24F3"/>
    <w:rsid w:val="00CC2C77"/>
    <w:rsid w:val="00CC2F12"/>
    <w:rsid w:val="00CC3216"/>
    <w:rsid w:val="00CC3303"/>
    <w:rsid w:val="00CC4573"/>
    <w:rsid w:val="00CC523A"/>
    <w:rsid w:val="00CC5A88"/>
    <w:rsid w:val="00CC5C21"/>
    <w:rsid w:val="00CC5F92"/>
    <w:rsid w:val="00CC62DB"/>
    <w:rsid w:val="00CC69D0"/>
    <w:rsid w:val="00CC6F31"/>
    <w:rsid w:val="00CD0CC2"/>
    <w:rsid w:val="00CD0EDA"/>
    <w:rsid w:val="00CD1175"/>
    <w:rsid w:val="00CD1C5E"/>
    <w:rsid w:val="00CD25B9"/>
    <w:rsid w:val="00CD2BB2"/>
    <w:rsid w:val="00CD2FD1"/>
    <w:rsid w:val="00CD3897"/>
    <w:rsid w:val="00CD3DB8"/>
    <w:rsid w:val="00CD51EE"/>
    <w:rsid w:val="00CD5286"/>
    <w:rsid w:val="00CD5478"/>
    <w:rsid w:val="00CD5935"/>
    <w:rsid w:val="00CD5BFC"/>
    <w:rsid w:val="00CD72DA"/>
    <w:rsid w:val="00CD7A6F"/>
    <w:rsid w:val="00CD7B8E"/>
    <w:rsid w:val="00CE0CDB"/>
    <w:rsid w:val="00CE1579"/>
    <w:rsid w:val="00CE246F"/>
    <w:rsid w:val="00CE43F2"/>
    <w:rsid w:val="00CE5390"/>
    <w:rsid w:val="00CE56D8"/>
    <w:rsid w:val="00CF07CB"/>
    <w:rsid w:val="00CF1F6B"/>
    <w:rsid w:val="00CF234D"/>
    <w:rsid w:val="00CF2C2A"/>
    <w:rsid w:val="00CF3711"/>
    <w:rsid w:val="00CF3840"/>
    <w:rsid w:val="00CF3C5F"/>
    <w:rsid w:val="00CF43B7"/>
    <w:rsid w:val="00CF4702"/>
    <w:rsid w:val="00CF5DCB"/>
    <w:rsid w:val="00D006A7"/>
    <w:rsid w:val="00D00F67"/>
    <w:rsid w:val="00D0151F"/>
    <w:rsid w:val="00D02689"/>
    <w:rsid w:val="00D0283D"/>
    <w:rsid w:val="00D03617"/>
    <w:rsid w:val="00D0435A"/>
    <w:rsid w:val="00D04D70"/>
    <w:rsid w:val="00D05874"/>
    <w:rsid w:val="00D067B2"/>
    <w:rsid w:val="00D073E1"/>
    <w:rsid w:val="00D07DF9"/>
    <w:rsid w:val="00D07FDD"/>
    <w:rsid w:val="00D10AAC"/>
    <w:rsid w:val="00D10DBA"/>
    <w:rsid w:val="00D120B0"/>
    <w:rsid w:val="00D1265E"/>
    <w:rsid w:val="00D13A5D"/>
    <w:rsid w:val="00D13FF8"/>
    <w:rsid w:val="00D153D2"/>
    <w:rsid w:val="00D1612C"/>
    <w:rsid w:val="00D16CB6"/>
    <w:rsid w:val="00D17F30"/>
    <w:rsid w:val="00D2108F"/>
    <w:rsid w:val="00D21214"/>
    <w:rsid w:val="00D21E9C"/>
    <w:rsid w:val="00D227B3"/>
    <w:rsid w:val="00D23289"/>
    <w:rsid w:val="00D236E7"/>
    <w:rsid w:val="00D2587B"/>
    <w:rsid w:val="00D26220"/>
    <w:rsid w:val="00D26869"/>
    <w:rsid w:val="00D30D5E"/>
    <w:rsid w:val="00D30E4B"/>
    <w:rsid w:val="00D311E1"/>
    <w:rsid w:val="00D319A7"/>
    <w:rsid w:val="00D32790"/>
    <w:rsid w:val="00D33749"/>
    <w:rsid w:val="00D34435"/>
    <w:rsid w:val="00D353E3"/>
    <w:rsid w:val="00D36C3C"/>
    <w:rsid w:val="00D37241"/>
    <w:rsid w:val="00D40BF6"/>
    <w:rsid w:val="00D412C6"/>
    <w:rsid w:val="00D4141C"/>
    <w:rsid w:val="00D42352"/>
    <w:rsid w:val="00D42384"/>
    <w:rsid w:val="00D42450"/>
    <w:rsid w:val="00D4275C"/>
    <w:rsid w:val="00D4411F"/>
    <w:rsid w:val="00D4474B"/>
    <w:rsid w:val="00D45823"/>
    <w:rsid w:val="00D46B6A"/>
    <w:rsid w:val="00D471E5"/>
    <w:rsid w:val="00D478B6"/>
    <w:rsid w:val="00D510C8"/>
    <w:rsid w:val="00D52C9E"/>
    <w:rsid w:val="00D5388A"/>
    <w:rsid w:val="00D54BF2"/>
    <w:rsid w:val="00D55849"/>
    <w:rsid w:val="00D55902"/>
    <w:rsid w:val="00D559E8"/>
    <w:rsid w:val="00D562FC"/>
    <w:rsid w:val="00D5639B"/>
    <w:rsid w:val="00D56C84"/>
    <w:rsid w:val="00D56F16"/>
    <w:rsid w:val="00D605E1"/>
    <w:rsid w:val="00D611C7"/>
    <w:rsid w:val="00D63589"/>
    <w:rsid w:val="00D63BEB"/>
    <w:rsid w:val="00D63C81"/>
    <w:rsid w:val="00D649A7"/>
    <w:rsid w:val="00D652D9"/>
    <w:rsid w:val="00D66143"/>
    <w:rsid w:val="00D66696"/>
    <w:rsid w:val="00D66A62"/>
    <w:rsid w:val="00D70F81"/>
    <w:rsid w:val="00D726A1"/>
    <w:rsid w:val="00D72786"/>
    <w:rsid w:val="00D7278D"/>
    <w:rsid w:val="00D73EC8"/>
    <w:rsid w:val="00D7549A"/>
    <w:rsid w:val="00D758A1"/>
    <w:rsid w:val="00D80E5F"/>
    <w:rsid w:val="00D81BC8"/>
    <w:rsid w:val="00D8289F"/>
    <w:rsid w:val="00D82DEE"/>
    <w:rsid w:val="00D8503C"/>
    <w:rsid w:val="00D85FEE"/>
    <w:rsid w:val="00D866EC"/>
    <w:rsid w:val="00D86D3A"/>
    <w:rsid w:val="00D86D62"/>
    <w:rsid w:val="00D87CEC"/>
    <w:rsid w:val="00D903B5"/>
    <w:rsid w:val="00D904E5"/>
    <w:rsid w:val="00D90CEC"/>
    <w:rsid w:val="00D92D51"/>
    <w:rsid w:val="00D93391"/>
    <w:rsid w:val="00D951CB"/>
    <w:rsid w:val="00D9546B"/>
    <w:rsid w:val="00D96BD1"/>
    <w:rsid w:val="00D96CCC"/>
    <w:rsid w:val="00DA0A3E"/>
    <w:rsid w:val="00DA0C23"/>
    <w:rsid w:val="00DA0FB3"/>
    <w:rsid w:val="00DA2AB3"/>
    <w:rsid w:val="00DA3D12"/>
    <w:rsid w:val="00DA494B"/>
    <w:rsid w:val="00DA4B38"/>
    <w:rsid w:val="00DA4F6D"/>
    <w:rsid w:val="00DA6636"/>
    <w:rsid w:val="00DA71AF"/>
    <w:rsid w:val="00DB0F63"/>
    <w:rsid w:val="00DB128F"/>
    <w:rsid w:val="00DB1648"/>
    <w:rsid w:val="00DB1CDB"/>
    <w:rsid w:val="00DB21C9"/>
    <w:rsid w:val="00DB4269"/>
    <w:rsid w:val="00DB48CD"/>
    <w:rsid w:val="00DB4D6C"/>
    <w:rsid w:val="00DB52B7"/>
    <w:rsid w:val="00DB5C2C"/>
    <w:rsid w:val="00DB5E7C"/>
    <w:rsid w:val="00DC006B"/>
    <w:rsid w:val="00DC1CD9"/>
    <w:rsid w:val="00DC1EE8"/>
    <w:rsid w:val="00DC5080"/>
    <w:rsid w:val="00DC56F1"/>
    <w:rsid w:val="00DC576A"/>
    <w:rsid w:val="00DC60A9"/>
    <w:rsid w:val="00DC6D5A"/>
    <w:rsid w:val="00DC78CC"/>
    <w:rsid w:val="00DD03D3"/>
    <w:rsid w:val="00DD078A"/>
    <w:rsid w:val="00DD082F"/>
    <w:rsid w:val="00DD0C8D"/>
    <w:rsid w:val="00DD1215"/>
    <w:rsid w:val="00DD2073"/>
    <w:rsid w:val="00DD21F2"/>
    <w:rsid w:val="00DD2D7E"/>
    <w:rsid w:val="00DD37D3"/>
    <w:rsid w:val="00DD383E"/>
    <w:rsid w:val="00DD50F0"/>
    <w:rsid w:val="00DD5668"/>
    <w:rsid w:val="00DD6FBA"/>
    <w:rsid w:val="00DD796F"/>
    <w:rsid w:val="00DD79EF"/>
    <w:rsid w:val="00DE24A2"/>
    <w:rsid w:val="00DE2C42"/>
    <w:rsid w:val="00DE4CDA"/>
    <w:rsid w:val="00DE5700"/>
    <w:rsid w:val="00DE5B84"/>
    <w:rsid w:val="00DE60B1"/>
    <w:rsid w:val="00DF039B"/>
    <w:rsid w:val="00DF0ED0"/>
    <w:rsid w:val="00DF2090"/>
    <w:rsid w:val="00DF293F"/>
    <w:rsid w:val="00DF6179"/>
    <w:rsid w:val="00DF7477"/>
    <w:rsid w:val="00E007C4"/>
    <w:rsid w:val="00E00C88"/>
    <w:rsid w:val="00E01A78"/>
    <w:rsid w:val="00E01B01"/>
    <w:rsid w:val="00E02BEB"/>
    <w:rsid w:val="00E02C5B"/>
    <w:rsid w:val="00E02E59"/>
    <w:rsid w:val="00E0306C"/>
    <w:rsid w:val="00E03213"/>
    <w:rsid w:val="00E0339F"/>
    <w:rsid w:val="00E03A9B"/>
    <w:rsid w:val="00E05486"/>
    <w:rsid w:val="00E055DF"/>
    <w:rsid w:val="00E05863"/>
    <w:rsid w:val="00E071D2"/>
    <w:rsid w:val="00E079C5"/>
    <w:rsid w:val="00E102A4"/>
    <w:rsid w:val="00E102DA"/>
    <w:rsid w:val="00E10697"/>
    <w:rsid w:val="00E10E0C"/>
    <w:rsid w:val="00E12085"/>
    <w:rsid w:val="00E12340"/>
    <w:rsid w:val="00E13021"/>
    <w:rsid w:val="00E13B60"/>
    <w:rsid w:val="00E14685"/>
    <w:rsid w:val="00E14E19"/>
    <w:rsid w:val="00E153A4"/>
    <w:rsid w:val="00E161ED"/>
    <w:rsid w:val="00E16366"/>
    <w:rsid w:val="00E16CE1"/>
    <w:rsid w:val="00E20538"/>
    <w:rsid w:val="00E20FAF"/>
    <w:rsid w:val="00E22FA6"/>
    <w:rsid w:val="00E23107"/>
    <w:rsid w:val="00E23B0C"/>
    <w:rsid w:val="00E240AB"/>
    <w:rsid w:val="00E240AC"/>
    <w:rsid w:val="00E269D0"/>
    <w:rsid w:val="00E26A07"/>
    <w:rsid w:val="00E273E8"/>
    <w:rsid w:val="00E27457"/>
    <w:rsid w:val="00E27A7D"/>
    <w:rsid w:val="00E3070E"/>
    <w:rsid w:val="00E31988"/>
    <w:rsid w:val="00E32C9F"/>
    <w:rsid w:val="00E34048"/>
    <w:rsid w:val="00E3485B"/>
    <w:rsid w:val="00E41ABF"/>
    <w:rsid w:val="00E4266D"/>
    <w:rsid w:val="00E42737"/>
    <w:rsid w:val="00E44586"/>
    <w:rsid w:val="00E44B8A"/>
    <w:rsid w:val="00E44FDD"/>
    <w:rsid w:val="00E45296"/>
    <w:rsid w:val="00E45401"/>
    <w:rsid w:val="00E45501"/>
    <w:rsid w:val="00E45D46"/>
    <w:rsid w:val="00E46D63"/>
    <w:rsid w:val="00E477CD"/>
    <w:rsid w:val="00E47F61"/>
    <w:rsid w:val="00E50379"/>
    <w:rsid w:val="00E50793"/>
    <w:rsid w:val="00E5237E"/>
    <w:rsid w:val="00E52EB0"/>
    <w:rsid w:val="00E533F4"/>
    <w:rsid w:val="00E54F41"/>
    <w:rsid w:val="00E56C35"/>
    <w:rsid w:val="00E56EDD"/>
    <w:rsid w:val="00E577F2"/>
    <w:rsid w:val="00E6010F"/>
    <w:rsid w:val="00E61095"/>
    <w:rsid w:val="00E61162"/>
    <w:rsid w:val="00E61884"/>
    <w:rsid w:val="00E62FF0"/>
    <w:rsid w:val="00E632C4"/>
    <w:rsid w:val="00E638F2"/>
    <w:rsid w:val="00E65581"/>
    <w:rsid w:val="00E65C83"/>
    <w:rsid w:val="00E668F5"/>
    <w:rsid w:val="00E67A95"/>
    <w:rsid w:val="00E70CF1"/>
    <w:rsid w:val="00E70DC3"/>
    <w:rsid w:val="00E72DC8"/>
    <w:rsid w:val="00E72F62"/>
    <w:rsid w:val="00E73F26"/>
    <w:rsid w:val="00E74857"/>
    <w:rsid w:val="00E760DA"/>
    <w:rsid w:val="00E76317"/>
    <w:rsid w:val="00E80F4E"/>
    <w:rsid w:val="00E81A71"/>
    <w:rsid w:val="00E829FD"/>
    <w:rsid w:val="00E82D9C"/>
    <w:rsid w:val="00E8383F"/>
    <w:rsid w:val="00E83BBD"/>
    <w:rsid w:val="00E86344"/>
    <w:rsid w:val="00E87BEB"/>
    <w:rsid w:val="00E90C6A"/>
    <w:rsid w:val="00E90C8F"/>
    <w:rsid w:val="00E91AF2"/>
    <w:rsid w:val="00E922C8"/>
    <w:rsid w:val="00E9295C"/>
    <w:rsid w:val="00E95D42"/>
    <w:rsid w:val="00E9635D"/>
    <w:rsid w:val="00E963C8"/>
    <w:rsid w:val="00E96591"/>
    <w:rsid w:val="00E97083"/>
    <w:rsid w:val="00EA0FF5"/>
    <w:rsid w:val="00EA17C2"/>
    <w:rsid w:val="00EA3ABD"/>
    <w:rsid w:val="00EA3F2C"/>
    <w:rsid w:val="00EA5424"/>
    <w:rsid w:val="00EA54AB"/>
    <w:rsid w:val="00EA54E5"/>
    <w:rsid w:val="00EA5DEE"/>
    <w:rsid w:val="00EB11AA"/>
    <w:rsid w:val="00EB3480"/>
    <w:rsid w:val="00EB3902"/>
    <w:rsid w:val="00EB4F04"/>
    <w:rsid w:val="00EB5595"/>
    <w:rsid w:val="00EB6547"/>
    <w:rsid w:val="00EB7149"/>
    <w:rsid w:val="00EB779C"/>
    <w:rsid w:val="00EB7B32"/>
    <w:rsid w:val="00EB7E11"/>
    <w:rsid w:val="00EC4819"/>
    <w:rsid w:val="00EC5396"/>
    <w:rsid w:val="00EC5E7B"/>
    <w:rsid w:val="00EC6093"/>
    <w:rsid w:val="00EC6604"/>
    <w:rsid w:val="00EC6BFD"/>
    <w:rsid w:val="00EC7252"/>
    <w:rsid w:val="00EC7429"/>
    <w:rsid w:val="00ED3D82"/>
    <w:rsid w:val="00ED410B"/>
    <w:rsid w:val="00ED6106"/>
    <w:rsid w:val="00ED61E9"/>
    <w:rsid w:val="00ED7065"/>
    <w:rsid w:val="00ED72D7"/>
    <w:rsid w:val="00ED79D8"/>
    <w:rsid w:val="00EE03F7"/>
    <w:rsid w:val="00EE0F22"/>
    <w:rsid w:val="00EE17FC"/>
    <w:rsid w:val="00EE18F8"/>
    <w:rsid w:val="00EE2098"/>
    <w:rsid w:val="00EE3CAD"/>
    <w:rsid w:val="00EE570B"/>
    <w:rsid w:val="00EE601E"/>
    <w:rsid w:val="00EE6D6D"/>
    <w:rsid w:val="00EE6EE1"/>
    <w:rsid w:val="00EE729E"/>
    <w:rsid w:val="00EE73E9"/>
    <w:rsid w:val="00EF19F1"/>
    <w:rsid w:val="00EF23BC"/>
    <w:rsid w:val="00EF31DA"/>
    <w:rsid w:val="00EF33F8"/>
    <w:rsid w:val="00EF485F"/>
    <w:rsid w:val="00EF64B0"/>
    <w:rsid w:val="00EF74A5"/>
    <w:rsid w:val="00EF7C25"/>
    <w:rsid w:val="00F00CB9"/>
    <w:rsid w:val="00F01736"/>
    <w:rsid w:val="00F01C4C"/>
    <w:rsid w:val="00F01FE3"/>
    <w:rsid w:val="00F020D1"/>
    <w:rsid w:val="00F02162"/>
    <w:rsid w:val="00F02D11"/>
    <w:rsid w:val="00F03019"/>
    <w:rsid w:val="00F0306D"/>
    <w:rsid w:val="00F037BA"/>
    <w:rsid w:val="00F0415C"/>
    <w:rsid w:val="00F04C7B"/>
    <w:rsid w:val="00F051C7"/>
    <w:rsid w:val="00F0527F"/>
    <w:rsid w:val="00F05B92"/>
    <w:rsid w:val="00F05DD4"/>
    <w:rsid w:val="00F119F1"/>
    <w:rsid w:val="00F1256D"/>
    <w:rsid w:val="00F12C6D"/>
    <w:rsid w:val="00F12CE7"/>
    <w:rsid w:val="00F13458"/>
    <w:rsid w:val="00F13BD6"/>
    <w:rsid w:val="00F13C4A"/>
    <w:rsid w:val="00F143EE"/>
    <w:rsid w:val="00F148D1"/>
    <w:rsid w:val="00F14FB9"/>
    <w:rsid w:val="00F1531B"/>
    <w:rsid w:val="00F1643A"/>
    <w:rsid w:val="00F17E21"/>
    <w:rsid w:val="00F17E74"/>
    <w:rsid w:val="00F207B9"/>
    <w:rsid w:val="00F21B7D"/>
    <w:rsid w:val="00F22077"/>
    <w:rsid w:val="00F221C6"/>
    <w:rsid w:val="00F2294E"/>
    <w:rsid w:val="00F238AE"/>
    <w:rsid w:val="00F24116"/>
    <w:rsid w:val="00F24B7E"/>
    <w:rsid w:val="00F2510C"/>
    <w:rsid w:val="00F325E6"/>
    <w:rsid w:val="00F32FD6"/>
    <w:rsid w:val="00F337AD"/>
    <w:rsid w:val="00F351D5"/>
    <w:rsid w:val="00F35579"/>
    <w:rsid w:val="00F35F38"/>
    <w:rsid w:val="00F40645"/>
    <w:rsid w:val="00F40C3D"/>
    <w:rsid w:val="00F416D8"/>
    <w:rsid w:val="00F421C9"/>
    <w:rsid w:val="00F423D3"/>
    <w:rsid w:val="00F424B3"/>
    <w:rsid w:val="00F42859"/>
    <w:rsid w:val="00F439AF"/>
    <w:rsid w:val="00F440ED"/>
    <w:rsid w:val="00F4676A"/>
    <w:rsid w:val="00F505BD"/>
    <w:rsid w:val="00F514B1"/>
    <w:rsid w:val="00F51BE8"/>
    <w:rsid w:val="00F52801"/>
    <w:rsid w:val="00F5284C"/>
    <w:rsid w:val="00F53ACA"/>
    <w:rsid w:val="00F5414B"/>
    <w:rsid w:val="00F543B0"/>
    <w:rsid w:val="00F5507A"/>
    <w:rsid w:val="00F55376"/>
    <w:rsid w:val="00F55EEB"/>
    <w:rsid w:val="00F56027"/>
    <w:rsid w:val="00F566CD"/>
    <w:rsid w:val="00F56D69"/>
    <w:rsid w:val="00F60D13"/>
    <w:rsid w:val="00F60D27"/>
    <w:rsid w:val="00F61D20"/>
    <w:rsid w:val="00F62524"/>
    <w:rsid w:val="00F62E63"/>
    <w:rsid w:val="00F62EB6"/>
    <w:rsid w:val="00F64453"/>
    <w:rsid w:val="00F6463A"/>
    <w:rsid w:val="00F648B5"/>
    <w:rsid w:val="00F64EF5"/>
    <w:rsid w:val="00F7015C"/>
    <w:rsid w:val="00F70A1F"/>
    <w:rsid w:val="00F71264"/>
    <w:rsid w:val="00F71327"/>
    <w:rsid w:val="00F719E1"/>
    <w:rsid w:val="00F71D4F"/>
    <w:rsid w:val="00F742FA"/>
    <w:rsid w:val="00F7472A"/>
    <w:rsid w:val="00F751CC"/>
    <w:rsid w:val="00F753E8"/>
    <w:rsid w:val="00F766CD"/>
    <w:rsid w:val="00F76CED"/>
    <w:rsid w:val="00F807D1"/>
    <w:rsid w:val="00F8097B"/>
    <w:rsid w:val="00F80E98"/>
    <w:rsid w:val="00F81148"/>
    <w:rsid w:val="00F82904"/>
    <w:rsid w:val="00F83B5B"/>
    <w:rsid w:val="00F85C88"/>
    <w:rsid w:val="00F87050"/>
    <w:rsid w:val="00F87A5B"/>
    <w:rsid w:val="00F9106F"/>
    <w:rsid w:val="00F9353A"/>
    <w:rsid w:val="00F94B6F"/>
    <w:rsid w:val="00F95BAD"/>
    <w:rsid w:val="00F96063"/>
    <w:rsid w:val="00FA02B5"/>
    <w:rsid w:val="00FA05A9"/>
    <w:rsid w:val="00FA20C1"/>
    <w:rsid w:val="00FA20E7"/>
    <w:rsid w:val="00FA22D4"/>
    <w:rsid w:val="00FA2508"/>
    <w:rsid w:val="00FA38FB"/>
    <w:rsid w:val="00FA44AA"/>
    <w:rsid w:val="00FA54E6"/>
    <w:rsid w:val="00FA63FD"/>
    <w:rsid w:val="00FA7484"/>
    <w:rsid w:val="00FA7680"/>
    <w:rsid w:val="00FB0828"/>
    <w:rsid w:val="00FB15AA"/>
    <w:rsid w:val="00FB2ED3"/>
    <w:rsid w:val="00FB3405"/>
    <w:rsid w:val="00FB46ED"/>
    <w:rsid w:val="00FB48BB"/>
    <w:rsid w:val="00FB4D60"/>
    <w:rsid w:val="00FB4DFC"/>
    <w:rsid w:val="00FB4E9A"/>
    <w:rsid w:val="00FB5B27"/>
    <w:rsid w:val="00FB642B"/>
    <w:rsid w:val="00FB675E"/>
    <w:rsid w:val="00FB6CC6"/>
    <w:rsid w:val="00FC11FC"/>
    <w:rsid w:val="00FC1353"/>
    <w:rsid w:val="00FC2039"/>
    <w:rsid w:val="00FC2752"/>
    <w:rsid w:val="00FC2B73"/>
    <w:rsid w:val="00FC3EBB"/>
    <w:rsid w:val="00FC47EE"/>
    <w:rsid w:val="00FC5174"/>
    <w:rsid w:val="00FC52FB"/>
    <w:rsid w:val="00FC5C9F"/>
    <w:rsid w:val="00FC5E75"/>
    <w:rsid w:val="00FC6A1A"/>
    <w:rsid w:val="00FC70B7"/>
    <w:rsid w:val="00FD0519"/>
    <w:rsid w:val="00FD09F7"/>
    <w:rsid w:val="00FD2254"/>
    <w:rsid w:val="00FD235A"/>
    <w:rsid w:val="00FD2422"/>
    <w:rsid w:val="00FD508C"/>
    <w:rsid w:val="00FD5A0F"/>
    <w:rsid w:val="00FD6CDB"/>
    <w:rsid w:val="00FE0019"/>
    <w:rsid w:val="00FE021C"/>
    <w:rsid w:val="00FE06A1"/>
    <w:rsid w:val="00FE092D"/>
    <w:rsid w:val="00FE0951"/>
    <w:rsid w:val="00FE09FD"/>
    <w:rsid w:val="00FE0A96"/>
    <w:rsid w:val="00FE1506"/>
    <w:rsid w:val="00FE269E"/>
    <w:rsid w:val="00FE2728"/>
    <w:rsid w:val="00FE4796"/>
    <w:rsid w:val="00FE48AF"/>
    <w:rsid w:val="00FE50AF"/>
    <w:rsid w:val="00FE5144"/>
    <w:rsid w:val="00FE610F"/>
    <w:rsid w:val="00FE66FB"/>
    <w:rsid w:val="00FE67B5"/>
    <w:rsid w:val="00FE73CD"/>
    <w:rsid w:val="00FE7D9F"/>
    <w:rsid w:val="00FF0534"/>
    <w:rsid w:val="00FF0B4F"/>
    <w:rsid w:val="00FF0E1F"/>
    <w:rsid w:val="00FF1B22"/>
    <w:rsid w:val="00FF1D5A"/>
    <w:rsid w:val="00FF20DE"/>
    <w:rsid w:val="00FF4214"/>
    <w:rsid w:val="00FF53E7"/>
    <w:rsid w:val="00FF5B8F"/>
    <w:rsid w:val="00FF67CA"/>
    <w:rsid w:val="00FF6CC5"/>
    <w:rsid w:val="00FF6EB7"/>
    <w:rsid w:val="00FF7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6"/>
      </w:numPr>
      <w:spacing w:before="120" w:after="480"/>
      <w:ind w:left="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6"/>
      </w:numPr>
      <w:tabs>
        <w:tab w:val="clear" w:pos="1701"/>
        <w:tab w:val="num" w:pos="851"/>
      </w:tabs>
      <w:spacing w:before="360" w:line="276" w:lineRule="auto"/>
      <w:ind w:left="0"/>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6"/>
      </w:numPr>
      <w:tabs>
        <w:tab w:val="clear" w:pos="1701"/>
        <w:tab w:val="num" w:pos="851"/>
      </w:tabs>
      <w:spacing w:before="360" w:line="276" w:lineRule="auto"/>
      <w:ind w:left="0"/>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6"/>
      </w:numPr>
      <w:spacing w:before="240" w:line="276" w:lineRule="auto"/>
      <w:ind w:left="0"/>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6"/>
      </w:numPr>
      <w:spacing w:before="120" w:line="276" w:lineRule="auto"/>
      <w:ind w:left="0"/>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6"/>
      </w:numPr>
      <w:spacing w:before="40"/>
      <w:ind w:left="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6"/>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6"/>
      </w:numPr>
      <w:tabs>
        <w:tab w:val="left" w:pos="851"/>
      </w:tabs>
      <w:spacing w:before="360" w:line="276" w:lineRule="auto"/>
      <w:ind w:left="0"/>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6"/>
      </w:numPr>
      <w:tabs>
        <w:tab w:val="left" w:pos="851"/>
      </w:tabs>
      <w:spacing w:before="360" w:line="276" w:lineRule="auto"/>
      <w:ind w:left="0"/>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72"/>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34"/>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34"/>
    <w:rsid w:val="00ED61E9"/>
    <w:rPr>
      <w:sz w:val="24"/>
      <w:szCs w:val="24"/>
      <w:lang w:eastAsia="en-US"/>
    </w:rPr>
  </w:style>
  <w:style w:type="paragraph" w:customStyle="1" w:styleId="ToR6Tableheader">
    <w:name w:val="ToR 6 Table header"/>
    <w:basedOn w:val="Caption"/>
    <w:link w:val="ToR6TableheaderChar"/>
    <w:qFormat/>
    <w:rsid w:val="00941680"/>
    <w:pPr>
      <w:keepLines/>
      <w:spacing w:line="276" w:lineRule="auto"/>
    </w:pPr>
  </w:style>
  <w:style w:type="character" w:customStyle="1" w:styleId="CaptionChar">
    <w:name w:val="Caption Char"/>
    <w:basedOn w:val="DefaultParagraphFont"/>
    <w:link w:val="Caption"/>
    <w:uiPriority w:val="35"/>
    <w:rsid w:val="00941680"/>
    <w:rPr>
      <w:rFonts w:ascii="Arial" w:hAnsi="Arial"/>
      <w:b/>
      <w:iCs/>
      <w:szCs w:val="18"/>
      <w:lang w:eastAsia="en-US"/>
    </w:rPr>
  </w:style>
  <w:style w:type="character" w:customStyle="1" w:styleId="ToR6TableheaderChar">
    <w:name w:val="ToR 6 Table header Char"/>
    <w:basedOn w:val="CaptionChar"/>
    <w:link w:val="ToR6Tableheader"/>
    <w:rsid w:val="00941680"/>
    <w:rPr>
      <w:rFonts w:ascii="Arial" w:hAnsi="Arial"/>
      <w:b/>
      <w:iCs/>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E0"/>
    <w:pPr>
      <w:spacing w:before="120" w:line="276" w:lineRule="auto"/>
      <w:jc w:val="both"/>
    </w:pPr>
    <w:rPr>
      <w:sz w:val="24"/>
      <w:szCs w:val="24"/>
      <w:lang w:eastAsia="en-US"/>
    </w:rPr>
  </w:style>
  <w:style w:type="paragraph" w:styleId="Heading1">
    <w:name w:val="heading 1"/>
    <w:next w:val="BodyText"/>
    <w:link w:val="Heading1Char"/>
    <w:uiPriority w:val="9"/>
    <w:qFormat/>
    <w:rsid w:val="006068D9"/>
    <w:pPr>
      <w:pageBreakBefore/>
      <w:numPr>
        <w:numId w:val="16"/>
      </w:numPr>
      <w:spacing w:before="120" w:after="480"/>
      <w:ind w:left="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6"/>
      </w:numPr>
      <w:tabs>
        <w:tab w:val="clear" w:pos="1701"/>
        <w:tab w:val="num" w:pos="851"/>
      </w:tabs>
      <w:spacing w:before="360" w:line="276" w:lineRule="auto"/>
      <w:ind w:left="0"/>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6"/>
      </w:numPr>
      <w:tabs>
        <w:tab w:val="clear" w:pos="1701"/>
        <w:tab w:val="num" w:pos="851"/>
      </w:tabs>
      <w:spacing w:before="360" w:line="276" w:lineRule="auto"/>
      <w:ind w:left="0"/>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6"/>
      </w:numPr>
      <w:spacing w:before="240" w:line="276" w:lineRule="auto"/>
      <w:ind w:left="0"/>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6"/>
      </w:numPr>
      <w:spacing w:before="120" w:line="276" w:lineRule="auto"/>
      <w:ind w:left="0"/>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6"/>
      </w:numPr>
      <w:spacing w:before="40"/>
      <w:ind w:left="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6"/>
      </w:numPr>
      <w:tabs>
        <w:tab w:val="left" w:pos="2268"/>
      </w:tabs>
      <w:spacing w:after="360" w:line="276" w:lineRule="auto"/>
      <w:ind w:left="0"/>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6"/>
      </w:numPr>
      <w:tabs>
        <w:tab w:val="left" w:pos="851"/>
      </w:tabs>
      <w:spacing w:before="360" w:line="276" w:lineRule="auto"/>
      <w:ind w:left="0"/>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6"/>
      </w:numPr>
      <w:tabs>
        <w:tab w:val="left" w:pos="851"/>
      </w:tabs>
      <w:spacing w:before="360" w:line="276" w:lineRule="auto"/>
      <w:ind w:left="0"/>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C9E"/>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styleId="TableofAuthorities">
    <w:name w:val="table of authorities"/>
    <w:basedOn w:val="Normal"/>
    <w:next w:val="Normal"/>
    <w:uiPriority w:val="99"/>
    <w:semiHidden/>
    <w:unhideWhenUsed/>
    <w:rsid w:val="00834197"/>
    <w:pPr>
      <w:ind w:left="240" w:hanging="240"/>
    </w:pPr>
  </w:style>
  <w:style w:type="paragraph" w:customStyle="1" w:styleId="05Tabletext">
    <w:name w:val="05 Table text"/>
    <w:next w:val="06Tabletextspacebefore"/>
    <w:qFormat/>
    <w:rsid w:val="005940CE"/>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72"/>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paragraph" w:styleId="TOAHeading">
    <w:name w:val="toa heading"/>
    <w:basedOn w:val="Normal"/>
    <w:next w:val="Normal"/>
    <w:uiPriority w:val="99"/>
    <w:semiHidden/>
    <w:unhideWhenUsed/>
    <w:rsid w:val="00834197"/>
    <w:rPr>
      <w:rFonts w:asciiTheme="majorHAnsi" w:eastAsiaTheme="majorEastAsia" w:hAnsiTheme="majorHAnsi" w:cstheme="majorBidi"/>
      <w:b/>
      <w:bCs/>
    </w:rPr>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241406"/>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7"/>
      </w:numPr>
    </w:pPr>
  </w:style>
  <w:style w:type="paragraph" w:styleId="ListParagraph">
    <w:name w:val="List Paragraph"/>
    <w:aliases w:val="Footnote,BulletPoints"/>
    <w:basedOn w:val="Normal"/>
    <w:link w:val="ListParagraphChar"/>
    <w:uiPriority w:val="34"/>
    <w:qFormat/>
    <w:rsid w:val="00B92CC9"/>
    <w:pPr>
      <w:ind w:left="720"/>
      <w:contextualSpacing/>
    </w:pPr>
  </w:style>
  <w:style w:type="numbering" w:styleId="111111">
    <w:name w:val="Outline List 2"/>
    <w:basedOn w:val="NoList"/>
    <w:uiPriority w:val="99"/>
    <w:semiHidden/>
    <w:unhideWhenUsed/>
    <w:rsid w:val="00B92CC9"/>
    <w:pPr>
      <w:numPr>
        <w:numId w:val="8"/>
      </w:numPr>
    </w:pPr>
  </w:style>
  <w:style w:type="character" w:styleId="Emphasis">
    <w:name w:val="Emphasis"/>
    <w:uiPriority w:val="20"/>
    <w:qFormat/>
    <w:rsid w:val="00B92CC9"/>
    <w:rPr>
      <w:i/>
      <w:iC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9"/>
      </w:numPr>
    </w:p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References">
    <w:name w:val="References"/>
    <w:qFormat/>
    <w:rsid w:val="004504BE"/>
    <w:pPr>
      <w:spacing w:before="80"/>
      <w:ind w:left="284" w:hanging="284"/>
    </w:pPr>
    <w:rPr>
      <w:sz w:val="18"/>
      <w:szCs w:val="24"/>
      <w:lang w:eastAsia="en-US"/>
    </w:rPr>
  </w:style>
  <w:style w:type="paragraph" w:styleId="NormalWeb">
    <w:name w:val="Normal (Web)"/>
    <w:basedOn w:val="Normal"/>
    <w:uiPriority w:val="99"/>
    <w:semiHidden/>
    <w:unhideWhenUsed/>
    <w:rsid w:val="009D3242"/>
    <w:pPr>
      <w:spacing w:before="100" w:beforeAutospacing="1" w:after="100" w:afterAutospacing="1" w:line="240" w:lineRule="auto"/>
      <w:jc w:val="left"/>
    </w:pPr>
    <w:rPr>
      <w:rFonts w:ascii="Times New Roman" w:eastAsia="Times New Roman" w:hAnsi="Times New Roman"/>
      <w:lang w:eastAsia="en-AU"/>
    </w:rPr>
  </w:style>
  <w:style w:type="character" w:styleId="IntenseEmphasis">
    <w:name w:val="Intense Emphasis"/>
    <w:basedOn w:val="DefaultParagraphFont"/>
    <w:uiPriority w:val="21"/>
    <w:qFormat/>
    <w:rsid w:val="00D32790"/>
    <w:rPr>
      <w:b/>
      <w:bCs/>
      <w:i/>
      <w:iCs/>
      <w:color w:val="4F81BD" w:themeColor="accent1"/>
    </w:rPr>
  </w:style>
  <w:style w:type="paragraph" w:styleId="Subtitle">
    <w:name w:val="Subtitle"/>
    <w:basedOn w:val="Normal"/>
    <w:next w:val="Normal"/>
    <w:link w:val="SubtitleChar"/>
    <w:qFormat/>
    <w:rsid w:val="00D32790"/>
    <w:pPr>
      <w:numPr>
        <w:ilvl w:val="1"/>
      </w:numPr>
      <w:spacing w:before="0" w:line="240" w:lineRule="auto"/>
      <w:jc w:val="left"/>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D32790"/>
    <w:rPr>
      <w:rFonts w:asciiTheme="majorHAnsi" w:eastAsiaTheme="majorEastAsia" w:hAnsiTheme="majorHAnsi" w:cstheme="majorBidi"/>
      <w:iCs/>
      <w:spacing w:val="15"/>
      <w:sz w:val="24"/>
      <w:szCs w:val="24"/>
      <w:lang w:eastAsia="en-US"/>
    </w:rPr>
  </w:style>
  <w:style w:type="character" w:customStyle="1" w:styleId="ListParagraphChar">
    <w:name w:val="List Paragraph Char"/>
    <w:aliases w:val="Footnote Char,BulletPoints Char"/>
    <w:basedOn w:val="DefaultParagraphFont"/>
    <w:link w:val="ListParagraph"/>
    <w:uiPriority w:val="34"/>
    <w:rsid w:val="00ED61E9"/>
    <w:rPr>
      <w:sz w:val="24"/>
      <w:szCs w:val="24"/>
      <w:lang w:eastAsia="en-US"/>
    </w:rPr>
  </w:style>
  <w:style w:type="paragraph" w:customStyle="1" w:styleId="ToR6Tableheader">
    <w:name w:val="ToR 6 Table header"/>
    <w:basedOn w:val="Caption"/>
    <w:link w:val="ToR6TableheaderChar"/>
    <w:qFormat/>
    <w:rsid w:val="00941680"/>
    <w:pPr>
      <w:keepLines/>
      <w:spacing w:line="276" w:lineRule="auto"/>
    </w:pPr>
  </w:style>
  <w:style w:type="character" w:customStyle="1" w:styleId="CaptionChar">
    <w:name w:val="Caption Char"/>
    <w:basedOn w:val="DefaultParagraphFont"/>
    <w:link w:val="Caption"/>
    <w:uiPriority w:val="35"/>
    <w:rsid w:val="00941680"/>
    <w:rPr>
      <w:rFonts w:ascii="Arial" w:hAnsi="Arial"/>
      <w:b/>
      <w:iCs/>
      <w:szCs w:val="18"/>
      <w:lang w:eastAsia="en-US"/>
    </w:rPr>
  </w:style>
  <w:style w:type="character" w:customStyle="1" w:styleId="ToR6TableheaderChar">
    <w:name w:val="ToR 6 Table header Char"/>
    <w:basedOn w:val="CaptionChar"/>
    <w:link w:val="ToR6Tableheader"/>
    <w:rsid w:val="00941680"/>
    <w:rPr>
      <w:rFonts w:ascii="Arial" w:hAnsi="Arial"/>
      <w:b/>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80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68">
          <w:marLeft w:val="0"/>
          <w:marRight w:val="0"/>
          <w:marTop w:val="0"/>
          <w:marBottom w:val="0"/>
          <w:divBdr>
            <w:top w:val="none" w:sz="0" w:space="0" w:color="auto"/>
            <w:left w:val="none" w:sz="0" w:space="0" w:color="auto"/>
            <w:bottom w:val="none" w:sz="0" w:space="0" w:color="auto"/>
            <w:right w:val="none" w:sz="0" w:space="0" w:color="auto"/>
          </w:divBdr>
        </w:div>
      </w:divsChild>
    </w:div>
    <w:div w:id="303782159">
      <w:bodyDiv w:val="1"/>
      <w:marLeft w:val="0"/>
      <w:marRight w:val="0"/>
      <w:marTop w:val="0"/>
      <w:marBottom w:val="0"/>
      <w:divBdr>
        <w:top w:val="none" w:sz="0" w:space="0" w:color="auto"/>
        <w:left w:val="none" w:sz="0" w:space="0" w:color="auto"/>
        <w:bottom w:val="none" w:sz="0" w:space="0" w:color="auto"/>
        <w:right w:val="none" w:sz="0" w:space="0" w:color="auto"/>
      </w:divBdr>
      <w:divsChild>
        <w:div w:id="1614819175">
          <w:marLeft w:val="0"/>
          <w:marRight w:val="0"/>
          <w:marTop w:val="0"/>
          <w:marBottom w:val="0"/>
          <w:divBdr>
            <w:top w:val="none" w:sz="0" w:space="0" w:color="auto"/>
            <w:left w:val="none" w:sz="0" w:space="0" w:color="auto"/>
            <w:bottom w:val="none" w:sz="0" w:space="0" w:color="auto"/>
            <w:right w:val="none" w:sz="0" w:space="0" w:color="auto"/>
          </w:divBdr>
        </w:div>
      </w:divsChild>
    </w:div>
    <w:div w:id="352268851">
      <w:bodyDiv w:val="1"/>
      <w:marLeft w:val="0"/>
      <w:marRight w:val="0"/>
      <w:marTop w:val="0"/>
      <w:marBottom w:val="0"/>
      <w:divBdr>
        <w:top w:val="none" w:sz="0" w:space="0" w:color="auto"/>
        <w:left w:val="none" w:sz="0" w:space="0" w:color="auto"/>
        <w:bottom w:val="none" w:sz="0" w:space="0" w:color="auto"/>
        <w:right w:val="none" w:sz="0" w:space="0" w:color="auto"/>
      </w:divBdr>
    </w:div>
    <w:div w:id="510608629">
      <w:bodyDiv w:val="1"/>
      <w:marLeft w:val="0"/>
      <w:marRight w:val="0"/>
      <w:marTop w:val="0"/>
      <w:marBottom w:val="0"/>
      <w:divBdr>
        <w:top w:val="none" w:sz="0" w:space="0" w:color="auto"/>
        <w:left w:val="none" w:sz="0" w:space="0" w:color="auto"/>
        <w:bottom w:val="none" w:sz="0" w:space="0" w:color="auto"/>
        <w:right w:val="none" w:sz="0" w:space="0" w:color="auto"/>
      </w:divBdr>
    </w:div>
    <w:div w:id="520437451">
      <w:bodyDiv w:val="1"/>
      <w:marLeft w:val="0"/>
      <w:marRight w:val="0"/>
      <w:marTop w:val="0"/>
      <w:marBottom w:val="0"/>
      <w:divBdr>
        <w:top w:val="none" w:sz="0" w:space="0" w:color="auto"/>
        <w:left w:val="none" w:sz="0" w:space="0" w:color="auto"/>
        <w:bottom w:val="none" w:sz="0" w:space="0" w:color="auto"/>
        <w:right w:val="none" w:sz="0" w:space="0" w:color="auto"/>
      </w:divBdr>
    </w:div>
    <w:div w:id="700860409">
      <w:bodyDiv w:val="1"/>
      <w:marLeft w:val="0"/>
      <w:marRight w:val="0"/>
      <w:marTop w:val="0"/>
      <w:marBottom w:val="0"/>
      <w:divBdr>
        <w:top w:val="none" w:sz="0" w:space="0" w:color="auto"/>
        <w:left w:val="none" w:sz="0" w:space="0" w:color="auto"/>
        <w:bottom w:val="none" w:sz="0" w:space="0" w:color="auto"/>
        <w:right w:val="none" w:sz="0" w:space="0" w:color="auto"/>
      </w:divBdr>
    </w:div>
    <w:div w:id="761804994">
      <w:bodyDiv w:val="1"/>
      <w:marLeft w:val="0"/>
      <w:marRight w:val="0"/>
      <w:marTop w:val="0"/>
      <w:marBottom w:val="0"/>
      <w:divBdr>
        <w:top w:val="none" w:sz="0" w:space="0" w:color="auto"/>
        <w:left w:val="none" w:sz="0" w:space="0" w:color="auto"/>
        <w:bottom w:val="none" w:sz="0" w:space="0" w:color="auto"/>
        <w:right w:val="none" w:sz="0" w:space="0" w:color="auto"/>
      </w:divBdr>
      <w:divsChild>
        <w:div w:id="865023283">
          <w:marLeft w:val="0"/>
          <w:marRight w:val="0"/>
          <w:marTop w:val="0"/>
          <w:marBottom w:val="0"/>
          <w:divBdr>
            <w:top w:val="none" w:sz="0" w:space="0" w:color="auto"/>
            <w:left w:val="none" w:sz="0" w:space="0" w:color="auto"/>
            <w:bottom w:val="none" w:sz="0" w:space="0" w:color="auto"/>
            <w:right w:val="none" w:sz="0" w:space="0" w:color="auto"/>
          </w:divBdr>
        </w:div>
      </w:divsChild>
    </w:div>
    <w:div w:id="781457472">
      <w:bodyDiv w:val="1"/>
      <w:marLeft w:val="0"/>
      <w:marRight w:val="0"/>
      <w:marTop w:val="0"/>
      <w:marBottom w:val="0"/>
      <w:divBdr>
        <w:top w:val="none" w:sz="0" w:space="0" w:color="auto"/>
        <w:left w:val="none" w:sz="0" w:space="0" w:color="auto"/>
        <w:bottom w:val="none" w:sz="0" w:space="0" w:color="auto"/>
        <w:right w:val="none" w:sz="0" w:space="0" w:color="auto"/>
      </w:divBdr>
      <w:divsChild>
        <w:div w:id="1725132626">
          <w:marLeft w:val="0"/>
          <w:marRight w:val="0"/>
          <w:marTop w:val="0"/>
          <w:marBottom w:val="0"/>
          <w:divBdr>
            <w:top w:val="none" w:sz="0" w:space="0" w:color="auto"/>
            <w:left w:val="none" w:sz="0" w:space="0" w:color="auto"/>
            <w:bottom w:val="none" w:sz="0" w:space="0" w:color="auto"/>
            <w:right w:val="none" w:sz="0" w:space="0" w:color="auto"/>
          </w:divBdr>
        </w:div>
      </w:divsChild>
    </w:div>
    <w:div w:id="827480491">
      <w:bodyDiv w:val="1"/>
      <w:marLeft w:val="0"/>
      <w:marRight w:val="0"/>
      <w:marTop w:val="0"/>
      <w:marBottom w:val="0"/>
      <w:divBdr>
        <w:top w:val="none" w:sz="0" w:space="0" w:color="auto"/>
        <w:left w:val="none" w:sz="0" w:space="0" w:color="auto"/>
        <w:bottom w:val="none" w:sz="0" w:space="0" w:color="auto"/>
        <w:right w:val="none" w:sz="0" w:space="0" w:color="auto"/>
      </w:divBdr>
    </w:div>
    <w:div w:id="945114641">
      <w:bodyDiv w:val="1"/>
      <w:marLeft w:val="0"/>
      <w:marRight w:val="0"/>
      <w:marTop w:val="0"/>
      <w:marBottom w:val="0"/>
      <w:divBdr>
        <w:top w:val="none" w:sz="0" w:space="0" w:color="auto"/>
        <w:left w:val="none" w:sz="0" w:space="0" w:color="auto"/>
        <w:bottom w:val="none" w:sz="0" w:space="0" w:color="auto"/>
        <w:right w:val="none" w:sz="0" w:space="0" w:color="auto"/>
      </w:divBdr>
    </w:div>
    <w:div w:id="1078402599">
      <w:bodyDiv w:val="1"/>
      <w:marLeft w:val="0"/>
      <w:marRight w:val="0"/>
      <w:marTop w:val="0"/>
      <w:marBottom w:val="0"/>
      <w:divBdr>
        <w:top w:val="none" w:sz="0" w:space="0" w:color="auto"/>
        <w:left w:val="none" w:sz="0" w:space="0" w:color="auto"/>
        <w:bottom w:val="none" w:sz="0" w:space="0" w:color="auto"/>
        <w:right w:val="none" w:sz="0" w:space="0" w:color="auto"/>
      </w:divBdr>
    </w:div>
    <w:div w:id="1151554448">
      <w:bodyDiv w:val="1"/>
      <w:marLeft w:val="0"/>
      <w:marRight w:val="0"/>
      <w:marTop w:val="0"/>
      <w:marBottom w:val="0"/>
      <w:divBdr>
        <w:top w:val="none" w:sz="0" w:space="0" w:color="auto"/>
        <w:left w:val="none" w:sz="0" w:space="0" w:color="auto"/>
        <w:bottom w:val="none" w:sz="0" w:space="0" w:color="auto"/>
        <w:right w:val="none" w:sz="0" w:space="0" w:color="auto"/>
      </w:divBdr>
    </w:div>
    <w:div w:id="1206024084">
      <w:bodyDiv w:val="1"/>
      <w:marLeft w:val="0"/>
      <w:marRight w:val="0"/>
      <w:marTop w:val="0"/>
      <w:marBottom w:val="0"/>
      <w:divBdr>
        <w:top w:val="none" w:sz="0" w:space="0" w:color="auto"/>
        <w:left w:val="none" w:sz="0" w:space="0" w:color="auto"/>
        <w:bottom w:val="none" w:sz="0" w:space="0" w:color="auto"/>
        <w:right w:val="none" w:sz="0" w:space="0" w:color="auto"/>
      </w:divBdr>
      <w:divsChild>
        <w:div w:id="1046753543">
          <w:marLeft w:val="0"/>
          <w:marRight w:val="0"/>
          <w:marTop w:val="0"/>
          <w:marBottom w:val="0"/>
          <w:divBdr>
            <w:top w:val="none" w:sz="0" w:space="0" w:color="auto"/>
            <w:left w:val="none" w:sz="0" w:space="0" w:color="auto"/>
            <w:bottom w:val="none" w:sz="0" w:space="0" w:color="auto"/>
            <w:right w:val="none" w:sz="0" w:space="0" w:color="auto"/>
          </w:divBdr>
        </w:div>
      </w:divsChild>
    </w:div>
    <w:div w:id="1323847305">
      <w:bodyDiv w:val="1"/>
      <w:marLeft w:val="0"/>
      <w:marRight w:val="0"/>
      <w:marTop w:val="0"/>
      <w:marBottom w:val="0"/>
      <w:divBdr>
        <w:top w:val="none" w:sz="0" w:space="0" w:color="auto"/>
        <w:left w:val="none" w:sz="0" w:space="0" w:color="auto"/>
        <w:bottom w:val="none" w:sz="0" w:space="0" w:color="auto"/>
        <w:right w:val="none" w:sz="0" w:space="0" w:color="auto"/>
      </w:divBdr>
    </w:div>
    <w:div w:id="1529832297">
      <w:bodyDiv w:val="1"/>
      <w:marLeft w:val="0"/>
      <w:marRight w:val="0"/>
      <w:marTop w:val="0"/>
      <w:marBottom w:val="0"/>
      <w:divBdr>
        <w:top w:val="none" w:sz="0" w:space="0" w:color="auto"/>
        <w:left w:val="none" w:sz="0" w:space="0" w:color="auto"/>
        <w:bottom w:val="none" w:sz="0" w:space="0" w:color="auto"/>
        <w:right w:val="none" w:sz="0" w:space="0" w:color="auto"/>
      </w:divBdr>
      <w:divsChild>
        <w:div w:id="1102190872">
          <w:marLeft w:val="0"/>
          <w:marRight w:val="0"/>
          <w:marTop w:val="0"/>
          <w:marBottom w:val="0"/>
          <w:divBdr>
            <w:top w:val="none" w:sz="0" w:space="0" w:color="auto"/>
            <w:left w:val="none" w:sz="0" w:space="0" w:color="auto"/>
            <w:bottom w:val="none" w:sz="0" w:space="0" w:color="auto"/>
            <w:right w:val="none" w:sz="0" w:space="0" w:color="auto"/>
          </w:divBdr>
        </w:div>
      </w:divsChild>
    </w:div>
    <w:div w:id="1643584841">
      <w:bodyDiv w:val="1"/>
      <w:marLeft w:val="0"/>
      <w:marRight w:val="0"/>
      <w:marTop w:val="0"/>
      <w:marBottom w:val="0"/>
      <w:divBdr>
        <w:top w:val="none" w:sz="0" w:space="0" w:color="auto"/>
        <w:left w:val="none" w:sz="0" w:space="0" w:color="auto"/>
        <w:bottom w:val="none" w:sz="0" w:space="0" w:color="auto"/>
        <w:right w:val="none" w:sz="0" w:space="0" w:color="auto"/>
      </w:divBdr>
    </w:div>
    <w:div w:id="1923490714">
      <w:bodyDiv w:val="1"/>
      <w:marLeft w:val="0"/>
      <w:marRight w:val="0"/>
      <w:marTop w:val="0"/>
      <w:marBottom w:val="0"/>
      <w:divBdr>
        <w:top w:val="none" w:sz="0" w:space="0" w:color="auto"/>
        <w:left w:val="none" w:sz="0" w:space="0" w:color="auto"/>
        <w:bottom w:val="none" w:sz="0" w:space="0" w:color="auto"/>
        <w:right w:val="none" w:sz="0" w:space="0" w:color="auto"/>
      </w:divBdr>
    </w:div>
    <w:div w:id="2022275471">
      <w:bodyDiv w:val="1"/>
      <w:marLeft w:val="0"/>
      <w:marRight w:val="0"/>
      <w:marTop w:val="0"/>
      <w:marBottom w:val="0"/>
      <w:divBdr>
        <w:top w:val="none" w:sz="0" w:space="0" w:color="auto"/>
        <w:left w:val="none" w:sz="0" w:space="0" w:color="auto"/>
        <w:bottom w:val="none" w:sz="0" w:space="0" w:color="auto"/>
        <w:right w:val="none" w:sz="0" w:space="0" w:color="auto"/>
      </w:divBdr>
      <w:divsChild>
        <w:div w:id="1727532769">
          <w:marLeft w:val="0"/>
          <w:marRight w:val="0"/>
          <w:marTop w:val="0"/>
          <w:marBottom w:val="0"/>
          <w:divBdr>
            <w:top w:val="none" w:sz="0" w:space="0" w:color="auto"/>
            <w:left w:val="none" w:sz="0" w:space="0" w:color="auto"/>
            <w:bottom w:val="none" w:sz="0" w:space="0" w:color="auto"/>
            <w:right w:val="none" w:sz="0" w:space="0" w:color="auto"/>
          </w:divBdr>
        </w:div>
      </w:divsChild>
    </w:div>
    <w:div w:id="2035879399">
      <w:bodyDiv w:val="1"/>
      <w:marLeft w:val="0"/>
      <w:marRight w:val="0"/>
      <w:marTop w:val="0"/>
      <w:marBottom w:val="0"/>
      <w:divBdr>
        <w:top w:val="none" w:sz="0" w:space="0" w:color="auto"/>
        <w:left w:val="none" w:sz="0" w:space="0" w:color="auto"/>
        <w:bottom w:val="none" w:sz="0" w:space="0" w:color="auto"/>
        <w:right w:val="none" w:sz="0" w:space="0" w:color="auto"/>
      </w:divBdr>
    </w:div>
    <w:div w:id="2064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3318</Words>
  <Characters>18916</Characters>
  <Application>Microsoft Office Word</Application>
  <DocSecurity>0</DocSecurity>
  <Lines>157</Lines>
  <Paragraphs>44</Paragraphs>
  <ScaleCrop>false</ScaleCrop>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2017-07-26T02:52:00Z</dcterms:created>
  <dcterms:modified xsi:type="dcterms:W3CDTF">2018-01-23T03:18:00Z</dcterms:modified>
</cp:coreProperties>
</file>