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489" w:rsidRPr="005B5D2A" w:rsidRDefault="00164489" w:rsidP="00164489">
      <w:pPr>
        <w:pStyle w:val="Titlepage"/>
        <w:spacing w:before="3240"/>
      </w:pPr>
      <w:bookmarkStart w:id="0" w:name="_Ref468030548"/>
      <w:r w:rsidRPr="005B5D2A">
        <w:t>Pharmaceutical Benefits Scheme</w:t>
      </w:r>
    </w:p>
    <w:p w:rsidR="00164489" w:rsidRPr="005B5D2A" w:rsidRDefault="00164489" w:rsidP="00164489">
      <w:pPr>
        <w:pStyle w:val="Titlepage"/>
        <w:spacing w:before="200"/>
        <w:rPr>
          <w:b/>
        </w:rPr>
      </w:pPr>
      <w:r w:rsidRPr="005B5D2A">
        <w:rPr>
          <w:b/>
        </w:rPr>
        <w:t>Post-market Review</w:t>
      </w:r>
      <w:r w:rsidR="007F6CD0">
        <w:rPr>
          <w:b/>
        </w:rPr>
        <w:t xml:space="preserve"> of</w:t>
      </w:r>
    </w:p>
    <w:p w:rsidR="00164489" w:rsidRDefault="00164489" w:rsidP="00164489">
      <w:pPr>
        <w:pStyle w:val="Titlepage"/>
        <w:spacing w:before="200"/>
        <w:rPr>
          <w:b/>
          <w:color w:val="4F81BD"/>
        </w:rPr>
      </w:pPr>
      <w:r w:rsidRPr="00194011">
        <w:rPr>
          <w:b/>
          <w:color w:val="4F81BD"/>
        </w:rPr>
        <w:t>Chronic Obstructive Pulmonary Disease Medicines</w:t>
      </w:r>
    </w:p>
    <w:p w:rsidR="00164489" w:rsidRPr="00194011" w:rsidRDefault="00164489" w:rsidP="00164489">
      <w:pPr>
        <w:pStyle w:val="Titlepage"/>
        <w:spacing w:before="200"/>
        <w:rPr>
          <w:b/>
          <w:color w:val="4F81BD"/>
        </w:rPr>
      </w:pPr>
      <w:r>
        <w:rPr>
          <w:b/>
          <w:color w:val="4F81BD"/>
        </w:rPr>
        <w:t>ToR 3</w:t>
      </w:r>
    </w:p>
    <w:p w:rsidR="00164489" w:rsidRPr="00194011" w:rsidRDefault="00B350A1" w:rsidP="00164489">
      <w:pPr>
        <w:pStyle w:val="Titlepage"/>
        <w:spacing w:before="3120"/>
        <w:rPr>
          <w:b/>
          <w:color w:val="4F81BD"/>
          <w:sz w:val="32"/>
          <w:szCs w:val="32"/>
        </w:rPr>
      </w:pPr>
      <w:r>
        <w:rPr>
          <w:b/>
          <w:color w:val="4F81BD"/>
          <w:sz w:val="32"/>
          <w:szCs w:val="32"/>
        </w:rPr>
        <w:t>Final</w:t>
      </w:r>
      <w:r w:rsidR="00164489" w:rsidRPr="00194011">
        <w:rPr>
          <w:b/>
          <w:color w:val="4F81BD"/>
          <w:sz w:val="32"/>
          <w:szCs w:val="32"/>
        </w:rPr>
        <w:t xml:space="preserve"> Report</w:t>
      </w:r>
    </w:p>
    <w:p w:rsidR="00164489" w:rsidRDefault="00472068" w:rsidP="00164489">
      <w:pPr>
        <w:pStyle w:val="Titlepage"/>
        <w:spacing w:before="3120"/>
        <w:rPr>
          <w:b/>
          <w:sz w:val="32"/>
          <w:szCs w:val="32"/>
        </w:rPr>
        <w:sectPr w:rsidR="00164489" w:rsidSect="00CB3D44">
          <w:headerReference w:type="default" r:id="rId8"/>
          <w:footerReference w:type="default" r:id="rId9"/>
          <w:headerReference w:type="first" r:id="rId10"/>
          <w:footerReference w:type="first" r:id="rId11"/>
          <w:pgSz w:w="11906" w:h="16838"/>
          <w:pgMar w:top="1134" w:right="1134" w:bottom="1134" w:left="1134" w:header="708" w:footer="708" w:gutter="0"/>
          <w:pgNumType w:fmt="lowerRoman" w:start="1"/>
          <w:cols w:space="708"/>
          <w:titlePg/>
          <w:docGrid w:linePitch="360"/>
        </w:sectPr>
      </w:pPr>
      <w:r>
        <w:rPr>
          <w:b/>
          <w:sz w:val="32"/>
          <w:szCs w:val="32"/>
        </w:rPr>
        <w:t>August</w:t>
      </w:r>
      <w:bookmarkStart w:id="1" w:name="_GoBack"/>
      <w:bookmarkEnd w:id="1"/>
      <w:r w:rsidR="00164489">
        <w:rPr>
          <w:b/>
          <w:sz w:val="32"/>
          <w:szCs w:val="32"/>
        </w:rPr>
        <w:t xml:space="preserve"> 2017</w:t>
      </w:r>
    </w:p>
    <w:p w:rsidR="00164489" w:rsidRPr="00A865FF" w:rsidRDefault="00164489" w:rsidP="00164489">
      <w:pPr>
        <w:pStyle w:val="TOCHeading"/>
      </w:pPr>
      <w:r w:rsidRPr="007C6357">
        <w:lastRenderedPageBreak/>
        <w:t>Contents</w:t>
      </w:r>
    </w:p>
    <w:p w:rsidR="0014196D" w:rsidRDefault="0014196D">
      <w:pPr>
        <w:pStyle w:val="TOC1"/>
        <w:rPr>
          <w:rFonts w:asciiTheme="minorHAnsi" w:eastAsiaTheme="minorEastAsia" w:hAnsiTheme="minorHAnsi" w:cstheme="minorBidi"/>
          <w:sz w:val="22"/>
          <w:szCs w:val="22"/>
          <w:lang w:eastAsia="en-AU"/>
        </w:rPr>
      </w:pPr>
      <w:r w:rsidRPr="00744026">
        <w:t>Section 3: ToR 3 Review of LAMA and LABA efficacy and safety</w:t>
      </w:r>
      <w:r>
        <w:rPr>
          <w:webHidden/>
        </w:rPr>
        <w:tab/>
      </w:r>
      <w:r w:rsidR="00E409CC">
        <w:rPr>
          <w:webHidden/>
        </w:rPr>
        <w:t>7</w:t>
      </w:r>
    </w:p>
    <w:p w:rsidR="0014196D" w:rsidRDefault="0014196D">
      <w:pPr>
        <w:pStyle w:val="TOC2"/>
        <w:rPr>
          <w:rFonts w:asciiTheme="minorHAnsi" w:eastAsiaTheme="minorEastAsia" w:hAnsiTheme="minorHAnsi" w:cstheme="minorBidi"/>
          <w:noProof/>
          <w:sz w:val="22"/>
          <w:szCs w:val="22"/>
          <w:lang w:eastAsia="en-AU"/>
        </w:rPr>
      </w:pPr>
      <w:r w:rsidRPr="00744026">
        <w:rPr>
          <w:noProof/>
        </w:rPr>
        <w:t>3.1</w:t>
      </w:r>
      <w:r>
        <w:rPr>
          <w:rFonts w:asciiTheme="minorHAnsi" w:eastAsiaTheme="minorEastAsia" w:hAnsiTheme="minorHAnsi" w:cstheme="minorBidi"/>
          <w:noProof/>
          <w:sz w:val="22"/>
          <w:szCs w:val="22"/>
          <w:lang w:eastAsia="en-AU"/>
        </w:rPr>
        <w:tab/>
      </w:r>
      <w:r w:rsidRPr="00744026">
        <w:rPr>
          <w:noProof/>
        </w:rPr>
        <w:t>Key findings for ToR 3</w:t>
      </w:r>
      <w:r>
        <w:rPr>
          <w:noProof/>
          <w:webHidden/>
        </w:rPr>
        <w:tab/>
      </w:r>
      <w:r w:rsidR="00E409CC">
        <w:rPr>
          <w:noProof/>
          <w:webHidden/>
        </w:rPr>
        <w:t>7</w:t>
      </w:r>
    </w:p>
    <w:p w:rsidR="0014196D" w:rsidRDefault="0014196D">
      <w:pPr>
        <w:pStyle w:val="TOC3"/>
        <w:tabs>
          <w:tab w:val="left" w:pos="1851"/>
        </w:tabs>
        <w:rPr>
          <w:rFonts w:asciiTheme="minorHAnsi" w:eastAsiaTheme="minorEastAsia" w:hAnsiTheme="minorHAnsi" w:cstheme="minorBidi"/>
          <w:noProof/>
          <w:sz w:val="22"/>
          <w:szCs w:val="22"/>
          <w:lang w:eastAsia="en-AU"/>
        </w:rPr>
      </w:pPr>
      <w:r w:rsidRPr="00744026">
        <w:rPr>
          <w:noProof/>
        </w:rPr>
        <w:t>3.1.1</w:t>
      </w:r>
      <w:r>
        <w:rPr>
          <w:rFonts w:asciiTheme="minorHAnsi" w:eastAsiaTheme="minorEastAsia" w:hAnsiTheme="minorHAnsi" w:cstheme="minorBidi"/>
          <w:noProof/>
          <w:sz w:val="22"/>
          <w:szCs w:val="22"/>
          <w:lang w:eastAsia="en-AU"/>
        </w:rPr>
        <w:tab/>
      </w:r>
      <w:r w:rsidRPr="00744026">
        <w:rPr>
          <w:noProof/>
        </w:rPr>
        <w:t>Monotherapy versus monotherapy in patients with COPD</w:t>
      </w:r>
      <w:r>
        <w:rPr>
          <w:noProof/>
          <w:webHidden/>
        </w:rPr>
        <w:tab/>
      </w:r>
      <w:r w:rsidR="00E409CC">
        <w:rPr>
          <w:noProof/>
          <w:webHidden/>
        </w:rPr>
        <w:t>7</w:t>
      </w:r>
    </w:p>
    <w:p w:rsidR="0014196D" w:rsidRDefault="0014196D">
      <w:pPr>
        <w:pStyle w:val="TOC3"/>
        <w:tabs>
          <w:tab w:val="left" w:pos="1851"/>
        </w:tabs>
        <w:rPr>
          <w:rFonts w:asciiTheme="minorHAnsi" w:eastAsiaTheme="minorEastAsia" w:hAnsiTheme="minorHAnsi" w:cstheme="minorBidi"/>
          <w:noProof/>
          <w:sz w:val="22"/>
          <w:szCs w:val="22"/>
          <w:lang w:eastAsia="en-AU"/>
        </w:rPr>
      </w:pPr>
      <w:r w:rsidRPr="00744026">
        <w:rPr>
          <w:noProof/>
        </w:rPr>
        <w:t>3.1.2</w:t>
      </w:r>
      <w:r>
        <w:rPr>
          <w:rFonts w:asciiTheme="minorHAnsi" w:eastAsiaTheme="minorEastAsia" w:hAnsiTheme="minorHAnsi" w:cstheme="minorBidi"/>
          <w:noProof/>
          <w:sz w:val="22"/>
          <w:szCs w:val="22"/>
          <w:lang w:eastAsia="en-AU"/>
        </w:rPr>
        <w:tab/>
      </w:r>
      <w:r w:rsidRPr="00744026">
        <w:rPr>
          <w:noProof/>
        </w:rPr>
        <w:t>Monotherapy versus dual therapy in patients with COPD</w:t>
      </w:r>
      <w:r>
        <w:rPr>
          <w:noProof/>
          <w:webHidden/>
        </w:rPr>
        <w:tab/>
      </w:r>
      <w:r w:rsidR="00E409CC">
        <w:rPr>
          <w:noProof/>
          <w:webHidden/>
        </w:rPr>
        <w:t>8</w:t>
      </w:r>
    </w:p>
    <w:p w:rsidR="0014196D" w:rsidRDefault="0014196D">
      <w:pPr>
        <w:pStyle w:val="TOC3"/>
        <w:tabs>
          <w:tab w:val="left" w:pos="1851"/>
        </w:tabs>
        <w:rPr>
          <w:rFonts w:asciiTheme="minorHAnsi" w:eastAsiaTheme="minorEastAsia" w:hAnsiTheme="minorHAnsi" w:cstheme="minorBidi"/>
          <w:noProof/>
          <w:sz w:val="22"/>
          <w:szCs w:val="22"/>
          <w:lang w:eastAsia="en-AU"/>
        </w:rPr>
      </w:pPr>
      <w:r w:rsidRPr="00744026">
        <w:rPr>
          <w:noProof/>
        </w:rPr>
        <w:t>3.1.3</w:t>
      </w:r>
      <w:r>
        <w:rPr>
          <w:rFonts w:asciiTheme="minorHAnsi" w:eastAsiaTheme="minorEastAsia" w:hAnsiTheme="minorHAnsi" w:cstheme="minorBidi"/>
          <w:noProof/>
          <w:sz w:val="22"/>
          <w:szCs w:val="22"/>
          <w:lang w:eastAsia="en-AU"/>
        </w:rPr>
        <w:tab/>
      </w:r>
      <w:r w:rsidRPr="00744026">
        <w:rPr>
          <w:noProof/>
        </w:rPr>
        <w:t>Dual therapy versus dual therapy in patients with COPD</w:t>
      </w:r>
      <w:r>
        <w:rPr>
          <w:noProof/>
          <w:webHidden/>
        </w:rPr>
        <w:tab/>
      </w:r>
      <w:r w:rsidR="00E409CC">
        <w:rPr>
          <w:noProof/>
          <w:webHidden/>
        </w:rPr>
        <w:t>10</w:t>
      </w:r>
    </w:p>
    <w:p w:rsidR="0014196D" w:rsidRDefault="0014196D">
      <w:pPr>
        <w:pStyle w:val="TOC3"/>
        <w:tabs>
          <w:tab w:val="left" w:pos="1851"/>
        </w:tabs>
        <w:rPr>
          <w:rFonts w:asciiTheme="minorHAnsi" w:eastAsiaTheme="minorEastAsia" w:hAnsiTheme="minorHAnsi" w:cstheme="minorBidi"/>
          <w:noProof/>
          <w:sz w:val="22"/>
          <w:szCs w:val="22"/>
          <w:lang w:eastAsia="en-AU"/>
        </w:rPr>
      </w:pPr>
      <w:r w:rsidRPr="00744026">
        <w:rPr>
          <w:noProof/>
        </w:rPr>
        <w:t>3.1.4</w:t>
      </w:r>
      <w:r>
        <w:rPr>
          <w:rFonts w:asciiTheme="minorHAnsi" w:eastAsiaTheme="minorEastAsia" w:hAnsiTheme="minorHAnsi" w:cstheme="minorBidi"/>
          <w:noProof/>
          <w:sz w:val="22"/>
          <w:szCs w:val="22"/>
          <w:lang w:eastAsia="en-AU"/>
        </w:rPr>
        <w:tab/>
      </w:r>
      <w:r w:rsidRPr="00744026">
        <w:rPr>
          <w:noProof/>
        </w:rPr>
        <w:t>Dual therapy versus triple therapy in patients with COPD</w:t>
      </w:r>
      <w:r>
        <w:rPr>
          <w:noProof/>
          <w:webHidden/>
        </w:rPr>
        <w:tab/>
      </w:r>
      <w:r w:rsidR="00E409CC">
        <w:rPr>
          <w:noProof/>
          <w:webHidden/>
        </w:rPr>
        <w:t>12</w:t>
      </w:r>
    </w:p>
    <w:p w:rsidR="0014196D" w:rsidRDefault="0014196D">
      <w:pPr>
        <w:pStyle w:val="TOC3"/>
        <w:tabs>
          <w:tab w:val="left" w:pos="1851"/>
        </w:tabs>
        <w:rPr>
          <w:rFonts w:asciiTheme="minorHAnsi" w:eastAsiaTheme="minorEastAsia" w:hAnsiTheme="minorHAnsi" w:cstheme="minorBidi"/>
          <w:noProof/>
          <w:sz w:val="22"/>
          <w:szCs w:val="22"/>
          <w:lang w:eastAsia="en-AU"/>
        </w:rPr>
      </w:pPr>
      <w:r w:rsidRPr="00744026">
        <w:rPr>
          <w:noProof/>
        </w:rPr>
        <w:t>3.1.5</w:t>
      </w:r>
      <w:r>
        <w:rPr>
          <w:rFonts w:asciiTheme="minorHAnsi" w:eastAsiaTheme="minorEastAsia" w:hAnsiTheme="minorHAnsi" w:cstheme="minorBidi"/>
          <w:noProof/>
          <w:sz w:val="22"/>
          <w:szCs w:val="22"/>
          <w:lang w:eastAsia="en-AU"/>
        </w:rPr>
        <w:tab/>
      </w:r>
      <w:r w:rsidRPr="00744026">
        <w:rPr>
          <w:noProof/>
        </w:rPr>
        <w:t>Stakeholder views (Forum and public consultations)</w:t>
      </w:r>
      <w:r>
        <w:rPr>
          <w:noProof/>
          <w:webHidden/>
        </w:rPr>
        <w:tab/>
      </w:r>
      <w:r w:rsidR="00E409CC">
        <w:rPr>
          <w:noProof/>
          <w:webHidden/>
        </w:rPr>
        <w:t>13</w:t>
      </w:r>
    </w:p>
    <w:p w:rsidR="0014196D" w:rsidRDefault="0014196D">
      <w:pPr>
        <w:pStyle w:val="TOC2"/>
        <w:rPr>
          <w:rFonts w:asciiTheme="minorHAnsi" w:eastAsiaTheme="minorEastAsia" w:hAnsiTheme="minorHAnsi" w:cstheme="minorBidi"/>
          <w:noProof/>
          <w:sz w:val="22"/>
          <w:szCs w:val="22"/>
          <w:lang w:eastAsia="en-AU"/>
        </w:rPr>
      </w:pPr>
      <w:r w:rsidRPr="00744026">
        <w:rPr>
          <w:noProof/>
        </w:rPr>
        <w:t>3.2</w:t>
      </w:r>
      <w:r>
        <w:rPr>
          <w:rFonts w:asciiTheme="minorHAnsi" w:eastAsiaTheme="minorEastAsia" w:hAnsiTheme="minorHAnsi" w:cstheme="minorBidi"/>
          <w:noProof/>
          <w:sz w:val="22"/>
          <w:szCs w:val="22"/>
          <w:lang w:eastAsia="en-AU"/>
        </w:rPr>
        <w:tab/>
      </w:r>
      <w:r w:rsidRPr="00744026">
        <w:rPr>
          <w:noProof/>
        </w:rPr>
        <w:t>Background</w:t>
      </w:r>
      <w:r>
        <w:rPr>
          <w:noProof/>
          <w:webHidden/>
        </w:rPr>
        <w:tab/>
      </w:r>
      <w:r w:rsidR="00E409CC">
        <w:rPr>
          <w:noProof/>
          <w:webHidden/>
        </w:rPr>
        <w:t>14</w:t>
      </w:r>
    </w:p>
    <w:p w:rsidR="0014196D" w:rsidRDefault="0014196D">
      <w:pPr>
        <w:pStyle w:val="TOC3"/>
        <w:tabs>
          <w:tab w:val="left" w:pos="1851"/>
        </w:tabs>
        <w:rPr>
          <w:rFonts w:asciiTheme="minorHAnsi" w:eastAsiaTheme="minorEastAsia" w:hAnsiTheme="minorHAnsi" w:cstheme="minorBidi"/>
          <w:noProof/>
          <w:sz w:val="22"/>
          <w:szCs w:val="22"/>
          <w:lang w:eastAsia="en-AU"/>
        </w:rPr>
      </w:pPr>
      <w:r w:rsidRPr="00744026">
        <w:rPr>
          <w:noProof/>
        </w:rPr>
        <w:t>3.2.1</w:t>
      </w:r>
      <w:r>
        <w:rPr>
          <w:rFonts w:asciiTheme="minorHAnsi" w:eastAsiaTheme="minorEastAsia" w:hAnsiTheme="minorHAnsi" w:cstheme="minorBidi"/>
          <w:noProof/>
          <w:sz w:val="22"/>
          <w:szCs w:val="22"/>
          <w:lang w:eastAsia="en-AU"/>
        </w:rPr>
        <w:tab/>
      </w:r>
      <w:r w:rsidRPr="00744026">
        <w:rPr>
          <w:noProof/>
        </w:rPr>
        <w:t>LAMAs</w:t>
      </w:r>
      <w:r>
        <w:rPr>
          <w:noProof/>
          <w:webHidden/>
        </w:rPr>
        <w:tab/>
      </w:r>
      <w:r w:rsidR="00E409CC">
        <w:rPr>
          <w:noProof/>
          <w:webHidden/>
        </w:rPr>
        <w:t>14</w:t>
      </w:r>
    </w:p>
    <w:p w:rsidR="0014196D" w:rsidRDefault="0014196D">
      <w:pPr>
        <w:pStyle w:val="TOC3"/>
        <w:tabs>
          <w:tab w:val="left" w:pos="1851"/>
        </w:tabs>
        <w:rPr>
          <w:rFonts w:asciiTheme="minorHAnsi" w:eastAsiaTheme="minorEastAsia" w:hAnsiTheme="minorHAnsi" w:cstheme="minorBidi"/>
          <w:noProof/>
          <w:sz w:val="22"/>
          <w:szCs w:val="22"/>
          <w:lang w:eastAsia="en-AU"/>
        </w:rPr>
      </w:pPr>
      <w:r w:rsidRPr="00744026">
        <w:rPr>
          <w:noProof/>
        </w:rPr>
        <w:t>3.2.2</w:t>
      </w:r>
      <w:r>
        <w:rPr>
          <w:rFonts w:asciiTheme="minorHAnsi" w:eastAsiaTheme="minorEastAsia" w:hAnsiTheme="minorHAnsi" w:cstheme="minorBidi"/>
          <w:noProof/>
          <w:sz w:val="22"/>
          <w:szCs w:val="22"/>
          <w:lang w:eastAsia="en-AU"/>
        </w:rPr>
        <w:tab/>
      </w:r>
      <w:r w:rsidRPr="00744026">
        <w:rPr>
          <w:noProof/>
        </w:rPr>
        <w:t>LABAs</w:t>
      </w:r>
      <w:r>
        <w:rPr>
          <w:noProof/>
          <w:webHidden/>
        </w:rPr>
        <w:tab/>
      </w:r>
      <w:r w:rsidR="00E409CC">
        <w:rPr>
          <w:noProof/>
          <w:webHidden/>
        </w:rPr>
        <w:t>15</w:t>
      </w:r>
    </w:p>
    <w:p w:rsidR="0014196D" w:rsidRDefault="0014196D">
      <w:pPr>
        <w:pStyle w:val="TOC3"/>
        <w:tabs>
          <w:tab w:val="left" w:pos="1851"/>
        </w:tabs>
        <w:rPr>
          <w:rFonts w:asciiTheme="minorHAnsi" w:eastAsiaTheme="minorEastAsia" w:hAnsiTheme="minorHAnsi" w:cstheme="minorBidi"/>
          <w:noProof/>
          <w:sz w:val="22"/>
          <w:szCs w:val="22"/>
          <w:lang w:eastAsia="en-AU"/>
        </w:rPr>
      </w:pPr>
      <w:r w:rsidRPr="00744026">
        <w:rPr>
          <w:noProof/>
        </w:rPr>
        <w:t>3.2.3</w:t>
      </w:r>
      <w:r>
        <w:rPr>
          <w:rFonts w:asciiTheme="minorHAnsi" w:eastAsiaTheme="minorEastAsia" w:hAnsiTheme="minorHAnsi" w:cstheme="minorBidi"/>
          <w:noProof/>
          <w:sz w:val="22"/>
          <w:szCs w:val="22"/>
          <w:lang w:eastAsia="en-AU"/>
        </w:rPr>
        <w:tab/>
      </w:r>
      <w:r w:rsidRPr="00744026">
        <w:rPr>
          <w:noProof/>
        </w:rPr>
        <w:t>LAMA/LABA dual therapy</w:t>
      </w:r>
      <w:r>
        <w:rPr>
          <w:noProof/>
          <w:webHidden/>
        </w:rPr>
        <w:tab/>
      </w:r>
      <w:r w:rsidR="00E409CC">
        <w:rPr>
          <w:noProof/>
          <w:webHidden/>
        </w:rPr>
        <w:t>16</w:t>
      </w:r>
    </w:p>
    <w:p w:rsidR="0014196D" w:rsidRDefault="0014196D">
      <w:pPr>
        <w:pStyle w:val="TOC3"/>
        <w:tabs>
          <w:tab w:val="left" w:pos="1851"/>
        </w:tabs>
        <w:rPr>
          <w:rFonts w:asciiTheme="minorHAnsi" w:eastAsiaTheme="minorEastAsia" w:hAnsiTheme="minorHAnsi" w:cstheme="minorBidi"/>
          <w:noProof/>
          <w:sz w:val="22"/>
          <w:szCs w:val="22"/>
          <w:lang w:eastAsia="en-AU"/>
        </w:rPr>
      </w:pPr>
      <w:r w:rsidRPr="00744026">
        <w:rPr>
          <w:noProof/>
        </w:rPr>
        <w:t>3.2.4</w:t>
      </w:r>
      <w:r>
        <w:rPr>
          <w:rFonts w:asciiTheme="minorHAnsi" w:eastAsiaTheme="minorEastAsia" w:hAnsiTheme="minorHAnsi" w:cstheme="minorBidi"/>
          <w:noProof/>
          <w:sz w:val="22"/>
          <w:szCs w:val="22"/>
          <w:lang w:eastAsia="en-AU"/>
        </w:rPr>
        <w:tab/>
      </w:r>
      <w:r w:rsidRPr="00744026">
        <w:rPr>
          <w:noProof/>
        </w:rPr>
        <w:t>ICS/LABA dual therapy</w:t>
      </w:r>
      <w:r>
        <w:rPr>
          <w:noProof/>
          <w:webHidden/>
        </w:rPr>
        <w:tab/>
      </w:r>
      <w:r w:rsidR="00E409CC">
        <w:rPr>
          <w:noProof/>
          <w:webHidden/>
        </w:rPr>
        <w:t>17</w:t>
      </w:r>
    </w:p>
    <w:p w:rsidR="0014196D" w:rsidRDefault="0014196D">
      <w:pPr>
        <w:pStyle w:val="TOC2"/>
        <w:rPr>
          <w:rFonts w:asciiTheme="minorHAnsi" w:eastAsiaTheme="minorEastAsia" w:hAnsiTheme="minorHAnsi" w:cstheme="minorBidi"/>
          <w:noProof/>
          <w:sz w:val="22"/>
          <w:szCs w:val="22"/>
          <w:lang w:eastAsia="en-AU"/>
        </w:rPr>
      </w:pPr>
      <w:r w:rsidRPr="00744026">
        <w:rPr>
          <w:noProof/>
        </w:rPr>
        <w:t>3.3</w:t>
      </w:r>
      <w:r>
        <w:rPr>
          <w:rFonts w:asciiTheme="minorHAnsi" w:eastAsiaTheme="minorEastAsia" w:hAnsiTheme="minorHAnsi" w:cstheme="minorBidi"/>
          <w:noProof/>
          <w:sz w:val="22"/>
          <w:szCs w:val="22"/>
          <w:lang w:eastAsia="en-AU"/>
        </w:rPr>
        <w:tab/>
      </w:r>
      <w:r w:rsidRPr="00744026">
        <w:rPr>
          <w:noProof/>
        </w:rPr>
        <w:t>Methodology</w:t>
      </w:r>
      <w:r>
        <w:rPr>
          <w:noProof/>
          <w:webHidden/>
        </w:rPr>
        <w:tab/>
      </w:r>
      <w:r w:rsidR="00E409CC">
        <w:rPr>
          <w:noProof/>
          <w:webHidden/>
        </w:rPr>
        <w:t>18</w:t>
      </w:r>
    </w:p>
    <w:p w:rsidR="0014196D" w:rsidRDefault="0014196D">
      <w:pPr>
        <w:pStyle w:val="TOC3"/>
        <w:tabs>
          <w:tab w:val="left" w:pos="1851"/>
        </w:tabs>
        <w:rPr>
          <w:rFonts w:asciiTheme="minorHAnsi" w:eastAsiaTheme="minorEastAsia" w:hAnsiTheme="minorHAnsi" w:cstheme="minorBidi"/>
          <w:noProof/>
          <w:sz w:val="22"/>
          <w:szCs w:val="22"/>
          <w:lang w:eastAsia="en-AU"/>
        </w:rPr>
      </w:pPr>
      <w:r w:rsidRPr="00744026">
        <w:rPr>
          <w:noProof/>
        </w:rPr>
        <w:t>3.3.1</w:t>
      </w:r>
      <w:r>
        <w:rPr>
          <w:rFonts w:asciiTheme="minorHAnsi" w:eastAsiaTheme="minorEastAsia" w:hAnsiTheme="minorHAnsi" w:cstheme="minorBidi"/>
          <w:noProof/>
          <w:sz w:val="22"/>
          <w:szCs w:val="22"/>
          <w:lang w:eastAsia="en-AU"/>
        </w:rPr>
        <w:tab/>
      </w:r>
      <w:r w:rsidRPr="00744026">
        <w:rPr>
          <w:noProof/>
        </w:rPr>
        <w:t>Identification of relevant studies</w:t>
      </w:r>
      <w:r>
        <w:rPr>
          <w:noProof/>
          <w:webHidden/>
        </w:rPr>
        <w:tab/>
      </w:r>
      <w:r w:rsidR="00E409CC">
        <w:rPr>
          <w:noProof/>
          <w:webHidden/>
        </w:rPr>
        <w:t>18</w:t>
      </w:r>
    </w:p>
    <w:p w:rsidR="0014196D" w:rsidRDefault="0014196D">
      <w:pPr>
        <w:pStyle w:val="TOC3"/>
        <w:tabs>
          <w:tab w:val="left" w:pos="1851"/>
        </w:tabs>
        <w:rPr>
          <w:rFonts w:asciiTheme="minorHAnsi" w:eastAsiaTheme="minorEastAsia" w:hAnsiTheme="minorHAnsi" w:cstheme="minorBidi"/>
          <w:noProof/>
          <w:sz w:val="22"/>
          <w:szCs w:val="22"/>
          <w:lang w:eastAsia="en-AU"/>
        </w:rPr>
      </w:pPr>
      <w:r w:rsidRPr="00744026">
        <w:rPr>
          <w:noProof/>
        </w:rPr>
        <w:t>3.3.2</w:t>
      </w:r>
      <w:r>
        <w:rPr>
          <w:rFonts w:asciiTheme="minorHAnsi" w:eastAsiaTheme="minorEastAsia" w:hAnsiTheme="minorHAnsi" w:cstheme="minorBidi"/>
          <w:noProof/>
          <w:sz w:val="22"/>
          <w:szCs w:val="22"/>
          <w:lang w:eastAsia="en-AU"/>
        </w:rPr>
        <w:tab/>
      </w:r>
      <w:r w:rsidRPr="00744026">
        <w:rPr>
          <w:noProof/>
        </w:rPr>
        <w:t>Search results and selection of evidence</w:t>
      </w:r>
      <w:r>
        <w:rPr>
          <w:noProof/>
          <w:webHidden/>
        </w:rPr>
        <w:tab/>
      </w:r>
      <w:r w:rsidR="00E409CC">
        <w:rPr>
          <w:noProof/>
          <w:webHidden/>
        </w:rPr>
        <w:t>19</w:t>
      </w:r>
    </w:p>
    <w:p w:rsidR="0014196D" w:rsidRDefault="0014196D">
      <w:pPr>
        <w:pStyle w:val="TOC3"/>
        <w:tabs>
          <w:tab w:val="left" w:pos="1851"/>
        </w:tabs>
        <w:rPr>
          <w:rFonts w:asciiTheme="minorHAnsi" w:eastAsiaTheme="minorEastAsia" w:hAnsiTheme="minorHAnsi" w:cstheme="minorBidi"/>
          <w:noProof/>
          <w:sz w:val="22"/>
          <w:szCs w:val="22"/>
          <w:lang w:eastAsia="en-AU"/>
        </w:rPr>
      </w:pPr>
      <w:r w:rsidRPr="00744026">
        <w:rPr>
          <w:noProof/>
        </w:rPr>
        <w:t>3.3.3</w:t>
      </w:r>
      <w:r>
        <w:rPr>
          <w:rFonts w:asciiTheme="minorHAnsi" w:eastAsiaTheme="minorEastAsia" w:hAnsiTheme="minorHAnsi" w:cstheme="minorBidi"/>
          <w:noProof/>
          <w:sz w:val="22"/>
          <w:szCs w:val="22"/>
          <w:lang w:eastAsia="en-AU"/>
        </w:rPr>
        <w:tab/>
      </w:r>
      <w:r w:rsidRPr="00744026">
        <w:rPr>
          <w:noProof/>
        </w:rPr>
        <w:t>Critical appraisal and data extraction</w:t>
      </w:r>
      <w:r>
        <w:rPr>
          <w:noProof/>
          <w:webHidden/>
        </w:rPr>
        <w:tab/>
      </w:r>
      <w:r w:rsidR="00E409CC">
        <w:rPr>
          <w:noProof/>
          <w:webHidden/>
        </w:rPr>
        <w:t>21</w:t>
      </w:r>
    </w:p>
    <w:p w:rsidR="0014196D" w:rsidRDefault="0014196D">
      <w:pPr>
        <w:pStyle w:val="TOC2"/>
        <w:rPr>
          <w:rFonts w:asciiTheme="minorHAnsi" w:eastAsiaTheme="minorEastAsia" w:hAnsiTheme="minorHAnsi" w:cstheme="minorBidi"/>
          <w:noProof/>
          <w:sz w:val="22"/>
          <w:szCs w:val="22"/>
          <w:lang w:eastAsia="en-AU"/>
        </w:rPr>
      </w:pPr>
      <w:r w:rsidRPr="00744026">
        <w:rPr>
          <w:noProof/>
        </w:rPr>
        <w:t>3.4</w:t>
      </w:r>
      <w:r>
        <w:rPr>
          <w:rFonts w:asciiTheme="minorHAnsi" w:eastAsiaTheme="minorEastAsia" w:hAnsiTheme="minorHAnsi" w:cstheme="minorBidi"/>
          <w:noProof/>
          <w:sz w:val="22"/>
          <w:szCs w:val="22"/>
          <w:lang w:eastAsia="en-AU"/>
        </w:rPr>
        <w:tab/>
      </w:r>
      <w:r w:rsidRPr="00744026">
        <w:rPr>
          <w:noProof/>
        </w:rPr>
        <w:t>Summary of evidence from randomised controlled trials</w:t>
      </w:r>
      <w:r>
        <w:rPr>
          <w:noProof/>
          <w:webHidden/>
        </w:rPr>
        <w:tab/>
      </w:r>
      <w:r w:rsidR="00E409CC">
        <w:rPr>
          <w:noProof/>
          <w:webHidden/>
        </w:rPr>
        <w:t>22</w:t>
      </w:r>
    </w:p>
    <w:p w:rsidR="0014196D" w:rsidRDefault="0014196D">
      <w:pPr>
        <w:pStyle w:val="TOC3"/>
        <w:tabs>
          <w:tab w:val="left" w:pos="1851"/>
        </w:tabs>
        <w:rPr>
          <w:rFonts w:asciiTheme="minorHAnsi" w:eastAsiaTheme="minorEastAsia" w:hAnsiTheme="minorHAnsi" w:cstheme="minorBidi"/>
          <w:noProof/>
          <w:sz w:val="22"/>
          <w:szCs w:val="22"/>
          <w:lang w:eastAsia="en-AU"/>
        </w:rPr>
      </w:pPr>
      <w:r w:rsidRPr="00744026">
        <w:rPr>
          <w:noProof/>
        </w:rPr>
        <w:t>3.4.1</w:t>
      </w:r>
      <w:r>
        <w:rPr>
          <w:rFonts w:asciiTheme="minorHAnsi" w:eastAsiaTheme="minorEastAsia" w:hAnsiTheme="minorHAnsi" w:cstheme="minorBidi"/>
          <w:noProof/>
          <w:sz w:val="22"/>
          <w:szCs w:val="22"/>
          <w:lang w:eastAsia="en-AU"/>
        </w:rPr>
        <w:tab/>
      </w:r>
      <w:r w:rsidRPr="00744026">
        <w:rPr>
          <w:noProof/>
        </w:rPr>
        <w:t>LAMA versus LAMA</w:t>
      </w:r>
      <w:r>
        <w:rPr>
          <w:noProof/>
          <w:webHidden/>
        </w:rPr>
        <w:tab/>
      </w:r>
      <w:r w:rsidR="00E409CC">
        <w:rPr>
          <w:noProof/>
          <w:webHidden/>
        </w:rPr>
        <w:t>22</w:t>
      </w:r>
    </w:p>
    <w:p w:rsidR="0014196D" w:rsidRDefault="0014196D">
      <w:pPr>
        <w:pStyle w:val="TOC3"/>
        <w:tabs>
          <w:tab w:val="left" w:pos="1851"/>
        </w:tabs>
        <w:rPr>
          <w:rFonts w:asciiTheme="minorHAnsi" w:eastAsiaTheme="minorEastAsia" w:hAnsiTheme="minorHAnsi" w:cstheme="minorBidi"/>
          <w:noProof/>
          <w:sz w:val="22"/>
          <w:szCs w:val="22"/>
          <w:lang w:eastAsia="en-AU"/>
        </w:rPr>
      </w:pPr>
      <w:r w:rsidRPr="00744026">
        <w:rPr>
          <w:noProof/>
        </w:rPr>
        <w:t>3.4.2</w:t>
      </w:r>
      <w:r>
        <w:rPr>
          <w:rFonts w:asciiTheme="minorHAnsi" w:eastAsiaTheme="minorEastAsia" w:hAnsiTheme="minorHAnsi" w:cstheme="minorBidi"/>
          <w:noProof/>
          <w:sz w:val="22"/>
          <w:szCs w:val="22"/>
          <w:lang w:eastAsia="en-AU"/>
        </w:rPr>
        <w:tab/>
      </w:r>
      <w:r w:rsidRPr="00744026">
        <w:rPr>
          <w:noProof/>
        </w:rPr>
        <w:t>LABA versus LABA</w:t>
      </w:r>
      <w:r>
        <w:rPr>
          <w:noProof/>
          <w:webHidden/>
        </w:rPr>
        <w:tab/>
      </w:r>
      <w:r w:rsidR="00E409CC">
        <w:rPr>
          <w:noProof/>
          <w:webHidden/>
        </w:rPr>
        <w:t>37</w:t>
      </w:r>
    </w:p>
    <w:p w:rsidR="0014196D" w:rsidRDefault="0014196D">
      <w:pPr>
        <w:pStyle w:val="TOC3"/>
        <w:tabs>
          <w:tab w:val="left" w:pos="1851"/>
        </w:tabs>
        <w:rPr>
          <w:rFonts w:asciiTheme="minorHAnsi" w:eastAsiaTheme="minorEastAsia" w:hAnsiTheme="minorHAnsi" w:cstheme="minorBidi"/>
          <w:noProof/>
          <w:sz w:val="22"/>
          <w:szCs w:val="22"/>
          <w:lang w:eastAsia="en-AU"/>
        </w:rPr>
      </w:pPr>
      <w:r w:rsidRPr="00744026">
        <w:rPr>
          <w:noProof/>
        </w:rPr>
        <w:t>3.4.3</w:t>
      </w:r>
      <w:r>
        <w:rPr>
          <w:rFonts w:asciiTheme="minorHAnsi" w:eastAsiaTheme="minorEastAsia" w:hAnsiTheme="minorHAnsi" w:cstheme="minorBidi"/>
          <w:noProof/>
          <w:sz w:val="22"/>
          <w:szCs w:val="22"/>
          <w:lang w:eastAsia="en-AU"/>
        </w:rPr>
        <w:tab/>
      </w:r>
      <w:r w:rsidRPr="00744026">
        <w:rPr>
          <w:noProof/>
        </w:rPr>
        <w:t>LAMA/LABA versus LAMA/LABA</w:t>
      </w:r>
      <w:r>
        <w:rPr>
          <w:noProof/>
          <w:webHidden/>
        </w:rPr>
        <w:tab/>
      </w:r>
      <w:r w:rsidR="00E409CC">
        <w:rPr>
          <w:noProof/>
          <w:webHidden/>
        </w:rPr>
        <w:t>41</w:t>
      </w:r>
    </w:p>
    <w:p w:rsidR="0014196D" w:rsidRDefault="0014196D">
      <w:pPr>
        <w:pStyle w:val="TOC3"/>
        <w:tabs>
          <w:tab w:val="left" w:pos="1851"/>
        </w:tabs>
        <w:rPr>
          <w:rFonts w:asciiTheme="minorHAnsi" w:eastAsiaTheme="minorEastAsia" w:hAnsiTheme="minorHAnsi" w:cstheme="minorBidi"/>
          <w:noProof/>
          <w:sz w:val="22"/>
          <w:szCs w:val="22"/>
          <w:lang w:eastAsia="en-AU"/>
        </w:rPr>
      </w:pPr>
      <w:r w:rsidRPr="00744026">
        <w:rPr>
          <w:noProof/>
        </w:rPr>
        <w:t>3.4.4</w:t>
      </w:r>
      <w:r>
        <w:rPr>
          <w:rFonts w:asciiTheme="minorHAnsi" w:eastAsiaTheme="minorEastAsia" w:hAnsiTheme="minorHAnsi" w:cstheme="minorBidi"/>
          <w:noProof/>
          <w:sz w:val="22"/>
          <w:szCs w:val="22"/>
          <w:lang w:eastAsia="en-AU"/>
        </w:rPr>
        <w:tab/>
      </w:r>
      <w:r w:rsidRPr="00744026">
        <w:rPr>
          <w:noProof/>
        </w:rPr>
        <w:t>LAMA/LABA versus LAMA monotherapy</w:t>
      </w:r>
      <w:r>
        <w:rPr>
          <w:noProof/>
          <w:webHidden/>
        </w:rPr>
        <w:tab/>
      </w:r>
      <w:r w:rsidR="00E409CC">
        <w:rPr>
          <w:noProof/>
          <w:webHidden/>
        </w:rPr>
        <w:t>45</w:t>
      </w:r>
    </w:p>
    <w:p w:rsidR="0014196D" w:rsidRDefault="0014196D">
      <w:pPr>
        <w:pStyle w:val="TOC3"/>
        <w:tabs>
          <w:tab w:val="left" w:pos="1851"/>
        </w:tabs>
        <w:rPr>
          <w:rFonts w:asciiTheme="minorHAnsi" w:eastAsiaTheme="minorEastAsia" w:hAnsiTheme="minorHAnsi" w:cstheme="minorBidi"/>
          <w:noProof/>
          <w:sz w:val="22"/>
          <w:szCs w:val="22"/>
          <w:lang w:eastAsia="en-AU"/>
        </w:rPr>
      </w:pPr>
      <w:r w:rsidRPr="00744026">
        <w:rPr>
          <w:noProof/>
        </w:rPr>
        <w:t>3.4.5</w:t>
      </w:r>
      <w:r>
        <w:rPr>
          <w:rFonts w:asciiTheme="minorHAnsi" w:eastAsiaTheme="minorEastAsia" w:hAnsiTheme="minorHAnsi" w:cstheme="minorBidi"/>
          <w:noProof/>
          <w:sz w:val="22"/>
          <w:szCs w:val="22"/>
          <w:lang w:eastAsia="en-AU"/>
        </w:rPr>
        <w:tab/>
      </w:r>
      <w:r w:rsidRPr="00744026">
        <w:rPr>
          <w:noProof/>
        </w:rPr>
        <w:t>LAMA/LABA versus LABA monotherapy</w:t>
      </w:r>
      <w:r>
        <w:rPr>
          <w:noProof/>
          <w:webHidden/>
        </w:rPr>
        <w:tab/>
      </w:r>
      <w:r w:rsidR="00E409CC">
        <w:rPr>
          <w:noProof/>
          <w:webHidden/>
        </w:rPr>
        <w:t>60</w:t>
      </w:r>
    </w:p>
    <w:p w:rsidR="0014196D" w:rsidRDefault="0014196D">
      <w:pPr>
        <w:pStyle w:val="TOC3"/>
        <w:tabs>
          <w:tab w:val="left" w:pos="1851"/>
        </w:tabs>
        <w:rPr>
          <w:rFonts w:asciiTheme="minorHAnsi" w:eastAsiaTheme="minorEastAsia" w:hAnsiTheme="minorHAnsi" w:cstheme="minorBidi"/>
          <w:noProof/>
          <w:sz w:val="22"/>
          <w:szCs w:val="22"/>
          <w:lang w:eastAsia="en-AU"/>
        </w:rPr>
      </w:pPr>
      <w:r w:rsidRPr="00744026">
        <w:rPr>
          <w:noProof/>
        </w:rPr>
        <w:t>3.4.6</w:t>
      </w:r>
      <w:r>
        <w:rPr>
          <w:rFonts w:asciiTheme="minorHAnsi" w:eastAsiaTheme="minorEastAsia" w:hAnsiTheme="minorHAnsi" w:cstheme="minorBidi"/>
          <w:noProof/>
          <w:sz w:val="22"/>
          <w:szCs w:val="22"/>
          <w:lang w:eastAsia="en-AU"/>
        </w:rPr>
        <w:tab/>
      </w:r>
      <w:r w:rsidRPr="00744026">
        <w:rPr>
          <w:noProof/>
        </w:rPr>
        <w:t>LAMA/LABA versus ICS/LABA</w:t>
      </w:r>
      <w:r>
        <w:rPr>
          <w:noProof/>
          <w:webHidden/>
        </w:rPr>
        <w:tab/>
      </w:r>
      <w:r w:rsidR="00E409CC">
        <w:rPr>
          <w:noProof/>
          <w:webHidden/>
        </w:rPr>
        <w:t>61</w:t>
      </w:r>
    </w:p>
    <w:p w:rsidR="0014196D" w:rsidRDefault="0014196D">
      <w:pPr>
        <w:pStyle w:val="TOC3"/>
        <w:tabs>
          <w:tab w:val="left" w:pos="1851"/>
        </w:tabs>
        <w:rPr>
          <w:rFonts w:asciiTheme="minorHAnsi" w:eastAsiaTheme="minorEastAsia" w:hAnsiTheme="minorHAnsi" w:cstheme="minorBidi"/>
          <w:noProof/>
          <w:sz w:val="22"/>
          <w:szCs w:val="22"/>
          <w:lang w:eastAsia="en-AU"/>
        </w:rPr>
      </w:pPr>
      <w:r w:rsidRPr="00744026">
        <w:rPr>
          <w:noProof/>
        </w:rPr>
        <w:t>3.4.7</w:t>
      </w:r>
      <w:r>
        <w:rPr>
          <w:rFonts w:asciiTheme="minorHAnsi" w:eastAsiaTheme="minorEastAsia" w:hAnsiTheme="minorHAnsi" w:cstheme="minorBidi"/>
          <w:noProof/>
          <w:sz w:val="22"/>
          <w:szCs w:val="22"/>
          <w:lang w:eastAsia="en-AU"/>
        </w:rPr>
        <w:tab/>
      </w:r>
      <w:r w:rsidRPr="00744026">
        <w:rPr>
          <w:noProof/>
        </w:rPr>
        <w:t>ICS/LABA versus LAMA monotherapy</w:t>
      </w:r>
      <w:r>
        <w:rPr>
          <w:noProof/>
          <w:webHidden/>
        </w:rPr>
        <w:tab/>
      </w:r>
      <w:r w:rsidR="00E409CC">
        <w:rPr>
          <w:noProof/>
          <w:webHidden/>
        </w:rPr>
        <w:t>81</w:t>
      </w:r>
    </w:p>
    <w:p w:rsidR="0014196D" w:rsidRDefault="0014196D">
      <w:pPr>
        <w:pStyle w:val="TOC3"/>
        <w:tabs>
          <w:tab w:val="left" w:pos="1851"/>
        </w:tabs>
        <w:rPr>
          <w:rFonts w:asciiTheme="minorHAnsi" w:eastAsiaTheme="minorEastAsia" w:hAnsiTheme="minorHAnsi" w:cstheme="minorBidi"/>
          <w:noProof/>
          <w:sz w:val="22"/>
          <w:szCs w:val="22"/>
          <w:lang w:eastAsia="en-AU"/>
        </w:rPr>
      </w:pPr>
      <w:r w:rsidRPr="00744026">
        <w:rPr>
          <w:noProof/>
        </w:rPr>
        <w:t>3.4.8</w:t>
      </w:r>
      <w:r>
        <w:rPr>
          <w:rFonts w:asciiTheme="minorHAnsi" w:eastAsiaTheme="minorEastAsia" w:hAnsiTheme="minorHAnsi" w:cstheme="minorBidi"/>
          <w:noProof/>
          <w:sz w:val="22"/>
          <w:szCs w:val="22"/>
          <w:lang w:eastAsia="en-AU"/>
        </w:rPr>
        <w:tab/>
      </w:r>
      <w:r w:rsidRPr="00744026">
        <w:rPr>
          <w:noProof/>
        </w:rPr>
        <w:t>ICS/LABA versus LABA monotherapy</w:t>
      </w:r>
      <w:r>
        <w:rPr>
          <w:noProof/>
          <w:webHidden/>
        </w:rPr>
        <w:tab/>
      </w:r>
      <w:r w:rsidR="00E409CC">
        <w:rPr>
          <w:noProof/>
          <w:webHidden/>
        </w:rPr>
        <w:t>88</w:t>
      </w:r>
    </w:p>
    <w:p w:rsidR="0014196D" w:rsidRDefault="0014196D">
      <w:pPr>
        <w:pStyle w:val="TOC3"/>
        <w:tabs>
          <w:tab w:val="left" w:pos="1851"/>
        </w:tabs>
        <w:rPr>
          <w:rFonts w:asciiTheme="minorHAnsi" w:eastAsiaTheme="minorEastAsia" w:hAnsiTheme="minorHAnsi" w:cstheme="minorBidi"/>
          <w:noProof/>
          <w:sz w:val="22"/>
          <w:szCs w:val="22"/>
          <w:lang w:eastAsia="en-AU"/>
        </w:rPr>
      </w:pPr>
      <w:r w:rsidRPr="00744026">
        <w:rPr>
          <w:noProof/>
        </w:rPr>
        <w:t>3.4.9</w:t>
      </w:r>
      <w:r>
        <w:rPr>
          <w:rFonts w:asciiTheme="minorHAnsi" w:eastAsiaTheme="minorEastAsia" w:hAnsiTheme="minorHAnsi" w:cstheme="minorBidi"/>
          <w:noProof/>
          <w:sz w:val="22"/>
          <w:szCs w:val="22"/>
          <w:lang w:eastAsia="en-AU"/>
        </w:rPr>
        <w:tab/>
      </w:r>
      <w:r w:rsidRPr="00744026">
        <w:rPr>
          <w:noProof/>
        </w:rPr>
        <w:t>ICS/LABA + LAMA versus ICS/LABA</w:t>
      </w:r>
      <w:r>
        <w:rPr>
          <w:noProof/>
          <w:webHidden/>
        </w:rPr>
        <w:tab/>
      </w:r>
      <w:r w:rsidR="00E409CC">
        <w:rPr>
          <w:noProof/>
          <w:webHidden/>
        </w:rPr>
        <w:t>92</w:t>
      </w:r>
    </w:p>
    <w:p w:rsidR="0014196D" w:rsidRDefault="0014196D">
      <w:pPr>
        <w:pStyle w:val="TOC3"/>
        <w:tabs>
          <w:tab w:val="left" w:pos="1984"/>
        </w:tabs>
        <w:rPr>
          <w:rFonts w:asciiTheme="minorHAnsi" w:eastAsiaTheme="minorEastAsia" w:hAnsiTheme="minorHAnsi" w:cstheme="minorBidi"/>
          <w:noProof/>
          <w:sz w:val="22"/>
          <w:szCs w:val="22"/>
          <w:lang w:eastAsia="en-AU"/>
        </w:rPr>
      </w:pPr>
      <w:r w:rsidRPr="00744026">
        <w:rPr>
          <w:noProof/>
        </w:rPr>
        <w:t>1.4.10</w:t>
      </w:r>
      <w:r>
        <w:rPr>
          <w:rFonts w:asciiTheme="minorHAnsi" w:eastAsiaTheme="minorEastAsia" w:hAnsiTheme="minorHAnsi" w:cstheme="minorBidi"/>
          <w:noProof/>
          <w:sz w:val="22"/>
          <w:szCs w:val="22"/>
          <w:lang w:eastAsia="en-AU"/>
        </w:rPr>
        <w:tab/>
      </w:r>
      <w:r w:rsidRPr="00744026">
        <w:rPr>
          <w:noProof/>
        </w:rPr>
        <w:t>ICS/LABA + LAMA versus LAMA/LABA</w:t>
      </w:r>
      <w:r>
        <w:rPr>
          <w:noProof/>
          <w:webHidden/>
        </w:rPr>
        <w:tab/>
      </w:r>
      <w:r w:rsidR="00E409CC">
        <w:rPr>
          <w:noProof/>
          <w:webHidden/>
        </w:rPr>
        <w:t>100</w:t>
      </w:r>
    </w:p>
    <w:p w:rsidR="00EF349C" w:rsidRDefault="00EF349C" w:rsidP="00CE3516">
      <w:pPr>
        <w:pStyle w:val="TOC1"/>
      </w:pPr>
    </w:p>
    <w:p w:rsidR="00EF349C" w:rsidRDefault="00EF349C" w:rsidP="00EF349C">
      <w:pPr>
        <w:pStyle w:val="BodyText"/>
        <w:keepNext/>
        <w:jc w:val="center"/>
        <w:rPr>
          <w:b/>
          <w:color w:val="4F81BD"/>
          <w:sz w:val="36"/>
          <w:szCs w:val="36"/>
        </w:rPr>
      </w:pPr>
      <w:r w:rsidRPr="00A0482D">
        <w:rPr>
          <w:b/>
          <w:color w:val="4F81BD"/>
          <w:sz w:val="36"/>
          <w:szCs w:val="36"/>
        </w:rPr>
        <w:t>List of Tables</w:t>
      </w:r>
    </w:p>
    <w:p w:rsidR="00A6356F" w:rsidRPr="00A0482D" w:rsidRDefault="00A6356F" w:rsidP="00167206"/>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3.1</w:t>
      </w:r>
      <w:r>
        <w:rPr>
          <w:rFonts w:asciiTheme="minorHAnsi" w:eastAsiaTheme="minorEastAsia" w:hAnsiTheme="minorHAnsi" w:cstheme="minorBidi"/>
          <w:noProof/>
          <w:sz w:val="22"/>
          <w:szCs w:val="22"/>
          <w:lang w:eastAsia="en-AU"/>
        </w:rPr>
        <w:tab/>
      </w:r>
      <w:r w:rsidRPr="00744026">
        <w:rPr>
          <w:noProof/>
        </w:rPr>
        <w:t>Summary of evidence for monotherapy versus monotherapy in patients with COPD</w:t>
      </w:r>
      <w:r>
        <w:rPr>
          <w:noProof/>
          <w:webHidden/>
        </w:rPr>
        <w:tab/>
      </w:r>
      <w:r w:rsidR="00E409CC">
        <w:rPr>
          <w:noProof/>
          <w:webHidden/>
        </w:rPr>
        <w:t>7</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3.2</w:t>
      </w:r>
      <w:r>
        <w:rPr>
          <w:rFonts w:asciiTheme="minorHAnsi" w:eastAsiaTheme="minorEastAsia" w:hAnsiTheme="minorHAnsi" w:cstheme="minorBidi"/>
          <w:noProof/>
          <w:sz w:val="22"/>
          <w:szCs w:val="22"/>
          <w:lang w:eastAsia="en-AU"/>
        </w:rPr>
        <w:tab/>
      </w:r>
      <w:r w:rsidRPr="00744026">
        <w:rPr>
          <w:noProof/>
        </w:rPr>
        <w:t>Summary of new evidence for monotherapy versus dual therapy in patients with COPD</w:t>
      </w:r>
      <w:r>
        <w:rPr>
          <w:noProof/>
          <w:webHidden/>
        </w:rPr>
        <w:tab/>
      </w:r>
      <w:r w:rsidR="00E409CC">
        <w:rPr>
          <w:noProof/>
          <w:webHidden/>
        </w:rPr>
        <w:t>9</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3.3</w:t>
      </w:r>
      <w:r>
        <w:rPr>
          <w:rFonts w:asciiTheme="minorHAnsi" w:eastAsiaTheme="minorEastAsia" w:hAnsiTheme="minorHAnsi" w:cstheme="minorBidi"/>
          <w:noProof/>
          <w:sz w:val="22"/>
          <w:szCs w:val="22"/>
          <w:lang w:eastAsia="en-AU"/>
        </w:rPr>
        <w:tab/>
      </w:r>
      <w:r w:rsidRPr="00744026">
        <w:rPr>
          <w:noProof/>
        </w:rPr>
        <w:t>Summary of new evidence for dual therapy versus dual therapy in patients with COPD</w:t>
      </w:r>
      <w:r>
        <w:rPr>
          <w:noProof/>
          <w:webHidden/>
        </w:rPr>
        <w:tab/>
      </w:r>
      <w:r w:rsidR="00E409CC">
        <w:rPr>
          <w:noProof/>
          <w:webHidden/>
        </w:rPr>
        <w:t>11</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3.4</w:t>
      </w:r>
      <w:r>
        <w:rPr>
          <w:rFonts w:asciiTheme="minorHAnsi" w:eastAsiaTheme="minorEastAsia" w:hAnsiTheme="minorHAnsi" w:cstheme="minorBidi"/>
          <w:noProof/>
          <w:sz w:val="22"/>
          <w:szCs w:val="22"/>
          <w:lang w:eastAsia="en-AU"/>
        </w:rPr>
        <w:tab/>
      </w:r>
      <w:r w:rsidRPr="00744026">
        <w:rPr>
          <w:noProof/>
        </w:rPr>
        <w:t>Summary of new evidence for dual therapy versus triple therapy in patients with COPD</w:t>
      </w:r>
      <w:r>
        <w:rPr>
          <w:noProof/>
          <w:webHidden/>
        </w:rPr>
        <w:tab/>
      </w:r>
      <w:r w:rsidR="00E409CC">
        <w:rPr>
          <w:noProof/>
          <w:webHidden/>
        </w:rPr>
        <w:t>13</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lastRenderedPageBreak/>
        <w:t>Table 3.5</w:t>
      </w:r>
      <w:r>
        <w:rPr>
          <w:rFonts w:asciiTheme="minorHAnsi" w:eastAsiaTheme="minorEastAsia" w:hAnsiTheme="minorHAnsi" w:cstheme="minorBidi"/>
          <w:noProof/>
          <w:sz w:val="22"/>
          <w:szCs w:val="22"/>
          <w:lang w:eastAsia="en-AU"/>
        </w:rPr>
        <w:tab/>
      </w:r>
      <w:r w:rsidRPr="00744026">
        <w:rPr>
          <w:noProof/>
        </w:rPr>
        <w:t>Literature search criteria for ToR 3</w:t>
      </w:r>
      <w:r>
        <w:rPr>
          <w:noProof/>
          <w:webHidden/>
        </w:rPr>
        <w:tab/>
      </w:r>
      <w:r w:rsidR="00E409CC">
        <w:rPr>
          <w:noProof/>
          <w:webHidden/>
        </w:rPr>
        <w:t>18</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3.6</w:t>
      </w:r>
      <w:r>
        <w:rPr>
          <w:rFonts w:asciiTheme="minorHAnsi" w:eastAsiaTheme="minorEastAsia" w:hAnsiTheme="minorHAnsi" w:cstheme="minorBidi"/>
          <w:noProof/>
          <w:sz w:val="22"/>
          <w:szCs w:val="22"/>
          <w:lang w:eastAsia="en-AU"/>
        </w:rPr>
        <w:tab/>
      </w:r>
      <w:r w:rsidRPr="00744026">
        <w:rPr>
          <w:noProof/>
        </w:rPr>
        <w:t>Study selection process</w:t>
      </w:r>
      <w:r>
        <w:rPr>
          <w:noProof/>
          <w:webHidden/>
        </w:rPr>
        <w:tab/>
      </w:r>
      <w:r w:rsidR="00E409CC">
        <w:rPr>
          <w:noProof/>
          <w:webHidden/>
        </w:rPr>
        <w:t>20</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3.7</w:t>
      </w:r>
      <w:r>
        <w:rPr>
          <w:rFonts w:asciiTheme="minorHAnsi" w:eastAsiaTheme="minorEastAsia" w:hAnsiTheme="minorHAnsi" w:cstheme="minorBidi"/>
          <w:noProof/>
          <w:sz w:val="22"/>
          <w:szCs w:val="22"/>
          <w:lang w:eastAsia="en-AU"/>
        </w:rPr>
        <w:tab/>
      </w:r>
      <w:r w:rsidRPr="00744026">
        <w:rPr>
          <w:noProof/>
        </w:rPr>
        <w:t>List of randomised controlled trials comparing two or more LAMA therapies</w:t>
      </w:r>
      <w:r>
        <w:rPr>
          <w:noProof/>
          <w:webHidden/>
        </w:rPr>
        <w:tab/>
      </w:r>
      <w:r w:rsidR="00E409CC">
        <w:rPr>
          <w:noProof/>
          <w:webHidden/>
        </w:rPr>
        <w:t>22</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3.8</w:t>
      </w:r>
      <w:r>
        <w:rPr>
          <w:rFonts w:asciiTheme="minorHAnsi" w:eastAsiaTheme="minorEastAsia" w:hAnsiTheme="minorHAnsi" w:cstheme="minorBidi"/>
          <w:noProof/>
          <w:sz w:val="22"/>
          <w:szCs w:val="22"/>
          <w:lang w:eastAsia="en-AU"/>
        </w:rPr>
        <w:tab/>
      </w:r>
      <w:r w:rsidRPr="00744026">
        <w:rPr>
          <w:noProof/>
        </w:rPr>
        <w:t>Details of randomised controlled trials comparing two or more LAMAs</w:t>
      </w:r>
      <w:r>
        <w:rPr>
          <w:noProof/>
          <w:webHidden/>
        </w:rPr>
        <w:tab/>
      </w:r>
      <w:r w:rsidR="00E409CC">
        <w:rPr>
          <w:noProof/>
          <w:webHidden/>
        </w:rPr>
        <w:t>24</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3.9</w:t>
      </w:r>
      <w:r>
        <w:rPr>
          <w:rFonts w:asciiTheme="minorHAnsi" w:eastAsiaTheme="minorEastAsia" w:hAnsiTheme="minorHAnsi" w:cstheme="minorBidi"/>
          <w:noProof/>
          <w:sz w:val="22"/>
          <w:szCs w:val="22"/>
          <w:lang w:eastAsia="en-AU"/>
        </w:rPr>
        <w:tab/>
      </w:r>
      <w:r w:rsidRPr="00744026">
        <w:rPr>
          <w:noProof/>
        </w:rPr>
        <w:t>Change from baseline to 2-3 weeks in trough FEV</w:t>
      </w:r>
      <w:r w:rsidRPr="00744026">
        <w:rPr>
          <w:noProof/>
          <w:vertAlign w:val="subscript"/>
        </w:rPr>
        <w:t xml:space="preserve">1 </w:t>
      </w:r>
      <w:r w:rsidRPr="00744026">
        <w:rPr>
          <w:noProof/>
        </w:rPr>
        <w:t>– ACL vs TIO</w:t>
      </w:r>
      <w:r>
        <w:rPr>
          <w:noProof/>
          <w:webHidden/>
        </w:rPr>
        <w:tab/>
      </w:r>
      <w:r w:rsidR="00E409CC">
        <w:rPr>
          <w:noProof/>
          <w:webHidden/>
        </w:rPr>
        <w:t>27</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3.10</w:t>
      </w:r>
      <w:r>
        <w:rPr>
          <w:rFonts w:asciiTheme="minorHAnsi" w:eastAsiaTheme="minorEastAsia" w:hAnsiTheme="minorHAnsi" w:cstheme="minorBidi"/>
          <w:noProof/>
          <w:sz w:val="22"/>
          <w:szCs w:val="22"/>
          <w:lang w:eastAsia="en-AU"/>
        </w:rPr>
        <w:tab/>
      </w:r>
      <w:r w:rsidRPr="00744026">
        <w:rPr>
          <w:noProof/>
        </w:rPr>
        <w:t>Least squares mean difference from placebo in trough FEV</w:t>
      </w:r>
      <w:r w:rsidRPr="00744026">
        <w:rPr>
          <w:noProof/>
          <w:vertAlign w:val="subscript"/>
        </w:rPr>
        <w:t>1</w:t>
      </w:r>
      <w:r w:rsidRPr="00744026">
        <w:rPr>
          <w:noProof/>
        </w:rPr>
        <w:t xml:space="preserve"> – ACL vs TIO</w:t>
      </w:r>
      <w:r>
        <w:rPr>
          <w:noProof/>
          <w:webHidden/>
        </w:rPr>
        <w:tab/>
      </w:r>
      <w:r w:rsidR="00E409CC">
        <w:rPr>
          <w:noProof/>
          <w:webHidden/>
        </w:rPr>
        <w:t>27</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3.11</w:t>
      </w:r>
      <w:r>
        <w:rPr>
          <w:rFonts w:asciiTheme="minorHAnsi" w:eastAsiaTheme="minorEastAsia" w:hAnsiTheme="minorHAnsi" w:cstheme="minorBidi"/>
          <w:noProof/>
          <w:sz w:val="22"/>
          <w:szCs w:val="22"/>
          <w:lang w:eastAsia="en-AU"/>
        </w:rPr>
        <w:tab/>
      </w:r>
      <w:r w:rsidRPr="00744026">
        <w:rPr>
          <w:noProof/>
        </w:rPr>
        <w:t>Least squares mean change from baseline in trough FEV</w:t>
      </w:r>
      <w:r w:rsidRPr="00744026">
        <w:rPr>
          <w:noProof/>
          <w:vertAlign w:val="subscript"/>
        </w:rPr>
        <w:t>1</w:t>
      </w:r>
      <w:r w:rsidRPr="00744026">
        <w:rPr>
          <w:noProof/>
        </w:rPr>
        <w:t xml:space="preserve"> – UME vs TIO</w:t>
      </w:r>
      <w:r>
        <w:rPr>
          <w:noProof/>
          <w:webHidden/>
        </w:rPr>
        <w:tab/>
      </w:r>
      <w:r w:rsidR="00E409CC">
        <w:rPr>
          <w:noProof/>
          <w:webHidden/>
        </w:rPr>
        <w:t>28</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3.12</w:t>
      </w:r>
      <w:r>
        <w:rPr>
          <w:rFonts w:asciiTheme="minorHAnsi" w:eastAsiaTheme="minorEastAsia" w:hAnsiTheme="minorHAnsi" w:cstheme="minorBidi"/>
          <w:noProof/>
          <w:sz w:val="22"/>
          <w:szCs w:val="22"/>
          <w:lang w:eastAsia="en-AU"/>
        </w:rPr>
        <w:tab/>
      </w:r>
      <w:r w:rsidRPr="00744026">
        <w:rPr>
          <w:noProof/>
        </w:rPr>
        <w:t xml:space="preserve">Proportion of patients with an increase of </w:t>
      </w:r>
      <w:r w:rsidRPr="00744026">
        <w:rPr>
          <w:rFonts w:cs="Arial"/>
          <w:noProof/>
        </w:rPr>
        <w:t>≥</w:t>
      </w:r>
      <w:r w:rsidRPr="00744026">
        <w:rPr>
          <w:noProof/>
        </w:rPr>
        <w:t>100 mL above baseline in trough FEV</w:t>
      </w:r>
      <w:r w:rsidRPr="00744026">
        <w:rPr>
          <w:noProof/>
          <w:vertAlign w:val="subscript"/>
        </w:rPr>
        <w:t>1</w:t>
      </w:r>
      <w:r w:rsidRPr="00744026">
        <w:rPr>
          <w:noProof/>
        </w:rPr>
        <w:t xml:space="preserve"> – UME vs TIO</w:t>
      </w:r>
      <w:r>
        <w:rPr>
          <w:noProof/>
          <w:webHidden/>
        </w:rPr>
        <w:tab/>
      </w:r>
      <w:r w:rsidR="00E409CC">
        <w:rPr>
          <w:noProof/>
          <w:webHidden/>
        </w:rPr>
        <w:t>29</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3.13</w:t>
      </w:r>
      <w:r>
        <w:rPr>
          <w:rFonts w:asciiTheme="minorHAnsi" w:eastAsiaTheme="minorEastAsia" w:hAnsiTheme="minorHAnsi" w:cstheme="minorBidi"/>
          <w:noProof/>
          <w:sz w:val="22"/>
          <w:szCs w:val="22"/>
          <w:lang w:eastAsia="en-AU"/>
        </w:rPr>
        <w:tab/>
      </w:r>
      <w:r w:rsidRPr="00744026">
        <w:rPr>
          <w:noProof/>
        </w:rPr>
        <w:t>Incidence of adverse events and other safety outcomes for UME vs TIO – ITT population</w:t>
      </w:r>
      <w:r>
        <w:rPr>
          <w:noProof/>
          <w:webHidden/>
        </w:rPr>
        <w:tab/>
      </w:r>
      <w:r w:rsidR="00E409CC">
        <w:rPr>
          <w:noProof/>
          <w:webHidden/>
        </w:rPr>
        <w:t>30</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3.14</w:t>
      </w:r>
      <w:r>
        <w:rPr>
          <w:rFonts w:asciiTheme="minorHAnsi" w:eastAsiaTheme="minorEastAsia" w:hAnsiTheme="minorHAnsi" w:cstheme="minorBidi"/>
          <w:noProof/>
          <w:sz w:val="22"/>
          <w:szCs w:val="22"/>
          <w:lang w:eastAsia="en-AU"/>
        </w:rPr>
        <w:tab/>
      </w:r>
      <w:r w:rsidRPr="00744026">
        <w:rPr>
          <w:noProof/>
        </w:rPr>
        <w:t>Changes in trough FEV</w:t>
      </w:r>
      <w:r w:rsidRPr="00744026">
        <w:rPr>
          <w:noProof/>
          <w:vertAlign w:val="subscript"/>
        </w:rPr>
        <w:t>1</w:t>
      </w:r>
      <w:r w:rsidRPr="00744026">
        <w:rPr>
          <w:noProof/>
        </w:rPr>
        <w:t xml:space="preserve"> on Day 15 – UME vs TIO</w:t>
      </w:r>
      <w:r>
        <w:rPr>
          <w:noProof/>
          <w:webHidden/>
        </w:rPr>
        <w:tab/>
      </w:r>
      <w:r w:rsidR="00E409CC">
        <w:rPr>
          <w:noProof/>
          <w:webHidden/>
        </w:rPr>
        <w:t>31</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3.15</w:t>
      </w:r>
      <w:r>
        <w:rPr>
          <w:rFonts w:asciiTheme="minorHAnsi" w:eastAsiaTheme="minorEastAsia" w:hAnsiTheme="minorHAnsi" w:cstheme="minorBidi"/>
          <w:noProof/>
          <w:sz w:val="22"/>
          <w:szCs w:val="22"/>
          <w:lang w:eastAsia="en-AU"/>
        </w:rPr>
        <w:tab/>
      </w:r>
      <w:r w:rsidRPr="00744026">
        <w:rPr>
          <w:noProof/>
        </w:rPr>
        <w:t>Least squares mean change from baseline for trough FEV</w:t>
      </w:r>
      <w:r w:rsidRPr="00744026">
        <w:rPr>
          <w:noProof/>
          <w:vertAlign w:val="subscript"/>
        </w:rPr>
        <w:t>1</w:t>
      </w:r>
      <w:r w:rsidRPr="00744026">
        <w:rPr>
          <w:noProof/>
        </w:rPr>
        <w:t xml:space="preserve"> – UME vs GLY</w:t>
      </w:r>
      <w:r>
        <w:rPr>
          <w:noProof/>
          <w:webHidden/>
        </w:rPr>
        <w:tab/>
      </w:r>
      <w:r w:rsidR="00E409CC">
        <w:rPr>
          <w:noProof/>
          <w:webHidden/>
        </w:rPr>
        <w:t>31</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3.16</w:t>
      </w:r>
      <w:r>
        <w:rPr>
          <w:rFonts w:asciiTheme="minorHAnsi" w:eastAsiaTheme="minorEastAsia" w:hAnsiTheme="minorHAnsi" w:cstheme="minorBidi"/>
          <w:noProof/>
          <w:sz w:val="22"/>
          <w:szCs w:val="22"/>
          <w:lang w:eastAsia="en-AU"/>
        </w:rPr>
        <w:tab/>
      </w:r>
      <w:r w:rsidRPr="00744026">
        <w:rPr>
          <w:noProof/>
        </w:rPr>
        <w:t>Safety outcomes for the comparison of UME and GLY</w:t>
      </w:r>
      <w:r>
        <w:rPr>
          <w:noProof/>
          <w:webHidden/>
        </w:rPr>
        <w:tab/>
      </w:r>
      <w:r w:rsidR="00E409CC">
        <w:rPr>
          <w:noProof/>
          <w:webHidden/>
        </w:rPr>
        <w:t>31</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3.17</w:t>
      </w:r>
      <w:r>
        <w:rPr>
          <w:rFonts w:asciiTheme="minorHAnsi" w:eastAsiaTheme="minorEastAsia" w:hAnsiTheme="minorHAnsi" w:cstheme="minorBidi"/>
          <w:noProof/>
          <w:sz w:val="22"/>
          <w:szCs w:val="22"/>
          <w:lang w:eastAsia="en-AU"/>
        </w:rPr>
        <w:tab/>
      </w:r>
      <w:r w:rsidRPr="00744026">
        <w:rPr>
          <w:noProof/>
        </w:rPr>
        <w:t>Adjusted mean change from baseline in trough FEV</w:t>
      </w:r>
      <w:r w:rsidRPr="00744026">
        <w:rPr>
          <w:noProof/>
          <w:vertAlign w:val="subscript"/>
        </w:rPr>
        <w:t>1</w:t>
      </w:r>
      <w:r w:rsidRPr="00744026">
        <w:rPr>
          <w:noProof/>
        </w:rPr>
        <w:t xml:space="preserve"> – Respimat vs HandiHaler</w:t>
      </w:r>
      <w:r>
        <w:rPr>
          <w:noProof/>
          <w:webHidden/>
        </w:rPr>
        <w:tab/>
      </w:r>
      <w:r w:rsidR="00E409CC">
        <w:rPr>
          <w:noProof/>
          <w:webHidden/>
        </w:rPr>
        <w:t>32</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3.18</w:t>
      </w:r>
      <w:r>
        <w:rPr>
          <w:rFonts w:asciiTheme="minorHAnsi" w:eastAsiaTheme="minorEastAsia" w:hAnsiTheme="minorHAnsi" w:cstheme="minorBidi"/>
          <w:noProof/>
          <w:sz w:val="22"/>
          <w:szCs w:val="22"/>
          <w:lang w:eastAsia="en-AU"/>
        </w:rPr>
        <w:tab/>
      </w:r>
      <w:r w:rsidRPr="00744026">
        <w:rPr>
          <w:noProof/>
        </w:rPr>
        <w:t>Incidence of mortality and fatal MACE in treated with tiotropium HandiHaler at baseline who continue to receive HandiHaler or switch to Respimat in the TIOSPIR study</w:t>
      </w:r>
      <w:r>
        <w:rPr>
          <w:noProof/>
          <w:webHidden/>
        </w:rPr>
        <w:tab/>
      </w:r>
      <w:r w:rsidR="00E409CC">
        <w:rPr>
          <w:noProof/>
          <w:webHidden/>
        </w:rPr>
        <w:t>33</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3.19</w:t>
      </w:r>
      <w:r>
        <w:rPr>
          <w:rFonts w:asciiTheme="minorHAnsi" w:eastAsiaTheme="minorEastAsia" w:hAnsiTheme="minorHAnsi" w:cstheme="minorBidi"/>
          <w:noProof/>
          <w:sz w:val="22"/>
          <w:szCs w:val="22"/>
          <w:lang w:eastAsia="en-AU"/>
        </w:rPr>
        <w:tab/>
      </w:r>
      <w:r w:rsidRPr="00744026">
        <w:rPr>
          <w:noProof/>
        </w:rPr>
        <w:t>Risk and rate of exacerbations, on-treatment analysis</w:t>
      </w:r>
      <w:r w:rsidRPr="00744026">
        <w:rPr>
          <w:noProof/>
          <w:vertAlign w:val="superscript"/>
        </w:rPr>
        <w:t>a</w:t>
      </w:r>
      <w:r w:rsidRPr="00744026">
        <w:rPr>
          <w:noProof/>
        </w:rPr>
        <w:t xml:space="preserve"> – Respimat vs HandiHaler</w:t>
      </w:r>
      <w:r>
        <w:rPr>
          <w:noProof/>
          <w:webHidden/>
        </w:rPr>
        <w:tab/>
      </w:r>
      <w:r w:rsidR="00E409CC">
        <w:rPr>
          <w:noProof/>
          <w:webHidden/>
        </w:rPr>
        <w:t>34</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3.20</w:t>
      </w:r>
      <w:r>
        <w:rPr>
          <w:rFonts w:asciiTheme="minorHAnsi" w:eastAsiaTheme="minorEastAsia" w:hAnsiTheme="minorHAnsi" w:cstheme="minorBidi"/>
          <w:noProof/>
          <w:sz w:val="22"/>
          <w:szCs w:val="22"/>
          <w:lang w:eastAsia="en-AU"/>
        </w:rPr>
        <w:tab/>
      </w:r>
      <w:r w:rsidRPr="00744026">
        <w:rPr>
          <w:noProof/>
        </w:rPr>
        <w:t>Safety outcomes relating to tiotropium Respimat and HandiHaler</w:t>
      </w:r>
      <w:r>
        <w:rPr>
          <w:noProof/>
          <w:webHidden/>
        </w:rPr>
        <w:tab/>
      </w:r>
      <w:r w:rsidR="00E409CC">
        <w:rPr>
          <w:noProof/>
          <w:webHidden/>
        </w:rPr>
        <w:t>34</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3.21</w:t>
      </w:r>
      <w:r>
        <w:rPr>
          <w:rFonts w:asciiTheme="minorHAnsi" w:eastAsiaTheme="minorEastAsia" w:hAnsiTheme="minorHAnsi" w:cstheme="minorBidi"/>
          <w:noProof/>
          <w:sz w:val="22"/>
          <w:szCs w:val="22"/>
          <w:lang w:eastAsia="en-AU"/>
        </w:rPr>
        <w:tab/>
      </w:r>
      <w:r w:rsidRPr="00744026">
        <w:rPr>
          <w:noProof/>
        </w:rPr>
        <w:t>Incidence of mortality and fatal MACE in anticholinergic-naïve patients treated with tiotropium Respimat versus tiotropium HandiHaler in the TIOSPIR study</w:t>
      </w:r>
      <w:r>
        <w:rPr>
          <w:noProof/>
          <w:webHidden/>
        </w:rPr>
        <w:tab/>
      </w:r>
      <w:r w:rsidR="00E409CC">
        <w:rPr>
          <w:noProof/>
          <w:webHidden/>
        </w:rPr>
        <w:t>35</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3.22</w:t>
      </w:r>
      <w:r>
        <w:rPr>
          <w:rFonts w:asciiTheme="minorHAnsi" w:eastAsiaTheme="minorEastAsia" w:hAnsiTheme="minorHAnsi" w:cstheme="minorBidi"/>
          <w:noProof/>
          <w:sz w:val="22"/>
          <w:szCs w:val="22"/>
          <w:lang w:eastAsia="en-AU"/>
        </w:rPr>
        <w:tab/>
      </w:r>
      <w:r w:rsidRPr="00744026">
        <w:rPr>
          <w:noProof/>
        </w:rPr>
        <w:t>Risk of exacerbation in anticholinergic naïve patients – Respimat vs HandiHaler</w:t>
      </w:r>
      <w:r>
        <w:rPr>
          <w:noProof/>
          <w:webHidden/>
        </w:rPr>
        <w:tab/>
      </w:r>
      <w:r w:rsidR="00E409CC">
        <w:rPr>
          <w:noProof/>
          <w:webHidden/>
        </w:rPr>
        <w:t>36</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3.23</w:t>
      </w:r>
      <w:r>
        <w:rPr>
          <w:rFonts w:asciiTheme="minorHAnsi" w:eastAsiaTheme="minorEastAsia" w:hAnsiTheme="minorHAnsi" w:cstheme="minorBidi"/>
          <w:noProof/>
          <w:sz w:val="22"/>
          <w:szCs w:val="22"/>
          <w:lang w:eastAsia="en-AU"/>
        </w:rPr>
        <w:tab/>
      </w:r>
      <w:r w:rsidRPr="00744026">
        <w:rPr>
          <w:noProof/>
        </w:rPr>
        <w:t>List of randomised controlled trials comparing two doses of indacaterol</w:t>
      </w:r>
      <w:r>
        <w:rPr>
          <w:noProof/>
          <w:webHidden/>
        </w:rPr>
        <w:tab/>
      </w:r>
      <w:r w:rsidR="00E409CC">
        <w:rPr>
          <w:noProof/>
          <w:webHidden/>
        </w:rPr>
        <w:t>37</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3.24</w:t>
      </w:r>
      <w:r>
        <w:rPr>
          <w:rFonts w:asciiTheme="minorHAnsi" w:eastAsiaTheme="minorEastAsia" w:hAnsiTheme="minorHAnsi" w:cstheme="minorBidi"/>
          <w:noProof/>
          <w:sz w:val="22"/>
          <w:szCs w:val="22"/>
          <w:lang w:eastAsia="en-AU"/>
        </w:rPr>
        <w:tab/>
      </w:r>
      <w:r w:rsidRPr="00744026">
        <w:rPr>
          <w:noProof/>
        </w:rPr>
        <w:t>Details of RCTs comparing indacaterol 150 μg and indacaterol 300 μg</w:t>
      </w:r>
      <w:r>
        <w:rPr>
          <w:noProof/>
          <w:webHidden/>
        </w:rPr>
        <w:tab/>
      </w:r>
      <w:r w:rsidR="00E409CC">
        <w:rPr>
          <w:noProof/>
          <w:webHidden/>
        </w:rPr>
        <w:t>38</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3.25</w:t>
      </w:r>
      <w:r>
        <w:rPr>
          <w:rFonts w:asciiTheme="minorHAnsi" w:eastAsiaTheme="minorEastAsia" w:hAnsiTheme="minorHAnsi" w:cstheme="minorBidi"/>
          <w:noProof/>
          <w:sz w:val="22"/>
          <w:szCs w:val="22"/>
          <w:lang w:eastAsia="en-AU"/>
        </w:rPr>
        <w:tab/>
      </w:r>
      <w:r w:rsidRPr="00744026">
        <w:rPr>
          <w:noProof/>
        </w:rPr>
        <w:t>Change in trough FEV</w:t>
      </w:r>
      <w:r w:rsidRPr="00744026">
        <w:rPr>
          <w:noProof/>
          <w:vertAlign w:val="subscript"/>
        </w:rPr>
        <w:t>1</w:t>
      </w:r>
      <w:r w:rsidRPr="00744026">
        <w:rPr>
          <w:noProof/>
        </w:rPr>
        <w:t xml:space="preserve"> at Week 52 – IND 150, IND 300 and PBO</w:t>
      </w:r>
      <w:r>
        <w:rPr>
          <w:noProof/>
          <w:webHidden/>
        </w:rPr>
        <w:tab/>
      </w:r>
      <w:r w:rsidR="00E409CC">
        <w:rPr>
          <w:noProof/>
          <w:webHidden/>
        </w:rPr>
        <w:t>40</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3.26</w:t>
      </w:r>
      <w:r>
        <w:rPr>
          <w:rFonts w:asciiTheme="minorHAnsi" w:eastAsiaTheme="minorEastAsia" w:hAnsiTheme="minorHAnsi" w:cstheme="minorBidi"/>
          <w:noProof/>
          <w:sz w:val="22"/>
          <w:szCs w:val="22"/>
          <w:lang w:eastAsia="en-AU"/>
        </w:rPr>
        <w:tab/>
      </w:r>
      <w:r w:rsidRPr="00744026">
        <w:rPr>
          <w:noProof/>
        </w:rPr>
        <w:t>Rate of COPD exacerbations – IND 150 μg, IND 300 μg versus placebo</w:t>
      </w:r>
      <w:r>
        <w:rPr>
          <w:noProof/>
          <w:webHidden/>
        </w:rPr>
        <w:tab/>
      </w:r>
      <w:r w:rsidR="00E409CC">
        <w:rPr>
          <w:noProof/>
          <w:webHidden/>
        </w:rPr>
        <w:t>40</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3.27</w:t>
      </w:r>
      <w:r>
        <w:rPr>
          <w:rFonts w:asciiTheme="minorHAnsi" w:eastAsiaTheme="minorEastAsia" w:hAnsiTheme="minorHAnsi" w:cstheme="minorBidi"/>
          <w:noProof/>
          <w:sz w:val="22"/>
          <w:szCs w:val="22"/>
          <w:lang w:eastAsia="en-AU"/>
        </w:rPr>
        <w:tab/>
      </w:r>
      <w:r w:rsidRPr="00744026">
        <w:rPr>
          <w:noProof/>
        </w:rPr>
        <w:t>Safety outcomes relating to IND 150 μg, IND 300 μg and placebo – safety population</w:t>
      </w:r>
      <w:r w:rsidRPr="00744026">
        <w:rPr>
          <w:noProof/>
          <w:vertAlign w:val="superscript"/>
        </w:rPr>
        <w:t>a</w:t>
      </w:r>
      <w:r>
        <w:rPr>
          <w:noProof/>
          <w:webHidden/>
        </w:rPr>
        <w:tab/>
      </w:r>
      <w:r w:rsidR="00E409CC">
        <w:rPr>
          <w:noProof/>
          <w:webHidden/>
        </w:rPr>
        <w:t>40</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3.28</w:t>
      </w:r>
      <w:r>
        <w:rPr>
          <w:rFonts w:asciiTheme="minorHAnsi" w:eastAsiaTheme="minorEastAsia" w:hAnsiTheme="minorHAnsi" w:cstheme="minorBidi"/>
          <w:noProof/>
          <w:sz w:val="22"/>
          <w:szCs w:val="22"/>
          <w:lang w:eastAsia="en-AU"/>
        </w:rPr>
        <w:tab/>
      </w:r>
      <w:r w:rsidRPr="00744026">
        <w:rPr>
          <w:noProof/>
        </w:rPr>
        <w:t>List of randomised controlled trials comparing two LAMA/LABA combination therapies</w:t>
      </w:r>
      <w:r>
        <w:rPr>
          <w:noProof/>
          <w:webHidden/>
        </w:rPr>
        <w:tab/>
      </w:r>
      <w:r w:rsidR="00E409CC">
        <w:rPr>
          <w:noProof/>
          <w:webHidden/>
        </w:rPr>
        <w:t>41</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3.29</w:t>
      </w:r>
      <w:r>
        <w:rPr>
          <w:rFonts w:asciiTheme="minorHAnsi" w:eastAsiaTheme="minorEastAsia" w:hAnsiTheme="minorHAnsi" w:cstheme="minorBidi"/>
          <w:noProof/>
          <w:sz w:val="22"/>
          <w:szCs w:val="22"/>
          <w:lang w:eastAsia="en-AU"/>
        </w:rPr>
        <w:tab/>
      </w:r>
      <w:r w:rsidRPr="00744026">
        <w:rPr>
          <w:noProof/>
        </w:rPr>
        <w:t>Details of RCTs comparing two LAMA/LABA combinations in patients with COPD</w:t>
      </w:r>
      <w:r>
        <w:rPr>
          <w:noProof/>
          <w:webHidden/>
        </w:rPr>
        <w:tab/>
      </w:r>
      <w:r w:rsidR="00E409CC">
        <w:rPr>
          <w:noProof/>
          <w:webHidden/>
        </w:rPr>
        <w:t>42</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3.30</w:t>
      </w:r>
      <w:r>
        <w:rPr>
          <w:rFonts w:asciiTheme="minorHAnsi" w:eastAsiaTheme="minorEastAsia" w:hAnsiTheme="minorHAnsi" w:cstheme="minorBidi"/>
          <w:noProof/>
          <w:sz w:val="22"/>
          <w:szCs w:val="22"/>
          <w:lang w:eastAsia="en-AU"/>
        </w:rPr>
        <w:tab/>
      </w:r>
      <w:r w:rsidRPr="00744026">
        <w:rPr>
          <w:noProof/>
        </w:rPr>
        <w:t>Change from baseline to Day 85 in trough FEV</w:t>
      </w:r>
      <w:r w:rsidRPr="00744026">
        <w:rPr>
          <w:noProof/>
          <w:vertAlign w:val="subscript"/>
        </w:rPr>
        <w:t>1</w:t>
      </w:r>
      <w:r w:rsidRPr="00744026">
        <w:rPr>
          <w:noProof/>
        </w:rPr>
        <w:t xml:space="preserve"> – UME/VIL vs TIO+IND</w:t>
      </w:r>
      <w:r>
        <w:rPr>
          <w:noProof/>
          <w:webHidden/>
        </w:rPr>
        <w:tab/>
      </w:r>
      <w:r w:rsidR="00E409CC">
        <w:rPr>
          <w:noProof/>
          <w:webHidden/>
        </w:rPr>
        <w:t>43</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3.31</w:t>
      </w:r>
      <w:r>
        <w:rPr>
          <w:rFonts w:asciiTheme="minorHAnsi" w:eastAsiaTheme="minorEastAsia" w:hAnsiTheme="minorHAnsi" w:cstheme="minorBidi"/>
          <w:noProof/>
          <w:sz w:val="22"/>
          <w:szCs w:val="22"/>
          <w:lang w:eastAsia="en-AU"/>
        </w:rPr>
        <w:tab/>
      </w:r>
      <w:r w:rsidRPr="00744026">
        <w:rPr>
          <w:noProof/>
        </w:rPr>
        <w:t>Results for safety outcomes relating to UME/VIL vs TIO+IND</w:t>
      </w:r>
      <w:r>
        <w:rPr>
          <w:noProof/>
          <w:webHidden/>
        </w:rPr>
        <w:tab/>
      </w:r>
      <w:r w:rsidR="00E409CC">
        <w:rPr>
          <w:noProof/>
          <w:webHidden/>
        </w:rPr>
        <w:t>44</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3.32</w:t>
      </w:r>
      <w:r>
        <w:rPr>
          <w:rFonts w:asciiTheme="minorHAnsi" w:eastAsiaTheme="minorEastAsia" w:hAnsiTheme="minorHAnsi" w:cstheme="minorBidi"/>
          <w:noProof/>
          <w:sz w:val="22"/>
          <w:szCs w:val="22"/>
          <w:lang w:eastAsia="en-AU"/>
        </w:rPr>
        <w:tab/>
      </w:r>
      <w:r w:rsidRPr="00744026">
        <w:rPr>
          <w:noProof/>
        </w:rPr>
        <w:t>Results for safety outcomes relating to IND/GLY vs TIO+EFO</w:t>
      </w:r>
      <w:r>
        <w:rPr>
          <w:noProof/>
          <w:webHidden/>
        </w:rPr>
        <w:tab/>
      </w:r>
      <w:r w:rsidR="00E409CC">
        <w:rPr>
          <w:noProof/>
          <w:webHidden/>
        </w:rPr>
        <w:t>45</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3.33</w:t>
      </w:r>
      <w:r>
        <w:rPr>
          <w:rFonts w:asciiTheme="minorHAnsi" w:eastAsiaTheme="minorEastAsia" w:hAnsiTheme="minorHAnsi" w:cstheme="minorBidi"/>
          <w:noProof/>
          <w:sz w:val="22"/>
          <w:szCs w:val="22"/>
          <w:lang w:eastAsia="en-AU"/>
        </w:rPr>
        <w:tab/>
      </w:r>
      <w:r w:rsidRPr="00744026">
        <w:rPr>
          <w:noProof/>
        </w:rPr>
        <w:t>List of RCTs comparing LAMA/LABA dual therapy with LAMA monotherapy</w:t>
      </w:r>
      <w:r>
        <w:rPr>
          <w:noProof/>
          <w:webHidden/>
        </w:rPr>
        <w:tab/>
      </w:r>
      <w:r w:rsidR="00E409CC">
        <w:rPr>
          <w:noProof/>
          <w:webHidden/>
        </w:rPr>
        <w:t>46</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3.34</w:t>
      </w:r>
      <w:r>
        <w:rPr>
          <w:rFonts w:asciiTheme="minorHAnsi" w:eastAsiaTheme="minorEastAsia" w:hAnsiTheme="minorHAnsi" w:cstheme="minorBidi"/>
          <w:noProof/>
          <w:sz w:val="22"/>
          <w:szCs w:val="22"/>
          <w:lang w:eastAsia="en-AU"/>
        </w:rPr>
        <w:tab/>
      </w:r>
      <w:r w:rsidRPr="00744026">
        <w:rPr>
          <w:noProof/>
        </w:rPr>
        <w:t>Details of RCTs comparing LABA/LABA dual therapy with LAMA monotherapy in patients with COPD</w:t>
      </w:r>
      <w:r>
        <w:rPr>
          <w:noProof/>
          <w:webHidden/>
        </w:rPr>
        <w:tab/>
      </w:r>
      <w:r w:rsidR="00E409CC">
        <w:rPr>
          <w:noProof/>
          <w:webHidden/>
        </w:rPr>
        <w:t>47</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3.35</w:t>
      </w:r>
      <w:r>
        <w:rPr>
          <w:rFonts w:asciiTheme="minorHAnsi" w:eastAsiaTheme="minorEastAsia" w:hAnsiTheme="minorHAnsi" w:cstheme="minorBidi"/>
          <w:noProof/>
          <w:sz w:val="22"/>
          <w:szCs w:val="22"/>
          <w:lang w:eastAsia="en-AU"/>
        </w:rPr>
        <w:tab/>
      </w:r>
      <w:r w:rsidRPr="00744026">
        <w:rPr>
          <w:noProof/>
        </w:rPr>
        <w:t>Least squares mean difference in trough FEV</w:t>
      </w:r>
      <w:r w:rsidRPr="00744026">
        <w:rPr>
          <w:noProof/>
          <w:vertAlign w:val="subscript"/>
        </w:rPr>
        <w:t>1</w:t>
      </w:r>
      <w:r w:rsidRPr="00744026">
        <w:rPr>
          <w:noProof/>
        </w:rPr>
        <w:t xml:space="preserve"> – GLY/IND vs TIO</w:t>
      </w:r>
      <w:r>
        <w:rPr>
          <w:noProof/>
          <w:webHidden/>
        </w:rPr>
        <w:tab/>
      </w:r>
      <w:r w:rsidR="00E409CC">
        <w:rPr>
          <w:noProof/>
          <w:webHidden/>
        </w:rPr>
        <w:t>50</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3.36</w:t>
      </w:r>
      <w:r>
        <w:rPr>
          <w:rFonts w:asciiTheme="minorHAnsi" w:eastAsiaTheme="minorEastAsia" w:hAnsiTheme="minorHAnsi" w:cstheme="minorBidi"/>
          <w:noProof/>
          <w:sz w:val="22"/>
          <w:szCs w:val="22"/>
          <w:lang w:eastAsia="en-AU"/>
        </w:rPr>
        <w:tab/>
      </w:r>
      <w:r w:rsidRPr="00744026">
        <w:rPr>
          <w:noProof/>
        </w:rPr>
        <w:t>Safety outcomes relating to GLY/IND vs TIO</w:t>
      </w:r>
      <w:r>
        <w:rPr>
          <w:noProof/>
          <w:webHidden/>
        </w:rPr>
        <w:tab/>
      </w:r>
      <w:r w:rsidR="00E409CC">
        <w:rPr>
          <w:noProof/>
          <w:webHidden/>
        </w:rPr>
        <w:t>50</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3.37</w:t>
      </w:r>
      <w:r>
        <w:rPr>
          <w:rFonts w:asciiTheme="minorHAnsi" w:eastAsiaTheme="minorEastAsia" w:hAnsiTheme="minorHAnsi" w:cstheme="minorBidi"/>
          <w:noProof/>
          <w:sz w:val="22"/>
          <w:szCs w:val="22"/>
          <w:lang w:eastAsia="en-AU"/>
        </w:rPr>
        <w:tab/>
      </w:r>
      <w:r w:rsidRPr="00744026">
        <w:rPr>
          <w:noProof/>
        </w:rPr>
        <w:t>Adjusted mean trough FEV</w:t>
      </w:r>
      <w:r w:rsidRPr="00744026">
        <w:rPr>
          <w:noProof/>
          <w:vertAlign w:val="subscript"/>
        </w:rPr>
        <w:t>1</w:t>
      </w:r>
      <w:r w:rsidRPr="00744026">
        <w:rPr>
          <w:noProof/>
        </w:rPr>
        <w:t xml:space="preserve"> after 24 weeks of treatment according to treatment history and GOLD classification – TIO/OLO vs TIO</w:t>
      </w:r>
      <w:r>
        <w:rPr>
          <w:noProof/>
          <w:webHidden/>
        </w:rPr>
        <w:tab/>
      </w:r>
      <w:r w:rsidR="00E409CC">
        <w:rPr>
          <w:noProof/>
          <w:webHidden/>
        </w:rPr>
        <w:t>51</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3.38</w:t>
      </w:r>
      <w:r>
        <w:rPr>
          <w:rFonts w:asciiTheme="minorHAnsi" w:eastAsiaTheme="minorEastAsia" w:hAnsiTheme="minorHAnsi" w:cstheme="minorBidi"/>
          <w:noProof/>
          <w:sz w:val="22"/>
          <w:szCs w:val="22"/>
          <w:lang w:eastAsia="en-AU"/>
        </w:rPr>
        <w:tab/>
      </w:r>
      <w:r w:rsidRPr="00744026">
        <w:rPr>
          <w:noProof/>
        </w:rPr>
        <w:t>Trough FEV</w:t>
      </w:r>
      <w:r w:rsidRPr="00744026">
        <w:rPr>
          <w:noProof/>
          <w:vertAlign w:val="subscript"/>
        </w:rPr>
        <w:t>1</w:t>
      </w:r>
      <w:r w:rsidRPr="00744026">
        <w:rPr>
          <w:noProof/>
        </w:rPr>
        <w:t xml:space="preserve"> in OTEMTO 1 and 2 after 12 weeks – ITT on full analysis set</w:t>
      </w:r>
      <w:r w:rsidRPr="00744026">
        <w:rPr>
          <w:noProof/>
          <w:vertAlign w:val="superscript"/>
        </w:rPr>
        <w:t>a</w:t>
      </w:r>
      <w:r>
        <w:rPr>
          <w:noProof/>
          <w:webHidden/>
        </w:rPr>
        <w:tab/>
      </w:r>
      <w:r w:rsidR="00E409CC">
        <w:rPr>
          <w:noProof/>
          <w:webHidden/>
        </w:rPr>
        <w:t>53</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lastRenderedPageBreak/>
        <w:t>Table 3.39</w:t>
      </w:r>
      <w:r>
        <w:rPr>
          <w:rFonts w:asciiTheme="minorHAnsi" w:eastAsiaTheme="minorEastAsia" w:hAnsiTheme="minorHAnsi" w:cstheme="minorBidi"/>
          <w:noProof/>
          <w:sz w:val="22"/>
          <w:szCs w:val="22"/>
          <w:lang w:eastAsia="en-AU"/>
        </w:rPr>
        <w:tab/>
      </w:r>
      <w:r w:rsidRPr="00744026">
        <w:rPr>
          <w:noProof/>
        </w:rPr>
        <w:t>Safety outcomes relating to TIO/OLO vs TIO or PBO</w:t>
      </w:r>
      <w:r>
        <w:rPr>
          <w:noProof/>
          <w:webHidden/>
        </w:rPr>
        <w:tab/>
      </w:r>
      <w:r w:rsidR="00E409CC">
        <w:rPr>
          <w:noProof/>
          <w:webHidden/>
        </w:rPr>
        <w:t>53</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3.40</w:t>
      </w:r>
      <w:r>
        <w:rPr>
          <w:rFonts w:asciiTheme="minorHAnsi" w:eastAsiaTheme="minorEastAsia" w:hAnsiTheme="minorHAnsi" w:cstheme="minorBidi"/>
          <w:noProof/>
          <w:sz w:val="22"/>
          <w:szCs w:val="22"/>
          <w:lang w:eastAsia="en-AU"/>
        </w:rPr>
        <w:tab/>
      </w:r>
      <w:r w:rsidRPr="00744026">
        <w:rPr>
          <w:noProof/>
        </w:rPr>
        <w:t>Treatment differences in least squares mean change from baseline – Trough FEV</w:t>
      </w:r>
      <w:r w:rsidRPr="00744026">
        <w:rPr>
          <w:noProof/>
          <w:vertAlign w:val="subscript"/>
        </w:rPr>
        <w:t>1</w:t>
      </w:r>
      <w:r>
        <w:rPr>
          <w:noProof/>
          <w:webHidden/>
        </w:rPr>
        <w:tab/>
      </w:r>
      <w:r w:rsidR="00E409CC">
        <w:rPr>
          <w:noProof/>
          <w:webHidden/>
        </w:rPr>
        <w:t>56</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3.41</w:t>
      </w:r>
      <w:r>
        <w:rPr>
          <w:rFonts w:asciiTheme="minorHAnsi" w:eastAsiaTheme="minorEastAsia" w:hAnsiTheme="minorHAnsi" w:cstheme="minorBidi"/>
          <w:noProof/>
          <w:sz w:val="22"/>
          <w:szCs w:val="22"/>
          <w:lang w:eastAsia="en-AU"/>
        </w:rPr>
        <w:tab/>
      </w:r>
      <w:r w:rsidRPr="00744026">
        <w:rPr>
          <w:noProof/>
        </w:rPr>
        <w:t>Patients achieving an increase in trough FEV</w:t>
      </w:r>
      <w:r w:rsidRPr="00744026">
        <w:rPr>
          <w:noProof/>
          <w:vertAlign w:val="subscript"/>
        </w:rPr>
        <w:t>1</w:t>
      </w:r>
      <w:r w:rsidRPr="00744026">
        <w:rPr>
          <w:noProof/>
        </w:rPr>
        <w:t xml:space="preserve"> of </w:t>
      </w:r>
      <w:r w:rsidRPr="00744026">
        <w:rPr>
          <w:rFonts w:cs="Arial"/>
          <w:noProof/>
        </w:rPr>
        <w:t>≥</w:t>
      </w:r>
      <w:r w:rsidRPr="00744026">
        <w:rPr>
          <w:noProof/>
        </w:rPr>
        <w:t>0.100L above baseline at Day 169 – ITT population</w:t>
      </w:r>
      <w:r>
        <w:rPr>
          <w:noProof/>
          <w:webHidden/>
        </w:rPr>
        <w:tab/>
      </w:r>
      <w:r w:rsidR="00E409CC">
        <w:rPr>
          <w:noProof/>
          <w:webHidden/>
        </w:rPr>
        <w:t>56</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3.42</w:t>
      </w:r>
      <w:r>
        <w:rPr>
          <w:rFonts w:asciiTheme="minorHAnsi" w:eastAsiaTheme="minorEastAsia" w:hAnsiTheme="minorHAnsi" w:cstheme="minorBidi"/>
          <w:noProof/>
          <w:sz w:val="22"/>
          <w:szCs w:val="22"/>
          <w:lang w:eastAsia="en-AU"/>
        </w:rPr>
        <w:tab/>
      </w:r>
      <w:r w:rsidRPr="00744026">
        <w:rPr>
          <w:noProof/>
        </w:rPr>
        <w:t>On-treatment exacerbations – ITT population</w:t>
      </w:r>
      <w:r>
        <w:rPr>
          <w:noProof/>
          <w:webHidden/>
        </w:rPr>
        <w:tab/>
      </w:r>
      <w:r w:rsidR="00E409CC">
        <w:rPr>
          <w:noProof/>
          <w:webHidden/>
        </w:rPr>
        <w:t>57</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3.43</w:t>
      </w:r>
      <w:r>
        <w:rPr>
          <w:rFonts w:asciiTheme="minorHAnsi" w:eastAsiaTheme="minorEastAsia" w:hAnsiTheme="minorHAnsi" w:cstheme="minorBidi"/>
          <w:noProof/>
          <w:sz w:val="22"/>
          <w:szCs w:val="22"/>
          <w:lang w:eastAsia="en-AU"/>
        </w:rPr>
        <w:tab/>
      </w:r>
      <w:r w:rsidRPr="00744026">
        <w:rPr>
          <w:noProof/>
        </w:rPr>
        <w:t>Results for safety outcomes relating to UME/VIL vs TIO – ITT population</w:t>
      </w:r>
      <w:r>
        <w:rPr>
          <w:noProof/>
          <w:webHidden/>
        </w:rPr>
        <w:tab/>
      </w:r>
      <w:r w:rsidR="00E409CC">
        <w:rPr>
          <w:noProof/>
          <w:webHidden/>
        </w:rPr>
        <w:t>57</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3.44</w:t>
      </w:r>
      <w:r>
        <w:rPr>
          <w:rFonts w:asciiTheme="minorHAnsi" w:eastAsiaTheme="minorEastAsia" w:hAnsiTheme="minorHAnsi" w:cstheme="minorBidi"/>
          <w:noProof/>
          <w:sz w:val="22"/>
          <w:szCs w:val="22"/>
          <w:lang w:eastAsia="en-AU"/>
        </w:rPr>
        <w:tab/>
      </w:r>
      <w:r w:rsidRPr="00744026">
        <w:rPr>
          <w:noProof/>
        </w:rPr>
        <w:t>Trough FEV</w:t>
      </w:r>
      <w:r w:rsidRPr="00744026">
        <w:rPr>
          <w:noProof/>
          <w:vertAlign w:val="subscript"/>
        </w:rPr>
        <w:t>1</w:t>
      </w:r>
      <w:r w:rsidRPr="00744026">
        <w:rPr>
          <w:noProof/>
        </w:rPr>
        <w:t xml:space="preserve"> change from baseline and difference from placebo – UME/VIL, UME monotherapy and PBO</w:t>
      </w:r>
      <w:r>
        <w:rPr>
          <w:noProof/>
          <w:webHidden/>
        </w:rPr>
        <w:tab/>
      </w:r>
      <w:r w:rsidR="00E409CC">
        <w:rPr>
          <w:noProof/>
          <w:webHidden/>
        </w:rPr>
        <w:t>58</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3.45</w:t>
      </w:r>
      <w:r>
        <w:rPr>
          <w:rFonts w:asciiTheme="minorHAnsi" w:eastAsiaTheme="minorEastAsia" w:hAnsiTheme="minorHAnsi" w:cstheme="minorBidi"/>
          <w:noProof/>
          <w:sz w:val="22"/>
          <w:szCs w:val="22"/>
          <w:lang w:eastAsia="en-AU"/>
        </w:rPr>
        <w:tab/>
      </w:r>
      <w:r w:rsidRPr="00744026">
        <w:rPr>
          <w:noProof/>
        </w:rPr>
        <w:t>Results for safety outcomes relating to UME/VIL, UME monotherapy</w:t>
      </w:r>
      <w:r w:rsidRPr="00744026">
        <w:rPr>
          <w:noProof/>
          <w:vertAlign w:val="superscript"/>
        </w:rPr>
        <w:t>a</w:t>
      </w:r>
      <w:r w:rsidRPr="00744026">
        <w:rPr>
          <w:noProof/>
        </w:rPr>
        <w:t xml:space="preserve"> and PBO</w:t>
      </w:r>
      <w:r>
        <w:rPr>
          <w:noProof/>
          <w:webHidden/>
        </w:rPr>
        <w:tab/>
      </w:r>
      <w:r w:rsidR="00E409CC">
        <w:rPr>
          <w:noProof/>
          <w:webHidden/>
        </w:rPr>
        <w:t>58</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3.46</w:t>
      </w:r>
      <w:r>
        <w:rPr>
          <w:rFonts w:asciiTheme="minorHAnsi" w:eastAsiaTheme="minorEastAsia" w:hAnsiTheme="minorHAnsi" w:cstheme="minorBidi"/>
          <w:noProof/>
          <w:sz w:val="22"/>
          <w:szCs w:val="22"/>
          <w:lang w:eastAsia="en-AU"/>
        </w:rPr>
        <w:tab/>
      </w:r>
      <w:r w:rsidRPr="00744026">
        <w:rPr>
          <w:noProof/>
        </w:rPr>
        <w:t>List of RCTs comparing dual LAMA/LABA therapy with dual ICS/LABA therapy</w:t>
      </w:r>
      <w:r>
        <w:rPr>
          <w:noProof/>
          <w:webHidden/>
        </w:rPr>
        <w:tab/>
      </w:r>
      <w:r w:rsidR="00E409CC">
        <w:rPr>
          <w:noProof/>
          <w:webHidden/>
        </w:rPr>
        <w:t>61</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3.47</w:t>
      </w:r>
      <w:r>
        <w:rPr>
          <w:rFonts w:asciiTheme="minorHAnsi" w:eastAsiaTheme="minorEastAsia" w:hAnsiTheme="minorHAnsi" w:cstheme="minorBidi"/>
          <w:noProof/>
          <w:sz w:val="22"/>
          <w:szCs w:val="22"/>
          <w:lang w:eastAsia="en-AU"/>
        </w:rPr>
        <w:tab/>
      </w:r>
      <w:r w:rsidRPr="00744026">
        <w:rPr>
          <w:noProof/>
        </w:rPr>
        <w:t>Details of RCTs comparing dual therapy with LABA/LAMA versus ICS/LABA in patients with COPD</w:t>
      </w:r>
      <w:r>
        <w:rPr>
          <w:noProof/>
          <w:webHidden/>
        </w:rPr>
        <w:tab/>
      </w:r>
      <w:r w:rsidR="00E409CC">
        <w:rPr>
          <w:noProof/>
          <w:webHidden/>
        </w:rPr>
        <w:t>62</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3.48</w:t>
      </w:r>
      <w:r>
        <w:rPr>
          <w:rFonts w:asciiTheme="minorHAnsi" w:eastAsiaTheme="minorEastAsia" w:hAnsiTheme="minorHAnsi" w:cstheme="minorBidi"/>
          <w:noProof/>
          <w:sz w:val="22"/>
          <w:szCs w:val="22"/>
          <w:lang w:eastAsia="en-AU"/>
        </w:rPr>
        <w:tab/>
      </w:r>
      <w:r w:rsidRPr="00744026">
        <w:rPr>
          <w:noProof/>
        </w:rPr>
        <w:t>Difference between treatments at 6 weeks, full analysis set – TIO/OLO versus FLU/SAL</w:t>
      </w:r>
      <w:r>
        <w:rPr>
          <w:noProof/>
          <w:webHidden/>
        </w:rPr>
        <w:tab/>
      </w:r>
      <w:r w:rsidR="00E409CC">
        <w:rPr>
          <w:noProof/>
          <w:webHidden/>
        </w:rPr>
        <w:t>66</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3.49</w:t>
      </w:r>
      <w:r>
        <w:rPr>
          <w:rFonts w:asciiTheme="minorHAnsi" w:eastAsiaTheme="minorEastAsia" w:hAnsiTheme="minorHAnsi" w:cstheme="minorBidi"/>
          <w:noProof/>
          <w:sz w:val="22"/>
          <w:szCs w:val="22"/>
          <w:lang w:eastAsia="en-AU"/>
        </w:rPr>
        <w:tab/>
      </w:r>
      <w:r w:rsidRPr="00744026">
        <w:rPr>
          <w:noProof/>
        </w:rPr>
        <w:t>Results for safety outcomes relating to TIO/OLO vs FLU/SAL – Treated population</w:t>
      </w:r>
      <w:r>
        <w:rPr>
          <w:noProof/>
          <w:webHidden/>
        </w:rPr>
        <w:tab/>
      </w:r>
      <w:r w:rsidR="00E409CC">
        <w:rPr>
          <w:noProof/>
          <w:webHidden/>
        </w:rPr>
        <w:t>66</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3.50</w:t>
      </w:r>
      <w:r>
        <w:rPr>
          <w:rFonts w:asciiTheme="minorHAnsi" w:eastAsiaTheme="minorEastAsia" w:hAnsiTheme="minorHAnsi" w:cstheme="minorBidi"/>
          <w:noProof/>
          <w:sz w:val="22"/>
          <w:szCs w:val="22"/>
          <w:lang w:eastAsia="en-AU"/>
        </w:rPr>
        <w:tab/>
      </w:r>
      <w:r w:rsidRPr="00744026">
        <w:rPr>
          <w:noProof/>
        </w:rPr>
        <w:t>Treatment differences in least squares mean – Trough FEV</w:t>
      </w:r>
      <w:r w:rsidRPr="00744026">
        <w:rPr>
          <w:noProof/>
          <w:vertAlign w:val="subscript"/>
        </w:rPr>
        <w:t>1</w:t>
      </w:r>
      <w:r>
        <w:rPr>
          <w:noProof/>
          <w:webHidden/>
        </w:rPr>
        <w:tab/>
      </w:r>
      <w:r w:rsidR="00E409CC">
        <w:rPr>
          <w:noProof/>
          <w:webHidden/>
        </w:rPr>
        <w:t>67</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3.51</w:t>
      </w:r>
      <w:r>
        <w:rPr>
          <w:rFonts w:asciiTheme="minorHAnsi" w:eastAsiaTheme="minorEastAsia" w:hAnsiTheme="minorHAnsi" w:cstheme="minorBidi"/>
          <w:noProof/>
          <w:sz w:val="22"/>
          <w:szCs w:val="22"/>
          <w:lang w:eastAsia="en-AU"/>
        </w:rPr>
        <w:tab/>
      </w:r>
      <w:r w:rsidRPr="00744026">
        <w:rPr>
          <w:noProof/>
        </w:rPr>
        <w:t>Proportion of patients achieving lung function improvements on Day 85 – UME/VIL vs FLU/SAL</w:t>
      </w:r>
      <w:r>
        <w:rPr>
          <w:noProof/>
          <w:webHidden/>
        </w:rPr>
        <w:tab/>
      </w:r>
      <w:r w:rsidR="00E409CC">
        <w:rPr>
          <w:noProof/>
          <w:webHidden/>
        </w:rPr>
        <w:t>68</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3.52</w:t>
      </w:r>
      <w:r>
        <w:rPr>
          <w:rFonts w:asciiTheme="minorHAnsi" w:eastAsiaTheme="minorEastAsia" w:hAnsiTheme="minorHAnsi" w:cstheme="minorBidi"/>
          <w:noProof/>
          <w:sz w:val="22"/>
          <w:szCs w:val="22"/>
          <w:lang w:eastAsia="en-AU"/>
        </w:rPr>
        <w:tab/>
      </w:r>
      <w:r w:rsidRPr="00744026">
        <w:rPr>
          <w:noProof/>
        </w:rPr>
        <w:t>Safety outcomes in the ITT population – UME/VIL vs FLU/SAL</w:t>
      </w:r>
      <w:r>
        <w:rPr>
          <w:noProof/>
          <w:webHidden/>
        </w:rPr>
        <w:tab/>
      </w:r>
      <w:r w:rsidR="00E409CC">
        <w:rPr>
          <w:noProof/>
          <w:webHidden/>
        </w:rPr>
        <w:t>68</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3.53</w:t>
      </w:r>
      <w:r>
        <w:rPr>
          <w:rFonts w:asciiTheme="minorHAnsi" w:eastAsiaTheme="minorEastAsia" w:hAnsiTheme="minorHAnsi" w:cstheme="minorBidi"/>
          <w:noProof/>
          <w:sz w:val="22"/>
          <w:szCs w:val="22"/>
          <w:lang w:eastAsia="en-AU"/>
        </w:rPr>
        <w:tab/>
      </w:r>
      <w:r w:rsidRPr="00744026">
        <w:rPr>
          <w:noProof/>
        </w:rPr>
        <w:t>Result for trough FEV</w:t>
      </w:r>
      <w:r w:rsidRPr="00744026">
        <w:rPr>
          <w:noProof/>
          <w:vertAlign w:val="subscript"/>
        </w:rPr>
        <w:t>1</w:t>
      </w:r>
      <w:r w:rsidRPr="00744026">
        <w:rPr>
          <w:noProof/>
        </w:rPr>
        <w:t xml:space="preserve"> at Weeks 12 and 26 – GLY/IND vs FLU/SAL</w:t>
      </w:r>
      <w:r>
        <w:rPr>
          <w:noProof/>
          <w:webHidden/>
        </w:rPr>
        <w:tab/>
      </w:r>
      <w:r w:rsidR="00E409CC">
        <w:rPr>
          <w:noProof/>
          <w:webHidden/>
        </w:rPr>
        <w:t>69</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3.54</w:t>
      </w:r>
      <w:r>
        <w:rPr>
          <w:rFonts w:asciiTheme="minorHAnsi" w:eastAsiaTheme="minorEastAsia" w:hAnsiTheme="minorHAnsi" w:cstheme="minorBidi"/>
          <w:noProof/>
          <w:sz w:val="22"/>
          <w:szCs w:val="22"/>
          <w:lang w:eastAsia="en-AU"/>
        </w:rPr>
        <w:tab/>
      </w:r>
      <w:r w:rsidRPr="00744026">
        <w:rPr>
          <w:noProof/>
        </w:rPr>
        <w:t>Results for safety outcomes relating to GLY/IND vs FLU/SAL – Safety population</w:t>
      </w:r>
      <w:r w:rsidRPr="00744026">
        <w:rPr>
          <w:noProof/>
          <w:vertAlign w:val="superscript"/>
        </w:rPr>
        <w:t>a</w:t>
      </w:r>
      <w:r>
        <w:rPr>
          <w:noProof/>
          <w:webHidden/>
        </w:rPr>
        <w:tab/>
      </w:r>
      <w:r w:rsidR="00E409CC">
        <w:rPr>
          <w:noProof/>
          <w:webHidden/>
        </w:rPr>
        <w:t>69</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3.55</w:t>
      </w:r>
      <w:r>
        <w:rPr>
          <w:rFonts w:asciiTheme="minorHAnsi" w:eastAsiaTheme="minorEastAsia" w:hAnsiTheme="minorHAnsi" w:cstheme="minorBidi"/>
          <w:noProof/>
          <w:sz w:val="22"/>
          <w:szCs w:val="22"/>
          <w:lang w:eastAsia="en-AU"/>
        </w:rPr>
        <w:tab/>
      </w:r>
      <w:r w:rsidRPr="00744026">
        <w:rPr>
          <w:noProof/>
        </w:rPr>
        <w:t>Change from baseline for trough FEV</w:t>
      </w:r>
      <w:r w:rsidRPr="00744026">
        <w:rPr>
          <w:noProof/>
          <w:vertAlign w:val="subscript"/>
        </w:rPr>
        <w:t>1</w:t>
      </w:r>
      <w:r w:rsidRPr="00744026">
        <w:rPr>
          <w:noProof/>
        </w:rPr>
        <w:t xml:space="preserve"> (LOCF) – GLY/IND vs FLU/SAL</w:t>
      </w:r>
      <w:r>
        <w:rPr>
          <w:noProof/>
          <w:webHidden/>
        </w:rPr>
        <w:tab/>
      </w:r>
      <w:r w:rsidR="00E409CC">
        <w:rPr>
          <w:noProof/>
          <w:webHidden/>
        </w:rPr>
        <w:t>71</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3.56</w:t>
      </w:r>
      <w:r>
        <w:rPr>
          <w:rFonts w:asciiTheme="minorHAnsi" w:eastAsiaTheme="minorEastAsia" w:hAnsiTheme="minorHAnsi" w:cstheme="minorBidi"/>
          <w:noProof/>
          <w:sz w:val="22"/>
          <w:szCs w:val="22"/>
          <w:lang w:eastAsia="en-AU"/>
        </w:rPr>
        <w:tab/>
      </w:r>
      <w:r w:rsidRPr="00744026">
        <w:rPr>
          <w:noProof/>
        </w:rPr>
        <w:t>Analysis of responders of post-dose trough FEV</w:t>
      </w:r>
      <w:r w:rsidRPr="00744026">
        <w:rPr>
          <w:noProof/>
          <w:vertAlign w:val="subscript"/>
        </w:rPr>
        <w:t>1</w:t>
      </w:r>
      <w:r w:rsidRPr="00744026">
        <w:rPr>
          <w:noProof/>
        </w:rPr>
        <w:t xml:space="preserve"> after 26 weeks of treatment</w:t>
      </w:r>
      <w:r>
        <w:rPr>
          <w:noProof/>
          <w:webHidden/>
        </w:rPr>
        <w:tab/>
      </w:r>
      <w:r w:rsidR="00E409CC">
        <w:rPr>
          <w:noProof/>
          <w:webHidden/>
        </w:rPr>
        <w:t>71</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3.57</w:t>
      </w:r>
      <w:r>
        <w:rPr>
          <w:rFonts w:asciiTheme="minorHAnsi" w:eastAsiaTheme="minorEastAsia" w:hAnsiTheme="minorHAnsi" w:cstheme="minorBidi"/>
          <w:noProof/>
          <w:sz w:val="22"/>
          <w:szCs w:val="22"/>
          <w:lang w:eastAsia="en-AU"/>
        </w:rPr>
        <w:tab/>
      </w:r>
      <w:r w:rsidRPr="00744026">
        <w:rPr>
          <w:noProof/>
        </w:rPr>
        <w:t>Total number and rate of exacerbations – GLY/IND vs FLU/SAL</w:t>
      </w:r>
      <w:r>
        <w:rPr>
          <w:noProof/>
          <w:webHidden/>
        </w:rPr>
        <w:tab/>
      </w:r>
      <w:r w:rsidR="00E409CC">
        <w:rPr>
          <w:noProof/>
          <w:webHidden/>
        </w:rPr>
        <w:t>71</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3.58</w:t>
      </w:r>
      <w:r>
        <w:rPr>
          <w:rFonts w:asciiTheme="minorHAnsi" w:eastAsiaTheme="minorEastAsia" w:hAnsiTheme="minorHAnsi" w:cstheme="minorBidi"/>
          <w:noProof/>
          <w:sz w:val="22"/>
          <w:szCs w:val="22"/>
          <w:lang w:eastAsia="en-AU"/>
        </w:rPr>
        <w:tab/>
      </w:r>
      <w:r w:rsidRPr="00744026">
        <w:rPr>
          <w:noProof/>
        </w:rPr>
        <w:t>Analysis of COPD exacerbations over 26 weeks by treatment group – GLY/IND vs FLU/SAL</w:t>
      </w:r>
      <w:r>
        <w:rPr>
          <w:noProof/>
          <w:webHidden/>
        </w:rPr>
        <w:tab/>
      </w:r>
      <w:r w:rsidR="00E409CC">
        <w:rPr>
          <w:noProof/>
          <w:webHidden/>
        </w:rPr>
        <w:t>73</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3.59</w:t>
      </w:r>
      <w:r>
        <w:rPr>
          <w:rFonts w:asciiTheme="minorHAnsi" w:eastAsiaTheme="minorEastAsia" w:hAnsiTheme="minorHAnsi" w:cstheme="minorBidi"/>
          <w:noProof/>
          <w:sz w:val="22"/>
          <w:szCs w:val="22"/>
          <w:lang w:eastAsia="en-AU"/>
        </w:rPr>
        <w:tab/>
      </w:r>
      <w:r w:rsidRPr="00744026">
        <w:rPr>
          <w:noProof/>
        </w:rPr>
        <w:t>Results for safety outcomes relating to GLY/IND vs FLU/SAL – Safety set</w:t>
      </w:r>
      <w:r w:rsidRPr="00744026">
        <w:rPr>
          <w:noProof/>
          <w:vertAlign w:val="superscript"/>
        </w:rPr>
        <w:t>a</w:t>
      </w:r>
      <w:r>
        <w:rPr>
          <w:noProof/>
          <w:webHidden/>
        </w:rPr>
        <w:tab/>
      </w:r>
      <w:r w:rsidR="00E409CC">
        <w:rPr>
          <w:noProof/>
          <w:webHidden/>
        </w:rPr>
        <w:t>74</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3.60</w:t>
      </w:r>
      <w:r>
        <w:rPr>
          <w:rFonts w:asciiTheme="minorHAnsi" w:eastAsiaTheme="minorEastAsia" w:hAnsiTheme="minorHAnsi" w:cstheme="minorBidi"/>
          <w:noProof/>
          <w:sz w:val="22"/>
          <w:szCs w:val="22"/>
          <w:lang w:eastAsia="en-AU"/>
        </w:rPr>
        <w:tab/>
      </w:r>
      <w:r w:rsidRPr="00744026">
        <w:rPr>
          <w:noProof/>
        </w:rPr>
        <w:t>Analysis of COPD exacerbations over 52 weeks – GLY/IND vs FLU/SAL</w:t>
      </w:r>
      <w:r>
        <w:rPr>
          <w:noProof/>
          <w:webHidden/>
        </w:rPr>
        <w:tab/>
      </w:r>
      <w:r w:rsidR="00E409CC">
        <w:rPr>
          <w:noProof/>
          <w:webHidden/>
        </w:rPr>
        <w:t>75</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3.61</w:t>
      </w:r>
      <w:r>
        <w:rPr>
          <w:rFonts w:asciiTheme="minorHAnsi" w:eastAsiaTheme="minorEastAsia" w:hAnsiTheme="minorHAnsi" w:cstheme="minorBidi"/>
          <w:noProof/>
          <w:sz w:val="22"/>
          <w:szCs w:val="22"/>
          <w:lang w:eastAsia="en-AU"/>
        </w:rPr>
        <w:tab/>
      </w:r>
      <w:r w:rsidRPr="00744026">
        <w:rPr>
          <w:noProof/>
        </w:rPr>
        <w:t>Subgroup analyses of COPD exacerbations (all severities) over 52 weeks – GLY/IND vs FLU/SAL</w:t>
      </w:r>
      <w:r>
        <w:rPr>
          <w:noProof/>
          <w:webHidden/>
        </w:rPr>
        <w:tab/>
      </w:r>
      <w:r w:rsidR="00E409CC">
        <w:rPr>
          <w:noProof/>
          <w:webHidden/>
        </w:rPr>
        <w:t>76</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3.62</w:t>
      </w:r>
      <w:r>
        <w:rPr>
          <w:rFonts w:asciiTheme="minorHAnsi" w:eastAsiaTheme="minorEastAsia" w:hAnsiTheme="minorHAnsi" w:cstheme="minorBidi"/>
          <w:noProof/>
          <w:sz w:val="22"/>
          <w:szCs w:val="22"/>
          <w:lang w:eastAsia="en-AU"/>
        </w:rPr>
        <w:tab/>
      </w:r>
      <w:r w:rsidRPr="00744026">
        <w:rPr>
          <w:noProof/>
        </w:rPr>
        <w:t>Adjusted mean change from baseline in trough FEV</w:t>
      </w:r>
      <w:r w:rsidRPr="00744026">
        <w:rPr>
          <w:noProof/>
          <w:vertAlign w:val="subscript"/>
        </w:rPr>
        <w:t>1</w:t>
      </w:r>
      <w:r w:rsidRPr="00744026">
        <w:rPr>
          <w:noProof/>
        </w:rPr>
        <w:t xml:space="preserve"> – GLY/IND vs FLU/SAL</w:t>
      </w:r>
      <w:r>
        <w:rPr>
          <w:noProof/>
          <w:webHidden/>
        </w:rPr>
        <w:tab/>
      </w:r>
      <w:r w:rsidR="00E409CC">
        <w:rPr>
          <w:noProof/>
          <w:webHidden/>
        </w:rPr>
        <w:t>78</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3.63</w:t>
      </w:r>
      <w:r>
        <w:rPr>
          <w:rFonts w:asciiTheme="minorHAnsi" w:eastAsiaTheme="minorEastAsia" w:hAnsiTheme="minorHAnsi" w:cstheme="minorBidi"/>
          <w:noProof/>
          <w:sz w:val="22"/>
          <w:szCs w:val="22"/>
          <w:lang w:eastAsia="en-AU"/>
        </w:rPr>
        <w:tab/>
      </w:r>
      <w:r w:rsidRPr="00744026">
        <w:rPr>
          <w:noProof/>
        </w:rPr>
        <w:t>Safety outcomes relating to the comparison of GLY/IND vs FLU/SAL – Safety set</w:t>
      </w:r>
      <w:r w:rsidRPr="00744026">
        <w:rPr>
          <w:noProof/>
          <w:vertAlign w:val="superscript"/>
        </w:rPr>
        <w:t>a</w:t>
      </w:r>
      <w:r>
        <w:rPr>
          <w:noProof/>
          <w:webHidden/>
        </w:rPr>
        <w:tab/>
      </w:r>
      <w:r w:rsidR="00E409CC">
        <w:rPr>
          <w:noProof/>
          <w:webHidden/>
        </w:rPr>
        <w:t>79</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3.64</w:t>
      </w:r>
      <w:r>
        <w:rPr>
          <w:rFonts w:asciiTheme="minorHAnsi" w:eastAsiaTheme="minorEastAsia" w:hAnsiTheme="minorHAnsi" w:cstheme="minorBidi"/>
          <w:noProof/>
          <w:sz w:val="22"/>
          <w:szCs w:val="22"/>
          <w:lang w:eastAsia="en-AU"/>
        </w:rPr>
        <w:tab/>
      </w:r>
      <w:r w:rsidRPr="00744026">
        <w:rPr>
          <w:noProof/>
        </w:rPr>
        <w:t>List of RCTs comparing an ICS/LABA combination therapy with LAMA monotherapy</w:t>
      </w:r>
      <w:r>
        <w:rPr>
          <w:noProof/>
          <w:webHidden/>
        </w:rPr>
        <w:tab/>
      </w:r>
      <w:r w:rsidR="00E409CC">
        <w:rPr>
          <w:noProof/>
          <w:webHidden/>
        </w:rPr>
        <w:t>81</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3.65</w:t>
      </w:r>
      <w:r>
        <w:rPr>
          <w:rFonts w:asciiTheme="minorHAnsi" w:eastAsiaTheme="minorEastAsia" w:hAnsiTheme="minorHAnsi" w:cstheme="minorBidi"/>
          <w:noProof/>
          <w:sz w:val="22"/>
          <w:szCs w:val="22"/>
          <w:lang w:eastAsia="en-AU"/>
        </w:rPr>
        <w:tab/>
      </w:r>
      <w:r w:rsidRPr="00744026">
        <w:rPr>
          <w:noProof/>
        </w:rPr>
        <w:t>Details of RCTs comparing dual therapy with ICS/LABA with LAMA monotherapy in patients with COPD</w:t>
      </w:r>
      <w:r>
        <w:rPr>
          <w:noProof/>
          <w:webHidden/>
        </w:rPr>
        <w:tab/>
      </w:r>
      <w:r w:rsidR="00E409CC">
        <w:rPr>
          <w:noProof/>
          <w:webHidden/>
        </w:rPr>
        <w:t>82</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3.66</w:t>
      </w:r>
      <w:r>
        <w:rPr>
          <w:rFonts w:asciiTheme="minorHAnsi" w:eastAsiaTheme="minorEastAsia" w:hAnsiTheme="minorHAnsi" w:cstheme="minorBidi"/>
          <w:noProof/>
          <w:sz w:val="22"/>
          <w:szCs w:val="22"/>
          <w:lang w:eastAsia="en-AU"/>
        </w:rPr>
        <w:tab/>
      </w:r>
      <w:r w:rsidRPr="00744026">
        <w:rPr>
          <w:noProof/>
        </w:rPr>
        <w:t>Number of exacerbations and rate of exacerbations per year – FLU/SAL vs TIO</w:t>
      </w:r>
      <w:r>
        <w:rPr>
          <w:noProof/>
          <w:webHidden/>
        </w:rPr>
        <w:tab/>
      </w:r>
      <w:r w:rsidR="00E409CC">
        <w:rPr>
          <w:noProof/>
          <w:webHidden/>
        </w:rPr>
        <w:t>84</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3.67</w:t>
      </w:r>
      <w:r>
        <w:rPr>
          <w:rFonts w:asciiTheme="minorHAnsi" w:eastAsiaTheme="minorEastAsia" w:hAnsiTheme="minorHAnsi" w:cstheme="minorBidi"/>
          <w:noProof/>
          <w:sz w:val="22"/>
          <w:szCs w:val="22"/>
          <w:lang w:eastAsia="en-AU"/>
        </w:rPr>
        <w:tab/>
      </w:r>
      <w:r w:rsidRPr="00744026">
        <w:rPr>
          <w:noProof/>
        </w:rPr>
        <w:t>Mortality during the study period – FLU/SAL versus TIO</w:t>
      </w:r>
      <w:r>
        <w:rPr>
          <w:noProof/>
          <w:webHidden/>
        </w:rPr>
        <w:tab/>
      </w:r>
      <w:r w:rsidR="00E409CC">
        <w:rPr>
          <w:noProof/>
          <w:webHidden/>
        </w:rPr>
        <w:t>84</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3.68</w:t>
      </w:r>
      <w:r>
        <w:rPr>
          <w:rFonts w:asciiTheme="minorHAnsi" w:eastAsiaTheme="minorEastAsia" w:hAnsiTheme="minorHAnsi" w:cstheme="minorBidi"/>
          <w:noProof/>
          <w:sz w:val="22"/>
          <w:szCs w:val="22"/>
          <w:lang w:eastAsia="en-AU"/>
        </w:rPr>
        <w:tab/>
      </w:r>
      <w:r w:rsidRPr="00744026">
        <w:rPr>
          <w:noProof/>
        </w:rPr>
        <w:t>Summary of mortality and safety outcomes in the ITT population – FLU/SAL vs TIO</w:t>
      </w:r>
      <w:r>
        <w:rPr>
          <w:noProof/>
          <w:webHidden/>
        </w:rPr>
        <w:tab/>
      </w:r>
      <w:r w:rsidR="00E409CC">
        <w:rPr>
          <w:noProof/>
          <w:webHidden/>
        </w:rPr>
        <w:t>85</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3.69</w:t>
      </w:r>
      <w:r>
        <w:rPr>
          <w:rFonts w:asciiTheme="minorHAnsi" w:eastAsiaTheme="minorEastAsia" w:hAnsiTheme="minorHAnsi" w:cstheme="minorBidi"/>
          <w:noProof/>
          <w:sz w:val="22"/>
          <w:szCs w:val="22"/>
          <w:lang w:eastAsia="en-AU"/>
        </w:rPr>
        <w:tab/>
      </w:r>
      <w:r w:rsidRPr="00744026">
        <w:rPr>
          <w:noProof/>
        </w:rPr>
        <w:t>Number of exacerbations during the follow-up period – FLU/SAL vs TIO</w:t>
      </w:r>
      <w:r>
        <w:rPr>
          <w:noProof/>
          <w:webHidden/>
        </w:rPr>
        <w:tab/>
      </w:r>
      <w:r w:rsidR="00E409CC">
        <w:rPr>
          <w:noProof/>
          <w:webHidden/>
        </w:rPr>
        <w:t>86</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lastRenderedPageBreak/>
        <w:t>Table 3.70</w:t>
      </w:r>
      <w:r>
        <w:rPr>
          <w:rFonts w:asciiTheme="minorHAnsi" w:eastAsiaTheme="minorEastAsia" w:hAnsiTheme="minorHAnsi" w:cstheme="minorBidi"/>
          <w:noProof/>
          <w:sz w:val="22"/>
          <w:szCs w:val="22"/>
          <w:lang w:eastAsia="en-AU"/>
        </w:rPr>
        <w:tab/>
      </w:r>
      <w:r w:rsidRPr="00744026">
        <w:rPr>
          <w:noProof/>
        </w:rPr>
        <w:t>Treatment differences in least squares mean for trough FEV</w:t>
      </w:r>
      <w:r w:rsidRPr="00744026">
        <w:rPr>
          <w:noProof/>
          <w:vertAlign w:val="subscript"/>
        </w:rPr>
        <w:t xml:space="preserve">1 </w:t>
      </w:r>
      <w:r w:rsidRPr="00744026">
        <w:rPr>
          <w:noProof/>
        </w:rPr>
        <w:t>– FLU/VIL vs TIO</w:t>
      </w:r>
      <w:r>
        <w:rPr>
          <w:noProof/>
          <w:webHidden/>
        </w:rPr>
        <w:tab/>
      </w:r>
      <w:r w:rsidR="00E409CC">
        <w:rPr>
          <w:noProof/>
          <w:webHidden/>
        </w:rPr>
        <w:t>86</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3.71</w:t>
      </w:r>
      <w:r>
        <w:rPr>
          <w:rFonts w:asciiTheme="minorHAnsi" w:eastAsiaTheme="minorEastAsia" w:hAnsiTheme="minorHAnsi" w:cstheme="minorBidi"/>
          <w:noProof/>
          <w:sz w:val="22"/>
          <w:szCs w:val="22"/>
          <w:lang w:eastAsia="en-AU"/>
        </w:rPr>
        <w:tab/>
      </w:r>
      <w:r w:rsidRPr="00744026">
        <w:rPr>
          <w:noProof/>
        </w:rPr>
        <w:t>Summary of safety outcomes – FLU/VIL versus TIO</w:t>
      </w:r>
      <w:r>
        <w:rPr>
          <w:noProof/>
          <w:webHidden/>
        </w:rPr>
        <w:tab/>
      </w:r>
      <w:r w:rsidR="00E409CC">
        <w:rPr>
          <w:noProof/>
          <w:webHidden/>
        </w:rPr>
        <w:t>87</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3.72</w:t>
      </w:r>
      <w:r>
        <w:rPr>
          <w:rFonts w:asciiTheme="minorHAnsi" w:eastAsiaTheme="minorEastAsia" w:hAnsiTheme="minorHAnsi" w:cstheme="minorBidi"/>
          <w:noProof/>
          <w:sz w:val="22"/>
          <w:szCs w:val="22"/>
          <w:lang w:eastAsia="en-AU"/>
        </w:rPr>
        <w:tab/>
      </w:r>
      <w:r w:rsidRPr="00744026">
        <w:rPr>
          <w:noProof/>
        </w:rPr>
        <w:t>List of RCTs comparing an ICS/LABA combination therapy with a LABA monotherapy</w:t>
      </w:r>
      <w:r>
        <w:rPr>
          <w:noProof/>
          <w:webHidden/>
        </w:rPr>
        <w:tab/>
      </w:r>
      <w:r w:rsidR="00E409CC">
        <w:rPr>
          <w:noProof/>
          <w:webHidden/>
        </w:rPr>
        <w:t>88</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3.73</w:t>
      </w:r>
      <w:r>
        <w:rPr>
          <w:rFonts w:asciiTheme="minorHAnsi" w:eastAsiaTheme="minorEastAsia" w:hAnsiTheme="minorHAnsi" w:cstheme="minorBidi"/>
          <w:noProof/>
          <w:sz w:val="22"/>
          <w:szCs w:val="22"/>
          <w:lang w:eastAsia="en-AU"/>
        </w:rPr>
        <w:tab/>
      </w:r>
      <w:r w:rsidRPr="00744026">
        <w:rPr>
          <w:noProof/>
        </w:rPr>
        <w:t>Details of RCTs comparing dual therapy with ICS/LABA with LABA monotherapy in patients with COPD</w:t>
      </w:r>
      <w:r>
        <w:rPr>
          <w:noProof/>
          <w:webHidden/>
        </w:rPr>
        <w:tab/>
      </w:r>
      <w:r w:rsidR="00E409CC">
        <w:rPr>
          <w:noProof/>
          <w:webHidden/>
        </w:rPr>
        <w:t>89</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3.74</w:t>
      </w:r>
      <w:r>
        <w:rPr>
          <w:rFonts w:asciiTheme="minorHAnsi" w:eastAsiaTheme="minorEastAsia" w:hAnsiTheme="minorHAnsi" w:cstheme="minorBidi"/>
          <w:noProof/>
          <w:sz w:val="22"/>
          <w:szCs w:val="22"/>
          <w:lang w:eastAsia="en-AU"/>
        </w:rPr>
        <w:tab/>
      </w:r>
      <w:r w:rsidRPr="00744026">
        <w:rPr>
          <w:noProof/>
        </w:rPr>
        <w:t>Change from baseline to Week 12 for trough FEV</w:t>
      </w:r>
      <w:r w:rsidRPr="00744026">
        <w:rPr>
          <w:noProof/>
          <w:vertAlign w:val="subscript"/>
        </w:rPr>
        <w:t xml:space="preserve">1 </w:t>
      </w:r>
      <w:r w:rsidRPr="00744026">
        <w:rPr>
          <w:noProof/>
        </w:rPr>
        <w:t>– IND vs FLU/SAL</w:t>
      </w:r>
      <w:r>
        <w:rPr>
          <w:noProof/>
          <w:webHidden/>
        </w:rPr>
        <w:tab/>
      </w:r>
      <w:r w:rsidR="00E409CC">
        <w:rPr>
          <w:noProof/>
          <w:webHidden/>
        </w:rPr>
        <w:t>90</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3.75</w:t>
      </w:r>
      <w:r>
        <w:rPr>
          <w:rFonts w:asciiTheme="minorHAnsi" w:eastAsiaTheme="minorEastAsia" w:hAnsiTheme="minorHAnsi" w:cstheme="minorBidi"/>
          <w:noProof/>
          <w:sz w:val="22"/>
          <w:szCs w:val="22"/>
          <w:lang w:eastAsia="en-AU"/>
        </w:rPr>
        <w:tab/>
      </w:r>
      <w:r w:rsidRPr="00744026">
        <w:rPr>
          <w:noProof/>
        </w:rPr>
        <w:t>Number and rate of exacerbations – IND vs FLU/SAL</w:t>
      </w:r>
      <w:r>
        <w:rPr>
          <w:noProof/>
          <w:webHidden/>
        </w:rPr>
        <w:tab/>
      </w:r>
      <w:r w:rsidR="00E409CC">
        <w:rPr>
          <w:noProof/>
          <w:webHidden/>
        </w:rPr>
        <w:t>91</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3.76</w:t>
      </w:r>
      <w:r>
        <w:rPr>
          <w:rFonts w:asciiTheme="minorHAnsi" w:eastAsiaTheme="minorEastAsia" w:hAnsiTheme="minorHAnsi" w:cstheme="minorBidi"/>
          <w:noProof/>
          <w:sz w:val="22"/>
          <w:szCs w:val="22"/>
          <w:lang w:eastAsia="en-AU"/>
        </w:rPr>
        <w:tab/>
      </w:r>
      <w:r w:rsidRPr="00744026">
        <w:rPr>
          <w:noProof/>
        </w:rPr>
        <w:t>Results for safety outcomes relating to IND vs FLU/SAL – ITT population</w:t>
      </w:r>
      <w:r>
        <w:rPr>
          <w:noProof/>
          <w:webHidden/>
        </w:rPr>
        <w:tab/>
      </w:r>
      <w:r w:rsidR="00E409CC">
        <w:rPr>
          <w:noProof/>
          <w:webHidden/>
        </w:rPr>
        <w:t>91</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3.77</w:t>
      </w:r>
      <w:r>
        <w:rPr>
          <w:rFonts w:asciiTheme="minorHAnsi" w:eastAsiaTheme="minorEastAsia" w:hAnsiTheme="minorHAnsi" w:cstheme="minorBidi"/>
          <w:noProof/>
          <w:sz w:val="22"/>
          <w:szCs w:val="22"/>
          <w:lang w:eastAsia="en-AU"/>
        </w:rPr>
        <w:tab/>
      </w:r>
      <w:r w:rsidRPr="00744026">
        <w:rPr>
          <w:noProof/>
        </w:rPr>
        <w:t>List of RCTs comparing an ICS/LABA (dual therapy) with an ICS/LABA plus LAMA (triple therapy)</w:t>
      </w:r>
      <w:r>
        <w:rPr>
          <w:noProof/>
          <w:webHidden/>
        </w:rPr>
        <w:tab/>
      </w:r>
      <w:r w:rsidR="00E409CC">
        <w:rPr>
          <w:noProof/>
          <w:webHidden/>
        </w:rPr>
        <w:t>92</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3.78</w:t>
      </w:r>
      <w:r>
        <w:rPr>
          <w:rFonts w:asciiTheme="minorHAnsi" w:eastAsiaTheme="minorEastAsia" w:hAnsiTheme="minorHAnsi" w:cstheme="minorBidi"/>
          <w:noProof/>
          <w:sz w:val="22"/>
          <w:szCs w:val="22"/>
          <w:lang w:eastAsia="en-AU"/>
        </w:rPr>
        <w:tab/>
      </w:r>
      <w:r w:rsidRPr="00744026">
        <w:rPr>
          <w:noProof/>
        </w:rPr>
        <w:t>Details of RCTs comparing triple therapy (ICS/LABA + LAMA) with dual therapy (ICS/LABA) in patients with COPD</w:t>
      </w:r>
      <w:r>
        <w:rPr>
          <w:noProof/>
          <w:webHidden/>
        </w:rPr>
        <w:tab/>
      </w:r>
      <w:r w:rsidR="00E409CC">
        <w:rPr>
          <w:noProof/>
          <w:webHidden/>
        </w:rPr>
        <w:t>93</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3.79</w:t>
      </w:r>
      <w:r>
        <w:rPr>
          <w:rFonts w:asciiTheme="minorHAnsi" w:eastAsiaTheme="minorEastAsia" w:hAnsiTheme="minorHAnsi" w:cstheme="minorBidi"/>
          <w:noProof/>
          <w:sz w:val="22"/>
          <w:szCs w:val="22"/>
          <w:lang w:eastAsia="en-AU"/>
        </w:rPr>
        <w:tab/>
      </w:r>
      <w:r w:rsidRPr="00744026">
        <w:rPr>
          <w:noProof/>
        </w:rPr>
        <w:t>Results for change from baseline for trough FEV</w:t>
      </w:r>
      <w:r w:rsidRPr="00744026">
        <w:rPr>
          <w:noProof/>
          <w:vertAlign w:val="subscript"/>
        </w:rPr>
        <w:t>1</w:t>
      </w:r>
      <w:r w:rsidRPr="00744026">
        <w:rPr>
          <w:noProof/>
        </w:rPr>
        <w:t xml:space="preserve"> for the ITT population – FLU/VIL+PBO vs FLU/VIL+UME</w:t>
      </w:r>
      <w:r>
        <w:rPr>
          <w:noProof/>
          <w:webHidden/>
        </w:rPr>
        <w:tab/>
      </w:r>
      <w:r w:rsidR="00E409CC">
        <w:rPr>
          <w:noProof/>
          <w:webHidden/>
        </w:rPr>
        <w:t>95</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3.80</w:t>
      </w:r>
      <w:r>
        <w:rPr>
          <w:rFonts w:asciiTheme="minorHAnsi" w:eastAsiaTheme="minorEastAsia" w:hAnsiTheme="minorHAnsi" w:cstheme="minorBidi"/>
          <w:noProof/>
          <w:sz w:val="22"/>
          <w:szCs w:val="22"/>
          <w:lang w:eastAsia="en-AU"/>
        </w:rPr>
        <w:tab/>
      </w:r>
      <w:r w:rsidRPr="00744026">
        <w:rPr>
          <w:noProof/>
        </w:rPr>
        <w:t>Patients achieving an increase in trough FEV</w:t>
      </w:r>
      <w:r w:rsidRPr="00744026">
        <w:rPr>
          <w:noProof/>
          <w:vertAlign w:val="subscript"/>
        </w:rPr>
        <w:t>1</w:t>
      </w:r>
      <w:r w:rsidRPr="00744026">
        <w:rPr>
          <w:noProof/>
        </w:rPr>
        <w:t xml:space="preserve"> of </w:t>
      </w:r>
      <w:r w:rsidRPr="00744026">
        <w:rPr>
          <w:rFonts w:cs="Arial"/>
          <w:noProof/>
        </w:rPr>
        <w:t>≥</w:t>
      </w:r>
      <w:r w:rsidRPr="00744026">
        <w:rPr>
          <w:noProof/>
        </w:rPr>
        <w:t>0.100L above baseline at Day 85 – ITT population</w:t>
      </w:r>
      <w:r>
        <w:rPr>
          <w:noProof/>
          <w:webHidden/>
        </w:rPr>
        <w:tab/>
      </w:r>
      <w:r w:rsidR="00E409CC">
        <w:rPr>
          <w:noProof/>
          <w:webHidden/>
        </w:rPr>
        <w:t>96</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3.81</w:t>
      </w:r>
      <w:r>
        <w:rPr>
          <w:rFonts w:asciiTheme="minorHAnsi" w:eastAsiaTheme="minorEastAsia" w:hAnsiTheme="minorHAnsi" w:cstheme="minorBidi"/>
          <w:noProof/>
          <w:sz w:val="22"/>
          <w:szCs w:val="22"/>
          <w:lang w:eastAsia="en-AU"/>
        </w:rPr>
        <w:tab/>
      </w:r>
      <w:r w:rsidRPr="00744026">
        <w:rPr>
          <w:noProof/>
        </w:rPr>
        <w:t>Summary of safety results relating to FLU/VIL+PBO versus FLU/VIL+UME – ITT population</w:t>
      </w:r>
      <w:r>
        <w:rPr>
          <w:noProof/>
          <w:webHidden/>
        </w:rPr>
        <w:tab/>
      </w:r>
      <w:r w:rsidR="00E409CC">
        <w:rPr>
          <w:noProof/>
          <w:webHidden/>
        </w:rPr>
        <w:t>97</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3.82</w:t>
      </w:r>
      <w:r>
        <w:rPr>
          <w:rFonts w:asciiTheme="minorHAnsi" w:eastAsiaTheme="minorEastAsia" w:hAnsiTheme="minorHAnsi" w:cstheme="minorBidi"/>
          <w:noProof/>
          <w:sz w:val="22"/>
          <w:szCs w:val="22"/>
          <w:lang w:eastAsia="en-AU"/>
        </w:rPr>
        <w:tab/>
      </w:r>
      <w:r w:rsidRPr="00744026">
        <w:rPr>
          <w:noProof/>
        </w:rPr>
        <w:t>Results for change from baseline for trough FEV</w:t>
      </w:r>
      <w:r w:rsidRPr="00744026">
        <w:rPr>
          <w:noProof/>
          <w:vertAlign w:val="subscript"/>
        </w:rPr>
        <w:t>1</w:t>
      </w:r>
      <w:r w:rsidRPr="00744026">
        <w:rPr>
          <w:noProof/>
        </w:rPr>
        <w:t xml:space="preserve"> at Day 85 – ICS/LABA+PBO vs ICS/LABA+UME</w:t>
      </w:r>
      <w:r>
        <w:rPr>
          <w:noProof/>
          <w:webHidden/>
        </w:rPr>
        <w:tab/>
      </w:r>
      <w:r w:rsidR="00E409CC">
        <w:rPr>
          <w:noProof/>
          <w:webHidden/>
        </w:rPr>
        <w:t>98</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3.83</w:t>
      </w:r>
      <w:r>
        <w:rPr>
          <w:rFonts w:asciiTheme="minorHAnsi" w:eastAsiaTheme="minorEastAsia" w:hAnsiTheme="minorHAnsi" w:cstheme="minorBidi"/>
          <w:noProof/>
          <w:sz w:val="22"/>
          <w:szCs w:val="22"/>
          <w:lang w:eastAsia="en-AU"/>
        </w:rPr>
        <w:tab/>
      </w:r>
      <w:r w:rsidRPr="00744026">
        <w:rPr>
          <w:noProof/>
        </w:rPr>
        <w:t>Patients achieving an increase in trough FEV</w:t>
      </w:r>
      <w:r w:rsidRPr="00744026">
        <w:rPr>
          <w:noProof/>
          <w:vertAlign w:val="subscript"/>
        </w:rPr>
        <w:t>1</w:t>
      </w:r>
      <w:r w:rsidRPr="00744026">
        <w:rPr>
          <w:noProof/>
        </w:rPr>
        <w:t xml:space="preserve"> of </w:t>
      </w:r>
      <w:r w:rsidRPr="00744026">
        <w:rPr>
          <w:rFonts w:cs="Arial"/>
          <w:noProof/>
        </w:rPr>
        <w:t>≥</w:t>
      </w:r>
      <w:r w:rsidRPr="00744026">
        <w:rPr>
          <w:noProof/>
        </w:rPr>
        <w:t>0.100L above baseline at Day 85 – ITT population</w:t>
      </w:r>
      <w:r>
        <w:rPr>
          <w:noProof/>
          <w:webHidden/>
        </w:rPr>
        <w:tab/>
      </w:r>
      <w:r w:rsidR="00E409CC">
        <w:rPr>
          <w:noProof/>
          <w:webHidden/>
        </w:rPr>
        <w:t>98</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Table 3.84</w:t>
      </w:r>
      <w:r>
        <w:rPr>
          <w:rFonts w:asciiTheme="minorHAnsi" w:eastAsiaTheme="minorEastAsia" w:hAnsiTheme="minorHAnsi" w:cstheme="minorBidi"/>
          <w:noProof/>
          <w:sz w:val="22"/>
          <w:szCs w:val="22"/>
          <w:lang w:eastAsia="en-AU"/>
        </w:rPr>
        <w:tab/>
      </w:r>
      <w:r w:rsidRPr="00744026">
        <w:rPr>
          <w:noProof/>
        </w:rPr>
        <w:t>Summary of safety results relating to ICS/LABA+PBO versus ICS/LABA+UME – ITT population</w:t>
      </w:r>
      <w:r>
        <w:rPr>
          <w:noProof/>
          <w:webHidden/>
        </w:rPr>
        <w:tab/>
      </w:r>
      <w:r w:rsidR="00E409CC">
        <w:rPr>
          <w:noProof/>
          <w:webHidden/>
        </w:rPr>
        <w:t>99</w:t>
      </w:r>
    </w:p>
    <w:p w:rsidR="00E3610F" w:rsidRDefault="00E3610F" w:rsidP="00030E3B">
      <w:pPr>
        <w:pStyle w:val="TOC1"/>
        <w:rPr>
          <w:rFonts w:asciiTheme="minorHAnsi" w:eastAsiaTheme="minorEastAsia" w:hAnsiTheme="minorHAnsi" w:cstheme="minorBidi"/>
          <w:sz w:val="22"/>
          <w:szCs w:val="22"/>
          <w:lang w:eastAsia="en-AU"/>
        </w:rPr>
      </w:pPr>
    </w:p>
    <w:p w:rsidR="00E3610F" w:rsidRDefault="00E3610F" w:rsidP="00E3610F">
      <w:pPr>
        <w:pStyle w:val="BodyText"/>
        <w:keepNext/>
        <w:jc w:val="center"/>
        <w:rPr>
          <w:b/>
          <w:color w:val="4F81BD"/>
          <w:sz w:val="36"/>
          <w:szCs w:val="36"/>
        </w:rPr>
      </w:pPr>
      <w:r w:rsidRPr="00A0482D">
        <w:rPr>
          <w:b/>
          <w:color w:val="4F81BD"/>
          <w:sz w:val="36"/>
          <w:szCs w:val="36"/>
        </w:rPr>
        <w:t xml:space="preserve">List of </w:t>
      </w:r>
      <w:r>
        <w:rPr>
          <w:b/>
          <w:color w:val="4F81BD"/>
          <w:sz w:val="36"/>
          <w:szCs w:val="36"/>
        </w:rPr>
        <w:t>Figures</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Figure 3.1</w:t>
      </w:r>
      <w:r>
        <w:rPr>
          <w:rFonts w:asciiTheme="minorHAnsi" w:eastAsiaTheme="minorEastAsia" w:hAnsiTheme="minorHAnsi" w:cstheme="minorBidi"/>
          <w:noProof/>
          <w:sz w:val="22"/>
          <w:szCs w:val="22"/>
          <w:lang w:eastAsia="en-AU"/>
        </w:rPr>
        <w:tab/>
      </w:r>
      <w:r w:rsidRPr="00744026">
        <w:rPr>
          <w:noProof/>
        </w:rPr>
        <w:t xml:space="preserve"> Differences between active treatments and placebo for trough FEV</w:t>
      </w:r>
      <w:r w:rsidRPr="00744026">
        <w:rPr>
          <w:noProof/>
          <w:vertAlign w:val="subscript"/>
        </w:rPr>
        <w:t>1</w:t>
      </w:r>
      <w:r w:rsidRPr="00744026">
        <w:rPr>
          <w:noProof/>
        </w:rPr>
        <w:t xml:space="preserve"> up to Week 52</w:t>
      </w:r>
      <w:r>
        <w:rPr>
          <w:noProof/>
          <w:webHidden/>
        </w:rPr>
        <w:tab/>
      </w:r>
      <w:r w:rsidR="00E409CC">
        <w:rPr>
          <w:noProof/>
          <w:webHidden/>
        </w:rPr>
        <w:t>39</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Figure 3.2</w:t>
      </w:r>
      <w:r>
        <w:rPr>
          <w:rFonts w:asciiTheme="minorHAnsi" w:eastAsiaTheme="minorEastAsia" w:hAnsiTheme="minorHAnsi" w:cstheme="minorBidi"/>
          <w:noProof/>
          <w:sz w:val="22"/>
          <w:szCs w:val="22"/>
          <w:lang w:eastAsia="en-AU"/>
        </w:rPr>
        <w:tab/>
      </w:r>
      <w:r w:rsidRPr="00744026">
        <w:rPr>
          <w:noProof/>
        </w:rPr>
        <w:t>Forest plot for trough FEV1 response at 24 weeks – TIO/OLO vs TIO (Respimat</w:t>
      </w:r>
      <w:r>
        <w:rPr>
          <w:noProof/>
          <w:webHidden/>
        </w:rPr>
        <w:tab/>
      </w:r>
      <w:r w:rsidR="00E409CC">
        <w:rPr>
          <w:noProof/>
          <w:webHidden/>
        </w:rPr>
        <w:t>52</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Figure 3.3</w:t>
      </w:r>
      <w:r>
        <w:rPr>
          <w:rFonts w:asciiTheme="minorHAnsi" w:eastAsiaTheme="minorEastAsia" w:hAnsiTheme="minorHAnsi" w:cstheme="minorBidi"/>
          <w:noProof/>
          <w:sz w:val="22"/>
          <w:szCs w:val="22"/>
          <w:lang w:eastAsia="en-AU"/>
        </w:rPr>
        <w:tab/>
      </w:r>
      <w:r w:rsidRPr="00744026">
        <w:rPr>
          <w:noProof/>
        </w:rPr>
        <w:t>Forest plot for trough FEV</w:t>
      </w:r>
      <w:r w:rsidRPr="00744026">
        <w:rPr>
          <w:noProof/>
          <w:vertAlign w:val="subscript"/>
        </w:rPr>
        <w:t>1</w:t>
      </w:r>
      <w:r w:rsidRPr="00744026">
        <w:rPr>
          <w:noProof/>
        </w:rPr>
        <w:t xml:space="preserve"> response in patients with GOLD 2 or 3 disease – TIO/OLO vs PBO and TIO/OLO vs TIO</w:t>
      </w:r>
      <w:r>
        <w:rPr>
          <w:noProof/>
          <w:webHidden/>
        </w:rPr>
        <w:tab/>
      </w:r>
      <w:r w:rsidR="00E409CC">
        <w:rPr>
          <w:noProof/>
          <w:webHidden/>
        </w:rPr>
        <w:t>54</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Figure 3.4</w:t>
      </w:r>
      <w:r>
        <w:rPr>
          <w:rFonts w:asciiTheme="minorHAnsi" w:eastAsiaTheme="minorEastAsia" w:hAnsiTheme="minorHAnsi" w:cstheme="minorBidi"/>
          <w:noProof/>
          <w:sz w:val="22"/>
          <w:szCs w:val="22"/>
          <w:lang w:eastAsia="en-AU"/>
        </w:rPr>
        <w:tab/>
      </w:r>
      <w:r w:rsidRPr="00744026">
        <w:rPr>
          <w:noProof/>
        </w:rPr>
        <w:t>Forest plot for trough FEV</w:t>
      </w:r>
      <w:r w:rsidRPr="00744026">
        <w:rPr>
          <w:noProof/>
          <w:vertAlign w:val="subscript"/>
        </w:rPr>
        <w:t>1</w:t>
      </w:r>
      <w:r w:rsidRPr="00744026">
        <w:rPr>
          <w:noProof/>
        </w:rPr>
        <w:t xml:space="preserve"> response in patients with GOLD A-D disease – TIO/OLO vs PBO and TIO/OLO vs TIO</w:t>
      </w:r>
      <w:r>
        <w:rPr>
          <w:noProof/>
          <w:webHidden/>
        </w:rPr>
        <w:tab/>
      </w:r>
      <w:r w:rsidR="00E409CC">
        <w:rPr>
          <w:noProof/>
          <w:webHidden/>
        </w:rPr>
        <w:t>54</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Figure 3.5</w:t>
      </w:r>
      <w:r>
        <w:rPr>
          <w:rFonts w:asciiTheme="minorHAnsi" w:eastAsiaTheme="minorEastAsia" w:hAnsiTheme="minorHAnsi" w:cstheme="minorBidi"/>
          <w:noProof/>
          <w:sz w:val="22"/>
          <w:szCs w:val="22"/>
          <w:lang w:eastAsia="en-AU"/>
        </w:rPr>
        <w:tab/>
      </w:r>
      <w:r w:rsidRPr="00744026">
        <w:rPr>
          <w:noProof/>
        </w:rPr>
        <w:t>Forest plot for trough FEV</w:t>
      </w:r>
      <w:r w:rsidRPr="00744026">
        <w:rPr>
          <w:noProof/>
          <w:vertAlign w:val="subscript"/>
        </w:rPr>
        <w:t>1</w:t>
      </w:r>
      <w:r w:rsidRPr="00744026">
        <w:rPr>
          <w:noProof/>
        </w:rPr>
        <w:t xml:space="preserve"> response in patients who were treatment naïve or experienced at baseline – TIO/OLO vs PBO and TIO/OLO vs TIO</w:t>
      </w:r>
      <w:r>
        <w:rPr>
          <w:noProof/>
          <w:webHidden/>
        </w:rPr>
        <w:tab/>
      </w:r>
      <w:r w:rsidR="00E409CC">
        <w:rPr>
          <w:noProof/>
          <w:webHidden/>
        </w:rPr>
        <w:t>55</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Figure 3.6</w:t>
      </w:r>
      <w:r>
        <w:rPr>
          <w:rFonts w:asciiTheme="minorHAnsi" w:eastAsiaTheme="minorEastAsia" w:hAnsiTheme="minorHAnsi" w:cstheme="minorBidi"/>
          <w:noProof/>
          <w:sz w:val="22"/>
          <w:szCs w:val="22"/>
          <w:lang w:eastAsia="en-AU"/>
        </w:rPr>
        <w:tab/>
      </w:r>
      <w:r w:rsidRPr="00744026">
        <w:rPr>
          <w:noProof/>
        </w:rPr>
        <w:t>Forest plot for trough FEV</w:t>
      </w:r>
      <w:r w:rsidRPr="00744026">
        <w:rPr>
          <w:noProof/>
          <w:vertAlign w:val="subscript"/>
        </w:rPr>
        <w:t>1</w:t>
      </w:r>
      <w:r w:rsidRPr="00744026">
        <w:rPr>
          <w:noProof/>
        </w:rPr>
        <w:t xml:space="preserve"> response in patients who were or were not taking ICS at baseline – TIO/OLO vs PBO and TIO/OLO vs TIO</w:t>
      </w:r>
      <w:r>
        <w:rPr>
          <w:noProof/>
          <w:webHidden/>
        </w:rPr>
        <w:tab/>
      </w:r>
      <w:r w:rsidR="00E409CC">
        <w:rPr>
          <w:noProof/>
          <w:webHidden/>
        </w:rPr>
        <w:t>55</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Figure 3.7</w:t>
      </w:r>
      <w:r>
        <w:rPr>
          <w:rFonts w:asciiTheme="minorHAnsi" w:eastAsiaTheme="minorEastAsia" w:hAnsiTheme="minorHAnsi" w:cstheme="minorBidi"/>
          <w:noProof/>
          <w:sz w:val="22"/>
          <w:szCs w:val="22"/>
          <w:lang w:eastAsia="en-AU"/>
        </w:rPr>
        <w:tab/>
      </w:r>
      <w:r w:rsidRPr="00744026">
        <w:rPr>
          <w:noProof/>
        </w:rPr>
        <w:t>Rate ratio for all exacerbations (mild, moderate, and severe) – GLY/IND vs FLU/SAL</w:t>
      </w:r>
      <w:r>
        <w:rPr>
          <w:noProof/>
          <w:webHidden/>
        </w:rPr>
        <w:tab/>
      </w:r>
      <w:r w:rsidR="00E409CC">
        <w:rPr>
          <w:noProof/>
          <w:webHidden/>
        </w:rPr>
        <w:t>75</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Figure 3.8</w:t>
      </w:r>
      <w:r>
        <w:rPr>
          <w:rFonts w:asciiTheme="minorHAnsi" w:eastAsiaTheme="minorEastAsia" w:hAnsiTheme="minorHAnsi" w:cstheme="minorBidi"/>
          <w:noProof/>
          <w:sz w:val="22"/>
          <w:szCs w:val="22"/>
          <w:lang w:eastAsia="en-AU"/>
        </w:rPr>
        <w:tab/>
      </w:r>
      <w:r w:rsidRPr="00744026">
        <w:rPr>
          <w:noProof/>
        </w:rPr>
        <w:t>Forest plot of estimated moderate or severe COPD exacerbation rate ratio by demographic and disease characteristics</w:t>
      </w:r>
      <w:r>
        <w:rPr>
          <w:noProof/>
          <w:webHidden/>
        </w:rPr>
        <w:tab/>
      </w:r>
      <w:r w:rsidR="00E409CC">
        <w:rPr>
          <w:noProof/>
          <w:webHidden/>
        </w:rPr>
        <w:t>77</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t>Figure 3.9</w:t>
      </w:r>
      <w:r>
        <w:rPr>
          <w:rFonts w:asciiTheme="minorHAnsi" w:eastAsiaTheme="minorEastAsia" w:hAnsiTheme="minorHAnsi" w:cstheme="minorBidi"/>
          <w:noProof/>
          <w:sz w:val="22"/>
          <w:szCs w:val="22"/>
          <w:lang w:eastAsia="en-AU"/>
        </w:rPr>
        <w:tab/>
      </w:r>
      <w:r w:rsidRPr="00744026">
        <w:rPr>
          <w:noProof/>
        </w:rPr>
        <w:t>Time to first exacerbation (any severity, moderate or severe, or severe) – modified ITT</w:t>
      </w:r>
      <w:r>
        <w:rPr>
          <w:noProof/>
          <w:webHidden/>
        </w:rPr>
        <w:tab/>
      </w:r>
      <w:r w:rsidR="00E409CC">
        <w:rPr>
          <w:noProof/>
          <w:webHidden/>
        </w:rPr>
        <w:t>78</w:t>
      </w:r>
    </w:p>
    <w:p w:rsidR="0014196D" w:rsidRDefault="0014196D">
      <w:pPr>
        <w:pStyle w:val="TableofFigures"/>
        <w:tabs>
          <w:tab w:val="right" w:leader="dot" w:pos="9628"/>
        </w:tabs>
        <w:rPr>
          <w:rFonts w:asciiTheme="minorHAnsi" w:eastAsiaTheme="minorEastAsia" w:hAnsiTheme="minorHAnsi" w:cstheme="minorBidi"/>
          <w:noProof/>
          <w:sz w:val="22"/>
          <w:szCs w:val="22"/>
          <w:lang w:eastAsia="en-AU"/>
        </w:rPr>
      </w:pPr>
      <w:r w:rsidRPr="00744026">
        <w:rPr>
          <w:noProof/>
        </w:rPr>
        <w:lastRenderedPageBreak/>
        <w:t>Figure 3.10</w:t>
      </w:r>
      <w:r>
        <w:rPr>
          <w:rFonts w:asciiTheme="minorHAnsi" w:eastAsiaTheme="minorEastAsia" w:hAnsiTheme="minorHAnsi" w:cstheme="minorBidi"/>
          <w:noProof/>
          <w:sz w:val="22"/>
          <w:szCs w:val="22"/>
          <w:lang w:eastAsia="en-AU"/>
        </w:rPr>
        <w:tab/>
      </w:r>
      <w:r w:rsidRPr="00744026">
        <w:rPr>
          <w:noProof/>
        </w:rPr>
        <w:t>Least squares (95% CI) mean change from baseline in trough FEV</w:t>
      </w:r>
      <w:r w:rsidRPr="00744026">
        <w:rPr>
          <w:noProof/>
          <w:vertAlign w:val="subscript"/>
        </w:rPr>
        <w:t>1</w:t>
      </w:r>
      <w:r w:rsidRPr="00744026">
        <w:rPr>
          <w:noProof/>
        </w:rPr>
        <w:t xml:space="preserve"> in Study 1 (a) and Study 2 (b) in the ITT population – FLU/VIL + UME vs FLU/VIL + PBO</w:t>
      </w:r>
      <w:r>
        <w:rPr>
          <w:noProof/>
          <w:webHidden/>
        </w:rPr>
        <w:tab/>
      </w:r>
      <w:r w:rsidR="00E409CC">
        <w:rPr>
          <w:noProof/>
          <w:webHidden/>
        </w:rPr>
        <w:t>96</w:t>
      </w:r>
    </w:p>
    <w:p w:rsidR="00E3610F" w:rsidRDefault="0014196D" w:rsidP="00CE3516">
      <w:pPr>
        <w:pStyle w:val="TableofFigures"/>
        <w:tabs>
          <w:tab w:val="right" w:leader="dot" w:pos="9628"/>
        </w:tabs>
        <w:rPr>
          <w:rFonts w:asciiTheme="minorHAnsi" w:eastAsiaTheme="minorEastAsia" w:hAnsiTheme="minorHAnsi" w:cstheme="minorBidi"/>
          <w:sz w:val="22"/>
          <w:szCs w:val="22"/>
          <w:lang w:eastAsia="en-AU"/>
        </w:rPr>
      </w:pPr>
      <w:r w:rsidRPr="00744026">
        <w:rPr>
          <w:noProof/>
        </w:rPr>
        <w:t>Figure 3.11</w:t>
      </w:r>
      <w:r>
        <w:rPr>
          <w:rFonts w:asciiTheme="minorHAnsi" w:eastAsiaTheme="minorEastAsia" w:hAnsiTheme="minorHAnsi" w:cstheme="minorBidi"/>
          <w:noProof/>
          <w:sz w:val="22"/>
          <w:szCs w:val="22"/>
          <w:lang w:eastAsia="en-AU"/>
        </w:rPr>
        <w:tab/>
      </w:r>
      <w:r w:rsidRPr="00744026">
        <w:rPr>
          <w:noProof/>
        </w:rPr>
        <w:t>LS mean (95% CI) change from baseline in trough FEV</w:t>
      </w:r>
      <w:r w:rsidRPr="00744026">
        <w:rPr>
          <w:noProof/>
          <w:vertAlign w:val="subscript"/>
        </w:rPr>
        <w:t>1</w:t>
      </w:r>
      <w:r w:rsidRPr="00744026">
        <w:rPr>
          <w:noProof/>
        </w:rPr>
        <w:t xml:space="preserve"> – ITT population</w:t>
      </w:r>
      <w:r>
        <w:rPr>
          <w:noProof/>
          <w:webHidden/>
        </w:rPr>
        <w:tab/>
      </w:r>
      <w:r w:rsidR="00E409CC">
        <w:rPr>
          <w:noProof/>
          <w:webHidden/>
        </w:rPr>
        <w:t>98</w:t>
      </w:r>
    </w:p>
    <w:p w:rsidR="0047255E" w:rsidRPr="00A20EF2" w:rsidRDefault="00A018A1" w:rsidP="00A018A1">
      <w:pPr>
        <w:pStyle w:val="Heading1"/>
        <w:numPr>
          <w:ilvl w:val="0"/>
          <w:numId w:val="0"/>
        </w:numPr>
      </w:pPr>
      <w:bookmarkStart w:id="2" w:name="_Toc482185931"/>
      <w:bookmarkStart w:id="3" w:name="_Toc486428065"/>
      <w:r w:rsidRPr="009309BE">
        <w:lastRenderedPageBreak/>
        <w:t>Section 3:</w:t>
      </w:r>
      <w:r w:rsidR="0047255E" w:rsidRPr="009309BE">
        <w:t xml:space="preserve"> ToR 3</w:t>
      </w:r>
      <w:r w:rsidR="0047255E" w:rsidRPr="00A20EF2">
        <w:br/>
        <w:t xml:space="preserve">Review of </w:t>
      </w:r>
      <w:r w:rsidR="0085664C" w:rsidRPr="00A20EF2">
        <w:t xml:space="preserve">LAMA and LABA </w:t>
      </w:r>
      <w:r w:rsidR="0047255E" w:rsidRPr="00A20EF2">
        <w:t>efficacy and safety</w:t>
      </w:r>
      <w:bookmarkEnd w:id="0"/>
      <w:bookmarkEnd w:id="2"/>
      <w:bookmarkEnd w:id="3"/>
    </w:p>
    <w:p w:rsidR="00270A37" w:rsidRDefault="0047255E" w:rsidP="00744026">
      <w:pPr>
        <w:pStyle w:val="BodyTextnospacebefore"/>
      </w:pPr>
      <w:r w:rsidRPr="0047255E">
        <w:t>Review the evidence on the efficacy and safety of monotherapy and combinations of LABA</w:t>
      </w:r>
      <w:r w:rsidR="006B49D5">
        <w:t>/</w:t>
      </w:r>
      <w:r w:rsidRPr="0047255E">
        <w:t>LAMA, ICS</w:t>
      </w:r>
      <w:r w:rsidR="00B51088">
        <w:t>/</w:t>
      </w:r>
      <w:r w:rsidRPr="0047255E">
        <w:t>LABA and LAMA + ICS</w:t>
      </w:r>
      <w:r w:rsidR="006B49D5">
        <w:t>/</w:t>
      </w:r>
      <w:r w:rsidRPr="0047255E">
        <w:t>LABA (separate items or fixed dose combinations) for the treatment of COPD that PBAC has not previously considered.</w:t>
      </w:r>
      <w:bookmarkStart w:id="4" w:name="_Toc468012261"/>
      <w:bookmarkStart w:id="5" w:name="_Toc482185932"/>
      <w:bookmarkStart w:id="6" w:name="_Toc486428066"/>
      <w:r w:rsidR="00270A37">
        <w:t>Key findings for ToR 3</w:t>
      </w:r>
      <w:bookmarkEnd w:id="4"/>
      <w:bookmarkEnd w:id="5"/>
      <w:bookmarkEnd w:id="6"/>
    </w:p>
    <w:p w:rsidR="00035233" w:rsidRDefault="00035233" w:rsidP="00167206">
      <w:r>
        <w:t xml:space="preserve">The key findings from </w:t>
      </w:r>
      <w:r w:rsidR="00A847DB">
        <w:t>the systematic literature review conducted in August 2016</w:t>
      </w:r>
      <w:r w:rsidR="00B84B75">
        <w:t>,</w:t>
      </w:r>
      <w:r w:rsidR="00A847DB">
        <w:t xml:space="preserve"> </w:t>
      </w:r>
      <w:r w:rsidR="009B675B">
        <w:t xml:space="preserve">identifitied </w:t>
      </w:r>
      <w:r>
        <w:t>new head-to-head trials as well as a summary of the trials that und</w:t>
      </w:r>
      <w:r w:rsidR="00167206">
        <w:t xml:space="preserve">erpinned previous PBAC decision </w:t>
      </w:r>
      <w:r>
        <w:t xml:space="preserve">making </w:t>
      </w:r>
      <w:r w:rsidR="00B84B75">
        <w:t>(</w:t>
      </w:r>
      <w:r>
        <w:t>shown in</w:t>
      </w:r>
      <w:r w:rsidR="00B51088">
        <w:t xml:space="preserve"> Table</w:t>
      </w:r>
      <w:r w:rsidR="00167206">
        <w:t>s</w:t>
      </w:r>
      <w:r w:rsidR="00B51088">
        <w:t xml:space="preserve"> 3.1 to 3.4</w:t>
      </w:r>
      <w:r w:rsidR="00B84B75">
        <w:t>)</w:t>
      </w:r>
      <w:r>
        <w:t xml:space="preserve">. Importantly, all </w:t>
      </w:r>
      <w:r w:rsidR="00B009E4">
        <w:t>of the RCTs excluded patients with a history of asthma; thus, the evidence base presented here has limited applicability to</w:t>
      </w:r>
      <w:r w:rsidR="003A4614">
        <w:t xml:space="preserve"> patients with </w:t>
      </w:r>
      <w:r w:rsidR="00A847DB">
        <w:t>asthma-</w:t>
      </w:r>
      <w:r w:rsidR="00A847DB" w:rsidRPr="00A847DB">
        <w:t xml:space="preserve">COPD overlap syndrome </w:t>
      </w:r>
      <w:r w:rsidR="00A847DB">
        <w:t>(</w:t>
      </w:r>
      <w:r w:rsidR="003A4614">
        <w:t>ACOS</w:t>
      </w:r>
      <w:r w:rsidR="00A847DB">
        <w:t>)</w:t>
      </w:r>
      <w:r w:rsidR="003A4614">
        <w:t>.</w:t>
      </w:r>
    </w:p>
    <w:p w:rsidR="009B675B" w:rsidRDefault="009B675B" w:rsidP="00A45F70">
      <w:pPr>
        <w:pStyle w:val="Heading3"/>
      </w:pPr>
      <w:bookmarkStart w:id="7" w:name="_Toc482185933"/>
      <w:bookmarkStart w:id="8" w:name="_Toc486428067"/>
      <w:r>
        <w:t>Monotherapy versus monotherapy in patients with COPD</w:t>
      </w:r>
      <w:bookmarkEnd w:id="7"/>
      <w:bookmarkEnd w:id="8"/>
    </w:p>
    <w:p w:rsidR="00464AD2" w:rsidRDefault="00B51088" w:rsidP="00167206">
      <w:r>
        <w:t>Table 3.1 shows</w:t>
      </w:r>
      <w:r w:rsidR="00464AD2">
        <w:t xml:space="preserve"> </w:t>
      </w:r>
      <w:r w:rsidR="007B6D5C">
        <w:t>there appear</w:t>
      </w:r>
      <w:r w:rsidR="00464AD2" w:rsidRPr="00464AD2">
        <w:t xml:space="preserve"> to be no significant differences in efficacy betwe</w:t>
      </w:r>
      <w:r w:rsidR="00464AD2">
        <w:t>en</w:t>
      </w:r>
      <w:r w:rsidR="00B22734">
        <w:t xml:space="preserve"> the</w:t>
      </w:r>
      <w:r w:rsidR="00464AD2">
        <w:t xml:space="preserve"> PBS-listed LAMA </w:t>
      </w:r>
      <w:proofErr w:type="gramStart"/>
      <w:r w:rsidR="00464AD2">
        <w:t>monotherapies</w:t>
      </w:r>
      <w:proofErr w:type="gramEnd"/>
      <w:r w:rsidR="00B22734">
        <w:t xml:space="preserve">, which </w:t>
      </w:r>
      <w:r w:rsidR="00464AD2" w:rsidRPr="00464AD2">
        <w:t xml:space="preserve">is consistent with </w:t>
      </w:r>
      <w:r w:rsidR="00B22734">
        <w:t xml:space="preserve">previous </w:t>
      </w:r>
      <w:r w:rsidR="00464AD2" w:rsidRPr="00464AD2">
        <w:t>PBAC recommendations.</w:t>
      </w:r>
      <w:r w:rsidR="00464AD2">
        <w:t xml:space="preserve"> </w:t>
      </w:r>
      <w:r w:rsidR="00364DA8">
        <w:t>Furthermore,</w:t>
      </w:r>
      <w:r w:rsidR="00B22734">
        <w:t xml:space="preserve"> there were no noteworthy safety findings and</w:t>
      </w:r>
      <w:r w:rsidR="00364DA8">
        <w:t xml:space="preserve"> all LAMA </w:t>
      </w:r>
      <w:proofErr w:type="gramStart"/>
      <w:r w:rsidR="00364DA8">
        <w:t>monotherapies</w:t>
      </w:r>
      <w:proofErr w:type="gramEnd"/>
      <w:r w:rsidR="00364DA8">
        <w:t xml:space="preserve"> were well</w:t>
      </w:r>
      <w:r w:rsidR="00B22734">
        <w:t xml:space="preserve"> </w:t>
      </w:r>
      <w:r w:rsidR="00364DA8">
        <w:t>tolerated</w:t>
      </w:r>
      <w:r w:rsidR="00B22734">
        <w:t>.</w:t>
      </w:r>
    </w:p>
    <w:p w:rsidR="00035233" w:rsidRDefault="00167206" w:rsidP="00167206">
      <w:pPr>
        <w:pStyle w:val="ToR3Tableheader"/>
      </w:pPr>
      <w:bookmarkStart w:id="9" w:name="_Toc471890993"/>
      <w:bookmarkStart w:id="10" w:name="_Toc486428180"/>
      <w:r>
        <w:t>Table 3.1</w:t>
      </w:r>
      <w:r>
        <w:tab/>
      </w:r>
      <w:r w:rsidR="00035233">
        <w:t xml:space="preserve">Summary of </w:t>
      </w:r>
      <w:r w:rsidR="009B675B">
        <w:t>e</w:t>
      </w:r>
      <w:r w:rsidR="00035233">
        <w:t>vidence for monotherapy versus monotherapy</w:t>
      </w:r>
      <w:bookmarkEnd w:id="9"/>
      <w:r w:rsidR="00EF7807">
        <w:t xml:space="preserve"> in patients with COPD</w:t>
      </w:r>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Key findings"/>
        <w:tblDescription w:val="Summary of evidence for monotherapy versus monotherapy"/>
      </w:tblPr>
      <w:tblGrid>
        <w:gridCol w:w="1256"/>
        <w:gridCol w:w="1804"/>
        <w:gridCol w:w="1094"/>
        <w:gridCol w:w="5494"/>
      </w:tblGrid>
      <w:tr w:rsidR="00035233" w:rsidRPr="00F01736" w:rsidTr="00B0172A">
        <w:trPr>
          <w:cantSplit/>
          <w:tblHeader/>
        </w:trPr>
        <w:tc>
          <w:tcPr>
            <w:tcW w:w="651" w:type="pct"/>
            <w:shd w:val="clear" w:color="auto" w:fill="BFBFBF"/>
          </w:tcPr>
          <w:p w:rsidR="00035233" w:rsidRPr="00F01736" w:rsidRDefault="00035233" w:rsidP="00035233">
            <w:pPr>
              <w:pStyle w:val="01TableHEADINGleftaligned"/>
              <w:keepNext w:val="0"/>
            </w:pPr>
            <w:r>
              <w:t>PBAC consideration</w:t>
            </w:r>
          </w:p>
        </w:tc>
        <w:tc>
          <w:tcPr>
            <w:tcW w:w="935" w:type="pct"/>
            <w:shd w:val="clear" w:color="auto" w:fill="BFBFBF"/>
          </w:tcPr>
          <w:p w:rsidR="00035233" w:rsidRPr="00F01736" w:rsidRDefault="00035233" w:rsidP="00035233">
            <w:pPr>
              <w:pStyle w:val="01TableHEADINGleftaligned"/>
              <w:keepNext w:val="0"/>
              <w:jc w:val="center"/>
            </w:pPr>
            <w:r>
              <w:t>Head-to-head trials</w:t>
            </w:r>
          </w:p>
        </w:tc>
        <w:tc>
          <w:tcPr>
            <w:tcW w:w="567" w:type="pct"/>
            <w:shd w:val="clear" w:color="auto" w:fill="BFBFBF"/>
          </w:tcPr>
          <w:p w:rsidR="00035233" w:rsidRDefault="00035233" w:rsidP="00035233">
            <w:pPr>
              <w:pStyle w:val="01TableHEADINGleftaligned"/>
              <w:keepNext w:val="0"/>
              <w:jc w:val="center"/>
            </w:pPr>
            <w:r>
              <w:t>Comparison</w:t>
            </w:r>
          </w:p>
        </w:tc>
        <w:tc>
          <w:tcPr>
            <w:tcW w:w="2847" w:type="pct"/>
            <w:shd w:val="clear" w:color="auto" w:fill="BFBFBF"/>
          </w:tcPr>
          <w:p w:rsidR="00035233" w:rsidRPr="00F01736" w:rsidRDefault="00035233" w:rsidP="00035233">
            <w:pPr>
              <w:pStyle w:val="01TableHEADINGleftaligned"/>
              <w:keepNext w:val="0"/>
              <w:jc w:val="center"/>
            </w:pPr>
            <w:r>
              <w:t>Summary of evidence</w:t>
            </w:r>
          </w:p>
        </w:tc>
      </w:tr>
      <w:tr w:rsidR="00147625" w:rsidTr="00B0172A">
        <w:trPr>
          <w:cantSplit/>
        </w:trPr>
        <w:tc>
          <w:tcPr>
            <w:tcW w:w="2153" w:type="pct"/>
            <w:gridSpan w:val="3"/>
            <w:tcBorders>
              <w:top w:val="nil"/>
            </w:tcBorders>
            <w:shd w:val="clear" w:color="auto" w:fill="000000" w:themeFill="text1"/>
          </w:tcPr>
          <w:p w:rsidR="00147625" w:rsidRDefault="00147625" w:rsidP="00035233">
            <w:pPr>
              <w:pStyle w:val="04Tablesubheading"/>
            </w:pPr>
            <w:r>
              <w:t>TIO (HandiHaler): LAMA vs SAMA</w:t>
            </w:r>
          </w:p>
        </w:tc>
        <w:tc>
          <w:tcPr>
            <w:tcW w:w="2847" w:type="pct"/>
            <w:shd w:val="clear" w:color="auto" w:fill="000000" w:themeFill="text1"/>
          </w:tcPr>
          <w:p w:rsidR="00147625" w:rsidRDefault="00147625" w:rsidP="00035233">
            <w:pPr>
              <w:pStyle w:val="04Tablesubheading"/>
            </w:pPr>
          </w:p>
        </w:tc>
      </w:tr>
      <w:tr w:rsidR="00035233" w:rsidTr="00B0172A">
        <w:trPr>
          <w:cantSplit/>
        </w:trPr>
        <w:tc>
          <w:tcPr>
            <w:tcW w:w="651" w:type="pct"/>
            <w:tcBorders>
              <w:top w:val="nil"/>
            </w:tcBorders>
            <w:shd w:val="clear" w:color="auto" w:fill="F2F2F2" w:themeFill="background1" w:themeFillShade="F2"/>
          </w:tcPr>
          <w:p w:rsidR="00035233" w:rsidRDefault="00035233" w:rsidP="00035233">
            <w:pPr>
              <w:pStyle w:val="05Tabletext"/>
            </w:pPr>
            <w:r>
              <w:t>March 2002</w:t>
            </w:r>
          </w:p>
        </w:tc>
        <w:tc>
          <w:tcPr>
            <w:tcW w:w="935" w:type="pct"/>
            <w:shd w:val="clear" w:color="auto" w:fill="F2F2F2" w:themeFill="background1" w:themeFillShade="F2"/>
          </w:tcPr>
          <w:p w:rsidR="00035233" w:rsidRDefault="00035233" w:rsidP="00035233">
            <w:pPr>
              <w:pStyle w:val="05Tabletext"/>
              <w:jc w:val="center"/>
            </w:pPr>
            <w:r w:rsidRPr="007B4A71">
              <w:t>BI205.126A</w:t>
            </w:r>
          </w:p>
          <w:p w:rsidR="00035233" w:rsidRDefault="00035233" w:rsidP="00035233">
            <w:pPr>
              <w:pStyle w:val="05Tabletext"/>
              <w:jc w:val="center"/>
            </w:pPr>
            <w:r w:rsidRPr="007B4A71">
              <w:t>BI205.126B</w:t>
            </w:r>
          </w:p>
        </w:tc>
        <w:tc>
          <w:tcPr>
            <w:tcW w:w="567" w:type="pct"/>
            <w:shd w:val="clear" w:color="auto" w:fill="F2F2F2" w:themeFill="background1" w:themeFillShade="F2"/>
          </w:tcPr>
          <w:p w:rsidR="00035233" w:rsidRDefault="00035233" w:rsidP="00035233">
            <w:pPr>
              <w:pStyle w:val="05Tabletext"/>
              <w:jc w:val="center"/>
            </w:pPr>
            <w:r>
              <w:t>TIO vs IPR</w:t>
            </w:r>
          </w:p>
        </w:tc>
        <w:tc>
          <w:tcPr>
            <w:tcW w:w="2847" w:type="pct"/>
            <w:shd w:val="clear" w:color="auto" w:fill="F2F2F2" w:themeFill="background1" w:themeFillShade="F2"/>
          </w:tcPr>
          <w:p w:rsidR="00035233" w:rsidRDefault="00035233" w:rsidP="00251CB8">
            <w:pPr>
              <w:pStyle w:val="05Tabletext"/>
              <w:numPr>
                <w:ilvl w:val="0"/>
                <w:numId w:val="40"/>
              </w:numPr>
              <w:ind w:left="227" w:hanging="227"/>
            </w:pPr>
            <w:r>
              <w:t>TIO was considered superior in efficacy</w:t>
            </w:r>
            <w:r w:rsidR="004F3C29">
              <w:t xml:space="preserve"> and similar in safety to IPR.</w:t>
            </w:r>
          </w:p>
        </w:tc>
      </w:tr>
      <w:tr w:rsidR="00035233" w:rsidTr="00B0172A">
        <w:trPr>
          <w:cantSplit/>
        </w:trPr>
        <w:tc>
          <w:tcPr>
            <w:tcW w:w="651" w:type="pct"/>
            <w:tcBorders>
              <w:top w:val="nil"/>
            </w:tcBorders>
            <w:shd w:val="clear" w:color="auto" w:fill="auto"/>
          </w:tcPr>
          <w:p w:rsidR="00035233" w:rsidRDefault="00035233" w:rsidP="00035233">
            <w:pPr>
              <w:pStyle w:val="05Tabletext"/>
            </w:pPr>
            <w:r>
              <w:t>New evidence</w:t>
            </w:r>
          </w:p>
        </w:tc>
        <w:tc>
          <w:tcPr>
            <w:tcW w:w="935" w:type="pct"/>
            <w:shd w:val="clear" w:color="auto" w:fill="auto"/>
          </w:tcPr>
          <w:p w:rsidR="00035233" w:rsidRDefault="00035233" w:rsidP="00035233">
            <w:pPr>
              <w:pStyle w:val="05Tabletext"/>
              <w:jc w:val="center"/>
            </w:pPr>
            <w:r>
              <w:t>Not considered</w:t>
            </w:r>
          </w:p>
        </w:tc>
        <w:tc>
          <w:tcPr>
            <w:tcW w:w="567" w:type="pct"/>
          </w:tcPr>
          <w:p w:rsidR="00035233" w:rsidRDefault="00035233" w:rsidP="00035233">
            <w:pPr>
              <w:pStyle w:val="05Tabletext"/>
              <w:jc w:val="center"/>
            </w:pPr>
            <w:r>
              <w:t>TIO vs IPR</w:t>
            </w:r>
          </w:p>
        </w:tc>
        <w:tc>
          <w:tcPr>
            <w:tcW w:w="2847" w:type="pct"/>
            <w:shd w:val="clear" w:color="auto" w:fill="auto"/>
          </w:tcPr>
          <w:p w:rsidR="00035233" w:rsidRDefault="00035233" w:rsidP="00251CB8">
            <w:pPr>
              <w:pStyle w:val="05Tabletext"/>
              <w:numPr>
                <w:ilvl w:val="0"/>
                <w:numId w:val="40"/>
              </w:numPr>
              <w:ind w:left="227" w:hanging="227"/>
            </w:pPr>
            <w:r>
              <w:t>Comparison of TIO with IPR (i.e. a SAMA) is no longer considered to be clinically relevant.</w:t>
            </w:r>
          </w:p>
        </w:tc>
      </w:tr>
      <w:tr w:rsidR="00147625" w:rsidTr="00B0172A">
        <w:trPr>
          <w:cantSplit/>
        </w:trPr>
        <w:tc>
          <w:tcPr>
            <w:tcW w:w="2153" w:type="pct"/>
            <w:gridSpan w:val="3"/>
            <w:tcBorders>
              <w:top w:val="nil"/>
            </w:tcBorders>
            <w:shd w:val="clear" w:color="auto" w:fill="000000" w:themeFill="text1"/>
            <w:vAlign w:val="center"/>
          </w:tcPr>
          <w:p w:rsidR="00147625" w:rsidRDefault="00147625" w:rsidP="00035233">
            <w:pPr>
              <w:pStyle w:val="04Tablesubheading"/>
            </w:pPr>
            <w:r>
              <w:t>TIO (Respimat): LAMA vs LAMA</w:t>
            </w:r>
          </w:p>
        </w:tc>
        <w:tc>
          <w:tcPr>
            <w:tcW w:w="2847" w:type="pct"/>
            <w:shd w:val="clear" w:color="auto" w:fill="000000" w:themeFill="text1"/>
          </w:tcPr>
          <w:p w:rsidR="00147625" w:rsidRDefault="00147625" w:rsidP="00035233">
            <w:pPr>
              <w:pStyle w:val="04Tablesubheading"/>
            </w:pPr>
          </w:p>
        </w:tc>
      </w:tr>
      <w:tr w:rsidR="00035233" w:rsidRPr="00991CA3" w:rsidTr="00B0172A">
        <w:trPr>
          <w:cantSplit/>
        </w:trPr>
        <w:tc>
          <w:tcPr>
            <w:tcW w:w="651" w:type="pct"/>
            <w:tcBorders>
              <w:top w:val="nil"/>
            </w:tcBorders>
            <w:shd w:val="clear" w:color="auto" w:fill="F2F2F2" w:themeFill="background1" w:themeFillShade="F2"/>
          </w:tcPr>
          <w:p w:rsidR="00035233" w:rsidRDefault="00035233" w:rsidP="00035233">
            <w:pPr>
              <w:pStyle w:val="05Tabletext"/>
            </w:pPr>
            <w:r>
              <w:t>July 2009</w:t>
            </w:r>
          </w:p>
        </w:tc>
        <w:tc>
          <w:tcPr>
            <w:tcW w:w="935" w:type="pct"/>
            <w:shd w:val="clear" w:color="auto" w:fill="F2F2F2" w:themeFill="background1" w:themeFillShade="F2"/>
          </w:tcPr>
          <w:p w:rsidR="00035233" w:rsidRDefault="00035233" w:rsidP="00035233">
            <w:pPr>
              <w:pStyle w:val="05Tabletext"/>
              <w:jc w:val="center"/>
            </w:pPr>
            <w:r w:rsidRPr="00A80907">
              <w:t>BI205.249</w:t>
            </w:r>
          </w:p>
          <w:p w:rsidR="00035233" w:rsidRDefault="00035233" w:rsidP="00035233">
            <w:pPr>
              <w:pStyle w:val="05Tabletext"/>
              <w:jc w:val="center"/>
            </w:pPr>
            <w:r w:rsidRPr="00A80907">
              <w:t>BI205.250</w:t>
            </w:r>
          </w:p>
          <w:p w:rsidR="00035233" w:rsidRDefault="00035233" w:rsidP="00035233">
            <w:pPr>
              <w:pStyle w:val="05Tabletext"/>
              <w:jc w:val="center"/>
            </w:pPr>
            <w:r w:rsidRPr="00A80907">
              <w:t>BI205.291</w:t>
            </w:r>
          </w:p>
        </w:tc>
        <w:tc>
          <w:tcPr>
            <w:tcW w:w="567" w:type="pct"/>
            <w:shd w:val="clear" w:color="auto" w:fill="F2F2F2" w:themeFill="background1" w:themeFillShade="F2"/>
          </w:tcPr>
          <w:p w:rsidR="00035233" w:rsidRPr="00A80907" w:rsidRDefault="00035233" w:rsidP="00035233">
            <w:pPr>
              <w:pStyle w:val="05Tabletext"/>
              <w:jc w:val="center"/>
            </w:pPr>
            <w:r>
              <w:t>TIO vs TIO</w:t>
            </w:r>
            <w:r>
              <w:rPr>
                <w:vertAlign w:val="superscript"/>
              </w:rPr>
              <w:t>a</w:t>
            </w:r>
          </w:p>
        </w:tc>
        <w:tc>
          <w:tcPr>
            <w:tcW w:w="2847" w:type="pct"/>
            <w:shd w:val="clear" w:color="auto" w:fill="F2F2F2" w:themeFill="background1" w:themeFillShade="F2"/>
          </w:tcPr>
          <w:p w:rsidR="00035233" w:rsidRPr="00991CA3" w:rsidRDefault="00035233" w:rsidP="00251CB8">
            <w:pPr>
              <w:pStyle w:val="05Tabletext"/>
              <w:numPr>
                <w:ilvl w:val="0"/>
                <w:numId w:val="40"/>
              </w:numPr>
              <w:ind w:left="227" w:hanging="227"/>
            </w:pPr>
            <w:r>
              <w:t xml:space="preserve">TIO Respimat was comparable in efficacy and safety to TIO </w:t>
            </w:r>
            <w:r w:rsidR="00AC3855">
              <w:t>HandiHaler</w:t>
            </w:r>
            <w:r>
              <w:t xml:space="preserve">. The two formulations were cost-minimised. </w:t>
            </w:r>
          </w:p>
        </w:tc>
      </w:tr>
      <w:tr w:rsidR="00035233" w:rsidRPr="007037E6" w:rsidTr="00B0172A">
        <w:trPr>
          <w:cantSplit/>
        </w:trPr>
        <w:tc>
          <w:tcPr>
            <w:tcW w:w="651" w:type="pct"/>
            <w:tcBorders>
              <w:top w:val="nil"/>
            </w:tcBorders>
            <w:shd w:val="clear" w:color="auto" w:fill="auto"/>
          </w:tcPr>
          <w:p w:rsidR="00035233" w:rsidRPr="007513BB" w:rsidRDefault="00035233" w:rsidP="00035233">
            <w:pPr>
              <w:pStyle w:val="05Tabletext"/>
              <w:rPr>
                <w:vertAlign w:val="superscript"/>
              </w:rPr>
            </w:pPr>
            <w:r>
              <w:t>New evidence</w:t>
            </w:r>
          </w:p>
        </w:tc>
        <w:tc>
          <w:tcPr>
            <w:tcW w:w="935" w:type="pct"/>
            <w:shd w:val="clear" w:color="auto" w:fill="auto"/>
          </w:tcPr>
          <w:p w:rsidR="00035233" w:rsidRDefault="00035233" w:rsidP="00035233">
            <w:pPr>
              <w:pStyle w:val="05Tabletext"/>
              <w:jc w:val="center"/>
            </w:pPr>
            <w:r>
              <w:t>TIOSPIR</w:t>
            </w:r>
            <w:r>
              <w:br/>
              <w:t>Non-inferiority, double-blind</w:t>
            </w:r>
            <w:r>
              <w:br/>
              <w:t>Good quality</w:t>
            </w:r>
            <w:r>
              <w:br/>
              <w:t>N=17,135; 2-3 years</w:t>
            </w:r>
          </w:p>
        </w:tc>
        <w:tc>
          <w:tcPr>
            <w:tcW w:w="567" w:type="pct"/>
          </w:tcPr>
          <w:p w:rsidR="00035233" w:rsidRDefault="00035233" w:rsidP="00035233">
            <w:pPr>
              <w:pStyle w:val="05Tabletext"/>
              <w:jc w:val="center"/>
            </w:pPr>
            <w:r>
              <w:t>TIO vs TIO</w:t>
            </w:r>
            <w:r>
              <w:rPr>
                <w:vertAlign w:val="superscript"/>
              </w:rPr>
              <w:t>a</w:t>
            </w:r>
          </w:p>
        </w:tc>
        <w:tc>
          <w:tcPr>
            <w:tcW w:w="2847" w:type="pct"/>
            <w:shd w:val="clear" w:color="auto" w:fill="auto"/>
          </w:tcPr>
          <w:p w:rsidR="00035233" w:rsidRPr="007037E6" w:rsidRDefault="00035233" w:rsidP="00251CB8">
            <w:pPr>
              <w:pStyle w:val="05Tabletext"/>
              <w:numPr>
                <w:ilvl w:val="0"/>
                <w:numId w:val="40"/>
              </w:numPr>
              <w:ind w:left="227" w:hanging="227"/>
            </w:pPr>
            <w:r>
              <w:t xml:space="preserve">TIO Respimat appears non-inferior to TIO </w:t>
            </w:r>
            <w:r w:rsidR="00AC3855">
              <w:t>HandiHaler</w:t>
            </w:r>
            <w:r>
              <w:t xml:space="preserve"> in terms of change from baseline in trough FEV</w:t>
            </w:r>
            <w:r>
              <w:rPr>
                <w:vertAlign w:val="subscript"/>
              </w:rPr>
              <w:t xml:space="preserve">1. </w:t>
            </w:r>
            <w:r>
              <w:t>Two post hoc analyses also showed the treatments to be comparable based on mortality and exacerbation outcomes.</w:t>
            </w:r>
          </w:p>
        </w:tc>
      </w:tr>
      <w:tr w:rsidR="00CF608D" w:rsidRPr="003418C1" w:rsidTr="00CF608D">
        <w:trPr>
          <w:cantSplit/>
        </w:trPr>
        <w:tc>
          <w:tcPr>
            <w:tcW w:w="5000" w:type="pct"/>
            <w:gridSpan w:val="4"/>
            <w:tcBorders>
              <w:top w:val="nil"/>
            </w:tcBorders>
            <w:shd w:val="clear" w:color="auto" w:fill="000000" w:themeFill="text1"/>
          </w:tcPr>
          <w:p w:rsidR="00CF608D" w:rsidRPr="00CF608D" w:rsidRDefault="00CF608D" w:rsidP="00CF608D">
            <w:pPr>
              <w:pStyle w:val="05Tabletext"/>
              <w:rPr>
                <w:b/>
              </w:rPr>
            </w:pPr>
            <w:r w:rsidRPr="00CF608D">
              <w:rPr>
                <w:b/>
              </w:rPr>
              <w:t>GLY</w:t>
            </w:r>
            <w:r>
              <w:rPr>
                <w:b/>
              </w:rPr>
              <w:t xml:space="preserve"> (S</w:t>
            </w:r>
            <w:r w:rsidRPr="00CF608D">
              <w:rPr>
                <w:b/>
              </w:rPr>
              <w:t xml:space="preserve">eebri </w:t>
            </w:r>
            <w:r>
              <w:rPr>
                <w:b/>
              </w:rPr>
              <w:t>B</w:t>
            </w:r>
            <w:r w:rsidRPr="00CF608D">
              <w:rPr>
                <w:b/>
              </w:rPr>
              <w:t>reezhaler: LAMA vs LAMA</w:t>
            </w:r>
          </w:p>
        </w:tc>
      </w:tr>
      <w:tr w:rsidR="00035233" w:rsidRPr="003418C1" w:rsidTr="00B0172A">
        <w:trPr>
          <w:cantSplit/>
        </w:trPr>
        <w:tc>
          <w:tcPr>
            <w:tcW w:w="651" w:type="pct"/>
            <w:tcBorders>
              <w:top w:val="nil"/>
            </w:tcBorders>
            <w:shd w:val="clear" w:color="auto" w:fill="F2F2F2" w:themeFill="background1" w:themeFillShade="F2"/>
          </w:tcPr>
          <w:p w:rsidR="00035233" w:rsidRDefault="00035233" w:rsidP="00035233">
            <w:pPr>
              <w:pStyle w:val="05Tabletext"/>
            </w:pPr>
            <w:r>
              <w:t>November 2013</w:t>
            </w:r>
          </w:p>
        </w:tc>
        <w:tc>
          <w:tcPr>
            <w:tcW w:w="935" w:type="pct"/>
            <w:shd w:val="clear" w:color="auto" w:fill="F2F2F2" w:themeFill="background1" w:themeFillShade="F2"/>
          </w:tcPr>
          <w:p w:rsidR="00035233" w:rsidRDefault="00035233" w:rsidP="00B0172A">
            <w:pPr>
              <w:pStyle w:val="05Tabletext"/>
              <w:jc w:val="center"/>
            </w:pPr>
            <w:r w:rsidRPr="001C47BA">
              <w:t>GLOW</w:t>
            </w:r>
            <w:r w:rsidRPr="001C47BA">
              <w:rPr>
                <w:vertAlign w:val="subscript"/>
              </w:rPr>
              <w:t>5</w:t>
            </w:r>
            <w:r>
              <w:rPr>
                <w:vertAlign w:val="subscript"/>
              </w:rPr>
              <w:t xml:space="preserve">, </w:t>
            </w:r>
            <w:r w:rsidRPr="001C47BA">
              <w:t>GLOW</w:t>
            </w:r>
            <w:r w:rsidRPr="001C47BA">
              <w:rPr>
                <w:vertAlign w:val="subscript"/>
              </w:rPr>
              <w:t>2</w:t>
            </w:r>
          </w:p>
          <w:p w:rsidR="00035233" w:rsidRDefault="00035233" w:rsidP="00B0172A">
            <w:pPr>
              <w:pStyle w:val="05Tabletext"/>
              <w:jc w:val="center"/>
            </w:pPr>
            <w:r>
              <w:t>SPARK</w:t>
            </w:r>
          </w:p>
          <w:p w:rsidR="00035233" w:rsidRDefault="00035233" w:rsidP="00B0172A">
            <w:pPr>
              <w:pStyle w:val="05Tabletext"/>
              <w:jc w:val="center"/>
            </w:pPr>
            <w:r w:rsidRPr="001C47BA">
              <w:t>SHINE</w:t>
            </w:r>
          </w:p>
          <w:p w:rsidR="00035233" w:rsidRPr="00314E83" w:rsidRDefault="00035233" w:rsidP="00B0172A">
            <w:pPr>
              <w:pStyle w:val="06Tabletextspacebefore"/>
              <w:spacing w:before="20"/>
              <w:jc w:val="center"/>
            </w:pPr>
            <w:r>
              <w:t>A network analysis for add-on to LABA was also considered</w:t>
            </w:r>
          </w:p>
        </w:tc>
        <w:tc>
          <w:tcPr>
            <w:tcW w:w="567" w:type="pct"/>
            <w:shd w:val="clear" w:color="auto" w:fill="F2F2F2" w:themeFill="background1" w:themeFillShade="F2"/>
          </w:tcPr>
          <w:p w:rsidR="00035233" w:rsidRDefault="00035233" w:rsidP="00035233">
            <w:pPr>
              <w:pStyle w:val="05Tabletext"/>
              <w:jc w:val="center"/>
            </w:pPr>
            <w:r>
              <w:t>GLY vs TIO</w:t>
            </w:r>
          </w:p>
        </w:tc>
        <w:tc>
          <w:tcPr>
            <w:tcW w:w="2847" w:type="pct"/>
            <w:shd w:val="clear" w:color="auto" w:fill="F2F2F2" w:themeFill="background1" w:themeFillShade="F2"/>
          </w:tcPr>
          <w:p w:rsidR="00035233" w:rsidRDefault="00035233" w:rsidP="00251CB8">
            <w:pPr>
              <w:pStyle w:val="05Tabletext"/>
              <w:numPr>
                <w:ilvl w:val="0"/>
                <w:numId w:val="40"/>
              </w:numPr>
              <w:ind w:left="227" w:hanging="227"/>
            </w:pPr>
            <w:r>
              <w:t>GLY was considered non-inferior in comparative effectiveness and similar in safety to TIO. GLY was cost-minimised to TIO.</w:t>
            </w:r>
          </w:p>
          <w:p w:rsidR="00035233" w:rsidRDefault="00035233" w:rsidP="00251CB8">
            <w:pPr>
              <w:pStyle w:val="06Tabletextspacebefore"/>
              <w:numPr>
                <w:ilvl w:val="0"/>
                <w:numId w:val="40"/>
              </w:numPr>
              <w:spacing w:before="20"/>
              <w:ind w:left="227" w:hanging="227"/>
            </w:pPr>
            <w:r>
              <w:t>No head-to-head trials of GLY versus other LAMAs were considered by the PBAC at the time.</w:t>
            </w:r>
          </w:p>
          <w:p w:rsidR="00204B6C" w:rsidRPr="003418C1" w:rsidRDefault="00204B6C" w:rsidP="00A45F70">
            <w:pPr>
              <w:pStyle w:val="06Tabletextspacebefore"/>
              <w:spacing w:before="20"/>
              <w:ind w:left="0"/>
            </w:pPr>
          </w:p>
        </w:tc>
      </w:tr>
      <w:tr w:rsidR="00035233" w:rsidRPr="003418C1" w:rsidTr="00B0172A">
        <w:trPr>
          <w:cantSplit/>
        </w:trPr>
        <w:tc>
          <w:tcPr>
            <w:tcW w:w="651" w:type="pct"/>
            <w:tcBorders>
              <w:top w:val="nil"/>
            </w:tcBorders>
            <w:shd w:val="clear" w:color="auto" w:fill="auto"/>
          </w:tcPr>
          <w:p w:rsidR="00035233" w:rsidRPr="009634BA" w:rsidRDefault="00035233" w:rsidP="00035233">
            <w:pPr>
              <w:pStyle w:val="05Tabletext"/>
            </w:pPr>
            <w:r>
              <w:t>New evidence</w:t>
            </w:r>
          </w:p>
        </w:tc>
        <w:tc>
          <w:tcPr>
            <w:tcW w:w="935" w:type="pct"/>
            <w:shd w:val="clear" w:color="auto" w:fill="auto"/>
          </w:tcPr>
          <w:p w:rsidR="00035233" w:rsidRPr="002F450D" w:rsidRDefault="00035233" w:rsidP="00035233">
            <w:pPr>
              <w:pStyle w:val="05Tabletext"/>
              <w:jc w:val="center"/>
              <w:rPr>
                <w:vertAlign w:val="superscript"/>
              </w:rPr>
            </w:pPr>
            <w:r>
              <w:t>NCT02236611 (unpublished)</w:t>
            </w:r>
            <w:r>
              <w:br/>
              <w:t>Non-inferiority, open-label</w:t>
            </w:r>
            <w:r>
              <w:br/>
              <w:t>Quality not assessed</w:t>
            </w:r>
            <w:r>
              <w:br/>
              <w:t>N=1,037; 12 weeks</w:t>
            </w:r>
          </w:p>
        </w:tc>
        <w:tc>
          <w:tcPr>
            <w:tcW w:w="567" w:type="pct"/>
          </w:tcPr>
          <w:p w:rsidR="00035233" w:rsidRDefault="00035233" w:rsidP="00035233">
            <w:pPr>
              <w:pStyle w:val="05Tabletext"/>
              <w:jc w:val="center"/>
            </w:pPr>
            <w:r>
              <w:t>GLY vs UME</w:t>
            </w:r>
          </w:p>
        </w:tc>
        <w:tc>
          <w:tcPr>
            <w:tcW w:w="2847" w:type="pct"/>
            <w:shd w:val="clear" w:color="auto" w:fill="auto"/>
          </w:tcPr>
          <w:p w:rsidR="00035233" w:rsidRDefault="00035233" w:rsidP="00251CB8">
            <w:pPr>
              <w:pStyle w:val="05Tabletext"/>
              <w:numPr>
                <w:ilvl w:val="0"/>
                <w:numId w:val="40"/>
              </w:numPr>
              <w:ind w:left="227" w:hanging="227"/>
            </w:pPr>
            <w:r>
              <w:t>UME appears non-inferior to GLY based on least squares mean change from baseline in trough FEV</w:t>
            </w:r>
            <w:r>
              <w:rPr>
                <w:vertAlign w:val="subscript"/>
              </w:rPr>
              <w:t>1</w:t>
            </w:r>
            <w:r>
              <w:t>.</w:t>
            </w:r>
          </w:p>
          <w:p w:rsidR="00035233" w:rsidRPr="003418C1" w:rsidRDefault="00035233" w:rsidP="00251CB8">
            <w:pPr>
              <w:pStyle w:val="06Tabletextspacebefore"/>
              <w:numPr>
                <w:ilvl w:val="0"/>
                <w:numId w:val="40"/>
              </w:numPr>
              <w:spacing w:before="20"/>
              <w:ind w:left="227" w:hanging="227"/>
            </w:pPr>
            <w:r>
              <w:t>No other head-to-head trials of GLY versus other LAMAs were identified.</w:t>
            </w:r>
          </w:p>
        </w:tc>
      </w:tr>
      <w:tr w:rsidR="00242FB3" w:rsidRPr="009C73B0" w:rsidTr="00B0172A">
        <w:trPr>
          <w:cantSplit/>
        </w:trPr>
        <w:tc>
          <w:tcPr>
            <w:tcW w:w="1586" w:type="pct"/>
            <w:gridSpan w:val="2"/>
            <w:tcBorders>
              <w:bottom w:val="single" w:sz="4" w:space="0" w:color="auto"/>
            </w:tcBorders>
            <w:shd w:val="clear" w:color="auto" w:fill="000000" w:themeFill="text1"/>
          </w:tcPr>
          <w:p w:rsidR="00242FB3" w:rsidRPr="009C73B0" w:rsidRDefault="00242FB3" w:rsidP="00035233">
            <w:pPr>
              <w:pStyle w:val="04Tablesubheading"/>
              <w:keepNext w:val="0"/>
            </w:pPr>
            <w:r>
              <w:t>ACL: LAMA vs LAMA</w:t>
            </w:r>
          </w:p>
        </w:tc>
        <w:tc>
          <w:tcPr>
            <w:tcW w:w="567" w:type="pct"/>
            <w:tcBorders>
              <w:bottom w:val="single" w:sz="4" w:space="0" w:color="auto"/>
            </w:tcBorders>
            <w:shd w:val="clear" w:color="auto" w:fill="000000" w:themeFill="text1"/>
          </w:tcPr>
          <w:p w:rsidR="00242FB3" w:rsidRPr="009C73B0" w:rsidRDefault="00242FB3" w:rsidP="00035233">
            <w:pPr>
              <w:pStyle w:val="04Tablesubheading"/>
              <w:keepNext w:val="0"/>
            </w:pPr>
          </w:p>
        </w:tc>
        <w:tc>
          <w:tcPr>
            <w:tcW w:w="2847" w:type="pct"/>
            <w:tcBorders>
              <w:bottom w:val="single" w:sz="4" w:space="0" w:color="auto"/>
            </w:tcBorders>
            <w:shd w:val="clear" w:color="auto" w:fill="000000" w:themeFill="text1"/>
          </w:tcPr>
          <w:p w:rsidR="00242FB3" w:rsidRPr="009C73B0" w:rsidRDefault="00242FB3" w:rsidP="00A45F70">
            <w:pPr>
              <w:pStyle w:val="04Tablesubheading"/>
              <w:keepNext w:val="0"/>
            </w:pPr>
          </w:p>
        </w:tc>
      </w:tr>
      <w:tr w:rsidR="00035233" w:rsidRPr="00452983" w:rsidTr="00B0172A">
        <w:trPr>
          <w:cantSplit/>
        </w:trPr>
        <w:tc>
          <w:tcPr>
            <w:tcW w:w="651" w:type="pct"/>
            <w:tcBorders>
              <w:top w:val="single" w:sz="4" w:space="0" w:color="auto"/>
              <w:bottom w:val="single" w:sz="4" w:space="0" w:color="auto"/>
            </w:tcBorders>
            <w:shd w:val="clear" w:color="auto" w:fill="F2F2F2" w:themeFill="background1" w:themeFillShade="F2"/>
          </w:tcPr>
          <w:p w:rsidR="00035233" w:rsidRDefault="00035233" w:rsidP="00035233">
            <w:pPr>
              <w:pStyle w:val="05Tabletext"/>
            </w:pPr>
            <w:r>
              <w:lastRenderedPageBreak/>
              <w:t>March 2014</w:t>
            </w:r>
          </w:p>
        </w:tc>
        <w:tc>
          <w:tcPr>
            <w:tcW w:w="935" w:type="pct"/>
            <w:tcBorders>
              <w:bottom w:val="single" w:sz="4" w:space="0" w:color="auto"/>
            </w:tcBorders>
            <w:shd w:val="clear" w:color="auto" w:fill="F2F2F2" w:themeFill="background1" w:themeFillShade="F2"/>
          </w:tcPr>
          <w:p w:rsidR="00035233" w:rsidRDefault="00035233" w:rsidP="00035233">
            <w:pPr>
              <w:pStyle w:val="05Tabletext"/>
              <w:jc w:val="center"/>
            </w:pPr>
            <w:r>
              <w:t>LAS-39</w:t>
            </w:r>
          </w:p>
          <w:p w:rsidR="00035233" w:rsidRPr="00314E83" w:rsidRDefault="00035233" w:rsidP="00B0172A">
            <w:pPr>
              <w:pStyle w:val="06Tabletextspacebefore"/>
              <w:spacing w:before="0"/>
              <w:jc w:val="center"/>
            </w:pPr>
            <w:r>
              <w:t>An indirect comparison via placebo as common comparator also considered</w:t>
            </w:r>
          </w:p>
        </w:tc>
        <w:tc>
          <w:tcPr>
            <w:tcW w:w="567" w:type="pct"/>
            <w:tcBorders>
              <w:bottom w:val="single" w:sz="4" w:space="0" w:color="auto"/>
            </w:tcBorders>
            <w:shd w:val="clear" w:color="auto" w:fill="F2F2F2" w:themeFill="background1" w:themeFillShade="F2"/>
          </w:tcPr>
          <w:p w:rsidR="00035233" w:rsidRDefault="00035233" w:rsidP="00035233">
            <w:pPr>
              <w:pStyle w:val="05Tabletext"/>
              <w:jc w:val="center"/>
            </w:pPr>
            <w:r>
              <w:t>ACL vs TIO</w:t>
            </w:r>
          </w:p>
        </w:tc>
        <w:tc>
          <w:tcPr>
            <w:tcW w:w="2847" w:type="pct"/>
            <w:tcBorders>
              <w:bottom w:val="single" w:sz="4" w:space="0" w:color="auto"/>
            </w:tcBorders>
            <w:shd w:val="clear" w:color="auto" w:fill="F2F2F2" w:themeFill="background1" w:themeFillShade="F2"/>
          </w:tcPr>
          <w:p w:rsidR="00035233" w:rsidRDefault="00035233" w:rsidP="00251CB8">
            <w:pPr>
              <w:pStyle w:val="05Tabletext"/>
              <w:numPr>
                <w:ilvl w:val="0"/>
                <w:numId w:val="40"/>
              </w:numPr>
              <w:ind w:left="227" w:hanging="227"/>
            </w:pPr>
            <w:r>
              <w:t xml:space="preserve">ACL was </w:t>
            </w:r>
            <w:r w:rsidR="00843316">
              <w:t xml:space="preserve">considered </w:t>
            </w:r>
            <w:r>
              <w:t>non-inferior in term of comparative effectiveness and similar in safety</w:t>
            </w:r>
            <w:r w:rsidR="00D85FEE">
              <w:t xml:space="preserve"> to TIO and was cost-minimised.</w:t>
            </w:r>
          </w:p>
          <w:p w:rsidR="00035233" w:rsidRPr="00452983" w:rsidRDefault="00035233" w:rsidP="00251CB8">
            <w:pPr>
              <w:pStyle w:val="06Tabletextspacebefore"/>
              <w:numPr>
                <w:ilvl w:val="0"/>
                <w:numId w:val="40"/>
              </w:numPr>
              <w:spacing w:before="20"/>
              <w:ind w:left="227" w:hanging="227"/>
            </w:pPr>
            <w:r>
              <w:t>No head-to-head trials of ACL versus other LAMAs were cons</w:t>
            </w:r>
            <w:r w:rsidR="00D85FEE">
              <w:t>idered by the PBAC at the time.</w:t>
            </w:r>
          </w:p>
        </w:tc>
      </w:tr>
      <w:tr w:rsidR="00035233" w:rsidRPr="003D3BB9" w:rsidTr="00B0172A">
        <w:trPr>
          <w:cantSplit/>
        </w:trPr>
        <w:tc>
          <w:tcPr>
            <w:tcW w:w="651" w:type="pct"/>
            <w:tcBorders>
              <w:top w:val="single" w:sz="4" w:space="0" w:color="auto"/>
              <w:bottom w:val="nil"/>
            </w:tcBorders>
            <w:shd w:val="clear" w:color="auto" w:fill="auto"/>
          </w:tcPr>
          <w:p w:rsidR="00035233" w:rsidRDefault="00035233" w:rsidP="00035233">
            <w:pPr>
              <w:pStyle w:val="05Tabletext"/>
              <w:keepNext/>
            </w:pPr>
            <w:r>
              <w:t>New evidence</w:t>
            </w:r>
          </w:p>
        </w:tc>
        <w:tc>
          <w:tcPr>
            <w:tcW w:w="935" w:type="pct"/>
            <w:tcBorders>
              <w:top w:val="single" w:sz="4" w:space="0" w:color="auto"/>
            </w:tcBorders>
            <w:shd w:val="clear" w:color="auto" w:fill="auto"/>
          </w:tcPr>
          <w:p w:rsidR="00035233" w:rsidRDefault="00035233" w:rsidP="00035233">
            <w:pPr>
              <w:pStyle w:val="05Tabletext"/>
              <w:keepNext/>
              <w:jc w:val="center"/>
            </w:pPr>
            <w:r>
              <w:t>Beier (2013)</w:t>
            </w:r>
            <w:r>
              <w:br/>
              <w:t>Superiority, double-blind, double-dummy</w:t>
            </w:r>
            <w:r>
              <w:br/>
              <w:t>Fair quality</w:t>
            </w:r>
            <w:r>
              <w:br/>
              <w:t>N=414; 6 weeks</w:t>
            </w:r>
          </w:p>
        </w:tc>
        <w:tc>
          <w:tcPr>
            <w:tcW w:w="567" w:type="pct"/>
            <w:tcBorders>
              <w:top w:val="single" w:sz="4" w:space="0" w:color="auto"/>
            </w:tcBorders>
          </w:tcPr>
          <w:p w:rsidR="00035233" w:rsidRDefault="00035233" w:rsidP="00035233">
            <w:pPr>
              <w:pStyle w:val="05Tabletext"/>
              <w:keepNext/>
              <w:jc w:val="center"/>
            </w:pPr>
            <w:r>
              <w:t>ACL vs TIO</w:t>
            </w:r>
          </w:p>
        </w:tc>
        <w:tc>
          <w:tcPr>
            <w:tcW w:w="2847" w:type="pct"/>
            <w:tcBorders>
              <w:top w:val="single" w:sz="4" w:space="0" w:color="auto"/>
            </w:tcBorders>
            <w:shd w:val="clear" w:color="auto" w:fill="auto"/>
          </w:tcPr>
          <w:p w:rsidR="00035233" w:rsidRPr="003D3BB9" w:rsidRDefault="00035233" w:rsidP="00251CB8">
            <w:pPr>
              <w:pStyle w:val="05Tabletext"/>
              <w:keepNext/>
              <w:numPr>
                <w:ilvl w:val="0"/>
                <w:numId w:val="40"/>
              </w:numPr>
              <w:ind w:left="227" w:hanging="227"/>
            </w:pPr>
            <w:r>
              <w:t>There were no significant differences between TIO and ACL in terms of efficacy or safety. Both TIO and ACL were associated with improvements from baseline in trough FEV</w:t>
            </w:r>
            <w:r>
              <w:rPr>
                <w:vertAlign w:val="subscript"/>
              </w:rPr>
              <w:t>1</w:t>
            </w:r>
            <w:r>
              <w:t xml:space="preserve"> that met the MCID. </w:t>
            </w:r>
          </w:p>
        </w:tc>
      </w:tr>
      <w:tr w:rsidR="00035233" w:rsidRPr="00452983" w:rsidTr="00B0172A">
        <w:trPr>
          <w:cantSplit/>
        </w:trPr>
        <w:tc>
          <w:tcPr>
            <w:tcW w:w="651" w:type="pct"/>
            <w:tcBorders>
              <w:top w:val="nil"/>
              <w:bottom w:val="single" w:sz="4" w:space="0" w:color="auto"/>
            </w:tcBorders>
            <w:shd w:val="clear" w:color="auto" w:fill="auto"/>
            <w:vAlign w:val="bottom"/>
          </w:tcPr>
          <w:p w:rsidR="00035233" w:rsidRDefault="00035233" w:rsidP="00035233">
            <w:pPr>
              <w:pStyle w:val="05Tabletext"/>
            </w:pPr>
          </w:p>
        </w:tc>
        <w:tc>
          <w:tcPr>
            <w:tcW w:w="935" w:type="pct"/>
            <w:shd w:val="clear" w:color="auto" w:fill="auto"/>
          </w:tcPr>
          <w:p w:rsidR="00035233" w:rsidRDefault="00035233" w:rsidP="00035233">
            <w:pPr>
              <w:pStyle w:val="05Tabletext"/>
              <w:jc w:val="center"/>
            </w:pPr>
            <w:r>
              <w:t>Manoharan (2016)</w:t>
            </w:r>
            <w:r>
              <w:br/>
              <w:t>Superiority, open-label, cross-over</w:t>
            </w:r>
            <w:r>
              <w:br/>
              <w:t>Poor quality</w:t>
            </w:r>
            <w:r>
              <w:br/>
              <w:t>N=15; 2-3 weeks</w:t>
            </w:r>
          </w:p>
        </w:tc>
        <w:tc>
          <w:tcPr>
            <w:tcW w:w="567" w:type="pct"/>
          </w:tcPr>
          <w:p w:rsidR="00035233" w:rsidRDefault="00035233" w:rsidP="00035233">
            <w:pPr>
              <w:pStyle w:val="05Tabletext"/>
              <w:jc w:val="center"/>
            </w:pPr>
            <w:r>
              <w:t>ACL vs TIO</w:t>
            </w:r>
          </w:p>
        </w:tc>
        <w:tc>
          <w:tcPr>
            <w:tcW w:w="2847" w:type="pct"/>
            <w:shd w:val="clear" w:color="auto" w:fill="auto"/>
          </w:tcPr>
          <w:p w:rsidR="00035233" w:rsidRDefault="00035233" w:rsidP="00251CB8">
            <w:pPr>
              <w:pStyle w:val="05Tabletext"/>
              <w:numPr>
                <w:ilvl w:val="0"/>
                <w:numId w:val="40"/>
              </w:numPr>
              <w:ind w:left="227" w:hanging="227"/>
            </w:pPr>
            <w:r>
              <w:t>No difference was observed between TIO and ACL in terms of trough FEV</w:t>
            </w:r>
            <w:r>
              <w:rPr>
                <w:vertAlign w:val="subscript"/>
              </w:rPr>
              <w:t>1</w:t>
            </w:r>
            <w:r>
              <w:t xml:space="preserve"> when used as triple therapy with ICS/LABA.</w:t>
            </w:r>
          </w:p>
          <w:p w:rsidR="00035233" w:rsidRPr="00452983" w:rsidRDefault="00035233" w:rsidP="00251CB8">
            <w:pPr>
              <w:pStyle w:val="06Tabletextspacebefore"/>
              <w:numPr>
                <w:ilvl w:val="0"/>
                <w:numId w:val="40"/>
              </w:numPr>
              <w:spacing w:before="20"/>
              <w:ind w:left="227" w:hanging="227"/>
            </w:pPr>
            <w:r>
              <w:t>No other head-to-head trials of ACL versus other LAMAs were identified.</w:t>
            </w:r>
          </w:p>
        </w:tc>
      </w:tr>
      <w:tr w:rsidR="00242FB3" w:rsidTr="00B0172A">
        <w:trPr>
          <w:cantSplit/>
        </w:trPr>
        <w:tc>
          <w:tcPr>
            <w:tcW w:w="1586" w:type="pct"/>
            <w:gridSpan w:val="2"/>
            <w:tcBorders>
              <w:top w:val="single" w:sz="4" w:space="0" w:color="auto"/>
              <w:bottom w:val="single" w:sz="4" w:space="0" w:color="auto"/>
            </w:tcBorders>
            <w:shd w:val="clear" w:color="auto" w:fill="000000" w:themeFill="text1"/>
            <w:vAlign w:val="bottom"/>
          </w:tcPr>
          <w:p w:rsidR="00242FB3" w:rsidRDefault="00242FB3" w:rsidP="00035233">
            <w:pPr>
              <w:pStyle w:val="04Tablesubheading"/>
            </w:pPr>
            <w:r>
              <w:t>UME: LAMA vs LAMA</w:t>
            </w:r>
          </w:p>
        </w:tc>
        <w:tc>
          <w:tcPr>
            <w:tcW w:w="567" w:type="pct"/>
            <w:tcBorders>
              <w:bottom w:val="single" w:sz="4" w:space="0" w:color="auto"/>
            </w:tcBorders>
            <w:shd w:val="clear" w:color="auto" w:fill="000000" w:themeFill="text1"/>
          </w:tcPr>
          <w:p w:rsidR="00242FB3" w:rsidRDefault="00242FB3" w:rsidP="00035233">
            <w:pPr>
              <w:pStyle w:val="04Tablesubheading"/>
            </w:pPr>
          </w:p>
        </w:tc>
        <w:tc>
          <w:tcPr>
            <w:tcW w:w="2847" w:type="pct"/>
            <w:tcBorders>
              <w:bottom w:val="single" w:sz="4" w:space="0" w:color="auto"/>
            </w:tcBorders>
            <w:shd w:val="clear" w:color="auto" w:fill="000000" w:themeFill="text1"/>
          </w:tcPr>
          <w:p w:rsidR="00242FB3" w:rsidRDefault="00242FB3" w:rsidP="00CF608D">
            <w:pPr>
              <w:pStyle w:val="04Tablesubheading"/>
              <w:ind w:left="777"/>
            </w:pPr>
          </w:p>
        </w:tc>
      </w:tr>
      <w:tr w:rsidR="00035233" w:rsidRPr="009634BA" w:rsidTr="00B0172A">
        <w:trPr>
          <w:cantSplit/>
        </w:trPr>
        <w:tc>
          <w:tcPr>
            <w:tcW w:w="651" w:type="pct"/>
            <w:tcBorders>
              <w:top w:val="single" w:sz="4" w:space="0" w:color="auto"/>
              <w:bottom w:val="single" w:sz="4" w:space="0" w:color="auto"/>
            </w:tcBorders>
            <w:shd w:val="clear" w:color="auto" w:fill="F2F2F2" w:themeFill="background1" w:themeFillShade="F2"/>
          </w:tcPr>
          <w:p w:rsidR="00035233" w:rsidRDefault="00035233" w:rsidP="00035233">
            <w:pPr>
              <w:pStyle w:val="05Tabletext"/>
            </w:pPr>
            <w:r>
              <w:t xml:space="preserve">July 2014 </w:t>
            </w:r>
          </w:p>
        </w:tc>
        <w:tc>
          <w:tcPr>
            <w:tcW w:w="935" w:type="pct"/>
            <w:tcBorders>
              <w:bottom w:val="single" w:sz="4" w:space="0" w:color="auto"/>
            </w:tcBorders>
            <w:shd w:val="clear" w:color="auto" w:fill="F2F2F2" w:themeFill="background1" w:themeFillShade="F2"/>
          </w:tcPr>
          <w:p w:rsidR="00035233" w:rsidRDefault="00035233" w:rsidP="00F505EC">
            <w:pPr>
              <w:pStyle w:val="05Tabletext"/>
              <w:ind w:right="0"/>
              <w:jc w:val="center"/>
            </w:pPr>
            <w:r>
              <w:t xml:space="preserve">No head-to-head trials </w:t>
            </w:r>
          </w:p>
          <w:p w:rsidR="00035233" w:rsidRDefault="00035233" w:rsidP="00F505EC">
            <w:pPr>
              <w:pStyle w:val="06Tabletextspacebefore"/>
              <w:spacing w:before="20"/>
              <w:jc w:val="center"/>
            </w:pPr>
            <w:r>
              <w:t>Indirect comparison via placebo as common comparator</w:t>
            </w:r>
          </w:p>
        </w:tc>
        <w:tc>
          <w:tcPr>
            <w:tcW w:w="567" w:type="pct"/>
            <w:tcBorders>
              <w:bottom w:val="single" w:sz="4" w:space="0" w:color="auto"/>
            </w:tcBorders>
            <w:shd w:val="clear" w:color="auto" w:fill="F2F2F2" w:themeFill="background1" w:themeFillShade="F2"/>
          </w:tcPr>
          <w:p w:rsidR="00035233" w:rsidRDefault="00035233" w:rsidP="00035233">
            <w:pPr>
              <w:pStyle w:val="05Tabletext"/>
              <w:jc w:val="center"/>
            </w:pPr>
            <w:r>
              <w:t>UME vs TIO</w:t>
            </w:r>
          </w:p>
        </w:tc>
        <w:tc>
          <w:tcPr>
            <w:tcW w:w="2847" w:type="pct"/>
            <w:tcBorders>
              <w:bottom w:val="single" w:sz="4" w:space="0" w:color="auto"/>
            </w:tcBorders>
            <w:shd w:val="clear" w:color="auto" w:fill="F2F2F2" w:themeFill="background1" w:themeFillShade="F2"/>
          </w:tcPr>
          <w:p w:rsidR="00035233" w:rsidRDefault="00035233" w:rsidP="00251CB8">
            <w:pPr>
              <w:pStyle w:val="05Tabletext"/>
              <w:numPr>
                <w:ilvl w:val="0"/>
                <w:numId w:val="40"/>
              </w:numPr>
              <w:ind w:left="227" w:hanging="227"/>
            </w:pPr>
            <w:r>
              <w:t>UME was considered non-inferior in terms of comparative effectiveness and of similar safety to</w:t>
            </w:r>
            <w:r w:rsidR="00843316">
              <w:t xml:space="preserve"> TIO</w:t>
            </w:r>
            <w:r>
              <w:t xml:space="preserve">, and was cost-minimised. </w:t>
            </w:r>
          </w:p>
          <w:p w:rsidR="00035233" w:rsidRPr="009634BA" w:rsidRDefault="00035233" w:rsidP="00251CB8">
            <w:pPr>
              <w:pStyle w:val="06Tabletextspacebefore"/>
              <w:numPr>
                <w:ilvl w:val="0"/>
                <w:numId w:val="40"/>
              </w:numPr>
              <w:spacing w:before="20"/>
              <w:ind w:left="227" w:hanging="227"/>
            </w:pPr>
            <w:r>
              <w:t xml:space="preserve">No head-to-head trials of UME versus other LAMAs were considered by the PBAC at the time. </w:t>
            </w:r>
          </w:p>
        </w:tc>
      </w:tr>
      <w:tr w:rsidR="00035233" w:rsidTr="00B0172A">
        <w:trPr>
          <w:cantSplit/>
        </w:trPr>
        <w:tc>
          <w:tcPr>
            <w:tcW w:w="651" w:type="pct"/>
            <w:tcBorders>
              <w:top w:val="single" w:sz="4" w:space="0" w:color="auto"/>
              <w:bottom w:val="nil"/>
            </w:tcBorders>
            <w:shd w:val="clear" w:color="auto" w:fill="auto"/>
          </w:tcPr>
          <w:p w:rsidR="00035233" w:rsidRDefault="00035233" w:rsidP="00035233">
            <w:pPr>
              <w:pStyle w:val="05Tabletext"/>
            </w:pPr>
            <w:r>
              <w:t>New evidence</w:t>
            </w:r>
          </w:p>
        </w:tc>
        <w:tc>
          <w:tcPr>
            <w:tcW w:w="935" w:type="pct"/>
            <w:tcBorders>
              <w:top w:val="single" w:sz="4" w:space="0" w:color="auto"/>
            </w:tcBorders>
            <w:shd w:val="clear" w:color="auto" w:fill="auto"/>
          </w:tcPr>
          <w:p w:rsidR="00035233" w:rsidRDefault="00035233" w:rsidP="00F505EC">
            <w:pPr>
              <w:pStyle w:val="05Tabletext"/>
              <w:jc w:val="center"/>
            </w:pPr>
            <w:r>
              <w:t>Feldman (2016)</w:t>
            </w:r>
            <w:r>
              <w:br/>
              <w:t>Non-inferiority, double-blind, double-dummy</w:t>
            </w:r>
            <w:r>
              <w:br/>
              <w:t>Good quality</w:t>
            </w:r>
            <w:r>
              <w:rPr>
                <w:vertAlign w:val="superscript"/>
              </w:rPr>
              <w:t>b</w:t>
            </w:r>
            <w:r>
              <w:br/>
              <w:t>N=1,017; 12 weeks</w:t>
            </w:r>
          </w:p>
        </w:tc>
        <w:tc>
          <w:tcPr>
            <w:tcW w:w="567" w:type="pct"/>
            <w:tcBorders>
              <w:top w:val="single" w:sz="4" w:space="0" w:color="auto"/>
            </w:tcBorders>
          </w:tcPr>
          <w:p w:rsidR="00035233" w:rsidRDefault="00035233" w:rsidP="00035233">
            <w:pPr>
              <w:pStyle w:val="05Tabletext"/>
              <w:jc w:val="center"/>
            </w:pPr>
            <w:r>
              <w:t>UME vs TIO</w:t>
            </w:r>
          </w:p>
        </w:tc>
        <w:tc>
          <w:tcPr>
            <w:tcW w:w="2847" w:type="pct"/>
            <w:tcBorders>
              <w:top w:val="single" w:sz="4" w:space="0" w:color="auto"/>
            </w:tcBorders>
            <w:shd w:val="clear" w:color="auto" w:fill="auto"/>
          </w:tcPr>
          <w:p w:rsidR="00035233" w:rsidRPr="006527F4" w:rsidRDefault="00035233" w:rsidP="00251CB8">
            <w:pPr>
              <w:pStyle w:val="05Tabletext"/>
              <w:numPr>
                <w:ilvl w:val="0"/>
                <w:numId w:val="40"/>
              </w:numPr>
              <w:ind w:left="227" w:hanging="227"/>
            </w:pPr>
            <w:r>
              <w:t>UME</w:t>
            </w:r>
            <w:r w:rsidRPr="00554FB0">
              <w:t xml:space="preserve"> </w:t>
            </w:r>
            <w:r>
              <w:t xml:space="preserve">was </w:t>
            </w:r>
            <w:r w:rsidRPr="00554FB0">
              <w:t xml:space="preserve">superior to </w:t>
            </w:r>
            <w:r>
              <w:t>TIO based on trough FEV</w:t>
            </w:r>
            <w:r w:rsidRPr="006527F4">
              <w:rPr>
                <w:vertAlign w:val="subscript"/>
              </w:rPr>
              <w:t>1</w:t>
            </w:r>
            <w:r>
              <w:t>; however, there were no significant differences between UME and TIO based on other efficacy outcomes including TDI, SGRQ and CAT scores.</w:t>
            </w:r>
          </w:p>
          <w:p w:rsidR="00035233" w:rsidRDefault="00035233" w:rsidP="00251CB8">
            <w:pPr>
              <w:pStyle w:val="06Tabletextspacebefore"/>
              <w:numPr>
                <w:ilvl w:val="0"/>
                <w:numId w:val="40"/>
              </w:numPr>
              <w:spacing w:before="20"/>
              <w:ind w:left="227" w:hanging="227"/>
            </w:pPr>
            <w:r>
              <w:t>UME non-inferior to TIO based on other efficacy outcomes including TDI, SGRQ and CAT scores.</w:t>
            </w:r>
          </w:p>
        </w:tc>
      </w:tr>
      <w:tr w:rsidR="00035233" w:rsidRPr="009634BA" w:rsidTr="00B0172A">
        <w:trPr>
          <w:cantSplit/>
        </w:trPr>
        <w:tc>
          <w:tcPr>
            <w:tcW w:w="651" w:type="pct"/>
            <w:tcBorders>
              <w:top w:val="nil"/>
              <w:bottom w:val="nil"/>
            </w:tcBorders>
            <w:shd w:val="clear" w:color="auto" w:fill="auto"/>
          </w:tcPr>
          <w:p w:rsidR="00035233" w:rsidRDefault="00035233" w:rsidP="00035233">
            <w:pPr>
              <w:pStyle w:val="05Tabletext"/>
            </w:pPr>
          </w:p>
        </w:tc>
        <w:tc>
          <w:tcPr>
            <w:tcW w:w="935" w:type="pct"/>
            <w:shd w:val="clear" w:color="auto" w:fill="auto"/>
          </w:tcPr>
          <w:p w:rsidR="00035233" w:rsidRDefault="00035233" w:rsidP="00F505EC">
            <w:pPr>
              <w:pStyle w:val="05Tabletext"/>
              <w:jc w:val="center"/>
            </w:pPr>
            <w:r>
              <w:t>Donohue (2012)</w:t>
            </w:r>
            <w:r>
              <w:br/>
              <w:t>Dose-ranging study</w:t>
            </w:r>
            <w:r>
              <w:br/>
              <w:t>Double-blind, cross-over</w:t>
            </w:r>
            <w:r>
              <w:br/>
              <w:t>Fair quality</w:t>
            </w:r>
            <w:r>
              <w:br/>
              <w:t>N=176; 2 weeks</w:t>
            </w:r>
          </w:p>
        </w:tc>
        <w:tc>
          <w:tcPr>
            <w:tcW w:w="567" w:type="pct"/>
          </w:tcPr>
          <w:p w:rsidR="00035233" w:rsidRDefault="00035233" w:rsidP="00035233">
            <w:pPr>
              <w:pStyle w:val="05Tabletext"/>
              <w:jc w:val="center"/>
            </w:pPr>
            <w:r>
              <w:t>UME vs TIO</w:t>
            </w:r>
          </w:p>
        </w:tc>
        <w:tc>
          <w:tcPr>
            <w:tcW w:w="2847" w:type="pct"/>
            <w:shd w:val="clear" w:color="auto" w:fill="auto"/>
          </w:tcPr>
          <w:p w:rsidR="00035233" w:rsidRPr="009634BA" w:rsidRDefault="00035233" w:rsidP="00251CB8">
            <w:pPr>
              <w:pStyle w:val="05Tabletext"/>
              <w:numPr>
                <w:ilvl w:val="0"/>
                <w:numId w:val="40"/>
              </w:numPr>
              <w:ind w:left="227" w:hanging="227"/>
            </w:pPr>
            <w:r>
              <w:t>The results for the UME (blinded) and TIO (open-label) were not directly compared (UME and TIO were both compared with placebo). However, UME resulted in a numerically greater change in trough FEV</w:t>
            </w:r>
            <w:r>
              <w:rPr>
                <w:vertAlign w:val="subscript"/>
              </w:rPr>
              <w:t xml:space="preserve">1 </w:t>
            </w:r>
            <w:r>
              <w:t>from baseline than TIO.</w:t>
            </w:r>
          </w:p>
        </w:tc>
      </w:tr>
      <w:tr w:rsidR="00035233" w:rsidTr="00B0172A">
        <w:trPr>
          <w:cantSplit/>
        </w:trPr>
        <w:tc>
          <w:tcPr>
            <w:tcW w:w="651" w:type="pct"/>
            <w:tcBorders>
              <w:top w:val="nil"/>
            </w:tcBorders>
            <w:shd w:val="clear" w:color="auto" w:fill="auto"/>
          </w:tcPr>
          <w:p w:rsidR="00035233" w:rsidRDefault="00035233" w:rsidP="00035233">
            <w:pPr>
              <w:pStyle w:val="05Tabletext"/>
            </w:pPr>
          </w:p>
        </w:tc>
        <w:tc>
          <w:tcPr>
            <w:tcW w:w="935" w:type="pct"/>
            <w:shd w:val="clear" w:color="auto" w:fill="auto"/>
          </w:tcPr>
          <w:p w:rsidR="00035233" w:rsidRDefault="00035233" w:rsidP="00F505EC">
            <w:pPr>
              <w:pStyle w:val="05Tabletext"/>
              <w:jc w:val="center"/>
            </w:pPr>
            <w:r>
              <w:t>See trial NCT02236611 (above)</w:t>
            </w:r>
          </w:p>
        </w:tc>
        <w:tc>
          <w:tcPr>
            <w:tcW w:w="567" w:type="pct"/>
          </w:tcPr>
          <w:p w:rsidR="00035233" w:rsidRDefault="00035233" w:rsidP="00035233">
            <w:pPr>
              <w:pStyle w:val="05Tabletext"/>
              <w:jc w:val="center"/>
            </w:pPr>
            <w:r>
              <w:t>UME vs GLY</w:t>
            </w:r>
          </w:p>
        </w:tc>
        <w:tc>
          <w:tcPr>
            <w:tcW w:w="2847" w:type="pct"/>
            <w:shd w:val="clear" w:color="auto" w:fill="auto"/>
          </w:tcPr>
          <w:p w:rsidR="00035233" w:rsidRDefault="00035233" w:rsidP="00251CB8">
            <w:pPr>
              <w:pStyle w:val="05Tabletext"/>
              <w:numPr>
                <w:ilvl w:val="0"/>
                <w:numId w:val="40"/>
              </w:numPr>
              <w:ind w:left="227" w:hanging="227"/>
            </w:pPr>
            <w:r>
              <w:t>UME appears non-inferior to GLY based on least squares mean change from baseline in trough FEV</w:t>
            </w:r>
            <w:r>
              <w:rPr>
                <w:vertAlign w:val="subscript"/>
              </w:rPr>
              <w:t>1</w:t>
            </w:r>
            <w:r>
              <w:t>.</w:t>
            </w:r>
          </w:p>
        </w:tc>
      </w:tr>
    </w:tbl>
    <w:p w:rsidR="00035233" w:rsidRDefault="00035233" w:rsidP="00035233">
      <w:pPr>
        <w:pStyle w:val="10TableorFigurefootnote"/>
      </w:pPr>
      <w:r>
        <w:t>Abbreviations: ACL, aclidinium; CAT, COPD Assessment Test; COPD, chronic obstructive pulmonary disease; FEV</w:t>
      </w:r>
      <w:r>
        <w:rPr>
          <w:vertAlign w:val="subscript"/>
        </w:rPr>
        <w:t>1</w:t>
      </w:r>
      <w:r>
        <w:t xml:space="preserve">, forced expiratory volume in one second; FLU, fluticasone; GLY, glycopyrronium; ICS, inhaled corticosteroid; IND, indacaterol; IPR, ipratropium; </w:t>
      </w:r>
      <w:r w:rsidRPr="00A11CA0">
        <w:t>LAMA, long-acting muscarinic antagonist</w:t>
      </w:r>
      <w:r>
        <w:t>;</w:t>
      </w:r>
      <w:r w:rsidRPr="00A11CA0">
        <w:t xml:space="preserve"> </w:t>
      </w:r>
      <w:r>
        <w:t>MCID, minim</w:t>
      </w:r>
      <w:r w:rsidR="004E2622">
        <w:t>al</w:t>
      </w:r>
      <w:r>
        <w:t xml:space="preserve"> clinically important difference; PBAC, Pharmaceutic Benefits Advisory Committee; PBS, Pharmaceutical Benefits Scheme; SAL, salmeterol; SAMA, short-acting muscarinic antagonist; SGRQ, St George’s Respiratory Questionnaire; TDI, Transition Dyspnea Index; TIO, tiotropium; UME, umeclidinium.</w:t>
      </w:r>
    </w:p>
    <w:p w:rsidR="00035233" w:rsidRDefault="00035233" w:rsidP="00035233">
      <w:pPr>
        <w:pStyle w:val="10TableorFigurefootnote"/>
      </w:pPr>
      <w:proofErr w:type="gramStart"/>
      <w:r>
        <w:rPr>
          <w:b/>
        </w:rPr>
        <w:t>a</w:t>
      </w:r>
      <w:proofErr w:type="gramEnd"/>
      <w:r>
        <w:t xml:space="preserve"> Respimat versus </w:t>
      </w:r>
      <w:r w:rsidR="00AC3855">
        <w:t>HandiHaler</w:t>
      </w:r>
      <w:r>
        <w:t>.</w:t>
      </w:r>
    </w:p>
    <w:p w:rsidR="00A84E24" w:rsidRDefault="00035233" w:rsidP="00035233">
      <w:pPr>
        <w:pStyle w:val="11TableorFigurefootnotenostick"/>
      </w:pPr>
      <w:r w:rsidRPr="004F3C29">
        <w:rPr>
          <w:b/>
        </w:rPr>
        <w:t>b</w:t>
      </w:r>
      <w:r>
        <w:t xml:space="preserve"> Overall the study was deemed to be</w:t>
      </w:r>
      <w:r w:rsidR="003A4D41">
        <w:t xml:space="preserve"> of good quality (see Appendix M</w:t>
      </w:r>
      <w:r>
        <w:t xml:space="preserve">); however, concerns have been raised about whether differences in the markings between TIO and placebo capsules may have impacted on the blinding of treatment assignment (discussed further in Section </w:t>
      </w:r>
      <w:r w:rsidR="009309BE">
        <w:t>3.4.1</w:t>
      </w:r>
      <w:r>
        <w:t>).</w:t>
      </w:r>
    </w:p>
    <w:p w:rsidR="007E21EC" w:rsidRDefault="007E21EC" w:rsidP="00A45F70">
      <w:pPr>
        <w:pStyle w:val="Heading3"/>
      </w:pPr>
      <w:bookmarkStart w:id="11" w:name="_Toc482185934"/>
      <w:bookmarkStart w:id="12" w:name="_Toc486428068"/>
      <w:r>
        <w:t>Monotherapy versus dual therapy in patients with COPD</w:t>
      </w:r>
      <w:bookmarkEnd w:id="11"/>
      <w:bookmarkEnd w:id="12"/>
    </w:p>
    <w:p w:rsidR="008B4E49" w:rsidRDefault="00B22734" w:rsidP="008B4E49">
      <w:r w:rsidRPr="0056628B">
        <w:t xml:space="preserve">There is evidence of </w:t>
      </w:r>
      <w:r w:rsidR="007E21EC">
        <w:t xml:space="preserve">a </w:t>
      </w:r>
      <w:r>
        <w:t>modest</w:t>
      </w:r>
      <w:r w:rsidRPr="0056628B">
        <w:t xml:space="preserve"> benefit </w:t>
      </w:r>
      <w:r w:rsidR="007E21EC">
        <w:t xml:space="preserve">in stepping up from </w:t>
      </w:r>
      <w:r w:rsidRPr="0056628B">
        <w:t xml:space="preserve">LAMA </w:t>
      </w:r>
      <w:proofErr w:type="gramStart"/>
      <w:r w:rsidRPr="0056628B">
        <w:t>monotherapy</w:t>
      </w:r>
      <w:proofErr w:type="gramEnd"/>
      <w:r w:rsidRPr="0056628B">
        <w:t xml:space="preserve"> to LAMA/LABA dual therapy</w:t>
      </w:r>
      <w:r>
        <w:t xml:space="preserve"> (see</w:t>
      </w:r>
      <w:r w:rsidR="00B51088">
        <w:t xml:space="preserve"> Table 3.2</w:t>
      </w:r>
      <w:r>
        <w:t>)</w:t>
      </w:r>
      <w:r w:rsidR="00EF3AF5">
        <w:t xml:space="preserve"> in patients with COPD with reduced </w:t>
      </w:r>
      <w:r w:rsidR="007B6D5C">
        <w:t xml:space="preserve">numbers of </w:t>
      </w:r>
      <w:r w:rsidR="00EF3AF5" w:rsidRPr="00EF3AF5">
        <w:t>exacerbations</w:t>
      </w:r>
      <w:r w:rsidR="00EF3AF5">
        <w:t xml:space="preserve"> observed</w:t>
      </w:r>
      <w:r w:rsidRPr="0056628B">
        <w:t>. However, it sh</w:t>
      </w:r>
      <w:r>
        <w:t>ould be noted that many of the</w:t>
      </w:r>
      <w:r w:rsidRPr="0056628B">
        <w:t xml:space="preserve"> studies</w:t>
      </w:r>
      <w:r>
        <w:t xml:space="preserve"> summarised in </w:t>
      </w:r>
      <w:r w:rsidR="00B51088">
        <w:t xml:space="preserve">Table 3.2 </w:t>
      </w:r>
      <w:r w:rsidRPr="0056628B">
        <w:t xml:space="preserve">were only powered to detect a difference between LAMA/LABA </w:t>
      </w:r>
      <w:r w:rsidR="004B3085">
        <w:t xml:space="preserve">dual </w:t>
      </w:r>
      <w:r w:rsidRPr="0056628B">
        <w:t xml:space="preserve">therapy and placebo and not to detect differences between LAMA/LABA dual therapy and LAMA </w:t>
      </w:r>
      <w:proofErr w:type="gramStart"/>
      <w:r w:rsidRPr="0056628B">
        <w:t>monotherapy</w:t>
      </w:r>
      <w:proofErr w:type="gramEnd"/>
      <w:r w:rsidRPr="0056628B">
        <w:t>.</w:t>
      </w:r>
      <w:r w:rsidR="00B84B75">
        <w:t xml:space="preserve"> </w:t>
      </w:r>
      <w:r w:rsidR="008B4E49">
        <w:t>No studies were identified that examined the benefits of stepping up from LABA monotherapy to LAMA/LABA dual therapy.</w:t>
      </w:r>
    </w:p>
    <w:p w:rsidR="00AA6568" w:rsidRDefault="00AA6568" w:rsidP="008B4E49">
      <w:r>
        <w:t xml:space="preserve">The INSPIRE 2008 study </w:t>
      </w:r>
      <w:r w:rsidR="001264A4">
        <w:t xml:space="preserve">aimed to </w:t>
      </w:r>
      <w:r>
        <w:t>compar</w:t>
      </w:r>
      <w:r w:rsidR="001264A4">
        <w:t>e</w:t>
      </w:r>
      <w:r>
        <w:t xml:space="preserve"> </w:t>
      </w:r>
      <w:r w:rsidRPr="0056628B">
        <w:t xml:space="preserve">LAMA </w:t>
      </w:r>
      <w:proofErr w:type="gramStart"/>
      <w:r w:rsidRPr="0056628B">
        <w:t>monotherapy</w:t>
      </w:r>
      <w:proofErr w:type="gramEnd"/>
      <w:r>
        <w:t xml:space="preserve"> to ICS</w:t>
      </w:r>
      <w:r w:rsidRPr="0056628B">
        <w:t>/LABA</w:t>
      </w:r>
      <w:r>
        <w:t xml:space="preserve"> dual </w:t>
      </w:r>
      <w:r w:rsidR="00764D89">
        <w:t xml:space="preserve">therapy </w:t>
      </w:r>
      <w:r>
        <w:t>(</w:t>
      </w:r>
      <w:r w:rsidR="0045437A">
        <w:t>fluticasone/salmeterol versus tiotropium</w:t>
      </w:r>
      <w:r w:rsidR="00764D89">
        <w:t>)</w:t>
      </w:r>
      <w:r w:rsidR="00B84B75">
        <w:t>.</w:t>
      </w:r>
      <w:r w:rsidR="001264A4">
        <w:t xml:space="preserve"> </w:t>
      </w:r>
      <w:r w:rsidR="00B84B75">
        <w:t>C</w:t>
      </w:r>
      <w:r w:rsidRPr="00AA6568">
        <w:t>omparable healthcare utilisation exacerbations per year</w:t>
      </w:r>
      <w:r w:rsidR="00764D89">
        <w:t xml:space="preserve"> and a</w:t>
      </w:r>
      <w:r w:rsidRPr="00AA6568">
        <w:t xml:space="preserve"> </w:t>
      </w:r>
      <w:r w:rsidR="00764D89" w:rsidRPr="00AA6568">
        <w:t xml:space="preserve">statistically significant lower </w:t>
      </w:r>
      <w:r w:rsidRPr="00AA6568">
        <w:t xml:space="preserve">risk of all-cause mortality </w:t>
      </w:r>
      <w:r w:rsidR="00764D89">
        <w:t>i</w:t>
      </w:r>
      <w:r w:rsidRPr="00AA6568">
        <w:t xml:space="preserve">n the </w:t>
      </w:r>
      <w:r w:rsidR="00764D89">
        <w:t>ICS</w:t>
      </w:r>
      <w:r w:rsidR="00764D89" w:rsidRPr="0056628B">
        <w:t>/LABA</w:t>
      </w:r>
      <w:r w:rsidR="00764D89">
        <w:t xml:space="preserve"> dual therapy </w:t>
      </w:r>
      <w:r w:rsidRPr="00AA6568">
        <w:t>group</w:t>
      </w:r>
      <w:r w:rsidR="0045437A">
        <w:t xml:space="preserve"> (fluticasone/salmeterol</w:t>
      </w:r>
      <w:r w:rsidR="00764D89">
        <w:t>)</w:t>
      </w:r>
      <w:r w:rsidR="00B84B75">
        <w:t xml:space="preserve"> w</w:t>
      </w:r>
      <w:r w:rsidR="00843316">
        <w:t>ere</w:t>
      </w:r>
      <w:r w:rsidR="00B84B75">
        <w:t xml:space="preserve"> observed</w:t>
      </w:r>
      <w:r w:rsidR="00764D89">
        <w:t xml:space="preserve">.  </w:t>
      </w:r>
      <w:r w:rsidR="001264A4" w:rsidRPr="006976E8">
        <w:t xml:space="preserve">Covelli </w:t>
      </w:r>
      <w:r w:rsidR="007B6D5C">
        <w:t>(</w:t>
      </w:r>
      <w:r w:rsidR="001264A4">
        <w:t>2016</w:t>
      </w:r>
      <w:r w:rsidR="007B6D5C">
        <w:t>)</w:t>
      </w:r>
      <w:r w:rsidR="001264A4">
        <w:t xml:space="preserve"> compared </w:t>
      </w:r>
      <w:r w:rsidR="00764D89" w:rsidRPr="0056628B">
        <w:t>LA</w:t>
      </w:r>
      <w:r w:rsidR="00241E75">
        <w:t>M</w:t>
      </w:r>
      <w:r w:rsidR="00764D89" w:rsidRPr="0056628B">
        <w:t xml:space="preserve">A </w:t>
      </w:r>
      <w:proofErr w:type="gramStart"/>
      <w:r w:rsidR="00764D89" w:rsidRPr="0056628B">
        <w:t>monotherapy</w:t>
      </w:r>
      <w:proofErr w:type="gramEnd"/>
      <w:r w:rsidR="00764D89">
        <w:t xml:space="preserve"> to ICS</w:t>
      </w:r>
      <w:r w:rsidR="00764D89" w:rsidRPr="0056628B">
        <w:t>/LABA</w:t>
      </w:r>
      <w:r w:rsidR="0045437A">
        <w:t xml:space="preserve"> dual therapy (fluticasone/vilanterol vs tiotropium</w:t>
      </w:r>
      <w:r w:rsidR="00764D89">
        <w:t>)</w:t>
      </w:r>
      <w:r w:rsidR="00843316">
        <w:t>. N</w:t>
      </w:r>
      <w:r w:rsidR="00764D89">
        <w:t xml:space="preserve">o clinically meaningful difference </w:t>
      </w:r>
      <w:r w:rsidR="006976E8">
        <w:t>in</w:t>
      </w:r>
      <w:r w:rsidR="00764D89">
        <w:t xml:space="preserve"> </w:t>
      </w:r>
      <w:r w:rsidR="001E59B1" w:rsidRPr="00A40E26">
        <w:t xml:space="preserve">trough </w:t>
      </w:r>
      <w:r w:rsidR="00764D89">
        <w:t>FEV</w:t>
      </w:r>
      <w:r w:rsidR="00764D89">
        <w:rPr>
          <w:vertAlign w:val="subscript"/>
        </w:rPr>
        <w:t>1</w:t>
      </w:r>
      <w:r w:rsidR="006976E8">
        <w:rPr>
          <w:vertAlign w:val="subscript"/>
        </w:rPr>
        <w:t xml:space="preserve"> </w:t>
      </w:r>
      <w:r w:rsidR="006976E8">
        <w:t>w</w:t>
      </w:r>
      <w:r w:rsidR="001264A4">
        <w:t>as</w:t>
      </w:r>
      <w:r w:rsidR="006976E8">
        <w:t xml:space="preserve"> observed</w:t>
      </w:r>
      <w:r w:rsidR="001264A4">
        <w:t xml:space="preserve"> across treatment groups</w:t>
      </w:r>
      <w:r w:rsidR="00764D89">
        <w:t xml:space="preserve">. </w:t>
      </w:r>
      <w:r w:rsidR="001264A4">
        <w:t>An increased</w:t>
      </w:r>
      <w:r w:rsidR="00764D89">
        <w:t xml:space="preserve"> </w:t>
      </w:r>
      <w:r w:rsidR="00764D89">
        <w:lastRenderedPageBreak/>
        <w:t xml:space="preserve">rate of pneumonia </w:t>
      </w:r>
      <w:r w:rsidR="001264A4">
        <w:t>and numerically fewer COPD exacerbations</w:t>
      </w:r>
      <w:r w:rsidR="001264A4" w:rsidRPr="001264A4">
        <w:t xml:space="preserve"> </w:t>
      </w:r>
      <w:r w:rsidR="001264A4">
        <w:t>was observed in the ICS</w:t>
      </w:r>
      <w:r w:rsidR="001264A4" w:rsidRPr="0056628B">
        <w:t>/LABA</w:t>
      </w:r>
      <w:r w:rsidR="001264A4">
        <w:t xml:space="preserve"> </w:t>
      </w:r>
      <w:r w:rsidR="005D3E43">
        <w:t>group</w:t>
      </w:r>
      <w:r w:rsidR="00810524">
        <w:t>.</w:t>
      </w:r>
    </w:p>
    <w:p w:rsidR="00626DF0" w:rsidRDefault="00626DF0" w:rsidP="00626DF0">
      <w:r>
        <w:t>No studies were identified that examined the benefits of stepping up from LABA monotherapy to ICS/LABA dual t</w:t>
      </w:r>
      <w:r w:rsidR="007B6D5C">
        <w:t xml:space="preserve">herapy.  The INSTEAD 2014 study </w:t>
      </w:r>
      <w:r w:rsidRPr="00EC3378">
        <w:t>assessed the effect of switching patients who are at low risk of COPD exacerbations from fluticasone</w:t>
      </w:r>
      <w:r w:rsidR="00071838">
        <w:t xml:space="preserve"> propionate</w:t>
      </w:r>
      <w:r w:rsidRPr="00EC3378">
        <w:t>/salmeterol to indacaterol monotherapy.</w:t>
      </w:r>
      <w:r>
        <w:t xml:space="preserve"> N</w:t>
      </w:r>
      <w:r w:rsidRPr="003417F0">
        <w:t>o clinically relevant differences between fluticasone</w:t>
      </w:r>
      <w:r w:rsidR="00071838">
        <w:t xml:space="preserve"> propionate</w:t>
      </w:r>
      <w:r w:rsidRPr="003417F0">
        <w:t>/salmeterol and indacaterol for dyspnoea (TDI), health status (SGRQ) and use of rescue medication</w:t>
      </w:r>
      <w:r>
        <w:t xml:space="preserve"> were observed suggesting </w:t>
      </w:r>
      <w:r w:rsidRPr="003417F0">
        <w:t>patient</w:t>
      </w:r>
      <w:r>
        <w:t>s</w:t>
      </w:r>
      <w:r w:rsidRPr="003417F0">
        <w:t xml:space="preserve"> can be switch</w:t>
      </w:r>
      <w:r w:rsidR="007B6D5C">
        <w:t>ed from ICS/LABA to indacaterol</w:t>
      </w:r>
      <w:r w:rsidRPr="003417F0">
        <w:t xml:space="preserve"> with no loss of efficacy and without triggering exacerbations.</w:t>
      </w:r>
    </w:p>
    <w:p w:rsidR="0096406E" w:rsidRDefault="0096406E" w:rsidP="0096406E">
      <w:r>
        <w:t xml:space="preserve">These findings are generally consistent with previous PBAC decision making, where LAMA/LABA dual therapy was considered superior to LAMA </w:t>
      </w:r>
      <w:proofErr w:type="gramStart"/>
      <w:r>
        <w:t>monotherapy</w:t>
      </w:r>
      <w:proofErr w:type="gramEnd"/>
      <w:r>
        <w:t xml:space="preserve"> (July 2014), and ICS/LABA FDC was considered non-inferior to LAMA monotherapy (March 2007). </w:t>
      </w:r>
    </w:p>
    <w:p w:rsidR="00035233" w:rsidRDefault="007B6D5C" w:rsidP="007B6D5C">
      <w:pPr>
        <w:pStyle w:val="ToR3Tableheader"/>
      </w:pPr>
      <w:bookmarkStart w:id="13" w:name="_Toc471890994"/>
      <w:bookmarkStart w:id="14" w:name="_Toc486428181"/>
      <w:r>
        <w:t>Table 3.2</w:t>
      </w:r>
      <w:r w:rsidR="00035233">
        <w:tab/>
        <w:t xml:space="preserve">Summary of </w:t>
      </w:r>
      <w:r w:rsidR="00D34435">
        <w:t xml:space="preserve">new </w:t>
      </w:r>
      <w:r w:rsidR="00035233">
        <w:t>evidence for monotherapy versus dual therapy</w:t>
      </w:r>
      <w:bookmarkEnd w:id="13"/>
      <w:r w:rsidR="00EF7807">
        <w:t xml:space="preserve"> in patients with COPD</w:t>
      </w:r>
      <w:bookmarkEnd w:id="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Key findings"/>
        <w:tblDescription w:val="Summary of evidence for monotherapy versus dual therapy"/>
      </w:tblPr>
      <w:tblGrid>
        <w:gridCol w:w="1131"/>
        <w:gridCol w:w="135"/>
        <w:gridCol w:w="1783"/>
        <w:gridCol w:w="21"/>
        <w:gridCol w:w="1052"/>
        <w:gridCol w:w="42"/>
        <w:gridCol w:w="5484"/>
      </w:tblGrid>
      <w:tr w:rsidR="00035233" w:rsidRPr="00F01736" w:rsidTr="00C158EB">
        <w:trPr>
          <w:cantSplit/>
          <w:tblHeader/>
        </w:trPr>
        <w:tc>
          <w:tcPr>
            <w:tcW w:w="586" w:type="pct"/>
            <w:shd w:val="clear" w:color="auto" w:fill="BFBFBF"/>
          </w:tcPr>
          <w:p w:rsidR="00035233" w:rsidRPr="00F01736" w:rsidRDefault="00035233" w:rsidP="00035233">
            <w:pPr>
              <w:pStyle w:val="01TableHEADINGleftaligned"/>
              <w:keepNext w:val="0"/>
            </w:pPr>
            <w:r>
              <w:t>PBAC consideration</w:t>
            </w:r>
          </w:p>
        </w:tc>
        <w:tc>
          <w:tcPr>
            <w:tcW w:w="994" w:type="pct"/>
            <w:gridSpan w:val="2"/>
            <w:shd w:val="clear" w:color="auto" w:fill="BFBFBF"/>
          </w:tcPr>
          <w:p w:rsidR="00035233" w:rsidRPr="00F01736" w:rsidRDefault="00035233" w:rsidP="00035233">
            <w:pPr>
              <w:pStyle w:val="01TableHEADINGleftaligned"/>
              <w:keepNext w:val="0"/>
              <w:jc w:val="center"/>
            </w:pPr>
            <w:r>
              <w:t>Head-to-head trials</w:t>
            </w:r>
          </w:p>
        </w:tc>
        <w:tc>
          <w:tcPr>
            <w:tcW w:w="556" w:type="pct"/>
            <w:gridSpan w:val="2"/>
            <w:shd w:val="clear" w:color="auto" w:fill="BFBFBF"/>
          </w:tcPr>
          <w:p w:rsidR="00035233" w:rsidRDefault="00035233" w:rsidP="00035233">
            <w:pPr>
              <w:pStyle w:val="01TableHEADINGleftaligned"/>
              <w:keepNext w:val="0"/>
              <w:jc w:val="center"/>
            </w:pPr>
            <w:r>
              <w:t>Comparison</w:t>
            </w:r>
          </w:p>
        </w:tc>
        <w:tc>
          <w:tcPr>
            <w:tcW w:w="2864" w:type="pct"/>
            <w:gridSpan w:val="2"/>
            <w:shd w:val="clear" w:color="auto" w:fill="BFBFBF"/>
          </w:tcPr>
          <w:p w:rsidR="00035233" w:rsidRPr="00F01736" w:rsidRDefault="00035233" w:rsidP="00035233">
            <w:pPr>
              <w:pStyle w:val="01TableHEADINGleftaligned"/>
              <w:keepNext w:val="0"/>
              <w:jc w:val="center"/>
            </w:pPr>
            <w:r>
              <w:t>Summary of evidence</w:t>
            </w:r>
          </w:p>
        </w:tc>
      </w:tr>
      <w:tr w:rsidR="006A61AA" w:rsidTr="00C158EB">
        <w:trPr>
          <w:cantSplit/>
        </w:trPr>
        <w:tc>
          <w:tcPr>
            <w:tcW w:w="1580" w:type="pct"/>
            <w:gridSpan w:val="3"/>
            <w:shd w:val="clear" w:color="auto" w:fill="000000" w:themeFill="text1"/>
            <w:vAlign w:val="center"/>
          </w:tcPr>
          <w:p w:rsidR="006A61AA" w:rsidRDefault="006A61AA" w:rsidP="003426E3">
            <w:pPr>
              <w:pStyle w:val="04Tablesubheading"/>
              <w:ind w:left="0"/>
            </w:pPr>
            <w:r>
              <w:t>UME/VIL: LAMA/LABA vs LAMA or LABA</w:t>
            </w:r>
          </w:p>
        </w:tc>
        <w:tc>
          <w:tcPr>
            <w:tcW w:w="556" w:type="pct"/>
            <w:gridSpan w:val="2"/>
            <w:shd w:val="clear" w:color="auto" w:fill="000000" w:themeFill="text1"/>
          </w:tcPr>
          <w:p w:rsidR="006A61AA" w:rsidRDefault="006A61AA" w:rsidP="00035233">
            <w:pPr>
              <w:pStyle w:val="04Tablesubheading"/>
            </w:pPr>
          </w:p>
        </w:tc>
        <w:tc>
          <w:tcPr>
            <w:tcW w:w="2864" w:type="pct"/>
            <w:gridSpan w:val="2"/>
            <w:shd w:val="clear" w:color="auto" w:fill="000000" w:themeFill="text1"/>
          </w:tcPr>
          <w:p w:rsidR="006A61AA" w:rsidRDefault="006A61AA" w:rsidP="00035233">
            <w:pPr>
              <w:pStyle w:val="04Tablesubheading"/>
            </w:pPr>
          </w:p>
        </w:tc>
      </w:tr>
      <w:tr w:rsidR="00035233" w:rsidRPr="00B4109A" w:rsidTr="00C158EB">
        <w:trPr>
          <w:cantSplit/>
        </w:trPr>
        <w:tc>
          <w:tcPr>
            <w:tcW w:w="586" w:type="pct"/>
            <w:tcBorders>
              <w:bottom w:val="nil"/>
            </w:tcBorders>
            <w:shd w:val="clear" w:color="auto" w:fill="auto"/>
          </w:tcPr>
          <w:p w:rsidR="00035233" w:rsidRDefault="00035233" w:rsidP="00035233">
            <w:pPr>
              <w:pStyle w:val="05Tabletext"/>
            </w:pPr>
            <w:r>
              <w:t>New evidence</w:t>
            </w:r>
          </w:p>
        </w:tc>
        <w:tc>
          <w:tcPr>
            <w:tcW w:w="994" w:type="pct"/>
            <w:gridSpan w:val="2"/>
            <w:shd w:val="clear" w:color="auto" w:fill="auto"/>
          </w:tcPr>
          <w:p w:rsidR="00035233" w:rsidRPr="00FC1FB4" w:rsidRDefault="00035233" w:rsidP="00035233">
            <w:pPr>
              <w:pStyle w:val="05Tabletext"/>
              <w:jc w:val="center"/>
            </w:pPr>
            <w:r>
              <w:t>Maleki-Yazdi (2014)</w:t>
            </w:r>
            <w:r>
              <w:br/>
              <w:t>Superiority, double-blind, double-dummy</w:t>
            </w:r>
            <w:r>
              <w:br/>
              <w:t>Good quality</w:t>
            </w:r>
            <w:r>
              <w:br/>
              <w:t>N=905; 24 weeks</w:t>
            </w:r>
          </w:p>
        </w:tc>
        <w:tc>
          <w:tcPr>
            <w:tcW w:w="556" w:type="pct"/>
            <w:gridSpan w:val="2"/>
          </w:tcPr>
          <w:p w:rsidR="00035233" w:rsidRDefault="00035233" w:rsidP="00F505EC">
            <w:pPr>
              <w:pStyle w:val="05Tabletext"/>
              <w:keepNext/>
              <w:jc w:val="center"/>
            </w:pPr>
            <w:r>
              <w:t>UME/VIL vs TIO</w:t>
            </w:r>
          </w:p>
        </w:tc>
        <w:tc>
          <w:tcPr>
            <w:tcW w:w="2864" w:type="pct"/>
            <w:gridSpan w:val="2"/>
            <w:shd w:val="clear" w:color="auto" w:fill="auto"/>
          </w:tcPr>
          <w:p w:rsidR="00035233" w:rsidRPr="00F505EC" w:rsidRDefault="00035233" w:rsidP="00251CB8">
            <w:pPr>
              <w:pStyle w:val="05Tabletext"/>
              <w:keepNext/>
              <w:numPr>
                <w:ilvl w:val="0"/>
                <w:numId w:val="40"/>
              </w:numPr>
              <w:ind w:left="227" w:hanging="227"/>
            </w:pPr>
            <w:r>
              <w:t>UME/VIL resulted in statistically significant and clinically meaningful improvements in trough FEV</w:t>
            </w:r>
            <w:r w:rsidRPr="00F505EC">
              <w:t>1</w:t>
            </w:r>
            <w:r>
              <w:t xml:space="preserve"> compared with TIO monotherapy. T</w:t>
            </w:r>
            <w:r w:rsidRPr="00AA125B">
              <w:t xml:space="preserve">he time to first on-treatment exacerbation also favoured </w:t>
            </w:r>
            <w:r>
              <w:t>UME/VIL.</w:t>
            </w:r>
            <w:r w:rsidRPr="00A45F70">
              <w:rPr>
                <w:vertAlign w:val="superscript"/>
              </w:rPr>
              <w:t>a</w:t>
            </w:r>
          </w:p>
        </w:tc>
      </w:tr>
      <w:tr w:rsidR="00035233" w:rsidRPr="00CB607C" w:rsidTr="00C158EB">
        <w:trPr>
          <w:cantSplit/>
        </w:trPr>
        <w:tc>
          <w:tcPr>
            <w:tcW w:w="586" w:type="pct"/>
            <w:tcBorders>
              <w:top w:val="nil"/>
              <w:bottom w:val="single" w:sz="4" w:space="0" w:color="auto"/>
            </w:tcBorders>
            <w:shd w:val="clear" w:color="auto" w:fill="auto"/>
          </w:tcPr>
          <w:p w:rsidR="00035233" w:rsidRDefault="00035233" w:rsidP="00035233">
            <w:pPr>
              <w:pStyle w:val="05Tabletext"/>
            </w:pPr>
          </w:p>
        </w:tc>
        <w:tc>
          <w:tcPr>
            <w:tcW w:w="994" w:type="pct"/>
            <w:gridSpan w:val="2"/>
            <w:shd w:val="clear" w:color="auto" w:fill="auto"/>
          </w:tcPr>
          <w:p w:rsidR="00035233" w:rsidRPr="00FC1FB4" w:rsidRDefault="00035233" w:rsidP="00035233">
            <w:pPr>
              <w:pStyle w:val="05Tabletext"/>
              <w:jc w:val="center"/>
            </w:pPr>
            <w:r>
              <w:t>Maltais (2014)</w:t>
            </w:r>
            <w:r>
              <w:br/>
              <w:t>Superiority, double-blind, cross-over</w:t>
            </w:r>
            <w:r>
              <w:br/>
              <w:t>Fair quality</w:t>
            </w:r>
            <w:r>
              <w:br/>
              <w:t>N=657; 12 weeks</w:t>
            </w:r>
          </w:p>
        </w:tc>
        <w:tc>
          <w:tcPr>
            <w:tcW w:w="556" w:type="pct"/>
            <w:gridSpan w:val="2"/>
          </w:tcPr>
          <w:p w:rsidR="00035233" w:rsidRDefault="00035233" w:rsidP="00035233">
            <w:pPr>
              <w:pStyle w:val="05Tabletext"/>
              <w:jc w:val="center"/>
            </w:pPr>
            <w:r>
              <w:t>UME/VIL vs UME</w:t>
            </w:r>
          </w:p>
        </w:tc>
        <w:tc>
          <w:tcPr>
            <w:tcW w:w="2864" w:type="pct"/>
            <w:gridSpan w:val="2"/>
            <w:shd w:val="clear" w:color="auto" w:fill="auto"/>
          </w:tcPr>
          <w:p w:rsidR="00035233" w:rsidRPr="00CB607C" w:rsidRDefault="00035233" w:rsidP="00251CB8">
            <w:pPr>
              <w:pStyle w:val="05Tabletext"/>
              <w:numPr>
                <w:ilvl w:val="0"/>
                <w:numId w:val="41"/>
              </w:numPr>
              <w:ind w:left="227" w:hanging="227"/>
            </w:pPr>
            <w:r>
              <w:t>The results for trough FEV</w:t>
            </w:r>
            <w:r>
              <w:rPr>
                <w:vertAlign w:val="subscript"/>
              </w:rPr>
              <w:t>1</w:t>
            </w:r>
            <w:r>
              <w:t xml:space="preserve"> numerically favoured UME/VIL over UME monotherapy; however, no statistical comparisons of these active treatments were conducted and it is unlikely that the study was adequately powered for this comparison.</w:t>
            </w:r>
          </w:p>
        </w:tc>
      </w:tr>
      <w:tr w:rsidR="006A61AA" w:rsidTr="00C158EB">
        <w:trPr>
          <w:cantSplit/>
        </w:trPr>
        <w:tc>
          <w:tcPr>
            <w:tcW w:w="1580" w:type="pct"/>
            <w:gridSpan w:val="3"/>
            <w:shd w:val="clear" w:color="auto" w:fill="000000" w:themeFill="text1"/>
          </w:tcPr>
          <w:p w:rsidR="006A61AA" w:rsidRDefault="006A61AA" w:rsidP="00035233">
            <w:pPr>
              <w:pStyle w:val="04Tablesubheading"/>
              <w:keepNext w:val="0"/>
            </w:pPr>
            <w:r>
              <w:t xml:space="preserve">GLY/IND: LAMA/LABA vs LAMA or LABA </w:t>
            </w:r>
          </w:p>
        </w:tc>
        <w:tc>
          <w:tcPr>
            <w:tcW w:w="556" w:type="pct"/>
            <w:gridSpan w:val="2"/>
            <w:shd w:val="clear" w:color="auto" w:fill="000000" w:themeFill="text1"/>
          </w:tcPr>
          <w:p w:rsidR="006A61AA" w:rsidRDefault="006A61AA" w:rsidP="00035233">
            <w:pPr>
              <w:pStyle w:val="04Tablesubheading"/>
              <w:keepNext w:val="0"/>
              <w:jc w:val="center"/>
            </w:pPr>
          </w:p>
        </w:tc>
        <w:tc>
          <w:tcPr>
            <w:tcW w:w="2864" w:type="pct"/>
            <w:gridSpan w:val="2"/>
            <w:shd w:val="clear" w:color="auto" w:fill="000000" w:themeFill="text1"/>
          </w:tcPr>
          <w:p w:rsidR="006A61AA" w:rsidRDefault="006A61AA" w:rsidP="00035233">
            <w:pPr>
              <w:pStyle w:val="04Tablesubheading"/>
              <w:keepNext w:val="0"/>
            </w:pPr>
          </w:p>
        </w:tc>
      </w:tr>
      <w:tr w:rsidR="00035233" w:rsidTr="00C158EB">
        <w:trPr>
          <w:cantSplit/>
        </w:trPr>
        <w:tc>
          <w:tcPr>
            <w:tcW w:w="586" w:type="pct"/>
            <w:tcBorders>
              <w:bottom w:val="single" w:sz="4" w:space="0" w:color="auto"/>
            </w:tcBorders>
            <w:shd w:val="clear" w:color="auto" w:fill="F2F2F2" w:themeFill="background1" w:themeFillShade="F2"/>
          </w:tcPr>
          <w:p w:rsidR="00035233" w:rsidRDefault="00035233" w:rsidP="00035233">
            <w:pPr>
              <w:pStyle w:val="05Tabletext"/>
            </w:pPr>
            <w:r>
              <w:t>July 2014</w:t>
            </w:r>
          </w:p>
        </w:tc>
        <w:tc>
          <w:tcPr>
            <w:tcW w:w="994" w:type="pct"/>
            <w:gridSpan w:val="2"/>
            <w:shd w:val="clear" w:color="auto" w:fill="F2F2F2" w:themeFill="background1" w:themeFillShade="F2"/>
          </w:tcPr>
          <w:p w:rsidR="00035233" w:rsidRDefault="00803406" w:rsidP="00E4266D">
            <w:pPr>
              <w:pStyle w:val="05Tabletext"/>
              <w:jc w:val="center"/>
            </w:pPr>
            <w:r>
              <w:t>SHINE, SPA</w:t>
            </w:r>
            <w:r w:rsidR="00E4266D">
              <w:t>RK</w:t>
            </w:r>
          </w:p>
          <w:p w:rsidR="00466501" w:rsidRPr="00466501" w:rsidRDefault="00466501" w:rsidP="00A45F70">
            <w:pPr>
              <w:pStyle w:val="06Tabletextspacebefore"/>
              <w:jc w:val="center"/>
            </w:pPr>
          </w:p>
        </w:tc>
        <w:tc>
          <w:tcPr>
            <w:tcW w:w="556" w:type="pct"/>
            <w:gridSpan w:val="2"/>
            <w:shd w:val="clear" w:color="auto" w:fill="F2F2F2" w:themeFill="background1" w:themeFillShade="F2"/>
          </w:tcPr>
          <w:p w:rsidR="00035233" w:rsidRDefault="00504D62" w:rsidP="00035233">
            <w:pPr>
              <w:pStyle w:val="05Tabletext"/>
              <w:jc w:val="center"/>
            </w:pPr>
            <w:r w:rsidRPr="00504D62">
              <w:t>GLY/IND vs</w:t>
            </w:r>
            <w:r w:rsidR="00803406" w:rsidRPr="00504D62">
              <w:t xml:space="preserve"> GLY or IND</w:t>
            </w:r>
          </w:p>
        </w:tc>
        <w:tc>
          <w:tcPr>
            <w:tcW w:w="2864" w:type="pct"/>
            <w:gridSpan w:val="2"/>
            <w:shd w:val="clear" w:color="auto" w:fill="F2F2F2" w:themeFill="background1" w:themeFillShade="F2"/>
          </w:tcPr>
          <w:p w:rsidR="0041311A" w:rsidRDefault="00504D62" w:rsidP="00251CB8">
            <w:pPr>
              <w:pStyle w:val="05Tabletext"/>
              <w:numPr>
                <w:ilvl w:val="0"/>
                <w:numId w:val="42"/>
              </w:numPr>
              <w:ind w:left="227" w:hanging="227"/>
            </w:pPr>
            <w:r>
              <w:t>For trough FEV</w:t>
            </w:r>
            <w:r w:rsidRPr="00504D62">
              <w:rPr>
                <w:vertAlign w:val="subscript"/>
              </w:rPr>
              <w:t>1</w:t>
            </w:r>
            <w:r>
              <w:t xml:space="preserve">, </w:t>
            </w:r>
            <w:r w:rsidR="00803406">
              <w:t>GLY/IND</w:t>
            </w:r>
            <w:r w:rsidR="00803406" w:rsidRPr="00803406">
              <w:t xml:space="preserve"> </w:t>
            </w:r>
            <w:r>
              <w:t>was statistically superior to its monocomponents but the difference did not exceed the accepted MCID</w:t>
            </w:r>
            <w:r w:rsidR="00803406" w:rsidRPr="00803406">
              <w:t>.</w:t>
            </w:r>
            <w:r>
              <w:rPr>
                <w:rStyle w:val="FootnoteReference"/>
              </w:rPr>
              <w:footnoteReference w:id="1"/>
            </w:r>
            <w:r w:rsidR="00B17704">
              <w:t xml:space="preserve"> </w:t>
            </w:r>
          </w:p>
          <w:p w:rsidR="00803406" w:rsidRDefault="00B17704" w:rsidP="00251CB8">
            <w:pPr>
              <w:pStyle w:val="05Tabletext"/>
              <w:numPr>
                <w:ilvl w:val="0"/>
                <w:numId w:val="42"/>
              </w:numPr>
              <w:ind w:left="227" w:hanging="227"/>
            </w:pPr>
            <w:r>
              <w:t>GLY/IND was cost-minimised to UME/VIL.</w:t>
            </w:r>
          </w:p>
          <w:p w:rsidR="00466501" w:rsidRPr="00466501" w:rsidRDefault="00466501" w:rsidP="00A45F70">
            <w:pPr>
              <w:pStyle w:val="06Tabletextspacebefore"/>
            </w:pPr>
          </w:p>
        </w:tc>
      </w:tr>
      <w:tr w:rsidR="00035233" w:rsidRPr="004D71E0" w:rsidTr="00C158EB">
        <w:trPr>
          <w:cantSplit/>
        </w:trPr>
        <w:tc>
          <w:tcPr>
            <w:tcW w:w="586" w:type="pct"/>
            <w:tcBorders>
              <w:bottom w:val="single" w:sz="4" w:space="0" w:color="auto"/>
            </w:tcBorders>
            <w:shd w:val="clear" w:color="auto" w:fill="auto"/>
          </w:tcPr>
          <w:p w:rsidR="00035233" w:rsidRDefault="00035233" w:rsidP="00035233">
            <w:pPr>
              <w:pStyle w:val="05Tabletext"/>
            </w:pPr>
            <w:r>
              <w:t xml:space="preserve">New evidence </w:t>
            </w:r>
          </w:p>
        </w:tc>
        <w:tc>
          <w:tcPr>
            <w:tcW w:w="994" w:type="pct"/>
            <w:gridSpan w:val="2"/>
            <w:shd w:val="clear" w:color="auto" w:fill="auto"/>
          </w:tcPr>
          <w:p w:rsidR="00035233" w:rsidRPr="00FC1FB4" w:rsidRDefault="00035233" w:rsidP="00035233">
            <w:pPr>
              <w:pStyle w:val="05Tabletext"/>
              <w:jc w:val="center"/>
            </w:pPr>
            <w:r>
              <w:t>BRIGHT</w:t>
            </w:r>
            <w:r>
              <w:br/>
              <w:t>Superiority, double-blind, cross-over</w:t>
            </w:r>
            <w:r>
              <w:br/>
              <w:t>Fair quality</w:t>
            </w:r>
            <w:r>
              <w:br/>
              <w:t>N=85; 3 weeks</w:t>
            </w:r>
          </w:p>
        </w:tc>
        <w:tc>
          <w:tcPr>
            <w:tcW w:w="556" w:type="pct"/>
            <w:gridSpan w:val="2"/>
          </w:tcPr>
          <w:p w:rsidR="00035233" w:rsidRPr="00F505EC" w:rsidRDefault="00035233" w:rsidP="00F505EC">
            <w:pPr>
              <w:pStyle w:val="05Tabletext"/>
              <w:keepNext/>
              <w:jc w:val="center"/>
            </w:pPr>
            <w:r>
              <w:t>GLY/IND vs TIO</w:t>
            </w:r>
            <w:r w:rsidRPr="00A45F70">
              <w:rPr>
                <w:vertAlign w:val="superscript"/>
              </w:rPr>
              <w:t>b</w:t>
            </w:r>
          </w:p>
        </w:tc>
        <w:tc>
          <w:tcPr>
            <w:tcW w:w="2864" w:type="pct"/>
            <w:gridSpan w:val="2"/>
            <w:shd w:val="clear" w:color="auto" w:fill="auto"/>
          </w:tcPr>
          <w:p w:rsidR="00035233" w:rsidRPr="00F505EC" w:rsidRDefault="00035233" w:rsidP="00251CB8">
            <w:pPr>
              <w:pStyle w:val="05Tabletext"/>
              <w:keepNext/>
              <w:numPr>
                <w:ilvl w:val="0"/>
                <w:numId w:val="42"/>
              </w:numPr>
              <w:ind w:left="227" w:hanging="227"/>
            </w:pPr>
            <w:r>
              <w:t>GLY/IND was statistically superior to TIO based on trough FEV</w:t>
            </w:r>
            <w:r w:rsidRPr="00F505EC">
              <w:t>1</w:t>
            </w:r>
            <w:r>
              <w:t>; however the study was only powered to detect a difference between GLY/IND and PBO.</w:t>
            </w:r>
          </w:p>
        </w:tc>
      </w:tr>
      <w:tr w:rsidR="006A6930" w:rsidTr="00C158EB">
        <w:trPr>
          <w:cantSplit/>
        </w:trPr>
        <w:tc>
          <w:tcPr>
            <w:tcW w:w="1580" w:type="pct"/>
            <w:gridSpan w:val="3"/>
            <w:tcBorders>
              <w:bottom w:val="single" w:sz="4" w:space="0" w:color="auto"/>
            </w:tcBorders>
            <w:shd w:val="clear" w:color="auto" w:fill="000000" w:themeFill="text1"/>
            <w:vAlign w:val="bottom"/>
          </w:tcPr>
          <w:p w:rsidR="006A6930" w:rsidRDefault="006A6930">
            <w:pPr>
              <w:pStyle w:val="04Tablesubheading"/>
            </w:pPr>
            <w:r>
              <w:t>TIO/OLO: LAMA/LABA vs LAMA or LABA</w:t>
            </w:r>
          </w:p>
        </w:tc>
        <w:tc>
          <w:tcPr>
            <w:tcW w:w="556" w:type="pct"/>
            <w:gridSpan w:val="2"/>
            <w:tcBorders>
              <w:bottom w:val="single" w:sz="4" w:space="0" w:color="auto"/>
            </w:tcBorders>
            <w:shd w:val="clear" w:color="auto" w:fill="000000" w:themeFill="text1"/>
          </w:tcPr>
          <w:p w:rsidR="006A6930" w:rsidRDefault="006A6930" w:rsidP="00035233">
            <w:pPr>
              <w:pStyle w:val="04Tablesubheading"/>
            </w:pPr>
          </w:p>
        </w:tc>
        <w:tc>
          <w:tcPr>
            <w:tcW w:w="2864" w:type="pct"/>
            <w:gridSpan w:val="2"/>
            <w:tcBorders>
              <w:bottom w:val="single" w:sz="4" w:space="0" w:color="auto"/>
            </w:tcBorders>
            <w:shd w:val="clear" w:color="auto" w:fill="000000" w:themeFill="text1"/>
          </w:tcPr>
          <w:p w:rsidR="006A6930" w:rsidRDefault="006A6930" w:rsidP="00035233">
            <w:pPr>
              <w:pStyle w:val="04Tablesubheading"/>
            </w:pPr>
          </w:p>
        </w:tc>
      </w:tr>
      <w:tr w:rsidR="00035233" w:rsidTr="00C158EB">
        <w:trPr>
          <w:cantSplit/>
        </w:trPr>
        <w:tc>
          <w:tcPr>
            <w:tcW w:w="58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35233" w:rsidRDefault="00035233" w:rsidP="00035233">
            <w:pPr>
              <w:pStyle w:val="05Tabletext"/>
            </w:pPr>
            <w:r>
              <w:t>July 2015</w:t>
            </w:r>
          </w:p>
        </w:tc>
        <w:tc>
          <w:tcPr>
            <w:tcW w:w="99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6930" w:rsidRDefault="0041311A" w:rsidP="00F505EC">
            <w:pPr>
              <w:pStyle w:val="05Tabletext"/>
              <w:jc w:val="center"/>
            </w:pPr>
            <w:r w:rsidRPr="00E4266D">
              <w:t>TONADO 1 &amp; 2</w:t>
            </w:r>
          </w:p>
          <w:p w:rsidR="00035233" w:rsidRPr="00082D8D" w:rsidRDefault="00E4266D" w:rsidP="00F505EC">
            <w:pPr>
              <w:pStyle w:val="05Tabletext"/>
              <w:jc w:val="center"/>
            </w:pPr>
            <w:r>
              <w:t>(I</w:t>
            </w:r>
            <w:r w:rsidR="00035233">
              <w:t xml:space="preserve">ndirect comparison </w:t>
            </w:r>
            <w:r>
              <w:t xml:space="preserve">vs other FDCs </w:t>
            </w:r>
            <w:r w:rsidR="00035233">
              <w:t>via TIO monotherapy as common comparator</w:t>
            </w:r>
            <w:r>
              <w:t>)</w:t>
            </w:r>
          </w:p>
        </w:tc>
        <w:tc>
          <w:tcPr>
            <w:tcW w:w="55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1311A" w:rsidRPr="00E4266D" w:rsidRDefault="0041311A" w:rsidP="00035233">
            <w:pPr>
              <w:pStyle w:val="05Tabletext"/>
              <w:jc w:val="center"/>
            </w:pPr>
            <w:r w:rsidRPr="00E4266D">
              <w:t>TIO/OLO vs TIO or OLO</w:t>
            </w:r>
          </w:p>
          <w:p w:rsidR="00035233" w:rsidRPr="00E4266D" w:rsidRDefault="00035233" w:rsidP="00E4266D">
            <w:pPr>
              <w:pStyle w:val="05Tabletext"/>
              <w:jc w:val="center"/>
              <w:rPr>
                <w:highlight w:val="yellow"/>
              </w:rPr>
            </w:pPr>
          </w:p>
        </w:tc>
        <w:tc>
          <w:tcPr>
            <w:tcW w:w="286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1311A" w:rsidRDefault="0041311A" w:rsidP="00251CB8">
            <w:pPr>
              <w:pStyle w:val="05Tabletext"/>
              <w:numPr>
                <w:ilvl w:val="0"/>
                <w:numId w:val="43"/>
              </w:numPr>
              <w:ind w:left="227" w:hanging="227"/>
            </w:pPr>
            <w:r>
              <w:t>For trough FEV</w:t>
            </w:r>
            <w:r w:rsidRPr="00504D62">
              <w:rPr>
                <w:vertAlign w:val="subscript"/>
              </w:rPr>
              <w:t>1</w:t>
            </w:r>
            <w:r>
              <w:t>, TIO/OLO</w:t>
            </w:r>
            <w:r w:rsidRPr="00803406">
              <w:t xml:space="preserve"> </w:t>
            </w:r>
            <w:r>
              <w:t>was statistically superior to its monocomponents but the difference did not exceed the MCID.</w:t>
            </w:r>
          </w:p>
          <w:p w:rsidR="00D356F5" w:rsidRPr="00484BD7" w:rsidRDefault="00D356F5" w:rsidP="00D356F5">
            <w:pPr>
              <w:pStyle w:val="05Tabletext"/>
              <w:ind w:left="227"/>
            </w:pPr>
          </w:p>
          <w:p w:rsidR="00484BD7" w:rsidRPr="00484BD7" w:rsidRDefault="00484BD7" w:rsidP="00A45F70">
            <w:pPr>
              <w:pStyle w:val="06Tabletextspacebefore"/>
            </w:pPr>
          </w:p>
        </w:tc>
      </w:tr>
      <w:tr w:rsidR="00035233" w:rsidRPr="00A33082" w:rsidTr="00C158EB">
        <w:trPr>
          <w:cantSplit/>
        </w:trPr>
        <w:tc>
          <w:tcPr>
            <w:tcW w:w="586" w:type="pct"/>
            <w:tcBorders>
              <w:top w:val="single" w:sz="4" w:space="0" w:color="auto"/>
              <w:bottom w:val="single" w:sz="4" w:space="0" w:color="auto"/>
            </w:tcBorders>
            <w:shd w:val="clear" w:color="auto" w:fill="auto"/>
          </w:tcPr>
          <w:p w:rsidR="00035233" w:rsidRDefault="00035233" w:rsidP="00035233">
            <w:pPr>
              <w:pStyle w:val="05Tabletext"/>
            </w:pPr>
            <w:r>
              <w:t>New evidence</w:t>
            </w:r>
          </w:p>
        </w:tc>
        <w:tc>
          <w:tcPr>
            <w:tcW w:w="994" w:type="pct"/>
            <w:gridSpan w:val="2"/>
            <w:tcBorders>
              <w:top w:val="single" w:sz="4" w:space="0" w:color="auto"/>
              <w:bottom w:val="single" w:sz="4" w:space="0" w:color="auto"/>
            </w:tcBorders>
            <w:shd w:val="clear" w:color="auto" w:fill="auto"/>
          </w:tcPr>
          <w:p w:rsidR="00035233" w:rsidRPr="00E4266D" w:rsidRDefault="00035233" w:rsidP="00F505EC">
            <w:pPr>
              <w:pStyle w:val="05Tabletext"/>
              <w:jc w:val="center"/>
            </w:pPr>
            <w:r w:rsidRPr="00E4266D">
              <w:t>TONADO 1 &amp; 2</w:t>
            </w:r>
            <w:r w:rsidR="00E4266D" w:rsidRPr="00E4266D">
              <w:rPr>
                <w:vertAlign w:val="superscript"/>
              </w:rPr>
              <w:t>c</w:t>
            </w:r>
            <w:r w:rsidRPr="00E4266D">
              <w:br/>
              <w:t>Superiority, double-blind</w:t>
            </w:r>
            <w:r w:rsidRPr="00E4266D">
              <w:br/>
              <w:t>Fair quality</w:t>
            </w:r>
            <w:r w:rsidRPr="00E4266D">
              <w:br/>
              <w:t>N=5,163; 52 weeks</w:t>
            </w:r>
          </w:p>
        </w:tc>
        <w:tc>
          <w:tcPr>
            <w:tcW w:w="556" w:type="pct"/>
            <w:gridSpan w:val="2"/>
            <w:tcBorders>
              <w:top w:val="single" w:sz="4" w:space="0" w:color="auto"/>
              <w:bottom w:val="single" w:sz="4" w:space="0" w:color="auto"/>
            </w:tcBorders>
          </w:tcPr>
          <w:p w:rsidR="00035233" w:rsidRPr="00E4266D" w:rsidRDefault="00035233" w:rsidP="00035233">
            <w:pPr>
              <w:pStyle w:val="05Tabletext"/>
              <w:jc w:val="center"/>
            </w:pPr>
            <w:r w:rsidRPr="00E4266D">
              <w:t>TIO/OLO vs TIO</w:t>
            </w:r>
          </w:p>
        </w:tc>
        <w:tc>
          <w:tcPr>
            <w:tcW w:w="2864" w:type="pct"/>
            <w:gridSpan w:val="2"/>
            <w:tcBorders>
              <w:top w:val="single" w:sz="4" w:space="0" w:color="auto"/>
            </w:tcBorders>
            <w:shd w:val="clear" w:color="auto" w:fill="auto"/>
          </w:tcPr>
          <w:p w:rsidR="00035233" w:rsidRPr="00A33082" w:rsidRDefault="00035233" w:rsidP="00251CB8">
            <w:pPr>
              <w:pStyle w:val="05Tabletext"/>
              <w:numPr>
                <w:ilvl w:val="0"/>
                <w:numId w:val="43"/>
              </w:numPr>
              <w:ind w:left="227" w:hanging="227"/>
            </w:pPr>
            <w:r>
              <w:t>TIO/OLO</w:t>
            </w:r>
            <w:r w:rsidRPr="00380FAF">
              <w:t xml:space="preserve"> </w:t>
            </w:r>
            <w:r>
              <w:t xml:space="preserve">significantly </w:t>
            </w:r>
            <w:r w:rsidRPr="00380FAF">
              <w:t xml:space="preserve">improved lung function over </w:t>
            </w:r>
            <w:r>
              <w:t xml:space="preserve">TIO (Respimat) </w:t>
            </w:r>
            <w:r w:rsidRPr="00380FAF">
              <w:t>monotherapy</w:t>
            </w:r>
            <w:r>
              <w:t xml:space="preserve"> </w:t>
            </w:r>
            <w:r w:rsidRPr="00380FAF">
              <w:t>in patients with GOLD 2 and 3-4 disease</w:t>
            </w:r>
            <w:r>
              <w:t>. T</w:t>
            </w:r>
            <w:r w:rsidRPr="00380FAF">
              <w:t>here were</w:t>
            </w:r>
            <w:r>
              <w:t xml:space="preserve"> no notable differences in lung</w:t>
            </w:r>
            <w:r w:rsidR="00BD5577">
              <w:t xml:space="preserve"> </w:t>
            </w:r>
            <w:r w:rsidRPr="00380FAF">
              <w:t>function responses according to whether patients were naïve or experienced to LAMA or LABA therapy at baseline</w:t>
            </w:r>
            <w:r>
              <w:t>.</w:t>
            </w:r>
          </w:p>
        </w:tc>
      </w:tr>
      <w:tr w:rsidR="00035233" w:rsidRPr="00062F1F" w:rsidTr="00C158EB">
        <w:trPr>
          <w:cantSplit/>
        </w:trPr>
        <w:tc>
          <w:tcPr>
            <w:tcW w:w="586" w:type="pct"/>
            <w:tcBorders>
              <w:top w:val="single" w:sz="4" w:space="0" w:color="auto"/>
            </w:tcBorders>
            <w:shd w:val="clear" w:color="auto" w:fill="auto"/>
          </w:tcPr>
          <w:p w:rsidR="00035233" w:rsidRDefault="00035233" w:rsidP="00035233">
            <w:pPr>
              <w:pStyle w:val="05Tabletext"/>
            </w:pPr>
          </w:p>
        </w:tc>
        <w:tc>
          <w:tcPr>
            <w:tcW w:w="994" w:type="pct"/>
            <w:gridSpan w:val="2"/>
            <w:tcBorders>
              <w:top w:val="single" w:sz="4" w:space="0" w:color="auto"/>
            </w:tcBorders>
            <w:shd w:val="clear" w:color="auto" w:fill="auto"/>
          </w:tcPr>
          <w:p w:rsidR="00035233" w:rsidRPr="00FC1FB4" w:rsidRDefault="00035233" w:rsidP="00035233">
            <w:pPr>
              <w:pStyle w:val="05Tabletext"/>
              <w:jc w:val="center"/>
            </w:pPr>
            <w:r>
              <w:t>OTEMTO 1 &amp; 2</w:t>
            </w:r>
            <w:r>
              <w:br/>
              <w:t>Superiority</w:t>
            </w:r>
            <w:r>
              <w:br/>
              <w:t>Double-blind</w:t>
            </w:r>
            <w:r>
              <w:br/>
              <w:t>Fair quality</w:t>
            </w:r>
            <w:r>
              <w:br/>
              <w:t>N=1,623; 12 weeks</w:t>
            </w:r>
          </w:p>
        </w:tc>
        <w:tc>
          <w:tcPr>
            <w:tcW w:w="556" w:type="pct"/>
            <w:gridSpan w:val="2"/>
            <w:tcBorders>
              <w:top w:val="single" w:sz="4" w:space="0" w:color="auto"/>
            </w:tcBorders>
          </w:tcPr>
          <w:p w:rsidR="00035233" w:rsidRDefault="00035233" w:rsidP="00035233">
            <w:pPr>
              <w:pStyle w:val="05Tabletext"/>
              <w:jc w:val="center"/>
            </w:pPr>
            <w:r>
              <w:t>TIO/OLO vs TIO</w:t>
            </w:r>
          </w:p>
        </w:tc>
        <w:tc>
          <w:tcPr>
            <w:tcW w:w="2864" w:type="pct"/>
            <w:gridSpan w:val="2"/>
            <w:shd w:val="clear" w:color="auto" w:fill="auto"/>
          </w:tcPr>
          <w:p w:rsidR="00035233" w:rsidRPr="00062F1F" w:rsidRDefault="00035233" w:rsidP="00251CB8">
            <w:pPr>
              <w:pStyle w:val="05Tabletext"/>
              <w:numPr>
                <w:ilvl w:val="0"/>
                <w:numId w:val="43"/>
              </w:numPr>
              <w:ind w:left="227" w:hanging="227"/>
            </w:pPr>
            <w:r>
              <w:t>Treatment with TIO/OLO resulted in numerically greater improvements in trough FEV</w:t>
            </w:r>
            <w:r>
              <w:rPr>
                <w:vertAlign w:val="subscript"/>
              </w:rPr>
              <w:t>1</w:t>
            </w:r>
            <w:r>
              <w:t xml:space="preserve"> compared with TIO (Respimat) monotherapy; however, it is unlikely that the observed differences would be considered clinically relevant.</w:t>
            </w:r>
            <w:r w:rsidR="00E4266D">
              <w:rPr>
                <w:vertAlign w:val="superscript"/>
              </w:rPr>
              <w:t>d</w:t>
            </w:r>
          </w:p>
        </w:tc>
      </w:tr>
      <w:tr w:rsidR="00EF3AF5" w:rsidTr="00C158EB">
        <w:trPr>
          <w:cantSplit/>
        </w:trPr>
        <w:tc>
          <w:tcPr>
            <w:tcW w:w="1580" w:type="pct"/>
            <w:gridSpan w:val="3"/>
            <w:shd w:val="clear" w:color="auto" w:fill="000000" w:themeFill="text1"/>
          </w:tcPr>
          <w:p w:rsidR="00EF3AF5" w:rsidRDefault="00EF3AF5" w:rsidP="00B0172A">
            <w:pPr>
              <w:pStyle w:val="04Tablesubheading"/>
              <w:keepNext w:val="0"/>
            </w:pPr>
            <w:r>
              <w:t>FLU/SAL: ICS/LABA vs LAMA</w:t>
            </w:r>
          </w:p>
        </w:tc>
        <w:tc>
          <w:tcPr>
            <w:tcW w:w="556" w:type="pct"/>
            <w:gridSpan w:val="2"/>
            <w:shd w:val="clear" w:color="auto" w:fill="000000" w:themeFill="text1"/>
          </w:tcPr>
          <w:p w:rsidR="00EF3AF5" w:rsidRDefault="00EF3AF5" w:rsidP="00B0172A">
            <w:pPr>
              <w:pStyle w:val="04Tablesubheading"/>
              <w:keepNext w:val="0"/>
            </w:pPr>
          </w:p>
        </w:tc>
        <w:tc>
          <w:tcPr>
            <w:tcW w:w="2864" w:type="pct"/>
            <w:gridSpan w:val="2"/>
            <w:shd w:val="clear" w:color="auto" w:fill="000000" w:themeFill="text1"/>
          </w:tcPr>
          <w:p w:rsidR="00EF3AF5" w:rsidRDefault="00EF3AF5" w:rsidP="00B0172A">
            <w:pPr>
              <w:pStyle w:val="04Tablesubheading"/>
              <w:keepNext w:val="0"/>
            </w:pPr>
          </w:p>
        </w:tc>
      </w:tr>
      <w:tr w:rsidR="00EF3AF5" w:rsidTr="00C158EB">
        <w:trPr>
          <w:cantSplit/>
        </w:trPr>
        <w:tc>
          <w:tcPr>
            <w:tcW w:w="586" w:type="pct"/>
            <w:tcBorders>
              <w:bottom w:val="nil"/>
            </w:tcBorders>
            <w:shd w:val="clear" w:color="auto" w:fill="F2F2F2" w:themeFill="background1" w:themeFillShade="F2"/>
          </w:tcPr>
          <w:p w:rsidR="00EF3AF5" w:rsidRDefault="00EF3AF5" w:rsidP="00B0172A">
            <w:pPr>
              <w:pStyle w:val="05Tabletext"/>
            </w:pPr>
            <w:r>
              <w:lastRenderedPageBreak/>
              <w:t>March 2007</w:t>
            </w:r>
          </w:p>
        </w:tc>
        <w:tc>
          <w:tcPr>
            <w:tcW w:w="994" w:type="pct"/>
            <w:gridSpan w:val="2"/>
            <w:shd w:val="clear" w:color="auto" w:fill="F2F2F2" w:themeFill="background1" w:themeFillShade="F2"/>
          </w:tcPr>
          <w:p w:rsidR="00EF3AF5" w:rsidRDefault="00EF3AF5" w:rsidP="00B0172A">
            <w:pPr>
              <w:pStyle w:val="05Tabletext"/>
              <w:jc w:val="center"/>
            </w:pPr>
            <w:r w:rsidRPr="00867EAF">
              <w:t>Trial 40036, plus two supportive trials (unpublished)</w:t>
            </w:r>
          </w:p>
        </w:tc>
        <w:tc>
          <w:tcPr>
            <w:tcW w:w="556" w:type="pct"/>
            <w:gridSpan w:val="2"/>
            <w:shd w:val="clear" w:color="auto" w:fill="F2F2F2" w:themeFill="background1" w:themeFillShade="F2"/>
          </w:tcPr>
          <w:p w:rsidR="00EF3AF5" w:rsidRDefault="00EF3AF5" w:rsidP="00B0172A">
            <w:pPr>
              <w:pStyle w:val="05Tabletext"/>
              <w:jc w:val="center"/>
            </w:pPr>
            <w:r>
              <w:t>FLU/SAL vs TIO</w:t>
            </w:r>
          </w:p>
        </w:tc>
        <w:tc>
          <w:tcPr>
            <w:tcW w:w="2864" w:type="pct"/>
            <w:gridSpan w:val="2"/>
            <w:shd w:val="clear" w:color="auto" w:fill="F2F2F2" w:themeFill="background1" w:themeFillShade="F2"/>
          </w:tcPr>
          <w:p w:rsidR="00EF3AF5" w:rsidRDefault="00EF3AF5" w:rsidP="00251CB8">
            <w:pPr>
              <w:pStyle w:val="05Tabletext"/>
              <w:numPr>
                <w:ilvl w:val="0"/>
                <w:numId w:val="44"/>
              </w:numPr>
              <w:ind w:left="227" w:hanging="227"/>
            </w:pPr>
            <w:r>
              <w:t>FLU/SAL was considered non-inferior to TIO on the basis of comparative efficacy and similar safety. FLU/SAL was cost-minimised to TIO.</w:t>
            </w:r>
          </w:p>
        </w:tc>
      </w:tr>
      <w:tr w:rsidR="00EF3AF5" w:rsidRPr="005D5D9F" w:rsidTr="00C158EB">
        <w:trPr>
          <w:cantSplit/>
        </w:trPr>
        <w:tc>
          <w:tcPr>
            <w:tcW w:w="586" w:type="pct"/>
            <w:tcBorders>
              <w:bottom w:val="nil"/>
            </w:tcBorders>
            <w:shd w:val="clear" w:color="auto" w:fill="auto"/>
          </w:tcPr>
          <w:p w:rsidR="00EF3AF5" w:rsidRDefault="00EF3AF5" w:rsidP="00B0172A">
            <w:pPr>
              <w:pStyle w:val="05Tabletext"/>
            </w:pPr>
            <w:r>
              <w:t>New evidence</w:t>
            </w:r>
          </w:p>
        </w:tc>
        <w:tc>
          <w:tcPr>
            <w:tcW w:w="994" w:type="pct"/>
            <w:gridSpan w:val="2"/>
            <w:shd w:val="clear" w:color="auto" w:fill="auto"/>
          </w:tcPr>
          <w:p w:rsidR="00EF3AF5" w:rsidRDefault="00EF3AF5" w:rsidP="00B0172A">
            <w:pPr>
              <w:pStyle w:val="05Tabletext"/>
              <w:jc w:val="center"/>
            </w:pPr>
            <w:r>
              <w:t>INSPIRE</w:t>
            </w:r>
            <w:r>
              <w:br/>
              <w:t>Superiority, double-blind, double-dummy</w:t>
            </w:r>
            <w:r>
              <w:br/>
              <w:t>Good quality</w:t>
            </w:r>
            <w:r>
              <w:br/>
              <w:t>N=1,323; 2 years</w:t>
            </w:r>
          </w:p>
        </w:tc>
        <w:tc>
          <w:tcPr>
            <w:tcW w:w="556" w:type="pct"/>
            <w:gridSpan w:val="2"/>
          </w:tcPr>
          <w:p w:rsidR="00EF3AF5" w:rsidRDefault="00EF3AF5" w:rsidP="00B0172A">
            <w:pPr>
              <w:pStyle w:val="05Tabletext"/>
              <w:jc w:val="center"/>
            </w:pPr>
            <w:r>
              <w:t>FLU/SAL vs TIO</w:t>
            </w:r>
          </w:p>
        </w:tc>
        <w:tc>
          <w:tcPr>
            <w:tcW w:w="2864" w:type="pct"/>
            <w:gridSpan w:val="2"/>
            <w:shd w:val="clear" w:color="auto" w:fill="auto"/>
          </w:tcPr>
          <w:p w:rsidR="00EF3AF5" w:rsidRPr="005D5D9F" w:rsidRDefault="00EF3AF5" w:rsidP="00251CB8">
            <w:pPr>
              <w:pStyle w:val="05Tabletext"/>
              <w:numPr>
                <w:ilvl w:val="0"/>
                <w:numId w:val="44"/>
              </w:numPr>
              <w:ind w:left="227" w:hanging="227"/>
            </w:pPr>
            <w:r>
              <w:t>FLU/SAL and TIO were found to be comparable with respect to healthcare utilisation exacerbations per year; however, the risk of all-cause mortality was 52% lower in the FLU/SAL group, representing a statistically significant difference between the treatments.</w:t>
            </w:r>
          </w:p>
        </w:tc>
      </w:tr>
      <w:tr w:rsidR="00EF3AF5" w:rsidRPr="00CB607C" w:rsidTr="00C158EB">
        <w:trPr>
          <w:cantSplit/>
        </w:trPr>
        <w:tc>
          <w:tcPr>
            <w:tcW w:w="586" w:type="pct"/>
            <w:tcBorders>
              <w:top w:val="nil"/>
            </w:tcBorders>
            <w:shd w:val="clear" w:color="auto" w:fill="auto"/>
          </w:tcPr>
          <w:p w:rsidR="00EF3AF5" w:rsidRDefault="00EF3AF5" w:rsidP="00B0172A">
            <w:pPr>
              <w:pStyle w:val="05Tabletext"/>
            </w:pPr>
          </w:p>
        </w:tc>
        <w:tc>
          <w:tcPr>
            <w:tcW w:w="994" w:type="pct"/>
            <w:gridSpan w:val="2"/>
            <w:shd w:val="clear" w:color="auto" w:fill="auto"/>
          </w:tcPr>
          <w:p w:rsidR="00EF3AF5" w:rsidRDefault="00EF3AF5" w:rsidP="00B0172A">
            <w:pPr>
              <w:pStyle w:val="05Tabletext"/>
              <w:jc w:val="center"/>
            </w:pPr>
            <w:r>
              <w:t>Sarac (2016)</w:t>
            </w:r>
            <w:r>
              <w:br/>
              <w:t>Superiority, open-label</w:t>
            </w:r>
            <w:r>
              <w:br/>
              <w:t>Poor quality</w:t>
            </w:r>
            <w:r>
              <w:br/>
              <w:t>N=44; 1 year</w:t>
            </w:r>
          </w:p>
        </w:tc>
        <w:tc>
          <w:tcPr>
            <w:tcW w:w="556" w:type="pct"/>
            <w:gridSpan w:val="2"/>
          </w:tcPr>
          <w:p w:rsidR="00EF3AF5" w:rsidRDefault="00EF3AF5" w:rsidP="00B0172A">
            <w:pPr>
              <w:pStyle w:val="05Tabletext"/>
              <w:jc w:val="center"/>
            </w:pPr>
            <w:r>
              <w:t>FLU/SAL vs TIO</w:t>
            </w:r>
          </w:p>
        </w:tc>
        <w:tc>
          <w:tcPr>
            <w:tcW w:w="2864" w:type="pct"/>
            <w:gridSpan w:val="2"/>
            <w:shd w:val="clear" w:color="auto" w:fill="auto"/>
          </w:tcPr>
          <w:p w:rsidR="00EF3AF5" w:rsidRPr="00CB607C" w:rsidRDefault="00EF3AF5" w:rsidP="00251CB8">
            <w:pPr>
              <w:pStyle w:val="05Tabletext"/>
              <w:numPr>
                <w:ilvl w:val="0"/>
                <w:numId w:val="44"/>
              </w:numPr>
              <w:ind w:left="227" w:hanging="227"/>
            </w:pPr>
            <w:r>
              <w:t>The mean number of exacerbations and number of severe exacerbations both numerically favoured FLU/SAL over TIO monotherapy; however, the differences were not statistically significant.</w:t>
            </w:r>
          </w:p>
        </w:tc>
      </w:tr>
      <w:tr w:rsidR="006A6930" w:rsidTr="00C158EB">
        <w:trPr>
          <w:cantSplit/>
        </w:trPr>
        <w:tc>
          <w:tcPr>
            <w:tcW w:w="1580" w:type="pct"/>
            <w:gridSpan w:val="3"/>
            <w:shd w:val="clear" w:color="auto" w:fill="000000" w:themeFill="text1"/>
            <w:vAlign w:val="center"/>
          </w:tcPr>
          <w:p w:rsidR="006A6930" w:rsidRDefault="006A6930" w:rsidP="00484BD7">
            <w:pPr>
              <w:pStyle w:val="04Tablesubheading"/>
            </w:pPr>
            <w:r>
              <w:t xml:space="preserve">FLU/VIL: ICS/LABA vs LAMA </w:t>
            </w:r>
          </w:p>
        </w:tc>
        <w:tc>
          <w:tcPr>
            <w:tcW w:w="556" w:type="pct"/>
            <w:gridSpan w:val="2"/>
            <w:shd w:val="clear" w:color="auto" w:fill="000000" w:themeFill="text1"/>
          </w:tcPr>
          <w:p w:rsidR="006A6930" w:rsidRDefault="006A6930" w:rsidP="00035F25">
            <w:pPr>
              <w:pStyle w:val="04Tablesubheading"/>
            </w:pPr>
          </w:p>
        </w:tc>
        <w:tc>
          <w:tcPr>
            <w:tcW w:w="2864" w:type="pct"/>
            <w:gridSpan w:val="2"/>
            <w:shd w:val="clear" w:color="auto" w:fill="000000" w:themeFill="text1"/>
          </w:tcPr>
          <w:p w:rsidR="006A6930" w:rsidRDefault="006A6930" w:rsidP="00035F25">
            <w:pPr>
              <w:pStyle w:val="04Tablesubheading"/>
            </w:pPr>
          </w:p>
        </w:tc>
      </w:tr>
      <w:tr w:rsidR="006A6930" w:rsidRPr="00CB607C" w:rsidTr="00C158EB">
        <w:trPr>
          <w:cantSplit/>
        </w:trPr>
        <w:tc>
          <w:tcPr>
            <w:tcW w:w="586" w:type="pct"/>
            <w:shd w:val="clear" w:color="auto" w:fill="auto"/>
          </w:tcPr>
          <w:p w:rsidR="006A6930" w:rsidRDefault="006A6930" w:rsidP="00035F25">
            <w:pPr>
              <w:pStyle w:val="05Tabletext"/>
            </w:pPr>
            <w:r>
              <w:t>New evidence</w:t>
            </w:r>
          </w:p>
        </w:tc>
        <w:tc>
          <w:tcPr>
            <w:tcW w:w="994" w:type="pct"/>
            <w:gridSpan w:val="2"/>
            <w:shd w:val="clear" w:color="auto" w:fill="auto"/>
          </w:tcPr>
          <w:p w:rsidR="006A6930" w:rsidRDefault="006A6930" w:rsidP="00035F25">
            <w:pPr>
              <w:pStyle w:val="05Tabletext"/>
              <w:jc w:val="center"/>
            </w:pPr>
            <w:r>
              <w:t>Covelli (2016)</w:t>
            </w:r>
            <w:r>
              <w:br/>
              <w:t>Superiority, double-blind, double-dummy</w:t>
            </w:r>
            <w:r>
              <w:br/>
              <w:t>Good quality</w:t>
            </w:r>
            <w:r>
              <w:br/>
              <w:t>N=623; 12 weeks</w:t>
            </w:r>
          </w:p>
        </w:tc>
        <w:tc>
          <w:tcPr>
            <w:tcW w:w="556" w:type="pct"/>
            <w:gridSpan w:val="2"/>
          </w:tcPr>
          <w:p w:rsidR="006A6930" w:rsidRDefault="00202290" w:rsidP="00035F25">
            <w:pPr>
              <w:pStyle w:val="05Tabletext"/>
              <w:jc w:val="center"/>
            </w:pPr>
            <w:r>
              <w:t>FLU/VIL vs TIO</w:t>
            </w:r>
          </w:p>
        </w:tc>
        <w:tc>
          <w:tcPr>
            <w:tcW w:w="2864" w:type="pct"/>
            <w:gridSpan w:val="2"/>
            <w:shd w:val="clear" w:color="auto" w:fill="auto"/>
          </w:tcPr>
          <w:p w:rsidR="006A6930" w:rsidRPr="00CB607C" w:rsidRDefault="006A6930" w:rsidP="00251CB8">
            <w:pPr>
              <w:pStyle w:val="05Tabletext"/>
              <w:numPr>
                <w:ilvl w:val="0"/>
                <w:numId w:val="45"/>
              </w:numPr>
              <w:ind w:left="227" w:hanging="227"/>
            </w:pPr>
            <w:r>
              <w:t>No statistically significant or clinically meaningful difference between FLU/VIL and TIO in terms of trough FEV</w:t>
            </w:r>
            <w:r>
              <w:rPr>
                <w:vertAlign w:val="subscript"/>
              </w:rPr>
              <w:t>1</w:t>
            </w:r>
            <w:r>
              <w:t xml:space="preserve">. Safety results were comparable, with minor differences in rates of pneumonia and COPD exacerbations. </w:t>
            </w:r>
          </w:p>
        </w:tc>
      </w:tr>
      <w:tr w:rsidR="00247CE3" w:rsidTr="00B51088">
        <w:trPr>
          <w:cantSplit/>
        </w:trPr>
        <w:tc>
          <w:tcPr>
            <w:tcW w:w="5000" w:type="pct"/>
            <w:gridSpan w:val="7"/>
            <w:tcBorders>
              <w:top w:val="nil"/>
            </w:tcBorders>
            <w:shd w:val="clear" w:color="auto" w:fill="000000" w:themeFill="text1"/>
            <w:vAlign w:val="center"/>
          </w:tcPr>
          <w:p w:rsidR="00247CE3" w:rsidRDefault="00247CE3" w:rsidP="00B51088">
            <w:pPr>
              <w:pStyle w:val="04Tablesubheading"/>
            </w:pPr>
            <w:r>
              <w:t>IND: LABA vs LABA</w:t>
            </w:r>
          </w:p>
        </w:tc>
      </w:tr>
      <w:tr w:rsidR="00247CE3" w:rsidRPr="00484BD7" w:rsidTr="00C158EB">
        <w:trPr>
          <w:cantSplit/>
        </w:trPr>
        <w:tc>
          <w:tcPr>
            <w:tcW w:w="656" w:type="pct"/>
            <w:gridSpan w:val="2"/>
            <w:tcBorders>
              <w:top w:val="nil"/>
            </w:tcBorders>
            <w:shd w:val="clear" w:color="auto" w:fill="F2F2F2" w:themeFill="background1" w:themeFillShade="F2"/>
          </w:tcPr>
          <w:p w:rsidR="00247CE3" w:rsidRDefault="00247CE3" w:rsidP="00B51088">
            <w:pPr>
              <w:pStyle w:val="05Tabletext"/>
            </w:pPr>
            <w:r>
              <w:t>July 2011</w:t>
            </w:r>
          </w:p>
        </w:tc>
        <w:tc>
          <w:tcPr>
            <w:tcW w:w="935" w:type="pct"/>
            <w:gridSpan w:val="2"/>
            <w:shd w:val="clear" w:color="auto" w:fill="F2F2F2" w:themeFill="background1" w:themeFillShade="F2"/>
          </w:tcPr>
          <w:p w:rsidR="00247CE3" w:rsidRDefault="00247CE3" w:rsidP="00B51088">
            <w:pPr>
              <w:pStyle w:val="05Tabletext"/>
              <w:ind w:right="0"/>
              <w:jc w:val="center"/>
            </w:pPr>
            <w:r>
              <w:t xml:space="preserve">No head-to-head trials </w:t>
            </w:r>
          </w:p>
          <w:p w:rsidR="00247CE3" w:rsidRDefault="00247CE3" w:rsidP="00B51088">
            <w:pPr>
              <w:pStyle w:val="06Tabletextspacebefore"/>
              <w:spacing w:before="20"/>
              <w:jc w:val="center"/>
            </w:pPr>
            <w:r>
              <w:t>Indirect comparison via TIO as common comparator</w:t>
            </w:r>
          </w:p>
        </w:tc>
        <w:tc>
          <w:tcPr>
            <w:tcW w:w="567" w:type="pct"/>
            <w:gridSpan w:val="2"/>
            <w:shd w:val="clear" w:color="auto" w:fill="F2F2F2" w:themeFill="background1" w:themeFillShade="F2"/>
          </w:tcPr>
          <w:p w:rsidR="00247CE3" w:rsidRDefault="00247CE3" w:rsidP="00B51088">
            <w:pPr>
              <w:pStyle w:val="05Tabletext"/>
              <w:jc w:val="center"/>
            </w:pPr>
            <w:r>
              <w:t>IND vs FLU/SAL</w:t>
            </w:r>
          </w:p>
        </w:tc>
        <w:tc>
          <w:tcPr>
            <w:tcW w:w="2842" w:type="pct"/>
            <w:shd w:val="clear" w:color="auto" w:fill="F2F2F2" w:themeFill="background1" w:themeFillShade="F2"/>
          </w:tcPr>
          <w:p w:rsidR="00247CE3" w:rsidRDefault="00247CE3" w:rsidP="00251CB8">
            <w:pPr>
              <w:pStyle w:val="05Tabletext"/>
              <w:numPr>
                <w:ilvl w:val="0"/>
                <w:numId w:val="40"/>
              </w:numPr>
              <w:ind w:left="227" w:hanging="227"/>
            </w:pPr>
            <w:r>
              <w:t>IND in combination with TIO was considered non-inferior in comparative effectiveness and similar in safety to FLU/SAL plus TIO by the PBAC. IND was cost-minimised to FLU/SAL.</w:t>
            </w:r>
          </w:p>
          <w:p w:rsidR="00247CE3" w:rsidRPr="00484BD7" w:rsidRDefault="00247CE3" w:rsidP="00B51088">
            <w:pPr>
              <w:pStyle w:val="06Tabletextspacebefore"/>
            </w:pPr>
          </w:p>
        </w:tc>
      </w:tr>
      <w:tr w:rsidR="00247CE3" w:rsidTr="00C158EB">
        <w:trPr>
          <w:cantSplit/>
        </w:trPr>
        <w:tc>
          <w:tcPr>
            <w:tcW w:w="656" w:type="pct"/>
            <w:gridSpan w:val="2"/>
            <w:tcBorders>
              <w:top w:val="nil"/>
            </w:tcBorders>
            <w:shd w:val="clear" w:color="auto" w:fill="auto"/>
          </w:tcPr>
          <w:p w:rsidR="00247CE3" w:rsidRDefault="00247CE3" w:rsidP="00B51088">
            <w:pPr>
              <w:pStyle w:val="05Tabletext"/>
            </w:pPr>
            <w:r>
              <w:t>New evidence</w:t>
            </w:r>
          </w:p>
        </w:tc>
        <w:tc>
          <w:tcPr>
            <w:tcW w:w="935" w:type="pct"/>
            <w:gridSpan w:val="2"/>
            <w:shd w:val="clear" w:color="auto" w:fill="auto"/>
          </w:tcPr>
          <w:p w:rsidR="00247CE3" w:rsidRDefault="00247CE3" w:rsidP="00B51088">
            <w:pPr>
              <w:pStyle w:val="05Tabletext"/>
              <w:jc w:val="center"/>
            </w:pPr>
            <w:r>
              <w:t>INDORSE</w:t>
            </w:r>
            <w:r>
              <w:br/>
              <w:t>Superiority, double-blind</w:t>
            </w:r>
            <w:r>
              <w:br/>
              <w:t>Good quality</w:t>
            </w:r>
            <w:r>
              <w:br/>
              <w:t>N=415; 52 weeks</w:t>
            </w:r>
          </w:p>
        </w:tc>
        <w:tc>
          <w:tcPr>
            <w:tcW w:w="567" w:type="pct"/>
            <w:gridSpan w:val="2"/>
          </w:tcPr>
          <w:p w:rsidR="00247CE3" w:rsidRDefault="00247CE3" w:rsidP="00475022">
            <w:pPr>
              <w:pStyle w:val="05Tabletext"/>
              <w:jc w:val="center"/>
            </w:pPr>
            <w:r>
              <w:t xml:space="preserve">IND 150 </w:t>
            </w:r>
            <w:r w:rsidR="00475022" w:rsidRPr="00391023">
              <w:t>μg</w:t>
            </w:r>
            <w:r>
              <w:t xml:space="preserve"> vs IND 300 </w:t>
            </w:r>
            <w:r w:rsidR="00475022" w:rsidRPr="00391023">
              <w:t>μg</w:t>
            </w:r>
          </w:p>
        </w:tc>
        <w:tc>
          <w:tcPr>
            <w:tcW w:w="2842" w:type="pct"/>
            <w:shd w:val="clear" w:color="auto" w:fill="auto"/>
          </w:tcPr>
          <w:p w:rsidR="00247CE3" w:rsidRDefault="00247CE3" w:rsidP="00251CB8">
            <w:pPr>
              <w:pStyle w:val="05Tabletext"/>
              <w:numPr>
                <w:ilvl w:val="0"/>
                <w:numId w:val="40"/>
              </w:numPr>
              <w:ind w:left="227" w:hanging="227"/>
            </w:pPr>
            <w:r>
              <w:t>The two PBS-listed doses of indacaterol were associated with similar magnitudes of improvement from baseline in trough FEV</w:t>
            </w:r>
            <w:r>
              <w:rPr>
                <w:vertAlign w:val="subscript"/>
              </w:rPr>
              <w:t>1</w:t>
            </w:r>
            <w:r>
              <w:t xml:space="preserve"> compared with placebo and were comparable in terms of risk of exacerbations.</w:t>
            </w:r>
          </w:p>
        </w:tc>
      </w:tr>
    </w:tbl>
    <w:p w:rsidR="00035233" w:rsidRDefault="00035233" w:rsidP="00035233">
      <w:pPr>
        <w:pStyle w:val="10TableorFigurefootnote"/>
      </w:pPr>
      <w:r>
        <w:t>Abbreviations: COPD, chronic obstructive pulmonary disease; FEV</w:t>
      </w:r>
      <w:r>
        <w:rPr>
          <w:vertAlign w:val="subscript"/>
        </w:rPr>
        <w:t>1</w:t>
      </w:r>
      <w:r>
        <w:t xml:space="preserve">, forced expiratory volume in one second; FLU, fluticasone; GLY, glycopyrronium; GOLD, Global </w:t>
      </w:r>
      <w:r w:rsidR="006D27FC">
        <w:t>I</w:t>
      </w:r>
      <w:r>
        <w:t xml:space="preserve">nitiative for </w:t>
      </w:r>
      <w:r w:rsidR="006D27FC">
        <w:t>C</w:t>
      </w:r>
      <w:r>
        <w:t xml:space="preserve">hronic </w:t>
      </w:r>
      <w:r w:rsidR="006D27FC">
        <w:t>O</w:t>
      </w:r>
      <w:r>
        <w:t xml:space="preserve">bstructive </w:t>
      </w:r>
      <w:r w:rsidR="006D27FC">
        <w:t>L</w:t>
      </w:r>
      <w:r>
        <w:t xml:space="preserve">ung </w:t>
      </w:r>
      <w:r w:rsidR="006D27FC">
        <w:t>D</w:t>
      </w:r>
      <w:r>
        <w:t xml:space="preserve">isease; IND, indacaterol; ICS, inhaled corticosteroid; LAMA, </w:t>
      </w:r>
      <w:r w:rsidRPr="00A11CA0">
        <w:t>long-acting muscarinic antagonist</w:t>
      </w:r>
      <w:r>
        <w:t>;</w:t>
      </w:r>
      <w:r w:rsidRPr="00A11CA0">
        <w:t xml:space="preserve"> </w:t>
      </w:r>
      <w:r w:rsidR="00B17704">
        <w:t xml:space="preserve">MCID, minimal clinically important difference; </w:t>
      </w:r>
      <w:r>
        <w:t>OLO, olodaterol;</w:t>
      </w:r>
      <w:r w:rsidRPr="00A11CA0">
        <w:t xml:space="preserve"> PBAC, Pharmaceutic Benefits Advisory Committee; </w:t>
      </w:r>
      <w:r>
        <w:t>PBO, placebo; SAL, salmeterol; TIO, tiotropium; UME, umeclidinium; VIL, vilanterol</w:t>
      </w:r>
      <w:r w:rsidR="00051939">
        <w:t>; FLU/SAL, fluticasone propionate/salmeterol; FLU/VIL, fluticasone furoate/vilanterol</w:t>
      </w:r>
      <w:r w:rsidR="00737441">
        <w:t xml:space="preserve">. </w:t>
      </w:r>
    </w:p>
    <w:p w:rsidR="00035233" w:rsidRDefault="00035233" w:rsidP="00035233">
      <w:pPr>
        <w:pStyle w:val="10TableorFigurefootnote"/>
      </w:pPr>
      <w:proofErr w:type="gramStart"/>
      <w:r>
        <w:rPr>
          <w:b/>
        </w:rPr>
        <w:t>a</w:t>
      </w:r>
      <w:proofErr w:type="gramEnd"/>
      <w:r>
        <w:rPr>
          <w:b/>
        </w:rPr>
        <w:t xml:space="preserve"> </w:t>
      </w:r>
      <w:r w:rsidRPr="00B4109A">
        <w:t>Over half of the patients in each treatment arm were using ICS therapies at baseline and continued use of ICS throughout the study; thus, approximately half of the study participants were on triple therapy or dual (ICS + LAMA) therapy.</w:t>
      </w:r>
    </w:p>
    <w:p w:rsidR="00035233" w:rsidRDefault="00035233" w:rsidP="00035233">
      <w:pPr>
        <w:pStyle w:val="10TableorFigurefootnote"/>
      </w:pPr>
      <w:r>
        <w:rPr>
          <w:b/>
        </w:rPr>
        <w:t>b</w:t>
      </w:r>
      <w:r w:rsidRPr="00F971CF">
        <w:rPr>
          <w:b/>
        </w:rPr>
        <w:t xml:space="preserve"> </w:t>
      </w:r>
      <w:r w:rsidRPr="004D71E0">
        <w:t>Patients who were on ICS therapy at baseline were permitted to continue use of ICS; therefore, a subset of patients were on triple therapy, while others were on dual ICS + LAMA therapy during the treatment period.</w:t>
      </w:r>
    </w:p>
    <w:p w:rsidR="00E4266D" w:rsidRDefault="00035233" w:rsidP="00E4266D">
      <w:pPr>
        <w:pStyle w:val="10TableorFigurefootnote"/>
      </w:pPr>
      <w:proofErr w:type="gramStart"/>
      <w:r>
        <w:rPr>
          <w:b/>
        </w:rPr>
        <w:t>c</w:t>
      </w:r>
      <w:proofErr w:type="gramEnd"/>
      <w:r>
        <w:t xml:space="preserve"> </w:t>
      </w:r>
      <w:r w:rsidR="00E4266D">
        <w:t>New evidence refers to a post hoc analysis based on disease severity and treatment intensity.</w:t>
      </w:r>
    </w:p>
    <w:p w:rsidR="0050776F" w:rsidRDefault="00E4266D" w:rsidP="00035233">
      <w:pPr>
        <w:pStyle w:val="11TableorFigurefootnotenostick"/>
      </w:pPr>
      <w:proofErr w:type="gramStart"/>
      <w:r w:rsidRPr="00E4266D">
        <w:rPr>
          <w:b/>
        </w:rPr>
        <w:t>d</w:t>
      </w:r>
      <w:proofErr w:type="gramEnd"/>
      <w:r>
        <w:t xml:space="preserve"> </w:t>
      </w:r>
      <w:r w:rsidR="00035233">
        <w:t>T</w:t>
      </w:r>
      <w:r w:rsidR="00035233" w:rsidRPr="00F971CF">
        <w:t xml:space="preserve">he study was powered to detect differences between </w:t>
      </w:r>
      <w:r w:rsidR="00035233">
        <w:t>TIO/OLO</w:t>
      </w:r>
      <w:r w:rsidR="00035233" w:rsidRPr="00F971CF">
        <w:t xml:space="preserve"> and </w:t>
      </w:r>
      <w:r w:rsidR="00035233">
        <w:t>PBO</w:t>
      </w:r>
      <w:r w:rsidR="00035233" w:rsidRPr="00F971CF">
        <w:t xml:space="preserve">, not </w:t>
      </w:r>
      <w:r w:rsidR="00035233">
        <w:t>TIO/OLO</w:t>
      </w:r>
      <w:r w:rsidR="00035233" w:rsidRPr="00F971CF">
        <w:t xml:space="preserve"> and </w:t>
      </w:r>
      <w:r w:rsidR="00035233">
        <w:t xml:space="preserve">TIO </w:t>
      </w:r>
      <w:r w:rsidR="00035233" w:rsidRPr="00F971CF">
        <w:t>monotherapy.</w:t>
      </w:r>
    </w:p>
    <w:p w:rsidR="00AA6568" w:rsidRDefault="00AA6568" w:rsidP="00A45F70">
      <w:pPr>
        <w:pStyle w:val="Heading3"/>
      </w:pPr>
      <w:bookmarkStart w:id="15" w:name="_Toc482185935"/>
      <w:bookmarkStart w:id="16" w:name="_Toc486428069"/>
      <w:r>
        <w:t>Dual therapy versus dual therapy in patients with COPD</w:t>
      </w:r>
      <w:bookmarkEnd w:id="15"/>
      <w:bookmarkEnd w:id="16"/>
    </w:p>
    <w:p w:rsidR="00066AB2" w:rsidRDefault="00066AB2" w:rsidP="00066AB2">
      <w:r w:rsidRPr="00B545D0">
        <w:t xml:space="preserve">Only </w:t>
      </w:r>
      <w:r w:rsidR="00AA4CB9">
        <w:t xml:space="preserve">two </w:t>
      </w:r>
      <w:r w:rsidRPr="00B545D0">
        <w:t>RCT</w:t>
      </w:r>
      <w:r w:rsidR="00AA4CB9">
        <w:t>s</w:t>
      </w:r>
      <w:r w:rsidRPr="00B545D0">
        <w:t xml:space="preserve"> w</w:t>
      </w:r>
      <w:r w:rsidR="00AA4CB9">
        <w:t>ere</w:t>
      </w:r>
      <w:r w:rsidRPr="00B545D0">
        <w:t xml:space="preserve"> identified that compared two LAMA/LABA dual therapy combinations</w:t>
      </w:r>
      <w:r w:rsidR="007B6D5C">
        <w:t xml:space="preserve"> (</w:t>
      </w:r>
      <w:r w:rsidR="0045437A">
        <w:t>umeclidinium</w:t>
      </w:r>
      <w:r w:rsidR="007B6D5C">
        <w:t>/</w:t>
      </w:r>
      <w:r w:rsidR="0045437A">
        <w:t>vilanterol</w:t>
      </w:r>
      <w:r w:rsidR="007B6D5C">
        <w:t xml:space="preserve"> FDC versus </w:t>
      </w:r>
      <w:r w:rsidR="0045437A">
        <w:t>tiotropium</w:t>
      </w:r>
      <w:r w:rsidR="007B6D5C">
        <w:t xml:space="preserve"> plus </w:t>
      </w:r>
      <w:r w:rsidR="0045437A">
        <w:t>indacaterol</w:t>
      </w:r>
      <w:r w:rsidR="002541D8">
        <w:t>)</w:t>
      </w:r>
      <w:r w:rsidR="00FF084F">
        <w:t xml:space="preserve"> </w:t>
      </w:r>
      <w:r w:rsidR="00AA4CB9">
        <w:t>and (</w:t>
      </w:r>
      <w:r w:rsidR="0045437A">
        <w:t>indacaterol</w:t>
      </w:r>
      <w:r w:rsidR="007B6D5C">
        <w:t>/</w:t>
      </w:r>
      <w:r w:rsidR="0045437A">
        <w:t>glycopyrronium</w:t>
      </w:r>
      <w:r w:rsidR="00AA4CB9" w:rsidRPr="00AA4CB9">
        <w:t xml:space="preserve"> </w:t>
      </w:r>
      <w:r w:rsidR="00AA4CB9">
        <w:t xml:space="preserve">FDC </w:t>
      </w:r>
      <w:r w:rsidR="00AA4CB9" w:rsidRPr="00AA4CB9">
        <w:t xml:space="preserve">versus </w:t>
      </w:r>
      <w:r w:rsidR="0045437A">
        <w:t>tiotropium</w:t>
      </w:r>
      <w:r w:rsidR="00AA4CB9" w:rsidRPr="00AA4CB9">
        <w:t xml:space="preserve"> plus </w:t>
      </w:r>
      <w:r w:rsidR="0045437A">
        <w:t>eformoterol</w:t>
      </w:r>
      <w:r w:rsidR="00AA4CB9">
        <w:t>)</w:t>
      </w:r>
      <w:r w:rsidR="00AA4CB9" w:rsidRPr="00AA4CB9">
        <w:t xml:space="preserve"> </w:t>
      </w:r>
      <w:r w:rsidR="00FF084F">
        <w:t xml:space="preserve">as outlined in </w:t>
      </w:r>
      <w:r w:rsidR="00B51088">
        <w:t>Table</w:t>
      </w:r>
      <w:r w:rsidR="00D578A5">
        <w:t xml:space="preserve"> </w:t>
      </w:r>
      <w:r w:rsidR="00B51088">
        <w:t>3.3.</w:t>
      </w:r>
      <w:r>
        <w:t xml:space="preserve"> Despite the limited body o</w:t>
      </w:r>
      <w:r w:rsidR="007B6D5C">
        <w:t>f evidence, the findings of these studies</w:t>
      </w:r>
      <w:r>
        <w:t xml:space="preserve"> were consistent with previous PBAC recommendations; that is, there appears to be no</w:t>
      </w:r>
      <w:r w:rsidRPr="00F831F0">
        <w:t xml:space="preserve"> significant difference in efficacy </w:t>
      </w:r>
      <w:r w:rsidR="00AA4CB9">
        <w:t xml:space="preserve">(based on primary end points) </w:t>
      </w:r>
      <w:r w:rsidRPr="00F831F0">
        <w:t>or safety between PBS-listed LAMA</w:t>
      </w:r>
      <w:r>
        <w:t>/LABA FDC s.</w:t>
      </w:r>
    </w:p>
    <w:p w:rsidR="00673CB2" w:rsidRDefault="00B51088" w:rsidP="00066AB2">
      <w:r>
        <w:t xml:space="preserve">Table 3.3 </w:t>
      </w:r>
      <w:r w:rsidR="00283614">
        <w:t xml:space="preserve">also summarises the key findings from several RCTs that examined the comparative efficacy and safety of LAMA/LABA and ICS/LABA FDCs. </w:t>
      </w:r>
      <w:r w:rsidR="00A744F4">
        <w:t xml:space="preserve">The FLAME </w:t>
      </w:r>
      <w:r w:rsidR="00673CB2">
        <w:t xml:space="preserve">trial </w:t>
      </w:r>
      <w:r w:rsidR="00A744F4">
        <w:t xml:space="preserve">is of particular interest </w:t>
      </w:r>
      <w:r w:rsidR="0096406E">
        <w:t xml:space="preserve">as it enrolled </w:t>
      </w:r>
      <w:r w:rsidR="00A744F4" w:rsidRPr="00E3485B">
        <w:t xml:space="preserve">patients </w:t>
      </w:r>
      <w:r w:rsidR="00673CB2" w:rsidRPr="00E3485B">
        <w:t>with</w:t>
      </w:r>
      <w:r w:rsidR="00A744F4" w:rsidRPr="00E3485B">
        <w:t xml:space="preserve"> a </w:t>
      </w:r>
      <w:r w:rsidR="0096406E">
        <w:t>history of at least one exacerbation in the previous 12 months requiring treatment</w:t>
      </w:r>
      <w:r w:rsidR="00A744F4" w:rsidRPr="00E3485B">
        <w:t xml:space="preserve">. </w:t>
      </w:r>
      <w:r w:rsidR="00673CB2" w:rsidRPr="00E3485B">
        <w:t>The FLAME</w:t>
      </w:r>
      <w:r w:rsidR="00673CB2">
        <w:t xml:space="preserve"> trial demonstrated non-inferiority of </w:t>
      </w:r>
      <w:r w:rsidR="00A744F4">
        <w:t xml:space="preserve">glycopyrronium/indacaterol </w:t>
      </w:r>
      <w:r w:rsidR="00673CB2">
        <w:t>to</w:t>
      </w:r>
      <w:r w:rsidR="00A744F4">
        <w:t xml:space="preserve"> fluticasone</w:t>
      </w:r>
      <w:r w:rsidR="00071838">
        <w:t xml:space="preserve"> propionate</w:t>
      </w:r>
      <w:r w:rsidR="00A744F4">
        <w:t>/salmeterol</w:t>
      </w:r>
      <w:r w:rsidR="00216DA2">
        <w:t xml:space="preserve"> and</w:t>
      </w:r>
      <w:r w:rsidR="00673CB2">
        <w:t xml:space="preserve">, on a subsequent </w:t>
      </w:r>
      <w:r w:rsidR="00673CB2">
        <w:lastRenderedPageBreak/>
        <w:t>su</w:t>
      </w:r>
      <w:r w:rsidR="001E59B1">
        <w:t>bgroup</w:t>
      </w:r>
      <w:r w:rsidR="00673CB2">
        <w:t xml:space="preserve"> analysis, superiorit</w:t>
      </w:r>
      <w:r w:rsidR="005920CA">
        <w:t xml:space="preserve">y </w:t>
      </w:r>
      <w:r w:rsidR="00111FA3">
        <w:t xml:space="preserve">of the LAMA/LABA FDC </w:t>
      </w:r>
      <w:r w:rsidR="005920CA">
        <w:t xml:space="preserve">to the ICS/LABA </w:t>
      </w:r>
      <w:r w:rsidR="00111FA3">
        <w:t>FDC</w:t>
      </w:r>
      <w:r w:rsidR="005920CA">
        <w:t xml:space="preserve"> based on</w:t>
      </w:r>
      <w:r w:rsidR="00673CB2">
        <w:t xml:space="preserve"> exacerbation and lung function outcomes.</w:t>
      </w:r>
      <w:r w:rsidR="00F55EEB">
        <w:rPr>
          <w:rStyle w:val="FootnoteReference"/>
        </w:rPr>
        <w:footnoteReference w:id="2"/>
      </w:r>
    </w:p>
    <w:p w:rsidR="00484BD7" w:rsidRDefault="00484BD7" w:rsidP="00484BD7">
      <w:r>
        <w:t xml:space="preserve">The </w:t>
      </w:r>
      <w:r w:rsidR="00D94BD0">
        <w:t>RG</w:t>
      </w:r>
      <w:r>
        <w:t xml:space="preserve"> also considered th</w:t>
      </w:r>
      <w:r w:rsidR="0096406E">
        <w:t>e results of a recent Cochrane r</w:t>
      </w:r>
      <w:r>
        <w:t xml:space="preserve">eview </w:t>
      </w:r>
      <w:r w:rsidR="0096406E">
        <w:t xml:space="preserve">published </w:t>
      </w:r>
      <w:r>
        <w:t>after the search period for the systematic review</w:t>
      </w:r>
      <w:r w:rsidR="0096406E">
        <w:t xml:space="preserve"> (Horita et al, 2017)</w:t>
      </w:r>
      <w:r>
        <w:t xml:space="preserve">. The </w:t>
      </w:r>
      <w:r w:rsidR="001B20AB">
        <w:t xml:space="preserve">Cochrane </w:t>
      </w:r>
      <w:r>
        <w:t>review meta-analysed the results of 11 studies (n=9,839) that compared LAMA plus LABA to LABA plus ICS treatment, predominantly in patients with moderate to severe COPD without recent exacerbations.</w:t>
      </w:r>
      <w:r w:rsidR="004F0117">
        <w:rPr>
          <w:rStyle w:val="FootnoteReference"/>
        </w:rPr>
        <w:footnoteReference w:id="3"/>
      </w:r>
      <w:r>
        <w:t xml:space="preserve"> Horita et al. (2017) found that compared to LABA plus ICS, LAMA plus LABA treatment was associated with greater improvements in FEV</w:t>
      </w:r>
      <w:r w:rsidRPr="00AA0E18">
        <w:rPr>
          <w:vertAlign w:val="subscript"/>
        </w:rPr>
        <w:t>1</w:t>
      </w:r>
      <w:r>
        <w:t>, fewer exacerbations, more frequent improvement in quality of life (measured by an increase in SGRQ of over four units), and lower risk of pneumonia.</w:t>
      </w:r>
    </w:p>
    <w:p w:rsidR="00035233" w:rsidRPr="00411D11" w:rsidRDefault="007B6D5C" w:rsidP="007B6D5C">
      <w:pPr>
        <w:pStyle w:val="ToR3Tableheader"/>
      </w:pPr>
      <w:bookmarkStart w:id="17" w:name="_Toc471890995"/>
      <w:bookmarkStart w:id="18" w:name="_Toc486428182"/>
      <w:r>
        <w:t>Table 3.3</w:t>
      </w:r>
      <w:r w:rsidR="00D578A5" w:rsidRPr="00EF349C">
        <w:tab/>
      </w:r>
      <w:r w:rsidR="00035233" w:rsidRPr="003D2144">
        <w:t xml:space="preserve">Summary of </w:t>
      </w:r>
      <w:r w:rsidR="00D34435" w:rsidRPr="009F7E17">
        <w:t xml:space="preserve">new </w:t>
      </w:r>
      <w:r w:rsidR="00035233" w:rsidRPr="00A6356F">
        <w:t>evidence for dual therapy versus dual therapy</w:t>
      </w:r>
      <w:bookmarkEnd w:id="17"/>
      <w:r w:rsidR="00EF7807" w:rsidRPr="00E3610F">
        <w:t xml:space="preserve"> in patients with COPD</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Key findings"/>
        <w:tblDescription w:val="Summary of evidence for dual therapy versus dual therapy"/>
      </w:tblPr>
      <w:tblGrid>
        <w:gridCol w:w="1131"/>
        <w:gridCol w:w="2132"/>
        <w:gridCol w:w="994"/>
        <w:gridCol w:w="5391"/>
      </w:tblGrid>
      <w:tr w:rsidR="00035233" w:rsidRPr="00F01736" w:rsidTr="009542C4">
        <w:trPr>
          <w:cantSplit/>
          <w:tblHeader/>
        </w:trPr>
        <w:tc>
          <w:tcPr>
            <w:tcW w:w="586" w:type="pct"/>
            <w:shd w:val="clear" w:color="auto" w:fill="BFBFBF"/>
          </w:tcPr>
          <w:p w:rsidR="00035233" w:rsidRPr="00F01736" w:rsidRDefault="00035233" w:rsidP="00035233">
            <w:pPr>
              <w:pStyle w:val="01TableHEADINGleftaligned"/>
              <w:keepNext w:val="0"/>
            </w:pPr>
            <w:r>
              <w:t>PBAC consideration</w:t>
            </w:r>
          </w:p>
        </w:tc>
        <w:tc>
          <w:tcPr>
            <w:tcW w:w="1105" w:type="pct"/>
            <w:shd w:val="clear" w:color="auto" w:fill="BFBFBF"/>
          </w:tcPr>
          <w:p w:rsidR="00035233" w:rsidRPr="00F01736" w:rsidRDefault="00035233" w:rsidP="00035233">
            <w:pPr>
              <w:pStyle w:val="01TableHEADINGleftaligned"/>
              <w:keepNext w:val="0"/>
              <w:jc w:val="center"/>
            </w:pPr>
            <w:r>
              <w:t>Head-to-head trials</w:t>
            </w:r>
          </w:p>
        </w:tc>
        <w:tc>
          <w:tcPr>
            <w:tcW w:w="515" w:type="pct"/>
            <w:shd w:val="clear" w:color="auto" w:fill="BFBFBF"/>
          </w:tcPr>
          <w:p w:rsidR="00035233" w:rsidRDefault="00035233" w:rsidP="00035233">
            <w:pPr>
              <w:pStyle w:val="01TableHEADINGleftaligned"/>
              <w:keepNext w:val="0"/>
              <w:jc w:val="center"/>
            </w:pPr>
            <w:r>
              <w:t>Comparison</w:t>
            </w:r>
          </w:p>
        </w:tc>
        <w:tc>
          <w:tcPr>
            <w:tcW w:w="2794" w:type="pct"/>
            <w:shd w:val="clear" w:color="auto" w:fill="BFBFBF"/>
          </w:tcPr>
          <w:p w:rsidR="00035233" w:rsidRPr="00F01736" w:rsidRDefault="00035233" w:rsidP="00035233">
            <w:pPr>
              <w:pStyle w:val="01TableHEADINGleftaligned"/>
              <w:keepNext w:val="0"/>
              <w:jc w:val="center"/>
            </w:pPr>
            <w:r>
              <w:t>Summary of findings</w:t>
            </w:r>
          </w:p>
        </w:tc>
      </w:tr>
      <w:tr w:rsidR="00FF084F" w:rsidTr="00B0172A">
        <w:trPr>
          <w:cantSplit/>
        </w:trPr>
        <w:tc>
          <w:tcPr>
            <w:tcW w:w="1691" w:type="pct"/>
            <w:gridSpan w:val="2"/>
            <w:tcBorders>
              <w:bottom w:val="nil"/>
            </w:tcBorders>
            <w:shd w:val="clear" w:color="auto" w:fill="000000" w:themeFill="text1"/>
            <w:vAlign w:val="bottom"/>
          </w:tcPr>
          <w:p w:rsidR="00FF084F" w:rsidRDefault="00FF084F" w:rsidP="00B0172A">
            <w:pPr>
              <w:pStyle w:val="04Tablesubheading"/>
            </w:pPr>
            <w:r>
              <w:t>GLY/IND: LAMA/LABA vs LAMA/LABA</w:t>
            </w:r>
          </w:p>
        </w:tc>
        <w:tc>
          <w:tcPr>
            <w:tcW w:w="515" w:type="pct"/>
            <w:shd w:val="clear" w:color="auto" w:fill="000000" w:themeFill="text1"/>
          </w:tcPr>
          <w:p w:rsidR="00FF084F" w:rsidRDefault="00FF084F" w:rsidP="00B0172A">
            <w:pPr>
              <w:pStyle w:val="04Tablesubheading"/>
            </w:pPr>
          </w:p>
        </w:tc>
        <w:tc>
          <w:tcPr>
            <w:tcW w:w="2794" w:type="pct"/>
            <w:shd w:val="clear" w:color="auto" w:fill="000000" w:themeFill="text1"/>
          </w:tcPr>
          <w:p w:rsidR="00FF084F" w:rsidRDefault="00FF084F" w:rsidP="00B0172A">
            <w:pPr>
              <w:pStyle w:val="04Tablesubheading"/>
            </w:pPr>
          </w:p>
        </w:tc>
      </w:tr>
      <w:tr w:rsidR="00FF084F" w:rsidTr="00B0172A">
        <w:trPr>
          <w:cantSplit/>
        </w:trPr>
        <w:tc>
          <w:tcPr>
            <w:tcW w:w="586" w:type="pct"/>
            <w:tcBorders>
              <w:bottom w:val="nil"/>
            </w:tcBorders>
            <w:shd w:val="clear" w:color="auto" w:fill="F2F2F2" w:themeFill="background1" w:themeFillShade="F2"/>
          </w:tcPr>
          <w:p w:rsidR="00FF084F" w:rsidRDefault="00FF084F" w:rsidP="00B0172A">
            <w:pPr>
              <w:pStyle w:val="05Tabletext"/>
              <w:keepNext/>
            </w:pPr>
            <w:r>
              <w:t>July 2014</w:t>
            </w:r>
          </w:p>
        </w:tc>
        <w:tc>
          <w:tcPr>
            <w:tcW w:w="1105" w:type="pct"/>
            <w:shd w:val="clear" w:color="auto" w:fill="F2F2F2" w:themeFill="background1" w:themeFillShade="F2"/>
          </w:tcPr>
          <w:p w:rsidR="00FF084F" w:rsidRDefault="00FF084F" w:rsidP="00E70940">
            <w:pPr>
              <w:pStyle w:val="05Tabletext"/>
              <w:jc w:val="center"/>
            </w:pPr>
            <w:r>
              <w:t>BEACON</w:t>
            </w:r>
          </w:p>
          <w:p w:rsidR="00FF084F" w:rsidRDefault="00FF084F" w:rsidP="00E70940">
            <w:pPr>
              <w:pStyle w:val="05Tabletext"/>
              <w:keepNext/>
              <w:jc w:val="center"/>
            </w:pPr>
            <w:r>
              <w:t>An indirect comparison via TIO as common comparator also considered</w:t>
            </w:r>
          </w:p>
        </w:tc>
        <w:tc>
          <w:tcPr>
            <w:tcW w:w="515" w:type="pct"/>
            <w:shd w:val="clear" w:color="auto" w:fill="F2F2F2" w:themeFill="background1" w:themeFillShade="F2"/>
          </w:tcPr>
          <w:p w:rsidR="00FF084F" w:rsidRDefault="00FF084F" w:rsidP="00B0172A">
            <w:pPr>
              <w:pStyle w:val="05Tabletext"/>
              <w:keepNext/>
              <w:jc w:val="center"/>
            </w:pPr>
            <w:r>
              <w:t>GLY/IND vs GLY+IND</w:t>
            </w:r>
          </w:p>
        </w:tc>
        <w:tc>
          <w:tcPr>
            <w:tcW w:w="2794" w:type="pct"/>
            <w:shd w:val="clear" w:color="auto" w:fill="F2F2F2" w:themeFill="background1" w:themeFillShade="F2"/>
          </w:tcPr>
          <w:p w:rsidR="00FF084F" w:rsidRDefault="00FF084F" w:rsidP="00251CB8">
            <w:pPr>
              <w:pStyle w:val="05Tabletext"/>
              <w:keepNext/>
              <w:numPr>
                <w:ilvl w:val="0"/>
                <w:numId w:val="45"/>
              </w:numPr>
              <w:ind w:left="227" w:hanging="227"/>
            </w:pPr>
            <w:r>
              <w:t>GLY/IND was cost-minimised to UME/VIL.</w:t>
            </w:r>
          </w:p>
        </w:tc>
      </w:tr>
      <w:tr w:rsidR="00EB3E3F" w:rsidTr="00B0172A">
        <w:trPr>
          <w:cantSplit/>
        </w:trPr>
        <w:tc>
          <w:tcPr>
            <w:tcW w:w="586" w:type="pct"/>
            <w:tcBorders>
              <w:bottom w:val="nil"/>
            </w:tcBorders>
            <w:shd w:val="clear" w:color="auto" w:fill="F2F2F2" w:themeFill="background1" w:themeFillShade="F2"/>
          </w:tcPr>
          <w:p w:rsidR="00EB3E3F" w:rsidRDefault="00EB3E3F" w:rsidP="00B0172A">
            <w:pPr>
              <w:pStyle w:val="05Tabletext"/>
              <w:keepNext/>
            </w:pPr>
            <w:r>
              <w:t>New evidence</w:t>
            </w:r>
          </w:p>
        </w:tc>
        <w:tc>
          <w:tcPr>
            <w:tcW w:w="1105" w:type="pct"/>
            <w:shd w:val="clear" w:color="auto" w:fill="F2F2F2" w:themeFill="background1" w:themeFillShade="F2"/>
          </w:tcPr>
          <w:p w:rsidR="00EB3E3F" w:rsidRDefault="00EB3E3F" w:rsidP="00E70940">
            <w:pPr>
              <w:pStyle w:val="05Tabletext"/>
              <w:jc w:val="center"/>
            </w:pPr>
            <w:r>
              <w:t>QUANTIFY</w:t>
            </w:r>
          </w:p>
          <w:p w:rsidR="00EB3E3F" w:rsidRPr="00AA4CB9" w:rsidRDefault="00EB3E3F" w:rsidP="007B6D5C">
            <w:pPr>
              <w:pStyle w:val="06Tabletextspacebefore"/>
              <w:jc w:val="center"/>
            </w:pPr>
          </w:p>
        </w:tc>
        <w:tc>
          <w:tcPr>
            <w:tcW w:w="515" w:type="pct"/>
            <w:shd w:val="clear" w:color="auto" w:fill="F2F2F2" w:themeFill="background1" w:themeFillShade="F2"/>
          </w:tcPr>
          <w:p w:rsidR="00EB3E3F" w:rsidRDefault="00EB3E3F" w:rsidP="00B0172A">
            <w:pPr>
              <w:pStyle w:val="05Tabletext"/>
              <w:keepNext/>
              <w:jc w:val="center"/>
            </w:pPr>
            <w:r>
              <w:t>IND/GLY vs TIO+EFO</w:t>
            </w:r>
          </w:p>
        </w:tc>
        <w:tc>
          <w:tcPr>
            <w:tcW w:w="2794" w:type="pct"/>
            <w:shd w:val="clear" w:color="auto" w:fill="F2F2F2" w:themeFill="background1" w:themeFillShade="F2"/>
          </w:tcPr>
          <w:p w:rsidR="00EB3E3F" w:rsidRDefault="00EB3E3F" w:rsidP="00251CB8">
            <w:pPr>
              <w:pStyle w:val="05Tabletext"/>
              <w:keepNext/>
              <w:numPr>
                <w:ilvl w:val="0"/>
                <w:numId w:val="45"/>
              </w:numPr>
              <w:ind w:left="227" w:hanging="227"/>
            </w:pPr>
            <w:r>
              <w:t>IND</w:t>
            </w:r>
            <w:r w:rsidRPr="00805A26">
              <w:t>/</w:t>
            </w:r>
            <w:r>
              <w:t xml:space="preserve">GYL was non </w:t>
            </w:r>
            <w:r>
              <w:rPr>
                <w:rFonts w:hint="cs"/>
              </w:rPr>
              <w:t xml:space="preserve">inferiority </w:t>
            </w:r>
            <w:r>
              <w:t>to TIO+EFO</w:t>
            </w:r>
            <w:r>
              <w:rPr>
                <w:rFonts w:hint="cs"/>
              </w:rPr>
              <w:t xml:space="preserve"> based on </w:t>
            </w:r>
            <w:r w:rsidRPr="003D19CE">
              <w:t>SGRQ-C</w:t>
            </w:r>
            <w:r>
              <w:t xml:space="preserve"> in patients had who moderate or severe risk of exacerbations (</w:t>
            </w:r>
            <w:r w:rsidR="0001548E">
              <w:t>GOLD II and GOLD III). The non-inferiority margin was predeﬁned as 4 units. IND</w:t>
            </w:r>
            <w:r w:rsidR="00160A27">
              <w:t>/GLY</w:t>
            </w:r>
            <w:r w:rsidR="0001548E">
              <w:t xml:space="preserve"> showed a significantly increased pre-dose FEV</w:t>
            </w:r>
            <w:r w:rsidR="00ED271E" w:rsidRPr="00ED271E">
              <w:rPr>
                <w:vertAlign w:val="subscript"/>
              </w:rPr>
              <w:t>1</w:t>
            </w:r>
            <w:r w:rsidR="0001548E">
              <w:t xml:space="preserve"> at week 26. Both treatments were well tolerated.</w:t>
            </w:r>
          </w:p>
        </w:tc>
      </w:tr>
      <w:tr w:rsidR="003F32FE" w:rsidTr="003F32FE">
        <w:trPr>
          <w:cantSplit/>
        </w:trPr>
        <w:tc>
          <w:tcPr>
            <w:tcW w:w="1691" w:type="pct"/>
            <w:gridSpan w:val="2"/>
            <w:shd w:val="clear" w:color="auto" w:fill="000000" w:themeFill="text1"/>
            <w:vAlign w:val="center"/>
          </w:tcPr>
          <w:p w:rsidR="003F32FE" w:rsidRDefault="003F32FE" w:rsidP="00035233">
            <w:pPr>
              <w:pStyle w:val="04Tablesubheading"/>
            </w:pPr>
            <w:r>
              <w:t>UME/VIL: LAMA/LABA</w:t>
            </w:r>
            <w:r w:rsidR="009B45C7">
              <w:t xml:space="preserve"> vs LAMA/</w:t>
            </w:r>
            <w:r>
              <w:t>LABA</w:t>
            </w:r>
          </w:p>
        </w:tc>
        <w:tc>
          <w:tcPr>
            <w:tcW w:w="515" w:type="pct"/>
            <w:shd w:val="clear" w:color="auto" w:fill="000000" w:themeFill="text1"/>
          </w:tcPr>
          <w:p w:rsidR="003F32FE" w:rsidRDefault="003F32FE" w:rsidP="00035233">
            <w:pPr>
              <w:pStyle w:val="04Tablesubheading"/>
            </w:pPr>
          </w:p>
        </w:tc>
        <w:tc>
          <w:tcPr>
            <w:tcW w:w="2794" w:type="pct"/>
            <w:shd w:val="clear" w:color="auto" w:fill="000000" w:themeFill="text1"/>
          </w:tcPr>
          <w:p w:rsidR="003F32FE" w:rsidRDefault="003F32FE" w:rsidP="00035233">
            <w:pPr>
              <w:pStyle w:val="04Tablesubheading"/>
            </w:pPr>
          </w:p>
        </w:tc>
      </w:tr>
      <w:tr w:rsidR="00035233" w:rsidRPr="00CB2C96" w:rsidTr="009B75A5">
        <w:trPr>
          <w:cantSplit/>
        </w:trPr>
        <w:tc>
          <w:tcPr>
            <w:tcW w:w="586" w:type="pct"/>
            <w:tcBorders>
              <w:bottom w:val="single" w:sz="4" w:space="0" w:color="auto"/>
            </w:tcBorders>
            <w:shd w:val="clear" w:color="auto" w:fill="F2F2F2" w:themeFill="background1" w:themeFillShade="F2"/>
          </w:tcPr>
          <w:p w:rsidR="00035233" w:rsidRDefault="00035233" w:rsidP="00035233">
            <w:pPr>
              <w:pStyle w:val="05Tabletext"/>
            </w:pPr>
            <w:r>
              <w:t>July 2014</w:t>
            </w:r>
          </w:p>
        </w:tc>
        <w:tc>
          <w:tcPr>
            <w:tcW w:w="1105" w:type="pct"/>
            <w:shd w:val="clear" w:color="auto" w:fill="F2F2F2" w:themeFill="background1" w:themeFillShade="F2"/>
          </w:tcPr>
          <w:p w:rsidR="00035233" w:rsidRDefault="00035233" w:rsidP="00E70940">
            <w:pPr>
              <w:pStyle w:val="05Tabletext"/>
              <w:jc w:val="center"/>
            </w:pPr>
            <w:r>
              <w:t>No head-to-head trials</w:t>
            </w:r>
          </w:p>
          <w:p w:rsidR="00035233" w:rsidRPr="00412A4D" w:rsidRDefault="00035233" w:rsidP="00E70940">
            <w:pPr>
              <w:pStyle w:val="06Tabletextspacebefore"/>
              <w:spacing w:before="20"/>
              <w:jc w:val="center"/>
            </w:pPr>
            <w:r>
              <w:t>Indirect comparison via TIO as common comparator</w:t>
            </w:r>
          </w:p>
        </w:tc>
        <w:tc>
          <w:tcPr>
            <w:tcW w:w="515" w:type="pct"/>
            <w:shd w:val="clear" w:color="auto" w:fill="F2F2F2" w:themeFill="background1" w:themeFillShade="F2"/>
          </w:tcPr>
          <w:p w:rsidR="00035233" w:rsidRDefault="00035233" w:rsidP="00035233">
            <w:pPr>
              <w:pStyle w:val="05Tabletext"/>
              <w:jc w:val="center"/>
            </w:pPr>
            <w:r>
              <w:t>UME/VIL vs TIO+IND</w:t>
            </w:r>
          </w:p>
        </w:tc>
        <w:tc>
          <w:tcPr>
            <w:tcW w:w="2794" w:type="pct"/>
            <w:shd w:val="clear" w:color="auto" w:fill="F2F2F2" w:themeFill="background1" w:themeFillShade="F2"/>
          </w:tcPr>
          <w:p w:rsidR="00035233" w:rsidRPr="00CB2C96" w:rsidRDefault="00035233" w:rsidP="00251CB8">
            <w:pPr>
              <w:pStyle w:val="05Tabletext"/>
              <w:numPr>
                <w:ilvl w:val="0"/>
                <w:numId w:val="46"/>
              </w:numPr>
              <w:ind w:left="227" w:hanging="227"/>
            </w:pPr>
            <w:r>
              <w:t>UME/VIL was cost-minimised to TIO+IND with an adjustment to account for efficacy being less than the sum of components.</w:t>
            </w:r>
          </w:p>
        </w:tc>
      </w:tr>
      <w:tr w:rsidR="009B45C7" w:rsidRPr="00CB607C" w:rsidTr="00035F25">
        <w:trPr>
          <w:cantSplit/>
          <w:trHeight w:val="1053"/>
        </w:trPr>
        <w:tc>
          <w:tcPr>
            <w:tcW w:w="586" w:type="pct"/>
            <w:shd w:val="clear" w:color="auto" w:fill="auto"/>
          </w:tcPr>
          <w:p w:rsidR="009B45C7" w:rsidRDefault="009B45C7" w:rsidP="00035233">
            <w:pPr>
              <w:pStyle w:val="05Tabletext"/>
            </w:pPr>
            <w:r>
              <w:t>New evidence</w:t>
            </w:r>
          </w:p>
        </w:tc>
        <w:tc>
          <w:tcPr>
            <w:tcW w:w="1105" w:type="pct"/>
            <w:shd w:val="clear" w:color="auto" w:fill="auto"/>
          </w:tcPr>
          <w:p w:rsidR="009B45C7" w:rsidRDefault="009B45C7" w:rsidP="00035233">
            <w:pPr>
              <w:pStyle w:val="05Tabletext"/>
              <w:jc w:val="center"/>
            </w:pPr>
            <w:r>
              <w:t>Kalberg (2016)</w:t>
            </w:r>
            <w:r>
              <w:br/>
              <w:t>Non-inferiority, double-blind, triple-dummy</w:t>
            </w:r>
            <w:r>
              <w:br/>
              <w:t>Good quality</w:t>
            </w:r>
            <w:r>
              <w:br/>
              <w:t>N=961; 12 weeks</w:t>
            </w:r>
          </w:p>
        </w:tc>
        <w:tc>
          <w:tcPr>
            <w:tcW w:w="515" w:type="pct"/>
          </w:tcPr>
          <w:p w:rsidR="009B45C7" w:rsidRDefault="009B45C7" w:rsidP="00035233">
            <w:pPr>
              <w:pStyle w:val="05Tabletext"/>
              <w:jc w:val="center"/>
            </w:pPr>
            <w:r>
              <w:t>UME/VIL vs TIO+IND</w:t>
            </w:r>
          </w:p>
        </w:tc>
        <w:tc>
          <w:tcPr>
            <w:tcW w:w="2794" w:type="pct"/>
            <w:shd w:val="clear" w:color="auto" w:fill="auto"/>
          </w:tcPr>
          <w:p w:rsidR="009B45C7" w:rsidRPr="00CB607C" w:rsidRDefault="009B45C7" w:rsidP="00251CB8">
            <w:pPr>
              <w:pStyle w:val="05Tabletext"/>
              <w:numPr>
                <w:ilvl w:val="0"/>
                <w:numId w:val="46"/>
              </w:numPr>
              <w:ind w:left="227" w:hanging="227"/>
            </w:pPr>
            <w:r>
              <w:t>UME/VIL was non-inferior to TIO+IND in terms of trough FEV</w:t>
            </w:r>
            <w:r>
              <w:rPr>
                <w:vertAlign w:val="subscript"/>
              </w:rPr>
              <w:t>1</w:t>
            </w:r>
            <w:r>
              <w:t xml:space="preserve"> in patients who were at high risk of exacerbations (over 60% of patients were classified as GOLD Group D; over 50% were receiving ICS at screening).</w:t>
            </w:r>
          </w:p>
        </w:tc>
      </w:tr>
      <w:tr w:rsidR="00FF084F" w:rsidRPr="005D1003" w:rsidTr="00B0172A">
        <w:trPr>
          <w:cantSplit/>
        </w:trPr>
        <w:tc>
          <w:tcPr>
            <w:tcW w:w="1691" w:type="pct"/>
            <w:gridSpan w:val="2"/>
            <w:shd w:val="clear" w:color="auto" w:fill="000000" w:themeFill="text1"/>
          </w:tcPr>
          <w:p w:rsidR="00FF084F" w:rsidRPr="005D1003" w:rsidRDefault="00FF084F" w:rsidP="00B0172A">
            <w:pPr>
              <w:pStyle w:val="04Tablesubheading"/>
            </w:pPr>
            <w:r w:rsidRPr="005D1003">
              <w:t>ACL/EFO: LAMA/LABA</w:t>
            </w:r>
            <w:r>
              <w:t xml:space="preserve"> vs LAMA/LABA</w:t>
            </w:r>
          </w:p>
        </w:tc>
        <w:tc>
          <w:tcPr>
            <w:tcW w:w="515" w:type="pct"/>
            <w:shd w:val="clear" w:color="auto" w:fill="000000" w:themeFill="text1"/>
          </w:tcPr>
          <w:p w:rsidR="00FF084F" w:rsidRPr="005D1003" w:rsidRDefault="00FF084F" w:rsidP="00B0172A">
            <w:pPr>
              <w:pStyle w:val="04Tablesubheading"/>
            </w:pPr>
          </w:p>
        </w:tc>
        <w:tc>
          <w:tcPr>
            <w:tcW w:w="2794" w:type="pct"/>
            <w:shd w:val="clear" w:color="auto" w:fill="000000" w:themeFill="text1"/>
          </w:tcPr>
          <w:p w:rsidR="00FF084F" w:rsidRPr="005D1003" w:rsidRDefault="00FF084F" w:rsidP="00B0172A">
            <w:pPr>
              <w:pStyle w:val="04Tablesubheading"/>
            </w:pPr>
          </w:p>
        </w:tc>
      </w:tr>
      <w:tr w:rsidR="00FF084F" w:rsidTr="00B0172A">
        <w:trPr>
          <w:cantSplit/>
        </w:trPr>
        <w:tc>
          <w:tcPr>
            <w:tcW w:w="586" w:type="pct"/>
            <w:shd w:val="clear" w:color="auto" w:fill="F2F2F2" w:themeFill="background1" w:themeFillShade="F2"/>
          </w:tcPr>
          <w:p w:rsidR="00FF084F" w:rsidRDefault="00FF084F" w:rsidP="00B0172A">
            <w:pPr>
              <w:pStyle w:val="05Tabletext"/>
            </w:pPr>
            <w:r>
              <w:t>July 2015</w:t>
            </w:r>
          </w:p>
        </w:tc>
        <w:tc>
          <w:tcPr>
            <w:tcW w:w="1105" w:type="pct"/>
            <w:shd w:val="clear" w:color="auto" w:fill="F2F2F2" w:themeFill="background1" w:themeFillShade="F2"/>
          </w:tcPr>
          <w:p w:rsidR="00FF084F" w:rsidRDefault="00FF084F" w:rsidP="00B0172A">
            <w:pPr>
              <w:pStyle w:val="05Tabletext"/>
              <w:jc w:val="center"/>
            </w:pPr>
            <w:r>
              <w:t>No head-to-head trials</w:t>
            </w:r>
          </w:p>
          <w:p w:rsidR="00FF084F" w:rsidRDefault="00FF084F" w:rsidP="00B0172A">
            <w:pPr>
              <w:pStyle w:val="05Tabletext"/>
              <w:jc w:val="center"/>
            </w:pPr>
            <w:r>
              <w:t>Indirect comparison via placebo as common comparator</w:t>
            </w:r>
          </w:p>
        </w:tc>
        <w:tc>
          <w:tcPr>
            <w:tcW w:w="515" w:type="pct"/>
            <w:shd w:val="clear" w:color="auto" w:fill="F2F2F2" w:themeFill="background1" w:themeFillShade="F2"/>
          </w:tcPr>
          <w:p w:rsidR="00FF084F" w:rsidRDefault="00FF084F" w:rsidP="00B0172A">
            <w:pPr>
              <w:pStyle w:val="05Tabletext"/>
              <w:jc w:val="center"/>
            </w:pPr>
            <w:r>
              <w:t>ACL/EFO vs GLY/IND</w:t>
            </w:r>
          </w:p>
          <w:p w:rsidR="00FF084F" w:rsidRDefault="00FF084F" w:rsidP="00B0172A">
            <w:pPr>
              <w:pStyle w:val="05Tabletext"/>
              <w:jc w:val="center"/>
            </w:pPr>
            <w:r>
              <w:t>ACL/EFO vs UME/VIL</w:t>
            </w:r>
          </w:p>
        </w:tc>
        <w:tc>
          <w:tcPr>
            <w:tcW w:w="2794" w:type="pct"/>
            <w:shd w:val="clear" w:color="auto" w:fill="F2F2F2" w:themeFill="background1" w:themeFillShade="F2"/>
          </w:tcPr>
          <w:p w:rsidR="00FF084F" w:rsidRDefault="00FF084F" w:rsidP="00251CB8">
            <w:pPr>
              <w:pStyle w:val="05Tabletext"/>
              <w:numPr>
                <w:ilvl w:val="0"/>
                <w:numId w:val="47"/>
              </w:numPr>
              <w:ind w:left="227" w:hanging="227"/>
            </w:pPr>
            <w:r>
              <w:t>ACL/EFO was considered non-inferior to GLY/IND and UME/VIL on the basis of comparative efficacy and safety. ACL/EFO was cost-minimised to GLY/IND and UME/VIL.</w:t>
            </w:r>
          </w:p>
        </w:tc>
      </w:tr>
      <w:tr w:rsidR="00FF084F" w:rsidTr="00B0172A">
        <w:trPr>
          <w:cantSplit/>
        </w:trPr>
        <w:tc>
          <w:tcPr>
            <w:tcW w:w="5000" w:type="pct"/>
            <w:gridSpan w:val="4"/>
            <w:shd w:val="clear" w:color="auto" w:fill="000000" w:themeFill="text1"/>
            <w:vAlign w:val="center"/>
          </w:tcPr>
          <w:p w:rsidR="00FF084F" w:rsidRDefault="00FF084F" w:rsidP="00B0172A">
            <w:pPr>
              <w:pStyle w:val="04Tablesubheading"/>
            </w:pPr>
            <w:r>
              <w:t>TIO/OLO: LAMA/LABA vs LAMA/LABA</w:t>
            </w:r>
          </w:p>
        </w:tc>
      </w:tr>
      <w:tr w:rsidR="00FF084F" w:rsidTr="00B0172A">
        <w:trPr>
          <w:cantSplit/>
        </w:trPr>
        <w:tc>
          <w:tcPr>
            <w:tcW w:w="586" w:type="pct"/>
            <w:shd w:val="clear" w:color="auto" w:fill="F2F2F2" w:themeFill="background1" w:themeFillShade="F2"/>
          </w:tcPr>
          <w:p w:rsidR="00FF084F" w:rsidRDefault="00FF084F" w:rsidP="00B0172A">
            <w:pPr>
              <w:pStyle w:val="05Tabletext"/>
            </w:pPr>
            <w:r>
              <w:t>July 2015</w:t>
            </w:r>
          </w:p>
        </w:tc>
        <w:tc>
          <w:tcPr>
            <w:tcW w:w="1105" w:type="pct"/>
            <w:shd w:val="clear" w:color="auto" w:fill="F2F2F2" w:themeFill="background1" w:themeFillShade="F2"/>
          </w:tcPr>
          <w:p w:rsidR="00FF084F" w:rsidRDefault="00FF084F" w:rsidP="00B0172A">
            <w:pPr>
              <w:pStyle w:val="05Tabletext"/>
              <w:jc w:val="center"/>
            </w:pPr>
            <w:r>
              <w:t>No head-to-head trials</w:t>
            </w:r>
          </w:p>
          <w:p w:rsidR="00FF084F" w:rsidRDefault="00FF084F" w:rsidP="00B0172A">
            <w:pPr>
              <w:pStyle w:val="05Tabletext"/>
              <w:jc w:val="center"/>
            </w:pPr>
            <w:r>
              <w:t>Indirect comparison via TIO monotherapy as common comparator</w:t>
            </w:r>
          </w:p>
        </w:tc>
        <w:tc>
          <w:tcPr>
            <w:tcW w:w="515" w:type="pct"/>
            <w:shd w:val="clear" w:color="auto" w:fill="F2F2F2" w:themeFill="background1" w:themeFillShade="F2"/>
          </w:tcPr>
          <w:p w:rsidR="00FF084F" w:rsidRDefault="00FF084F" w:rsidP="00B0172A">
            <w:pPr>
              <w:pStyle w:val="05Tabletext"/>
              <w:jc w:val="center"/>
            </w:pPr>
            <w:r>
              <w:t>TIO/OLO vs GLY/IND</w:t>
            </w:r>
          </w:p>
          <w:p w:rsidR="00FF084F" w:rsidRDefault="00FF084F" w:rsidP="00B0172A">
            <w:pPr>
              <w:pStyle w:val="05Tabletext"/>
              <w:jc w:val="center"/>
            </w:pPr>
            <w:r>
              <w:t>TIO/OLO vs UME/VIL</w:t>
            </w:r>
          </w:p>
        </w:tc>
        <w:tc>
          <w:tcPr>
            <w:tcW w:w="2794" w:type="pct"/>
            <w:shd w:val="clear" w:color="auto" w:fill="F2F2F2" w:themeFill="background1" w:themeFillShade="F2"/>
          </w:tcPr>
          <w:p w:rsidR="00FF084F" w:rsidRDefault="00FF084F" w:rsidP="00251CB8">
            <w:pPr>
              <w:pStyle w:val="05Tabletext"/>
              <w:numPr>
                <w:ilvl w:val="0"/>
                <w:numId w:val="48"/>
              </w:numPr>
              <w:ind w:left="227" w:hanging="227"/>
            </w:pPr>
            <w:r w:rsidRPr="00A97583">
              <w:t>TIO/OLO was considered non-inferior to GLY/IND and UME/VIL on the basis of comparative efficacy and safety. TIO/OLO was cost-minimised to GLY/IND and UME/VIL.</w:t>
            </w:r>
          </w:p>
        </w:tc>
      </w:tr>
      <w:tr w:rsidR="00FF084F" w:rsidTr="00B0172A">
        <w:trPr>
          <w:cantSplit/>
        </w:trPr>
        <w:tc>
          <w:tcPr>
            <w:tcW w:w="1691" w:type="pct"/>
            <w:gridSpan w:val="2"/>
            <w:tcBorders>
              <w:top w:val="nil"/>
            </w:tcBorders>
            <w:shd w:val="clear" w:color="auto" w:fill="000000" w:themeFill="text1"/>
          </w:tcPr>
          <w:p w:rsidR="00FF084F" w:rsidRDefault="00FF084F" w:rsidP="00B0172A">
            <w:pPr>
              <w:pStyle w:val="04Tablesubheading"/>
            </w:pPr>
            <w:r>
              <w:t>BUD/EFO: ICS/LABA vs ICS/LABA</w:t>
            </w:r>
          </w:p>
        </w:tc>
        <w:tc>
          <w:tcPr>
            <w:tcW w:w="515" w:type="pct"/>
            <w:shd w:val="clear" w:color="auto" w:fill="000000" w:themeFill="text1"/>
          </w:tcPr>
          <w:p w:rsidR="00FF084F" w:rsidRDefault="00FF084F" w:rsidP="00B0172A">
            <w:pPr>
              <w:pStyle w:val="04Tablesubheading"/>
            </w:pPr>
          </w:p>
        </w:tc>
        <w:tc>
          <w:tcPr>
            <w:tcW w:w="2794" w:type="pct"/>
            <w:shd w:val="clear" w:color="auto" w:fill="000000" w:themeFill="text1"/>
          </w:tcPr>
          <w:p w:rsidR="00FF084F" w:rsidRDefault="00FF084F" w:rsidP="00A45F70">
            <w:pPr>
              <w:pStyle w:val="04Tablesubheading"/>
              <w:ind w:left="227"/>
            </w:pPr>
          </w:p>
        </w:tc>
      </w:tr>
      <w:tr w:rsidR="00FF084F" w:rsidTr="00B0172A">
        <w:trPr>
          <w:cantSplit/>
        </w:trPr>
        <w:tc>
          <w:tcPr>
            <w:tcW w:w="586" w:type="pct"/>
            <w:tcBorders>
              <w:top w:val="nil"/>
            </w:tcBorders>
            <w:shd w:val="clear" w:color="auto" w:fill="F2F2F2" w:themeFill="background1" w:themeFillShade="F2"/>
          </w:tcPr>
          <w:p w:rsidR="00FF084F" w:rsidRDefault="00FF084F" w:rsidP="00B0172A">
            <w:pPr>
              <w:pStyle w:val="05Tabletext"/>
            </w:pPr>
            <w:r>
              <w:t>November 2010</w:t>
            </w:r>
          </w:p>
        </w:tc>
        <w:tc>
          <w:tcPr>
            <w:tcW w:w="1105" w:type="pct"/>
            <w:shd w:val="clear" w:color="auto" w:fill="F2F2F2" w:themeFill="background1" w:themeFillShade="F2"/>
          </w:tcPr>
          <w:p w:rsidR="00FF084F" w:rsidRDefault="00FF084F" w:rsidP="00E70940">
            <w:pPr>
              <w:pStyle w:val="05Tabletext"/>
              <w:jc w:val="center"/>
            </w:pPr>
            <w:r>
              <w:t>No head-to-head trials</w:t>
            </w:r>
          </w:p>
          <w:p w:rsidR="00FF084F" w:rsidRPr="003C2FA4" w:rsidRDefault="00FF084F" w:rsidP="00E70940">
            <w:pPr>
              <w:pStyle w:val="06Tabletextspacebefore"/>
              <w:spacing w:before="20"/>
              <w:jc w:val="center"/>
            </w:pPr>
            <w:r>
              <w:t>Indirect comparisons with both placebo and TIO as common comparators</w:t>
            </w:r>
          </w:p>
        </w:tc>
        <w:tc>
          <w:tcPr>
            <w:tcW w:w="515" w:type="pct"/>
            <w:shd w:val="clear" w:color="auto" w:fill="F2F2F2" w:themeFill="background1" w:themeFillShade="F2"/>
          </w:tcPr>
          <w:p w:rsidR="00FF084F" w:rsidRDefault="00FF084F" w:rsidP="00B0172A">
            <w:pPr>
              <w:pStyle w:val="05Tabletext"/>
              <w:jc w:val="center"/>
            </w:pPr>
            <w:r>
              <w:t>BUD/EFO vs FLU/SAL</w:t>
            </w:r>
          </w:p>
        </w:tc>
        <w:tc>
          <w:tcPr>
            <w:tcW w:w="2794" w:type="pct"/>
            <w:shd w:val="clear" w:color="auto" w:fill="F2F2F2" w:themeFill="background1" w:themeFillShade="F2"/>
          </w:tcPr>
          <w:p w:rsidR="00FF084F" w:rsidRDefault="00FF084F" w:rsidP="00251CB8">
            <w:pPr>
              <w:pStyle w:val="05Tabletext"/>
              <w:numPr>
                <w:ilvl w:val="0"/>
                <w:numId w:val="48"/>
              </w:numPr>
              <w:ind w:left="227" w:hanging="227"/>
            </w:pPr>
            <w:r>
              <w:t>BUD/EFO was non-inferior in terms of comparative efficacy and similar safety to FLU/SAL, and was cost-minimised.</w:t>
            </w:r>
          </w:p>
        </w:tc>
      </w:tr>
      <w:tr w:rsidR="009B45C7" w:rsidRPr="00FC1297" w:rsidTr="00A45F70">
        <w:trPr>
          <w:cantSplit/>
        </w:trPr>
        <w:tc>
          <w:tcPr>
            <w:tcW w:w="5000" w:type="pct"/>
            <w:gridSpan w:val="4"/>
            <w:tcBorders>
              <w:top w:val="single" w:sz="4" w:space="0" w:color="auto"/>
              <w:bottom w:val="single" w:sz="4" w:space="0" w:color="auto"/>
            </w:tcBorders>
            <w:shd w:val="clear" w:color="auto" w:fill="000000" w:themeFill="text1"/>
            <w:vAlign w:val="center"/>
          </w:tcPr>
          <w:p w:rsidR="009B45C7" w:rsidRPr="00A45F70" w:rsidRDefault="009B45C7">
            <w:pPr>
              <w:pStyle w:val="05Tabletext"/>
              <w:rPr>
                <w:b/>
              </w:rPr>
            </w:pPr>
            <w:r w:rsidRPr="00A45F70">
              <w:rPr>
                <w:b/>
              </w:rPr>
              <w:t>UME/VIL: LAMA/LABA vs ICS/LABA</w:t>
            </w:r>
          </w:p>
        </w:tc>
      </w:tr>
      <w:tr w:rsidR="00035233" w:rsidRPr="00FC1297" w:rsidTr="00A45F70">
        <w:trPr>
          <w:cantSplit/>
        </w:trPr>
        <w:tc>
          <w:tcPr>
            <w:tcW w:w="586" w:type="pct"/>
            <w:tcBorders>
              <w:top w:val="nil"/>
              <w:bottom w:val="single" w:sz="4" w:space="0" w:color="auto"/>
            </w:tcBorders>
            <w:shd w:val="clear" w:color="auto" w:fill="auto"/>
          </w:tcPr>
          <w:p w:rsidR="00035233" w:rsidRDefault="009B45C7" w:rsidP="00035233">
            <w:pPr>
              <w:pStyle w:val="05Tabletext"/>
            </w:pPr>
            <w:r>
              <w:lastRenderedPageBreak/>
              <w:t>New evidence</w:t>
            </w:r>
          </w:p>
        </w:tc>
        <w:tc>
          <w:tcPr>
            <w:tcW w:w="1105" w:type="pct"/>
            <w:shd w:val="clear" w:color="auto" w:fill="auto"/>
          </w:tcPr>
          <w:p w:rsidR="00035233" w:rsidRPr="003F32FE" w:rsidRDefault="00035233" w:rsidP="00035233">
            <w:pPr>
              <w:pStyle w:val="05Tabletext"/>
              <w:jc w:val="center"/>
            </w:pPr>
            <w:r w:rsidRPr="003F32FE">
              <w:t>Si</w:t>
            </w:r>
            <w:r w:rsidRPr="009B45C7">
              <w:t>ngh (2015</w:t>
            </w:r>
            <w:r w:rsidR="004B1AD2" w:rsidRPr="003F32FE">
              <w:t>a</w:t>
            </w:r>
            <w:r w:rsidRPr="003F32FE">
              <w:t>)</w:t>
            </w:r>
            <w:r w:rsidRPr="003F32FE">
              <w:br/>
              <w:t>Superiority, double-blind, double-dummy</w:t>
            </w:r>
            <w:r w:rsidRPr="003F32FE">
              <w:br/>
              <w:t>Good quality</w:t>
            </w:r>
            <w:r w:rsidRPr="003F32FE">
              <w:br/>
              <w:t>N=716; 12 weeks</w:t>
            </w:r>
          </w:p>
        </w:tc>
        <w:tc>
          <w:tcPr>
            <w:tcW w:w="515" w:type="pct"/>
          </w:tcPr>
          <w:p w:rsidR="00035233" w:rsidRPr="003F32FE" w:rsidRDefault="00035233" w:rsidP="00035233">
            <w:pPr>
              <w:pStyle w:val="05Tabletext"/>
              <w:jc w:val="center"/>
            </w:pPr>
            <w:r w:rsidRPr="003F32FE">
              <w:t>UME/VIL vs FLU/SAL</w:t>
            </w:r>
          </w:p>
        </w:tc>
        <w:tc>
          <w:tcPr>
            <w:tcW w:w="2794" w:type="pct"/>
            <w:shd w:val="clear" w:color="auto" w:fill="auto"/>
          </w:tcPr>
          <w:p w:rsidR="00035233" w:rsidRPr="003F32FE" w:rsidRDefault="00035233" w:rsidP="00251CB8">
            <w:pPr>
              <w:pStyle w:val="05Tabletext"/>
              <w:numPr>
                <w:ilvl w:val="0"/>
                <w:numId w:val="49"/>
              </w:numPr>
              <w:ind w:left="227" w:hanging="227"/>
            </w:pPr>
            <w:r w:rsidRPr="003F32FE">
              <w:t>UME/VIL was found to be statistically superior to FLU/SAL based on change from baseline in trough FEV</w:t>
            </w:r>
            <w:r w:rsidRPr="003F32FE">
              <w:rPr>
                <w:vertAlign w:val="subscript"/>
              </w:rPr>
              <w:t xml:space="preserve">1 </w:t>
            </w:r>
            <w:r w:rsidRPr="003F32FE">
              <w:t>in patients with no history of exacerbations that required oral corticosteroids, antibiotics and/or hospitalisation in the previous year. However, the trial did not demonstrate any differences between the treatment groups with respect to symptom and quality of life outcomes.</w:t>
            </w:r>
          </w:p>
        </w:tc>
      </w:tr>
      <w:tr w:rsidR="005D1003" w:rsidRPr="00ED72DB" w:rsidTr="00A45F70">
        <w:trPr>
          <w:cantSplit/>
        </w:trPr>
        <w:tc>
          <w:tcPr>
            <w:tcW w:w="5000" w:type="pct"/>
            <w:gridSpan w:val="4"/>
            <w:tcBorders>
              <w:bottom w:val="nil"/>
            </w:tcBorders>
            <w:shd w:val="clear" w:color="auto" w:fill="000000" w:themeFill="text1"/>
          </w:tcPr>
          <w:p w:rsidR="005D1003" w:rsidRPr="00A45F70" w:rsidRDefault="005D1003">
            <w:pPr>
              <w:pStyle w:val="05Tabletext"/>
              <w:keepNext/>
              <w:rPr>
                <w:b/>
                <w:highlight w:val="yellow"/>
              </w:rPr>
            </w:pPr>
            <w:r w:rsidRPr="00A45F70">
              <w:rPr>
                <w:b/>
                <w:color w:val="FFFFFF" w:themeColor="background1"/>
              </w:rPr>
              <w:t>GLY/IND: LAMA/LABA vs ICS/LABA</w:t>
            </w:r>
          </w:p>
        </w:tc>
      </w:tr>
      <w:tr w:rsidR="00035233" w:rsidRPr="00ED72DB" w:rsidTr="009542C4">
        <w:trPr>
          <w:cantSplit/>
        </w:trPr>
        <w:tc>
          <w:tcPr>
            <w:tcW w:w="586" w:type="pct"/>
            <w:tcBorders>
              <w:bottom w:val="nil"/>
            </w:tcBorders>
            <w:shd w:val="clear" w:color="auto" w:fill="auto"/>
          </w:tcPr>
          <w:p w:rsidR="00035233" w:rsidRDefault="00035233" w:rsidP="00035233">
            <w:pPr>
              <w:pStyle w:val="05Tabletext"/>
              <w:keepNext/>
            </w:pPr>
            <w:r>
              <w:t>New evidence</w:t>
            </w:r>
          </w:p>
        </w:tc>
        <w:tc>
          <w:tcPr>
            <w:tcW w:w="1105" w:type="pct"/>
            <w:shd w:val="clear" w:color="auto" w:fill="auto"/>
          </w:tcPr>
          <w:p w:rsidR="00035233" w:rsidRPr="005D1003" w:rsidRDefault="00035233" w:rsidP="00035233">
            <w:pPr>
              <w:pStyle w:val="05Tabletext"/>
              <w:keepNext/>
              <w:jc w:val="center"/>
            </w:pPr>
            <w:r w:rsidRPr="005D1003">
              <w:t>ILLUMINATE</w:t>
            </w:r>
            <w:r w:rsidRPr="005D1003">
              <w:br/>
              <w:t>Superiority, double-blind, double-dummy</w:t>
            </w:r>
            <w:r w:rsidRPr="005D1003">
              <w:br/>
              <w:t>Good quality</w:t>
            </w:r>
            <w:r w:rsidRPr="005D1003">
              <w:br/>
              <w:t>N=523; 26 weeks</w:t>
            </w:r>
          </w:p>
        </w:tc>
        <w:tc>
          <w:tcPr>
            <w:tcW w:w="515" w:type="pct"/>
          </w:tcPr>
          <w:p w:rsidR="00035233" w:rsidRPr="005D1003" w:rsidRDefault="00035233" w:rsidP="00035233">
            <w:pPr>
              <w:pStyle w:val="05Tabletext"/>
              <w:keepNext/>
              <w:jc w:val="center"/>
            </w:pPr>
            <w:r w:rsidRPr="005D1003">
              <w:t>GLY/IND vs FLU/SAL</w:t>
            </w:r>
          </w:p>
        </w:tc>
        <w:tc>
          <w:tcPr>
            <w:tcW w:w="2794" w:type="pct"/>
            <w:shd w:val="clear" w:color="auto" w:fill="auto"/>
          </w:tcPr>
          <w:p w:rsidR="00035233" w:rsidRPr="005D1003" w:rsidRDefault="00035233" w:rsidP="00251CB8">
            <w:pPr>
              <w:pStyle w:val="05Tabletext"/>
              <w:keepNext/>
              <w:numPr>
                <w:ilvl w:val="0"/>
                <w:numId w:val="50"/>
              </w:numPr>
              <w:ind w:left="227" w:hanging="227"/>
            </w:pPr>
            <w:r w:rsidRPr="005D1003">
              <w:t>GLY/IND provided significantly better and clinically relevant improvements in trough FEV</w:t>
            </w:r>
            <w:r w:rsidRPr="005D1003">
              <w:rPr>
                <w:vertAlign w:val="subscript"/>
              </w:rPr>
              <w:t xml:space="preserve">1 </w:t>
            </w:r>
            <w:r w:rsidRPr="005D1003">
              <w:t>over FLU/SAL in patients who had not experienced an exacerbation requiring treatment with antibiotics, systemic corticosteroids, or hospitalisation in the previous year.</w:t>
            </w:r>
          </w:p>
        </w:tc>
      </w:tr>
      <w:tr w:rsidR="00035233" w:rsidRPr="00E2365E" w:rsidTr="009542C4">
        <w:trPr>
          <w:cantSplit/>
        </w:trPr>
        <w:tc>
          <w:tcPr>
            <w:tcW w:w="586" w:type="pct"/>
            <w:tcBorders>
              <w:top w:val="nil"/>
              <w:bottom w:val="nil"/>
            </w:tcBorders>
            <w:shd w:val="clear" w:color="auto" w:fill="auto"/>
          </w:tcPr>
          <w:p w:rsidR="00035233" w:rsidRDefault="00035233" w:rsidP="00035233">
            <w:pPr>
              <w:pStyle w:val="05Tabletext"/>
            </w:pPr>
          </w:p>
        </w:tc>
        <w:tc>
          <w:tcPr>
            <w:tcW w:w="1105" w:type="pct"/>
            <w:shd w:val="clear" w:color="auto" w:fill="auto"/>
          </w:tcPr>
          <w:p w:rsidR="00035233" w:rsidRPr="005D1003" w:rsidRDefault="00035233" w:rsidP="00035233">
            <w:pPr>
              <w:pStyle w:val="05Tabletext"/>
              <w:jc w:val="center"/>
            </w:pPr>
            <w:r w:rsidRPr="005D1003">
              <w:t>LANTERN</w:t>
            </w:r>
            <w:r w:rsidRPr="005D1003">
              <w:br/>
              <w:t>Non-inferiority, double-blind, double-dummy</w:t>
            </w:r>
            <w:r w:rsidRPr="005D1003">
              <w:br/>
              <w:t>Good quality</w:t>
            </w:r>
            <w:r w:rsidRPr="005D1003">
              <w:br/>
              <w:t>N=744; 26 weeks</w:t>
            </w:r>
          </w:p>
        </w:tc>
        <w:tc>
          <w:tcPr>
            <w:tcW w:w="515" w:type="pct"/>
          </w:tcPr>
          <w:p w:rsidR="00035233" w:rsidRPr="005D1003" w:rsidRDefault="00035233" w:rsidP="00035233">
            <w:pPr>
              <w:pStyle w:val="05Tabletext"/>
              <w:jc w:val="center"/>
            </w:pPr>
            <w:r w:rsidRPr="005D1003">
              <w:t>GLY/IND vs FLU/SAL</w:t>
            </w:r>
          </w:p>
        </w:tc>
        <w:tc>
          <w:tcPr>
            <w:tcW w:w="2794" w:type="pct"/>
            <w:shd w:val="clear" w:color="auto" w:fill="auto"/>
          </w:tcPr>
          <w:p w:rsidR="00035233" w:rsidRPr="005D1003" w:rsidRDefault="00035233" w:rsidP="00251CB8">
            <w:pPr>
              <w:pStyle w:val="05Tabletext"/>
              <w:numPr>
                <w:ilvl w:val="0"/>
                <w:numId w:val="50"/>
              </w:numPr>
              <w:ind w:left="227" w:hanging="227"/>
            </w:pPr>
            <w:r w:rsidRPr="005D1003">
              <w:t>In patients with low risk of exacerbations, GLY/IND was shown to be non-inferior and</w:t>
            </w:r>
            <w:r w:rsidR="00B256B5" w:rsidRPr="005D1003">
              <w:t>, on a subsequent superiority analysis,</w:t>
            </w:r>
            <w:r w:rsidRPr="005D1003">
              <w:t xml:space="preserve"> superior to FLU/SAL on the basis of trough FEV</w:t>
            </w:r>
            <w:r w:rsidRPr="005D1003">
              <w:rPr>
                <w:vertAlign w:val="subscript"/>
              </w:rPr>
              <w:t>1</w:t>
            </w:r>
            <w:r w:rsidRPr="005D1003">
              <w:t xml:space="preserve"> and was also associated with statistically significant improvements in time to first moderate or severe exacerbation. Several patient-reported outcomes were also assessed in the study, and failed to demonstrate a significant difference between treatments.</w:t>
            </w:r>
          </w:p>
        </w:tc>
      </w:tr>
      <w:tr w:rsidR="00035233" w:rsidTr="009542C4">
        <w:trPr>
          <w:cantSplit/>
        </w:trPr>
        <w:tc>
          <w:tcPr>
            <w:tcW w:w="586" w:type="pct"/>
            <w:tcBorders>
              <w:top w:val="nil"/>
            </w:tcBorders>
            <w:shd w:val="clear" w:color="auto" w:fill="auto"/>
          </w:tcPr>
          <w:p w:rsidR="00035233" w:rsidRDefault="00035233" w:rsidP="00035233">
            <w:pPr>
              <w:pStyle w:val="05Tabletext"/>
            </w:pPr>
          </w:p>
        </w:tc>
        <w:tc>
          <w:tcPr>
            <w:tcW w:w="1105" w:type="pct"/>
            <w:shd w:val="clear" w:color="auto" w:fill="auto"/>
          </w:tcPr>
          <w:p w:rsidR="00035233" w:rsidRPr="005D1003" w:rsidRDefault="00035233" w:rsidP="00035233">
            <w:pPr>
              <w:pStyle w:val="05Tabletext"/>
              <w:jc w:val="center"/>
            </w:pPr>
            <w:r w:rsidRPr="005D1003">
              <w:t>FLAME</w:t>
            </w:r>
            <w:r w:rsidRPr="005D1003">
              <w:br/>
              <w:t>Non-inferiority, double-blind, double-dummy</w:t>
            </w:r>
            <w:r w:rsidRPr="005D1003">
              <w:br/>
              <w:t>Good quality</w:t>
            </w:r>
            <w:r w:rsidRPr="005D1003">
              <w:br/>
              <w:t>N=3,362; 52 weeks</w:t>
            </w:r>
          </w:p>
        </w:tc>
        <w:tc>
          <w:tcPr>
            <w:tcW w:w="515" w:type="pct"/>
          </w:tcPr>
          <w:p w:rsidR="00035233" w:rsidRPr="00A45F70" w:rsidRDefault="00035233" w:rsidP="00035233">
            <w:pPr>
              <w:pStyle w:val="05Tabletext"/>
              <w:jc w:val="center"/>
            </w:pPr>
            <w:r w:rsidRPr="005D1003">
              <w:t>GLY/IND vs FLU/SAL</w:t>
            </w:r>
          </w:p>
        </w:tc>
        <w:tc>
          <w:tcPr>
            <w:tcW w:w="2794" w:type="pct"/>
            <w:shd w:val="clear" w:color="auto" w:fill="auto"/>
          </w:tcPr>
          <w:p w:rsidR="00035233" w:rsidRPr="005D1003" w:rsidRDefault="00035233" w:rsidP="00251CB8">
            <w:pPr>
              <w:pStyle w:val="05Tabletext"/>
              <w:numPr>
                <w:ilvl w:val="0"/>
                <w:numId w:val="50"/>
              </w:numPr>
              <w:ind w:left="227" w:hanging="227"/>
            </w:pPr>
            <w:r w:rsidRPr="005D1003">
              <w:t xml:space="preserve">In patients with a history of at least one exacerbation during the previous year, GLY/IND </w:t>
            </w:r>
            <w:r w:rsidR="00B256B5" w:rsidRPr="005D1003">
              <w:t xml:space="preserve">achieved non-inferioty to </w:t>
            </w:r>
            <w:r w:rsidRPr="005D1003">
              <w:t xml:space="preserve">FLU/SAL on the basis of annual rate of COPD exacerbations. </w:t>
            </w:r>
            <w:r w:rsidR="00B256B5" w:rsidRPr="005D1003">
              <w:t>A subsequent superiority analysis showed that GLY/IND was consistently superior to FLU/SAL on the basis of exacerbation</w:t>
            </w:r>
            <w:r w:rsidR="00A4660F" w:rsidRPr="005D1003">
              <w:t>s</w:t>
            </w:r>
            <w:r w:rsidR="00B256B5" w:rsidRPr="005D1003">
              <w:t>, lung function and health status outcomes.</w:t>
            </w:r>
          </w:p>
        </w:tc>
      </w:tr>
      <w:tr w:rsidR="005D1003" w:rsidTr="005D1003">
        <w:trPr>
          <w:cantSplit/>
        </w:trPr>
        <w:tc>
          <w:tcPr>
            <w:tcW w:w="1691" w:type="pct"/>
            <w:gridSpan w:val="2"/>
            <w:shd w:val="clear" w:color="auto" w:fill="000000" w:themeFill="text1"/>
          </w:tcPr>
          <w:p w:rsidR="005D1003" w:rsidRPr="00A45F70" w:rsidRDefault="005D1003" w:rsidP="00A45F70">
            <w:pPr>
              <w:pStyle w:val="05Tabletext"/>
              <w:rPr>
                <w:b/>
              </w:rPr>
            </w:pPr>
            <w:r w:rsidRPr="00A45F70">
              <w:rPr>
                <w:b/>
              </w:rPr>
              <w:t>TIO/OLO: LAMA/LABA</w:t>
            </w:r>
            <w:r>
              <w:rPr>
                <w:b/>
              </w:rPr>
              <w:t xml:space="preserve"> vs ICS/LABA</w:t>
            </w:r>
          </w:p>
        </w:tc>
        <w:tc>
          <w:tcPr>
            <w:tcW w:w="515" w:type="pct"/>
            <w:shd w:val="clear" w:color="auto" w:fill="000000" w:themeFill="text1"/>
          </w:tcPr>
          <w:p w:rsidR="005D1003" w:rsidRDefault="005D1003" w:rsidP="00035233">
            <w:pPr>
              <w:pStyle w:val="05Tabletext"/>
              <w:jc w:val="center"/>
            </w:pPr>
          </w:p>
        </w:tc>
        <w:tc>
          <w:tcPr>
            <w:tcW w:w="2794" w:type="pct"/>
            <w:shd w:val="clear" w:color="auto" w:fill="000000" w:themeFill="text1"/>
          </w:tcPr>
          <w:p w:rsidR="005D1003" w:rsidRDefault="005D1003" w:rsidP="00035233">
            <w:pPr>
              <w:pStyle w:val="05Tabletext"/>
            </w:pPr>
          </w:p>
        </w:tc>
      </w:tr>
      <w:tr w:rsidR="00035233" w:rsidTr="009542C4">
        <w:trPr>
          <w:cantSplit/>
        </w:trPr>
        <w:tc>
          <w:tcPr>
            <w:tcW w:w="586" w:type="pct"/>
            <w:shd w:val="clear" w:color="auto" w:fill="auto"/>
          </w:tcPr>
          <w:p w:rsidR="00035233" w:rsidRDefault="00035233" w:rsidP="00035233">
            <w:pPr>
              <w:pStyle w:val="05Tabletext"/>
            </w:pPr>
            <w:r>
              <w:t>New evidence</w:t>
            </w:r>
          </w:p>
        </w:tc>
        <w:tc>
          <w:tcPr>
            <w:tcW w:w="1105" w:type="pct"/>
            <w:shd w:val="clear" w:color="auto" w:fill="auto"/>
          </w:tcPr>
          <w:p w:rsidR="00035233" w:rsidRPr="00527AE0" w:rsidRDefault="00035233" w:rsidP="00035233">
            <w:pPr>
              <w:pStyle w:val="05Tabletext"/>
              <w:jc w:val="center"/>
            </w:pPr>
            <w:r>
              <w:t>ENERGITO</w:t>
            </w:r>
            <w:r>
              <w:br/>
              <w:t>Superiority, double-blind, cross-over</w:t>
            </w:r>
            <w:r>
              <w:br/>
              <w:t>Fair quality</w:t>
            </w:r>
            <w:r>
              <w:br/>
              <w:t>N=229; 6 weeks</w:t>
            </w:r>
          </w:p>
        </w:tc>
        <w:tc>
          <w:tcPr>
            <w:tcW w:w="515" w:type="pct"/>
          </w:tcPr>
          <w:p w:rsidR="00035233" w:rsidRDefault="00035233" w:rsidP="00035233">
            <w:pPr>
              <w:pStyle w:val="05Tabletext"/>
              <w:jc w:val="center"/>
            </w:pPr>
            <w:r>
              <w:t>TIO/OLO vs FLU/SAL</w:t>
            </w:r>
          </w:p>
        </w:tc>
        <w:tc>
          <w:tcPr>
            <w:tcW w:w="2794" w:type="pct"/>
            <w:shd w:val="clear" w:color="auto" w:fill="auto"/>
          </w:tcPr>
          <w:p w:rsidR="00035233" w:rsidRDefault="00035233" w:rsidP="00251CB8">
            <w:pPr>
              <w:pStyle w:val="05Tabletext"/>
              <w:numPr>
                <w:ilvl w:val="0"/>
                <w:numId w:val="51"/>
              </w:numPr>
              <w:ind w:left="227" w:hanging="227"/>
            </w:pPr>
            <w:r>
              <w:t>TIO/OLO was associated with statistically significant improvements in trough FEV</w:t>
            </w:r>
            <w:r>
              <w:rPr>
                <w:vertAlign w:val="subscript"/>
              </w:rPr>
              <w:t>1</w:t>
            </w:r>
            <w:r>
              <w:t xml:space="preserve"> over FLU/SAL; however, the magnitude of the adjusted mean difference between the treatment arms (58 mL) is unlikely to represent a clinically meaningful difference.</w:t>
            </w:r>
          </w:p>
        </w:tc>
      </w:tr>
      <w:tr w:rsidR="00D356F5" w:rsidTr="00D356F5">
        <w:trPr>
          <w:cantSplit/>
        </w:trPr>
        <w:tc>
          <w:tcPr>
            <w:tcW w:w="1691" w:type="pct"/>
            <w:gridSpan w:val="2"/>
            <w:shd w:val="clear" w:color="auto" w:fill="000000" w:themeFill="text1"/>
          </w:tcPr>
          <w:p w:rsidR="00D356F5" w:rsidRDefault="00D356F5" w:rsidP="00D356F5">
            <w:pPr>
              <w:pStyle w:val="04Tablesubheading"/>
              <w:keepNext w:val="0"/>
            </w:pPr>
            <w:r>
              <w:t>ICS/LABA vs ICS/LABA</w:t>
            </w:r>
          </w:p>
        </w:tc>
        <w:tc>
          <w:tcPr>
            <w:tcW w:w="515" w:type="pct"/>
            <w:shd w:val="clear" w:color="auto" w:fill="000000" w:themeFill="text1"/>
          </w:tcPr>
          <w:p w:rsidR="00D356F5" w:rsidRDefault="00D356F5" w:rsidP="00B51088">
            <w:pPr>
              <w:pStyle w:val="04Tablesubheading"/>
              <w:keepNext w:val="0"/>
              <w:jc w:val="center"/>
            </w:pPr>
          </w:p>
        </w:tc>
        <w:tc>
          <w:tcPr>
            <w:tcW w:w="2794" w:type="pct"/>
            <w:shd w:val="clear" w:color="auto" w:fill="000000" w:themeFill="text1"/>
          </w:tcPr>
          <w:p w:rsidR="00D356F5" w:rsidRDefault="00D356F5" w:rsidP="00B51088">
            <w:pPr>
              <w:pStyle w:val="04Tablesubheading"/>
              <w:keepNext w:val="0"/>
            </w:pPr>
          </w:p>
        </w:tc>
      </w:tr>
      <w:tr w:rsidR="00D356F5" w:rsidRPr="00AA4C6F" w:rsidTr="00D356F5">
        <w:trPr>
          <w:cantSplit/>
        </w:trPr>
        <w:tc>
          <w:tcPr>
            <w:tcW w:w="586" w:type="pct"/>
            <w:shd w:val="clear" w:color="auto" w:fill="F2F2F2" w:themeFill="background1" w:themeFillShade="F2"/>
          </w:tcPr>
          <w:p w:rsidR="00D356F5" w:rsidRDefault="00D356F5" w:rsidP="00B51088">
            <w:pPr>
              <w:pStyle w:val="05Tabletext"/>
              <w:keepNext/>
            </w:pPr>
            <w:r>
              <w:t>July 2014</w:t>
            </w:r>
          </w:p>
        </w:tc>
        <w:tc>
          <w:tcPr>
            <w:tcW w:w="1105" w:type="pct"/>
            <w:shd w:val="clear" w:color="auto" w:fill="F2F2F2" w:themeFill="background1" w:themeFillShade="F2"/>
          </w:tcPr>
          <w:p w:rsidR="00D356F5" w:rsidRDefault="00D356F5" w:rsidP="00B51088">
            <w:pPr>
              <w:pStyle w:val="05Tabletext"/>
              <w:jc w:val="center"/>
            </w:pPr>
            <w:r w:rsidRPr="001D2B05">
              <w:t>HZC113107</w:t>
            </w:r>
          </w:p>
        </w:tc>
        <w:tc>
          <w:tcPr>
            <w:tcW w:w="515" w:type="pct"/>
            <w:shd w:val="clear" w:color="auto" w:fill="F2F2F2" w:themeFill="background1" w:themeFillShade="F2"/>
          </w:tcPr>
          <w:p w:rsidR="00D356F5" w:rsidRDefault="00D356F5" w:rsidP="00B51088">
            <w:pPr>
              <w:pStyle w:val="05Tabletext"/>
              <w:jc w:val="center"/>
            </w:pPr>
            <w:r w:rsidRPr="009B75A5">
              <w:t>FLU/VIL vs FLU/SAL</w:t>
            </w:r>
          </w:p>
        </w:tc>
        <w:tc>
          <w:tcPr>
            <w:tcW w:w="2794" w:type="pct"/>
            <w:shd w:val="clear" w:color="auto" w:fill="F2F2F2" w:themeFill="background1" w:themeFillShade="F2"/>
          </w:tcPr>
          <w:p w:rsidR="00D356F5" w:rsidRDefault="00D356F5" w:rsidP="00251CB8">
            <w:pPr>
              <w:pStyle w:val="05Tabletext"/>
              <w:numPr>
                <w:ilvl w:val="0"/>
                <w:numId w:val="52"/>
              </w:numPr>
              <w:ind w:left="227" w:hanging="227"/>
            </w:pPr>
            <w:r w:rsidRPr="00803406">
              <w:t xml:space="preserve">No evidence was shown for </w:t>
            </w:r>
            <w:r>
              <w:t>triple therapy with FLU/VIL</w:t>
            </w:r>
            <w:r w:rsidRPr="00803406">
              <w:t>.</w:t>
            </w:r>
          </w:p>
          <w:p w:rsidR="00D356F5" w:rsidRPr="00AA4C6F" w:rsidRDefault="00D356F5" w:rsidP="00251CB8">
            <w:pPr>
              <w:pStyle w:val="05Tabletext"/>
              <w:numPr>
                <w:ilvl w:val="0"/>
                <w:numId w:val="52"/>
              </w:numPr>
              <w:ind w:left="227" w:hanging="227"/>
            </w:pPr>
            <w:r>
              <w:t>FLU/VIL was considered non-inferior in terms of comparative effectiveness and safety to FLU/SAL. FLU/VIL was cost-minimised to FLU/SAL.</w:t>
            </w:r>
          </w:p>
        </w:tc>
      </w:tr>
    </w:tbl>
    <w:p w:rsidR="00035233" w:rsidRDefault="00035233" w:rsidP="00035233">
      <w:pPr>
        <w:pStyle w:val="11TableorFigurefootnotenostick"/>
      </w:pPr>
      <w:r>
        <w:t>Abbreviations: ACL, aclidinium; BUD, budesonide; COPD, chronic obstructive pulmonary disease; EFO, eformoterol; FEV</w:t>
      </w:r>
      <w:r>
        <w:rPr>
          <w:vertAlign w:val="subscript"/>
        </w:rPr>
        <w:t>1</w:t>
      </w:r>
      <w:r>
        <w:t xml:space="preserve">, forced expiratory volume in one second; FLU, fluticasone; GLY, glycopyrronium; GOLD, Global </w:t>
      </w:r>
      <w:r w:rsidR="006D27FC">
        <w:t>I</w:t>
      </w:r>
      <w:r>
        <w:t xml:space="preserve">nitiative for </w:t>
      </w:r>
      <w:r w:rsidR="006D27FC">
        <w:t>C</w:t>
      </w:r>
      <w:r>
        <w:t xml:space="preserve">hronic </w:t>
      </w:r>
      <w:r w:rsidR="006D27FC">
        <w:t>O</w:t>
      </w:r>
      <w:r>
        <w:t xml:space="preserve">bstructive </w:t>
      </w:r>
      <w:r w:rsidR="006D27FC">
        <w:t>L</w:t>
      </w:r>
      <w:r>
        <w:t xml:space="preserve">ung </w:t>
      </w:r>
      <w:r w:rsidR="006D27FC">
        <w:t>D</w:t>
      </w:r>
      <w:r>
        <w:t xml:space="preserve">isease; ICS; inhaled corticosteroid; IND, indacaterol; LABA; </w:t>
      </w:r>
      <w:r w:rsidRPr="001E5A23">
        <w:t xml:space="preserve">long-acting beta-2 agonist; </w:t>
      </w:r>
      <w:r>
        <w:t>OLO, olodaterol;</w:t>
      </w:r>
      <w:r w:rsidRPr="00A11CA0">
        <w:t xml:space="preserve"> PBAC, Pharmaceutic Benefits Advisory Committee; </w:t>
      </w:r>
      <w:r>
        <w:t>PBS, Pharmaceutical Benefits Scheme; RCT, randomised controlled trial; SAL, salmeterol; TIO, tiotropium; UME, umeclidinium; VIL, vilanterol</w:t>
      </w:r>
      <w:r w:rsidR="00071838">
        <w:t>; FLU/SAL, fluticasone propionate/salmeterol; FLU/VIL, fluticasone furoate/vilanterol.</w:t>
      </w:r>
    </w:p>
    <w:p w:rsidR="00FF084F" w:rsidRDefault="00FF084F" w:rsidP="00A45F70">
      <w:pPr>
        <w:pStyle w:val="Heading3"/>
      </w:pPr>
      <w:bookmarkStart w:id="19" w:name="_Toc482185936"/>
      <w:bookmarkStart w:id="20" w:name="_Toc486428070"/>
      <w:r>
        <w:t xml:space="preserve">Dual therapy versus </w:t>
      </w:r>
      <w:r w:rsidR="00466501">
        <w:t>t</w:t>
      </w:r>
      <w:r>
        <w:t>riple therapy in patients with COPD</w:t>
      </w:r>
      <w:bookmarkEnd w:id="19"/>
      <w:bookmarkEnd w:id="20"/>
    </w:p>
    <w:p w:rsidR="00F82904" w:rsidRPr="00FF5B8F" w:rsidRDefault="00D578A5" w:rsidP="00F82904">
      <w:pPr>
        <w:pStyle w:val="BodyText"/>
      </w:pPr>
      <w:r>
        <w:t>Table 3.4 shows</w:t>
      </w:r>
      <w:r w:rsidR="00ED410B">
        <w:t xml:space="preserve"> s</w:t>
      </w:r>
      <w:r w:rsidR="00F82904" w:rsidRPr="00A40E26">
        <w:t xml:space="preserve">tudies that investigated the benefit of adding a LAMA to ICS/LABA dual therapy </w:t>
      </w:r>
      <w:r w:rsidR="0096406E">
        <w:t xml:space="preserve">which </w:t>
      </w:r>
      <w:r w:rsidR="00F82904" w:rsidRPr="00A40E26">
        <w:t>showed that the step up from dual to triple therapy results in stati</w:t>
      </w:r>
      <w:r w:rsidR="0096406E">
        <w:t>sti</w:t>
      </w:r>
      <w:r w:rsidR="00F82904" w:rsidRPr="00A40E26">
        <w:t>cally significant and clinically meaningful improvements in trough FEV</w:t>
      </w:r>
      <w:r w:rsidR="00F82904" w:rsidRPr="00A40E26">
        <w:rPr>
          <w:vertAlign w:val="subscript"/>
        </w:rPr>
        <w:t>1</w:t>
      </w:r>
      <w:r w:rsidR="00F82904" w:rsidRPr="00A40E26">
        <w:t>.</w:t>
      </w:r>
      <w:r w:rsidR="00ED410B">
        <w:t xml:space="preserve"> The PBAC has previously seen evidence from the GLISTEN </w:t>
      </w:r>
      <w:r w:rsidR="0092736A">
        <w:t>trial</w:t>
      </w:r>
      <w:r w:rsidR="00ED410B">
        <w:t xml:space="preserve"> that demonstrated that glycopyrronium plus fluticasone</w:t>
      </w:r>
      <w:r w:rsidR="00071838">
        <w:t xml:space="preserve"> propionate</w:t>
      </w:r>
      <w:r w:rsidR="00ED410B">
        <w:t xml:space="preserve">/salmeterol </w:t>
      </w:r>
      <w:r w:rsidR="00FF5B8F">
        <w:t>is statistically superior to fluticasone</w:t>
      </w:r>
      <w:r w:rsidR="00071838">
        <w:t xml:space="preserve"> propionate</w:t>
      </w:r>
      <w:r w:rsidR="00FF5B8F">
        <w:t>/salmeterol alone in terms of trough FEV</w:t>
      </w:r>
      <w:r w:rsidR="00FF5B8F">
        <w:rPr>
          <w:vertAlign w:val="subscript"/>
        </w:rPr>
        <w:t>1</w:t>
      </w:r>
      <w:r w:rsidR="00870EBB">
        <w:t xml:space="preserve"> (November 2015 PSD for glycopyrronium)</w:t>
      </w:r>
      <w:r w:rsidR="00FF5B8F">
        <w:t>.</w:t>
      </w:r>
    </w:p>
    <w:p w:rsidR="00035233" w:rsidRDefault="00D578A5" w:rsidP="0096406E">
      <w:pPr>
        <w:pStyle w:val="ToR3Tableheader"/>
      </w:pPr>
      <w:bookmarkStart w:id="21" w:name="_Toc471890996"/>
      <w:bookmarkStart w:id="22" w:name="_Toc486428183"/>
      <w:r>
        <w:lastRenderedPageBreak/>
        <w:t>Table 3.4</w:t>
      </w:r>
      <w:r>
        <w:tab/>
      </w:r>
      <w:r w:rsidR="00035233">
        <w:t xml:space="preserve">Summary of </w:t>
      </w:r>
      <w:r w:rsidR="009B75A5">
        <w:t xml:space="preserve">new </w:t>
      </w:r>
      <w:r w:rsidR="00035233">
        <w:t>evidence for dual therapy versus triple therapy</w:t>
      </w:r>
      <w:bookmarkEnd w:id="21"/>
      <w:r w:rsidR="00EF7807">
        <w:t xml:space="preserve"> in patients with COPD</w:t>
      </w:r>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Key findings"/>
        <w:tblDescription w:val="Summary of evidence for dual therapy versus triple therapy"/>
      </w:tblPr>
      <w:tblGrid>
        <w:gridCol w:w="1131"/>
        <w:gridCol w:w="1908"/>
        <w:gridCol w:w="1073"/>
        <w:gridCol w:w="5536"/>
      </w:tblGrid>
      <w:tr w:rsidR="00035233" w:rsidRPr="00F01736" w:rsidTr="00035233">
        <w:trPr>
          <w:cantSplit/>
          <w:tblHeader/>
        </w:trPr>
        <w:tc>
          <w:tcPr>
            <w:tcW w:w="586" w:type="pct"/>
            <w:shd w:val="clear" w:color="auto" w:fill="BFBFBF"/>
          </w:tcPr>
          <w:p w:rsidR="00035233" w:rsidRPr="00F01736" w:rsidRDefault="00035233" w:rsidP="003D1AAA">
            <w:pPr>
              <w:pStyle w:val="01TableHEADINGleftaligned"/>
              <w:keepLines/>
            </w:pPr>
            <w:r>
              <w:t>PBAC consideration</w:t>
            </w:r>
          </w:p>
        </w:tc>
        <w:tc>
          <w:tcPr>
            <w:tcW w:w="989" w:type="pct"/>
            <w:shd w:val="clear" w:color="auto" w:fill="BFBFBF"/>
          </w:tcPr>
          <w:p w:rsidR="00035233" w:rsidRPr="00F01736" w:rsidRDefault="00035233" w:rsidP="003D1AAA">
            <w:pPr>
              <w:pStyle w:val="01TableHEADINGleftaligned"/>
              <w:keepLines/>
              <w:jc w:val="center"/>
            </w:pPr>
            <w:r>
              <w:t>Head-to-head trials</w:t>
            </w:r>
          </w:p>
        </w:tc>
        <w:tc>
          <w:tcPr>
            <w:tcW w:w="556" w:type="pct"/>
            <w:shd w:val="clear" w:color="auto" w:fill="BFBFBF"/>
          </w:tcPr>
          <w:p w:rsidR="00035233" w:rsidRDefault="00035233" w:rsidP="003D1AAA">
            <w:pPr>
              <w:pStyle w:val="01TableHEADINGleftaligned"/>
              <w:keepLines/>
              <w:jc w:val="center"/>
            </w:pPr>
            <w:r>
              <w:t>Comparison</w:t>
            </w:r>
          </w:p>
        </w:tc>
        <w:tc>
          <w:tcPr>
            <w:tcW w:w="2869" w:type="pct"/>
            <w:shd w:val="clear" w:color="auto" w:fill="BFBFBF"/>
          </w:tcPr>
          <w:p w:rsidR="00035233" w:rsidRPr="00F01736" w:rsidRDefault="00035233" w:rsidP="003D1AAA">
            <w:pPr>
              <w:pStyle w:val="01TableHEADINGleftaligned"/>
              <w:keepLines/>
              <w:jc w:val="center"/>
            </w:pPr>
            <w:r>
              <w:t>Summary of findings</w:t>
            </w:r>
          </w:p>
        </w:tc>
      </w:tr>
      <w:tr w:rsidR="002E21DD" w:rsidRPr="00194011" w:rsidTr="002E21DD">
        <w:trPr>
          <w:cantSplit/>
        </w:trPr>
        <w:tc>
          <w:tcPr>
            <w:tcW w:w="1575" w:type="pct"/>
            <w:gridSpan w:val="2"/>
            <w:shd w:val="clear" w:color="auto" w:fill="000000" w:themeFill="text1"/>
          </w:tcPr>
          <w:p w:rsidR="002E21DD" w:rsidRDefault="002E21DD" w:rsidP="003D1AAA">
            <w:pPr>
              <w:pStyle w:val="04Tablesubheading"/>
              <w:keepLines/>
            </w:pPr>
            <w:r>
              <w:t>ICS/LABA + LAMA vs ICS/LABA</w:t>
            </w:r>
          </w:p>
        </w:tc>
        <w:tc>
          <w:tcPr>
            <w:tcW w:w="556" w:type="pct"/>
            <w:shd w:val="clear" w:color="auto" w:fill="000000" w:themeFill="text1"/>
          </w:tcPr>
          <w:p w:rsidR="002E21DD" w:rsidRDefault="002E21DD" w:rsidP="003D1AAA">
            <w:pPr>
              <w:pStyle w:val="04Tablesubheading"/>
              <w:keepLines/>
              <w:jc w:val="center"/>
            </w:pPr>
          </w:p>
        </w:tc>
        <w:tc>
          <w:tcPr>
            <w:tcW w:w="2869" w:type="pct"/>
            <w:shd w:val="clear" w:color="auto" w:fill="000000" w:themeFill="text1"/>
          </w:tcPr>
          <w:p w:rsidR="002E21DD" w:rsidRDefault="002E21DD" w:rsidP="003D1AAA">
            <w:pPr>
              <w:pStyle w:val="04Tablesubheading"/>
              <w:keepLines/>
            </w:pPr>
          </w:p>
        </w:tc>
      </w:tr>
      <w:tr w:rsidR="00035233" w:rsidRPr="00194011" w:rsidTr="009B75A5">
        <w:trPr>
          <w:cantSplit/>
        </w:trPr>
        <w:tc>
          <w:tcPr>
            <w:tcW w:w="586" w:type="pct"/>
            <w:shd w:val="clear" w:color="auto" w:fill="F2F2F2" w:themeFill="background1" w:themeFillShade="F2"/>
          </w:tcPr>
          <w:p w:rsidR="00035233" w:rsidRDefault="00111D1E" w:rsidP="003D1AAA">
            <w:pPr>
              <w:pStyle w:val="05Tabletext"/>
              <w:keepNext/>
              <w:keepLines/>
            </w:pPr>
            <w:r>
              <w:t>July 2014</w:t>
            </w:r>
          </w:p>
        </w:tc>
        <w:tc>
          <w:tcPr>
            <w:tcW w:w="989" w:type="pct"/>
            <w:shd w:val="clear" w:color="auto" w:fill="F2F2F2" w:themeFill="background1" w:themeFillShade="F2"/>
          </w:tcPr>
          <w:p w:rsidR="00035233" w:rsidRDefault="00094088" w:rsidP="003D1AAA">
            <w:pPr>
              <w:pStyle w:val="05Tabletext"/>
              <w:keepNext/>
              <w:keepLines/>
              <w:jc w:val="center"/>
            </w:pPr>
            <w:r>
              <w:t>GLISTEN (2015)</w:t>
            </w:r>
          </w:p>
        </w:tc>
        <w:tc>
          <w:tcPr>
            <w:tcW w:w="556" w:type="pct"/>
            <w:shd w:val="clear" w:color="auto" w:fill="F2F2F2" w:themeFill="background1" w:themeFillShade="F2"/>
          </w:tcPr>
          <w:p w:rsidR="00094088" w:rsidRDefault="00094088" w:rsidP="003D1AAA">
            <w:pPr>
              <w:pStyle w:val="05Tabletext"/>
              <w:keepNext/>
              <w:keepLines/>
              <w:jc w:val="center"/>
            </w:pPr>
            <w:r>
              <w:t xml:space="preserve">GLY+ </w:t>
            </w:r>
            <w:r w:rsidRPr="009B75A5">
              <w:t>FLU/SAL</w:t>
            </w:r>
            <w:r>
              <w:t xml:space="preserve"> vs</w:t>
            </w:r>
          </w:p>
          <w:p w:rsidR="00035233" w:rsidRDefault="00094088" w:rsidP="003D1AAA">
            <w:pPr>
              <w:pStyle w:val="05Tabletext"/>
              <w:keepNext/>
              <w:keepLines/>
              <w:jc w:val="center"/>
            </w:pPr>
            <w:r w:rsidRPr="009B75A5">
              <w:t>FLU/SAL</w:t>
            </w:r>
            <w:r>
              <w:t xml:space="preserve"> </w:t>
            </w:r>
          </w:p>
        </w:tc>
        <w:tc>
          <w:tcPr>
            <w:tcW w:w="2869" w:type="pct"/>
            <w:shd w:val="clear" w:color="auto" w:fill="F2F2F2" w:themeFill="background1" w:themeFillShade="F2"/>
          </w:tcPr>
          <w:p w:rsidR="00AA4C6F" w:rsidRPr="00AA4C6F" w:rsidRDefault="00094088" w:rsidP="00251CB8">
            <w:pPr>
              <w:pStyle w:val="05Tabletext"/>
              <w:keepNext/>
              <w:keepLines/>
              <w:numPr>
                <w:ilvl w:val="0"/>
                <w:numId w:val="56"/>
              </w:numPr>
            </w:pPr>
            <w:r w:rsidRPr="00094088">
              <w:t xml:space="preserve">Interim results </w:t>
            </w:r>
            <w:r w:rsidR="004576B9">
              <w:t xml:space="preserve">presented to the PBAC </w:t>
            </w:r>
            <w:r w:rsidRPr="00094088">
              <w:t>from the study up to Week 12 indicated that triple therapy provided statistically significant improvements in trough FEV</w:t>
            </w:r>
            <w:r w:rsidRPr="00C36E4E">
              <w:rPr>
                <w:vertAlign w:val="subscript"/>
              </w:rPr>
              <w:t>1</w:t>
            </w:r>
            <w:r w:rsidRPr="00094088">
              <w:t xml:space="preserve"> compared to fluticasone</w:t>
            </w:r>
            <w:r w:rsidR="00071838">
              <w:t xml:space="preserve"> propionate</w:t>
            </w:r>
            <w:r w:rsidRPr="00094088">
              <w:t>/salmeterol alone</w:t>
            </w:r>
            <w:r w:rsidR="004576B9">
              <w:t>.</w:t>
            </w:r>
          </w:p>
        </w:tc>
      </w:tr>
      <w:tr w:rsidR="00094088" w:rsidRPr="00194011" w:rsidTr="00035233">
        <w:trPr>
          <w:cantSplit/>
        </w:trPr>
        <w:tc>
          <w:tcPr>
            <w:tcW w:w="586" w:type="pct"/>
            <w:vMerge w:val="restart"/>
            <w:shd w:val="clear" w:color="auto" w:fill="auto"/>
          </w:tcPr>
          <w:p w:rsidR="00094088" w:rsidRPr="009C73B0" w:rsidRDefault="00094088" w:rsidP="00035233">
            <w:pPr>
              <w:pStyle w:val="05Tabletext"/>
              <w:keepNext/>
            </w:pPr>
            <w:r>
              <w:t>New evidence</w:t>
            </w:r>
          </w:p>
        </w:tc>
        <w:tc>
          <w:tcPr>
            <w:tcW w:w="989" w:type="pct"/>
            <w:shd w:val="clear" w:color="auto" w:fill="auto"/>
          </w:tcPr>
          <w:p w:rsidR="00094088" w:rsidRPr="009C73B0" w:rsidRDefault="00094088" w:rsidP="00035233">
            <w:pPr>
              <w:pStyle w:val="05Tabletext"/>
              <w:jc w:val="center"/>
            </w:pPr>
            <w:r>
              <w:t>Siler (2015)</w:t>
            </w:r>
            <w:r>
              <w:br/>
              <w:t>Superiority, double-blind</w:t>
            </w:r>
            <w:r>
              <w:br/>
              <w:t>Good quality</w:t>
            </w:r>
            <w:r>
              <w:br/>
              <w:t>N=1,239; 12 weeks</w:t>
            </w:r>
          </w:p>
        </w:tc>
        <w:tc>
          <w:tcPr>
            <w:tcW w:w="556" w:type="pct"/>
          </w:tcPr>
          <w:p w:rsidR="00094088" w:rsidRDefault="00094088" w:rsidP="00035233">
            <w:pPr>
              <w:pStyle w:val="05Tabletext"/>
              <w:jc w:val="center"/>
            </w:pPr>
            <w:r>
              <w:t>FLU/VIL+PBO vs FLU/VIL+ UME</w:t>
            </w:r>
          </w:p>
        </w:tc>
        <w:tc>
          <w:tcPr>
            <w:tcW w:w="2869" w:type="pct"/>
            <w:shd w:val="clear" w:color="auto" w:fill="auto"/>
          </w:tcPr>
          <w:p w:rsidR="00094088" w:rsidRPr="000234B4" w:rsidRDefault="00094088" w:rsidP="00251CB8">
            <w:pPr>
              <w:pStyle w:val="05Tabletext"/>
              <w:numPr>
                <w:ilvl w:val="0"/>
                <w:numId w:val="52"/>
              </w:numPr>
              <w:ind w:left="227" w:hanging="227"/>
            </w:pPr>
            <w:r>
              <w:t>Triple therapy with FLU/VIL plus UME was associated with clinically meaningful improvements in trough FEV</w:t>
            </w:r>
            <w:r>
              <w:rPr>
                <w:vertAlign w:val="subscript"/>
              </w:rPr>
              <w:t>1</w:t>
            </w:r>
            <w:r>
              <w:t xml:space="preserve"> compared with FLU/VIL (plus placebo).</w:t>
            </w:r>
          </w:p>
        </w:tc>
      </w:tr>
      <w:tr w:rsidR="00094088" w:rsidRPr="00194011" w:rsidTr="00035233">
        <w:trPr>
          <w:cantSplit/>
        </w:trPr>
        <w:tc>
          <w:tcPr>
            <w:tcW w:w="586" w:type="pct"/>
            <w:vMerge/>
            <w:shd w:val="clear" w:color="auto" w:fill="auto"/>
          </w:tcPr>
          <w:p w:rsidR="00094088" w:rsidRDefault="00094088" w:rsidP="00E70940">
            <w:pPr>
              <w:pStyle w:val="05Tabletext"/>
              <w:keepNext/>
              <w:ind w:left="227" w:hanging="227"/>
            </w:pPr>
          </w:p>
        </w:tc>
        <w:tc>
          <w:tcPr>
            <w:tcW w:w="989" w:type="pct"/>
            <w:shd w:val="clear" w:color="auto" w:fill="auto"/>
          </w:tcPr>
          <w:p w:rsidR="00094088" w:rsidRPr="009C73B0" w:rsidRDefault="00094088" w:rsidP="00035233">
            <w:pPr>
              <w:pStyle w:val="05Tabletext"/>
              <w:jc w:val="center"/>
            </w:pPr>
            <w:r>
              <w:t>Sousa (2016)</w:t>
            </w:r>
            <w:r>
              <w:br/>
              <w:t>Superiority, double-blind</w:t>
            </w:r>
            <w:r>
              <w:br/>
              <w:t>Fair quality</w:t>
            </w:r>
            <w:r>
              <w:br/>
              <w:t>N=236; 12 weeks</w:t>
            </w:r>
          </w:p>
        </w:tc>
        <w:tc>
          <w:tcPr>
            <w:tcW w:w="556" w:type="pct"/>
          </w:tcPr>
          <w:p w:rsidR="00094088" w:rsidRDefault="00094088" w:rsidP="00035233">
            <w:pPr>
              <w:pStyle w:val="05Tabletext"/>
              <w:jc w:val="center"/>
            </w:pPr>
            <w:r>
              <w:t>ICS/LABA+ PBO vs ICS/LABA+ UME</w:t>
            </w:r>
          </w:p>
        </w:tc>
        <w:tc>
          <w:tcPr>
            <w:tcW w:w="2869" w:type="pct"/>
            <w:shd w:val="clear" w:color="auto" w:fill="auto"/>
          </w:tcPr>
          <w:p w:rsidR="00094088" w:rsidRPr="00DB1A85" w:rsidRDefault="00094088" w:rsidP="00251CB8">
            <w:pPr>
              <w:pStyle w:val="05Tabletext"/>
              <w:numPr>
                <w:ilvl w:val="0"/>
                <w:numId w:val="52"/>
              </w:numPr>
              <w:ind w:left="227" w:hanging="227"/>
            </w:pPr>
            <w:r>
              <w:t>The addition of UME to ICS/LABAs produced statistically significant and clinically meaningful improvements over dual therapy with ICS/LABA (plus placebo), based on trough FEV</w:t>
            </w:r>
            <w:r>
              <w:rPr>
                <w:vertAlign w:val="subscript"/>
              </w:rPr>
              <w:t>1</w:t>
            </w:r>
            <w:r>
              <w:t>.</w:t>
            </w:r>
          </w:p>
        </w:tc>
      </w:tr>
    </w:tbl>
    <w:p w:rsidR="00035233" w:rsidRDefault="00035233" w:rsidP="00035233">
      <w:pPr>
        <w:pStyle w:val="11TableorFigurefootnotenostick"/>
      </w:pPr>
      <w:r>
        <w:t>Abbreviations: FEV</w:t>
      </w:r>
      <w:r>
        <w:rPr>
          <w:vertAlign w:val="subscript"/>
        </w:rPr>
        <w:t>1</w:t>
      </w:r>
      <w:r>
        <w:t>, forced expiratory volume in one second; FLU, fluticasone; ICS, inhaled corticosteroid; LABA,</w:t>
      </w:r>
      <w:r w:rsidRPr="00C07F6E">
        <w:t xml:space="preserve"> long-acting beta-2 agonist</w:t>
      </w:r>
      <w:r>
        <w:t xml:space="preserve">; </w:t>
      </w:r>
      <w:r w:rsidRPr="00A11CA0">
        <w:t xml:space="preserve">PBAC, Pharmaceutic Benefits Advisory Committee; </w:t>
      </w:r>
      <w:r>
        <w:t>PBO, placebo; UME, umeclidinium; VIL, vilanterol</w:t>
      </w:r>
      <w:r w:rsidR="00071838">
        <w:t>, FLU/SAL, fluticasone propionate/salmeterol; FLU/VIL, fluticasone furoate/vilanterol.</w:t>
      </w:r>
    </w:p>
    <w:p w:rsidR="00805FFC" w:rsidRDefault="0096406E" w:rsidP="00FF5B8F">
      <w:pPr>
        <w:pStyle w:val="BodyText"/>
      </w:pPr>
      <w:r>
        <w:t>N</w:t>
      </w:r>
      <w:r w:rsidR="00FF5B8F">
        <w:t>o RCTs or large observational studies were identified that examined the comparative efficacy and safety of ICS + LAMA/LABA versu</w:t>
      </w:r>
      <w:r>
        <w:t>s LAMA/LABA. A recent Cochrane r</w:t>
      </w:r>
      <w:r w:rsidR="00FF5B8F">
        <w:t>eview also failed to identify any ongoing or completed RCTs comparing the treatment of stable COPD with ICS plus combination LAMA/LABA inhalers against combination LAMA/LABA inhalers alone (Tan et al, 2016).</w:t>
      </w:r>
      <w:r w:rsidR="00B03B07">
        <w:t xml:space="preserve"> </w:t>
      </w:r>
    </w:p>
    <w:p w:rsidR="00FF5B8F" w:rsidRDefault="00B03B07" w:rsidP="00FF5B8F">
      <w:pPr>
        <w:pStyle w:val="BodyText"/>
      </w:pPr>
      <w:r w:rsidRPr="00B03B07">
        <w:t>New inhaled ICS/LABA/LAMA FDCs,</w:t>
      </w:r>
      <w:r w:rsidR="00805FFC">
        <w:t xml:space="preserve"> including fluticasone</w:t>
      </w:r>
      <w:r w:rsidR="005D72A8">
        <w:t xml:space="preserve"> furoate</w:t>
      </w:r>
      <w:r w:rsidRPr="00B03B07">
        <w:t>/vilanterol/umeclidinium, budesonide/formoterol/glycopyrronium and beclometasone/formoterol/glycopyrronium, are in Phase III of clinical development for COPD.</w:t>
      </w:r>
    </w:p>
    <w:p w:rsidR="008264DD" w:rsidRDefault="000D682B" w:rsidP="00A84E24">
      <w:pPr>
        <w:pStyle w:val="Heading3"/>
      </w:pPr>
      <w:bookmarkStart w:id="23" w:name="_Toc482185937"/>
      <w:bookmarkStart w:id="24" w:name="_Toc486428071"/>
      <w:r>
        <w:t xml:space="preserve">Stakeholder </w:t>
      </w:r>
      <w:r w:rsidR="008264DD">
        <w:t>views</w:t>
      </w:r>
      <w:bookmarkEnd w:id="23"/>
      <w:r w:rsidR="00801CA4">
        <w:t xml:space="preserve"> </w:t>
      </w:r>
      <w:r w:rsidR="00A95B8F">
        <w:rPr>
          <w:sz w:val="24"/>
        </w:rPr>
        <w:t>(Forum and public c</w:t>
      </w:r>
      <w:r w:rsidR="00801CA4" w:rsidRPr="00737441">
        <w:rPr>
          <w:sz w:val="24"/>
        </w:rPr>
        <w:t>onsultation</w:t>
      </w:r>
      <w:r w:rsidR="00A95B8F">
        <w:rPr>
          <w:sz w:val="24"/>
        </w:rPr>
        <w:t>s</w:t>
      </w:r>
      <w:r w:rsidR="00801CA4" w:rsidRPr="00737441">
        <w:rPr>
          <w:sz w:val="24"/>
        </w:rPr>
        <w:t>)</w:t>
      </w:r>
      <w:bookmarkEnd w:id="24"/>
    </w:p>
    <w:p w:rsidR="00793BC2" w:rsidRDefault="00793BC2" w:rsidP="00251CB8">
      <w:pPr>
        <w:pStyle w:val="ListParagraph"/>
        <w:numPr>
          <w:ilvl w:val="0"/>
          <w:numId w:val="38"/>
        </w:numPr>
        <w:spacing w:before="0" w:after="200"/>
      </w:pPr>
      <w:bookmarkStart w:id="25" w:name="_Toc468012262"/>
      <w:bookmarkStart w:id="26" w:name="_Toc471890910"/>
      <w:r w:rsidRPr="00611DE5">
        <w:t xml:space="preserve">The FLAME trial </w:t>
      </w:r>
      <w:r>
        <w:t>included patients with predominately a history of one exacerbation</w:t>
      </w:r>
      <w:r w:rsidR="007677C6">
        <w:t>.</w:t>
      </w:r>
      <w:r>
        <w:t xml:space="preserve"> </w:t>
      </w:r>
      <w:r w:rsidR="007677C6">
        <w:t>S</w:t>
      </w:r>
      <w:r>
        <w:t>uperiority of</w:t>
      </w:r>
      <w:r w:rsidR="00A95B8F">
        <w:t xml:space="preserve"> </w:t>
      </w:r>
      <w:r w:rsidR="00594A58">
        <w:t xml:space="preserve">the </w:t>
      </w:r>
      <w:r w:rsidR="00A95B8F">
        <w:t>LAMA/LABA</w:t>
      </w:r>
      <w:r w:rsidR="00594A58">
        <w:t xml:space="preserve"> compared</w:t>
      </w:r>
      <w:r w:rsidR="00A95B8F">
        <w:t xml:space="preserve"> to </w:t>
      </w:r>
      <w:r w:rsidR="00594A58">
        <w:t xml:space="preserve">the </w:t>
      </w:r>
      <w:r w:rsidR="00A95B8F">
        <w:t xml:space="preserve">ICS/LABA </w:t>
      </w:r>
      <w:r>
        <w:t xml:space="preserve">was not established in patients </w:t>
      </w:r>
      <w:r w:rsidR="00A95B8F">
        <w:t xml:space="preserve">with </w:t>
      </w:r>
      <w:r>
        <w:t xml:space="preserve">a history of two </w:t>
      </w:r>
      <w:r w:rsidR="00A95B8F">
        <w:t xml:space="preserve">or more </w:t>
      </w:r>
      <w:r>
        <w:t xml:space="preserve">excerbations. </w:t>
      </w:r>
    </w:p>
    <w:p w:rsidR="000A2B5F" w:rsidRDefault="000A2B5F" w:rsidP="00251CB8">
      <w:pPr>
        <w:pStyle w:val="ListParagraph"/>
        <w:numPr>
          <w:ilvl w:val="0"/>
          <w:numId w:val="38"/>
        </w:numPr>
        <w:spacing w:before="0"/>
        <w:ind w:left="357" w:hanging="357"/>
        <w:contextualSpacing w:val="0"/>
      </w:pPr>
      <w:r>
        <w:t xml:space="preserve">The </w:t>
      </w:r>
      <w:r w:rsidR="00A95B8F">
        <w:t>a</w:t>
      </w:r>
      <w:r>
        <w:t xml:space="preserve">uthors of </w:t>
      </w:r>
      <w:r w:rsidR="00A95B8F">
        <w:t xml:space="preserve">the </w:t>
      </w:r>
      <w:r>
        <w:t>AFFIRM trial (</w:t>
      </w:r>
      <w:r w:rsidR="00B339E9">
        <w:t>r</w:t>
      </w:r>
      <w:r>
        <w:t>ecently</w:t>
      </w:r>
      <w:r w:rsidR="00B339E9">
        <w:t xml:space="preserve"> published</w:t>
      </w:r>
      <w:r>
        <w:t>) claim that combined therapy with aclidinium/formoterol demonstrated superiority over salmeterol/fluticasone in peak FEV</w:t>
      </w:r>
      <w:r w:rsidRPr="00C36E4E">
        <w:rPr>
          <w:vertAlign w:val="subscript"/>
        </w:rPr>
        <w:t>1</w:t>
      </w:r>
      <w:r>
        <w:t>. Improvements in dyspnoea and symptom control were comparable between treatment groups</w:t>
      </w:r>
      <w:r w:rsidR="00A95B8F">
        <w:t>.</w:t>
      </w:r>
      <w:r>
        <w:t xml:space="preserve"> </w:t>
      </w:r>
    </w:p>
    <w:p w:rsidR="00810524" w:rsidRDefault="00793BC2" w:rsidP="00251CB8">
      <w:pPr>
        <w:pStyle w:val="ListParagraph"/>
        <w:numPr>
          <w:ilvl w:val="0"/>
          <w:numId w:val="38"/>
        </w:numPr>
        <w:spacing w:before="0"/>
        <w:ind w:left="357" w:hanging="357"/>
        <w:contextualSpacing w:val="0"/>
      </w:pPr>
      <w:r>
        <w:t xml:space="preserve">The </w:t>
      </w:r>
      <w:r w:rsidR="00810524" w:rsidRPr="008E5820">
        <w:t xml:space="preserve">GOLD Strategy Report (2017) </w:t>
      </w:r>
      <w:r w:rsidR="00810524">
        <w:t>recommend</w:t>
      </w:r>
      <w:r w:rsidR="00DE1B94">
        <w:t>s</w:t>
      </w:r>
      <w:r w:rsidR="00810524">
        <w:t xml:space="preserve"> that </w:t>
      </w:r>
      <w:r w:rsidR="00DE1B94">
        <w:t xml:space="preserve">where dual therapy is appropriate, </w:t>
      </w:r>
      <w:r w:rsidR="00810524" w:rsidRPr="008E5820">
        <w:t xml:space="preserve">LAMA/LABA is preferred </w:t>
      </w:r>
      <w:r w:rsidR="00810524">
        <w:t>to</w:t>
      </w:r>
      <w:r w:rsidR="00810524" w:rsidRPr="008E5820">
        <w:t xml:space="preserve"> ICS/LABA</w:t>
      </w:r>
      <w:r w:rsidR="00810524">
        <w:t>.</w:t>
      </w:r>
      <w:r w:rsidR="00DE1B94">
        <w:t xml:space="preserve"> </w:t>
      </w:r>
      <w:r w:rsidR="00810524">
        <w:t>Many stakeholders considered that f</w:t>
      </w:r>
      <w:r w:rsidR="00A84E24">
        <w:t xml:space="preserve">urther evidence is required to establish the comparative effectiveness of </w:t>
      </w:r>
      <w:r w:rsidR="00A53FFB">
        <w:t>IC</w:t>
      </w:r>
      <w:r w:rsidR="00810524">
        <w:t>S/LABA to LAMA/LABA therapies</w:t>
      </w:r>
      <w:r w:rsidR="00DE1B94">
        <w:t>,</w:t>
      </w:r>
      <w:r w:rsidR="00810524">
        <w:t xml:space="preserve"> and amend Australian clinical guidelines</w:t>
      </w:r>
      <w:r w:rsidR="00DE1B94">
        <w:t xml:space="preserve"> and PBS rest</w:t>
      </w:r>
      <w:r w:rsidR="00C158EB">
        <w:t>r</w:t>
      </w:r>
      <w:r w:rsidR="00DE1B94">
        <w:t>ictions</w:t>
      </w:r>
      <w:r w:rsidR="00810524">
        <w:t>.</w:t>
      </w:r>
    </w:p>
    <w:p w:rsidR="009912ED" w:rsidRPr="00CF4BA8" w:rsidRDefault="009912ED" w:rsidP="00251CB8">
      <w:pPr>
        <w:pStyle w:val="ListParagraph"/>
        <w:numPr>
          <w:ilvl w:val="0"/>
          <w:numId w:val="39"/>
        </w:numPr>
        <w:spacing w:before="0" w:after="200"/>
        <w:ind w:left="357" w:hanging="357"/>
        <w:rPr>
          <w:lang w:val="en-US"/>
        </w:rPr>
      </w:pPr>
      <w:r w:rsidRPr="005A1B3C">
        <w:rPr>
          <w:lang w:val="en-US"/>
        </w:rPr>
        <w:t>Recent post</w:t>
      </w:r>
      <w:r w:rsidR="00A95B8F">
        <w:rPr>
          <w:lang w:val="en-US"/>
        </w:rPr>
        <w:t xml:space="preserve"> </w:t>
      </w:r>
      <w:r w:rsidRPr="005A1B3C">
        <w:rPr>
          <w:lang w:val="en-US"/>
        </w:rPr>
        <w:t xml:space="preserve">hoc analysis </w:t>
      </w:r>
      <w:r w:rsidR="002F616D" w:rsidRPr="005A1B3C">
        <w:rPr>
          <w:lang w:val="en-US"/>
        </w:rPr>
        <w:t xml:space="preserve">of the WISDOM study indicates </w:t>
      </w:r>
      <w:r w:rsidRPr="005A1B3C">
        <w:rPr>
          <w:lang w:val="en-US"/>
        </w:rPr>
        <w:t xml:space="preserve">that withdrawel of ICS </w:t>
      </w:r>
      <w:r w:rsidR="002F616D" w:rsidRPr="005A1B3C">
        <w:rPr>
          <w:lang w:val="en-US"/>
        </w:rPr>
        <w:t xml:space="preserve">from triple therapy (ICS/LAMA/LABA) </w:t>
      </w:r>
      <w:r w:rsidRPr="005A1B3C">
        <w:rPr>
          <w:lang w:val="en-US"/>
        </w:rPr>
        <w:t xml:space="preserve">increased the risk of excerbations in </w:t>
      </w:r>
      <w:r w:rsidR="002F616D" w:rsidRPr="005A1B3C">
        <w:rPr>
          <w:lang w:val="en-US"/>
        </w:rPr>
        <w:t xml:space="preserve">a small group of </w:t>
      </w:r>
      <w:r w:rsidRPr="005A1B3C">
        <w:rPr>
          <w:lang w:val="en-US"/>
        </w:rPr>
        <w:t xml:space="preserve">patients with </w:t>
      </w:r>
      <w:r w:rsidR="002F616D" w:rsidRPr="005A1B3C">
        <w:rPr>
          <w:lang w:val="en-US"/>
        </w:rPr>
        <w:t xml:space="preserve">high eosinophil counts and history of </w:t>
      </w:r>
      <w:r w:rsidR="00A95B8F">
        <w:rPr>
          <w:lang w:val="en-US"/>
        </w:rPr>
        <w:t>two</w:t>
      </w:r>
      <w:r w:rsidR="002F616D" w:rsidRPr="005A1B3C">
        <w:rPr>
          <w:lang w:val="en-US"/>
        </w:rPr>
        <w:t xml:space="preserve"> or more exacerbations.</w:t>
      </w:r>
    </w:p>
    <w:p w:rsidR="007677C6" w:rsidRPr="00CF4BA8" w:rsidRDefault="00122E37" w:rsidP="00251CB8">
      <w:pPr>
        <w:pStyle w:val="ListParagraph"/>
        <w:numPr>
          <w:ilvl w:val="0"/>
          <w:numId w:val="39"/>
        </w:numPr>
        <w:spacing w:before="0" w:after="200"/>
        <w:rPr>
          <w:lang w:val="en-US"/>
        </w:rPr>
      </w:pPr>
      <w:r w:rsidRPr="005A1B3C">
        <w:rPr>
          <w:lang w:val="en-US"/>
        </w:rPr>
        <w:t xml:space="preserve">The IMPACT study </w:t>
      </w:r>
      <w:r w:rsidR="007677C6" w:rsidRPr="005A1B3C">
        <w:rPr>
          <w:lang w:val="en-US"/>
        </w:rPr>
        <w:t xml:space="preserve">will evaluate the efficacy and safety of fluticasone furoate/umeclidinium/vilanterol versus </w:t>
      </w:r>
      <w:r w:rsidRPr="005A1B3C">
        <w:rPr>
          <w:lang w:val="en-US"/>
        </w:rPr>
        <w:t>ICS/LABA</w:t>
      </w:r>
      <w:r w:rsidR="007677C6" w:rsidRPr="005A1B3C">
        <w:rPr>
          <w:lang w:val="en-US"/>
        </w:rPr>
        <w:t xml:space="preserve"> or </w:t>
      </w:r>
      <w:r w:rsidRPr="005A1B3C">
        <w:rPr>
          <w:lang w:val="en-US"/>
        </w:rPr>
        <w:t xml:space="preserve">LAMA/LABA </w:t>
      </w:r>
      <w:r>
        <w:rPr>
          <w:lang w:val="en-US"/>
        </w:rPr>
        <w:t xml:space="preserve">therapy </w:t>
      </w:r>
      <w:r w:rsidR="007677C6" w:rsidRPr="005A1B3C">
        <w:rPr>
          <w:lang w:val="en-US"/>
        </w:rPr>
        <w:t>o</w:t>
      </w:r>
      <w:r w:rsidRPr="005A1B3C">
        <w:rPr>
          <w:lang w:val="en-US"/>
        </w:rPr>
        <w:t>ver a 52-week treatment period.</w:t>
      </w:r>
    </w:p>
    <w:p w:rsidR="005F5609" w:rsidRPr="00CF4BA8" w:rsidRDefault="005F5609" w:rsidP="00251CB8">
      <w:pPr>
        <w:pStyle w:val="ListParagraph"/>
        <w:numPr>
          <w:ilvl w:val="0"/>
          <w:numId w:val="39"/>
        </w:numPr>
        <w:spacing w:before="0" w:after="200"/>
        <w:ind w:left="357" w:hanging="357"/>
        <w:rPr>
          <w:lang w:val="en-US"/>
        </w:rPr>
      </w:pPr>
      <w:r w:rsidRPr="008E5820">
        <w:t>ICS monotherapy is not TGA indicated for COPD. Restricting PBS access to ICS/LABA to patients with asthma or combined asthma/COPD is problematic given the low use of spirometry and misdiagnosis of COPD.</w:t>
      </w:r>
    </w:p>
    <w:p w:rsidR="000A2B5F" w:rsidRDefault="000A2B5F" w:rsidP="00251CB8">
      <w:pPr>
        <w:pStyle w:val="ListParagraph"/>
        <w:numPr>
          <w:ilvl w:val="0"/>
          <w:numId w:val="39"/>
        </w:numPr>
        <w:spacing w:before="0" w:after="200"/>
      </w:pPr>
      <w:r w:rsidRPr="008E5820">
        <w:lastRenderedPageBreak/>
        <w:t xml:space="preserve">A culture change is already occurring and clinicians are </w:t>
      </w:r>
      <w:r>
        <w:t xml:space="preserve">prescribing </w:t>
      </w:r>
      <w:r w:rsidRPr="008E5820">
        <w:t xml:space="preserve">LAMA/LABA in preference to ICS/LABA </w:t>
      </w:r>
      <w:r>
        <w:t xml:space="preserve">in COPD only patients </w:t>
      </w:r>
      <w:r w:rsidRPr="008E5820">
        <w:t>to reduce the risk of pneumonia.</w:t>
      </w:r>
    </w:p>
    <w:p w:rsidR="006C0566" w:rsidRDefault="00122E37" w:rsidP="00251CB8">
      <w:pPr>
        <w:pStyle w:val="ListParagraph"/>
        <w:numPr>
          <w:ilvl w:val="0"/>
          <w:numId w:val="39"/>
        </w:numPr>
      </w:pPr>
      <w:r w:rsidRPr="00122E37">
        <w:t>For further information, the Stakeholder Forum Summary is available at Appendix F</w:t>
      </w:r>
      <w:r w:rsidR="006C0566">
        <w:t>.</w:t>
      </w:r>
    </w:p>
    <w:p w:rsidR="00122E37" w:rsidRPr="00122E37" w:rsidRDefault="006C0566" w:rsidP="00251CB8">
      <w:pPr>
        <w:pStyle w:val="ListParagraph"/>
        <w:numPr>
          <w:ilvl w:val="0"/>
          <w:numId w:val="39"/>
        </w:numPr>
      </w:pPr>
      <w:r>
        <w:t xml:space="preserve">Additional recent published references were provided by stakeholders (see </w:t>
      </w:r>
      <w:r w:rsidR="00122E37" w:rsidRPr="00122E37">
        <w:t>Appendix U</w:t>
      </w:r>
      <w:r>
        <w:t>)</w:t>
      </w:r>
      <w:r w:rsidR="00122E37" w:rsidRPr="00122E37">
        <w:t xml:space="preserve">. </w:t>
      </w:r>
    </w:p>
    <w:p w:rsidR="00035233" w:rsidRDefault="00035233" w:rsidP="00251CB8">
      <w:pPr>
        <w:pStyle w:val="Heading2"/>
        <w:numPr>
          <w:ilvl w:val="1"/>
          <w:numId w:val="11"/>
        </w:numPr>
      </w:pPr>
      <w:bookmarkStart w:id="27" w:name="_Toc482185938"/>
      <w:bookmarkStart w:id="28" w:name="_Toc486428072"/>
      <w:r>
        <w:t>Background</w:t>
      </w:r>
      <w:bookmarkEnd w:id="25"/>
      <w:bookmarkEnd w:id="26"/>
      <w:bookmarkEnd w:id="27"/>
      <w:bookmarkEnd w:id="28"/>
    </w:p>
    <w:p w:rsidR="00035233" w:rsidRDefault="00035233" w:rsidP="00035233">
      <w:pPr>
        <w:pStyle w:val="BodyText"/>
      </w:pPr>
      <w:r>
        <w:t>The aim of ToR 3 of this review is to update the evidence base for LAMA and LABA monotherapy and combinations of LAMA/LABA, ICS/LABA and LAMA plus ICS/LABA therapies for the treatment of COPD. A systematic literature review was undertaken to locate additional evidence for efficacy and safety that has been published since the PBS listing of these medicines and that coul</w:t>
      </w:r>
      <w:r w:rsidR="006C0566">
        <w:t xml:space="preserve">d inform the PBAC on both short and longer </w:t>
      </w:r>
      <w:r>
        <w:t xml:space="preserve">term outcomes. The methodology and results of the systematic literature search are presented in Section </w:t>
      </w:r>
      <w:r w:rsidR="006C0566">
        <w:t>3</w:t>
      </w:r>
      <w:r w:rsidR="009309BE">
        <w:t>.3</w:t>
      </w:r>
      <w:r>
        <w:t>.</w:t>
      </w:r>
    </w:p>
    <w:p w:rsidR="00035233" w:rsidRDefault="00035233" w:rsidP="00035233">
      <w:pPr>
        <w:pStyle w:val="BodyText"/>
      </w:pPr>
      <w:r>
        <w:t xml:space="preserve">In order to provide context for the interpretation of the recently published evidence, the PBS listing history for each class of COPD medicines is described below. Further information is provided in </w:t>
      </w:r>
      <w:r w:rsidRPr="0062061D">
        <w:t xml:space="preserve">Appendix </w:t>
      </w:r>
      <w:r w:rsidR="003A4D41">
        <w:t>D</w:t>
      </w:r>
      <w:r w:rsidRPr="0062061D">
        <w:t>,</w:t>
      </w:r>
      <w:r>
        <w:t xml:space="preserve"> which pres</w:t>
      </w:r>
      <w:r w:rsidR="006C0566">
        <w:t xml:space="preserve">ents a summary of PBAC decision </w:t>
      </w:r>
      <w:r>
        <w:t>making for COPD medicines, including the trials and outcomes that were considered.</w:t>
      </w:r>
    </w:p>
    <w:p w:rsidR="00035233" w:rsidRDefault="00035233" w:rsidP="00251CB8">
      <w:pPr>
        <w:pStyle w:val="Heading3"/>
        <w:numPr>
          <w:ilvl w:val="2"/>
          <w:numId w:val="11"/>
        </w:numPr>
      </w:pPr>
      <w:bookmarkStart w:id="29" w:name="_Toc468012263"/>
      <w:bookmarkStart w:id="30" w:name="_Toc471890911"/>
      <w:bookmarkStart w:id="31" w:name="_Toc482185939"/>
      <w:bookmarkStart w:id="32" w:name="_Toc486428073"/>
      <w:r>
        <w:t>LAMAs</w:t>
      </w:r>
      <w:bookmarkEnd w:id="29"/>
      <w:bookmarkEnd w:id="30"/>
      <w:bookmarkEnd w:id="31"/>
      <w:bookmarkEnd w:id="32"/>
    </w:p>
    <w:p w:rsidR="00035233" w:rsidRDefault="00035233" w:rsidP="00035233">
      <w:pPr>
        <w:pStyle w:val="BodyText"/>
      </w:pPr>
      <w:r w:rsidRPr="004C34FF">
        <w:t xml:space="preserve">In March 2002, the PBAC considered the clinical evidence for tiotropium (Spiriva </w:t>
      </w:r>
      <w:r w:rsidR="00AC3855">
        <w:t>HandiHaler</w:t>
      </w:r>
      <w:r w:rsidRPr="004C34FF">
        <w:t>) for the treatment of COPD.</w:t>
      </w:r>
      <w:r>
        <w:t xml:space="preserve"> As there were no other long-acting bronchodilators (LABA or LAMA) listed on the PBS at the time, the submission chose the short-acting antimuscarinic agent, ipratropium bromide in the inhaler dosage form as the comparator. </w:t>
      </w:r>
      <w:r w:rsidR="00744026">
        <w:rPr>
          <w:noProof/>
          <w:color w:val="000000"/>
          <w:highlight w:val="black"/>
        </w:rPr>
        <w:t xml:space="preserve">'''''''' '''''''''' '''''''''''''''''''' ''''''' ''''''''''' '''' ''''''''''''''''''''' '''' ''''' '''''''''''''''''''''''' '''''''' '''''''''''''''''''' ''''''' '''''' ''''''''''''' '''''''''''''''''' '''' ''''''''''' '''' ''''''''''''''''''''' ''''''' '''''''''''''' ''''''''''''' '''''''''''''''''''''' ''''' '''''' '''''''''' ''''' ''''''' ''''''''' '''''''' '''''''''''''''''''' '''''''''''''''''''' ''''' ''''''' '''''''''' ''''''''' '''''''' ''''''''' '''''''''''''''''''''''' ''''''' ''''''''''''''''' ''''''' '''''''' '''''''''' '''''''' '''''''''' '''''''''''' ''''''' ''''''''' '''''''''''' '''''''''' ''''''' '''''''''''''''''''''' ''''''''' '''''''' '''''''''''''''''' ''''''' ''''''''''''''''''' '''''''''''''''''''''' '''' ''''''''''''''''''''''' ''''''''' ''''''''''''''''''''''' ''''''' '''''' '''''''''''''' '''' ''''''' ''''''''''''''' </w:t>
      </w:r>
      <w:r w:rsidRPr="003610EC">
        <w:t xml:space="preserve">Tiotropium was recommended by the PBAC based on </w:t>
      </w:r>
      <w:r w:rsidR="00556EB6">
        <w:t xml:space="preserve">an </w:t>
      </w:r>
      <w:r w:rsidRPr="003610EC">
        <w:t>acceptable</w:t>
      </w:r>
      <w:r w:rsidR="00744026">
        <w:rPr>
          <w:noProof/>
          <w:color w:val="000000"/>
          <w:highlight w:val="black"/>
        </w:rPr>
        <w:t>' ''''''' '''''''''</w:t>
      </w:r>
      <w:r w:rsidR="006C0566">
        <w:rPr>
          <w:noProof/>
          <w:color w:val="000000"/>
        </w:rPr>
        <w:t xml:space="preserve"> </w:t>
      </w:r>
      <w:r w:rsidR="00556EB6">
        <w:t xml:space="preserve">incremental </w:t>
      </w:r>
      <w:r w:rsidRPr="003610EC">
        <w:t>cost-effectiveness</w:t>
      </w:r>
      <w:r w:rsidR="00556EB6">
        <w:t xml:space="preserve"> ratio</w:t>
      </w:r>
      <w:r w:rsidRPr="003610EC">
        <w:t>. Further details</w:t>
      </w:r>
      <w:r>
        <w:t xml:space="preserve"> about the clinical evidence and economic evaluation that were presented to the PBAC for their consideration of tiotropium are available in </w:t>
      </w:r>
      <w:r w:rsidRPr="0062061D">
        <w:t xml:space="preserve">Appendix </w:t>
      </w:r>
      <w:r w:rsidR="003A4D41">
        <w:t>J</w:t>
      </w:r>
      <w:r w:rsidRPr="0062061D">
        <w:t>.</w:t>
      </w:r>
    </w:p>
    <w:p w:rsidR="00035233" w:rsidRDefault="00035233" w:rsidP="00035233">
      <w:pPr>
        <w:pStyle w:val="BodyText"/>
      </w:pPr>
      <w:r>
        <w:t xml:space="preserve">Glycopyrronium, aclidinium and umeclidinium were all recommended by the PBAC on the basis of </w:t>
      </w:r>
      <w:r w:rsidR="00A60FB4">
        <w:t>non-inferiority</w:t>
      </w:r>
      <w:r>
        <w:t xml:space="preserve"> against tiotropium, in November 2013, March 2014, and July 2014, respectively</w:t>
      </w:r>
      <w:r w:rsidR="00723713">
        <w:t>, and were cost-minimised to tiotropium</w:t>
      </w:r>
      <w:r>
        <w:t>.</w:t>
      </w:r>
    </w:p>
    <w:p w:rsidR="00035233" w:rsidRDefault="00035233" w:rsidP="00251CB8">
      <w:pPr>
        <w:pStyle w:val="Heading3"/>
        <w:numPr>
          <w:ilvl w:val="2"/>
          <w:numId w:val="11"/>
        </w:numPr>
      </w:pPr>
      <w:bookmarkStart w:id="33" w:name="_Toc468012264"/>
      <w:bookmarkStart w:id="34" w:name="_Toc471890912"/>
      <w:bookmarkStart w:id="35" w:name="_Toc482185940"/>
      <w:bookmarkStart w:id="36" w:name="_Toc486428074"/>
      <w:r>
        <w:t>LABAs</w:t>
      </w:r>
      <w:bookmarkEnd w:id="33"/>
      <w:bookmarkEnd w:id="34"/>
      <w:bookmarkEnd w:id="35"/>
      <w:bookmarkEnd w:id="36"/>
    </w:p>
    <w:p w:rsidR="00035233" w:rsidRPr="00391023" w:rsidRDefault="00035233" w:rsidP="00035233">
      <w:pPr>
        <w:pStyle w:val="BodyText"/>
      </w:pPr>
      <w:r w:rsidRPr="00391023">
        <w:t>The first consideration of indacaterol was at t</w:t>
      </w:r>
      <w:r w:rsidR="00A225BE">
        <w:t>he November 2010 PBAC meeting. According to the PSD, t</w:t>
      </w:r>
      <w:r w:rsidRPr="00391023">
        <w:t>iotropium was the nominated comparator, with evidence presented from an RCT (and a supportive cross</w:t>
      </w:r>
      <w:r w:rsidR="00CB2EED">
        <w:t>-over</w:t>
      </w:r>
      <w:r w:rsidRPr="00391023">
        <w:t xml:space="preserve"> RCT) that compared indacaterol at various doses with </w:t>
      </w:r>
      <w:r w:rsidRPr="00391023">
        <w:lastRenderedPageBreak/>
        <w:t xml:space="preserve">tiotropium and placebo. On the basis of the evidence presented, the submission claimed that indacaterol is non-inferior in terms of efficacy and comparable in terms of safety with the main comparator tiotropium. The Committee was satisfied that the clinical evidence presented in the submission was adequate to support the </w:t>
      </w:r>
      <w:r w:rsidR="00A225BE">
        <w:t xml:space="preserve">efficacy </w:t>
      </w:r>
      <w:r w:rsidRPr="00391023">
        <w:t xml:space="preserve">claim. However, the PBAC considered the safety of indacaterol in COPD to be particularly important as the use of single agent LABA treatment in asthma had been associated with hospitalisation, intubation and sudden death. Around 15% of COPD patients have concomitant asthma so serious asthma related events are a potential risk if indacaterol was used in this </w:t>
      </w:r>
      <w:r w:rsidR="005577A2">
        <w:t>patient group</w:t>
      </w:r>
      <w:r w:rsidRPr="00391023">
        <w:t>. The relative paucity of long-term safety data for indacaterol also made it hard for PBAC to assess the magnitude of these risks.</w:t>
      </w:r>
    </w:p>
    <w:p w:rsidR="00035233" w:rsidRPr="00391023" w:rsidRDefault="00035233" w:rsidP="00035233">
      <w:pPr>
        <w:pStyle w:val="BodyText"/>
      </w:pPr>
      <w:r w:rsidRPr="00391023">
        <w:t xml:space="preserve">The PBAC also commented that the submission did not provide data on add-on use where indacaterol would be added to regimens of tiotropium monotherapy rather than replacing tiotropium outright. The PBAC considered that in clinical practice, indacaterol would replace tiotropium as the initial treatment in some newly diagnosed patients, but would be added to tiotropium in many other patients in place of ICS/LABA. No data were provided by the submission to establish that the efficacy and safety of indacaterol was non-inferior to </w:t>
      </w:r>
      <w:proofErr w:type="gramStart"/>
      <w:r w:rsidRPr="00391023">
        <w:t>a</w:t>
      </w:r>
      <w:proofErr w:type="gramEnd"/>
      <w:r w:rsidRPr="00391023">
        <w:t xml:space="preserve"> ICS/LABA. The PBAC therefore rejected the submission because of uncertainty about the clinical place of indacaterol in the treatment of COPD, because of concerns about the long-term safety of LABA without ICS therapy in COPD, and because the submission did not provide any data on the comparative efficacy and safety of indacaterol and LABA/ICS combinations.</w:t>
      </w:r>
    </w:p>
    <w:p w:rsidR="00035233" w:rsidRPr="00391023" w:rsidRDefault="00035233" w:rsidP="00035233">
      <w:pPr>
        <w:pStyle w:val="BodyText"/>
      </w:pPr>
      <w:r w:rsidRPr="00391023">
        <w:t>In July 2011</w:t>
      </w:r>
      <w:r w:rsidR="00723713">
        <w:t>,</w:t>
      </w:r>
      <w:r w:rsidRPr="00391023">
        <w:t xml:space="preserve"> the PBAC considered a re</w:t>
      </w:r>
      <w:r w:rsidR="000F5807">
        <w:t>submission</w:t>
      </w:r>
      <w:r w:rsidRPr="00391023">
        <w:t xml:space="preserve"> for indacaterol that appropriately nominated fluticasone</w:t>
      </w:r>
      <w:r w:rsidR="005D72A8">
        <w:t xml:space="preserve"> propionate</w:t>
      </w:r>
      <w:r w:rsidRPr="00391023">
        <w:t>/salmeter</w:t>
      </w:r>
      <w:r w:rsidR="00A225BE">
        <w:t>ol FDC as the main comparator. According to the PSD, t</w:t>
      </w:r>
      <w:r w:rsidRPr="00391023">
        <w:t>he re</w:t>
      </w:r>
      <w:r w:rsidR="009B3FE7">
        <w:t>submission</w:t>
      </w:r>
      <w:r w:rsidRPr="00391023">
        <w:t xml:space="preserve"> compared indacaterol added to tiotropium versus fluticasone</w:t>
      </w:r>
      <w:r w:rsidR="005D72A8">
        <w:t xml:space="preserve"> propionate</w:t>
      </w:r>
      <w:r w:rsidRPr="00391023">
        <w:t>/salmeterol FDC added to tiotropium, on the basis of an indirect comparison of change in trough FEV</w:t>
      </w:r>
      <w:r w:rsidRPr="00391023">
        <w:rPr>
          <w:vertAlign w:val="subscript"/>
        </w:rPr>
        <w:t>1</w:t>
      </w:r>
      <w:r w:rsidRPr="00391023">
        <w:t xml:space="preserve"> using the common comparator tiotropium. The PBAC accepted the submission’s claim that indacaterol in combination with tiotropium is non-inferior in terms of comparative effectiveness and similar safety to fluticasone</w:t>
      </w:r>
      <w:r w:rsidR="005D72A8">
        <w:t xml:space="preserve"> propionate</w:t>
      </w:r>
      <w:r w:rsidRPr="00391023">
        <w:t xml:space="preserve">/salmeterol in combination with tiotropium. Although there was some uncertainty regarding the comparability of the trials used in the indirect comparison, the PBAC considered that this was a valid comparison. </w:t>
      </w:r>
    </w:p>
    <w:p w:rsidR="00035233" w:rsidRPr="00391023" w:rsidRDefault="00035233" w:rsidP="00035233">
      <w:pPr>
        <w:pStyle w:val="BodyText"/>
      </w:pPr>
      <w:r w:rsidRPr="00391023">
        <w:t xml:space="preserve">The equi-effective doses were considered to be indacaterol 150 micrograms daily, fluticasone </w:t>
      </w:r>
      <w:r w:rsidR="005D72A8">
        <w:t xml:space="preserve">propionate </w:t>
      </w:r>
      <w:r w:rsidRPr="00391023">
        <w:t xml:space="preserve">with salmeterol 250/25 </w:t>
      </w:r>
      <w:r w:rsidR="00737441" w:rsidRPr="00391023">
        <w:t xml:space="preserve">μg </w:t>
      </w:r>
      <w:r w:rsidRPr="00391023">
        <w:t xml:space="preserve">, </w:t>
      </w:r>
      <w:r w:rsidR="00A225BE">
        <w:t>two</w:t>
      </w:r>
      <w:r w:rsidRPr="00391023">
        <w:t xml:space="preserve"> puffs twice daily and tiotropium 18 micrograms daily. As the original submission demonstrated comparative clinical efficacy of the two doses of indacaterol (150 μg and 300 μg once daily), and the sponsor did not request a price differential between the doses, the PBAC considered both indacaterol 150 μg and 300 μg to be equivalent to tiotropium 18 μg.</w:t>
      </w:r>
    </w:p>
    <w:p w:rsidR="00035233" w:rsidRPr="00391023" w:rsidRDefault="00035233" w:rsidP="00035233">
      <w:pPr>
        <w:pStyle w:val="BodyText"/>
      </w:pPr>
      <w:r w:rsidRPr="00391023">
        <w:t xml:space="preserve">The PBAC considered that the additional safety data provided to address concerns raised in November 2010 about serious adverse events occurring with LABA monotherapy use in </w:t>
      </w:r>
      <w:proofErr w:type="gramStart"/>
      <w:r w:rsidRPr="00391023">
        <w:t>asthma,</w:t>
      </w:r>
      <w:proofErr w:type="gramEnd"/>
      <w:r w:rsidRPr="00391023">
        <w:t xml:space="preserve"> was supportive of monotherapy LABA use in COPD only. They recommended the addition of a NOTE to the restriction stating that indacaterol is not PBS</w:t>
      </w:r>
      <w:r w:rsidR="00185623">
        <w:t>-</w:t>
      </w:r>
      <w:r w:rsidRPr="00391023">
        <w:t>subsidised in asthma to minimise use for this indication.</w:t>
      </w:r>
    </w:p>
    <w:p w:rsidR="00035233" w:rsidRDefault="00035233" w:rsidP="00251CB8">
      <w:pPr>
        <w:pStyle w:val="Heading3"/>
        <w:numPr>
          <w:ilvl w:val="2"/>
          <w:numId w:val="11"/>
        </w:numPr>
      </w:pPr>
      <w:bookmarkStart w:id="37" w:name="_Toc468012265"/>
      <w:bookmarkStart w:id="38" w:name="_Toc471890913"/>
      <w:bookmarkStart w:id="39" w:name="_Toc482185941"/>
      <w:bookmarkStart w:id="40" w:name="_Toc486428075"/>
      <w:r>
        <w:lastRenderedPageBreak/>
        <w:t>LAMA/LABA dual therapy</w:t>
      </w:r>
      <w:bookmarkEnd w:id="37"/>
      <w:bookmarkEnd w:id="38"/>
      <w:bookmarkEnd w:id="39"/>
      <w:bookmarkEnd w:id="40"/>
    </w:p>
    <w:p w:rsidR="00035233" w:rsidRDefault="00035233" w:rsidP="00035233">
      <w:pPr>
        <w:pStyle w:val="BodyText"/>
      </w:pPr>
      <w:r>
        <w:t>The first LAMA/LABA FDC listed on the PBS was umeclidinium/vilanterol, which was first conside</w:t>
      </w:r>
      <w:r w:rsidR="001E17A1">
        <w:t>red by the PBAC in March 2014. According to the PSD, t</w:t>
      </w:r>
      <w:r>
        <w:t xml:space="preserve">he submission nominated indacaterol 150 </w:t>
      </w:r>
      <w:r w:rsidR="00475022" w:rsidRPr="00391023">
        <w:t>μg</w:t>
      </w:r>
      <w:r>
        <w:t xml:space="preserve"> plus tiotropium 18 </w:t>
      </w:r>
      <w:r w:rsidR="00475022" w:rsidRPr="00391023">
        <w:t>μg</w:t>
      </w:r>
      <w:r>
        <w:t xml:space="preserve"> as the main comparator, and glycopyrronium/indacaterol FDC as a supportive comparator. The clinical claim was that combination therapy with umeclidinium/vilanterol has comparable effectiveness to indacaterol plus tiotropium at 12 weeks, and has a similar safety profile. The PBAC rejected the submission as the FDC was cost-minimised to the sum of the component products and this was not justified by the evidence presented as the price of the FDC would be approximately twice the cost of monotherapy in the absence of evidence to demonstrate an incremental benefit of that magnitude. </w:t>
      </w:r>
    </w:p>
    <w:p w:rsidR="00035233" w:rsidRDefault="00035233" w:rsidP="00035233">
      <w:pPr>
        <w:pStyle w:val="BodyText"/>
      </w:pPr>
      <w:r>
        <w:t>As the incremental gain in FEV</w:t>
      </w:r>
      <w:r w:rsidRPr="00894B6E">
        <w:rPr>
          <w:vertAlign w:val="subscript"/>
        </w:rPr>
        <w:t>1</w:t>
      </w:r>
      <w:r>
        <w:t xml:space="preserve"> of the FDC was not able to be translated into more clinically relevant measures of effect (e.g. frequency of exacerbations, hospitalisations), the PBAC considered it was unable to determine and value the incremental benefit associated with use of the FDC compared with use of components given concurrently. Therefore, the </w:t>
      </w:r>
      <w:r w:rsidR="005510C8">
        <w:t>C</w:t>
      </w:r>
      <w:r>
        <w:t>ommittee was unable to determine an appropriate price for the FDC.</w:t>
      </w:r>
    </w:p>
    <w:p w:rsidR="00035233" w:rsidRDefault="00035233" w:rsidP="00035233">
      <w:pPr>
        <w:pStyle w:val="BodyText"/>
      </w:pPr>
      <w:r>
        <w:t>In July 2014, the PBAC considered a minor submission for umeclidinium/vilanterol with a similar clinical claim to th</w:t>
      </w:r>
      <w:r w:rsidR="001E17A1">
        <w:t>e March 2014 major submission. According to the PSD, t</w:t>
      </w:r>
      <w:r>
        <w:t>he minor submission presented a new trial that claimed an incremental benefit in FEV</w:t>
      </w:r>
      <w:r w:rsidRPr="00894B6E">
        <w:rPr>
          <w:vertAlign w:val="subscript"/>
        </w:rPr>
        <w:t>1</w:t>
      </w:r>
      <w:r>
        <w:t xml:space="preserve"> of 112 mL over tiotropium monotherapy. As a minor submission, this trial was not evaluated. However, the PBAC considered that the claim of non-inferior comparative effectiveness and safety to indacaterol plus tiotropium was reasonable.</w:t>
      </w:r>
    </w:p>
    <w:p w:rsidR="00035233" w:rsidRDefault="00035233" w:rsidP="00035233">
      <w:pPr>
        <w:pStyle w:val="BodyText"/>
      </w:pPr>
      <w:r>
        <w:t>The submission attempted to address the PBAC concerns regarding price determination by calculating the incremental benefit of the FDC using a price per mL improvement in FEV</w:t>
      </w:r>
      <w:r w:rsidRPr="00CD160B">
        <w:rPr>
          <w:vertAlign w:val="subscript"/>
        </w:rPr>
        <w:t>1</w:t>
      </w:r>
      <w:r>
        <w:t xml:space="preserve"> over monotherapy and then discounting the resulting price to deal with some of the uncertainty in this approach. The PBAC considered that the approach used assumptions that were not appropriately justified, but accepted that under the proposed </w:t>
      </w:r>
      <w:proofErr w:type="gramStart"/>
      <w:r>
        <w:t>approach,</w:t>
      </w:r>
      <w:proofErr w:type="gramEnd"/>
      <w:r>
        <w:t xml:space="preserve"> the listing of the FDC would be associated with both benefits and cost savings for patients who are already using individual LAMA and LABA in separate devices.</w:t>
      </w:r>
    </w:p>
    <w:p w:rsidR="00035233" w:rsidRDefault="00035233" w:rsidP="00035233">
      <w:pPr>
        <w:pStyle w:val="BodyText"/>
      </w:pPr>
      <w:r>
        <w:t>The PBAC subsequently recommended umeclidinium/vilanterol FDC at the July 2014 meeting on a cost-minimisation basis compared with tiotropium and indacaterol with a price adjustment to account for FEV</w:t>
      </w:r>
      <w:r w:rsidRPr="00CD160B">
        <w:rPr>
          <w:vertAlign w:val="subscript"/>
        </w:rPr>
        <w:t>1</w:t>
      </w:r>
      <w:r>
        <w:t xml:space="preserve"> efficacy being less than the sum of components (equi-effective doses: umeclidinium/vilanterol 62.5/25 μg, tiotropium 18 μg and indacaterol 150 μg). </w:t>
      </w:r>
    </w:p>
    <w:p w:rsidR="00035233" w:rsidRDefault="00035233" w:rsidP="00035233">
      <w:pPr>
        <w:pStyle w:val="BodyText"/>
      </w:pPr>
      <w:r>
        <w:t xml:space="preserve">At the same meeting, the PBAC recommended glycopyrronium/indacaterol on the basis of </w:t>
      </w:r>
      <w:r w:rsidR="00113A4A">
        <w:t>non-inferiority to</w:t>
      </w:r>
      <w:r w:rsidR="00967D49">
        <w:t xml:space="preserve"> umeclidinium/vilanterol. </w:t>
      </w:r>
      <w:r>
        <w:t xml:space="preserve">Tiotropium/olodaterol and aclidinium/eformoterol were recommended at the July 2015 meeting on the basis of </w:t>
      </w:r>
      <w:r w:rsidR="00113A4A">
        <w:t>non-inferiority</w:t>
      </w:r>
      <w:r>
        <w:t xml:space="preserve"> to the two LAMA/LABA FDCs that were already listed at the time of submission (glycopyrronium/indacaterol and umeclidinium/vilanterol FDCs).</w:t>
      </w:r>
    </w:p>
    <w:p w:rsidR="00035233" w:rsidRDefault="00035233" w:rsidP="00251CB8">
      <w:pPr>
        <w:pStyle w:val="Heading3"/>
        <w:numPr>
          <w:ilvl w:val="2"/>
          <w:numId w:val="11"/>
        </w:numPr>
      </w:pPr>
      <w:bookmarkStart w:id="41" w:name="_Toc468012266"/>
      <w:bookmarkStart w:id="42" w:name="_Toc471890914"/>
      <w:bookmarkStart w:id="43" w:name="_Toc482185942"/>
      <w:bookmarkStart w:id="44" w:name="_Toc486428076"/>
      <w:r>
        <w:lastRenderedPageBreak/>
        <w:t>ICS/LABA dual therapy</w:t>
      </w:r>
      <w:bookmarkEnd w:id="41"/>
      <w:bookmarkEnd w:id="42"/>
      <w:bookmarkEnd w:id="43"/>
      <w:bookmarkEnd w:id="44"/>
    </w:p>
    <w:p w:rsidR="00035233" w:rsidRDefault="00035233" w:rsidP="00035233">
      <w:pPr>
        <w:pStyle w:val="BodyText"/>
      </w:pPr>
      <w:r>
        <w:t>The March 2007 submission for fluticasone</w:t>
      </w:r>
      <w:r w:rsidR="005D72A8">
        <w:t xml:space="preserve"> propionate</w:t>
      </w:r>
      <w:r>
        <w:t>/salmeterol claimed that Seretide is more effective than tio</w:t>
      </w:r>
      <w:r w:rsidR="00875EE4">
        <w:t>tropium with similar toxicity. T</w:t>
      </w:r>
      <w:r>
        <w:t>he clinical claim was based on one key RCT comparing fluticasone</w:t>
      </w:r>
      <w:r w:rsidR="005D72A8">
        <w:t xml:space="preserve"> propionate/</w:t>
      </w:r>
      <w:r>
        <w:t>salmeterol 500/50 μg twice daily with tiotropium 18 μg once daily in patients with COPD over 104 weeks. Two supportive trials comparing the same drugs in a similar population over 12 weeks and 3 weeks respectively were also provided. None of the trials were published at the time of the submission.</w:t>
      </w:r>
    </w:p>
    <w:p w:rsidR="00035233" w:rsidRDefault="00035233" w:rsidP="00035233">
      <w:pPr>
        <w:pStyle w:val="BodyText"/>
      </w:pPr>
      <w:r>
        <w:t>According to the PSD, there was no statistically significant difference between treatments in the rate of health care utilisation exacerbations, which was the primary outcome of the trial. All-cause mortality, which was one of the safety outcomes in the trial, had been relied on in the economic evaluations. There were more death events in the tiotropium group than in the fluticasone</w:t>
      </w:r>
      <w:r w:rsidR="005D72A8">
        <w:t xml:space="preserve"> propionate</w:t>
      </w:r>
      <w:r>
        <w:t>/salmeterol group. The majority of the fatalities were associated with cardiac disorders, with a greater percentage occurring in the tiotropium group compared with the fluticasone</w:t>
      </w:r>
      <w:r w:rsidR="005D72A8">
        <w:t xml:space="preserve"> propionate</w:t>
      </w:r>
      <w:r>
        <w:t>/salmeterol group.</w:t>
      </w:r>
    </w:p>
    <w:p w:rsidR="00035233" w:rsidRDefault="00035233" w:rsidP="00035233">
      <w:pPr>
        <w:pStyle w:val="BodyText"/>
      </w:pPr>
      <w:r>
        <w:t>The PBAC considered that there was no plausible biological mechanism to support such a difference. Further, the all-cause mortality data could be considered an unexpected finding because the trial had not predefined the hypothesis that fluticasone</w:t>
      </w:r>
      <w:r w:rsidR="005D72A8">
        <w:t xml:space="preserve"> propionate</w:t>
      </w:r>
      <w:r>
        <w:t>/salmeterol has a role in the prevention of mortality in patients with COPD.</w:t>
      </w:r>
    </w:p>
    <w:p w:rsidR="00035233" w:rsidRDefault="00035233" w:rsidP="00035233">
      <w:pPr>
        <w:pStyle w:val="BodyText"/>
      </w:pPr>
      <w:r>
        <w:t>The PBAC did not accept the clinical claim that fluticasone</w:t>
      </w:r>
      <w:r w:rsidR="005D72A8">
        <w:t xml:space="preserve"> propionate</w:t>
      </w:r>
      <w:r>
        <w:t>/salmeterol had significant advantages in terms of clinical effectiveness and toxicity over tiotropium. Therefore, its use as the foundation of an economic claim was not appropriate. In the pre-PBAC response, the sponsor accepted a therapeutic relativity of no difference in effectiveness and safety between fluticasone</w:t>
      </w:r>
      <w:r w:rsidR="005D72A8">
        <w:t xml:space="preserve"> propionate</w:t>
      </w:r>
      <w:r>
        <w:t>/salmeterol and tiotropium, based on the results of the key RCT (trial 40036).</w:t>
      </w:r>
    </w:p>
    <w:p w:rsidR="00035233" w:rsidRPr="00FB1893" w:rsidRDefault="00035233" w:rsidP="00035233">
      <w:pPr>
        <w:pStyle w:val="BodyText"/>
      </w:pPr>
      <w:r>
        <w:t xml:space="preserve">In November 2010, the PBAC considered and recommended a submission for budesonide/eformoterol (Symbicort Turbuhaler), which was </w:t>
      </w:r>
      <w:r w:rsidR="00113A4A">
        <w:t>considered non-inferior to</w:t>
      </w:r>
      <w:r>
        <w:t xml:space="preserve"> fluticasone</w:t>
      </w:r>
      <w:r w:rsidR="005D72A8">
        <w:t xml:space="preserve"> propionate</w:t>
      </w:r>
      <w:r>
        <w:t>/salmeterol. A second formulation of budesonide/eformoterol (Symbicort Rapihaler) was recommended by the PBAC in July 2013, cost-minimised against Symbicort Turbuhaler. In July 2014, fluticasone</w:t>
      </w:r>
      <w:r w:rsidR="000F3648">
        <w:t xml:space="preserve"> furoate</w:t>
      </w:r>
      <w:r>
        <w:t xml:space="preserve">/vilanterol was recommended by the PBAC on the basis of </w:t>
      </w:r>
      <w:r w:rsidR="00FA20E7">
        <w:t>non-inferiority to</w:t>
      </w:r>
      <w:r>
        <w:t xml:space="preserve"> fluticasone</w:t>
      </w:r>
      <w:r w:rsidR="000F3648">
        <w:t xml:space="preserve"> propionate</w:t>
      </w:r>
      <w:r>
        <w:t>/salmeterol.</w:t>
      </w:r>
    </w:p>
    <w:p w:rsidR="00035233" w:rsidRDefault="00035233" w:rsidP="00251CB8">
      <w:pPr>
        <w:pStyle w:val="Heading2"/>
        <w:numPr>
          <w:ilvl w:val="1"/>
          <w:numId w:val="11"/>
        </w:numPr>
      </w:pPr>
      <w:bookmarkStart w:id="45" w:name="_Toc468012267"/>
      <w:bookmarkStart w:id="46" w:name="_Ref471310519"/>
      <w:bookmarkStart w:id="47" w:name="_Toc471890915"/>
      <w:bookmarkStart w:id="48" w:name="_Toc482185943"/>
      <w:bookmarkStart w:id="49" w:name="_Toc486428077"/>
      <w:r>
        <w:t>Methodology</w:t>
      </w:r>
      <w:bookmarkEnd w:id="45"/>
      <w:bookmarkEnd w:id="46"/>
      <w:bookmarkEnd w:id="47"/>
      <w:bookmarkEnd w:id="48"/>
      <w:bookmarkEnd w:id="49"/>
    </w:p>
    <w:p w:rsidR="00035233" w:rsidRPr="00E7070C" w:rsidRDefault="00035233" w:rsidP="00035233">
      <w:pPr>
        <w:pStyle w:val="BodyText"/>
      </w:pPr>
      <w:r>
        <w:t>This section outlines the methodology that underpinned the evidence review undertaken to address ToR 3</w:t>
      </w:r>
      <w:r w:rsidRPr="00C25BA8">
        <w:t xml:space="preserve">. Throughout </w:t>
      </w:r>
      <w:r w:rsidR="00C25BA8" w:rsidRPr="00C25BA8">
        <w:t>Chapter 3</w:t>
      </w:r>
      <w:r>
        <w:t>, newer studies that add to the existing evidence base are discussed in light of findings previously submitted to the PBAC, with consideration of whether the newer evidence provides sup</w:t>
      </w:r>
      <w:r w:rsidR="006C5B62">
        <w:t xml:space="preserve">port for previous PBAC decision </w:t>
      </w:r>
      <w:r>
        <w:t>making.</w:t>
      </w:r>
    </w:p>
    <w:p w:rsidR="00035233" w:rsidRDefault="00035233" w:rsidP="00251CB8">
      <w:pPr>
        <w:pStyle w:val="Heading3"/>
        <w:numPr>
          <w:ilvl w:val="2"/>
          <w:numId w:val="11"/>
        </w:numPr>
      </w:pPr>
      <w:bookmarkStart w:id="50" w:name="_Toc468012268"/>
      <w:bookmarkStart w:id="51" w:name="_Toc471890916"/>
      <w:bookmarkStart w:id="52" w:name="_Toc482185944"/>
      <w:bookmarkStart w:id="53" w:name="_Toc486428078"/>
      <w:r>
        <w:lastRenderedPageBreak/>
        <w:t>Identification of relevant studies</w:t>
      </w:r>
      <w:bookmarkEnd w:id="50"/>
      <w:bookmarkEnd w:id="51"/>
      <w:bookmarkEnd w:id="52"/>
      <w:bookmarkEnd w:id="53"/>
    </w:p>
    <w:p w:rsidR="00035233" w:rsidRDefault="00035233" w:rsidP="00035233">
      <w:pPr>
        <w:pStyle w:val="BodyText"/>
      </w:pPr>
      <w:r>
        <w:t>The peer-reviewed literature was systematically searched for clinical studies that evaluated the safety and effectiveness of LAMA and LABA monotherapy as well as combinations of LAMA, LABA and ICS at the doses and formul</w:t>
      </w:r>
      <w:r w:rsidR="006C5B62">
        <w:t>ations listed on the PBS for COPD</w:t>
      </w:r>
      <w:r>
        <w:t xml:space="preserve"> treatment. </w:t>
      </w:r>
    </w:p>
    <w:p w:rsidR="00035233" w:rsidRDefault="00035233" w:rsidP="00035233">
      <w:pPr>
        <w:pStyle w:val="BodyText"/>
      </w:pPr>
      <w:r>
        <w:t xml:space="preserve">Systematic searches were conducted in the following electronic databases: Medline, EMBASE and the Cochrane Library, using the search strategies outlined in </w:t>
      </w:r>
      <w:r w:rsidRPr="0062061D">
        <w:t xml:space="preserve">Appendix </w:t>
      </w:r>
      <w:r w:rsidR="00417023">
        <w:t>K</w:t>
      </w:r>
      <w:r w:rsidRPr="0062061D">
        <w:t>.</w:t>
      </w:r>
      <w:r>
        <w:t xml:space="preserve"> Restrictions were placed on the time period searched to capture evidence that has not previously been considered by the PBAC. The reference lists of relevant papers were scanned for other studies potentially missed in the searches, and any additional evidence (published or unpublished) provided by the sponsors in their public consultation submissions on the final ToR for this review was</w:t>
      </w:r>
      <w:r w:rsidR="007872E5">
        <w:t xml:space="preserve"> also considered for inclusion.</w:t>
      </w:r>
    </w:p>
    <w:p w:rsidR="00035233" w:rsidRDefault="007B6112" w:rsidP="00035233">
      <w:pPr>
        <w:pStyle w:val="BodyText"/>
      </w:pPr>
      <w:r>
        <w:t xml:space="preserve">Table 3.5 </w:t>
      </w:r>
      <w:r w:rsidR="00035233">
        <w:t xml:space="preserve">summarises the literature search criteria that was used to address ToR 3. The table also describes the eligibility criteria that were applied to the titles and abstracts of identified citations. Literature identified as opinion pieces, editorials or other papers without a clear study design and description of method and results were not included. Conference abstracts and studies that are not published in the English language were excluded. </w:t>
      </w:r>
    </w:p>
    <w:p w:rsidR="00035233" w:rsidRDefault="00035233" w:rsidP="00035233">
      <w:pPr>
        <w:pStyle w:val="BodyText"/>
      </w:pPr>
      <w:r>
        <w:t xml:space="preserve">Where the citation appeared to meet the eligibility criteria, full articles were retrieved for further assessment. </w:t>
      </w:r>
      <w:r w:rsidRPr="001D3768">
        <w:t xml:space="preserve">The same criteria were applied to the full articles. </w:t>
      </w:r>
      <w:r>
        <w:t xml:space="preserve">Those publications </w:t>
      </w:r>
      <w:r w:rsidRPr="001D3768">
        <w:t>that initially met the eligibility criteria</w:t>
      </w:r>
      <w:r w:rsidR="006C5B62">
        <w:t>, but</w:t>
      </w:r>
      <w:r w:rsidRPr="001D3768">
        <w:t xml:space="preserve"> were later excluded</w:t>
      </w:r>
      <w:r w:rsidR="006C5B62">
        <w:t>,</w:t>
      </w:r>
      <w:r w:rsidRPr="001D3768">
        <w:t xml:space="preserve"> w</w:t>
      </w:r>
      <w:r>
        <w:t>ere</w:t>
      </w:r>
      <w:r w:rsidR="006C5B62">
        <w:t xml:space="preserve"> documented</w:t>
      </w:r>
      <w:r w:rsidRPr="001D3768">
        <w:t xml:space="preserve"> wit</w:t>
      </w:r>
      <w:r w:rsidR="006C5B62">
        <w:t>h the reasons for exclusion</w:t>
      </w:r>
      <w:r w:rsidR="00DB128F">
        <w:t xml:space="preserve"> (see Appendix </w:t>
      </w:r>
      <w:r w:rsidR="00417023">
        <w:t>N</w:t>
      </w:r>
      <w:r w:rsidR="00DB128F">
        <w:t>)</w:t>
      </w:r>
      <w:r w:rsidRPr="001D3768">
        <w:t>.</w:t>
      </w:r>
    </w:p>
    <w:p w:rsidR="00035233" w:rsidRDefault="006C5B62" w:rsidP="006C5B62">
      <w:pPr>
        <w:pStyle w:val="ToR3Tableheader"/>
        <w:keepNext w:val="0"/>
      </w:pPr>
      <w:bookmarkStart w:id="54" w:name="_Toc468012285"/>
      <w:bookmarkStart w:id="55" w:name="_Toc468034441"/>
      <w:bookmarkStart w:id="56" w:name="_Toc471890997"/>
      <w:bookmarkStart w:id="57" w:name="_Toc486428184"/>
      <w:r>
        <w:t>Table 3.5</w:t>
      </w:r>
      <w:r w:rsidR="00035233">
        <w:tab/>
        <w:t>Literature search criteria for ToR 3</w:t>
      </w:r>
      <w:bookmarkEnd w:id="54"/>
      <w:bookmarkEnd w:id="55"/>
      <w:bookmarkEnd w:id="56"/>
      <w:bookmarkEnd w:id="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0" w:type="dxa"/>
          <w:bottom w:w="57" w:type="dxa"/>
          <w:right w:w="0" w:type="dxa"/>
        </w:tblCellMar>
        <w:tblLook w:val="04A0" w:firstRow="1" w:lastRow="0" w:firstColumn="1" w:lastColumn="0" w:noHBand="0" w:noVBand="1"/>
        <w:tblCaption w:val="Literature search criteria for ToR 3"/>
        <w:tblDescription w:val="Details of literature search"/>
      </w:tblPr>
      <w:tblGrid>
        <w:gridCol w:w="1555"/>
        <w:gridCol w:w="8073"/>
      </w:tblGrid>
      <w:tr w:rsidR="00035233" w:rsidTr="00035233">
        <w:trPr>
          <w:cantSplit/>
          <w:tblHeader/>
        </w:trPr>
        <w:tc>
          <w:tcPr>
            <w:tcW w:w="1555" w:type="dxa"/>
            <w:shd w:val="clear" w:color="auto" w:fill="BFBFBF"/>
          </w:tcPr>
          <w:p w:rsidR="00035233" w:rsidRDefault="00035233" w:rsidP="006C5B62">
            <w:pPr>
              <w:pStyle w:val="01TableHEADINGleftaligned"/>
              <w:keepNext w:val="0"/>
            </w:pPr>
            <w:r>
              <w:t>Limit</w:t>
            </w:r>
          </w:p>
        </w:tc>
        <w:tc>
          <w:tcPr>
            <w:tcW w:w="8073" w:type="dxa"/>
            <w:shd w:val="clear" w:color="auto" w:fill="BFBFBF"/>
          </w:tcPr>
          <w:p w:rsidR="00035233" w:rsidRDefault="00035233" w:rsidP="006C5B62">
            <w:pPr>
              <w:pStyle w:val="01TableHEADINGleftaligned"/>
              <w:keepNext w:val="0"/>
            </w:pPr>
            <w:r>
              <w:t>Eligibility criteria</w:t>
            </w:r>
          </w:p>
        </w:tc>
      </w:tr>
      <w:tr w:rsidR="00035233" w:rsidTr="00035233">
        <w:trPr>
          <w:cantSplit/>
        </w:trPr>
        <w:tc>
          <w:tcPr>
            <w:tcW w:w="1555" w:type="dxa"/>
            <w:shd w:val="clear" w:color="auto" w:fill="auto"/>
          </w:tcPr>
          <w:p w:rsidR="00035233" w:rsidRDefault="00035233" w:rsidP="006C5B62">
            <w:pPr>
              <w:pStyle w:val="05Tabletext"/>
            </w:pPr>
            <w:r>
              <w:t>Databases of peer-review literature</w:t>
            </w:r>
          </w:p>
        </w:tc>
        <w:tc>
          <w:tcPr>
            <w:tcW w:w="8073" w:type="dxa"/>
            <w:shd w:val="clear" w:color="auto" w:fill="auto"/>
          </w:tcPr>
          <w:p w:rsidR="00035233" w:rsidRDefault="00035233" w:rsidP="00251CB8">
            <w:pPr>
              <w:pStyle w:val="05Tabletext"/>
              <w:numPr>
                <w:ilvl w:val="0"/>
                <w:numId w:val="53"/>
              </w:numPr>
              <w:ind w:left="293" w:hanging="142"/>
            </w:pPr>
            <w:r>
              <w:t>EMBASE</w:t>
            </w:r>
          </w:p>
          <w:p w:rsidR="00035233" w:rsidRDefault="00035233" w:rsidP="00251CB8">
            <w:pPr>
              <w:pStyle w:val="05Tabletext"/>
              <w:numPr>
                <w:ilvl w:val="0"/>
                <w:numId w:val="53"/>
              </w:numPr>
              <w:ind w:left="293" w:hanging="142"/>
            </w:pPr>
            <w:r>
              <w:t>Medline</w:t>
            </w:r>
          </w:p>
          <w:p w:rsidR="00035233" w:rsidRDefault="00035233" w:rsidP="00251CB8">
            <w:pPr>
              <w:pStyle w:val="05Tabletext"/>
              <w:numPr>
                <w:ilvl w:val="0"/>
                <w:numId w:val="53"/>
              </w:numPr>
              <w:ind w:left="293" w:hanging="142"/>
            </w:pPr>
            <w:r>
              <w:t>Cochrane Library</w:t>
            </w:r>
          </w:p>
        </w:tc>
      </w:tr>
      <w:tr w:rsidR="00035233" w:rsidTr="00035233">
        <w:trPr>
          <w:cantSplit/>
        </w:trPr>
        <w:tc>
          <w:tcPr>
            <w:tcW w:w="1555" w:type="dxa"/>
            <w:shd w:val="clear" w:color="auto" w:fill="auto"/>
          </w:tcPr>
          <w:p w:rsidR="00035233" w:rsidRDefault="00035233" w:rsidP="006C5B62">
            <w:pPr>
              <w:pStyle w:val="05Tabletext"/>
            </w:pPr>
            <w:r>
              <w:t>Other means to identify evidence</w:t>
            </w:r>
          </w:p>
        </w:tc>
        <w:tc>
          <w:tcPr>
            <w:tcW w:w="8073" w:type="dxa"/>
            <w:shd w:val="clear" w:color="auto" w:fill="auto"/>
          </w:tcPr>
          <w:p w:rsidR="00035233" w:rsidRDefault="00035233" w:rsidP="00251CB8">
            <w:pPr>
              <w:pStyle w:val="05Tabletext"/>
              <w:numPr>
                <w:ilvl w:val="0"/>
                <w:numId w:val="53"/>
              </w:numPr>
              <w:ind w:left="293" w:hanging="142"/>
            </w:pPr>
            <w:r>
              <w:t>Scan of HTA websites for relevant reports: AHRQ,</w:t>
            </w:r>
            <w:r w:rsidRPr="00133B6F">
              <w:t xml:space="preserve"> </w:t>
            </w:r>
            <w:r>
              <w:t xml:space="preserve">CADTH, KCE, NHS HTA/NCCHTA, </w:t>
            </w:r>
            <w:proofErr w:type="gramStart"/>
            <w:r>
              <w:t>NHS</w:t>
            </w:r>
            <w:proofErr w:type="gramEnd"/>
            <w:r>
              <w:t xml:space="preserve"> CRD, NICE.</w:t>
            </w:r>
          </w:p>
          <w:p w:rsidR="00035233" w:rsidRDefault="00035233" w:rsidP="00251CB8">
            <w:pPr>
              <w:pStyle w:val="05Tabletext"/>
              <w:numPr>
                <w:ilvl w:val="0"/>
                <w:numId w:val="53"/>
              </w:numPr>
              <w:ind w:left="293" w:hanging="142"/>
            </w:pPr>
            <w:r>
              <w:t>Scan of r</w:t>
            </w:r>
            <w:r w:rsidRPr="00DE3399">
              <w:t xml:space="preserve">eference lists of relevant systematic reviews, selected narrative reviews, primary articles and </w:t>
            </w:r>
            <w:r>
              <w:t xml:space="preserve">evidence-based </w:t>
            </w:r>
            <w:r w:rsidRPr="00DE3399">
              <w:t>clinical pract</w:t>
            </w:r>
            <w:r>
              <w:t>ice guidelines.</w:t>
            </w:r>
          </w:p>
          <w:p w:rsidR="00035233" w:rsidRDefault="00035233" w:rsidP="00251CB8">
            <w:pPr>
              <w:pStyle w:val="05Tabletext"/>
              <w:numPr>
                <w:ilvl w:val="0"/>
                <w:numId w:val="53"/>
              </w:numPr>
              <w:ind w:left="293" w:hanging="142"/>
            </w:pPr>
            <w:r>
              <w:t>Scan of public consultation submissions.</w:t>
            </w:r>
          </w:p>
        </w:tc>
      </w:tr>
      <w:tr w:rsidR="00035233" w:rsidTr="00035233">
        <w:trPr>
          <w:cantSplit/>
        </w:trPr>
        <w:tc>
          <w:tcPr>
            <w:tcW w:w="1555" w:type="dxa"/>
            <w:shd w:val="clear" w:color="auto" w:fill="auto"/>
          </w:tcPr>
          <w:p w:rsidR="00035233" w:rsidRDefault="00035233" w:rsidP="006C5B62">
            <w:pPr>
              <w:pStyle w:val="05Tabletext"/>
            </w:pPr>
            <w:r>
              <w:t>Publication types</w:t>
            </w:r>
          </w:p>
        </w:tc>
        <w:tc>
          <w:tcPr>
            <w:tcW w:w="8073" w:type="dxa"/>
            <w:shd w:val="clear" w:color="auto" w:fill="auto"/>
          </w:tcPr>
          <w:p w:rsidR="00035233" w:rsidRDefault="00035233" w:rsidP="006C5B62">
            <w:pPr>
              <w:pStyle w:val="07Tablebullet"/>
              <w:ind w:left="293" w:hanging="142"/>
            </w:pPr>
            <w:r>
              <w:t>Full text studies of the efficacy and safety of COPD medicines in humans</w:t>
            </w:r>
            <w:r w:rsidR="00CC3303">
              <w:t>.</w:t>
            </w:r>
          </w:p>
          <w:p w:rsidR="00035233" w:rsidRDefault="00035233" w:rsidP="006C5B62">
            <w:pPr>
              <w:pStyle w:val="07Tablebullet"/>
              <w:ind w:left="293" w:hanging="142"/>
            </w:pPr>
            <w:r>
              <w:t>English language only</w:t>
            </w:r>
            <w:r w:rsidR="00CC3303">
              <w:t>.</w:t>
            </w:r>
          </w:p>
        </w:tc>
      </w:tr>
      <w:tr w:rsidR="00035233" w:rsidTr="00035233">
        <w:trPr>
          <w:cantSplit/>
        </w:trPr>
        <w:tc>
          <w:tcPr>
            <w:tcW w:w="1555" w:type="dxa"/>
            <w:shd w:val="clear" w:color="auto" w:fill="auto"/>
          </w:tcPr>
          <w:p w:rsidR="00035233" w:rsidRDefault="00035233" w:rsidP="006C5B62">
            <w:pPr>
              <w:pStyle w:val="05Tabletext"/>
            </w:pPr>
            <w:r>
              <w:t>Study types</w:t>
            </w:r>
          </w:p>
        </w:tc>
        <w:tc>
          <w:tcPr>
            <w:tcW w:w="8073" w:type="dxa"/>
            <w:shd w:val="clear" w:color="auto" w:fill="auto"/>
          </w:tcPr>
          <w:p w:rsidR="00035233" w:rsidRPr="0062061D" w:rsidRDefault="00035233" w:rsidP="006C5B62">
            <w:pPr>
              <w:pStyle w:val="07Tablebullet"/>
              <w:ind w:left="293" w:hanging="142"/>
            </w:pPr>
            <w:r>
              <w:t>A hierarchical step</w:t>
            </w:r>
            <w:r w:rsidR="009B3FE7">
              <w:t>wise</w:t>
            </w:r>
            <w:r>
              <w:t xml:space="preserve"> method will be used to identify and select studies according to study design, as determined by the NHMRC Evidence Hierarchy for intervention </w:t>
            </w:r>
            <w:r w:rsidRPr="0062061D">
              <w:t xml:space="preserve">questions (Appendix </w:t>
            </w:r>
            <w:r w:rsidR="00417023">
              <w:t>L</w:t>
            </w:r>
            <w:r w:rsidRPr="0062061D">
              <w:t>).  The search strings for each st</w:t>
            </w:r>
            <w:r w:rsidR="00417023">
              <w:t>udy type are shown in Appendix K</w:t>
            </w:r>
            <w:r w:rsidRPr="0062061D">
              <w:t xml:space="preserve">. </w:t>
            </w:r>
          </w:p>
          <w:p w:rsidR="00035233" w:rsidRDefault="00035233" w:rsidP="006C5B62">
            <w:pPr>
              <w:pStyle w:val="07Tablebullet"/>
              <w:ind w:left="293" w:hanging="142"/>
            </w:pPr>
            <w:r>
              <w:t>If there are no systematic reviews of RCTs available, then RCTs alone will be selected. Should these be unavailable, or not adequately address the research question, then systematic reviews of non-randomised comparative studies will be selected.  If these are not available, then large, high</w:t>
            </w:r>
            <w:r w:rsidR="00AB7926">
              <w:t>-</w:t>
            </w:r>
            <w:r>
              <w:t xml:space="preserve">quality non-randomised comparative studies alone will be selected. </w:t>
            </w:r>
          </w:p>
          <w:p w:rsidR="00035233" w:rsidRDefault="00035233" w:rsidP="006C5B62">
            <w:pPr>
              <w:pStyle w:val="07Tablebullet"/>
              <w:ind w:left="293" w:hanging="142"/>
            </w:pPr>
            <w:r>
              <w:t>Level III-3 and Level IV studies will not be included.</w:t>
            </w:r>
          </w:p>
        </w:tc>
      </w:tr>
      <w:tr w:rsidR="00035233" w:rsidTr="00035233">
        <w:trPr>
          <w:cantSplit/>
        </w:trPr>
        <w:tc>
          <w:tcPr>
            <w:tcW w:w="1555" w:type="dxa"/>
            <w:shd w:val="clear" w:color="auto" w:fill="auto"/>
          </w:tcPr>
          <w:p w:rsidR="00035233" w:rsidRDefault="00035233" w:rsidP="006C5B62">
            <w:pPr>
              <w:pStyle w:val="05Tabletext"/>
            </w:pPr>
            <w:r>
              <w:lastRenderedPageBreak/>
              <w:t>Search period</w:t>
            </w:r>
          </w:p>
        </w:tc>
        <w:tc>
          <w:tcPr>
            <w:tcW w:w="8073" w:type="dxa"/>
            <w:shd w:val="clear" w:color="auto" w:fill="auto"/>
          </w:tcPr>
          <w:p w:rsidR="00035233" w:rsidRDefault="00035233" w:rsidP="006C5B62">
            <w:pPr>
              <w:pStyle w:val="05Tabletext"/>
            </w:pPr>
            <w:r>
              <w:t xml:space="preserve">The review </w:t>
            </w:r>
            <w:r w:rsidR="00407B30">
              <w:t xml:space="preserve">will </w:t>
            </w:r>
            <w:r>
              <w:t>focus on evidence that has not previously been considered by the PBAC. Studies w</w:t>
            </w:r>
            <w:r w:rsidR="00407B30">
              <w:t>ill be</w:t>
            </w:r>
            <w:r>
              <w:t xml:space="preserve"> eligible if they f</w:t>
            </w:r>
            <w:r w:rsidR="00407B30">
              <w:t>a</w:t>
            </w:r>
            <w:r>
              <w:t xml:space="preserve">ll within the date ranges below: </w:t>
            </w:r>
            <w:r w:rsidRPr="0029481B">
              <w:rPr>
                <w:vertAlign w:val="superscript"/>
              </w:rPr>
              <w:t>a</w:t>
            </w:r>
            <w:r>
              <w:t xml:space="preserve"> </w:t>
            </w:r>
          </w:p>
          <w:p w:rsidR="00035233" w:rsidRDefault="00035233" w:rsidP="006C5B62">
            <w:pPr>
              <w:pStyle w:val="07Tablebullet"/>
              <w:ind w:left="293" w:hanging="142"/>
            </w:pPr>
            <w:r>
              <w:t xml:space="preserve">Sep 2001 – </w:t>
            </w:r>
            <w:r w:rsidR="00AA5DB6">
              <w:t>August 2016</w:t>
            </w:r>
            <w:r>
              <w:t>: tiotropium</w:t>
            </w:r>
          </w:p>
          <w:p w:rsidR="00035233" w:rsidRDefault="00035233" w:rsidP="006C5B62">
            <w:pPr>
              <w:pStyle w:val="07Tablebullet"/>
              <w:ind w:left="293" w:hanging="142"/>
            </w:pPr>
            <w:r>
              <w:t xml:space="preserve">Sep 2006 – </w:t>
            </w:r>
            <w:r w:rsidR="00AA5DB6">
              <w:t>August 2016</w:t>
            </w:r>
            <w:r>
              <w:t>: fluticasone</w:t>
            </w:r>
            <w:r w:rsidR="000F3648">
              <w:t xml:space="preserve"> propionate</w:t>
            </w:r>
            <w:r>
              <w:t>/salmeterol</w:t>
            </w:r>
          </w:p>
          <w:p w:rsidR="00035233" w:rsidRDefault="00035233" w:rsidP="006C5B62">
            <w:pPr>
              <w:pStyle w:val="07Tablebullet"/>
              <w:ind w:left="293" w:hanging="142"/>
            </w:pPr>
            <w:r>
              <w:t xml:space="preserve">Mar 2010 – </w:t>
            </w:r>
            <w:r w:rsidR="00AA5DB6">
              <w:t>August 2016:</w:t>
            </w:r>
            <w:r>
              <w:t xml:space="preserve"> budesonide/eformoterol</w:t>
            </w:r>
          </w:p>
          <w:p w:rsidR="00035233" w:rsidRDefault="00035233" w:rsidP="006C5B62">
            <w:pPr>
              <w:pStyle w:val="07Tablebullet"/>
              <w:ind w:left="293" w:hanging="142"/>
            </w:pPr>
            <w:r>
              <w:t xml:space="preserve">Nov 2010 – </w:t>
            </w:r>
            <w:r w:rsidR="00AA5DB6">
              <w:t>August 2016:</w:t>
            </w:r>
            <w:r>
              <w:t xml:space="preserve"> indacaterol</w:t>
            </w:r>
          </w:p>
          <w:p w:rsidR="00035233" w:rsidRDefault="00035233" w:rsidP="006C5B62">
            <w:pPr>
              <w:pStyle w:val="07Tablebullet"/>
              <w:ind w:left="293" w:hanging="142"/>
            </w:pPr>
            <w:r>
              <w:t xml:space="preserve">Mar 2013 – </w:t>
            </w:r>
            <w:r w:rsidR="00AA5DB6">
              <w:t>August 2016</w:t>
            </w:r>
            <w:r>
              <w:t>: glycopyrronium</w:t>
            </w:r>
          </w:p>
          <w:p w:rsidR="00035233" w:rsidRDefault="00035233" w:rsidP="006C5B62">
            <w:pPr>
              <w:pStyle w:val="07Tablebullet"/>
              <w:ind w:left="293" w:hanging="142"/>
            </w:pPr>
            <w:r>
              <w:t xml:space="preserve">Sep 2013 – </w:t>
            </w:r>
            <w:r w:rsidR="00AA5DB6">
              <w:t>August 2016</w:t>
            </w:r>
            <w:r>
              <w:t>: aclidinium; fluticasone</w:t>
            </w:r>
            <w:r w:rsidR="000F3648">
              <w:t xml:space="preserve"> furoate</w:t>
            </w:r>
            <w:r>
              <w:t>/vilanterol</w:t>
            </w:r>
          </w:p>
          <w:p w:rsidR="00035233" w:rsidRDefault="00035233" w:rsidP="006C5B62">
            <w:pPr>
              <w:pStyle w:val="07Tablebullet"/>
              <w:ind w:left="293" w:hanging="142"/>
            </w:pPr>
            <w:r>
              <w:t xml:space="preserve">Nov 2013 – </w:t>
            </w:r>
            <w:r w:rsidR="00AA5DB6">
              <w:t>August 2016</w:t>
            </w:r>
            <w:r>
              <w:t>: umeclidinium; glycopyrronium</w:t>
            </w:r>
            <w:r w:rsidRPr="00151297">
              <w:t>/indacaterol</w:t>
            </w:r>
            <w:r>
              <w:t>; umeclidinium/vilanterol</w:t>
            </w:r>
          </w:p>
          <w:p w:rsidR="00723713" w:rsidRDefault="00035233" w:rsidP="006C5B62">
            <w:pPr>
              <w:pStyle w:val="07Tablebullet"/>
              <w:ind w:left="293" w:hanging="142"/>
            </w:pPr>
            <w:r>
              <w:t xml:space="preserve">Nov 2014 – </w:t>
            </w:r>
            <w:r w:rsidR="00AA5DB6">
              <w:t xml:space="preserve">August 2016: </w:t>
            </w:r>
            <w:r>
              <w:t>present: aclidinium/eformoterol; tiotropium/olodaterol</w:t>
            </w:r>
          </w:p>
        </w:tc>
      </w:tr>
      <w:tr w:rsidR="00035233" w:rsidTr="00035233">
        <w:trPr>
          <w:cantSplit/>
        </w:trPr>
        <w:tc>
          <w:tcPr>
            <w:tcW w:w="1555" w:type="dxa"/>
            <w:shd w:val="clear" w:color="auto" w:fill="auto"/>
          </w:tcPr>
          <w:p w:rsidR="00035233" w:rsidRDefault="00035233" w:rsidP="006C5B62">
            <w:pPr>
              <w:pStyle w:val="05Tabletext"/>
            </w:pPr>
            <w:r>
              <w:t>Study exclusion criteria</w:t>
            </w:r>
          </w:p>
        </w:tc>
        <w:tc>
          <w:tcPr>
            <w:tcW w:w="8073" w:type="dxa"/>
            <w:shd w:val="clear" w:color="auto" w:fill="auto"/>
          </w:tcPr>
          <w:p w:rsidR="00035233" w:rsidRDefault="00035233" w:rsidP="006C5B62">
            <w:pPr>
              <w:pStyle w:val="07Tablebullet"/>
              <w:ind w:left="293" w:hanging="142"/>
            </w:pPr>
            <w:r>
              <w:t xml:space="preserve">Not a clinical study: exclude narrative reviews, editorials, letters, conference abstracts, </w:t>
            </w:r>
            <w:proofErr w:type="gramStart"/>
            <w:r>
              <w:t>protocols</w:t>
            </w:r>
            <w:proofErr w:type="gramEnd"/>
            <w:r>
              <w:t>, animal studies, in vitro studies, case reports.</w:t>
            </w:r>
          </w:p>
          <w:p w:rsidR="00035233" w:rsidRDefault="00035233" w:rsidP="006C5B62">
            <w:pPr>
              <w:pStyle w:val="07Tablebullet"/>
              <w:ind w:left="293" w:hanging="142"/>
            </w:pPr>
            <w:r>
              <w:t>Wrong patient population: does not include patients with COPD or mixed airways disease (e.g. ACOS).</w:t>
            </w:r>
          </w:p>
          <w:p w:rsidR="00035233" w:rsidRDefault="00035233" w:rsidP="006C5B62">
            <w:pPr>
              <w:pStyle w:val="07Tablebullet"/>
              <w:ind w:left="293" w:hanging="142"/>
            </w:pPr>
            <w:r>
              <w:t>Wrong intervention: does not include a PBS-listed treatment for COPD.</w:t>
            </w:r>
          </w:p>
          <w:p w:rsidR="00035233" w:rsidRDefault="00035233" w:rsidP="006C5B62">
            <w:pPr>
              <w:pStyle w:val="07Tablebullet"/>
              <w:ind w:left="293" w:hanging="142"/>
            </w:pPr>
            <w:r>
              <w:t>Wrong comparator: does not include a relevant pharmacological comparator or placebo.</w:t>
            </w:r>
          </w:p>
          <w:p w:rsidR="00035233" w:rsidRDefault="00035233" w:rsidP="006C5B62">
            <w:pPr>
              <w:pStyle w:val="07Tablebullet"/>
              <w:ind w:left="293" w:hanging="142"/>
            </w:pPr>
            <w:r>
              <w:t>Wrong outcomes: does not report relevant efficacy and safety outcomes (e.g. exacerbations, FEV</w:t>
            </w:r>
            <w:r w:rsidRPr="0029481B">
              <w:rPr>
                <w:vertAlign w:val="subscript"/>
              </w:rPr>
              <w:t>1</w:t>
            </w:r>
            <w:r>
              <w:t>, QoL, mortality, hospitalisations, symptoms, AEs).</w:t>
            </w:r>
          </w:p>
        </w:tc>
      </w:tr>
    </w:tbl>
    <w:p w:rsidR="00035233" w:rsidRDefault="00035233" w:rsidP="006C5B62">
      <w:pPr>
        <w:pStyle w:val="10TableorFigurefootnote"/>
        <w:keepNext w:val="0"/>
      </w:pPr>
      <w:r>
        <w:t xml:space="preserve">Source: Final Research Protocol, approved by </w:t>
      </w:r>
      <w:r w:rsidR="00D94BD0">
        <w:t>RG</w:t>
      </w:r>
      <w:r>
        <w:t xml:space="preserve"> 2</w:t>
      </w:r>
      <w:r w:rsidRPr="00391023">
        <w:rPr>
          <w:vertAlign w:val="superscript"/>
        </w:rPr>
        <w:t>nd</w:t>
      </w:r>
      <w:r>
        <w:t xml:space="preserve"> August 2016</w:t>
      </w:r>
    </w:p>
    <w:p w:rsidR="00035233" w:rsidRDefault="00035233" w:rsidP="006C5B62">
      <w:pPr>
        <w:pStyle w:val="10TableorFigurefootnote"/>
        <w:keepNext w:val="0"/>
      </w:pPr>
      <w:r>
        <w:t xml:space="preserve">Abbreviations: ACOS, asthma- COPD overlap syndrome; AE, adverse event; AHRQ, </w:t>
      </w:r>
      <w:r w:rsidRPr="00133B6F">
        <w:t>Agency for Healthc</w:t>
      </w:r>
      <w:r>
        <w:t xml:space="preserve">are Research and Quality; CADTH, </w:t>
      </w:r>
      <w:r w:rsidRPr="00133B6F">
        <w:t xml:space="preserve">Canadian Agency for Drugs and </w:t>
      </w:r>
      <w:r>
        <w:t>Technologies in Health; COPD, chronic obstructive pulmonary disease; FEV</w:t>
      </w:r>
      <w:r w:rsidRPr="00517BD6">
        <w:rPr>
          <w:vertAlign w:val="subscript"/>
        </w:rPr>
        <w:t>1</w:t>
      </w:r>
      <w:r>
        <w:t xml:space="preserve">, forced expiratory volume in 1 second; HTA, health technology assessment; ICS, inhaled corticosteroid; KCE, Belgian Health Care Knowledge Centre; LABA, long-acting beta-2 agonist; LAMA, long-acting muscarinic antagonist; NCCHTA, National Coordinating Centre for Health Technology Assessment; NHS CRD, University of York NHS Centre for Reviews and Dissemination; NHS HTA, National Health Service Health Technology Assessment (UK); NHMRC, National Health and Medical Research Council; NICE, </w:t>
      </w:r>
      <w:r w:rsidRPr="00133B6F">
        <w:t>National Institute for Health an</w:t>
      </w:r>
      <w:r>
        <w:t>d Care Excellence; PBAC, Pharmaceutical Benefits Advisory Committee; QoL, quality of life; RCT, randomised controlled trial; ToR, Term of Reference.</w:t>
      </w:r>
    </w:p>
    <w:p w:rsidR="00035233" w:rsidRDefault="00035233" w:rsidP="006C5B62">
      <w:pPr>
        <w:pStyle w:val="11TableorFigurefootnotenostick"/>
      </w:pPr>
      <w:proofErr w:type="gramStart"/>
      <w:r w:rsidRPr="00E03EA5">
        <w:rPr>
          <w:b/>
        </w:rPr>
        <w:t>a</w:t>
      </w:r>
      <w:proofErr w:type="gramEnd"/>
      <w:r>
        <w:t xml:space="preserve"> The literature search start date is approximately eight months prior to the positive PBAC recommendation for that medicine.</w:t>
      </w:r>
    </w:p>
    <w:p w:rsidR="00035233" w:rsidRDefault="00035233" w:rsidP="00035233">
      <w:pPr>
        <w:pStyle w:val="BodyText"/>
      </w:pPr>
      <w:r w:rsidRPr="000D5639">
        <w:t xml:space="preserve">Where possible, study eligibility </w:t>
      </w:r>
      <w:r>
        <w:t>(and interpretation) was</w:t>
      </w:r>
      <w:r w:rsidRPr="000D5639">
        <w:t xml:space="preserve"> guided by the evidence re</w:t>
      </w:r>
      <w:r>
        <w:t xml:space="preserve">ported in the COPD-X </w:t>
      </w:r>
      <w:r w:rsidR="005510C8">
        <w:t>g</w:t>
      </w:r>
      <w:r>
        <w:t>uidelines</w:t>
      </w:r>
      <w:r w:rsidRPr="000D5639">
        <w:t>,</w:t>
      </w:r>
      <w:r>
        <w:rPr>
          <w:rStyle w:val="FootnoteReference"/>
        </w:rPr>
        <w:footnoteReference w:id="4"/>
      </w:r>
      <w:r w:rsidRPr="000D5639">
        <w:t xml:space="preserve"> which are updated regularly by a committee</w:t>
      </w:r>
      <w:r>
        <w:t xml:space="preserve"> of Australian experts in COPD.</w:t>
      </w:r>
      <w:r w:rsidRPr="000D5639">
        <w:t xml:space="preserve"> The guideline development process is underpinned by quarterly systematic literature searches conducted in PubMed and the Cochrane Library to identify relevant systematic reviews, meta-analyses, RCTs, coh</w:t>
      </w:r>
      <w:r>
        <w:t>orts and case-control studies.</w:t>
      </w:r>
    </w:p>
    <w:p w:rsidR="00967D49" w:rsidRDefault="001647A0" w:rsidP="00967D49">
      <w:pPr>
        <w:pStyle w:val="BodyText"/>
      </w:pPr>
      <w:r w:rsidRPr="00FA20E7">
        <w:t xml:space="preserve">While device type may be important in clinical practice, it was out-of-scope for this review. </w:t>
      </w:r>
      <w:r w:rsidR="006C5B62">
        <w:t>S</w:t>
      </w:r>
      <w:r w:rsidRPr="00FA20E7">
        <w:t xml:space="preserve">tudies </w:t>
      </w:r>
      <w:r w:rsidR="005B6E37" w:rsidRPr="00FA20E7">
        <w:t xml:space="preserve">that assessed patient or clinician preferences for different devices </w:t>
      </w:r>
      <w:r w:rsidRPr="00FA20E7">
        <w:t>were excluded.</w:t>
      </w:r>
      <w:bookmarkStart w:id="58" w:name="_Toc468012269"/>
      <w:bookmarkStart w:id="59" w:name="_Toc471890917"/>
      <w:bookmarkStart w:id="60" w:name="_Toc482185945"/>
    </w:p>
    <w:p w:rsidR="00035233" w:rsidRDefault="00035233" w:rsidP="00967D49">
      <w:pPr>
        <w:pStyle w:val="Heading3"/>
      </w:pPr>
      <w:bookmarkStart w:id="61" w:name="_Toc486428079"/>
      <w:r>
        <w:t>Search results and selection of evidence</w:t>
      </w:r>
      <w:bookmarkEnd w:id="58"/>
      <w:bookmarkEnd w:id="59"/>
      <w:bookmarkEnd w:id="60"/>
      <w:bookmarkEnd w:id="61"/>
    </w:p>
    <w:p w:rsidR="00035233" w:rsidRDefault="00035233" w:rsidP="00035233">
      <w:pPr>
        <w:pStyle w:val="BodyText"/>
      </w:pPr>
      <w:r>
        <w:t xml:space="preserve">A total of 4,467 citations were identified through the systematic literature search. There were 1,681 duplicates within and across the three databases, leaving 2,786 unique citations that were screened using the aforementioned selection criteria. </w:t>
      </w:r>
      <w:r w:rsidR="007B6112">
        <w:t xml:space="preserve">Table 3.6 shows that </w:t>
      </w:r>
      <w:r>
        <w:t xml:space="preserve">the review of titles and abstracts yielded a subset of </w:t>
      </w:r>
      <w:r w:rsidR="00FA7680">
        <w:t>381</w:t>
      </w:r>
      <w:r>
        <w:t xml:space="preserve"> potentially relevant citations including: 16 Health Technology Assessments (HTAs); 13</w:t>
      </w:r>
      <w:r w:rsidR="00767832">
        <w:t>9</w:t>
      </w:r>
      <w:r w:rsidR="007B6112">
        <w:t xml:space="preserve"> systematic reviews/</w:t>
      </w:r>
      <w:r>
        <w:t xml:space="preserve">meta-analyses (SR/MA); 200 RCTs; </w:t>
      </w:r>
      <w:r w:rsidR="00767832">
        <w:t>and 26</w:t>
      </w:r>
      <w:r>
        <w:t xml:space="preserve"> observational studies.</w:t>
      </w:r>
    </w:p>
    <w:p w:rsidR="00035233" w:rsidRDefault="006C5B62" w:rsidP="006C5B62">
      <w:pPr>
        <w:pStyle w:val="ToR3Tableheader"/>
      </w:pPr>
      <w:bookmarkStart w:id="62" w:name="_Toc468012286"/>
      <w:bookmarkStart w:id="63" w:name="_Toc468034442"/>
      <w:bookmarkStart w:id="64" w:name="_Toc471890998"/>
      <w:bookmarkStart w:id="65" w:name="_Toc486428185"/>
      <w:r>
        <w:lastRenderedPageBreak/>
        <w:t>Table 3.6</w:t>
      </w:r>
      <w:r w:rsidR="007B6112">
        <w:tab/>
      </w:r>
      <w:r w:rsidR="00035233">
        <w:t>Study selection process</w:t>
      </w:r>
      <w:bookmarkEnd w:id="62"/>
      <w:bookmarkEnd w:id="63"/>
      <w:bookmarkEnd w:id="64"/>
      <w:bookmarkEnd w:id="6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Study selection process"/>
        <w:tblDescription w:val="The study selection process for Medline, EMBASE and the Cochrane library"/>
      </w:tblPr>
      <w:tblGrid>
        <w:gridCol w:w="4258"/>
        <w:gridCol w:w="1702"/>
        <w:gridCol w:w="1845"/>
        <w:gridCol w:w="1843"/>
      </w:tblGrid>
      <w:tr w:rsidR="00035233" w:rsidRPr="00F01736" w:rsidTr="00035233">
        <w:trPr>
          <w:cantSplit/>
        </w:trPr>
        <w:tc>
          <w:tcPr>
            <w:tcW w:w="2207" w:type="pct"/>
            <w:shd w:val="clear" w:color="auto" w:fill="BFBFBF"/>
          </w:tcPr>
          <w:p w:rsidR="00035233" w:rsidRPr="00F01736" w:rsidRDefault="00035233" w:rsidP="00035233">
            <w:pPr>
              <w:pStyle w:val="01TableHEADINGleftaligned"/>
            </w:pPr>
            <w:r>
              <w:t>Description</w:t>
            </w:r>
          </w:p>
        </w:tc>
        <w:tc>
          <w:tcPr>
            <w:tcW w:w="882" w:type="pct"/>
            <w:tcBorders>
              <w:bottom w:val="single" w:sz="4" w:space="0" w:color="auto"/>
              <w:right w:val="nil"/>
            </w:tcBorders>
            <w:shd w:val="clear" w:color="auto" w:fill="BFBFBF"/>
          </w:tcPr>
          <w:p w:rsidR="00035233" w:rsidRPr="00F01736" w:rsidRDefault="00035233" w:rsidP="00035233">
            <w:pPr>
              <w:pStyle w:val="01TableHEADINGleftaligned"/>
              <w:jc w:val="center"/>
            </w:pPr>
            <w:r>
              <w:t>Medline</w:t>
            </w:r>
          </w:p>
        </w:tc>
        <w:tc>
          <w:tcPr>
            <w:tcW w:w="956" w:type="pct"/>
            <w:tcBorders>
              <w:left w:val="nil"/>
              <w:bottom w:val="single" w:sz="4" w:space="0" w:color="auto"/>
              <w:right w:val="nil"/>
            </w:tcBorders>
            <w:shd w:val="clear" w:color="auto" w:fill="BFBFBF"/>
          </w:tcPr>
          <w:p w:rsidR="00035233" w:rsidRPr="00F01736" w:rsidRDefault="00035233" w:rsidP="00035233">
            <w:pPr>
              <w:pStyle w:val="01TableHEADINGleftaligned"/>
              <w:jc w:val="center"/>
            </w:pPr>
            <w:r>
              <w:t>EMBASE</w:t>
            </w:r>
          </w:p>
        </w:tc>
        <w:tc>
          <w:tcPr>
            <w:tcW w:w="955" w:type="pct"/>
            <w:tcBorders>
              <w:left w:val="nil"/>
              <w:bottom w:val="single" w:sz="4" w:space="0" w:color="auto"/>
            </w:tcBorders>
            <w:shd w:val="clear" w:color="auto" w:fill="BFBFBF"/>
          </w:tcPr>
          <w:p w:rsidR="00035233" w:rsidRPr="00F01736" w:rsidRDefault="00035233" w:rsidP="00035233">
            <w:pPr>
              <w:pStyle w:val="01TableHEADINGleftaligned"/>
              <w:jc w:val="center"/>
            </w:pPr>
            <w:r>
              <w:t xml:space="preserve">Cochrane </w:t>
            </w:r>
            <w:r w:rsidR="005510C8">
              <w:t>L</w:t>
            </w:r>
            <w:r>
              <w:t>ibrary</w:t>
            </w:r>
          </w:p>
        </w:tc>
      </w:tr>
      <w:tr w:rsidR="00035233" w:rsidRPr="00194011" w:rsidTr="00035233">
        <w:trPr>
          <w:cantSplit/>
        </w:trPr>
        <w:tc>
          <w:tcPr>
            <w:tcW w:w="2207" w:type="pct"/>
            <w:shd w:val="clear" w:color="auto" w:fill="auto"/>
          </w:tcPr>
          <w:p w:rsidR="00035233" w:rsidRPr="009C73B0" w:rsidRDefault="00035233" w:rsidP="00035233">
            <w:pPr>
              <w:pStyle w:val="05Tabletext"/>
              <w:keepNext/>
            </w:pPr>
            <w:r>
              <w:t>Number of citations retrieved by search</w:t>
            </w:r>
          </w:p>
        </w:tc>
        <w:tc>
          <w:tcPr>
            <w:tcW w:w="882" w:type="pct"/>
            <w:tcBorders>
              <w:right w:val="nil"/>
            </w:tcBorders>
            <w:shd w:val="clear" w:color="auto" w:fill="auto"/>
          </w:tcPr>
          <w:p w:rsidR="00035233" w:rsidRPr="009C73B0" w:rsidRDefault="00035233" w:rsidP="00035233">
            <w:pPr>
              <w:pStyle w:val="05Tabletext"/>
              <w:keepNext/>
              <w:jc w:val="center"/>
            </w:pPr>
            <w:r>
              <w:t>948</w:t>
            </w:r>
          </w:p>
        </w:tc>
        <w:tc>
          <w:tcPr>
            <w:tcW w:w="956" w:type="pct"/>
            <w:tcBorders>
              <w:left w:val="nil"/>
              <w:right w:val="nil"/>
            </w:tcBorders>
            <w:shd w:val="clear" w:color="auto" w:fill="auto"/>
          </w:tcPr>
          <w:p w:rsidR="00035233" w:rsidRPr="009C73B0" w:rsidRDefault="00035233" w:rsidP="00035233">
            <w:pPr>
              <w:pStyle w:val="05Tabletext"/>
              <w:keepNext/>
              <w:jc w:val="center"/>
            </w:pPr>
            <w:r>
              <w:t>1,851</w:t>
            </w:r>
          </w:p>
        </w:tc>
        <w:tc>
          <w:tcPr>
            <w:tcW w:w="955" w:type="pct"/>
            <w:tcBorders>
              <w:left w:val="nil"/>
            </w:tcBorders>
            <w:shd w:val="clear" w:color="auto" w:fill="auto"/>
          </w:tcPr>
          <w:p w:rsidR="00035233" w:rsidRPr="009C73B0" w:rsidRDefault="00035233" w:rsidP="00035233">
            <w:pPr>
              <w:pStyle w:val="05Tabletext"/>
              <w:keepNext/>
              <w:jc w:val="center"/>
            </w:pPr>
            <w:r>
              <w:t>1,668</w:t>
            </w:r>
          </w:p>
        </w:tc>
      </w:tr>
      <w:tr w:rsidR="00035233" w:rsidRPr="00194011" w:rsidTr="00035233">
        <w:trPr>
          <w:cantSplit/>
        </w:trPr>
        <w:tc>
          <w:tcPr>
            <w:tcW w:w="2207" w:type="pct"/>
            <w:tcBorders>
              <w:bottom w:val="single" w:sz="4" w:space="0" w:color="auto"/>
            </w:tcBorders>
            <w:shd w:val="clear" w:color="auto" w:fill="auto"/>
          </w:tcPr>
          <w:p w:rsidR="00035233" w:rsidRDefault="00035233" w:rsidP="00035233">
            <w:pPr>
              <w:pStyle w:val="05Tabletext"/>
              <w:keepNext/>
            </w:pPr>
            <w:r>
              <w:t>Total</w:t>
            </w:r>
          </w:p>
        </w:tc>
        <w:tc>
          <w:tcPr>
            <w:tcW w:w="882" w:type="pct"/>
            <w:tcBorders>
              <w:bottom w:val="single" w:sz="4" w:space="0" w:color="auto"/>
              <w:right w:val="nil"/>
            </w:tcBorders>
            <w:shd w:val="clear" w:color="auto" w:fill="auto"/>
          </w:tcPr>
          <w:p w:rsidR="00035233" w:rsidRPr="00FC1FB4" w:rsidRDefault="00035233" w:rsidP="00035233">
            <w:pPr>
              <w:pStyle w:val="05Tabletext"/>
              <w:keepNext/>
              <w:jc w:val="center"/>
            </w:pPr>
          </w:p>
        </w:tc>
        <w:tc>
          <w:tcPr>
            <w:tcW w:w="956" w:type="pct"/>
            <w:tcBorders>
              <w:left w:val="nil"/>
              <w:bottom w:val="single" w:sz="4" w:space="0" w:color="auto"/>
              <w:right w:val="nil"/>
            </w:tcBorders>
            <w:shd w:val="clear" w:color="auto" w:fill="auto"/>
          </w:tcPr>
          <w:p w:rsidR="00035233" w:rsidRDefault="00035233" w:rsidP="00035233">
            <w:pPr>
              <w:pStyle w:val="05Tabletext"/>
              <w:keepNext/>
              <w:jc w:val="center"/>
            </w:pPr>
            <w:r>
              <w:t>4,467</w:t>
            </w:r>
          </w:p>
        </w:tc>
        <w:tc>
          <w:tcPr>
            <w:tcW w:w="955" w:type="pct"/>
            <w:tcBorders>
              <w:left w:val="nil"/>
              <w:bottom w:val="single" w:sz="4" w:space="0" w:color="auto"/>
            </w:tcBorders>
            <w:shd w:val="clear" w:color="auto" w:fill="auto"/>
          </w:tcPr>
          <w:p w:rsidR="00035233" w:rsidRDefault="00035233" w:rsidP="00035233">
            <w:pPr>
              <w:pStyle w:val="05Tabletext"/>
              <w:keepNext/>
              <w:jc w:val="center"/>
            </w:pPr>
          </w:p>
        </w:tc>
      </w:tr>
      <w:tr w:rsidR="00035233" w:rsidRPr="00194011" w:rsidTr="00035233">
        <w:trPr>
          <w:cantSplit/>
        </w:trPr>
        <w:tc>
          <w:tcPr>
            <w:tcW w:w="2207" w:type="pct"/>
            <w:tcBorders>
              <w:bottom w:val="single" w:sz="4" w:space="0" w:color="auto"/>
            </w:tcBorders>
            <w:shd w:val="clear" w:color="auto" w:fill="auto"/>
          </w:tcPr>
          <w:p w:rsidR="00035233" w:rsidRDefault="00035233" w:rsidP="00035233">
            <w:pPr>
              <w:pStyle w:val="05Tabletext"/>
              <w:keepNext/>
            </w:pPr>
            <w:r>
              <w:t>Duplicates within and across sets removed</w:t>
            </w:r>
          </w:p>
        </w:tc>
        <w:tc>
          <w:tcPr>
            <w:tcW w:w="882" w:type="pct"/>
            <w:tcBorders>
              <w:bottom w:val="single" w:sz="4" w:space="0" w:color="auto"/>
              <w:right w:val="nil"/>
            </w:tcBorders>
            <w:shd w:val="clear" w:color="auto" w:fill="auto"/>
          </w:tcPr>
          <w:p w:rsidR="00035233" w:rsidRPr="00FC1FB4" w:rsidRDefault="00035233" w:rsidP="00035233">
            <w:pPr>
              <w:pStyle w:val="05Tabletext"/>
              <w:keepNext/>
              <w:jc w:val="center"/>
            </w:pPr>
          </w:p>
        </w:tc>
        <w:tc>
          <w:tcPr>
            <w:tcW w:w="956" w:type="pct"/>
            <w:tcBorders>
              <w:left w:val="nil"/>
              <w:bottom w:val="single" w:sz="4" w:space="0" w:color="auto"/>
              <w:right w:val="nil"/>
            </w:tcBorders>
            <w:shd w:val="clear" w:color="auto" w:fill="auto"/>
          </w:tcPr>
          <w:p w:rsidR="00035233" w:rsidRPr="00FC1FB4" w:rsidRDefault="00C80A83" w:rsidP="00035233">
            <w:pPr>
              <w:pStyle w:val="05Tabletext"/>
              <w:keepNext/>
              <w:jc w:val="center"/>
            </w:pPr>
            <w:r>
              <w:t>1,683</w:t>
            </w:r>
          </w:p>
        </w:tc>
        <w:tc>
          <w:tcPr>
            <w:tcW w:w="955" w:type="pct"/>
            <w:tcBorders>
              <w:left w:val="nil"/>
              <w:bottom w:val="single" w:sz="4" w:space="0" w:color="auto"/>
            </w:tcBorders>
            <w:shd w:val="clear" w:color="auto" w:fill="auto"/>
          </w:tcPr>
          <w:p w:rsidR="00035233" w:rsidRDefault="00035233" w:rsidP="00035233">
            <w:pPr>
              <w:pStyle w:val="05Tabletext"/>
              <w:keepNext/>
              <w:jc w:val="center"/>
            </w:pPr>
          </w:p>
        </w:tc>
      </w:tr>
      <w:tr w:rsidR="00035233" w:rsidRPr="00194011" w:rsidTr="00035233">
        <w:trPr>
          <w:cantSplit/>
        </w:trPr>
        <w:tc>
          <w:tcPr>
            <w:tcW w:w="2207" w:type="pct"/>
            <w:tcBorders>
              <w:bottom w:val="single" w:sz="4" w:space="0" w:color="auto"/>
            </w:tcBorders>
            <w:shd w:val="clear" w:color="auto" w:fill="auto"/>
          </w:tcPr>
          <w:p w:rsidR="00035233" w:rsidRDefault="00035233" w:rsidP="00035233">
            <w:pPr>
              <w:pStyle w:val="05Tabletext"/>
              <w:keepNext/>
            </w:pPr>
            <w:r>
              <w:t>Additional studies found through handsearching</w:t>
            </w:r>
          </w:p>
        </w:tc>
        <w:tc>
          <w:tcPr>
            <w:tcW w:w="882" w:type="pct"/>
            <w:tcBorders>
              <w:bottom w:val="single" w:sz="4" w:space="0" w:color="auto"/>
              <w:right w:val="nil"/>
            </w:tcBorders>
            <w:shd w:val="clear" w:color="auto" w:fill="auto"/>
          </w:tcPr>
          <w:p w:rsidR="00035233" w:rsidRPr="00FC1FB4" w:rsidRDefault="00035233" w:rsidP="00035233">
            <w:pPr>
              <w:pStyle w:val="05Tabletext"/>
              <w:keepNext/>
              <w:jc w:val="center"/>
            </w:pPr>
          </w:p>
        </w:tc>
        <w:tc>
          <w:tcPr>
            <w:tcW w:w="956" w:type="pct"/>
            <w:tcBorders>
              <w:left w:val="nil"/>
              <w:bottom w:val="single" w:sz="4" w:space="0" w:color="auto"/>
              <w:right w:val="nil"/>
            </w:tcBorders>
            <w:shd w:val="clear" w:color="auto" w:fill="auto"/>
          </w:tcPr>
          <w:p w:rsidR="00035233" w:rsidRDefault="00035233" w:rsidP="00035233">
            <w:pPr>
              <w:pStyle w:val="05Tabletext"/>
              <w:keepNext/>
              <w:jc w:val="center"/>
            </w:pPr>
            <w:r>
              <w:t>1</w:t>
            </w:r>
          </w:p>
        </w:tc>
        <w:tc>
          <w:tcPr>
            <w:tcW w:w="955" w:type="pct"/>
            <w:tcBorders>
              <w:left w:val="nil"/>
              <w:bottom w:val="single" w:sz="4" w:space="0" w:color="auto"/>
            </w:tcBorders>
            <w:shd w:val="clear" w:color="auto" w:fill="auto"/>
          </w:tcPr>
          <w:p w:rsidR="00035233" w:rsidRDefault="00035233" w:rsidP="00035233">
            <w:pPr>
              <w:pStyle w:val="05Tabletext"/>
              <w:keepNext/>
              <w:jc w:val="center"/>
            </w:pPr>
          </w:p>
        </w:tc>
      </w:tr>
      <w:tr w:rsidR="00035233" w:rsidRPr="00194011" w:rsidTr="00035233">
        <w:trPr>
          <w:cantSplit/>
        </w:trPr>
        <w:tc>
          <w:tcPr>
            <w:tcW w:w="2207" w:type="pct"/>
            <w:tcBorders>
              <w:bottom w:val="single" w:sz="4" w:space="0" w:color="auto"/>
            </w:tcBorders>
            <w:shd w:val="clear" w:color="auto" w:fill="auto"/>
          </w:tcPr>
          <w:p w:rsidR="00035233" w:rsidRPr="009C73B0" w:rsidRDefault="00035233" w:rsidP="00035233">
            <w:pPr>
              <w:pStyle w:val="05Tabletext"/>
              <w:keepNext/>
            </w:pPr>
            <w:r>
              <w:t>Number of citations screened</w:t>
            </w:r>
          </w:p>
        </w:tc>
        <w:tc>
          <w:tcPr>
            <w:tcW w:w="882" w:type="pct"/>
            <w:tcBorders>
              <w:bottom w:val="single" w:sz="4" w:space="0" w:color="auto"/>
              <w:right w:val="nil"/>
            </w:tcBorders>
            <w:shd w:val="clear" w:color="auto" w:fill="auto"/>
          </w:tcPr>
          <w:p w:rsidR="00035233" w:rsidRPr="009C73B0" w:rsidRDefault="00035233" w:rsidP="00035233">
            <w:pPr>
              <w:pStyle w:val="05Tabletext"/>
              <w:keepNext/>
              <w:jc w:val="center"/>
            </w:pPr>
          </w:p>
        </w:tc>
        <w:tc>
          <w:tcPr>
            <w:tcW w:w="956" w:type="pct"/>
            <w:tcBorders>
              <w:left w:val="nil"/>
              <w:bottom w:val="single" w:sz="4" w:space="0" w:color="auto"/>
              <w:right w:val="nil"/>
            </w:tcBorders>
            <w:shd w:val="clear" w:color="auto" w:fill="auto"/>
          </w:tcPr>
          <w:p w:rsidR="00035233" w:rsidRPr="009C73B0" w:rsidRDefault="00C80A83" w:rsidP="00035233">
            <w:pPr>
              <w:pStyle w:val="05Tabletext"/>
              <w:keepNext/>
              <w:jc w:val="center"/>
            </w:pPr>
            <w:r>
              <w:t>2,785</w:t>
            </w:r>
          </w:p>
        </w:tc>
        <w:tc>
          <w:tcPr>
            <w:tcW w:w="955" w:type="pct"/>
            <w:tcBorders>
              <w:left w:val="nil"/>
              <w:bottom w:val="single" w:sz="4" w:space="0" w:color="auto"/>
            </w:tcBorders>
            <w:shd w:val="clear" w:color="auto" w:fill="auto"/>
          </w:tcPr>
          <w:p w:rsidR="00035233" w:rsidRPr="009C73B0" w:rsidRDefault="00035233" w:rsidP="00035233">
            <w:pPr>
              <w:pStyle w:val="05Tabletext"/>
              <w:keepNext/>
              <w:jc w:val="center"/>
            </w:pPr>
          </w:p>
        </w:tc>
      </w:tr>
      <w:tr w:rsidR="00035233" w:rsidRPr="00194011" w:rsidTr="00035233">
        <w:trPr>
          <w:cantSplit/>
        </w:trPr>
        <w:tc>
          <w:tcPr>
            <w:tcW w:w="2207" w:type="pct"/>
            <w:tcBorders>
              <w:bottom w:val="nil"/>
            </w:tcBorders>
            <w:shd w:val="clear" w:color="auto" w:fill="auto"/>
          </w:tcPr>
          <w:p w:rsidR="00035233" w:rsidRDefault="00035233" w:rsidP="00035233">
            <w:pPr>
              <w:pStyle w:val="05Tabletext"/>
              <w:keepNext/>
            </w:pPr>
            <w:r>
              <w:t>Excluded at title/abstract review:</w:t>
            </w:r>
          </w:p>
        </w:tc>
        <w:tc>
          <w:tcPr>
            <w:tcW w:w="882" w:type="pct"/>
            <w:tcBorders>
              <w:bottom w:val="nil"/>
              <w:right w:val="nil"/>
            </w:tcBorders>
            <w:shd w:val="clear" w:color="auto" w:fill="auto"/>
          </w:tcPr>
          <w:p w:rsidR="00035233" w:rsidRPr="009C73B0" w:rsidRDefault="00035233" w:rsidP="00035233">
            <w:pPr>
              <w:pStyle w:val="05Tabletext"/>
              <w:keepNext/>
              <w:jc w:val="center"/>
            </w:pPr>
          </w:p>
        </w:tc>
        <w:tc>
          <w:tcPr>
            <w:tcW w:w="956" w:type="pct"/>
            <w:tcBorders>
              <w:left w:val="nil"/>
              <w:bottom w:val="nil"/>
              <w:right w:val="nil"/>
            </w:tcBorders>
            <w:shd w:val="clear" w:color="auto" w:fill="auto"/>
          </w:tcPr>
          <w:p w:rsidR="00035233" w:rsidRPr="009C73B0" w:rsidRDefault="00035233" w:rsidP="00035233">
            <w:pPr>
              <w:pStyle w:val="05Tabletext"/>
              <w:keepNext/>
              <w:jc w:val="center"/>
            </w:pPr>
          </w:p>
        </w:tc>
        <w:tc>
          <w:tcPr>
            <w:tcW w:w="955" w:type="pct"/>
            <w:tcBorders>
              <w:left w:val="nil"/>
              <w:bottom w:val="nil"/>
            </w:tcBorders>
            <w:shd w:val="clear" w:color="auto" w:fill="auto"/>
          </w:tcPr>
          <w:p w:rsidR="00035233" w:rsidRPr="009C73B0" w:rsidRDefault="00035233" w:rsidP="00035233">
            <w:pPr>
              <w:pStyle w:val="05Tabletext"/>
              <w:keepNext/>
              <w:jc w:val="center"/>
            </w:pPr>
          </w:p>
        </w:tc>
      </w:tr>
      <w:tr w:rsidR="00035233" w:rsidRPr="00194011" w:rsidTr="00035233">
        <w:trPr>
          <w:cantSplit/>
        </w:trPr>
        <w:tc>
          <w:tcPr>
            <w:tcW w:w="2207" w:type="pct"/>
            <w:tcBorders>
              <w:top w:val="nil"/>
              <w:bottom w:val="nil"/>
            </w:tcBorders>
            <w:shd w:val="clear" w:color="auto" w:fill="auto"/>
          </w:tcPr>
          <w:p w:rsidR="00035233" w:rsidRDefault="00035233" w:rsidP="00035233">
            <w:pPr>
              <w:pStyle w:val="05Tabletext"/>
              <w:keepNext/>
              <w:ind w:firstLine="232"/>
            </w:pPr>
            <w:r>
              <w:t>Wrong publication type</w:t>
            </w:r>
          </w:p>
        </w:tc>
        <w:tc>
          <w:tcPr>
            <w:tcW w:w="882" w:type="pct"/>
            <w:tcBorders>
              <w:top w:val="nil"/>
              <w:bottom w:val="nil"/>
              <w:right w:val="nil"/>
            </w:tcBorders>
            <w:shd w:val="clear" w:color="auto" w:fill="auto"/>
          </w:tcPr>
          <w:p w:rsidR="00035233" w:rsidRPr="009C73B0" w:rsidRDefault="00035233" w:rsidP="00035233">
            <w:pPr>
              <w:pStyle w:val="05Tabletext"/>
              <w:keepNext/>
              <w:jc w:val="center"/>
            </w:pPr>
          </w:p>
        </w:tc>
        <w:tc>
          <w:tcPr>
            <w:tcW w:w="956" w:type="pct"/>
            <w:tcBorders>
              <w:top w:val="nil"/>
              <w:left w:val="nil"/>
              <w:bottom w:val="nil"/>
              <w:right w:val="nil"/>
            </w:tcBorders>
            <w:shd w:val="clear" w:color="auto" w:fill="auto"/>
          </w:tcPr>
          <w:p w:rsidR="00035233" w:rsidRPr="009C73B0" w:rsidRDefault="005C371E" w:rsidP="00035233">
            <w:pPr>
              <w:pStyle w:val="05Tabletext"/>
              <w:keepNext/>
              <w:jc w:val="center"/>
            </w:pPr>
            <w:r>
              <w:t>1,329</w:t>
            </w:r>
          </w:p>
        </w:tc>
        <w:tc>
          <w:tcPr>
            <w:tcW w:w="955" w:type="pct"/>
            <w:tcBorders>
              <w:top w:val="nil"/>
              <w:left w:val="nil"/>
              <w:bottom w:val="nil"/>
            </w:tcBorders>
            <w:shd w:val="clear" w:color="auto" w:fill="auto"/>
          </w:tcPr>
          <w:p w:rsidR="00035233" w:rsidRPr="009C73B0" w:rsidRDefault="00035233" w:rsidP="00035233">
            <w:pPr>
              <w:pStyle w:val="05Tabletext"/>
              <w:keepNext/>
              <w:jc w:val="center"/>
            </w:pPr>
          </w:p>
        </w:tc>
      </w:tr>
      <w:tr w:rsidR="00035233" w:rsidRPr="00194011" w:rsidTr="00035233">
        <w:trPr>
          <w:cantSplit/>
        </w:trPr>
        <w:tc>
          <w:tcPr>
            <w:tcW w:w="2207" w:type="pct"/>
            <w:tcBorders>
              <w:top w:val="nil"/>
              <w:bottom w:val="nil"/>
            </w:tcBorders>
            <w:shd w:val="clear" w:color="auto" w:fill="auto"/>
          </w:tcPr>
          <w:p w:rsidR="00035233" w:rsidRDefault="00035233" w:rsidP="00035233">
            <w:pPr>
              <w:pStyle w:val="05Tabletext"/>
              <w:keepNext/>
              <w:ind w:firstLine="232"/>
            </w:pPr>
            <w:r>
              <w:t>Wrong population</w:t>
            </w:r>
          </w:p>
        </w:tc>
        <w:tc>
          <w:tcPr>
            <w:tcW w:w="882" w:type="pct"/>
            <w:tcBorders>
              <w:top w:val="nil"/>
              <w:bottom w:val="nil"/>
              <w:right w:val="nil"/>
            </w:tcBorders>
            <w:shd w:val="clear" w:color="auto" w:fill="auto"/>
          </w:tcPr>
          <w:p w:rsidR="00035233" w:rsidRPr="009C73B0" w:rsidRDefault="00035233" w:rsidP="00035233">
            <w:pPr>
              <w:pStyle w:val="05Tabletext"/>
              <w:keepNext/>
              <w:jc w:val="center"/>
            </w:pPr>
          </w:p>
        </w:tc>
        <w:tc>
          <w:tcPr>
            <w:tcW w:w="956" w:type="pct"/>
            <w:tcBorders>
              <w:top w:val="nil"/>
              <w:left w:val="nil"/>
              <w:bottom w:val="nil"/>
              <w:right w:val="nil"/>
            </w:tcBorders>
            <w:shd w:val="clear" w:color="auto" w:fill="auto"/>
          </w:tcPr>
          <w:p w:rsidR="00035233" w:rsidRPr="009C73B0" w:rsidRDefault="00035233" w:rsidP="00035233">
            <w:pPr>
              <w:pStyle w:val="05Tabletext"/>
              <w:keepNext/>
              <w:jc w:val="center"/>
            </w:pPr>
            <w:r>
              <w:t>102</w:t>
            </w:r>
          </w:p>
        </w:tc>
        <w:tc>
          <w:tcPr>
            <w:tcW w:w="955" w:type="pct"/>
            <w:tcBorders>
              <w:top w:val="nil"/>
              <w:left w:val="nil"/>
              <w:bottom w:val="nil"/>
            </w:tcBorders>
            <w:shd w:val="clear" w:color="auto" w:fill="auto"/>
          </w:tcPr>
          <w:p w:rsidR="00035233" w:rsidRPr="009C73B0" w:rsidRDefault="00035233" w:rsidP="00035233">
            <w:pPr>
              <w:pStyle w:val="05Tabletext"/>
              <w:keepNext/>
              <w:jc w:val="center"/>
            </w:pPr>
          </w:p>
        </w:tc>
      </w:tr>
      <w:tr w:rsidR="00035233" w:rsidRPr="00194011" w:rsidTr="00035233">
        <w:trPr>
          <w:cantSplit/>
        </w:trPr>
        <w:tc>
          <w:tcPr>
            <w:tcW w:w="2207" w:type="pct"/>
            <w:tcBorders>
              <w:top w:val="nil"/>
              <w:bottom w:val="nil"/>
            </w:tcBorders>
            <w:shd w:val="clear" w:color="auto" w:fill="auto"/>
          </w:tcPr>
          <w:p w:rsidR="00035233" w:rsidRDefault="00035233" w:rsidP="00035233">
            <w:pPr>
              <w:pStyle w:val="05Tabletext"/>
              <w:keepNext/>
              <w:ind w:firstLine="232"/>
            </w:pPr>
            <w:r>
              <w:t>Wrong intervention</w:t>
            </w:r>
          </w:p>
        </w:tc>
        <w:tc>
          <w:tcPr>
            <w:tcW w:w="882" w:type="pct"/>
            <w:tcBorders>
              <w:top w:val="nil"/>
              <w:bottom w:val="nil"/>
              <w:right w:val="nil"/>
            </w:tcBorders>
            <w:shd w:val="clear" w:color="auto" w:fill="auto"/>
          </w:tcPr>
          <w:p w:rsidR="00035233" w:rsidRPr="009C73B0" w:rsidRDefault="00035233" w:rsidP="00035233">
            <w:pPr>
              <w:pStyle w:val="05Tabletext"/>
              <w:keepNext/>
              <w:jc w:val="center"/>
            </w:pPr>
          </w:p>
        </w:tc>
        <w:tc>
          <w:tcPr>
            <w:tcW w:w="956" w:type="pct"/>
            <w:tcBorders>
              <w:top w:val="nil"/>
              <w:left w:val="nil"/>
              <w:bottom w:val="nil"/>
              <w:right w:val="nil"/>
            </w:tcBorders>
            <w:shd w:val="clear" w:color="auto" w:fill="auto"/>
          </w:tcPr>
          <w:p w:rsidR="00035233" w:rsidRPr="009C73B0" w:rsidRDefault="005C371E" w:rsidP="00035233">
            <w:pPr>
              <w:pStyle w:val="05Tabletext"/>
              <w:keepNext/>
              <w:jc w:val="center"/>
            </w:pPr>
            <w:r>
              <w:t>349</w:t>
            </w:r>
          </w:p>
        </w:tc>
        <w:tc>
          <w:tcPr>
            <w:tcW w:w="955" w:type="pct"/>
            <w:tcBorders>
              <w:top w:val="nil"/>
              <w:left w:val="nil"/>
              <w:bottom w:val="nil"/>
            </w:tcBorders>
            <w:shd w:val="clear" w:color="auto" w:fill="auto"/>
          </w:tcPr>
          <w:p w:rsidR="00035233" w:rsidRPr="009C73B0" w:rsidRDefault="00035233" w:rsidP="00035233">
            <w:pPr>
              <w:pStyle w:val="05Tabletext"/>
              <w:keepNext/>
              <w:jc w:val="center"/>
            </w:pPr>
          </w:p>
        </w:tc>
      </w:tr>
      <w:tr w:rsidR="00035233" w:rsidRPr="00194011" w:rsidTr="00035233">
        <w:trPr>
          <w:cantSplit/>
        </w:trPr>
        <w:tc>
          <w:tcPr>
            <w:tcW w:w="2207" w:type="pct"/>
            <w:tcBorders>
              <w:top w:val="nil"/>
              <w:bottom w:val="nil"/>
            </w:tcBorders>
            <w:shd w:val="clear" w:color="auto" w:fill="auto"/>
          </w:tcPr>
          <w:p w:rsidR="00035233" w:rsidRDefault="00035233" w:rsidP="00035233">
            <w:pPr>
              <w:pStyle w:val="05Tabletext"/>
              <w:keepNext/>
              <w:ind w:firstLine="232"/>
            </w:pPr>
            <w:r>
              <w:t>Wrong comparator</w:t>
            </w:r>
          </w:p>
        </w:tc>
        <w:tc>
          <w:tcPr>
            <w:tcW w:w="882" w:type="pct"/>
            <w:tcBorders>
              <w:top w:val="nil"/>
              <w:bottom w:val="nil"/>
              <w:right w:val="nil"/>
            </w:tcBorders>
            <w:shd w:val="clear" w:color="auto" w:fill="auto"/>
          </w:tcPr>
          <w:p w:rsidR="00035233" w:rsidRPr="009C73B0" w:rsidRDefault="00035233" w:rsidP="00035233">
            <w:pPr>
              <w:pStyle w:val="05Tabletext"/>
              <w:keepNext/>
              <w:jc w:val="center"/>
            </w:pPr>
          </w:p>
        </w:tc>
        <w:tc>
          <w:tcPr>
            <w:tcW w:w="956" w:type="pct"/>
            <w:tcBorders>
              <w:top w:val="nil"/>
              <w:left w:val="nil"/>
              <w:bottom w:val="nil"/>
              <w:right w:val="nil"/>
            </w:tcBorders>
            <w:shd w:val="clear" w:color="auto" w:fill="auto"/>
          </w:tcPr>
          <w:p w:rsidR="00035233" w:rsidRPr="009C73B0" w:rsidRDefault="005C371E" w:rsidP="00035233">
            <w:pPr>
              <w:pStyle w:val="05Tabletext"/>
              <w:keepNext/>
              <w:jc w:val="center"/>
            </w:pPr>
            <w:r>
              <w:t>103</w:t>
            </w:r>
          </w:p>
        </w:tc>
        <w:tc>
          <w:tcPr>
            <w:tcW w:w="955" w:type="pct"/>
            <w:tcBorders>
              <w:top w:val="nil"/>
              <w:left w:val="nil"/>
              <w:bottom w:val="nil"/>
            </w:tcBorders>
            <w:shd w:val="clear" w:color="auto" w:fill="auto"/>
          </w:tcPr>
          <w:p w:rsidR="00035233" w:rsidRPr="009C73B0" w:rsidRDefault="00035233" w:rsidP="00035233">
            <w:pPr>
              <w:pStyle w:val="05Tabletext"/>
              <w:keepNext/>
              <w:jc w:val="center"/>
            </w:pPr>
          </w:p>
        </w:tc>
      </w:tr>
      <w:tr w:rsidR="00035233" w:rsidRPr="00194011" w:rsidTr="00035233">
        <w:trPr>
          <w:cantSplit/>
        </w:trPr>
        <w:tc>
          <w:tcPr>
            <w:tcW w:w="2207" w:type="pct"/>
            <w:tcBorders>
              <w:top w:val="nil"/>
              <w:bottom w:val="nil"/>
            </w:tcBorders>
            <w:shd w:val="clear" w:color="auto" w:fill="auto"/>
          </w:tcPr>
          <w:p w:rsidR="00035233" w:rsidRDefault="00035233" w:rsidP="00035233">
            <w:pPr>
              <w:pStyle w:val="05Tabletext"/>
              <w:keepNext/>
              <w:ind w:firstLine="232"/>
            </w:pPr>
            <w:r>
              <w:t>Wrong outcomes</w:t>
            </w:r>
          </w:p>
        </w:tc>
        <w:tc>
          <w:tcPr>
            <w:tcW w:w="882" w:type="pct"/>
            <w:tcBorders>
              <w:top w:val="nil"/>
              <w:bottom w:val="nil"/>
              <w:right w:val="nil"/>
            </w:tcBorders>
            <w:shd w:val="clear" w:color="auto" w:fill="auto"/>
          </w:tcPr>
          <w:p w:rsidR="00035233" w:rsidRPr="009C73B0" w:rsidRDefault="00035233" w:rsidP="00035233">
            <w:pPr>
              <w:pStyle w:val="05Tabletext"/>
              <w:keepNext/>
              <w:jc w:val="center"/>
            </w:pPr>
          </w:p>
        </w:tc>
        <w:tc>
          <w:tcPr>
            <w:tcW w:w="956" w:type="pct"/>
            <w:tcBorders>
              <w:top w:val="nil"/>
              <w:left w:val="nil"/>
              <w:bottom w:val="nil"/>
              <w:right w:val="nil"/>
            </w:tcBorders>
            <w:shd w:val="clear" w:color="auto" w:fill="auto"/>
          </w:tcPr>
          <w:p w:rsidR="00035233" w:rsidRPr="009C73B0" w:rsidRDefault="005C371E" w:rsidP="00035233">
            <w:pPr>
              <w:pStyle w:val="05Tabletext"/>
              <w:keepNext/>
              <w:jc w:val="center"/>
            </w:pPr>
            <w:r>
              <w:t>192</w:t>
            </w:r>
          </w:p>
        </w:tc>
        <w:tc>
          <w:tcPr>
            <w:tcW w:w="955" w:type="pct"/>
            <w:tcBorders>
              <w:top w:val="nil"/>
              <w:left w:val="nil"/>
              <w:bottom w:val="nil"/>
            </w:tcBorders>
            <w:shd w:val="clear" w:color="auto" w:fill="auto"/>
          </w:tcPr>
          <w:p w:rsidR="00035233" w:rsidRPr="009C73B0" w:rsidRDefault="00035233" w:rsidP="00035233">
            <w:pPr>
              <w:pStyle w:val="05Tabletext"/>
              <w:keepNext/>
              <w:jc w:val="center"/>
            </w:pPr>
          </w:p>
        </w:tc>
      </w:tr>
      <w:tr w:rsidR="00035233" w:rsidRPr="00194011" w:rsidTr="00035233">
        <w:trPr>
          <w:cantSplit/>
        </w:trPr>
        <w:tc>
          <w:tcPr>
            <w:tcW w:w="2207" w:type="pct"/>
            <w:tcBorders>
              <w:top w:val="nil"/>
              <w:bottom w:val="nil"/>
            </w:tcBorders>
            <w:shd w:val="clear" w:color="auto" w:fill="auto"/>
          </w:tcPr>
          <w:p w:rsidR="00035233" w:rsidRDefault="00035233" w:rsidP="00035233">
            <w:pPr>
              <w:pStyle w:val="05Tabletext"/>
              <w:keepNext/>
              <w:ind w:firstLine="232"/>
            </w:pPr>
            <w:r>
              <w:t>Not in English</w:t>
            </w:r>
          </w:p>
        </w:tc>
        <w:tc>
          <w:tcPr>
            <w:tcW w:w="882" w:type="pct"/>
            <w:tcBorders>
              <w:top w:val="nil"/>
              <w:bottom w:val="nil"/>
              <w:right w:val="nil"/>
            </w:tcBorders>
            <w:shd w:val="clear" w:color="auto" w:fill="auto"/>
          </w:tcPr>
          <w:p w:rsidR="00035233" w:rsidRPr="009C73B0" w:rsidRDefault="00035233" w:rsidP="00035233">
            <w:pPr>
              <w:pStyle w:val="05Tabletext"/>
              <w:keepNext/>
              <w:jc w:val="center"/>
            </w:pPr>
          </w:p>
        </w:tc>
        <w:tc>
          <w:tcPr>
            <w:tcW w:w="956" w:type="pct"/>
            <w:tcBorders>
              <w:top w:val="nil"/>
              <w:left w:val="nil"/>
              <w:bottom w:val="nil"/>
              <w:right w:val="nil"/>
            </w:tcBorders>
            <w:shd w:val="clear" w:color="auto" w:fill="auto"/>
          </w:tcPr>
          <w:p w:rsidR="00035233" w:rsidRPr="009C73B0" w:rsidRDefault="00035233" w:rsidP="00035233">
            <w:pPr>
              <w:pStyle w:val="05Tabletext"/>
              <w:keepNext/>
              <w:jc w:val="center"/>
            </w:pPr>
            <w:r>
              <w:t>108</w:t>
            </w:r>
          </w:p>
        </w:tc>
        <w:tc>
          <w:tcPr>
            <w:tcW w:w="955" w:type="pct"/>
            <w:tcBorders>
              <w:top w:val="nil"/>
              <w:left w:val="nil"/>
              <w:bottom w:val="nil"/>
            </w:tcBorders>
            <w:shd w:val="clear" w:color="auto" w:fill="auto"/>
          </w:tcPr>
          <w:p w:rsidR="00035233" w:rsidRPr="009C73B0" w:rsidRDefault="00035233" w:rsidP="00035233">
            <w:pPr>
              <w:pStyle w:val="05Tabletext"/>
              <w:keepNext/>
              <w:jc w:val="center"/>
            </w:pPr>
          </w:p>
        </w:tc>
      </w:tr>
      <w:tr w:rsidR="00035233" w:rsidRPr="00194011" w:rsidTr="00035233">
        <w:trPr>
          <w:cantSplit/>
        </w:trPr>
        <w:tc>
          <w:tcPr>
            <w:tcW w:w="2207" w:type="pct"/>
            <w:tcBorders>
              <w:top w:val="nil"/>
              <w:bottom w:val="nil"/>
            </w:tcBorders>
            <w:shd w:val="clear" w:color="auto" w:fill="auto"/>
          </w:tcPr>
          <w:p w:rsidR="00035233" w:rsidRDefault="00035233" w:rsidP="00035233">
            <w:pPr>
              <w:pStyle w:val="05Tabletext"/>
              <w:keepNext/>
              <w:ind w:firstLine="232"/>
            </w:pPr>
            <w:r>
              <w:t>Superseded</w:t>
            </w:r>
          </w:p>
        </w:tc>
        <w:tc>
          <w:tcPr>
            <w:tcW w:w="882" w:type="pct"/>
            <w:tcBorders>
              <w:top w:val="nil"/>
              <w:bottom w:val="nil"/>
              <w:right w:val="nil"/>
            </w:tcBorders>
            <w:shd w:val="clear" w:color="auto" w:fill="auto"/>
          </w:tcPr>
          <w:p w:rsidR="00035233" w:rsidRPr="009C73B0" w:rsidRDefault="00035233" w:rsidP="00035233">
            <w:pPr>
              <w:pStyle w:val="05Tabletext"/>
              <w:keepNext/>
              <w:jc w:val="center"/>
            </w:pPr>
          </w:p>
        </w:tc>
        <w:tc>
          <w:tcPr>
            <w:tcW w:w="956" w:type="pct"/>
            <w:tcBorders>
              <w:top w:val="nil"/>
              <w:left w:val="nil"/>
              <w:bottom w:val="nil"/>
              <w:right w:val="nil"/>
            </w:tcBorders>
            <w:shd w:val="clear" w:color="auto" w:fill="auto"/>
          </w:tcPr>
          <w:p w:rsidR="00035233" w:rsidRPr="009C73B0" w:rsidRDefault="00035233" w:rsidP="00035233">
            <w:pPr>
              <w:pStyle w:val="05Tabletext"/>
              <w:keepNext/>
              <w:jc w:val="center"/>
            </w:pPr>
            <w:r>
              <w:t>10</w:t>
            </w:r>
          </w:p>
        </w:tc>
        <w:tc>
          <w:tcPr>
            <w:tcW w:w="955" w:type="pct"/>
            <w:tcBorders>
              <w:top w:val="nil"/>
              <w:left w:val="nil"/>
              <w:bottom w:val="nil"/>
            </w:tcBorders>
            <w:shd w:val="clear" w:color="auto" w:fill="auto"/>
          </w:tcPr>
          <w:p w:rsidR="00035233" w:rsidRPr="009C73B0" w:rsidRDefault="00035233" w:rsidP="00035233">
            <w:pPr>
              <w:pStyle w:val="05Tabletext"/>
              <w:keepNext/>
              <w:jc w:val="center"/>
            </w:pPr>
          </w:p>
        </w:tc>
      </w:tr>
      <w:tr w:rsidR="00035233" w:rsidRPr="00194011" w:rsidTr="00035233">
        <w:trPr>
          <w:cantSplit/>
        </w:trPr>
        <w:tc>
          <w:tcPr>
            <w:tcW w:w="2207" w:type="pct"/>
            <w:tcBorders>
              <w:top w:val="nil"/>
              <w:bottom w:val="nil"/>
            </w:tcBorders>
            <w:shd w:val="clear" w:color="auto" w:fill="auto"/>
          </w:tcPr>
          <w:p w:rsidR="00035233" w:rsidRDefault="00035233" w:rsidP="00035233">
            <w:pPr>
              <w:pStyle w:val="05Tabletext"/>
              <w:keepNext/>
              <w:ind w:firstLine="232"/>
            </w:pPr>
            <w:r>
              <w:t>Previously considered by PBAC</w:t>
            </w:r>
          </w:p>
        </w:tc>
        <w:tc>
          <w:tcPr>
            <w:tcW w:w="882" w:type="pct"/>
            <w:tcBorders>
              <w:top w:val="nil"/>
              <w:bottom w:val="nil"/>
              <w:right w:val="nil"/>
            </w:tcBorders>
            <w:shd w:val="clear" w:color="auto" w:fill="auto"/>
          </w:tcPr>
          <w:p w:rsidR="00035233" w:rsidRPr="009C73B0" w:rsidRDefault="00035233" w:rsidP="00035233">
            <w:pPr>
              <w:pStyle w:val="05Tabletext"/>
              <w:keepNext/>
              <w:jc w:val="center"/>
            </w:pPr>
          </w:p>
        </w:tc>
        <w:tc>
          <w:tcPr>
            <w:tcW w:w="956" w:type="pct"/>
            <w:tcBorders>
              <w:top w:val="nil"/>
              <w:left w:val="nil"/>
              <w:bottom w:val="nil"/>
              <w:right w:val="nil"/>
            </w:tcBorders>
            <w:shd w:val="clear" w:color="auto" w:fill="auto"/>
          </w:tcPr>
          <w:p w:rsidR="00035233" w:rsidRPr="009C73B0" w:rsidRDefault="00035233" w:rsidP="00035233">
            <w:pPr>
              <w:pStyle w:val="05Tabletext"/>
              <w:keepNext/>
              <w:jc w:val="center"/>
            </w:pPr>
            <w:r>
              <w:t>100</w:t>
            </w:r>
          </w:p>
        </w:tc>
        <w:tc>
          <w:tcPr>
            <w:tcW w:w="955" w:type="pct"/>
            <w:tcBorders>
              <w:top w:val="nil"/>
              <w:left w:val="nil"/>
              <w:bottom w:val="nil"/>
            </w:tcBorders>
            <w:shd w:val="clear" w:color="auto" w:fill="auto"/>
          </w:tcPr>
          <w:p w:rsidR="00035233" w:rsidRPr="009C73B0" w:rsidRDefault="00035233" w:rsidP="00035233">
            <w:pPr>
              <w:pStyle w:val="05Tabletext"/>
              <w:keepNext/>
              <w:jc w:val="center"/>
            </w:pPr>
          </w:p>
        </w:tc>
      </w:tr>
      <w:tr w:rsidR="00035233" w:rsidRPr="00194011" w:rsidTr="00035233">
        <w:trPr>
          <w:cantSplit/>
        </w:trPr>
        <w:tc>
          <w:tcPr>
            <w:tcW w:w="2207" w:type="pct"/>
            <w:tcBorders>
              <w:top w:val="nil"/>
              <w:bottom w:val="nil"/>
            </w:tcBorders>
            <w:shd w:val="clear" w:color="auto" w:fill="auto"/>
          </w:tcPr>
          <w:p w:rsidR="00035233" w:rsidRDefault="00035233" w:rsidP="00035233">
            <w:pPr>
              <w:pStyle w:val="05Tabletext"/>
              <w:keepNext/>
              <w:ind w:firstLine="232"/>
            </w:pPr>
            <w:r>
              <w:t>Dose differs from PBS dose</w:t>
            </w:r>
          </w:p>
        </w:tc>
        <w:tc>
          <w:tcPr>
            <w:tcW w:w="882" w:type="pct"/>
            <w:tcBorders>
              <w:top w:val="nil"/>
              <w:bottom w:val="nil"/>
              <w:right w:val="nil"/>
            </w:tcBorders>
            <w:shd w:val="clear" w:color="auto" w:fill="auto"/>
          </w:tcPr>
          <w:p w:rsidR="00035233" w:rsidRPr="009C73B0" w:rsidRDefault="00035233" w:rsidP="00035233">
            <w:pPr>
              <w:pStyle w:val="05Tabletext"/>
              <w:keepNext/>
              <w:jc w:val="center"/>
            </w:pPr>
          </w:p>
        </w:tc>
        <w:tc>
          <w:tcPr>
            <w:tcW w:w="956" w:type="pct"/>
            <w:tcBorders>
              <w:top w:val="nil"/>
              <w:left w:val="nil"/>
              <w:bottom w:val="nil"/>
              <w:right w:val="nil"/>
            </w:tcBorders>
            <w:shd w:val="clear" w:color="auto" w:fill="auto"/>
          </w:tcPr>
          <w:p w:rsidR="00035233" w:rsidRPr="009C73B0" w:rsidRDefault="005C371E" w:rsidP="00035233">
            <w:pPr>
              <w:pStyle w:val="05Tabletext"/>
              <w:keepNext/>
              <w:jc w:val="center"/>
            </w:pPr>
            <w:r>
              <w:t>59</w:t>
            </w:r>
          </w:p>
        </w:tc>
        <w:tc>
          <w:tcPr>
            <w:tcW w:w="955" w:type="pct"/>
            <w:tcBorders>
              <w:top w:val="nil"/>
              <w:left w:val="nil"/>
              <w:bottom w:val="nil"/>
            </w:tcBorders>
            <w:shd w:val="clear" w:color="auto" w:fill="auto"/>
          </w:tcPr>
          <w:p w:rsidR="00035233" w:rsidRPr="009C73B0" w:rsidRDefault="00035233" w:rsidP="00035233">
            <w:pPr>
              <w:pStyle w:val="05Tabletext"/>
              <w:keepNext/>
              <w:jc w:val="center"/>
            </w:pPr>
          </w:p>
        </w:tc>
      </w:tr>
      <w:tr w:rsidR="00035233" w:rsidRPr="00194011" w:rsidTr="00035233">
        <w:trPr>
          <w:cantSplit/>
        </w:trPr>
        <w:tc>
          <w:tcPr>
            <w:tcW w:w="2207" w:type="pct"/>
            <w:tcBorders>
              <w:top w:val="nil"/>
              <w:bottom w:val="nil"/>
            </w:tcBorders>
            <w:shd w:val="clear" w:color="auto" w:fill="auto"/>
          </w:tcPr>
          <w:p w:rsidR="00035233" w:rsidRDefault="00035233" w:rsidP="00035233">
            <w:pPr>
              <w:pStyle w:val="05Tabletext"/>
              <w:keepNext/>
              <w:ind w:firstLine="232"/>
            </w:pPr>
            <w:r>
              <w:t>Withdrawn</w:t>
            </w:r>
          </w:p>
        </w:tc>
        <w:tc>
          <w:tcPr>
            <w:tcW w:w="882" w:type="pct"/>
            <w:tcBorders>
              <w:top w:val="nil"/>
              <w:bottom w:val="nil"/>
              <w:right w:val="nil"/>
            </w:tcBorders>
            <w:shd w:val="clear" w:color="auto" w:fill="auto"/>
          </w:tcPr>
          <w:p w:rsidR="00035233" w:rsidRPr="009C73B0" w:rsidRDefault="00035233" w:rsidP="00035233">
            <w:pPr>
              <w:pStyle w:val="05Tabletext"/>
              <w:keepNext/>
              <w:jc w:val="center"/>
            </w:pPr>
          </w:p>
        </w:tc>
        <w:tc>
          <w:tcPr>
            <w:tcW w:w="956" w:type="pct"/>
            <w:tcBorders>
              <w:top w:val="nil"/>
              <w:left w:val="nil"/>
              <w:bottom w:val="nil"/>
              <w:right w:val="nil"/>
            </w:tcBorders>
            <w:shd w:val="clear" w:color="auto" w:fill="auto"/>
          </w:tcPr>
          <w:p w:rsidR="00035233" w:rsidRPr="009C73B0" w:rsidRDefault="00035233" w:rsidP="00035233">
            <w:pPr>
              <w:pStyle w:val="05Tabletext"/>
              <w:keepNext/>
              <w:jc w:val="center"/>
            </w:pPr>
            <w:r>
              <w:t>1</w:t>
            </w:r>
          </w:p>
        </w:tc>
        <w:tc>
          <w:tcPr>
            <w:tcW w:w="955" w:type="pct"/>
            <w:tcBorders>
              <w:top w:val="nil"/>
              <w:left w:val="nil"/>
              <w:bottom w:val="nil"/>
            </w:tcBorders>
            <w:shd w:val="clear" w:color="auto" w:fill="auto"/>
          </w:tcPr>
          <w:p w:rsidR="00035233" w:rsidRPr="009C73B0" w:rsidRDefault="00035233" w:rsidP="00035233">
            <w:pPr>
              <w:pStyle w:val="05Tabletext"/>
              <w:keepNext/>
              <w:jc w:val="center"/>
            </w:pPr>
          </w:p>
        </w:tc>
      </w:tr>
      <w:tr w:rsidR="00035233" w:rsidRPr="00194011" w:rsidTr="00035233">
        <w:trPr>
          <w:cantSplit/>
        </w:trPr>
        <w:tc>
          <w:tcPr>
            <w:tcW w:w="2207" w:type="pct"/>
            <w:tcBorders>
              <w:top w:val="nil"/>
              <w:bottom w:val="nil"/>
            </w:tcBorders>
            <w:shd w:val="clear" w:color="auto" w:fill="auto"/>
          </w:tcPr>
          <w:p w:rsidR="00035233" w:rsidRDefault="00035233" w:rsidP="00035233">
            <w:pPr>
              <w:pStyle w:val="05Tabletext"/>
              <w:keepNext/>
              <w:ind w:firstLine="232"/>
            </w:pPr>
            <w:r>
              <w:t>Duplicate data</w:t>
            </w:r>
          </w:p>
        </w:tc>
        <w:tc>
          <w:tcPr>
            <w:tcW w:w="882" w:type="pct"/>
            <w:tcBorders>
              <w:top w:val="nil"/>
              <w:bottom w:val="nil"/>
              <w:right w:val="nil"/>
            </w:tcBorders>
            <w:shd w:val="clear" w:color="auto" w:fill="auto"/>
          </w:tcPr>
          <w:p w:rsidR="00035233" w:rsidRPr="009C73B0" w:rsidRDefault="00035233" w:rsidP="00035233">
            <w:pPr>
              <w:pStyle w:val="05Tabletext"/>
              <w:keepNext/>
              <w:jc w:val="center"/>
            </w:pPr>
          </w:p>
        </w:tc>
        <w:tc>
          <w:tcPr>
            <w:tcW w:w="956" w:type="pct"/>
            <w:tcBorders>
              <w:top w:val="nil"/>
              <w:left w:val="nil"/>
              <w:bottom w:val="nil"/>
              <w:right w:val="nil"/>
            </w:tcBorders>
            <w:shd w:val="clear" w:color="auto" w:fill="auto"/>
          </w:tcPr>
          <w:p w:rsidR="00035233" w:rsidRDefault="00035233" w:rsidP="00035233">
            <w:pPr>
              <w:pStyle w:val="05Tabletext"/>
              <w:keepNext/>
              <w:jc w:val="center"/>
            </w:pPr>
            <w:r>
              <w:t>2</w:t>
            </w:r>
          </w:p>
        </w:tc>
        <w:tc>
          <w:tcPr>
            <w:tcW w:w="955" w:type="pct"/>
            <w:tcBorders>
              <w:top w:val="nil"/>
              <w:left w:val="nil"/>
              <w:bottom w:val="nil"/>
            </w:tcBorders>
            <w:shd w:val="clear" w:color="auto" w:fill="auto"/>
          </w:tcPr>
          <w:p w:rsidR="00035233" w:rsidRPr="009C73B0" w:rsidRDefault="00035233" w:rsidP="00035233">
            <w:pPr>
              <w:pStyle w:val="05Tabletext"/>
              <w:keepNext/>
              <w:jc w:val="center"/>
            </w:pPr>
          </w:p>
        </w:tc>
      </w:tr>
      <w:tr w:rsidR="00035233" w:rsidRPr="00194011" w:rsidTr="00035233">
        <w:trPr>
          <w:cantSplit/>
        </w:trPr>
        <w:tc>
          <w:tcPr>
            <w:tcW w:w="2207" w:type="pct"/>
            <w:tcBorders>
              <w:top w:val="nil"/>
              <w:bottom w:val="nil"/>
            </w:tcBorders>
            <w:shd w:val="clear" w:color="auto" w:fill="auto"/>
          </w:tcPr>
          <w:p w:rsidR="00035233" w:rsidRDefault="00035233" w:rsidP="00035233">
            <w:pPr>
              <w:pStyle w:val="05Tabletext"/>
              <w:keepNext/>
              <w:ind w:firstLine="232"/>
            </w:pPr>
            <w:r>
              <w:t>Considered more relevant to ToR4</w:t>
            </w:r>
          </w:p>
        </w:tc>
        <w:tc>
          <w:tcPr>
            <w:tcW w:w="882" w:type="pct"/>
            <w:tcBorders>
              <w:top w:val="nil"/>
              <w:bottom w:val="nil"/>
              <w:right w:val="nil"/>
            </w:tcBorders>
            <w:shd w:val="clear" w:color="auto" w:fill="auto"/>
          </w:tcPr>
          <w:p w:rsidR="00035233" w:rsidRPr="009C73B0" w:rsidRDefault="00035233" w:rsidP="00035233">
            <w:pPr>
              <w:pStyle w:val="05Tabletext"/>
              <w:keepNext/>
              <w:jc w:val="center"/>
            </w:pPr>
          </w:p>
        </w:tc>
        <w:tc>
          <w:tcPr>
            <w:tcW w:w="956" w:type="pct"/>
            <w:tcBorders>
              <w:top w:val="nil"/>
              <w:left w:val="nil"/>
              <w:bottom w:val="nil"/>
              <w:right w:val="nil"/>
            </w:tcBorders>
            <w:shd w:val="clear" w:color="auto" w:fill="auto"/>
          </w:tcPr>
          <w:p w:rsidR="00035233" w:rsidRDefault="005C371E" w:rsidP="00035233">
            <w:pPr>
              <w:pStyle w:val="05Tabletext"/>
              <w:keepNext/>
              <w:jc w:val="center"/>
            </w:pPr>
            <w:r>
              <w:t>35</w:t>
            </w:r>
          </w:p>
        </w:tc>
        <w:tc>
          <w:tcPr>
            <w:tcW w:w="955" w:type="pct"/>
            <w:tcBorders>
              <w:top w:val="nil"/>
              <w:left w:val="nil"/>
              <w:bottom w:val="nil"/>
            </w:tcBorders>
            <w:shd w:val="clear" w:color="auto" w:fill="auto"/>
          </w:tcPr>
          <w:p w:rsidR="00035233" w:rsidRPr="009C73B0" w:rsidRDefault="00035233" w:rsidP="00035233">
            <w:pPr>
              <w:pStyle w:val="05Tabletext"/>
              <w:keepNext/>
              <w:jc w:val="center"/>
            </w:pPr>
          </w:p>
        </w:tc>
      </w:tr>
      <w:tr w:rsidR="00035233" w:rsidRPr="00194011" w:rsidTr="00035233">
        <w:trPr>
          <w:cantSplit/>
        </w:trPr>
        <w:tc>
          <w:tcPr>
            <w:tcW w:w="2207" w:type="pct"/>
            <w:tcBorders>
              <w:top w:val="nil"/>
              <w:bottom w:val="nil"/>
            </w:tcBorders>
            <w:shd w:val="clear" w:color="auto" w:fill="auto"/>
          </w:tcPr>
          <w:p w:rsidR="00035233" w:rsidRDefault="00035233" w:rsidP="00035233">
            <w:pPr>
              <w:pStyle w:val="05Tabletext"/>
              <w:keepNext/>
              <w:ind w:firstLine="232"/>
            </w:pPr>
            <w:r>
              <w:t>Observational studies with less than 500 participants</w:t>
            </w:r>
          </w:p>
        </w:tc>
        <w:tc>
          <w:tcPr>
            <w:tcW w:w="882" w:type="pct"/>
            <w:tcBorders>
              <w:top w:val="nil"/>
              <w:bottom w:val="nil"/>
              <w:right w:val="nil"/>
            </w:tcBorders>
            <w:shd w:val="clear" w:color="auto" w:fill="auto"/>
          </w:tcPr>
          <w:p w:rsidR="00035233" w:rsidRPr="009C73B0" w:rsidRDefault="00035233" w:rsidP="00035233">
            <w:pPr>
              <w:pStyle w:val="05Tabletext"/>
              <w:keepNext/>
              <w:jc w:val="center"/>
            </w:pPr>
          </w:p>
        </w:tc>
        <w:tc>
          <w:tcPr>
            <w:tcW w:w="956" w:type="pct"/>
            <w:tcBorders>
              <w:top w:val="nil"/>
              <w:left w:val="nil"/>
              <w:bottom w:val="nil"/>
              <w:right w:val="nil"/>
            </w:tcBorders>
            <w:shd w:val="clear" w:color="auto" w:fill="auto"/>
          </w:tcPr>
          <w:p w:rsidR="00035233" w:rsidRDefault="003B0BB6" w:rsidP="00035233">
            <w:pPr>
              <w:pStyle w:val="05Tabletext"/>
              <w:keepNext/>
              <w:jc w:val="center"/>
            </w:pPr>
            <w:r>
              <w:t>14</w:t>
            </w:r>
          </w:p>
        </w:tc>
        <w:tc>
          <w:tcPr>
            <w:tcW w:w="955" w:type="pct"/>
            <w:tcBorders>
              <w:top w:val="nil"/>
              <w:left w:val="nil"/>
              <w:bottom w:val="nil"/>
            </w:tcBorders>
            <w:shd w:val="clear" w:color="auto" w:fill="auto"/>
          </w:tcPr>
          <w:p w:rsidR="00035233" w:rsidRPr="009C73B0" w:rsidRDefault="00035233" w:rsidP="00035233">
            <w:pPr>
              <w:pStyle w:val="05Tabletext"/>
              <w:keepNext/>
              <w:jc w:val="center"/>
            </w:pPr>
          </w:p>
        </w:tc>
      </w:tr>
      <w:tr w:rsidR="00035233" w:rsidRPr="00194011" w:rsidTr="00035233">
        <w:trPr>
          <w:cantSplit/>
        </w:trPr>
        <w:tc>
          <w:tcPr>
            <w:tcW w:w="2207" w:type="pct"/>
            <w:tcBorders>
              <w:top w:val="nil"/>
              <w:bottom w:val="single" w:sz="4" w:space="0" w:color="auto"/>
            </w:tcBorders>
            <w:shd w:val="clear" w:color="auto" w:fill="auto"/>
          </w:tcPr>
          <w:p w:rsidR="00035233" w:rsidRDefault="00035233" w:rsidP="00035233">
            <w:pPr>
              <w:pStyle w:val="05Tabletext"/>
              <w:keepNext/>
            </w:pPr>
            <w:r>
              <w:t xml:space="preserve">Total </w:t>
            </w:r>
          </w:p>
        </w:tc>
        <w:tc>
          <w:tcPr>
            <w:tcW w:w="882" w:type="pct"/>
            <w:tcBorders>
              <w:top w:val="nil"/>
              <w:bottom w:val="single" w:sz="4" w:space="0" w:color="auto"/>
              <w:right w:val="nil"/>
            </w:tcBorders>
            <w:shd w:val="clear" w:color="auto" w:fill="auto"/>
          </w:tcPr>
          <w:p w:rsidR="00035233" w:rsidRPr="009C73B0" w:rsidRDefault="00035233" w:rsidP="00035233">
            <w:pPr>
              <w:pStyle w:val="05Tabletext"/>
              <w:keepNext/>
              <w:jc w:val="center"/>
            </w:pPr>
          </w:p>
        </w:tc>
        <w:tc>
          <w:tcPr>
            <w:tcW w:w="956" w:type="pct"/>
            <w:tcBorders>
              <w:top w:val="nil"/>
              <w:left w:val="nil"/>
              <w:bottom w:val="single" w:sz="4" w:space="0" w:color="auto"/>
              <w:right w:val="nil"/>
            </w:tcBorders>
            <w:shd w:val="clear" w:color="auto" w:fill="auto"/>
          </w:tcPr>
          <w:p w:rsidR="00035233" w:rsidRPr="009C73B0" w:rsidRDefault="003B0BB6" w:rsidP="00035233">
            <w:pPr>
              <w:pStyle w:val="05Tabletext"/>
              <w:keepNext/>
              <w:jc w:val="center"/>
            </w:pPr>
            <w:r>
              <w:t>2,404</w:t>
            </w:r>
          </w:p>
        </w:tc>
        <w:tc>
          <w:tcPr>
            <w:tcW w:w="955" w:type="pct"/>
            <w:tcBorders>
              <w:top w:val="nil"/>
              <w:left w:val="nil"/>
              <w:bottom w:val="single" w:sz="4" w:space="0" w:color="auto"/>
            </w:tcBorders>
            <w:shd w:val="clear" w:color="auto" w:fill="auto"/>
          </w:tcPr>
          <w:p w:rsidR="00035233" w:rsidRPr="009C73B0" w:rsidRDefault="00035233" w:rsidP="00035233">
            <w:pPr>
              <w:pStyle w:val="05Tabletext"/>
              <w:keepNext/>
              <w:jc w:val="center"/>
            </w:pPr>
          </w:p>
        </w:tc>
      </w:tr>
      <w:tr w:rsidR="00035233" w:rsidRPr="00194011" w:rsidTr="00035233">
        <w:trPr>
          <w:cantSplit/>
        </w:trPr>
        <w:tc>
          <w:tcPr>
            <w:tcW w:w="2207" w:type="pct"/>
            <w:tcBorders>
              <w:bottom w:val="nil"/>
            </w:tcBorders>
            <w:shd w:val="clear" w:color="auto" w:fill="auto"/>
          </w:tcPr>
          <w:p w:rsidR="00035233" w:rsidRPr="00D01B6B" w:rsidRDefault="00035233" w:rsidP="00035233">
            <w:pPr>
              <w:pStyle w:val="05Tabletext"/>
              <w:keepNext/>
            </w:pPr>
            <w:r>
              <w:t>Number citations potentially relevant after title/abstract review:</w:t>
            </w:r>
          </w:p>
        </w:tc>
        <w:tc>
          <w:tcPr>
            <w:tcW w:w="882" w:type="pct"/>
            <w:tcBorders>
              <w:bottom w:val="nil"/>
              <w:right w:val="nil"/>
            </w:tcBorders>
            <w:shd w:val="clear" w:color="auto" w:fill="auto"/>
          </w:tcPr>
          <w:p w:rsidR="00035233" w:rsidRPr="009C73B0" w:rsidRDefault="00035233" w:rsidP="00035233">
            <w:pPr>
              <w:pStyle w:val="05Tabletext"/>
              <w:keepNext/>
              <w:jc w:val="center"/>
            </w:pPr>
          </w:p>
        </w:tc>
        <w:tc>
          <w:tcPr>
            <w:tcW w:w="956" w:type="pct"/>
            <w:tcBorders>
              <w:left w:val="nil"/>
              <w:bottom w:val="nil"/>
              <w:right w:val="nil"/>
            </w:tcBorders>
            <w:shd w:val="clear" w:color="auto" w:fill="auto"/>
          </w:tcPr>
          <w:p w:rsidR="00035233" w:rsidRPr="009C73B0" w:rsidRDefault="00C80A83" w:rsidP="00035233">
            <w:pPr>
              <w:pStyle w:val="05Tabletext"/>
              <w:keepNext/>
              <w:jc w:val="center"/>
            </w:pPr>
            <w:r>
              <w:t>381</w:t>
            </w:r>
          </w:p>
        </w:tc>
        <w:tc>
          <w:tcPr>
            <w:tcW w:w="955" w:type="pct"/>
            <w:tcBorders>
              <w:left w:val="nil"/>
              <w:bottom w:val="nil"/>
            </w:tcBorders>
            <w:shd w:val="clear" w:color="auto" w:fill="auto"/>
          </w:tcPr>
          <w:p w:rsidR="00035233" w:rsidRPr="009C73B0" w:rsidRDefault="00035233" w:rsidP="00035233">
            <w:pPr>
              <w:pStyle w:val="05Tabletext"/>
              <w:keepNext/>
              <w:jc w:val="center"/>
            </w:pPr>
          </w:p>
        </w:tc>
      </w:tr>
      <w:tr w:rsidR="00035233" w:rsidRPr="00194011" w:rsidTr="00035233">
        <w:trPr>
          <w:cantSplit/>
        </w:trPr>
        <w:tc>
          <w:tcPr>
            <w:tcW w:w="2207" w:type="pct"/>
            <w:tcBorders>
              <w:top w:val="nil"/>
              <w:bottom w:val="nil"/>
            </w:tcBorders>
            <w:shd w:val="clear" w:color="auto" w:fill="auto"/>
          </w:tcPr>
          <w:p w:rsidR="00035233" w:rsidRDefault="00035233" w:rsidP="00035233">
            <w:pPr>
              <w:pStyle w:val="05Tabletext"/>
              <w:keepNext/>
              <w:ind w:firstLine="232"/>
            </w:pPr>
            <w:r>
              <w:t>Health technology assessments</w:t>
            </w:r>
          </w:p>
        </w:tc>
        <w:tc>
          <w:tcPr>
            <w:tcW w:w="882" w:type="pct"/>
            <w:tcBorders>
              <w:top w:val="nil"/>
              <w:bottom w:val="nil"/>
              <w:right w:val="nil"/>
            </w:tcBorders>
            <w:shd w:val="clear" w:color="auto" w:fill="auto"/>
          </w:tcPr>
          <w:p w:rsidR="00035233" w:rsidRPr="009C73B0" w:rsidRDefault="00035233" w:rsidP="00035233">
            <w:pPr>
              <w:pStyle w:val="05Tabletext"/>
              <w:keepNext/>
              <w:jc w:val="center"/>
            </w:pPr>
          </w:p>
        </w:tc>
        <w:tc>
          <w:tcPr>
            <w:tcW w:w="956" w:type="pct"/>
            <w:tcBorders>
              <w:top w:val="nil"/>
              <w:left w:val="nil"/>
              <w:bottom w:val="nil"/>
              <w:right w:val="nil"/>
            </w:tcBorders>
            <w:shd w:val="clear" w:color="auto" w:fill="auto"/>
          </w:tcPr>
          <w:p w:rsidR="00035233" w:rsidRPr="009C73B0" w:rsidRDefault="00035233" w:rsidP="00035233">
            <w:pPr>
              <w:pStyle w:val="05Tabletext"/>
              <w:keepNext/>
              <w:jc w:val="center"/>
            </w:pPr>
            <w:r>
              <w:t>16</w:t>
            </w:r>
          </w:p>
        </w:tc>
        <w:tc>
          <w:tcPr>
            <w:tcW w:w="955" w:type="pct"/>
            <w:tcBorders>
              <w:top w:val="nil"/>
              <w:left w:val="nil"/>
              <w:bottom w:val="nil"/>
            </w:tcBorders>
            <w:shd w:val="clear" w:color="auto" w:fill="auto"/>
          </w:tcPr>
          <w:p w:rsidR="00035233" w:rsidRPr="009C73B0" w:rsidRDefault="00035233" w:rsidP="00035233">
            <w:pPr>
              <w:pStyle w:val="05Tabletext"/>
              <w:keepNext/>
              <w:jc w:val="center"/>
            </w:pPr>
          </w:p>
        </w:tc>
      </w:tr>
      <w:tr w:rsidR="00035233" w:rsidRPr="00194011" w:rsidTr="00035233">
        <w:trPr>
          <w:cantSplit/>
        </w:trPr>
        <w:tc>
          <w:tcPr>
            <w:tcW w:w="2207" w:type="pct"/>
            <w:tcBorders>
              <w:top w:val="nil"/>
              <w:bottom w:val="nil"/>
            </w:tcBorders>
            <w:shd w:val="clear" w:color="auto" w:fill="auto"/>
          </w:tcPr>
          <w:p w:rsidR="00035233" w:rsidRDefault="00035233" w:rsidP="00035233">
            <w:pPr>
              <w:pStyle w:val="05Tabletext"/>
              <w:keepNext/>
              <w:ind w:firstLine="232"/>
            </w:pPr>
            <w:r>
              <w:t>Systematic reviews and/or meta-analyses</w:t>
            </w:r>
          </w:p>
        </w:tc>
        <w:tc>
          <w:tcPr>
            <w:tcW w:w="882" w:type="pct"/>
            <w:tcBorders>
              <w:top w:val="nil"/>
              <w:bottom w:val="nil"/>
              <w:right w:val="nil"/>
            </w:tcBorders>
            <w:shd w:val="clear" w:color="auto" w:fill="auto"/>
          </w:tcPr>
          <w:p w:rsidR="00035233" w:rsidRDefault="00035233" w:rsidP="00035233">
            <w:pPr>
              <w:pStyle w:val="05Tabletext"/>
              <w:keepNext/>
              <w:jc w:val="center"/>
            </w:pPr>
          </w:p>
        </w:tc>
        <w:tc>
          <w:tcPr>
            <w:tcW w:w="956" w:type="pct"/>
            <w:tcBorders>
              <w:top w:val="nil"/>
              <w:left w:val="nil"/>
              <w:bottom w:val="nil"/>
              <w:right w:val="nil"/>
            </w:tcBorders>
            <w:shd w:val="clear" w:color="auto" w:fill="auto"/>
          </w:tcPr>
          <w:p w:rsidR="00035233" w:rsidRPr="009C73B0" w:rsidRDefault="00035233" w:rsidP="00035233">
            <w:pPr>
              <w:pStyle w:val="05Tabletext"/>
              <w:keepNext/>
              <w:jc w:val="center"/>
            </w:pPr>
            <w:r>
              <w:t>139</w:t>
            </w:r>
          </w:p>
        </w:tc>
        <w:tc>
          <w:tcPr>
            <w:tcW w:w="955" w:type="pct"/>
            <w:tcBorders>
              <w:top w:val="nil"/>
              <w:left w:val="nil"/>
              <w:bottom w:val="nil"/>
            </w:tcBorders>
            <w:shd w:val="clear" w:color="auto" w:fill="auto"/>
          </w:tcPr>
          <w:p w:rsidR="00035233" w:rsidRPr="009C73B0" w:rsidRDefault="00035233" w:rsidP="00035233">
            <w:pPr>
              <w:pStyle w:val="05Tabletext"/>
              <w:keepNext/>
              <w:jc w:val="center"/>
            </w:pPr>
          </w:p>
        </w:tc>
      </w:tr>
      <w:tr w:rsidR="00035233" w:rsidRPr="00194011" w:rsidTr="00035233">
        <w:trPr>
          <w:cantSplit/>
        </w:trPr>
        <w:tc>
          <w:tcPr>
            <w:tcW w:w="2207" w:type="pct"/>
            <w:tcBorders>
              <w:top w:val="nil"/>
              <w:bottom w:val="nil"/>
            </w:tcBorders>
            <w:shd w:val="clear" w:color="auto" w:fill="auto"/>
          </w:tcPr>
          <w:p w:rsidR="00035233" w:rsidRDefault="00035233" w:rsidP="00035233">
            <w:pPr>
              <w:pStyle w:val="05Tabletext"/>
              <w:keepNext/>
              <w:ind w:firstLine="232"/>
            </w:pPr>
            <w:r>
              <w:t>Randomised controlled trials</w:t>
            </w:r>
          </w:p>
        </w:tc>
        <w:tc>
          <w:tcPr>
            <w:tcW w:w="882" w:type="pct"/>
            <w:tcBorders>
              <w:top w:val="nil"/>
              <w:bottom w:val="nil"/>
              <w:right w:val="nil"/>
            </w:tcBorders>
            <w:shd w:val="clear" w:color="auto" w:fill="auto"/>
          </w:tcPr>
          <w:p w:rsidR="00035233" w:rsidRDefault="00035233" w:rsidP="00035233">
            <w:pPr>
              <w:pStyle w:val="05Tabletext"/>
              <w:keepNext/>
              <w:jc w:val="center"/>
            </w:pPr>
          </w:p>
        </w:tc>
        <w:tc>
          <w:tcPr>
            <w:tcW w:w="956" w:type="pct"/>
            <w:tcBorders>
              <w:top w:val="nil"/>
              <w:left w:val="nil"/>
              <w:bottom w:val="nil"/>
              <w:right w:val="nil"/>
            </w:tcBorders>
            <w:shd w:val="clear" w:color="auto" w:fill="auto"/>
          </w:tcPr>
          <w:p w:rsidR="00035233" w:rsidRPr="009C73B0" w:rsidRDefault="00035233" w:rsidP="00035233">
            <w:pPr>
              <w:pStyle w:val="05Tabletext"/>
              <w:keepNext/>
              <w:jc w:val="center"/>
            </w:pPr>
            <w:r>
              <w:t>200</w:t>
            </w:r>
          </w:p>
        </w:tc>
        <w:tc>
          <w:tcPr>
            <w:tcW w:w="955" w:type="pct"/>
            <w:tcBorders>
              <w:top w:val="nil"/>
              <w:left w:val="nil"/>
              <w:bottom w:val="nil"/>
            </w:tcBorders>
            <w:shd w:val="clear" w:color="auto" w:fill="auto"/>
          </w:tcPr>
          <w:p w:rsidR="00035233" w:rsidRPr="009C73B0" w:rsidRDefault="00035233" w:rsidP="00035233">
            <w:pPr>
              <w:pStyle w:val="05Tabletext"/>
              <w:keepNext/>
              <w:jc w:val="center"/>
            </w:pPr>
          </w:p>
        </w:tc>
      </w:tr>
      <w:tr w:rsidR="00035233" w:rsidRPr="00194011" w:rsidTr="00035233">
        <w:trPr>
          <w:cantSplit/>
        </w:trPr>
        <w:tc>
          <w:tcPr>
            <w:tcW w:w="2207" w:type="pct"/>
            <w:tcBorders>
              <w:top w:val="nil"/>
              <w:bottom w:val="single" w:sz="4" w:space="0" w:color="auto"/>
            </w:tcBorders>
            <w:shd w:val="clear" w:color="auto" w:fill="auto"/>
          </w:tcPr>
          <w:p w:rsidR="00035233" w:rsidRDefault="00035233" w:rsidP="00035233">
            <w:pPr>
              <w:pStyle w:val="05Tabletext"/>
              <w:keepNext/>
              <w:ind w:firstLine="232"/>
            </w:pPr>
            <w:r>
              <w:t>Observational studies</w:t>
            </w:r>
          </w:p>
        </w:tc>
        <w:tc>
          <w:tcPr>
            <w:tcW w:w="882" w:type="pct"/>
            <w:tcBorders>
              <w:top w:val="nil"/>
              <w:bottom w:val="single" w:sz="4" w:space="0" w:color="auto"/>
              <w:right w:val="nil"/>
            </w:tcBorders>
            <w:shd w:val="clear" w:color="auto" w:fill="auto"/>
          </w:tcPr>
          <w:p w:rsidR="00035233" w:rsidRDefault="00035233" w:rsidP="00035233">
            <w:pPr>
              <w:pStyle w:val="05Tabletext"/>
              <w:keepNext/>
              <w:jc w:val="center"/>
            </w:pPr>
          </w:p>
        </w:tc>
        <w:tc>
          <w:tcPr>
            <w:tcW w:w="956" w:type="pct"/>
            <w:tcBorders>
              <w:top w:val="nil"/>
              <w:left w:val="nil"/>
              <w:bottom w:val="single" w:sz="4" w:space="0" w:color="auto"/>
              <w:right w:val="nil"/>
            </w:tcBorders>
            <w:shd w:val="clear" w:color="auto" w:fill="auto"/>
          </w:tcPr>
          <w:p w:rsidR="00035233" w:rsidRPr="009C73B0" w:rsidRDefault="00C80A83" w:rsidP="00035233">
            <w:pPr>
              <w:pStyle w:val="05Tabletext"/>
              <w:keepNext/>
              <w:jc w:val="center"/>
            </w:pPr>
            <w:r>
              <w:t>26</w:t>
            </w:r>
          </w:p>
        </w:tc>
        <w:tc>
          <w:tcPr>
            <w:tcW w:w="955" w:type="pct"/>
            <w:tcBorders>
              <w:top w:val="nil"/>
              <w:left w:val="nil"/>
              <w:bottom w:val="single" w:sz="4" w:space="0" w:color="auto"/>
            </w:tcBorders>
            <w:shd w:val="clear" w:color="auto" w:fill="auto"/>
          </w:tcPr>
          <w:p w:rsidR="00035233" w:rsidRPr="009C73B0" w:rsidRDefault="00035233" w:rsidP="00035233">
            <w:pPr>
              <w:pStyle w:val="05Tabletext"/>
              <w:keepNext/>
              <w:jc w:val="center"/>
            </w:pPr>
          </w:p>
        </w:tc>
      </w:tr>
    </w:tbl>
    <w:p w:rsidR="00035233" w:rsidRDefault="00035233" w:rsidP="00035233">
      <w:pPr>
        <w:pStyle w:val="11TableorFigurefootnotenostick"/>
      </w:pPr>
      <w:r>
        <w:t>Abbreviations: PBAC, Pharmaceutical Benefits Advisory Committee; PBS, Pharmaceutical Benefits Scheme; ToR, Term of Reference.</w:t>
      </w:r>
    </w:p>
    <w:p w:rsidR="00967D49" w:rsidRDefault="00035233" w:rsidP="00967D49">
      <w:pPr>
        <w:pStyle w:val="BodyText"/>
      </w:pPr>
      <w:r>
        <w:t xml:space="preserve">As stipulated in the protocol, studies were to be assessed for eligibility for inclusion in the systematic review using a staged approach; that is, the highest level of evidence available to answer the individual research questions would be considered initially before moving to lower levels of evidence (determined by the NHMRC Evidence Hierarchy for interventional evidence, as described in </w:t>
      </w:r>
      <w:r w:rsidRPr="0062061D">
        <w:t xml:space="preserve">Appendix </w:t>
      </w:r>
      <w:r w:rsidR="00417023">
        <w:t>L</w:t>
      </w:r>
      <w:r w:rsidRPr="0062061D">
        <w:t>).</w:t>
      </w:r>
      <w:r>
        <w:t xml:space="preserve"> The use of a staged approach targeted the research most likely to provide unbiased evidence as a consequence of how the research was designed. However, other factors must also be taken into consideration when assessing the reliability of study findings, such as study quality, size of the treatment effect, generalisability and applicability of the evidence.</w:t>
      </w:r>
    </w:p>
    <w:p w:rsidR="00035233" w:rsidRDefault="00035233" w:rsidP="00967D49">
      <w:pPr>
        <w:pStyle w:val="BodyText"/>
      </w:pPr>
      <w:r>
        <w:t>Although a very large body of Level I evidence was identified (13</w:t>
      </w:r>
      <w:r w:rsidR="00767832">
        <w:t>9</w:t>
      </w:r>
      <w:r>
        <w:t xml:space="preserve"> SR/MAs), a closer inspection of these studies revealed that the applicability of their findings to the Australian setting was often limited. Many of the Level I studies had broad eligibility criteria in terms of the range of COPD medicines and doses that were included. Furthermore, the pooled estimates of effect provided in these studies often included numerous therapies and doses of therapies within a drug class, not all of which are necessarily PBS-listed medicines or doses. For instance, the therapeutic effect and safety of indacaterol would be difficult to disentangle from evidence relating to salmeterol and</w:t>
      </w:r>
      <w:r w:rsidR="00AE19E8">
        <w:t xml:space="preserve"> eformoterol, which are not PBS </w:t>
      </w:r>
      <w:r>
        <w:t xml:space="preserve">listed </w:t>
      </w:r>
      <w:r w:rsidR="00767832">
        <w:t>as</w:t>
      </w:r>
      <w:r>
        <w:t xml:space="preserve"> monotherapy</w:t>
      </w:r>
      <w:r w:rsidR="00767832">
        <w:t xml:space="preserve"> for COPD</w:t>
      </w:r>
      <w:r>
        <w:t>. Similarly, non-PBS listed doses of fluticasone</w:t>
      </w:r>
      <w:r w:rsidR="001B2E1A">
        <w:t xml:space="preserve"> propionate</w:t>
      </w:r>
      <w:r>
        <w:t>/salmeterol (e.g. 250/50 μg) were often included in meta-analyses with PBS-listed doses. Such pooling of data generally compromised the applicability to the Australian setting and also precluded the ability to confirm therapeutic non-inferiority within drug classes where it has previously been established.</w:t>
      </w:r>
    </w:p>
    <w:p w:rsidR="00035233" w:rsidRDefault="00035233" w:rsidP="00035233">
      <w:pPr>
        <w:pStyle w:val="BodyText"/>
      </w:pPr>
      <w:r>
        <w:lastRenderedPageBreak/>
        <w:t>In light of these challenges, the evidence</w:t>
      </w:r>
      <w:r w:rsidR="00CE5390">
        <w:t xml:space="preserve"> base</w:t>
      </w:r>
      <w:r>
        <w:t xml:space="preserve"> underpinning ToR 3 focuses exclusively on Level II (RCT) </w:t>
      </w:r>
      <w:r w:rsidR="007F0705">
        <w:t>studies</w:t>
      </w:r>
      <w:r>
        <w:t xml:space="preserve"> that examine PBS-listed medicines at the approved dose(s).</w:t>
      </w:r>
      <w:r w:rsidR="007F0705">
        <w:t xml:space="preserve"> In the absence of RCT evidence, the search was extended to high-quality observations studies.</w:t>
      </w:r>
    </w:p>
    <w:p w:rsidR="00035233" w:rsidRDefault="00035233" w:rsidP="00035233">
      <w:pPr>
        <w:pStyle w:val="BodyText"/>
      </w:pPr>
      <w:r>
        <w:t>In addition to a focus on Level II evidence, head-to-head evidence was favoured over indirect comparisons (or network meta-analyses). As such, a large proportion of the 200 potentially relevant RCTs were excluded, as they were comparisons of one active COPD medicine versus placebo.</w:t>
      </w:r>
      <w:r w:rsidRPr="00A82644">
        <w:t xml:space="preserve"> </w:t>
      </w:r>
      <w:r>
        <w:t>In any studies with multiple active treatment groups, only the treatment groups with PBS-listed doses were included in results tables.</w:t>
      </w:r>
    </w:p>
    <w:p w:rsidR="00035233" w:rsidRDefault="00950573" w:rsidP="00035233">
      <w:pPr>
        <w:pStyle w:val="BodyText"/>
      </w:pPr>
      <w:r>
        <w:t>A</w:t>
      </w:r>
      <w:r w:rsidR="00374974">
        <w:t>n additional</w:t>
      </w:r>
      <w:r>
        <w:t xml:space="preserve"> </w:t>
      </w:r>
      <w:r w:rsidR="00035233">
        <w:t>three key questions were drafted in order to guide the evidence review. The questions outlined below were intended to provide clarity around the type of comparisons that the PBAC would be particularly interested in seeing:</w:t>
      </w:r>
    </w:p>
    <w:p w:rsidR="00035233" w:rsidRDefault="00035233" w:rsidP="00035233">
      <w:pPr>
        <w:pStyle w:val="Bullettext"/>
      </w:pPr>
      <w:r>
        <w:t>Does the recent evidence support non-inferiority of medicines within the same class (i.e. comparisons of LAMAs with other LAMAs; LAMA/LABAs with other LAMA/LABAs; and ICS/LABAs with other ICS/LABAs)? If one medicine or combination is shown to be superior or inferior to the others within the same class, are these differences only applicable to certain patients?</w:t>
      </w:r>
    </w:p>
    <w:p w:rsidR="00035233" w:rsidRDefault="00035233" w:rsidP="00035233">
      <w:pPr>
        <w:pStyle w:val="Bullettext"/>
      </w:pPr>
      <w:r>
        <w:t>Is there evidence that patients benefit from initiating on dual or triple therapy rather than monotherapy? If so, in which patients is this appropriate?</w:t>
      </w:r>
    </w:p>
    <w:p w:rsidR="00035233" w:rsidRDefault="00035233" w:rsidP="00035233">
      <w:pPr>
        <w:pStyle w:val="Bullettext"/>
      </w:pPr>
      <w:r>
        <w:t>What is the additional benefit of moving from monotherapy to dual therapy, or from dual to triple therapy? In which patients is this appropriate?</w:t>
      </w:r>
    </w:p>
    <w:p w:rsidR="00035233" w:rsidRDefault="00950573" w:rsidP="00035233">
      <w:pPr>
        <w:pStyle w:val="BodyText"/>
      </w:pPr>
      <w:r w:rsidRPr="00950573">
        <w:t xml:space="preserve">Finally, </w:t>
      </w:r>
      <w:r w:rsidR="002A22EC">
        <w:t>as noted in Section 3 (ToR</w:t>
      </w:r>
      <w:r w:rsidR="00906E59">
        <w:t xml:space="preserve"> </w:t>
      </w:r>
      <w:r w:rsidR="002A22EC">
        <w:t xml:space="preserve">2), </w:t>
      </w:r>
      <w:r w:rsidRPr="00950573">
        <w:t>the</w:t>
      </w:r>
      <w:r w:rsidR="007F3DFE">
        <w:t xml:space="preserve">re are a large number of </w:t>
      </w:r>
      <w:r w:rsidR="00D8289F">
        <w:t xml:space="preserve">relevant outcomes in COPD, including various measures of </w:t>
      </w:r>
      <w:r w:rsidR="00E27457">
        <w:t xml:space="preserve">lung function, </w:t>
      </w:r>
      <w:r w:rsidR="00D8289F">
        <w:t xml:space="preserve">COPD exacerbations, </w:t>
      </w:r>
      <w:r w:rsidR="00E27457">
        <w:t>symptom</w:t>
      </w:r>
      <w:r w:rsidR="00D8289F">
        <w:t>s</w:t>
      </w:r>
      <w:r w:rsidR="00E27457">
        <w:t xml:space="preserve"> and HRQoL</w:t>
      </w:r>
      <w:r w:rsidR="00906E59">
        <w:t xml:space="preserve">. A </w:t>
      </w:r>
      <w:r w:rsidRPr="00950573">
        <w:t xml:space="preserve">pragmatic approach to reporting of results was necessitated due to the large number of medicines and </w:t>
      </w:r>
      <w:r w:rsidR="00586DAB">
        <w:t>included</w:t>
      </w:r>
      <w:r w:rsidR="00C04871">
        <w:t xml:space="preserve"> RCTs. As a result, t</w:t>
      </w:r>
      <w:r w:rsidRPr="00950573">
        <w:t>he review focuses on several key outcomes that are relevant to decision</w:t>
      </w:r>
      <w:r w:rsidR="00906E59">
        <w:t xml:space="preserve"> </w:t>
      </w:r>
      <w:r w:rsidR="00E16CE1">
        <w:t>making</w:t>
      </w:r>
      <w:r w:rsidR="00906E59">
        <w:t>,</w:t>
      </w:r>
      <w:r w:rsidRPr="00950573">
        <w:t xml:space="preserve"> namely, trough FEV</w:t>
      </w:r>
      <w:r w:rsidRPr="00950573">
        <w:rPr>
          <w:vertAlign w:val="subscript"/>
        </w:rPr>
        <w:t>1</w:t>
      </w:r>
      <w:r w:rsidRPr="00950573">
        <w:t>, exacerbations, hospitalisation</w:t>
      </w:r>
      <w:r w:rsidR="00906E59">
        <w:t>,</w:t>
      </w:r>
      <w:r w:rsidRPr="00950573">
        <w:t xml:space="preserve"> and </w:t>
      </w:r>
      <w:r w:rsidR="00035233" w:rsidRPr="00950573">
        <w:t>safety</w:t>
      </w:r>
      <w:r w:rsidR="00035233" w:rsidRPr="00333BD7">
        <w:t>.</w:t>
      </w:r>
    </w:p>
    <w:p w:rsidR="00035233" w:rsidRDefault="00035233" w:rsidP="00035233">
      <w:pPr>
        <w:pStyle w:val="BodyText"/>
      </w:pPr>
      <w:r>
        <w:t xml:space="preserve">On the basis of this refined approach, a total of 24 RCTs (reported in 28 separate publications) were considered eligible for inclusion in the review. </w:t>
      </w:r>
      <w:r w:rsidRPr="0062061D">
        <w:t xml:space="preserve">Appendix </w:t>
      </w:r>
      <w:r w:rsidR="00417023">
        <w:t xml:space="preserve">N </w:t>
      </w:r>
      <w:r>
        <w:t xml:space="preserve">provides citation details for the </w:t>
      </w:r>
      <w:r w:rsidRPr="00664893">
        <w:t>remaining 17</w:t>
      </w:r>
      <w:r>
        <w:t xml:space="preserve">2 </w:t>
      </w:r>
      <w:r w:rsidR="00950573">
        <w:t>RCTs</w:t>
      </w:r>
      <w:r>
        <w:t>, together with the reason for exclusion.</w:t>
      </w:r>
    </w:p>
    <w:p w:rsidR="00035233" w:rsidRDefault="00035233" w:rsidP="00251CB8">
      <w:pPr>
        <w:pStyle w:val="Heading3"/>
        <w:numPr>
          <w:ilvl w:val="2"/>
          <w:numId w:val="11"/>
        </w:numPr>
      </w:pPr>
      <w:bookmarkStart w:id="66" w:name="_Toc468012270"/>
      <w:bookmarkStart w:id="67" w:name="_Toc471890918"/>
      <w:bookmarkStart w:id="68" w:name="_Toc482185946"/>
      <w:bookmarkStart w:id="69" w:name="_Toc486428080"/>
      <w:r>
        <w:t>Critical appraisal and data extraction</w:t>
      </w:r>
      <w:bookmarkEnd w:id="66"/>
      <w:bookmarkEnd w:id="67"/>
      <w:bookmarkEnd w:id="68"/>
      <w:bookmarkEnd w:id="69"/>
    </w:p>
    <w:p w:rsidR="00035233" w:rsidRDefault="00035233" w:rsidP="00035233">
      <w:pPr>
        <w:pStyle w:val="BodyText"/>
      </w:pPr>
      <w:r>
        <w:t xml:space="preserve">Studies were critically appraised according to the likelihood that bias had affected their findings. The execution of RCTs and observational studies was evaluated using quality appraisal checklists adapted from the NHMRC and SIGN </w:t>
      </w:r>
      <w:r w:rsidRPr="0062061D">
        <w:t xml:space="preserve">(see Appendix </w:t>
      </w:r>
      <w:r w:rsidR="00417023">
        <w:t>M</w:t>
      </w:r>
      <w:r w:rsidRPr="0062061D">
        <w:t>).</w:t>
      </w:r>
    </w:p>
    <w:p w:rsidR="00035233" w:rsidRDefault="00035233" w:rsidP="00035233">
      <w:pPr>
        <w:pStyle w:val="BodyText"/>
      </w:pPr>
      <w:r>
        <w:t xml:space="preserve">Relevant data was extracted from included studies, including study design, eligibility criteria (noting any studies that included patients with mixed airways disease), intervention drug and dosage details, comparator drug and dosage details, relevant outcome measures and results, and follow-up period. </w:t>
      </w:r>
    </w:p>
    <w:p w:rsidR="00035233" w:rsidRDefault="00035233" w:rsidP="00035233">
      <w:pPr>
        <w:pStyle w:val="BodyText"/>
      </w:pPr>
      <w:r>
        <w:lastRenderedPageBreak/>
        <w:t xml:space="preserve">Where appropriate, data extracted from the included studies were to be combined in a meta-analysis, using Review Manager </w:t>
      </w:r>
      <w:proofErr w:type="gramStart"/>
      <w:r>
        <w:t>software</w:t>
      </w:r>
      <w:proofErr w:type="gramEnd"/>
      <w:r>
        <w:t xml:space="preserve"> from the Cochrane Collaboration. For each review question, the findings were synthesised into an overall narrative, with better quality studies given greater weight in the formulation of conclusions. </w:t>
      </w:r>
    </w:p>
    <w:p w:rsidR="00035233" w:rsidRDefault="00035233" w:rsidP="00251CB8">
      <w:pPr>
        <w:pStyle w:val="Heading2"/>
        <w:numPr>
          <w:ilvl w:val="1"/>
          <w:numId w:val="11"/>
        </w:numPr>
      </w:pPr>
      <w:bookmarkStart w:id="70" w:name="_Toc468012271"/>
      <w:bookmarkStart w:id="71" w:name="_Toc471890919"/>
      <w:bookmarkStart w:id="72" w:name="_Toc482185947"/>
      <w:bookmarkStart w:id="73" w:name="_Toc486428081"/>
      <w:r>
        <w:t>Summary of evidence from randomised controlled trials</w:t>
      </w:r>
      <w:bookmarkEnd w:id="70"/>
      <w:bookmarkEnd w:id="71"/>
      <w:bookmarkEnd w:id="72"/>
      <w:bookmarkEnd w:id="73"/>
    </w:p>
    <w:p w:rsidR="00035233" w:rsidRDefault="00035233" w:rsidP="00035233">
      <w:pPr>
        <w:pStyle w:val="BodyText"/>
      </w:pPr>
      <w:r>
        <w:t xml:space="preserve">The following sections summarise the evidence from RCTs that compare the efficacy and safety of COPD medicines within the same class (Sections </w:t>
      </w:r>
      <w:r w:rsidR="009309BE">
        <w:t>3.4.1</w:t>
      </w:r>
      <w:r>
        <w:t xml:space="preserve"> to </w:t>
      </w:r>
      <w:r w:rsidR="009309BE">
        <w:t>3.4.3</w:t>
      </w:r>
      <w:r>
        <w:t xml:space="preserve">) and across different classes (Sections </w:t>
      </w:r>
      <w:r w:rsidR="009309BE">
        <w:t>3.4.4</w:t>
      </w:r>
      <w:r>
        <w:t xml:space="preserve"> to </w:t>
      </w:r>
      <w:r w:rsidR="009309BE">
        <w:t>3.4.8</w:t>
      </w:r>
      <w:r>
        <w:t>). In line with the aim of ToR 3, this section only includes evidence that the PBAC has not previously considered.</w:t>
      </w:r>
    </w:p>
    <w:p w:rsidR="00C64466" w:rsidRDefault="00F0306D" w:rsidP="00035233">
      <w:pPr>
        <w:pStyle w:val="BodyText"/>
      </w:pPr>
      <w:r>
        <w:t>It should be noted that the comparison of</w:t>
      </w:r>
      <w:r w:rsidR="00C64466">
        <w:t xml:space="preserve"> LAMA </w:t>
      </w:r>
      <w:r>
        <w:t>and</w:t>
      </w:r>
      <w:r w:rsidR="00C64466">
        <w:t xml:space="preserve"> LABA monotherapy was not considered to be clinically relevant</w:t>
      </w:r>
      <w:r w:rsidR="00C3503C">
        <w:t xml:space="preserve"> in the context of this review. Therefore,</w:t>
      </w:r>
      <w:r w:rsidR="004B4168">
        <w:t xml:space="preserve"> </w:t>
      </w:r>
      <w:r w:rsidR="00C64466">
        <w:t xml:space="preserve">studies that </w:t>
      </w:r>
      <w:r w:rsidR="00C3503C">
        <w:t>onl</w:t>
      </w:r>
      <w:r w:rsidR="00C64466">
        <w:t>y</w:t>
      </w:r>
      <w:r w:rsidR="00C3503C">
        <w:t xml:space="preserve"> compared those two therapies were</w:t>
      </w:r>
      <w:r w:rsidR="00C64466">
        <w:t xml:space="preserve"> excluded.</w:t>
      </w:r>
    </w:p>
    <w:p w:rsidR="00035233" w:rsidRDefault="00035233" w:rsidP="00251CB8">
      <w:pPr>
        <w:pStyle w:val="Heading3"/>
        <w:numPr>
          <w:ilvl w:val="2"/>
          <w:numId w:val="11"/>
        </w:numPr>
        <w:jc w:val="left"/>
      </w:pPr>
      <w:bookmarkStart w:id="74" w:name="_Ref467570366"/>
      <w:bookmarkStart w:id="75" w:name="_Ref467570383"/>
      <w:bookmarkStart w:id="76" w:name="_Toc467782084"/>
      <w:bookmarkStart w:id="77" w:name="_Toc468012272"/>
      <w:bookmarkStart w:id="78" w:name="_Toc471890920"/>
      <w:bookmarkStart w:id="79" w:name="_Toc482185948"/>
      <w:bookmarkStart w:id="80" w:name="_Toc486428082"/>
      <w:r>
        <w:t>LAMA versus LAMA</w:t>
      </w:r>
      <w:bookmarkEnd w:id="74"/>
      <w:bookmarkEnd w:id="75"/>
      <w:bookmarkEnd w:id="76"/>
      <w:bookmarkEnd w:id="77"/>
      <w:bookmarkEnd w:id="78"/>
      <w:bookmarkEnd w:id="79"/>
      <w:bookmarkEnd w:id="80"/>
    </w:p>
    <w:p w:rsidR="00035233" w:rsidRDefault="00035233" w:rsidP="00035233">
      <w:pPr>
        <w:pStyle w:val="BodyText"/>
      </w:pPr>
      <w:r>
        <w:t>Since the listing of tiotropium, three other LAMAs (glycopyrronium, aclidinium and umeclidinium) have been listed on the PBS for the treatment of COPD, all of which were listed on a cost</w:t>
      </w:r>
      <w:r w:rsidR="00AB35A5">
        <w:t>-</w:t>
      </w:r>
      <w:r>
        <w:t>minimisation basis with tiotropium.</w:t>
      </w:r>
    </w:p>
    <w:p w:rsidR="00906E59" w:rsidRDefault="00035233" w:rsidP="00906E59">
      <w:pPr>
        <w:pStyle w:val="BodyText"/>
      </w:pPr>
      <w:r>
        <w:t>One of the intentions of this evidence review is to determine whether recent evidence supports non-inferiority of the four LAM</w:t>
      </w:r>
      <w:r w:rsidR="00AE19E8">
        <w:t xml:space="preserve">As that are PBS </w:t>
      </w:r>
      <w:r>
        <w:t>listed (and if one medicine or combination is shown to be superior or inferior to the others, whether these differences are only applicable to certain patients). S</w:t>
      </w:r>
      <w:r w:rsidRPr="00A06FFB">
        <w:t xml:space="preserve">ix </w:t>
      </w:r>
      <w:r>
        <w:t>RCTs</w:t>
      </w:r>
      <w:r w:rsidRPr="00445409">
        <w:t xml:space="preserve"> </w:t>
      </w:r>
      <w:r>
        <w:t xml:space="preserve">that </w:t>
      </w:r>
      <w:r w:rsidRPr="00445409">
        <w:t>compar</w:t>
      </w:r>
      <w:r>
        <w:t>ed</w:t>
      </w:r>
      <w:r w:rsidRPr="00445409">
        <w:t xml:space="preserve"> </w:t>
      </w:r>
      <w:r>
        <w:t xml:space="preserve">two or more LAMA therapies were identified in the literature search and are listed in </w:t>
      </w:r>
      <w:r w:rsidR="00E435EA">
        <w:t>Table 3.7</w:t>
      </w:r>
      <w:r>
        <w:t>.</w:t>
      </w:r>
      <w:r w:rsidR="00906E59">
        <w:t xml:space="preserve"> </w:t>
      </w:r>
      <w:r w:rsidR="00906E59" w:rsidRPr="00445409">
        <w:t xml:space="preserve">The </w:t>
      </w:r>
      <w:r w:rsidR="00906E59">
        <w:t xml:space="preserve">study characteristics of the six relevant studies, such as the patient eligibility criteria, length of follow up and outcomes assessed, are </w:t>
      </w:r>
      <w:r w:rsidR="00906E59" w:rsidRPr="00445409">
        <w:t>summarised in</w:t>
      </w:r>
      <w:r w:rsidR="00906E59">
        <w:t xml:space="preserve"> Table 3.8. The results reported in each study that are of relevance to this review are then outlined in subsections according the specific treatment comparisons.</w:t>
      </w:r>
    </w:p>
    <w:p w:rsidR="00035233" w:rsidRDefault="00906E59" w:rsidP="00906E59">
      <w:pPr>
        <w:pStyle w:val="ToR3Tableheader"/>
      </w:pPr>
      <w:bookmarkStart w:id="81" w:name="_Toc467782099"/>
      <w:bookmarkStart w:id="82" w:name="_Toc468012287"/>
      <w:bookmarkStart w:id="83" w:name="_Toc468034443"/>
      <w:bookmarkStart w:id="84" w:name="_Toc471890999"/>
      <w:bookmarkStart w:id="85" w:name="_Toc486428186"/>
      <w:r>
        <w:t>Table 3.7</w:t>
      </w:r>
      <w:r w:rsidR="00E435EA">
        <w:tab/>
      </w:r>
      <w:r w:rsidR="00035233">
        <w:t>List of randomised controlled trials comparing two or more LAMA therapies</w:t>
      </w:r>
      <w:bookmarkEnd w:id="81"/>
      <w:bookmarkEnd w:id="82"/>
      <w:bookmarkEnd w:id="83"/>
      <w:bookmarkEnd w:id="84"/>
      <w:bookmarkEnd w:id="8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List of RCTs"/>
        <w:tblDescription w:val="List of randomised controlled trials comparing two or more LAMA therapies"/>
      </w:tblPr>
      <w:tblGrid>
        <w:gridCol w:w="1389"/>
        <w:gridCol w:w="6607"/>
        <w:gridCol w:w="1652"/>
      </w:tblGrid>
      <w:tr w:rsidR="00035233" w:rsidRPr="00F01736" w:rsidTr="00035233">
        <w:trPr>
          <w:cantSplit/>
          <w:tblHeader/>
        </w:trPr>
        <w:tc>
          <w:tcPr>
            <w:tcW w:w="720" w:type="pct"/>
            <w:shd w:val="clear" w:color="auto" w:fill="BFBFBF"/>
          </w:tcPr>
          <w:p w:rsidR="00035233" w:rsidRPr="00F01736" w:rsidRDefault="00035233" w:rsidP="00035233">
            <w:pPr>
              <w:pStyle w:val="01TableHEADINGleftaligned"/>
            </w:pPr>
            <w:r>
              <w:t>Trial ID</w:t>
            </w:r>
          </w:p>
        </w:tc>
        <w:tc>
          <w:tcPr>
            <w:tcW w:w="3424" w:type="pct"/>
            <w:shd w:val="clear" w:color="auto" w:fill="BFBFBF"/>
          </w:tcPr>
          <w:p w:rsidR="00035233" w:rsidRPr="00F01736" w:rsidRDefault="00035233" w:rsidP="00035233">
            <w:pPr>
              <w:pStyle w:val="01TableHEADINGleftaligned"/>
              <w:jc w:val="center"/>
            </w:pPr>
            <w:r>
              <w:t>Citation</w:t>
            </w:r>
          </w:p>
        </w:tc>
        <w:tc>
          <w:tcPr>
            <w:tcW w:w="856" w:type="pct"/>
            <w:shd w:val="clear" w:color="auto" w:fill="BFBFBF"/>
          </w:tcPr>
          <w:p w:rsidR="00035233" w:rsidRPr="00F01736" w:rsidRDefault="00035233" w:rsidP="00035233">
            <w:pPr>
              <w:pStyle w:val="01TableHEADINGleftaligned"/>
              <w:jc w:val="center"/>
            </w:pPr>
            <w:r>
              <w:t>Description</w:t>
            </w:r>
          </w:p>
        </w:tc>
      </w:tr>
      <w:tr w:rsidR="00035233" w:rsidRPr="00194011" w:rsidTr="00035233">
        <w:trPr>
          <w:cantSplit/>
        </w:trPr>
        <w:tc>
          <w:tcPr>
            <w:tcW w:w="720" w:type="pct"/>
            <w:shd w:val="clear" w:color="auto" w:fill="auto"/>
          </w:tcPr>
          <w:p w:rsidR="00035233" w:rsidRPr="009C73B0" w:rsidRDefault="00035233" w:rsidP="00035233">
            <w:pPr>
              <w:pStyle w:val="05Tabletext"/>
            </w:pPr>
            <w:r>
              <w:t>Beier (2013)</w:t>
            </w:r>
          </w:p>
        </w:tc>
        <w:tc>
          <w:tcPr>
            <w:tcW w:w="3424" w:type="pct"/>
            <w:shd w:val="clear" w:color="auto" w:fill="auto"/>
          </w:tcPr>
          <w:p w:rsidR="00035233" w:rsidRPr="009C73B0" w:rsidRDefault="00035233" w:rsidP="00035233">
            <w:pPr>
              <w:pStyle w:val="05Tabletext"/>
            </w:pPr>
            <w:r w:rsidRPr="009C73B0">
              <w:t>Beier J, Kirsten AM, Mruz R, Segarra R, Chuecos F, Caracta C, et al (2013). Efficacy and safety of aclidinium bromide compared with placebo and tiotropium in patients with moderate-to-severe chronic obstructive pulmonary disease: Results from a 6-week, randomized, controlled phase iiib study. C</w:t>
            </w:r>
            <w:r w:rsidR="001A2E31">
              <w:t>OPD</w:t>
            </w:r>
            <w:r w:rsidRPr="009C73B0">
              <w:t>: Journal of Chronic Obstructive Pulmonary Disease 10 (4):511-522.</w:t>
            </w:r>
          </w:p>
        </w:tc>
        <w:tc>
          <w:tcPr>
            <w:tcW w:w="856" w:type="pct"/>
            <w:shd w:val="clear" w:color="auto" w:fill="auto"/>
          </w:tcPr>
          <w:p w:rsidR="00035233" w:rsidRPr="009C73B0" w:rsidRDefault="00035233" w:rsidP="00035233">
            <w:pPr>
              <w:pStyle w:val="05Tabletext"/>
            </w:pPr>
            <w:r>
              <w:t>Key publication</w:t>
            </w:r>
            <w:r w:rsidRPr="009C73B0">
              <w:t xml:space="preserve"> </w:t>
            </w:r>
          </w:p>
        </w:tc>
      </w:tr>
      <w:tr w:rsidR="00035233" w:rsidRPr="00194011" w:rsidTr="00035233">
        <w:trPr>
          <w:cantSplit/>
        </w:trPr>
        <w:tc>
          <w:tcPr>
            <w:tcW w:w="720" w:type="pct"/>
            <w:tcBorders>
              <w:bottom w:val="single" w:sz="4" w:space="0" w:color="auto"/>
            </w:tcBorders>
            <w:shd w:val="clear" w:color="auto" w:fill="auto"/>
          </w:tcPr>
          <w:p w:rsidR="00035233" w:rsidRDefault="00035233" w:rsidP="00035233">
            <w:pPr>
              <w:pStyle w:val="05Tabletext"/>
            </w:pPr>
            <w:r>
              <w:t>Donohue (2012)</w:t>
            </w:r>
          </w:p>
        </w:tc>
        <w:tc>
          <w:tcPr>
            <w:tcW w:w="3424" w:type="pct"/>
            <w:tcBorders>
              <w:bottom w:val="single" w:sz="4" w:space="0" w:color="auto"/>
            </w:tcBorders>
            <w:shd w:val="clear" w:color="auto" w:fill="auto"/>
          </w:tcPr>
          <w:p w:rsidR="00035233" w:rsidRPr="00FC1FB4" w:rsidRDefault="00035233" w:rsidP="00035233">
            <w:pPr>
              <w:pStyle w:val="05Tabletext"/>
            </w:pPr>
            <w:r w:rsidRPr="00DD5F51">
              <w:t>Donohue JF, Anzueto A, Brooks J, Mehta R, Kalberg C and Crater G (2012). A randomized, double-blind dose-ranging study of the novel LAMA GSK573719 in patients with COPD. Respiratory Medicine 106 (7):970-979.</w:t>
            </w:r>
          </w:p>
        </w:tc>
        <w:tc>
          <w:tcPr>
            <w:tcW w:w="856" w:type="pct"/>
            <w:tcBorders>
              <w:bottom w:val="single" w:sz="4" w:space="0" w:color="auto"/>
            </w:tcBorders>
            <w:shd w:val="clear" w:color="auto" w:fill="auto"/>
          </w:tcPr>
          <w:p w:rsidR="00035233" w:rsidRDefault="00035233" w:rsidP="00035233">
            <w:pPr>
              <w:pStyle w:val="05Tabletext"/>
            </w:pPr>
            <w:r>
              <w:t>Key publication</w:t>
            </w:r>
          </w:p>
        </w:tc>
      </w:tr>
      <w:tr w:rsidR="00035233" w:rsidRPr="00194011" w:rsidTr="00035233">
        <w:trPr>
          <w:cantSplit/>
        </w:trPr>
        <w:tc>
          <w:tcPr>
            <w:tcW w:w="720" w:type="pct"/>
            <w:tcBorders>
              <w:bottom w:val="single" w:sz="4" w:space="0" w:color="auto"/>
            </w:tcBorders>
            <w:shd w:val="clear" w:color="auto" w:fill="auto"/>
          </w:tcPr>
          <w:p w:rsidR="00035233" w:rsidRPr="009C73B0" w:rsidRDefault="00035233" w:rsidP="00035233">
            <w:pPr>
              <w:pStyle w:val="05Tabletext"/>
            </w:pPr>
            <w:r>
              <w:t>Feldman (2016)</w:t>
            </w:r>
          </w:p>
        </w:tc>
        <w:tc>
          <w:tcPr>
            <w:tcW w:w="3424" w:type="pct"/>
            <w:tcBorders>
              <w:bottom w:val="single" w:sz="4" w:space="0" w:color="auto"/>
            </w:tcBorders>
            <w:shd w:val="clear" w:color="auto" w:fill="auto"/>
          </w:tcPr>
          <w:p w:rsidR="00035233" w:rsidRPr="009C73B0" w:rsidRDefault="00035233" w:rsidP="00035233">
            <w:pPr>
              <w:pStyle w:val="05Tabletext"/>
            </w:pPr>
            <w:r w:rsidRPr="00FC1FB4">
              <w:t xml:space="preserve">Feldman G, Maltais F, Khindri S, Vahdati-Bolouri M, Church A, Fahy WA, et al (2016). A randomized, blinded study to evaluate the efficacy and safety of umeclidinium 62.5 </w:t>
            </w:r>
            <w:proofErr w:type="gramStart"/>
            <w:r w:rsidRPr="00FC1FB4">
              <w:t>mug</w:t>
            </w:r>
            <w:proofErr w:type="gramEnd"/>
            <w:r w:rsidRPr="00FC1FB4">
              <w:t xml:space="preserve"> compared with tiotropium 18 mug in patients with COPD. International Journal of C</w:t>
            </w:r>
            <w:r w:rsidR="001A2E31">
              <w:t>OPD</w:t>
            </w:r>
            <w:r w:rsidRPr="00FC1FB4">
              <w:t xml:space="preserve"> 11 (1):719-730.</w:t>
            </w:r>
          </w:p>
        </w:tc>
        <w:tc>
          <w:tcPr>
            <w:tcW w:w="856" w:type="pct"/>
            <w:tcBorders>
              <w:bottom w:val="single" w:sz="4" w:space="0" w:color="auto"/>
            </w:tcBorders>
            <w:shd w:val="clear" w:color="auto" w:fill="auto"/>
          </w:tcPr>
          <w:p w:rsidR="00035233" w:rsidRPr="009C73B0" w:rsidRDefault="00035233" w:rsidP="00035233">
            <w:pPr>
              <w:pStyle w:val="05Tabletext"/>
            </w:pPr>
            <w:r>
              <w:t>Key publication</w:t>
            </w:r>
          </w:p>
        </w:tc>
      </w:tr>
      <w:tr w:rsidR="00035233" w:rsidRPr="00194011" w:rsidTr="00035233">
        <w:trPr>
          <w:cantSplit/>
        </w:trPr>
        <w:tc>
          <w:tcPr>
            <w:tcW w:w="720" w:type="pct"/>
            <w:shd w:val="clear" w:color="auto" w:fill="auto"/>
          </w:tcPr>
          <w:p w:rsidR="00035233" w:rsidRDefault="00035233" w:rsidP="00035233">
            <w:pPr>
              <w:pStyle w:val="05Tabletext"/>
            </w:pPr>
            <w:r>
              <w:t>Manoharan (2016)</w:t>
            </w:r>
          </w:p>
        </w:tc>
        <w:tc>
          <w:tcPr>
            <w:tcW w:w="3424" w:type="pct"/>
            <w:shd w:val="clear" w:color="auto" w:fill="auto"/>
          </w:tcPr>
          <w:p w:rsidR="00035233" w:rsidRPr="009C73B0" w:rsidRDefault="00035233" w:rsidP="00035233">
            <w:pPr>
              <w:pStyle w:val="05Tabletext"/>
            </w:pPr>
            <w:r w:rsidRPr="0043330A">
              <w:t>Manoharan A, Morrison AE and Lipworth BJ (2016). Effects of Adding Tiotropium or Aclidinium as Triple Therapy Using Impulse Oscillometry in COPD. Lung 194 (2):259-266.</w:t>
            </w:r>
          </w:p>
        </w:tc>
        <w:tc>
          <w:tcPr>
            <w:tcW w:w="856" w:type="pct"/>
            <w:shd w:val="clear" w:color="auto" w:fill="auto"/>
          </w:tcPr>
          <w:p w:rsidR="00035233" w:rsidRDefault="00035233" w:rsidP="00035233">
            <w:pPr>
              <w:pStyle w:val="05Tabletext"/>
            </w:pPr>
            <w:r>
              <w:t>Key publication</w:t>
            </w:r>
          </w:p>
        </w:tc>
      </w:tr>
      <w:tr w:rsidR="00035233" w:rsidRPr="00194011" w:rsidTr="00035233">
        <w:trPr>
          <w:cantSplit/>
        </w:trPr>
        <w:tc>
          <w:tcPr>
            <w:tcW w:w="720" w:type="pct"/>
            <w:shd w:val="clear" w:color="auto" w:fill="auto"/>
          </w:tcPr>
          <w:p w:rsidR="00035233" w:rsidRDefault="00035233" w:rsidP="00035233">
            <w:pPr>
              <w:pStyle w:val="05Tabletext"/>
            </w:pPr>
            <w:r>
              <w:t>NCT02236611</w:t>
            </w:r>
          </w:p>
        </w:tc>
        <w:tc>
          <w:tcPr>
            <w:tcW w:w="3424" w:type="pct"/>
            <w:shd w:val="clear" w:color="auto" w:fill="auto"/>
          </w:tcPr>
          <w:p w:rsidR="00035233" w:rsidRPr="0043330A" w:rsidRDefault="00035233" w:rsidP="00967D49">
            <w:pPr>
              <w:pStyle w:val="05Tabletext"/>
            </w:pPr>
            <w:r w:rsidRPr="003045D2">
              <w:t>A 12-week Study to Evaluate the Efficacy and Safety of Umeclidinium 62.5 Microgram (mcg) Compared With Glycopyrronium 44 mcg in Subjects With Chronic Obstructive Pulmonary Disease (COPD)</w:t>
            </w:r>
            <w:r>
              <w:t>. Sponsor: GlaxoSmithKline. Study results received: 18 January 2016. Available at:</w:t>
            </w:r>
            <w:r w:rsidR="00967D49">
              <w:t xml:space="preserve"> </w:t>
            </w:r>
            <w:r w:rsidR="00967D49" w:rsidRPr="00E80D21">
              <w:t>https://clinicaltrials.gov/ct2/show/NCT02236611?term=NCT02236611&amp;rank=1</w:t>
            </w:r>
            <w:r w:rsidR="00883A8A">
              <w:t>.</w:t>
            </w:r>
          </w:p>
        </w:tc>
        <w:tc>
          <w:tcPr>
            <w:tcW w:w="856" w:type="pct"/>
            <w:shd w:val="clear" w:color="auto" w:fill="auto"/>
          </w:tcPr>
          <w:p w:rsidR="00035233" w:rsidRDefault="00035233" w:rsidP="00035233">
            <w:pPr>
              <w:pStyle w:val="05Tabletext"/>
            </w:pPr>
            <w:r>
              <w:t>Unpublished results from a completed trial</w:t>
            </w:r>
          </w:p>
        </w:tc>
      </w:tr>
      <w:tr w:rsidR="00035233" w:rsidRPr="00194011" w:rsidTr="00035233">
        <w:trPr>
          <w:cantSplit/>
        </w:trPr>
        <w:tc>
          <w:tcPr>
            <w:tcW w:w="720" w:type="pct"/>
            <w:tcBorders>
              <w:bottom w:val="nil"/>
            </w:tcBorders>
            <w:shd w:val="clear" w:color="auto" w:fill="auto"/>
          </w:tcPr>
          <w:p w:rsidR="00035233" w:rsidRPr="009C73B0" w:rsidRDefault="00035233" w:rsidP="00035233">
            <w:pPr>
              <w:pStyle w:val="05Tabletext"/>
              <w:keepNext/>
            </w:pPr>
            <w:r>
              <w:lastRenderedPageBreak/>
              <w:t>TIOSPIR</w:t>
            </w:r>
          </w:p>
        </w:tc>
        <w:tc>
          <w:tcPr>
            <w:tcW w:w="3424" w:type="pct"/>
            <w:tcBorders>
              <w:bottom w:val="single" w:sz="4" w:space="0" w:color="auto"/>
            </w:tcBorders>
            <w:shd w:val="clear" w:color="auto" w:fill="auto"/>
          </w:tcPr>
          <w:p w:rsidR="00035233" w:rsidRPr="009C73B0" w:rsidRDefault="00035233" w:rsidP="00035233">
            <w:pPr>
              <w:pStyle w:val="05Tabletext"/>
              <w:keepNext/>
            </w:pPr>
            <w:r w:rsidRPr="00FC1FB4">
              <w:t>Anzueto A, Wise R, Calverley P, Dusser D, Tang W, Metzdorf N, et al (2015). The Tiotropium Safety and Performance in Respimat (TIOSPIR) Trial: Spirometry Outcomes. Respiratory Research 16 (1) (no pagination</w:t>
            </w:r>
            <w:proofErr w:type="gramStart"/>
            <w:r w:rsidRPr="00FC1FB4">
              <w:t>)(</w:t>
            </w:r>
            <w:proofErr w:type="gramEnd"/>
            <w:r w:rsidRPr="00FC1FB4">
              <w:t>107).</w:t>
            </w:r>
          </w:p>
        </w:tc>
        <w:tc>
          <w:tcPr>
            <w:tcW w:w="856" w:type="pct"/>
            <w:tcBorders>
              <w:bottom w:val="single" w:sz="4" w:space="0" w:color="auto"/>
            </w:tcBorders>
            <w:shd w:val="clear" w:color="auto" w:fill="auto"/>
          </w:tcPr>
          <w:p w:rsidR="00035233" w:rsidRPr="009C73B0" w:rsidRDefault="00035233" w:rsidP="00035233">
            <w:pPr>
              <w:pStyle w:val="05Tabletext"/>
              <w:keepNext/>
            </w:pPr>
            <w:r>
              <w:t>Substudy of spirometry outcomes</w:t>
            </w:r>
          </w:p>
        </w:tc>
      </w:tr>
      <w:tr w:rsidR="00035233" w:rsidRPr="00194011" w:rsidTr="00035233">
        <w:trPr>
          <w:cantSplit/>
        </w:trPr>
        <w:tc>
          <w:tcPr>
            <w:tcW w:w="720" w:type="pct"/>
            <w:tcBorders>
              <w:top w:val="nil"/>
              <w:bottom w:val="nil"/>
            </w:tcBorders>
            <w:shd w:val="clear" w:color="auto" w:fill="auto"/>
          </w:tcPr>
          <w:p w:rsidR="00035233" w:rsidRPr="009C73B0" w:rsidRDefault="00035233" w:rsidP="00035233">
            <w:pPr>
              <w:pStyle w:val="05Tabletext"/>
              <w:keepNext/>
            </w:pPr>
          </w:p>
        </w:tc>
        <w:tc>
          <w:tcPr>
            <w:tcW w:w="3424" w:type="pct"/>
            <w:tcBorders>
              <w:top w:val="single" w:sz="4" w:space="0" w:color="auto"/>
              <w:bottom w:val="single" w:sz="4" w:space="0" w:color="auto"/>
            </w:tcBorders>
            <w:shd w:val="clear" w:color="auto" w:fill="auto"/>
          </w:tcPr>
          <w:p w:rsidR="00035233" w:rsidRPr="009C73B0" w:rsidRDefault="00035233" w:rsidP="00035233">
            <w:pPr>
              <w:pStyle w:val="05Tabletext"/>
              <w:keepNext/>
            </w:pPr>
            <w:r w:rsidRPr="004776F8">
              <w:t xml:space="preserve">Dahl R, Calverley PMA, Anzueto A, Metzdorf N, Fowler A, Mueller A, et al (2015). Safety and efficacy of tiotropium in patients switching from </w:t>
            </w:r>
            <w:r w:rsidR="00AC3855">
              <w:t>HandiHaler</w:t>
            </w:r>
            <w:r w:rsidRPr="004776F8">
              <w:t xml:space="preserve"> to Respimat in the TIOSPIR trial. BMJ Open 5 (12) (no pagination</w:t>
            </w:r>
            <w:proofErr w:type="gramStart"/>
            <w:r w:rsidRPr="004776F8">
              <w:t>)(</w:t>
            </w:r>
            <w:proofErr w:type="gramEnd"/>
            <w:r w:rsidRPr="004776F8">
              <w:t>e009015).</w:t>
            </w:r>
          </w:p>
        </w:tc>
        <w:tc>
          <w:tcPr>
            <w:tcW w:w="856" w:type="pct"/>
            <w:tcBorders>
              <w:top w:val="single" w:sz="4" w:space="0" w:color="auto"/>
              <w:bottom w:val="single" w:sz="4" w:space="0" w:color="auto"/>
            </w:tcBorders>
            <w:shd w:val="clear" w:color="auto" w:fill="auto"/>
          </w:tcPr>
          <w:p w:rsidR="00035233" w:rsidRPr="009C73B0" w:rsidRDefault="00035233" w:rsidP="00035233">
            <w:pPr>
              <w:pStyle w:val="05Tabletext"/>
              <w:keepNext/>
            </w:pPr>
            <w:r>
              <w:t xml:space="preserve">Post hoc analysis of patients previously on </w:t>
            </w:r>
            <w:r w:rsidR="00AC3855">
              <w:t>HandiHaler</w:t>
            </w:r>
            <w:r>
              <w:t xml:space="preserve"> and switching to Respimat</w:t>
            </w:r>
          </w:p>
        </w:tc>
      </w:tr>
      <w:tr w:rsidR="00035233" w:rsidRPr="00194011" w:rsidTr="00035233">
        <w:trPr>
          <w:cantSplit/>
        </w:trPr>
        <w:tc>
          <w:tcPr>
            <w:tcW w:w="720" w:type="pct"/>
            <w:tcBorders>
              <w:top w:val="nil"/>
              <w:bottom w:val="single" w:sz="4" w:space="0" w:color="auto"/>
            </w:tcBorders>
            <w:shd w:val="clear" w:color="auto" w:fill="auto"/>
          </w:tcPr>
          <w:p w:rsidR="00035233" w:rsidRPr="009C73B0" w:rsidRDefault="00035233" w:rsidP="00035233">
            <w:pPr>
              <w:pStyle w:val="05Tabletext"/>
              <w:keepNext/>
            </w:pPr>
          </w:p>
        </w:tc>
        <w:tc>
          <w:tcPr>
            <w:tcW w:w="3424" w:type="pct"/>
            <w:tcBorders>
              <w:top w:val="single" w:sz="4" w:space="0" w:color="auto"/>
              <w:bottom w:val="single" w:sz="4" w:space="0" w:color="auto"/>
            </w:tcBorders>
            <w:shd w:val="clear" w:color="auto" w:fill="auto"/>
          </w:tcPr>
          <w:p w:rsidR="00035233" w:rsidRPr="009C73B0" w:rsidRDefault="00035233" w:rsidP="00035233">
            <w:pPr>
              <w:pStyle w:val="05Tabletext"/>
              <w:keepNext/>
            </w:pPr>
            <w:r w:rsidRPr="00911088">
              <w:t xml:space="preserve">Wise R, Calverley PM, Dahl R, Dusser D, Metzdorf N, Muller A, et al (2015). Safety and efficacy of tiotropium Respimat versus </w:t>
            </w:r>
            <w:r w:rsidR="00AC3855">
              <w:t>HandiHaler</w:t>
            </w:r>
            <w:r w:rsidRPr="00911088">
              <w:t xml:space="preserve"> in patients naive to treatment with inhaled anticholinergics: A post hoc analysis of the TIOSPIR trial. NPJ Primary Care Respiratory Medicine 25 (no pagination</w:t>
            </w:r>
            <w:proofErr w:type="gramStart"/>
            <w:r w:rsidRPr="00911088">
              <w:t>)(</w:t>
            </w:r>
            <w:proofErr w:type="gramEnd"/>
            <w:r w:rsidRPr="00911088">
              <w:t>15067).</w:t>
            </w:r>
          </w:p>
        </w:tc>
        <w:tc>
          <w:tcPr>
            <w:tcW w:w="856" w:type="pct"/>
            <w:tcBorders>
              <w:top w:val="single" w:sz="4" w:space="0" w:color="auto"/>
              <w:bottom w:val="single" w:sz="4" w:space="0" w:color="auto"/>
            </w:tcBorders>
            <w:shd w:val="clear" w:color="auto" w:fill="auto"/>
          </w:tcPr>
          <w:p w:rsidR="00035233" w:rsidRPr="009C73B0" w:rsidRDefault="00035233" w:rsidP="00035233">
            <w:pPr>
              <w:pStyle w:val="05Tabletext"/>
              <w:keepNext/>
            </w:pPr>
            <w:r>
              <w:t>Post hoc analysis of patients naïve to treatment with inhaled anticholinergics</w:t>
            </w:r>
          </w:p>
        </w:tc>
      </w:tr>
    </w:tbl>
    <w:p w:rsidR="00035233" w:rsidRDefault="00035233" w:rsidP="00035233">
      <w:pPr>
        <w:pStyle w:val="11TableorFigurefootnotenostick"/>
      </w:pPr>
      <w:r>
        <w:t>Abbreviations: LAMA, long-acting muscarinic antagonist.</w:t>
      </w:r>
    </w:p>
    <w:p w:rsidR="00035233" w:rsidRDefault="00035233" w:rsidP="00035233">
      <w:pPr>
        <w:pStyle w:val="BodyText"/>
      </w:pPr>
    </w:p>
    <w:p w:rsidR="00035233" w:rsidRPr="00445409" w:rsidRDefault="00035233" w:rsidP="00035233">
      <w:pPr>
        <w:pStyle w:val="BodyText"/>
        <w:sectPr w:rsidR="00035233" w:rsidRPr="00445409" w:rsidSect="00270A37">
          <w:headerReference w:type="even" r:id="rId12"/>
          <w:footerReference w:type="default" r:id="rId13"/>
          <w:headerReference w:type="first" r:id="rId14"/>
          <w:pgSz w:w="11906" w:h="16838"/>
          <w:pgMar w:top="1134" w:right="1134" w:bottom="1134" w:left="1134" w:header="709" w:footer="709" w:gutter="0"/>
          <w:cols w:space="708"/>
          <w:docGrid w:linePitch="360"/>
        </w:sectPr>
      </w:pPr>
    </w:p>
    <w:p w:rsidR="00035233" w:rsidRDefault="00906E59" w:rsidP="00A55E5D">
      <w:pPr>
        <w:pStyle w:val="ToR3Tableheader"/>
        <w:spacing w:before="0"/>
      </w:pPr>
      <w:bookmarkStart w:id="86" w:name="_Toc467782100"/>
      <w:bookmarkStart w:id="87" w:name="_Toc468012288"/>
      <w:bookmarkStart w:id="88" w:name="_Toc468034444"/>
      <w:bookmarkStart w:id="89" w:name="_Toc471891000"/>
      <w:bookmarkStart w:id="90" w:name="_Toc486428187"/>
      <w:r>
        <w:lastRenderedPageBreak/>
        <w:t>Table 3.8</w:t>
      </w:r>
      <w:r w:rsidR="00E435EA">
        <w:tab/>
      </w:r>
      <w:r w:rsidR="00035233">
        <w:t>Details of randomised controlled trials comparing two or more LAMAs</w:t>
      </w:r>
      <w:bookmarkEnd w:id="86"/>
      <w:bookmarkEnd w:id="87"/>
      <w:bookmarkEnd w:id="88"/>
      <w:bookmarkEnd w:id="89"/>
      <w:bookmarkEnd w:id="9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Caption w:val="Study characteristics"/>
        <w:tblDescription w:val="Details of randomised controlled trials comparing two or more LAMAs"/>
      </w:tblPr>
      <w:tblGrid>
        <w:gridCol w:w="1732"/>
        <w:gridCol w:w="1056"/>
        <w:gridCol w:w="872"/>
        <w:gridCol w:w="1446"/>
        <w:gridCol w:w="6441"/>
        <w:gridCol w:w="840"/>
        <w:gridCol w:w="2193"/>
      </w:tblGrid>
      <w:tr w:rsidR="00035233" w:rsidRPr="00194011" w:rsidTr="00653A91">
        <w:trPr>
          <w:cantSplit/>
          <w:trHeight w:val="735"/>
          <w:tblHeader/>
        </w:trPr>
        <w:tc>
          <w:tcPr>
            <w:tcW w:w="594" w:type="pct"/>
            <w:shd w:val="clear" w:color="auto" w:fill="BFBFBF"/>
          </w:tcPr>
          <w:p w:rsidR="00035233" w:rsidRPr="00F24C36" w:rsidRDefault="00035233" w:rsidP="00035233">
            <w:pPr>
              <w:pStyle w:val="01TableHEADINGleftaligned"/>
            </w:pPr>
            <w:r w:rsidRPr="00F24C36">
              <w:t>Trial ID</w:t>
            </w:r>
          </w:p>
          <w:p w:rsidR="00035233" w:rsidRPr="00AC28D5" w:rsidRDefault="00035233" w:rsidP="00035233">
            <w:pPr>
              <w:pStyle w:val="01TableHEADINGleftaligned"/>
            </w:pPr>
            <w:r w:rsidRPr="00F24C36">
              <w:t>1. Publications</w:t>
            </w:r>
            <w:r w:rsidRPr="00F24C36">
              <w:br/>
              <w:t>2. Study quality</w:t>
            </w:r>
            <w:r>
              <w:br/>
            </w:r>
            <w:r w:rsidRPr="00F24C36">
              <w:t>3. Country</w:t>
            </w:r>
            <w:r w:rsidRPr="00F24C36">
              <w:br/>
              <w:t>4. Sponsor</w:t>
            </w:r>
          </w:p>
        </w:tc>
        <w:tc>
          <w:tcPr>
            <w:tcW w:w="362" w:type="pct"/>
            <w:shd w:val="clear" w:color="auto" w:fill="BFBFBF"/>
          </w:tcPr>
          <w:p w:rsidR="00035233" w:rsidRPr="00194011" w:rsidRDefault="00035233" w:rsidP="00035233">
            <w:pPr>
              <w:pStyle w:val="02TableHEADINGcentred"/>
            </w:pPr>
            <w:r w:rsidRPr="00194011">
              <w:t>N</w:t>
            </w:r>
          </w:p>
        </w:tc>
        <w:tc>
          <w:tcPr>
            <w:tcW w:w="299" w:type="pct"/>
            <w:shd w:val="clear" w:color="auto" w:fill="BFBFBF"/>
          </w:tcPr>
          <w:p w:rsidR="00035233" w:rsidRPr="00194011" w:rsidRDefault="00035233" w:rsidP="00035233">
            <w:pPr>
              <w:pStyle w:val="02TableHEADINGcentred"/>
            </w:pPr>
            <w:r w:rsidRPr="00194011">
              <w:t>Study design</w:t>
            </w:r>
          </w:p>
        </w:tc>
        <w:tc>
          <w:tcPr>
            <w:tcW w:w="496" w:type="pct"/>
            <w:shd w:val="clear" w:color="auto" w:fill="BFBFBF"/>
          </w:tcPr>
          <w:p w:rsidR="00035233" w:rsidRPr="00194011" w:rsidRDefault="00035233" w:rsidP="00035233">
            <w:pPr>
              <w:pStyle w:val="01TableHEADINGleftaligned"/>
              <w:jc w:val="center"/>
            </w:pPr>
            <w:r w:rsidRPr="00194011">
              <w:t>Tx (n)</w:t>
            </w:r>
          </w:p>
        </w:tc>
        <w:tc>
          <w:tcPr>
            <w:tcW w:w="2209" w:type="pct"/>
            <w:shd w:val="clear" w:color="auto" w:fill="BFBFBF"/>
          </w:tcPr>
          <w:p w:rsidR="00035233" w:rsidRPr="00194011" w:rsidRDefault="00035233" w:rsidP="00035233">
            <w:pPr>
              <w:pStyle w:val="01TableHEADINGleftaligned"/>
              <w:jc w:val="center"/>
            </w:pPr>
            <w:r w:rsidRPr="00194011">
              <w:t>Eligibility criteria</w:t>
            </w:r>
          </w:p>
        </w:tc>
        <w:tc>
          <w:tcPr>
            <w:tcW w:w="288" w:type="pct"/>
            <w:shd w:val="clear" w:color="auto" w:fill="BFBFBF"/>
          </w:tcPr>
          <w:p w:rsidR="00035233" w:rsidRPr="00194011" w:rsidRDefault="00035233" w:rsidP="00035233">
            <w:pPr>
              <w:pStyle w:val="01TableHEADINGleftaligned"/>
              <w:jc w:val="center"/>
            </w:pPr>
            <w:r>
              <w:t>Treatment period</w:t>
            </w:r>
          </w:p>
        </w:tc>
        <w:tc>
          <w:tcPr>
            <w:tcW w:w="752" w:type="pct"/>
            <w:shd w:val="clear" w:color="auto" w:fill="BFBFBF"/>
          </w:tcPr>
          <w:p w:rsidR="00035233" w:rsidRPr="00194011" w:rsidRDefault="00035233" w:rsidP="00035233">
            <w:pPr>
              <w:pStyle w:val="01TableHEADINGleftaligned"/>
              <w:jc w:val="center"/>
            </w:pPr>
            <w:r w:rsidRPr="00194011">
              <w:t>Outcomes reported</w:t>
            </w:r>
          </w:p>
        </w:tc>
      </w:tr>
      <w:tr w:rsidR="00035233" w:rsidRPr="00194011" w:rsidTr="00653A91">
        <w:trPr>
          <w:cantSplit/>
        </w:trPr>
        <w:tc>
          <w:tcPr>
            <w:tcW w:w="594" w:type="pct"/>
            <w:shd w:val="clear" w:color="auto" w:fill="000000"/>
          </w:tcPr>
          <w:p w:rsidR="00035233" w:rsidRPr="00194011" w:rsidRDefault="00035233" w:rsidP="00035233">
            <w:pPr>
              <w:pStyle w:val="04Tablesubheading"/>
            </w:pPr>
            <w:r>
              <w:t>ACL vs TIO</w:t>
            </w:r>
          </w:p>
        </w:tc>
        <w:tc>
          <w:tcPr>
            <w:tcW w:w="362" w:type="pct"/>
            <w:shd w:val="clear" w:color="auto" w:fill="000000"/>
          </w:tcPr>
          <w:p w:rsidR="00035233" w:rsidRPr="00194011" w:rsidRDefault="00035233" w:rsidP="00035233">
            <w:pPr>
              <w:pStyle w:val="04Tablesubheading"/>
            </w:pPr>
          </w:p>
        </w:tc>
        <w:tc>
          <w:tcPr>
            <w:tcW w:w="299" w:type="pct"/>
            <w:shd w:val="clear" w:color="auto" w:fill="000000"/>
          </w:tcPr>
          <w:p w:rsidR="00035233" w:rsidRPr="00194011" w:rsidRDefault="00035233" w:rsidP="00035233">
            <w:pPr>
              <w:pStyle w:val="04Tablesubheading"/>
            </w:pPr>
          </w:p>
        </w:tc>
        <w:tc>
          <w:tcPr>
            <w:tcW w:w="496" w:type="pct"/>
            <w:shd w:val="clear" w:color="auto" w:fill="000000"/>
          </w:tcPr>
          <w:p w:rsidR="00035233" w:rsidRPr="00194011" w:rsidRDefault="00035233" w:rsidP="00035233">
            <w:pPr>
              <w:pStyle w:val="04Tablesubheading"/>
            </w:pPr>
          </w:p>
        </w:tc>
        <w:tc>
          <w:tcPr>
            <w:tcW w:w="2209" w:type="pct"/>
            <w:shd w:val="clear" w:color="auto" w:fill="000000"/>
          </w:tcPr>
          <w:p w:rsidR="00035233" w:rsidRPr="00194011" w:rsidRDefault="00035233" w:rsidP="00035233">
            <w:pPr>
              <w:pStyle w:val="04Tablesubheading"/>
            </w:pPr>
          </w:p>
        </w:tc>
        <w:tc>
          <w:tcPr>
            <w:tcW w:w="288" w:type="pct"/>
            <w:shd w:val="clear" w:color="auto" w:fill="000000"/>
          </w:tcPr>
          <w:p w:rsidR="00035233" w:rsidRPr="00194011" w:rsidRDefault="00035233" w:rsidP="00035233">
            <w:pPr>
              <w:pStyle w:val="04Tablesubheading"/>
            </w:pPr>
          </w:p>
        </w:tc>
        <w:tc>
          <w:tcPr>
            <w:tcW w:w="752" w:type="pct"/>
            <w:shd w:val="clear" w:color="auto" w:fill="000000"/>
          </w:tcPr>
          <w:p w:rsidR="00035233" w:rsidRPr="00194011" w:rsidRDefault="00035233" w:rsidP="00035233">
            <w:pPr>
              <w:pStyle w:val="04Tablesubheading"/>
            </w:pPr>
          </w:p>
        </w:tc>
      </w:tr>
      <w:tr w:rsidR="00035233" w:rsidRPr="00194011" w:rsidTr="00653A91">
        <w:trPr>
          <w:cantSplit/>
        </w:trPr>
        <w:tc>
          <w:tcPr>
            <w:tcW w:w="594" w:type="pct"/>
            <w:shd w:val="clear" w:color="auto" w:fill="auto"/>
          </w:tcPr>
          <w:p w:rsidR="00035233" w:rsidRDefault="00035233" w:rsidP="00035233">
            <w:pPr>
              <w:pStyle w:val="05Tabletext"/>
            </w:pPr>
            <w:r w:rsidRPr="00194011">
              <w:t>Manoharan (2016)</w:t>
            </w:r>
          </w:p>
          <w:p w:rsidR="00035233" w:rsidRDefault="00035233" w:rsidP="00251CB8">
            <w:pPr>
              <w:pStyle w:val="06Tabletextspacebefore"/>
              <w:numPr>
                <w:ilvl w:val="0"/>
                <w:numId w:val="33"/>
              </w:numPr>
            </w:pPr>
            <w:r>
              <w:t>N/A</w:t>
            </w:r>
          </w:p>
          <w:p w:rsidR="00035233" w:rsidRDefault="00035233" w:rsidP="00251CB8">
            <w:pPr>
              <w:pStyle w:val="06Tabletextspacebefore"/>
              <w:numPr>
                <w:ilvl w:val="0"/>
                <w:numId w:val="33"/>
              </w:numPr>
            </w:pPr>
            <w:r>
              <w:t>Poor quality</w:t>
            </w:r>
          </w:p>
          <w:p w:rsidR="00035233" w:rsidRDefault="00035233" w:rsidP="00251CB8">
            <w:pPr>
              <w:pStyle w:val="06Tabletextspacebefore"/>
              <w:numPr>
                <w:ilvl w:val="0"/>
                <w:numId w:val="33"/>
              </w:numPr>
            </w:pPr>
            <w:r>
              <w:t>UK</w:t>
            </w:r>
          </w:p>
          <w:p w:rsidR="00035233" w:rsidRPr="007408DA" w:rsidRDefault="00035233" w:rsidP="00251CB8">
            <w:pPr>
              <w:pStyle w:val="06Tabletextspacebefore"/>
              <w:numPr>
                <w:ilvl w:val="0"/>
                <w:numId w:val="33"/>
              </w:numPr>
            </w:pPr>
            <w:r>
              <w:t>Almirall</w:t>
            </w:r>
          </w:p>
        </w:tc>
        <w:tc>
          <w:tcPr>
            <w:tcW w:w="362" w:type="pct"/>
            <w:shd w:val="clear" w:color="auto" w:fill="auto"/>
          </w:tcPr>
          <w:p w:rsidR="00035233" w:rsidRPr="00194011" w:rsidRDefault="00035233" w:rsidP="00035233">
            <w:pPr>
              <w:pStyle w:val="05Tabletext"/>
              <w:jc w:val="center"/>
            </w:pPr>
            <w:r>
              <w:t>15</w:t>
            </w:r>
          </w:p>
        </w:tc>
        <w:tc>
          <w:tcPr>
            <w:tcW w:w="299" w:type="pct"/>
            <w:shd w:val="clear" w:color="auto" w:fill="auto"/>
          </w:tcPr>
          <w:p w:rsidR="00035233" w:rsidRPr="00194011" w:rsidRDefault="00035233" w:rsidP="00035233">
            <w:pPr>
              <w:pStyle w:val="05Tabletext"/>
            </w:pPr>
            <w:r w:rsidRPr="00687783">
              <w:t>Superiority</w:t>
            </w:r>
            <w:r>
              <w:t>. Open-label, cross-over.</w:t>
            </w:r>
          </w:p>
        </w:tc>
        <w:tc>
          <w:tcPr>
            <w:tcW w:w="496" w:type="pct"/>
            <w:shd w:val="clear" w:color="auto" w:fill="auto"/>
          </w:tcPr>
          <w:p w:rsidR="00035233" w:rsidRPr="00194011" w:rsidRDefault="00035233" w:rsidP="00035233">
            <w:pPr>
              <w:pStyle w:val="05Tabletext"/>
            </w:pPr>
            <w:r w:rsidRPr="00194011">
              <w:t xml:space="preserve">TIO 18 </w:t>
            </w:r>
            <w:r>
              <w:t>μg</w:t>
            </w:r>
            <w:r w:rsidRPr="00194011">
              <w:t xml:space="preserve"> qd</w:t>
            </w:r>
            <w:r>
              <w:t xml:space="preserve"> + any ICS/LABA (n=13)</w:t>
            </w:r>
          </w:p>
          <w:p w:rsidR="00035233" w:rsidRPr="00194011" w:rsidRDefault="00035233" w:rsidP="00035233">
            <w:pPr>
              <w:pStyle w:val="06Tabletextspacebefore"/>
            </w:pPr>
            <w:r w:rsidRPr="00194011">
              <w:t xml:space="preserve">ACL 322 </w:t>
            </w:r>
            <w:r>
              <w:t>μg</w:t>
            </w:r>
            <w:r w:rsidRPr="00194011">
              <w:t xml:space="preserve"> bid</w:t>
            </w:r>
            <w:r>
              <w:t xml:space="preserve"> + any ICS/LABA (n=13)</w:t>
            </w:r>
          </w:p>
        </w:tc>
        <w:tc>
          <w:tcPr>
            <w:tcW w:w="2209" w:type="pct"/>
            <w:shd w:val="clear" w:color="auto" w:fill="auto"/>
          </w:tcPr>
          <w:p w:rsidR="00035233" w:rsidRDefault="00035233" w:rsidP="00035233">
            <w:pPr>
              <w:pStyle w:val="05Tabletext"/>
            </w:pPr>
            <w:r>
              <w:rPr>
                <w:u w:val="single"/>
              </w:rPr>
              <w:t>Inclusion</w:t>
            </w:r>
          </w:p>
          <w:p w:rsidR="00035233" w:rsidRDefault="00035233" w:rsidP="00035233">
            <w:pPr>
              <w:pStyle w:val="05Tabletext"/>
            </w:pPr>
            <w:r>
              <w:t>(1) Age 40-80 years, (2) moderate to severe COPD, (3) currently taking ICS/LABA combination therapy,</w:t>
            </w:r>
            <w:r>
              <w:rPr>
                <w:rStyle w:val="FootnoteReference"/>
              </w:rPr>
              <w:footnoteReference w:id="5"/>
            </w:r>
            <w:r>
              <w:t xml:space="preserve"> (4) FEV</w:t>
            </w:r>
            <w:r>
              <w:rPr>
                <w:vertAlign w:val="subscript"/>
              </w:rPr>
              <w:t>1</w:t>
            </w:r>
            <w:r>
              <w:t xml:space="preserve"> 30-80%.</w:t>
            </w:r>
          </w:p>
          <w:p w:rsidR="00035233" w:rsidRDefault="00035233" w:rsidP="00035233">
            <w:pPr>
              <w:pStyle w:val="06Tabletextspacebefore"/>
            </w:pPr>
            <w:r>
              <w:rPr>
                <w:u w:val="single"/>
              </w:rPr>
              <w:t>Exclusion</w:t>
            </w:r>
          </w:p>
          <w:p w:rsidR="00035233" w:rsidRDefault="00035233" w:rsidP="00035233">
            <w:pPr>
              <w:pStyle w:val="05Tabletext"/>
            </w:pPr>
            <w:r>
              <w:t>(1) Other significant respiratory disease, (2) a COPD exacerbation or respiratory tract infection requiring systemic steroids and/or antibiotics within 1 month of study commencement (or within 3 months if hospitalisation was required).</w:t>
            </w:r>
          </w:p>
          <w:p w:rsidR="00035233" w:rsidRDefault="00035233" w:rsidP="00035233">
            <w:pPr>
              <w:pStyle w:val="06Tabletextspacebefore"/>
            </w:pPr>
            <w:r>
              <w:rPr>
                <w:u w:val="single"/>
              </w:rPr>
              <w:t>Other</w:t>
            </w:r>
          </w:p>
          <w:p w:rsidR="00035233" w:rsidRPr="009D169B" w:rsidRDefault="00035233" w:rsidP="00035233">
            <w:pPr>
              <w:pStyle w:val="05Tabletext"/>
            </w:pPr>
            <w:r>
              <w:t xml:space="preserve">(1) Previously prescribed LAMA </w:t>
            </w:r>
            <w:proofErr w:type="gramStart"/>
            <w:r>
              <w:t>were</w:t>
            </w:r>
            <w:proofErr w:type="gramEnd"/>
            <w:r>
              <w:t xml:space="preserve"> stopped at the screening visit.</w:t>
            </w:r>
          </w:p>
        </w:tc>
        <w:tc>
          <w:tcPr>
            <w:tcW w:w="288" w:type="pct"/>
            <w:shd w:val="clear" w:color="auto" w:fill="auto"/>
          </w:tcPr>
          <w:p w:rsidR="00035233" w:rsidRPr="00194011" w:rsidRDefault="00035233" w:rsidP="00035233">
            <w:pPr>
              <w:pStyle w:val="05Tabletext"/>
              <w:jc w:val="center"/>
            </w:pPr>
            <w:r>
              <w:t>2-3 weeks per treatment; 1-2 week washout.</w:t>
            </w:r>
          </w:p>
        </w:tc>
        <w:tc>
          <w:tcPr>
            <w:tcW w:w="752" w:type="pct"/>
            <w:shd w:val="clear" w:color="auto" w:fill="auto"/>
          </w:tcPr>
          <w:p w:rsidR="00035233" w:rsidRDefault="00035233" w:rsidP="00035233">
            <w:pPr>
              <w:pStyle w:val="05Tabletext"/>
              <w:rPr>
                <w:u w:val="single"/>
              </w:rPr>
            </w:pPr>
            <w:r>
              <w:rPr>
                <w:u w:val="single"/>
              </w:rPr>
              <w:t>Primary</w:t>
            </w:r>
          </w:p>
          <w:p w:rsidR="00035233" w:rsidRDefault="00035233" w:rsidP="00035233">
            <w:pPr>
              <w:pStyle w:val="05Tabletext"/>
            </w:pPr>
            <w:r>
              <w:t>Change in trough R5 (airway resistance at 5 Hz, measured by IOS).</w:t>
            </w:r>
          </w:p>
          <w:p w:rsidR="00035233" w:rsidRPr="00DC5934" w:rsidRDefault="00035233" w:rsidP="00035233">
            <w:pPr>
              <w:pStyle w:val="06Tabletextspacebefore"/>
              <w:rPr>
                <w:u w:val="single"/>
              </w:rPr>
            </w:pPr>
            <w:r w:rsidRPr="00DC5934">
              <w:rPr>
                <w:u w:val="single"/>
              </w:rPr>
              <w:t>Secondary</w:t>
            </w:r>
          </w:p>
          <w:p w:rsidR="00035233" w:rsidRPr="002B6FB5" w:rsidRDefault="00035233" w:rsidP="00035233">
            <w:pPr>
              <w:pStyle w:val="05Tabletext"/>
            </w:pPr>
            <w:r>
              <w:t>Remaining IOS variables (central airway resistance at 20 Hz, peripheral resistance, reactance at 5 Hz, area under the reactance curve); trough FEV</w:t>
            </w:r>
            <w:r>
              <w:rPr>
                <w:vertAlign w:val="subscript"/>
              </w:rPr>
              <w:t>1</w:t>
            </w:r>
            <w:r>
              <w:t xml:space="preserve">; FVC; RVC; 6-minute walk test; SGRQ; BDI-TDI. </w:t>
            </w:r>
          </w:p>
        </w:tc>
      </w:tr>
      <w:tr w:rsidR="00035233" w:rsidRPr="00194011" w:rsidTr="00653A91">
        <w:trPr>
          <w:cantSplit/>
        </w:trPr>
        <w:tc>
          <w:tcPr>
            <w:tcW w:w="594" w:type="pct"/>
            <w:shd w:val="clear" w:color="auto" w:fill="auto"/>
          </w:tcPr>
          <w:p w:rsidR="00035233" w:rsidRPr="00194011" w:rsidRDefault="00035233" w:rsidP="00035233">
            <w:pPr>
              <w:pStyle w:val="05Tabletext"/>
            </w:pPr>
            <w:r w:rsidRPr="00194011">
              <w:t>Beier (2013)</w:t>
            </w:r>
          </w:p>
          <w:p w:rsidR="00035233" w:rsidRDefault="00035233" w:rsidP="00251CB8">
            <w:pPr>
              <w:pStyle w:val="06Tabletextspacebefore"/>
              <w:numPr>
                <w:ilvl w:val="0"/>
                <w:numId w:val="12"/>
              </w:numPr>
            </w:pPr>
            <w:r>
              <w:t>N/A</w:t>
            </w:r>
          </w:p>
          <w:p w:rsidR="00035233" w:rsidRDefault="00035233" w:rsidP="00251CB8">
            <w:pPr>
              <w:pStyle w:val="06Tabletextspacebefore"/>
              <w:numPr>
                <w:ilvl w:val="0"/>
                <w:numId w:val="12"/>
              </w:numPr>
            </w:pPr>
            <w:r>
              <w:t>Fair quality</w:t>
            </w:r>
          </w:p>
          <w:p w:rsidR="00035233" w:rsidRDefault="00035233" w:rsidP="00251CB8">
            <w:pPr>
              <w:pStyle w:val="06Tabletextspacebefore"/>
              <w:numPr>
                <w:ilvl w:val="0"/>
                <w:numId w:val="12"/>
              </w:numPr>
            </w:pPr>
            <w:r w:rsidRPr="00AC28D5">
              <w:t>Germany, Poland, Hungary, Czech Republic</w:t>
            </w:r>
          </w:p>
          <w:p w:rsidR="00035233" w:rsidRPr="00AC28D5" w:rsidRDefault="00035233" w:rsidP="00251CB8">
            <w:pPr>
              <w:pStyle w:val="06Tabletextspacebefore"/>
              <w:numPr>
                <w:ilvl w:val="0"/>
                <w:numId w:val="12"/>
              </w:numPr>
            </w:pPr>
            <w:r>
              <w:t>AstraZeneca</w:t>
            </w:r>
          </w:p>
        </w:tc>
        <w:tc>
          <w:tcPr>
            <w:tcW w:w="362" w:type="pct"/>
            <w:shd w:val="clear" w:color="auto" w:fill="auto"/>
          </w:tcPr>
          <w:p w:rsidR="00035233" w:rsidRPr="00194011" w:rsidRDefault="00035233" w:rsidP="00035233">
            <w:pPr>
              <w:pStyle w:val="05Tabletext"/>
              <w:jc w:val="center"/>
            </w:pPr>
            <w:r w:rsidRPr="00194011">
              <w:t>414</w:t>
            </w:r>
          </w:p>
        </w:tc>
        <w:tc>
          <w:tcPr>
            <w:tcW w:w="299" w:type="pct"/>
            <w:shd w:val="clear" w:color="auto" w:fill="auto"/>
          </w:tcPr>
          <w:p w:rsidR="00035233" w:rsidRPr="00194011" w:rsidRDefault="00035233" w:rsidP="00035233">
            <w:pPr>
              <w:pStyle w:val="05Tabletext"/>
            </w:pPr>
            <w:r>
              <w:t>S</w:t>
            </w:r>
            <w:r w:rsidRPr="00687783">
              <w:t>uperiority</w:t>
            </w:r>
            <w:r>
              <w:t>. Double-blind, double-dummy.</w:t>
            </w:r>
          </w:p>
        </w:tc>
        <w:tc>
          <w:tcPr>
            <w:tcW w:w="496" w:type="pct"/>
            <w:shd w:val="clear" w:color="auto" w:fill="auto"/>
          </w:tcPr>
          <w:p w:rsidR="00035233" w:rsidRPr="00194011" w:rsidRDefault="00035233" w:rsidP="00035233">
            <w:pPr>
              <w:pStyle w:val="05Tabletext"/>
            </w:pPr>
            <w:r w:rsidRPr="00194011">
              <w:t xml:space="preserve">ACL 400 </w:t>
            </w:r>
            <w:r>
              <w:t>μg</w:t>
            </w:r>
            <w:r w:rsidRPr="00194011">
              <w:t xml:space="preserve"> bid</w:t>
            </w:r>
            <w:r w:rsidRPr="00194011">
              <w:rPr>
                <w:rStyle w:val="FootnoteReference"/>
              </w:rPr>
              <w:footnoteReference w:id="6"/>
            </w:r>
            <w:r w:rsidRPr="00194011">
              <w:t xml:space="preserve"> (n=171)</w:t>
            </w:r>
          </w:p>
          <w:p w:rsidR="00035233" w:rsidRPr="00194011" w:rsidRDefault="00035233" w:rsidP="00035233">
            <w:pPr>
              <w:pStyle w:val="06Tabletextspacebefore"/>
            </w:pPr>
            <w:r w:rsidRPr="00194011">
              <w:t xml:space="preserve">TIO 18 </w:t>
            </w:r>
            <w:r>
              <w:t>μg</w:t>
            </w:r>
            <w:r w:rsidRPr="00194011">
              <w:t xml:space="preserve"> qd (n=158)</w:t>
            </w:r>
          </w:p>
          <w:p w:rsidR="00035233" w:rsidRPr="00194011" w:rsidRDefault="00035233" w:rsidP="00035233">
            <w:pPr>
              <w:pStyle w:val="06Tabletextspacebefore"/>
            </w:pPr>
            <w:r w:rsidRPr="00194011">
              <w:t>PBO (n=85)</w:t>
            </w:r>
          </w:p>
        </w:tc>
        <w:tc>
          <w:tcPr>
            <w:tcW w:w="2209" w:type="pct"/>
            <w:shd w:val="clear" w:color="auto" w:fill="auto"/>
          </w:tcPr>
          <w:p w:rsidR="00035233" w:rsidRPr="00194011" w:rsidRDefault="00035233" w:rsidP="00035233">
            <w:pPr>
              <w:pStyle w:val="05Tabletext"/>
              <w:rPr>
                <w:u w:val="single"/>
              </w:rPr>
            </w:pPr>
            <w:r w:rsidRPr="00194011">
              <w:rPr>
                <w:u w:val="single"/>
              </w:rPr>
              <w:t>Inclusion</w:t>
            </w:r>
          </w:p>
          <w:p w:rsidR="00035233" w:rsidRPr="00194011" w:rsidRDefault="00035233" w:rsidP="00035233">
            <w:pPr>
              <w:pStyle w:val="05Tabletext"/>
            </w:pPr>
            <w:r w:rsidRPr="00194011">
              <w:t>(1) Age ≥40 years, (2) clinical diagnosis of stable moderate-to-severe COPD</w:t>
            </w:r>
            <w:r>
              <w:t xml:space="preserve">, (3) post-bronchodilator </w:t>
            </w:r>
            <w:r w:rsidRPr="00093681">
              <w:t>FEV</w:t>
            </w:r>
            <w:r w:rsidRPr="00C36E4E">
              <w:rPr>
                <w:vertAlign w:val="subscript"/>
              </w:rPr>
              <w:t>1</w:t>
            </w:r>
            <w:r w:rsidRPr="00093681">
              <w:t>/FVC &lt;70%, and FEV</w:t>
            </w:r>
            <w:r w:rsidRPr="00815741">
              <w:rPr>
                <w:vertAlign w:val="subscript"/>
              </w:rPr>
              <w:t>1</w:t>
            </w:r>
            <w:r w:rsidRPr="00093681">
              <w:t xml:space="preserve"> ≥30% and &lt;80%.</w:t>
            </w:r>
          </w:p>
          <w:p w:rsidR="00035233" w:rsidRPr="00194011" w:rsidRDefault="00035233" w:rsidP="00035233">
            <w:pPr>
              <w:pStyle w:val="06Tabletextspacebefore"/>
              <w:rPr>
                <w:u w:val="single"/>
              </w:rPr>
            </w:pPr>
            <w:r w:rsidRPr="00194011">
              <w:rPr>
                <w:u w:val="single"/>
              </w:rPr>
              <w:t>Exclusion</w:t>
            </w:r>
          </w:p>
          <w:p w:rsidR="00035233" w:rsidRPr="00194011" w:rsidRDefault="00035233" w:rsidP="00035233">
            <w:pPr>
              <w:pStyle w:val="05Tabletext"/>
            </w:pPr>
            <w:r w:rsidRPr="00194011">
              <w:t>(1) History or current diagnosis of asthma or other clinically relevant respiratory or CV conditions, (2) respiratory tract infection or COPD exacerbation ≤6 weeks before screening (or ≤3 weeks if hospitalised), (3) current use of other methylxanthines other than theophylline.</w:t>
            </w:r>
          </w:p>
          <w:p w:rsidR="00035233" w:rsidRPr="00194011" w:rsidRDefault="00035233" w:rsidP="00035233">
            <w:pPr>
              <w:pStyle w:val="06Tabletextspacebefore"/>
              <w:rPr>
                <w:u w:val="single"/>
              </w:rPr>
            </w:pPr>
            <w:r w:rsidRPr="00194011">
              <w:rPr>
                <w:u w:val="single"/>
              </w:rPr>
              <w:t>Other</w:t>
            </w:r>
          </w:p>
          <w:p w:rsidR="00035233" w:rsidRPr="00194011" w:rsidRDefault="00035233" w:rsidP="00035233">
            <w:pPr>
              <w:pStyle w:val="05Tabletext"/>
            </w:pPr>
            <w:r w:rsidRPr="00194011">
              <w:t>(1) Relief medication (SAMA) provided for additional symptoms control as needed (except ≤6 hours before each visit), (2) permitted to continue stable use of oral sustained-release theophylline, ICS, and oral or parenteral CS (except ≤6 hours before each visit) and/or oxygen therapy (except ≤2 hours before each visit).</w:t>
            </w:r>
          </w:p>
        </w:tc>
        <w:tc>
          <w:tcPr>
            <w:tcW w:w="288" w:type="pct"/>
            <w:shd w:val="clear" w:color="auto" w:fill="auto"/>
          </w:tcPr>
          <w:p w:rsidR="00035233" w:rsidRPr="00194011" w:rsidRDefault="00035233" w:rsidP="00035233">
            <w:pPr>
              <w:pStyle w:val="05Tabletext"/>
              <w:jc w:val="center"/>
            </w:pPr>
            <w:r w:rsidRPr="00194011">
              <w:t>6 weeks</w:t>
            </w:r>
          </w:p>
        </w:tc>
        <w:tc>
          <w:tcPr>
            <w:tcW w:w="752" w:type="pct"/>
            <w:shd w:val="clear" w:color="auto" w:fill="auto"/>
          </w:tcPr>
          <w:p w:rsidR="00035233" w:rsidRPr="00194011" w:rsidRDefault="00035233" w:rsidP="00035233">
            <w:pPr>
              <w:pStyle w:val="05Tabletext"/>
              <w:rPr>
                <w:u w:val="single"/>
              </w:rPr>
            </w:pPr>
            <w:r w:rsidRPr="00194011">
              <w:rPr>
                <w:u w:val="single"/>
              </w:rPr>
              <w:t>Primary</w:t>
            </w:r>
          </w:p>
          <w:p w:rsidR="00035233" w:rsidRPr="00194011" w:rsidRDefault="00035233" w:rsidP="00035233">
            <w:pPr>
              <w:pStyle w:val="05Tabletext"/>
            </w:pPr>
            <w:r w:rsidRPr="00194011">
              <w:t>Change from baseline in normalised FEV</w:t>
            </w:r>
            <w:r w:rsidRPr="00194011">
              <w:rPr>
                <w:vertAlign w:val="subscript"/>
              </w:rPr>
              <w:t>1</w:t>
            </w:r>
            <w:r w:rsidRPr="00194011">
              <w:t xml:space="preserve"> AUC f</w:t>
            </w:r>
            <w:r w:rsidR="00460E94">
              <w:t>or 24 hrs post-morning dose at W</w:t>
            </w:r>
            <w:r w:rsidRPr="00194011">
              <w:t>eek 6 (FEV</w:t>
            </w:r>
            <w:r w:rsidRPr="00194011">
              <w:rPr>
                <w:vertAlign w:val="subscript"/>
              </w:rPr>
              <w:t>1</w:t>
            </w:r>
            <w:r w:rsidRPr="00194011">
              <w:t xml:space="preserve"> AUC</w:t>
            </w:r>
            <w:r w:rsidRPr="00194011">
              <w:rPr>
                <w:vertAlign w:val="subscript"/>
              </w:rPr>
              <w:t>0-24</w:t>
            </w:r>
            <w:r w:rsidRPr="00194011">
              <w:t>).</w:t>
            </w:r>
          </w:p>
          <w:p w:rsidR="00035233" w:rsidRPr="00194011" w:rsidRDefault="00035233" w:rsidP="00035233">
            <w:pPr>
              <w:pStyle w:val="06Tabletextspacebefore"/>
              <w:rPr>
                <w:u w:val="single"/>
              </w:rPr>
            </w:pPr>
            <w:r w:rsidRPr="00194011">
              <w:rPr>
                <w:u w:val="single"/>
              </w:rPr>
              <w:t>Secondary</w:t>
            </w:r>
          </w:p>
          <w:p w:rsidR="00035233" w:rsidRPr="00194011" w:rsidRDefault="00035233" w:rsidP="00035233">
            <w:pPr>
              <w:pStyle w:val="05Tabletext"/>
            </w:pPr>
            <w:r w:rsidRPr="00194011">
              <w:t>FEV</w:t>
            </w:r>
            <w:r w:rsidRPr="00194011">
              <w:rPr>
                <w:vertAlign w:val="subscript"/>
              </w:rPr>
              <w:t>1</w:t>
            </w:r>
            <w:r w:rsidRPr="00194011">
              <w:t xml:space="preserve"> AUC</w:t>
            </w:r>
            <w:r w:rsidRPr="00194011">
              <w:rPr>
                <w:vertAlign w:val="subscript"/>
              </w:rPr>
              <w:t>0-12</w:t>
            </w:r>
            <w:r>
              <w:t>;</w:t>
            </w:r>
            <w:r w:rsidRPr="00194011">
              <w:t xml:space="preserve"> FEV</w:t>
            </w:r>
            <w:r w:rsidRPr="00194011">
              <w:rPr>
                <w:vertAlign w:val="subscript"/>
              </w:rPr>
              <w:t>1</w:t>
            </w:r>
            <w:r w:rsidRPr="00194011">
              <w:t xml:space="preserve"> AUC</w:t>
            </w:r>
            <w:r w:rsidRPr="00194011">
              <w:rPr>
                <w:vertAlign w:val="subscript"/>
              </w:rPr>
              <w:t xml:space="preserve">12-24 </w:t>
            </w:r>
            <w:r w:rsidRPr="00194011">
              <w:t>(night</w:t>
            </w:r>
            <w:r w:rsidR="000A6E36">
              <w:t xml:space="preserve"> </w:t>
            </w:r>
            <w:r w:rsidRPr="00194011">
              <w:t>time period)</w:t>
            </w:r>
            <w:r>
              <w:t>;</w:t>
            </w:r>
            <w:r w:rsidRPr="00194011">
              <w:t xml:space="preserve"> morning pre-dose (trough) and peak FEV</w:t>
            </w:r>
            <w:r w:rsidRPr="00194011">
              <w:rPr>
                <w:vertAlign w:val="subscript"/>
              </w:rPr>
              <w:t>1</w:t>
            </w:r>
            <w:r>
              <w:t xml:space="preserve"> and FVC;</w:t>
            </w:r>
            <w:r w:rsidRPr="00194011">
              <w:t xml:space="preserve"> EXACT-RS total score</w:t>
            </w:r>
            <w:r>
              <w:t>;</w:t>
            </w:r>
            <w:r w:rsidRPr="00194011">
              <w:t xml:space="preserve"> additional symptoms questionnaire</w:t>
            </w:r>
            <w:r>
              <w:t>; safety (AEs</w:t>
            </w:r>
            <w:r w:rsidRPr="00194011">
              <w:t>, vital signs).</w:t>
            </w:r>
          </w:p>
        </w:tc>
      </w:tr>
      <w:tr w:rsidR="00035233" w:rsidRPr="00194011" w:rsidTr="00653A91">
        <w:trPr>
          <w:cantSplit/>
        </w:trPr>
        <w:tc>
          <w:tcPr>
            <w:tcW w:w="594" w:type="pct"/>
            <w:shd w:val="clear" w:color="auto" w:fill="000000"/>
          </w:tcPr>
          <w:p w:rsidR="00035233" w:rsidRPr="00194011" w:rsidRDefault="00035233" w:rsidP="00035233">
            <w:pPr>
              <w:pStyle w:val="04Tablesubheading"/>
            </w:pPr>
            <w:r>
              <w:lastRenderedPageBreak/>
              <w:t>UME vs TIO</w:t>
            </w:r>
          </w:p>
        </w:tc>
        <w:tc>
          <w:tcPr>
            <w:tcW w:w="362" w:type="pct"/>
            <w:shd w:val="clear" w:color="auto" w:fill="000000"/>
          </w:tcPr>
          <w:p w:rsidR="00035233" w:rsidRDefault="00035233" w:rsidP="00035233">
            <w:pPr>
              <w:pStyle w:val="04Tablesubheading"/>
            </w:pPr>
          </w:p>
        </w:tc>
        <w:tc>
          <w:tcPr>
            <w:tcW w:w="299" w:type="pct"/>
            <w:shd w:val="clear" w:color="auto" w:fill="000000"/>
          </w:tcPr>
          <w:p w:rsidR="00035233" w:rsidRDefault="00035233" w:rsidP="00035233">
            <w:pPr>
              <w:pStyle w:val="04Tablesubheading"/>
            </w:pPr>
          </w:p>
        </w:tc>
        <w:tc>
          <w:tcPr>
            <w:tcW w:w="496" w:type="pct"/>
            <w:shd w:val="clear" w:color="auto" w:fill="000000"/>
          </w:tcPr>
          <w:p w:rsidR="00035233" w:rsidRPr="00194011" w:rsidRDefault="00035233" w:rsidP="00035233">
            <w:pPr>
              <w:pStyle w:val="04Tablesubheading"/>
            </w:pPr>
          </w:p>
        </w:tc>
        <w:tc>
          <w:tcPr>
            <w:tcW w:w="2209" w:type="pct"/>
            <w:shd w:val="clear" w:color="auto" w:fill="000000"/>
          </w:tcPr>
          <w:p w:rsidR="00035233" w:rsidRPr="00194011" w:rsidRDefault="00035233" w:rsidP="00035233">
            <w:pPr>
              <w:pStyle w:val="04Tablesubheading"/>
              <w:rPr>
                <w:u w:val="single"/>
              </w:rPr>
            </w:pPr>
          </w:p>
        </w:tc>
        <w:tc>
          <w:tcPr>
            <w:tcW w:w="288" w:type="pct"/>
            <w:shd w:val="clear" w:color="auto" w:fill="000000"/>
          </w:tcPr>
          <w:p w:rsidR="00035233" w:rsidRPr="00194011" w:rsidRDefault="00035233" w:rsidP="00035233">
            <w:pPr>
              <w:pStyle w:val="04Tablesubheading"/>
              <w:ind w:left="0"/>
            </w:pPr>
          </w:p>
        </w:tc>
        <w:tc>
          <w:tcPr>
            <w:tcW w:w="752" w:type="pct"/>
            <w:shd w:val="clear" w:color="auto" w:fill="000000"/>
          </w:tcPr>
          <w:p w:rsidR="00035233" w:rsidRDefault="00035233" w:rsidP="00035233">
            <w:pPr>
              <w:pStyle w:val="04Tablesubheading"/>
              <w:rPr>
                <w:u w:val="single"/>
              </w:rPr>
            </w:pPr>
          </w:p>
        </w:tc>
      </w:tr>
      <w:tr w:rsidR="00035233" w:rsidRPr="00194011" w:rsidTr="00653A91">
        <w:trPr>
          <w:cantSplit/>
        </w:trPr>
        <w:tc>
          <w:tcPr>
            <w:tcW w:w="594" w:type="pct"/>
            <w:shd w:val="clear" w:color="auto" w:fill="auto"/>
          </w:tcPr>
          <w:p w:rsidR="00035233" w:rsidRDefault="00035233" w:rsidP="00035233">
            <w:pPr>
              <w:pStyle w:val="05Tabletext"/>
            </w:pPr>
            <w:r w:rsidRPr="00194011">
              <w:t>Feldman (2016)</w:t>
            </w:r>
          </w:p>
          <w:p w:rsidR="00035233" w:rsidRDefault="00035233" w:rsidP="00251CB8">
            <w:pPr>
              <w:pStyle w:val="06Tabletextspacebefore"/>
              <w:numPr>
                <w:ilvl w:val="0"/>
                <w:numId w:val="13"/>
              </w:numPr>
            </w:pPr>
            <w:r>
              <w:t>N/A</w:t>
            </w:r>
          </w:p>
          <w:p w:rsidR="00035233" w:rsidRDefault="00035233" w:rsidP="00251CB8">
            <w:pPr>
              <w:pStyle w:val="06Tabletextspacebefore"/>
              <w:numPr>
                <w:ilvl w:val="0"/>
                <w:numId w:val="13"/>
              </w:numPr>
            </w:pPr>
            <w:r>
              <w:t>Good quality</w:t>
            </w:r>
          </w:p>
          <w:p w:rsidR="00035233" w:rsidRPr="00AC28D5" w:rsidRDefault="00035233" w:rsidP="00251CB8">
            <w:pPr>
              <w:pStyle w:val="06Tabletextspacebefore"/>
              <w:numPr>
                <w:ilvl w:val="0"/>
                <w:numId w:val="13"/>
              </w:numPr>
            </w:pPr>
            <w:r w:rsidRPr="00AC28D5">
              <w:t xml:space="preserve">Canada, Chile, Denmark, France, Germany, Italy, Romania, Korea, South Africa, the </w:t>
            </w:r>
            <w:r>
              <w:t>Russian Federation, Ukraine, US</w:t>
            </w:r>
          </w:p>
          <w:p w:rsidR="00035233" w:rsidRPr="007C38CA" w:rsidRDefault="00035233" w:rsidP="00251CB8">
            <w:pPr>
              <w:pStyle w:val="06Tabletextspacebefore"/>
              <w:numPr>
                <w:ilvl w:val="0"/>
                <w:numId w:val="13"/>
              </w:numPr>
            </w:pPr>
            <w:r>
              <w:t>GlaxoSmithKline</w:t>
            </w:r>
          </w:p>
        </w:tc>
        <w:tc>
          <w:tcPr>
            <w:tcW w:w="362" w:type="pct"/>
            <w:shd w:val="clear" w:color="auto" w:fill="auto"/>
          </w:tcPr>
          <w:p w:rsidR="00035233" w:rsidRPr="00194011" w:rsidRDefault="00035233" w:rsidP="00035233">
            <w:pPr>
              <w:pStyle w:val="05Tabletext"/>
              <w:jc w:val="center"/>
            </w:pPr>
            <w:r>
              <w:t>1,017</w:t>
            </w:r>
          </w:p>
        </w:tc>
        <w:tc>
          <w:tcPr>
            <w:tcW w:w="299" w:type="pct"/>
            <w:shd w:val="clear" w:color="auto" w:fill="auto"/>
          </w:tcPr>
          <w:p w:rsidR="00035233" w:rsidRPr="00194011" w:rsidRDefault="00035233" w:rsidP="00035233">
            <w:pPr>
              <w:pStyle w:val="05Tabletext"/>
            </w:pPr>
            <w:r>
              <w:t>Non-inferiority. Double-blind, double-dummy.</w:t>
            </w:r>
          </w:p>
        </w:tc>
        <w:tc>
          <w:tcPr>
            <w:tcW w:w="496" w:type="pct"/>
            <w:shd w:val="clear" w:color="auto" w:fill="auto"/>
          </w:tcPr>
          <w:p w:rsidR="00035233" w:rsidRPr="00194011" w:rsidRDefault="00035233" w:rsidP="00035233">
            <w:pPr>
              <w:pStyle w:val="05Tabletext"/>
            </w:pPr>
            <w:r w:rsidRPr="00194011">
              <w:t xml:space="preserve">UME 62.5 </w:t>
            </w:r>
            <w:r>
              <w:t>μg</w:t>
            </w:r>
            <w:r w:rsidRPr="00194011">
              <w:t xml:space="preserve"> qd</w:t>
            </w:r>
            <w:r>
              <w:t xml:space="preserve"> (n=509)</w:t>
            </w:r>
          </w:p>
          <w:p w:rsidR="00035233" w:rsidRPr="00194011" w:rsidRDefault="00035233" w:rsidP="00035233">
            <w:pPr>
              <w:pStyle w:val="06Tabletextspacebefore"/>
            </w:pPr>
            <w:r w:rsidRPr="00194011">
              <w:t xml:space="preserve">TIO 18 </w:t>
            </w:r>
            <w:r>
              <w:t>μg qd (n=508)</w:t>
            </w:r>
          </w:p>
        </w:tc>
        <w:tc>
          <w:tcPr>
            <w:tcW w:w="2209" w:type="pct"/>
            <w:shd w:val="clear" w:color="auto" w:fill="auto"/>
          </w:tcPr>
          <w:p w:rsidR="00035233" w:rsidRPr="00194011" w:rsidRDefault="00035233" w:rsidP="00035233">
            <w:pPr>
              <w:pStyle w:val="05Tabletext"/>
              <w:rPr>
                <w:u w:val="single"/>
              </w:rPr>
            </w:pPr>
            <w:r w:rsidRPr="00194011">
              <w:rPr>
                <w:u w:val="single"/>
              </w:rPr>
              <w:t>Inclusion</w:t>
            </w:r>
          </w:p>
          <w:p w:rsidR="00035233" w:rsidRDefault="00035233" w:rsidP="00035233">
            <w:pPr>
              <w:pStyle w:val="05Tabletext"/>
            </w:pPr>
            <w:r w:rsidRPr="00194011">
              <w:t>(1) Age ≥40 years,</w:t>
            </w:r>
            <w:r>
              <w:t xml:space="preserve"> (2) diagnosis of COPD, (3) pre- and post-albuterol/salbutamol FEV</w:t>
            </w:r>
            <w:r>
              <w:rPr>
                <w:vertAlign w:val="subscript"/>
              </w:rPr>
              <w:t>1</w:t>
            </w:r>
            <w:r>
              <w:t>/FVC ratio of &lt;0.70 and a post-albuterol/salbutamol FEV</w:t>
            </w:r>
            <w:r>
              <w:rPr>
                <w:vertAlign w:val="subscript"/>
              </w:rPr>
              <w:t>1</w:t>
            </w:r>
            <w:r>
              <w:t xml:space="preserve"> of 30%-70% of predicted normal values, (4) dyspn</w:t>
            </w:r>
            <w:r w:rsidR="002D1FA4">
              <w:t>oea</w:t>
            </w:r>
            <w:r>
              <w:t xml:space="preserve"> score of ≥2 on the modified Medical Research Council Dyspnea Scale at Visit 1.</w:t>
            </w:r>
          </w:p>
          <w:p w:rsidR="00035233" w:rsidRDefault="00035233" w:rsidP="00035233">
            <w:pPr>
              <w:pStyle w:val="06Tabletextspacebefore"/>
            </w:pPr>
            <w:r>
              <w:rPr>
                <w:u w:val="single"/>
              </w:rPr>
              <w:t>Exclusion</w:t>
            </w:r>
          </w:p>
          <w:p w:rsidR="00035233" w:rsidRDefault="00035233" w:rsidP="00035233">
            <w:pPr>
              <w:pStyle w:val="05Tabletext"/>
            </w:pPr>
            <w:r>
              <w:t>(1) Current diagnosis of asthma or other significant respiratory disorder or other condition that may affect respiratory function, (2) pregnancy, (3) lung volume reduction surgery, or hospitalisation for COPD/pneumonia within 12 weeks prior to Visit 1, (4) long-term oxygen therapy (prescribed for &gt;12 hrs per day) and use of COPD maintenance medications other than study medication, with the exception of ICS.</w:t>
            </w:r>
          </w:p>
          <w:p w:rsidR="00035233" w:rsidRDefault="00035233" w:rsidP="00035233">
            <w:pPr>
              <w:pStyle w:val="06Tabletextspacebefore"/>
            </w:pPr>
            <w:r>
              <w:rPr>
                <w:u w:val="single"/>
              </w:rPr>
              <w:t>Other</w:t>
            </w:r>
          </w:p>
          <w:p w:rsidR="00035233" w:rsidRPr="0044261A" w:rsidRDefault="00035233" w:rsidP="00035233">
            <w:pPr>
              <w:pStyle w:val="05Tabletext"/>
            </w:pPr>
            <w:r>
              <w:t>(1) Albuterol/salbutamol use was permitted as rescue medication.</w:t>
            </w:r>
          </w:p>
        </w:tc>
        <w:tc>
          <w:tcPr>
            <w:tcW w:w="288" w:type="pct"/>
            <w:shd w:val="clear" w:color="auto" w:fill="auto"/>
          </w:tcPr>
          <w:p w:rsidR="00035233" w:rsidRPr="00194011" w:rsidRDefault="00035233" w:rsidP="00035233">
            <w:pPr>
              <w:pStyle w:val="05Tabletext"/>
              <w:jc w:val="center"/>
            </w:pPr>
            <w:r w:rsidRPr="00194011">
              <w:t>12</w:t>
            </w:r>
            <w:r>
              <w:t xml:space="preserve"> week</w:t>
            </w:r>
          </w:p>
        </w:tc>
        <w:tc>
          <w:tcPr>
            <w:tcW w:w="752" w:type="pct"/>
            <w:shd w:val="clear" w:color="auto" w:fill="auto"/>
          </w:tcPr>
          <w:p w:rsidR="00035233" w:rsidRDefault="00035233" w:rsidP="00035233">
            <w:pPr>
              <w:pStyle w:val="05Tabletext"/>
              <w:rPr>
                <w:u w:val="single"/>
              </w:rPr>
            </w:pPr>
            <w:r>
              <w:rPr>
                <w:u w:val="single"/>
              </w:rPr>
              <w:t>Primary</w:t>
            </w:r>
          </w:p>
          <w:p w:rsidR="00035233" w:rsidRPr="00F13678" w:rsidRDefault="00035233" w:rsidP="00035233">
            <w:pPr>
              <w:pStyle w:val="05Tabletext"/>
            </w:pPr>
            <w:r>
              <w:t>Trough FEV</w:t>
            </w:r>
            <w:r>
              <w:rPr>
                <w:vertAlign w:val="subscript"/>
              </w:rPr>
              <w:t xml:space="preserve">1 </w:t>
            </w:r>
            <w:r w:rsidR="004B3085">
              <w:t>on D</w:t>
            </w:r>
            <w:r>
              <w:t>ay 85</w:t>
            </w:r>
            <w:r>
              <w:rPr>
                <w:vertAlign w:val="subscript"/>
              </w:rPr>
              <w:t xml:space="preserve"> </w:t>
            </w:r>
            <w:r>
              <w:t>(mean of values obtained 2</w:t>
            </w:r>
            <w:r w:rsidR="004B3085">
              <w:t>3 and 24 hours after dosing on D</w:t>
            </w:r>
            <w:r>
              <w:t>ay 84, PP population).</w:t>
            </w:r>
          </w:p>
          <w:p w:rsidR="00035233" w:rsidRDefault="00035233" w:rsidP="00035233">
            <w:pPr>
              <w:pStyle w:val="06Tabletextspacebefore"/>
              <w:rPr>
                <w:u w:val="single"/>
              </w:rPr>
            </w:pPr>
            <w:r>
              <w:rPr>
                <w:u w:val="single"/>
              </w:rPr>
              <w:t>Secondary</w:t>
            </w:r>
          </w:p>
          <w:p w:rsidR="00035233" w:rsidRPr="000F71BD" w:rsidRDefault="00035233" w:rsidP="00035233">
            <w:pPr>
              <w:pStyle w:val="05Tabletext"/>
            </w:pPr>
            <w:r>
              <w:t>Trough FEV</w:t>
            </w:r>
            <w:r>
              <w:rPr>
                <w:vertAlign w:val="subscript"/>
              </w:rPr>
              <w:t xml:space="preserve">1 </w:t>
            </w:r>
            <w:r w:rsidR="004B3085">
              <w:t>on D</w:t>
            </w:r>
            <w:r>
              <w:t>ay 85 (ITT population); trough FEV</w:t>
            </w:r>
            <w:r>
              <w:rPr>
                <w:vertAlign w:val="subscript"/>
              </w:rPr>
              <w:t>1</w:t>
            </w:r>
            <w:r w:rsidR="004B3085">
              <w:t xml:space="preserve"> on D</w:t>
            </w:r>
            <w:r>
              <w:t>ays 2</w:t>
            </w:r>
            <w:r w:rsidR="004B3085">
              <w:t>, 28, 56 and 84; trough FVC on D</w:t>
            </w:r>
            <w:r>
              <w:t>ays 2, 28, 56, 84 and 85; weighted mean FEV</w:t>
            </w:r>
            <w:r>
              <w:rPr>
                <w:vertAlign w:val="subscript"/>
              </w:rPr>
              <w:t>1</w:t>
            </w:r>
            <w:r>
              <w:t xml:space="preserve"> over 0-12, 12-24 and 0-24 hours post-dose; TDI focal score; TDI responders; SGRQ; CAT score; rescue medication, safety (AEs, vital signs).</w:t>
            </w:r>
          </w:p>
        </w:tc>
      </w:tr>
      <w:tr w:rsidR="00035233" w:rsidRPr="00194011" w:rsidTr="00653A91">
        <w:trPr>
          <w:cantSplit/>
        </w:trPr>
        <w:tc>
          <w:tcPr>
            <w:tcW w:w="594" w:type="pct"/>
            <w:shd w:val="clear" w:color="auto" w:fill="auto"/>
          </w:tcPr>
          <w:p w:rsidR="00035233" w:rsidRDefault="00035233" w:rsidP="00035233">
            <w:pPr>
              <w:pStyle w:val="05Tabletext"/>
            </w:pPr>
            <w:r w:rsidRPr="005375E5">
              <w:t>Donohue (2012)</w:t>
            </w:r>
            <w:r>
              <w:rPr>
                <w:rStyle w:val="FootnoteReference"/>
              </w:rPr>
              <w:footnoteReference w:id="7"/>
            </w:r>
          </w:p>
          <w:p w:rsidR="00035233" w:rsidRDefault="00035233" w:rsidP="00251CB8">
            <w:pPr>
              <w:pStyle w:val="06Tabletextspacebefore"/>
              <w:numPr>
                <w:ilvl w:val="0"/>
                <w:numId w:val="17"/>
              </w:numPr>
            </w:pPr>
            <w:r>
              <w:t>N/A</w:t>
            </w:r>
          </w:p>
          <w:p w:rsidR="00035233" w:rsidRDefault="00035233" w:rsidP="00251CB8">
            <w:pPr>
              <w:pStyle w:val="06Tabletextspacebefore"/>
              <w:numPr>
                <w:ilvl w:val="0"/>
                <w:numId w:val="17"/>
              </w:numPr>
            </w:pPr>
            <w:r>
              <w:t>Fair quality</w:t>
            </w:r>
          </w:p>
          <w:p w:rsidR="00035233" w:rsidRDefault="00035233" w:rsidP="00251CB8">
            <w:pPr>
              <w:pStyle w:val="06Tabletextspacebefore"/>
              <w:numPr>
                <w:ilvl w:val="0"/>
                <w:numId w:val="17"/>
              </w:numPr>
            </w:pPr>
            <w:r>
              <w:t>US, Germany</w:t>
            </w:r>
          </w:p>
          <w:p w:rsidR="00035233" w:rsidRPr="00220F9C" w:rsidRDefault="00035233" w:rsidP="00251CB8">
            <w:pPr>
              <w:pStyle w:val="06Tabletextspacebefore"/>
              <w:numPr>
                <w:ilvl w:val="0"/>
                <w:numId w:val="17"/>
              </w:numPr>
            </w:pPr>
            <w:r>
              <w:t>GlaxoSmithKline</w:t>
            </w:r>
          </w:p>
        </w:tc>
        <w:tc>
          <w:tcPr>
            <w:tcW w:w="362" w:type="pct"/>
            <w:shd w:val="clear" w:color="auto" w:fill="auto"/>
          </w:tcPr>
          <w:p w:rsidR="00035233" w:rsidRPr="00194011" w:rsidRDefault="00035233" w:rsidP="00035233">
            <w:pPr>
              <w:pStyle w:val="05Tabletext"/>
              <w:jc w:val="center"/>
            </w:pPr>
            <w:r>
              <w:t>176</w:t>
            </w:r>
          </w:p>
        </w:tc>
        <w:tc>
          <w:tcPr>
            <w:tcW w:w="299" w:type="pct"/>
            <w:shd w:val="clear" w:color="auto" w:fill="auto"/>
          </w:tcPr>
          <w:p w:rsidR="00035233" w:rsidRPr="00194011" w:rsidRDefault="00035233" w:rsidP="00035233">
            <w:pPr>
              <w:pStyle w:val="05Tabletext"/>
            </w:pPr>
            <w:r>
              <w:t>Dose-ranging study. Double-blind,</w:t>
            </w:r>
            <w:r>
              <w:rPr>
                <w:rStyle w:val="FootnoteReference"/>
              </w:rPr>
              <w:footnoteReference w:id="8"/>
            </w:r>
            <w:r>
              <w:t xml:space="preserve"> three-way cross-over.</w:t>
            </w:r>
          </w:p>
        </w:tc>
        <w:tc>
          <w:tcPr>
            <w:tcW w:w="496" w:type="pct"/>
            <w:shd w:val="clear" w:color="auto" w:fill="auto"/>
          </w:tcPr>
          <w:p w:rsidR="00035233" w:rsidRPr="00194011" w:rsidRDefault="00035233" w:rsidP="00035233">
            <w:pPr>
              <w:pStyle w:val="05Tabletext"/>
            </w:pPr>
            <w:r w:rsidRPr="00194011">
              <w:t xml:space="preserve">UME 62.5 </w:t>
            </w:r>
            <w:r>
              <w:t>μg</w:t>
            </w:r>
            <w:r w:rsidRPr="00194011">
              <w:t xml:space="preserve"> qd</w:t>
            </w:r>
            <w:r>
              <w:rPr>
                <w:rStyle w:val="FootnoteReference"/>
              </w:rPr>
              <w:footnoteReference w:id="9"/>
            </w:r>
            <w:r>
              <w:t xml:space="preserve"> (n=35)</w:t>
            </w:r>
          </w:p>
          <w:p w:rsidR="00035233" w:rsidRDefault="00035233" w:rsidP="00035233">
            <w:pPr>
              <w:pStyle w:val="06Tabletextspacebefore"/>
            </w:pPr>
            <w:r w:rsidRPr="00194011">
              <w:t>TIO</w:t>
            </w:r>
            <w:r>
              <w:t xml:space="preserve"> 18 μg qd (n=35)</w:t>
            </w:r>
          </w:p>
          <w:p w:rsidR="00035233" w:rsidRPr="00194011" w:rsidRDefault="00035233" w:rsidP="00035233">
            <w:pPr>
              <w:pStyle w:val="06Tabletextspacebefore"/>
            </w:pPr>
            <w:r>
              <w:t>PBO (n=158)</w:t>
            </w:r>
          </w:p>
        </w:tc>
        <w:tc>
          <w:tcPr>
            <w:tcW w:w="2209" w:type="pct"/>
            <w:shd w:val="clear" w:color="auto" w:fill="auto"/>
          </w:tcPr>
          <w:p w:rsidR="00035233" w:rsidRDefault="00035233" w:rsidP="00035233">
            <w:pPr>
              <w:pStyle w:val="05Tabletext"/>
            </w:pPr>
            <w:r>
              <w:rPr>
                <w:u w:val="single"/>
              </w:rPr>
              <w:t>Inclusion</w:t>
            </w:r>
          </w:p>
          <w:p w:rsidR="00035233" w:rsidRDefault="00035233" w:rsidP="00035233">
            <w:pPr>
              <w:pStyle w:val="05Tabletext"/>
            </w:pPr>
            <w:r>
              <w:t>(1) Age 40-80 years, (2) history of COPD, (3) post-albuterol FEV</w:t>
            </w:r>
            <w:r>
              <w:rPr>
                <w:vertAlign w:val="subscript"/>
              </w:rPr>
              <w:t>1</w:t>
            </w:r>
            <w:r>
              <w:t>/FVC ratio of ≤0.70 and a post-albuterol FEV</w:t>
            </w:r>
            <w:r>
              <w:rPr>
                <w:vertAlign w:val="subscript"/>
              </w:rPr>
              <w:t>1</w:t>
            </w:r>
            <w:r>
              <w:t xml:space="preserve"> of ≥35 and ≤70% of predicted normal.</w:t>
            </w:r>
          </w:p>
          <w:p w:rsidR="00035233" w:rsidRDefault="00035233" w:rsidP="00035233">
            <w:pPr>
              <w:pStyle w:val="06Tabletextspacebefore"/>
            </w:pPr>
            <w:r>
              <w:rPr>
                <w:u w:val="single"/>
              </w:rPr>
              <w:t>Exclusion</w:t>
            </w:r>
          </w:p>
          <w:p w:rsidR="00035233" w:rsidRDefault="00035233" w:rsidP="00035233">
            <w:pPr>
              <w:pStyle w:val="05Tabletext"/>
            </w:pPr>
            <w:r>
              <w:t>(1) Current diagnosis of asthma, (2) lower respiratory tract infection or recent COPD exacerbation, (3) α1-antitrypsin deficiency, (4) any clinically significant uncontrolled disease.</w:t>
            </w:r>
          </w:p>
          <w:p w:rsidR="00035233" w:rsidRDefault="00035233" w:rsidP="00035233">
            <w:pPr>
              <w:pStyle w:val="06Tabletextspacebefore"/>
            </w:pPr>
            <w:r>
              <w:rPr>
                <w:u w:val="single"/>
              </w:rPr>
              <w:t>Other</w:t>
            </w:r>
          </w:p>
          <w:p w:rsidR="00035233" w:rsidRPr="0027208C" w:rsidRDefault="00035233" w:rsidP="00035233">
            <w:pPr>
              <w:pStyle w:val="05Tabletext"/>
            </w:pPr>
            <w:r>
              <w:t xml:space="preserve">(1) Albuterol was provided to use as required to relieve breakthrough symptoms, (2) Concurrent use of systemic corticosteroids, long-acting bronchodilators, including theophyllines, and inhaled ipratropium was not allowed, but patients were permitted to use ICS at a stable dose (and patients on an ICS/LABA combination were allowed to switch to ICS monotherapy). </w:t>
            </w:r>
          </w:p>
        </w:tc>
        <w:tc>
          <w:tcPr>
            <w:tcW w:w="288" w:type="pct"/>
            <w:shd w:val="clear" w:color="auto" w:fill="auto"/>
          </w:tcPr>
          <w:p w:rsidR="00035233" w:rsidRPr="00194011" w:rsidRDefault="00035233" w:rsidP="00035233">
            <w:pPr>
              <w:pStyle w:val="05Tabletext"/>
              <w:jc w:val="center"/>
            </w:pPr>
            <w:r>
              <w:t>2 weeks (for each of the three treatment arms); 10-14 day washout.</w:t>
            </w:r>
          </w:p>
        </w:tc>
        <w:tc>
          <w:tcPr>
            <w:tcW w:w="752" w:type="pct"/>
            <w:shd w:val="clear" w:color="auto" w:fill="auto"/>
          </w:tcPr>
          <w:p w:rsidR="00035233" w:rsidRDefault="00035233" w:rsidP="00035233">
            <w:pPr>
              <w:pStyle w:val="05Tabletext"/>
              <w:rPr>
                <w:u w:val="single"/>
              </w:rPr>
            </w:pPr>
            <w:r>
              <w:rPr>
                <w:u w:val="single"/>
              </w:rPr>
              <w:t>Primary</w:t>
            </w:r>
          </w:p>
          <w:p w:rsidR="00035233" w:rsidRDefault="00035233" w:rsidP="00035233">
            <w:pPr>
              <w:pStyle w:val="05Tabletext"/>
            </w:pPr>
            <w:r>
              <w:t>Change from baseline in trough FEV</w:t>
            </w:r>
            <w:r>
              <w:rPr>
                <w:vertAlign w:val="subscript"/>
              </w:rPr>
              <w:t>1</w:t>
            </w:r>
            <w:r w:rsidR="004B3085">
              <w:t xml:space="preserve"> on D</w:t>
            </w:r>
            <w:r>
              <w:t>ay 15.</w:t>
            </w:r>
          </w:p>
          <w:p w:rsidR="00035233" w:rsidRDefault="00035233" w:rsidP="00035233">
            <w:pPr>
              <w:pStyle w:val="06Tabletextspacebefore"/>
              <w:rPr>
                <w:u w:val="single"/>
              </w:rPr>
            </w:pPr>
            <w:r>
              <w:rPr>
                <w:u w:val="single"/>
              </w:rPr>
              <w:t>Secondary</w:t>
            </w:r>
          </w:p>
          <w:p w:rsidR="00035233" w:rsidRPr="00D53903" w:rsidRDefault="00035233" w:rsidP="005510C8">
            <w:pPr>
              <w:pStyle w:val="05Tabletext"/>
            </w:pPr>
            <w:r>
              <w:t>0-6 and 0-24 hr weighted mean FEV</w:t>
            </w:r>
            <w:r>
              <w:rPr>
                <w:vertAlign w:val="subscript"/>
              </w:rPr>
              <w:t>1</w:t>
            </w:r>
            <w:r w:rsidR="004B3085">
              <w:t xml:space="preserve"> at D</w:t>
            </w:r>
            <w:r>
              <w:t>ay 14; serial FEV</w:t>
            </w:r>
            <w:r>
              <w:rPr>
                <w:vertAlign w:val="subscript"/>
              </w:rPr>
              <w:t>1</w:t>
            </w:r>
            <w:r>
              <w:t xml:space="preserve"> values at each time point over 28 hrs at </w:t>
            </w:r>
            <w:r w:rsidR="004B3085">
              <w:t>D</w:t>
            </w:r>
            <w:r>
              <w:t>ay 14; peak FEV</w:t>
            </w:r>
            <w:r>
              <w:rPr>
                <w:vertAlign w:val="subscript"/>
              </w:rPr>
              <w:t>1</w:t>
            </w:r>
            <w:r>
              <w:t>; FVC; rescue medication use; safety.</w:t>
            </w:r>
          </w:p>
        </w:tc>
      </w:tr>
      <w:tr w:rsidR="00035233" w:rsidRPr="00194011" w:rsidTr="00653A91">
        <w:trPr>
          <w:cantSplit/>
        </w:trPr>
        <w:tc>
          <w:tcPr>
            <w:tcW w:w="594" w:type="pct"/>
            <w:shd w:val="clear" w:color="auto" w:fill="000000"/>
          </w:tcPr>
          <w:p w:rsidR="00035233" w:rsidRPr="005375E5" w:rsidRDefault="00035233" w:rsidP="00035233">
            <w:pPr>
              <w:pStyle w:val="04Tablesubheading"/>
            </w:pPr>
            <w:r>
              <w:lastRenderedPageBreak/>
              <w:t>UME vs GLY</w:t>
            </w:r>
          </w:p>
        </w:tc>
        <w:tc>
          <w:tcPr>
            <w:tcW w:w="362" w:type="pct"/>
            <w:shd w:val="clear" w:color="auto" w:fill="000000"/>
          </w:tcPr>
          <w:p w:rsidR="00035233" w:rsidRDefault="00035233" w:rsidP="00035233">
            <w:pPr>
              <w:pStyle w:val="04Tablesubheading"/>
            </w:pPr>
          </w:p>
        </w:tc>
        <w:tc>
          <w:tcPr>
            <w:tcW w:w="299" w:type="pct"/>
            <w:shd w:val="clear" w:color="auto" w:fill="000000"/>
          </w:tcPr>
          <w:p w:rsidR="00035233" w:rsidRDefault="00035233" w:rsidP="00035233">
            <w:pPr>
              <w:pStyle w:val="04Tablesubheading"/>
            </w:pPr>
          </w:p>
        </w:tc>
        <w:tc>
          <w:tcPr>
            <w:tcW w:w="496" w:type="pct"/>
            <w:shd w:val="clear" w:color="auto" w:fill="000000"/>
          </w:tcPr>
          <w:p w:rsidR="00035233" w:rsidRPr="00194011" w:rsidRDefault="00035233" w:rsidP="00035233">
            <w:pPr>
              <w:pStyle w:val="04Tablesubheading"/>
            </w:pPr>
          </w:p>
        </w:tc>
        <w:tc>
          <w:tcPr>
            <w:tcW w:w="2209" w:type="pct"/>
            <w:shd w:val="clear" w:color="auto" w:fill="000000"/>
          </w:tcPr>
          <w:p w:rsidR="00035233" w:rsidRDefault="00035233" w:rsidP="00035233">
            <w:pPr>
              <w:pStyle w:val="04Tablesubheading"/>
              <w:rPr>
                <w:u w:val="single"/>
              </w:rPr>
            </w:pPr>
          </w:p>
        </w:tc>
        <w:tc>
          <w:tcPr>
            <w:tcW w:w="288" w:type="pct"/>
            <w:shd w:val="clear" w:color="auto" w:fill="000000"/>
          </w:tcPr>
          <w:p w:rsidR="00035233" w:rsidRDefault="00035233" w:rsidP="00035233">
            <w:pPr>
              <w:pStyle w:val="04Tablesubheading"/>
            </w:pPr>
          </w:p>
        </w:tc>
        <w:tc>
          <w:tcPr>
            <w:tcW w:w="752" w:type="pct"/>
            <w:shd w:val="clear" w:color="auto" w:fill="000000"/>
          </w:tcPr>
          <w:p w:rsidR="00035233" w:rsidRDefault="00035233" w:rsidP="00035233">
            <w:pPr>
              <w:pStyle w:val="04Tablesubheading"/>
              <w:rPr>
                <w:u w:val="single"/>
              </w:rPr>
            </w:pPr>
          </w:p>
        </w:tc>
      </w:tr>
      <w:tr w:rsidR="00035233" w:rsidRPr="00194011" w:rsidTr="00653A91">
        <w:trPr>
          <w:cantSplit/>
        </w:trPr>
        <w:tc>
          <w:tcPr>
            <w:tcW w:w="594" w:type="pct"/>
            <w:shd w:val="clear" w:color="auto" w:fill="auto"/>
          </w:tcPr>
          <w:p w:rsidR="00035233" w:rsidRDefault="00035233" w:rsidP="00035233">
            <w:pPr>
              <w:pStyle w:val="05Tabletext"/>
            </w:pPr>
            <w:r>
              <w:t>NCT02236611</w:t>
            </w:r>
          </w:p>
          <w:p w:rsidR="00035233" w:rsidRDefault="00035233" w:rsidP="00251CB8">
            <w:pPr>
              <w:pStyle w:val="06Tabletextspacebefore"/>
              <w:numPr>
                <w:ilvl w:val="0"/>
                <w:numId w:val="31"/>
              </w:numPr>
            </w:pPr>
            <w:r>
              <w:t>N/A</w:t>
            </w:r>
          </w:p>
          <w:p w:rsidR="00035233" w:rsidRDefault="00035233" w:rsidP="00251CB8">
            <w:pPr>
              <w:pStyle w:val="06Tabletextspacebefore"/>
              <w:numPr>
                <w:ilvl w:val="0"/>
                <w:numId w:val="31"/>
              </w:numPr>
            </w:pPr>
            <w:r>
              <w:t>Not assessable</w:t>
            </w:r>
          </w:p>
          <w:p w:rsidR="00035233" w:rsidRDefault="00035233" w:rsidP="00251CB8">
            <w:pPr>
              <w:pStyle w:val="06Tabletextspacebefore"/>
              <w:numPr>
                <w:ilvl w:val="0"/>
                <w:numId w:val="31"/>
              </w:numPr>
            </w:pPr>
            <w:r>
              <w:t>Argentina, Chile, Czech Republic, Germany, Hungary, Norway, Romania, Russia, Spain, Sweden</w:t>
            </w:r>
          </w:p>
          <w:p w:rsidR="00035233" w:rsidRPr="009F24C5" w:rsidRDefault="00035233" w:rsidP="00251CB8">
            <w:pPr>
              <w:pStyle w:val="06Tabletextspacebefore"/>
              <w:numPr>
                <w:ilvl w:val="0"/>
                <w:numId w:val="31"/>
              </w:numPr>
            </w:pPr>
            <w:r>
              <w:t>GlaxoSmithKline</w:t>
            </w:r>
          </w:p>
        </w:tc>
        <w:tc>
          <w:tcPr>
            <w:tcW w:w="362" w:type="pct"/>
            <w:shd w:val="clear" w:color="auto" w:fill="auto"/>
          </w:tcPr>
          <w:p w:rsidR="00035233" w:rsidRDefault="00035233" w:rsidP="00035233">
            <w:pPr>
              <w:pStyle w:val="05Tabletext"/>
              <w:jc w:val="center"/>
            </w:pPr>
            <w:r>
              <w:t>1,037</w:t>
            </w:r>
          </w:p>
        </w:tc>
        <w:tc>
          <w:tcPr>
            <w:tcW w:w="299" w:type="pct"/>
            <w:shd w:val="clear" w:color="auto" w:fill="auto"/>
          </w:tcPr>
          <w:p w:rsidR="00035233" w:rsidRDefault="00035233" w:rsidP="00035233">
            <w:pPr>
              <w:pStyle w:val="05Tabletext"/>
            </w:pPr>
            <w:r>
              <w:t>Non-inferiority. Open-label.</w:t>
            </w:r>
          </w:p>
        </w:tc>
        <w:tc>
          <w:tcPr>
            <w:tcW w:w="496" w:type="pct"/>
            <w:shd w:val="clear" w:color="auto" w:fill="auto"/>
          </w:tcPr>
          <w:p w:rsidR="00035233" w:rsidRDefault="00035233" w:rsidP="00035233">
            <w:pPr>
              <w:pStyle w:val="05Tabletext"/>
            </w:pPr>
            <w:r>
              <w:t>UME 62.5 μg qd (n=516)</w:t>
            </w:r>
          </w:p>
          <w:p w:rsidR="00035233" w:rsidRPr="009F24C5" w:rsidRDefault="00035233" w:rsidP="00035233">
            <w:pPr>
              <w:pStyle w:val="06Tabletextspacebefore"/>
            </w:pPr>
            <w:r>
              <w:t>GLY 44 μg qd (n=518)</w:t>
            </w:r>
            <w:r>
              <w:rPr>
                <w:rStyle w:val="FootnoteReference"/>
              </w:rPr>
              <w:footnoteReference w:id="10"/>
            </w:r>
          </w:p>
        </w:tc>
        <w:tc>
          <w:tcPr>
            <w:tcW w:w="2209" w:type="pct"/>
            <w:shd w:val="clear" w:color="auto" w:fill="auto"/>
          </w:tcPr>
          <w:p w:rsidR="00035233" w:rsidRDefault="00035233" w:rsidP="00035233">
            <w:pPr>
              <w:pStyle w:val="05Tabletext"/>
              <w:rPr>
                <w:u w:val="single"/>
              </w:rPr>
            </w:pPr>
            <w:r>
              <w:rPr>
                <w:u w:val="single"/>
              </w:rPr>
              <w:t>Inclusion</w:t>
            </w:r>
          </w:p>
          <w:p w:rsidR="00035233" w:rsidRDefault="00035233" w:rsidP="00035233">
            <w:pPr>
              <w:pStyle w:val="05Tabletext"/>
            </w:pPr>
            <w:r>
              <w:t>(1) Age ≥40 years, (2) established clinical history of COPD,</w:t>
            </w:r>
            <w:r w:rsidR="002D1FA4">
              <w:t xml:space="preserve"> (3) a score of ≥2 on the mMRC Dyspnea S</w:t>
            </w:r>
            <w:r>
              <w:t>cale, (4) pre- and post-albuterol/salbutamol FEV</w:t>
            </w:r>
            <w:r>
              <w:rPr>
                <w:vertAlign w:val="subscript"/>
              </w:rPr>
              <w:t>1</w:t>
            </w:r>
            <w:r>
              <w:t>/FVC ratio of &lt;0.70 and a post-albuterol/salbutamol FEV</w:t>
            </w:r>
            <w:r>
              <w:rPr>
                <w:vertAlign w:val="subscript"/>
              </w:rPr>
              <w:t>1</w:t>
            </w:r>
            <w:r>
              <w:t xml:space="preserve"> of ≥30% and ≤70% of predicted normal values at Visit 1.</w:t>
            </w:r>
          </w:p>
          <w:p w:rsidR="00035233" w:rsidRDefault="00035233" w:rsidP="00035233">
            <w:pPr>
              <w:pStyle w:val="06Tabletextspacebefore"/>
              <w:rPr>
                <w:u w:val="single"/>
              </w:rPr>
            </w:pPr>
            <w:r>
              <w:rPr>
                <w:u w:val="single"/>
              </w:rPr>
              <w:t>Exclusion</w:t>
            </w:r>
          </w:p>
          <w:p w:rsidR="00035233" w:rsidRDefault="00035233" w:rsidP="00035233">
            <w:pPr>
              <w:pStyle w:val="05Tabletext"/>
            </w:pPr>
            <w:r>
              <w:t>(1) Current diagnosis of asthma, (2) hospitalisation for COPD or pneumonia within 12 weeks prior to Visit 1, (3) other clinically significant respiratory disorders including bronchiectasis, pulmonary hypertension, sarcoidosis, or interstitial lung disease.</w:t>
            </w:r>
          </w:p>
          <w:p w:rsidR="00035233" w:rsidRDefault="00035233" w:rsidP="00035233">
            <w:pPr>
              <w:pStyle w:val="06Tabletextspacebefore"/>
            </w:pPr>
            <w:r>
              <w:rPr>
                <w:u w:val="single"/>
              </w:rPr>
              <w:t>Other</w:t>
            </w:r>
          </w:p>
          <w:p w:rsidR="00035233" w:rsidRPr="00C56139" w:rsidRDefault="00035233" w:rsidP="00035233">
            <w:pPr>
              <w:pStyle w:val="05Tabletext"/>
            </w:pPr>
            <w:r>
              <w:t xml:space="preserve">(1) </w:t>
            </w:r>
            <w:r w:rsidRPr="00EE284E">
              <w:t xml:space="preserve">Patients </w:t>
            </w:r>
            <w:r>
              <w:t xml:space="preserve">were required to </w:t>
            </w:r>
            <w:r w:rsidRPr="00EE284E">
              <w:t>discontinue</w:t>
            </w:r>
            <w:r>
              <w:t xml:space="preserve"> most COPD maintenance therapies prior to Visit 1, (2) patients were provided with albuterol/salbutamol for as-needed use throughout the study, except within the 4 hr period prior to spirometry.</w:t>
            </w:r>
          </w:p>
        </w:tc>
        <w:tc>
          <w:tcPr>
            <w:tcW w:w="288" w:type="pct"/>
            <w:shd w:val="clear" w:color="auto" w:fill="auto"/>
          </w:tcPr>
          <w:p w:rsidR="00035233" w:rsidRPr="00194011" w:rsidRDefault="00035233" w:rsidP="00035233">
            <w:pPr>
              <w:pStyle w:val="05Tabletext"/>
              <w:jc w:val="center"/>
            </w:pPr>
            <w:r>
              <w:t>12 weeks</w:t>
            </w:r>
          </w:p>
        </w:tc>
        <w:tc>
          <w:tcPr>
            <w:tcW w:w="752" w:type="pct"/>
            <w:shd w:val="clear" w:color="auto" w:fill="auto"/>
          </w:tcPr>
          <w:p w:rsidR="00035233" w:rsidRDefault="00035233" w:rsidP="00035233">
            <w:pPr>
              <w:pStyle w:val="05Tabletext"/>
              <w:rPr>
                <w:u w:val="single"/>
              </w:rPr>
            </w:pPr>
            <w:r>
              <w:rPr>
                <w:u w:val="single"/>
              </w:rPr>
              <w:t>Primary</w:t>
            </w:r>
          </w:p>
          <w:p w:rsidR="00035233" w:rsidRPr="00C95C07" w:rsidRDefault="00035233" w:rsidP="00035233">
            <w:pPr>
              <w:pStyle w:val="05Tabletext"/>
            </w:pPr>
            <w:r>
              <w:t>Change from baseline in trough FEV</w:t>
            </w:r>
            <w:r>
              <w:rPr>
                <w:vertAlign w:val="subscript"/>
              </w:rPr>
              <w:t>1</w:t>
            </w:r>
            <w:r w:rsidR="004B3085">
              <w:t xml:space="preserve"> on Da</w:t>
            </w:r>
            <w:r>
              <w:t>y 85.</w:t>
            </w:r>
            <w:r>
              <w:rPr>
                <w:rStyle w:val="FootnoteReference"/>
              </w:rPr>
              <w:footnoteReference w:id="11"/>
            </w:r>
          </w:p>
        </w:tc>
      </w:tr>
      <w:tr w:rsidR="00035233" w:rsidRPr="00194011" w:rsidTr="00653A91">
        <w:trPr>
          <w:cantSplit/>
        </w:trPr>
        <w:tc>
          <w:tcPr>
            <w:tcW w:w="594" w:type="pct"/>
            <w:shd w:val="clear" w:color="auto" w:fill="000000"/>
          </w:tcPr>
          <w:p w:rsidR="00035233" w:rsidRPr="009259A2" w:rsidRDefault="00035233" w:rsidP="00035233">
            <w:pPr>
              <w:pStyle w:val="04Tablesubheading"/>
            </w:pPr>
            <w:r>
              <w:t xml:space="preserve">TIO </w:t>
            </w:r>
            <w:r w:rsidR="00AC3855">
              <w:t>HandiHaler</w:t>
            </w:r>
            <w:r>
              <w:t xml:space="preserve"> vs Respimat</w:t>
            </w:r>
          </w:p>
        </w:tc>
        <w:tc>
          <w:tcPr>
            <w:tcW w:w="362" w:type="pct"/>
            <w:shd w:val="clear" w:color="auto" w:fill="000000"/>
          </w:tcPr>
          <w:p w:rsidR="00035233" w:rsidRDefault="00035233" w:rsidP="00035233">
            <w:pPr>
              <w:pStyle w:val="04Tablesubheading"/>
            </w:pPr>
          </w:p>
        </w:tc>
        <w:tc>
          <w:tcPr>
            <w:tcW w:w="299" w:type="pct"/>
            <w:shd w:val="clear" w:color="auto" w:fill="000000"/>
          </w:tcPr>
          <w:p w:rsidR="00035233" w:rsidRDefault="00035233" w:rsidP="00035233">
            <w:pPr>
              <w:pStyle w:val="04Tablesubheading"/>
            </w:pPr>
          </w:p>
        </w:tc>
        <w:tc>
          <w:tcPr>
            <w:tcW w:w="496" w:type="pct"/>
            <w:shd w:val="clear" w:color="auto" w:fill="000000"/>
          </w:tcPr>
          <w:p w:rsidR="00035233" w:rsidRPr="00194011" w:rsidRDefault="00035233" w:rsidP="00035233">
            <w:pPr>
              <w:pStyle w:val="04Tablesubheading"/>
            </w:pPr>
          </w:p>
        </w:tc>
        <w:tc>
          <w:tcPr>
            <w:tcW w:w="2209" w:type="pct"/>
            <w:shd w:val="clear" w:color="auto" w:fill="000000"/>
          </w:tcPr>
          <w:p w:rsidR="00035233" w:rsidRDefault="00035233" w:rsidP="00035233">
            <w:pPr>
              <w:pStyle w:val="04Tablesubheading"/>
              <w:rPr>
                <w:u w:val="single"/>
              </w:rPr>
            </w:pPr>
          </w:p>
        </w:tc>
        <w:tc>
          <w:tcPr>
            <w:tcW w:w="288" w:type="pct"/>
            <w:shd w:val="clear" w:color="auto" w:fill="000000"/>
          </w:tcPr>
          <w:p w:rsidR="00035233" w:rsidRDefault="00035233" w:rsidP="00035233">
            <w:pPr>
              <w:pStyle w:val="04Tablesubheading"/>
            </w:pPr>
          </w:p>
        </w:tc>
        <w:tc>
          <w:tcPr>
            <w:tcW w:w="752" w:type="pct"/>
            <w:shd w:val="clear" w:color="auto" w:fill="000000"/>
          </w:tcPr>
          <w:p w:rsidR="00035233" w:rsidRDefault="00035233" w:rsidP="00035233">
            <w:pPr>
              <w:pStyle w:val="04Tablesubheading"/>
              <w:rPr>
                <w:u w:val="single"/>
              </w:rPr>
            </w:pPr>
          </w:p>
        </w:tc>
      </w:tr>
      <w:tr w:rsidR="00035233" w:rsidRPr="00194011" w:rsidTr="00653A91">
        <w:trPr>
          <w:cantSplit/>
        </w:trPr>
        <w:tc>
          <w:tcPr>
            <w:tcW w:w="594" w:type="pct"/>
            <w:shd w:val="clear" w:color="auto" w:fill="auto"/>
          </w:tcPr>
          <w:p w:rsidR="00035233" w:rsidRDefault="00035233" w:rsidP="00035233">
            <w:pPr>
              <w:pStyle w:val="05Tabletext"/>
            </w:pPr>
            <w:r w:rsidRPr="009259A2">
              <w:t>TIOSPIR</w:t>
            </w:r>
          </w:p>
          <w:p w:rsidR="00035233" w:rsidRDefault="00035233" w:rsidP="00251CB8">
            <w:pPr>
              <w:pStyle w:val="05Tabletext"/>
              <w:numPr>
                <w:ilvl w:val="0"/>
                <w:numId w:val="14"/>
              </w:numPr>
            </w:pPr>
            <w:r w:rsidRPr="00194011">
              <w:t xml:space="preserve">Anzueto (2015); Dahl (2015); </w:t>
            </w:r>
            <w:r>
              <w:t>Wise (2013);</w:t>
            </w:r>
            <w:r w:rsidRPr="00194011">
              <w:t xml:space="preserve"> Wise (2015)</w:t>
            </w:r>
          </w:p>
          <w:p w:rsidR="00035233" w:rsidRDefault="00035233" w:rsidP="00251CB8">
            <w:pPr>
              <w:pStyle w:val="06Tabletextspacebefore"/>
              <w:numPr>
                <w:ilvl w:val="0"/>
                <w:numId w:val="14"/>
              </w:numPr>
            </w:pPr>
            <w:r>
              <w:t>Good quality</w:t>
            </w:r>
          </w:p>
          <w:p w:rsidR="00035233" w:rsidRDefault="00035233" w:rsidP="00251CB8">
            <w:pPr>
              <w:pStyle w:val="06Tabletextspacebefore"/>
              <w:numPr>
                <w:ilvl w:val="0"/>
                <w:numId w:val="14"/>
              </w:numPr>
            </w:pPr>
            <w:r>
              <w:t xml:space="preserve">Various, including </w:t>
            </w:r>
            <w:r w:rsidR="00950856">
              <w:t>six</w:t>
            </w:r>
            <w:r>
              <w:t xml:space="preserve"> Australian sites</w:t>
            </w:r>
          </w:p>
          <w:p w:rsidR="00035233" w:rsidRPr="009259A2" w:rsidRDefault="00035233" w:rsidP="00251CB8">
            <w:pPr>
              <w:pStyle w:val="06Tabletextspacebefore"/>
              <w:numPr>
                <w:ilvl w:val="0"/>
                <w:numId w:val="14"/>
              </w:numPr>
            </w:pPr>
            <w:r>
              <w:t>Boehringer Ingelheim</w:t>
            </w:r>
          </w:p>
        </w:tc>
        <w:tc>
          <w:tcPr>
            <w:tcW w:w="362" w:type="pct"/>
            <w:shd w:val="clear" w:color="auto" w:fill="auto"/>
          </w:tcPr>
          <w:p w:rsidR="00035233" w:rsidRPr="00194011" w:rsidRDefault="00035233" w:rsidP="00035233">
            <w:pPr>
              <w:pStyle w:val="05Tabletext"/>
              <w:jc w:val="center"/>
            </w:pPr>
            <w:r>
              <w:t>17,135</w:t>
            </w:r>
            <w:r>
              <w:rPr>
                <w:rStyle w:val="FootnoteReference"/>
              </w:rPr>
              <w:footnoteReference w:id="12"/>
            </w:r>
          </w:p>
        </w:tc>
        <w:tc>
          <w:tcPr>
            <w:tcW w:w="299" w:type="pct"/>
            <w:shd w:val="clear" w:color="auto" w:fill="auto"/>
          </w:tcPr>
          <w:p w:rsidR="00035233" w:rsidRPr="00194011" w:rsidRDefault="00035233" w:rsidP="00035233">
            <w:pPr>
              <w:pStyle w:val="05Tabletext"/>
            </w:pPr>
            <w:r>
              <w:t>Non-inferiority. Double-blind. Event-driven.</w:t>
            </w:r>
            <w:r>
              <w:rPr>
                <w:rStyle w:val="FootnoteReference"/>
              </w:rPr>
              <w:footnoteReference w:id="13"/>
            </w:r>
          </w:p>
        </w:tc>
        <w:tc>
          <w:tcPr>
            <w:tcW w:w="496" w:type="pct"/>
            <w:shd w:val="clear" w:color="auto" w:fill="auto"/>
          </w:tcPr>
          <w:p w:rsidR="00035233" w:rsidRPr="00194011" w:rsidRDefault="00035233" w:rsidP="00035233">
            <w:pPr>
              <w:pStyle w:val="05Tabletext"/>
            </w:pPr>
            <w:r w:rsidRPr="00194011">
              <w:t>TIO</w:t>
            </w:r>
            <w:r>
              <w:t xml:space="preserve"> </w:t>
            </w:r>
            <w:r w:rsidR="00AC3855">
              <w:t>HandiHaler</w:t>
            </w:r>
            <w:r>
              <w:t xml:space="preserve"> 18 μg qd (n=445</w:t>
            </w:r>
            <w:r w:rsidRPr="00194011">
              <w:t>)</w:t>
            </w:r>
          </w:p>
          <w:p w:rsidR="00035233" w:rsidRDefault="00035233" w:rsidP="00035233">
            <w:pPr>
              <w:pStyle w:val="06Tabletextspacebefore"/>
            </w:pPr>
            <w:r w:rsidRPr="00194011">
              <w:t xml:space="preserve">TIO </w:t>
            </w:r>
            <w:r>
              <w:t xml:space="preserve">Respimat </w:t>
            </w:r>
            <w:r w:rsidRPr="00194011">
              <w:t xml:space="preserve">5 </w:t>
            </w:r>
            <w:r>
              <w:t>μg</w:t>
            </w:r>
            <w:r w:rsidRPr="00194011">
              <w:t xml:space="preserve"> qd (</w:t>
            </w:r>
            <w:r>
              <w:t>n=461</w:t>
            </w:r>
            <w:r w:rsidRPr="00194011">
              <w:t>)</w:t>
            </w:r>
          </w:p>
          <w:p w:rsidR="00035233" w:rsidRPr="00194011" w:rsidRDefault="00035233" w:rsidP="00035233">
            <w:pPr>
              <w:pStyle w:val="06Tabletextspacebefore"/>
            </w:pPr>
            <w:r w:rsidRPr="00194011">
              <w:t xml:space="preserve">TIO </w:t>
            </w:r>
            <w:r>
              <w:t>Respimat 2.</w:t>
            </w:r>
            <w:r w:rsidRPr="00194011">
              <w:t xml:space="preserve">5 </w:t>
            </w:r>
            <w:r>
              <w:t>μg</w:t>
            </w:r>
            <w:r w:rsidRPr="00194011">
              <w:t xml:space="preserve"> qd (</w:t>
            </w:r>
            <w:r>
              <w:t>n=464</w:t>
            </w:r>
            <w:r w:rsidRPr="00194011">
              <w:t>)</w:t>
            </w:r>
          </w:p>
        </w:tc>
        <w:tc>
          <w:tcPr>
            <w:tcW w:w="2209" w:type="pct"/>
            <w:shd w:val="clear" w:color="auto" w:fill="auto"/>
          </w:tcPr>
          <w:p w:rsidR="00035233" w:rsidRDefault="00035233" w:rsidP="00035233">
            <w:pPr>
              <w:pStyle w:val="05Tabletext"/>
            </w:pPr>
            <w:r>
              <w:rPr>
                <w:u w:val="single"/>
              </w:rPr>
              <w:t>Inclusion</w:t>
            </w:r>
          </w:p>
          <w:p w:rsidR="00035233" w:rsidRDefault="00035233" w:rsidP="00035233">
            <w:pPr>
              <w:pStyle w:val="05Tabletext"/>
            </w:pPr>
            <w:r>
              <w:t>(1) Age ≥40 years, (2) diagnosis of COPD, (3) post-bronchodilator FEV</w:t>
            </w:r>
            <w:r>
              <w:rPr>
                <w:vertAlign w:val="subscript"/>
              </w:rPr>
              <w:t>1</w:t>
            </w:r>
            <w:r>
              <w:t>/FVC ratio ≤0.70, and an FEV</w:t>
            </w:r>
            <w:r>
              <w:rPr>
                <w:vertAlign w:val="subscript"/>
              </w:rPr>
              <w:t>1</w:t>
            </w:r>
            <w:r>
              <w:t xml:space="preserve"> ≤70% predicted.</w:t>
            </w:r>
          </w:p>
          <w:p w:rsidR="00035233" w:rsidRDefault="00035233" w:rsidP="00035233">
            <w:pPr>
              <w:pStyle w:val="06Tabletextspacebefore"/>
            </w:pPr>
            <w:r>
              <w:rPr>
                <w:u w:val="single"/>
              </w:rPr>
              <w:t>Exclusion</w:t>
            </w:r>
          </w:p>
          <w:p w:rsidR="00035233" w:rsidRDefault="00035233" w:rsidP="00035233">
            <w:pPr>
              <w:pStyle w:val="05Tabletext"/>
            </w:pPr>
            <w:r>
              <w:t>(1) Recent or unstable concomitant cardiac disease, (2) other clinically significant lung disease or a COPD exacerbation within the last month, (3) moderate or severe renal impairment, (4) cancer requiring therapy within the last 5 years, (5) drug or alcohol abuse within the last year.</w:t>
            </w:r>
          </w:p>
          <w:p w:rsidR="00035233" w:rsidRDefault="00035233" w:rsidP="00035233">
            <w:pPr>
              <w:pStyle w:val="06Tabletextspacebefore"/>
            </w:pPr>
            <w:r>
              <w:rPr>
                <w:u w:val="single"/>
              </w:rPr>
              <w:t>Other</w:t>
            </w:r>
          </w:p>
          <w:p w:rsidR="00035233" w:rsidRPr="001D5B76" w:rsidRDefault="00035233" w:rsidP="00035233">
            <w:pPr>
              <w:pStyle w:val="05Tabletext"/>
            </w:pPr>
            <w:r>
              <w:t>(1) All COPD medications except other inhaled anticholinergic agents were allowed; however, there were rules in place regarding washout periods prior to pulmonary function tests.</w:t>
            </w:r>
          </w:p>
        </w:tc>
        <w:tc>
          <w:tcPr>
            <w:tcW w:w="288" w:type="pct"/>
            <w:shd w:val="clear" w:color="auto" w:fill="auto"/>
          </w:tcPr>
          <w:p w:rsidR="00035233" w:rsidRPr="00194011" w:rsidRDefault="00035233" w:rsidP="00035233">
            <w:pPr>
              <w:pStyle w:val="05Tabletext"/>
              <w:jc w:val="center"/>
            </w:pPr>
            <w:r>
              <w:t>Up to 3 years (final visit 30 days after last treatment; all followed up for vital signs until end of study)</w:t>
            </w:r>
          </w:p>
        </w:tc>
        <w:tc>
          <w:tcPr>
            <w:tcW w:w="752" w:type="pct"/>
            <w:shd w:val="clear" w:color="auto" w:fill="auto"/>
          </w:tcPr>
          <w:p w:rsidR="00035233" w:rsidRDefault="00035233" w:rsidP="00035233">
            <w:pPr>
              <w:pStyle w:val="05Tabletext"/>
              <w:rPr>
                <w:u w:val="single"/>
              </w:rPr>
            </w:pPr>
            <w:r>
              <w:rPr>
                <w:u w:val="single"/>
              </w:rPr>
              <w:t>Primary</w:t>
            </w:r>
          </w:p>
          <w:p w:rsidR="00035233" w:rsidRDefault="00035233" w:rsidP="00035233">
            <w:pPr>
              <w:pStyle w:val="05Tabletext"/>
            </w:pPr>
            <w:r>
              <w:t>Time to all-cause mortality; time to first COPD exacerbation.</w:t>
            </w:r>
          </w:p>
          <w:p w:rsidR="00035233" w:rsidRDefault="00035233" w:rsidP="00035233">
            <w:pPr>
              <w:pStyle w:val="06Tabletextspacebefore"/>
              <w:rPr>
                <w:u w:val="single"/>
              </w:rPr>
            </w:pPr>
            <w:r>
              <w:rPr>
                <w:u w:val="single"/>
              </w:rPr>
              <w:t>Secondary</w:t>
            </w:r>
          </w:p>
          <w:p w:rsidR="00035233" w:rsidRPr="007666F5" w:rsidRDefault="00035233" w:rsidP="00035233">
            <w:pPr>
              <w:pStyle w:val="05Tabletext"/>
            </w:pPr>
            <w:r>
              <w:t>Trough FEV</w:t>
            </w:r>
            <w:r>
              <w:rPr>
                <w:vertAlign w:val="subscript"/>
              </w:rPr>
              <w:t>1</w:t>
            </w:r>
            <w:r w:rsidRPr="007666F5">
              <w:t>; number of COPD</w:t>
            </w:r>
            <w:r>
              <w:t xml:space="preserve"> exacerbations; hospitalisations associated with exacerbations; time to onset/time to death from MACE.</w:t>
            </w:r>
            <w:r w:rsidRPr="007666F5">
              <w:t xml:space="preserve"> </w:t>
            </w:r>
          </w:p>
        </w:tc>
      </w:tr>
    </w:tbl>
    <w:p w:rsidR="00035233" w:rsidRDefault="00035233" w:rsidP="00035233">
      <w:pPr>
        <w:pStyle w:val="10TableorFigurefootnote"/>
      </w:pPr>
      <w:r w:rsidRPr="00745648">
        <w:t>Note: N refers to number randomised unless otherwise specified.</w:t>
      </w:r>
    </w:p>
    <w:p w:rsidR="00035233" w:rsidRPr="000A7963" w:rsidRDefault="00035233" w:rsidP="00E435EA">
      <w:pPr>
        <w:pStyle w:val="11TableorFigurefootnotenostick"/>
        <w:spacing w:after="120"/>
      </w:pPr>
      <w:r>
        <w:t>Abbreviations: AUC, area under the curve; ACL, aclidinium; AE, adverse event; BDI, Basline Dyspnoea Index; CAT, COPD Assessment Test; COPD, chronic obstructive pulmonary disease; CS, corticosteroid; EXACT-RS, EXAcerbations of Chronic pulmonary disease Tool-Respiratory Symptoms; FEV</w:t>
      </w:r>
      <w:r>
        <w:rPr>
          <w:vertAlign w:val="subscript"/>
        </w:rPr>
        <w:t>1</w:t>
      </w:r>
      <w:r>
        <w:t xml:space="preserve">, forced expiratory volume in one second; FVC, forced vital capacity; HH, </w:t>
      </w:r>
      <w:r w:rsidR="00AC3855">
        <w:t>HandiHaler</w:t>
      </w:r>
      <w:r>
        <w:t xml:space="preserve">; ICS, inhaled corticosteroid; IOS, impulse oscillometry; ITT, intention-to-treat; </w:t>
      </w:r>
      <w:r w:rsidRPr="003D19F1">
        <w:t xml:space="preserve">LAMA, long-acting muscarinic antagonist; </w:t>
      </w:r>
      <w:r>
        <w:t xml:space="preserve">MACE, major adverse cardiovascular event; </w:t>
      </w:r>
      <w:r w:rsidRPr="00055354">
        <w:t xml:space="preserve">PP, per protocol; </w:t>
      </w:r>
      <w:r>
        <w:t>Resp, Respimat; RVC, relaxed vital capacity; SAMA, short-acting muscarinic antagonist; SGRQ, St George’s Respiratory Questionnaire; TDI, Transition Dyspnea Index; TIO, tiotropium; TIOSPIR, TIOtropium Safety and Performance In Respimat; UME, umeclidinium.</w:t>
      </w:r>
    </w:p>
    <w:p w:rsidR="00035233" w:rsidRPr="00BB1273" w:rsidRDefault="00035233" w:rsidP="00035233">
      <w:pPr>
        <w:sectPr w:rsidR="00035233" w:rsidRPr="00BB1273" w:rsidSect="00270A37">
          <w:headerReference w:type="even" r:id="rId15"/>
          <w:headerReference w:type="default" r:id="rId16"/>
          <w:footerReference w:type="default" r:id="rId17"/>
          <w:headerReference w:type="first" r:id="rId18"/>
          <w:pgSz w:w="16838" w:h="11906" w:orient="landscape"/>
          <w:pgMar w:top="1134" w:right="1134" w:bottom="1134" w:left="1134" w:header="709" w:footer="709" w:gutter="0"/>
          <w:cols w:space="708"/>
          <w:docGrid w:linePitch="360"/>
        </w:sectPr>
      </w:pPr>
    </w:p>
    <w:p w:rsidR="00035233" w:rsidRDefault="00035233" w:rsidP="00A55E5D">
      <w:pPr>
        <w:pStyle w:val="Heading4"/>
        <w:numPr>
          <w:ilvl w:val="3"/>
          <w:numId w:val="11"/>
        </w:numPr>
        <w:spacing w:before="120"/>
      </w:pPr>
      <w:r>
        <w:lastRenderedPageBreak/>
        <w:t>Aclidinium versus tiotropium</w:t>
      </w:r>
    </w:p>
    <w:p w:rsidR="00035233" w:rsidRDefault="00035233" w:rsidP="00251CB8">
      <w:pPr>
        <w:pStyle w:val="Heading5"/>
        <w:numPr>
          <w:ilvl w:val="4"/>
          <w:numId w:val="11"/>
        </w:numPr>
      </w:pPr>
      <w:r>
        <w:t>Manoharan (2016)</w:t>
      </w:r>
    </w:p>
    <w:p w:rsidR="00035233" w:rsidRDefault="00035233" w:rsidP="00035233">
      <w:pPr>
        <w:pStyle w:val="BodyTextnospacebefore"/>
      </w:pPr>
      <w:r>
        <w:t>In a recent cross-over study conducted by Manoharan et al (2016), patients were randomised to undergo treatment periods with tiotropium 18 μg once daily and aclidinium 322 μg twice daily for 2-3 weeks each. In this study, the LAMAs were used as add-on therapy to pre-existing ICS/LABA therapy in eligible patients with moderate to severe COPD.</w:t>
      </w:r>
    </w:p>
    <w:p w:rsidR="00035233" w:rsidRDefault="00C25BA8" w:rsidP="00035233">
      <w:pPr>
        <w:pStyle w:val="BodyText"/>
      </w:pPr>
      <w:r>
        <w:t xml:space="preserve">Table 3.9 shows that </w:t>
      </w:r>
      <w:r w:rsidR="00035233">
        <w:t>trough FEV</w:t>
      </w:r>
      <w:r w:rsidR="00035233">
        <w:rPr>
          <w:vertAlign w:val="subscript"/>
        </w:rPr>
        <w:t>1</w:t>
      </w:r>
      <w:r w:rsidR="00035233">
        <w:t xml:space="preserve"> significantly improved from baseline with both aclidinium and tiotropium (</w:t>
      </w:r>
      <w:r w:rsidR="00737441">
        <w:t>P</w:t>
      </w:r>
      <w:r w:rsidR="00035233">
        <w:t xml:space="preserve">=0.009 and </w:t>
      </w:r>
      <w:r w:rsidR="00737441">
        <w:t>P</w:t>
      </w:r>
      <w:r w:rsidR="00035233">
        <w:t>&lt;0.0001, respectively)</w:t>
      </w:r>
      <w:r w:rsidR="0042686E">
        <w:t xml:space="preserve">. Both treatments met the </w:t>
      </w:r>
      <w:r w:rsidR="004E2622">
        <w:t>MCID</w:t>
      </w:r>
      <w:r w:rsidR="00035233">
        <w:t xml:space="preserve"> of 100-140 mL; however, it was unclear whether the MCID was defined a priori. </w:t>
      </w:r>
    </w:p>
    <w:p w:rsidR="00035233" w:rsidRPr="00093681" w:rsidRDefault="00C25BA8" w:rsidP="00906E59">
      <w:pPr>
        <w:pStyle w:val="ToR3Tableheader"/>
      </w:pPr>
      <w:bookmarkStart w:id="91" w:name="_Toc467782101"/>
      <w:bookmarkStart w:id="92" w:name="_Toc468012289"/>
      <w:bookmarkStart w:id="93" w:name="_Toc468034445"/>
      <w:bookmarkStart w:id="94" w:name="_Toc471891001"/>
      <w:bookmarkStart w:id="95" w:name="_Toc486428188"/>
      <w:r>
        <w:t>Table 3.9</w:t>
      </w:r>
      <w:r>
        <w:tab/>
      </w:r>
      <w:r w:rsidR="00035233">
        <w:t>Change from baseline to 2-3 weeks in trough FEV</w:t>
      </w:r>
      <w:r w:rsidR="00035233">
        <w:rPr>
          <w:vertAlign w:val="subscript"/>
        </w:rPr>
        <w:t xml:space="preserve">1 </w:t>
      </w:r>
      <w:r w:rsidR="00035233">
        <w:t>– ACL vs TIO</w:t>
      </w:r>
      <w:bookmarkEnd w:id="91"/>
      <w:bookmarkEnd w:id="92"/>
      <w:bookmarkEnd w:id="93"/>
      <w:bookmarkEnd w:id="94"/>
      <w:bookmarkEnd w:id="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Caption w:val="Change from baseline to 2-3 weeks in trough FEV1"/>
        <w:tblDescription w:val="Aclidinium versus tiotropium"/>
      </w:tblPr>
      <w:tblGrid>
        <w:gridCol w:w="2416"/>
        <w:gridCol w:w="1808"/>
        <w:gridCol w:w="1808"/>
        <w:gridCol w:w="1808"/>
        <w:gridCol w:w="1808"/>
      </w:tblGrid>
      <w:tr w:rsidR="00035233" w:rsidRPr="00F01736" w:rsidTr="00035233">
        <w:trPr>
          <w:cantSplit/>
        </w:trPr>
        <w:tc>
          <w:tcPr>
            <w:tcW w:w="1252" w:type="pct"/>
            <w:shd w:val="clear" w:color="auto" w:fill="BFBFBF"/>
          </w:tcPr>
          <w:p w:rsidR="00035233" w:rsidRPr="00F01736" w:rsidRDefault="00035233" w:rsidP="00035233">
            <w:pPr>
              <w:pStyle w:val="01TableHEADINGleftaligned"/>
            </w:pPr>
            <w:r>
              <w:t>Change from baseline</w:t>
            </w:r>
          </w:p>
        </w:tc>
        <w:tc>
          <w:tcPr>
            <w:tcW w:w="937" w:type="pct"/>
            <w:shd w:val="clear" w:color="auto" w:fill="BFBFBF"/>
          </w:tcPr>
          <w:p w:rsidR="00035233" w:rsidRPr="00F01736" w:rsidRDefault="00035233" w:rsidP="00035233">
            <w:pPr>
              <w:pStyle w:val="01TableHEADINGleftaligned"/>
              <w:jc w:val="center"/>
            </w:pPr>
            <w:r>
              <w:t>ACL 322 μg</w:t>
            </w:r>
          </w:p>
        </w:tc>
        <w:tc>
          <w:tcPr>
            <w:tcW w:w="937" w:type="pct"/>
            <w:shd w:val="clear" w:color="auto" w:fill="BFBFBF"/>
          </w:tcPr>
          <w:p w:rsidR="00035233" w:rsidRPr="00F01736" w:rsidRDefault="00035233" w:rsidP="00035233">
            <w:pPr>
              <w:pStyle w:val="01TableHEADINGleftaligned"/>
              <w:jc w:val="center"/>
            </w:pPr>
            <w:r>
              <w:t>TIO 18 μg</w:t>
            </w:r>
          </w:p>
        </w:tc>
        <w:tc>
          <w:tcPr>
            <w:tcW w:w="937" w:type="pct"/>
            <w:shd w:val="clear" w:color="auto" w:fill="BFBFBF"/>
          </w:tcPr>
          <w:p w:rsidR="00035233" w:rsidRPr="00F01736" w:rsidRDefault="00035233" w:rsidP="00035233">
            <w:pPr>
              <w:pStyle w:val="01TableHEADINGleftaligned"/>
              <w:jc w:val="center"/>
            </w:pPr>
            <w:r>
              <w:t>Δ mL (95% CI)</w:t>
            </w:r>
          </w:p>
        </w:tc>
        <w:tc>
          <w:tcPr>
            <w:tcW w:w="937" w:type="pct"/>
            <w:shd w:val="clear" w:color="auto" w:fill="BFBFBF"/>
          </w:tcPr>
          <w:p w:rsidR="00035233" w:rsidRPr="00F01736" w:rsidRDefault="00035233" w:rsidP="00035233">
            <w:pPr>
              <w:pStyle w:val="01TableHEADINGleftaligned"/>
              <w:jc w:val="center"/>
            </w:pPr>
            <w:r w:rsidRPr="00F01736">
              <w:t>p-</w:t>
            </w:r>
            <w:r w:rsidRPr="00DE60B1">
              <w:t>value</w:t>
            </w:r>
          </w:p>
        </w:tc>
      </w:tr>
      <w:tr w:rsidR="00035233" w:rsidRPr="00194011" w:rsidTr="00035233">
        <w:trPr>
          <w:cantSplit/>
        </w:trPr>
        <w:tc>
          <w:tcPr>
            <w:tcW w:w="1252" w:type="pct"/>
            <w:shd w:val="clear" w:color="auto" w:fill="auto"/>
          </w:tcPr>
          <w:p w:rsidR="00035233" w:rsidRPr="00194011" w:rsidRDefault="00035233" w:rsidP="00035233">
            <w:pPr>
              <w:pStyle w:val="05Tabletext"/>
              <w:rPr>
                <w:b/>
              </w:rPr>
            </w:pPr>
            <w:r>
              <w:t>Trough FEV</w:t>
            </w:r>
            <w:r>
              <w:rPr>
                <w:vertAlign w:val="subscript"/>
              </w:rPr>
              <w:t xml:space="preserve">1 </w:t>
            </w:r>
            <w:r w:rsidRPr="002D1B9F">
              <w:t>at 2-3 weeks</w:t>
            </w:r>
            <w:r>
              <w:t>, mL</w:t>
            </w:r>
          </w:p>
        </w:tc>
        <w:tc>
          <w:tcPr>
            <w:tcW w:w="937" w:type="pct"/>
            <w:shd w:val="clear" w:color="auto" w:fill="auto"/>
          </w:tcPr>
          <w:p w:rsidR="00035233" w:rsidRPr="00AB3BDC" w:rsidRDefault="00035233" w:rsidP="00035233">
            <w:pPr>
              <w:pStyle w:val="05Tabletext"/>
              <w:jc w:val="center"/>
            </w:pPr>
            <w:r>
              <w:t>110</w:t>
            </w:r>
          </w:p>
        </w:tc>
        <w:tc>
          <w:tcPr>
            <w:tcW w:w="937" w:type="pct"/>
            <w:shd w:val="clear" w:color="auto" w:fill="auto"/>
          </w:tcPr>
          <w:p w:rsidR="00035233" w:rsidRPr="00BC7782" w:rsidRDefault="00035233" w:rsidP="00035233">
            <w:pPr>
              <w:pStyle w:val="05Tabletext"/>
              <w:jc w:val="center"/>
            </w:pPr>
            <w:r>
              <w:t>150</w:t>
            </w:r>
          </w:p>
        </w:tc>
        <w:tc>
          <w:tcPr>
            <w:tcW w:w="937" w:type="pct"/>
            <w:shd w:val="clear" w:color="auto" w:fill="auto"/>
          </w:tcPr>
          <w:p w:rsidR="00035233" w:rsidRPr="00194011" w:rsidRDefault="00035233" w:rsidP="00035233">
            <w:pPr>
              <w:pStyle w:val="05Tabletext"/>
              <w:jc w:val="center"/>
            </w:pPr>
            <w:r>
              <w:t>–40 (–130, 50)</w:t>
            </w:r>
          </w:p>
        </w:tc>
        <w:tc>
          <w:tcPr>
            <w:tcW w:w="937" w:type="pct"/>
            <w:shd w:val="clear" w:color="auto" w:fill="auto"/>
          </w:tcPr>
          <w:p w:rsidR="00035233" w:rsidRPr="00194011" w:rsidRDefault="00035233" w:rsidP="00035233">
            <w:pPr>
              <w:pStyle w:val="05Tabletext"/>
              <w:jc w:val="center"/>
            </w:pPr>
            <w:r>
              <w:t>0.36</w:t>
            </w:r>
          </w:p>
        </w:tc>
      </w:tr>
    </w:tbl>
    <w:p w:rsidR="00035233" w:rsidRDefault="00035233" w:rsidP="00035233">
      <w:pPr>
        <w:pStyle w:val="10TableorFigurefootnote"/>
      </w:pPr>
      <w:r>
        <w:t>Source: Manoharan et al (2016), Table 1.</w:t>
      </w:r>
    </w:p>
    <w:p w:rsidR="00035233" w:rsidRPr="00E265E4" w:rsidRDefault="00035233" w:rsidP="00035233">
      <w:pPr>
        <w:pStyle w:val="10TableorFigurefootnote"/>
      </w:pPr>
      <w:r>
        <w:t>Note: Trough FEV</w:t>
      </w:r>
      <w:r>
        <w:rPr>
          <w:vertAlign w:val="subscript"/>
        </w:rPr>
        <w:t>1</w:t>
      </w:r>
      <w:r>
        <w:t xml:space="preserve"> was measured at 12 hrs for aclidinium and 24 hrs for tiotropium.</w:t>
      </w:r>
    </w:p>
    <w:p w:rsidR="00035233" w:rsidRDefault="00035233" w:rsidP="00035233">
      <w:pPr>
        <w:pStyle w:val="11TableorFigurefootnotenostick"/>
      </w:pPr>
      <w:r>
        <w:t>Abbreviations: CI, confidence interval; FEV</w:t>
      </w:r>
      <w:r>
        <w:rPr>
          <w:vertAlign w:val="subscript"/>
        </w:rPr>
        <w:t>1</w:t>
      </w:r>
      <w:r>
        <w:t xml:space="preserve">, forced expiratory volume in one second; ns, non-significant; HH, </w:t>
      </w:r>
      <w:r w:rsidR="00AC3855">
        <w:t>HandiHaler</w:t>
      </w:r>
      <w:r>
        <w:t>; Resp, Respimat; TIO, tiotropium.</w:t>
      </w:r>
    </w:p>
    <w:p w:rsidR="00035233" w:rsidRDefault="00035233" w:rsidP="00035233">
      <w:pPr>
        <w:pStyle w:val="BodyText"/>
      </w:pPr>
      <w:r>
        <w:t>Importantly, there was no significant difference between aclidinium and tiotropium when used as triple therapy in patients with COPD. The authors noted that baseline values prior to randomised treatments were not significantly different, and there were also no significant differences in baselines according to visit sequence.</w:t>
      </w:r>
    </w:p>
    <w:p w:rsidR="00035233" w:rsidRDefault="00035233" w:rsidP="00251CB8">
      <w:pPr>
        <w:pStyle w:val="Heading5"/>
        <w:numPr>
          <w:ilvl w:val="4"/>
          <w:numId w:val="11"/>
        </w:numPr>
      </w:pPr>
      <w:r>
        <w:t>Beier (2013)</w:t>
      </w:r>
    </w:p>
    <w:p w:rsidR="00035233" w:rsidRDefault="00035233" w:rsidP="00035233">
      <w:pPr>
        <w:pStyle w:val="BodyTextnospacebefore"/>
      </w:pPr>
      <w:r>
        <w:t>An earlier study by Beier et al (2013) also assessed the comparative efficacy of aclidinium and tiotropium; however</w:t>
      </w:r>
      <w:r w:rsidR="00E86835">
        <w:t>,</w:t>
      </w:r>
      <w:r>
        <w:t xml:space="preserve"> the primary analysis was a comparison of aclidinium and placebo. Unlike Manoharan et al (2016), not all patients in Beier et al (2013) were undergoing triple therapy for COPD. While patients were not required to discontinue treatment with ICS during the s</w:t>
      </w:r>
      <w:r w:rsidR="00E86835">
        <w:t>tudy period, the proportion of patients</w:t>
      </w:r>
      <w:r>
        <w:t xml:space="preserve"> taking ICS therapies at baseline and throughout the study</w:t>
      </w:r>
      <w:r w:rsidR="00E86835">
        <w:t xml:space="preserve"> was unclear</w:t>
      </w:r>
      <w:r>
        <w:t>.</w:t>
      </w:r>
    </w:p>
    <w:p w:rsidR="00035233" w:rsidRDefault="00035233" w:rsidP="00035233">
      <w:pPr>
        <w:pStyle w:val="BodyText"/>
        <w:pBdr>
          <w:bar w:val="single" w:sz="4" w:color="auto"/>
        </w:pBdr>
      </w:pPr>
      <w:r>
        <w:t>Treatment with both aclidinium and tiotropium resulted in improvements from baseline in trough FEV</w:t>
      </w:r>
      <w:r>
        <w:rPr>
          <w:vertAlign w:val="subscript"/>
        </w:rPr>
        <w:t>1</w:t>
      </w:r>
      <w:r>
        <w:t xml:space="preserve"> that were statistically significant compared with placebo (see</w:t>
      </w:r>
      <w:r w:rsidR="00C25BA8">
        <w:t xml:space="preserve"> Table 3.10</w:t>
      </w:r>
      <w:r>
        <w:t xml:space="preserve">). On </w:t>
      </w:r>
      <w:r w:rsidR="004B3085">
        <w:t>D</w:t>
      </w:r>
      <w:r w:rsidR="00E86835">
        <w:t>ay </w:t>
      </w:r>
      <w:r>
        <w:t xml:space="preserve">1, the mean improvement with aclidinium was statistically significantly greater than tiotropium, but did not meet the proposed MCID for this parameter of 100-140 mL. By Week 6 the treatments were comparable, suggesting that the difference on </w:t>
      </w:r>
      <w:r w:rsidR="004B3085">
        <w:t>D</w:t>
      </w:r>
      <w:r>
        <w:t>ay 1 may be attributable to differences in pharmacokinetics, whereby aclidinium reaches steady state faster than tiotropium (Beier et al, 2013).</w:t>
      </w:r>
    </w:p>
    <w:p w:rsidR="00035233" w:rsidRDefault="00C25BA8" w:rsidP="00E86835">
      <w:pPr>
        <w:pStyle w:val="ToR3Tableheader"/>
      </w:pPr>
      <w:bookmarkStart w:id="96" w:name="_Toc467782102"/>
      <w:bookmarkStart w:id="97" w:name="_Toc468012290"/>
      <w:bookmarkStart w:id="98" w:name="_Toc468034446"/>
      <w:bookmarkStart w:id="99" w:name="_Toc471891002"/>
      <w:bookmarkStart w:id="100" w:name="_Toc486428189"/>
      <w:r>
        <w:t>Table 3.</w:t>
      </w:r>
      <w:r w:rsidR="00E86835">
        <w:t>10</w:t>
      </w:r>
      <w:r w:rsidR="00035233">
        <w:tab/>
        <w:t>Least squares mean difference from placebo in trough FEV</w:t>
      </w:r>
      <w:r w:rsidR="00035233">
        <w:rPr>
          <w:vertAlign w:val="subscript"/>
        </w:rPr>
        <w:t>1</w:t>
      </w:r>
      <w:r w:rsidR="00035233">
        <w:t xml:space="preserve"> – ACL vs TIO</w:t>
      </w:r>
      <w:bookmarkEnd w:id="96"/>
      <w:bookmarkEnd w:id="97"/>
      <w:bookmarkEnd w:id="98"/>
      <w:bookmarkEnd w:id="99"/>
      <w:bookmarkEnd w:id="100"/>
    </w:p>
    <w:tbl>
      <w:tblPr>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Least squares mean difference from placebo in trough FEV1 "/>
        <w:tblDescription w:val="Aclidinium versus tiotropium"/>
      </w:tblPr>
      <w:tblGrid>
        <w:gridCol w:w="2839"/>
        <w:gridCol w:w="1844"/>
        <w:gridCol w:w="1843"/>
        <w:gridCol w:w="1843"/>
        <w:gridCol w:w="1073"/>
      </w:tblGrid>
      <w:tr w:rsidR="00035233" w:rsidRPr="00F01736" w:rsidTr="00035233">
        <w:trPr>
          <w:cantSplit/>
        </w:trPr>
        <w:tc>
          <w:tcPr>
            <w:tcW w:w="1503" w:type="pct"/>
            <w:shd w:val="clear" w:color="auto" w:fill="BFBFBF"/>
          </w:tcPr>
          <w:p w:rsidR="00035233" w:rsidRPr="003845C5" w:rsidRDefault="00035233" w:rsidP="00035233">
            <w:pPr>
              <w:pStyle w:val="01TableHEADINGleftaligned"/>
              <w:rPr>
                <w:vertAlign w:val="subscript"/>
              </w:rPr>
            </w:pPr>
            <w:r>
              <w:t>LS mean difference from placebo in trough FEV</w:t>
            </w:r>
            <w:r>
              <w:rPr>
                <w:vertAlign w:val="subscript"/>
              </w:rPr>
              <w:t>1</w:t>
            </w:r>
          </w:p>
        </w:tc>
        <w:tc>
          <w:tcPr>
            <w:tcW w:w="976" w:type="pct"/>
            <w:tcBorders>
              <w:right w:val="single" w:sz="4" w:space="0" w:color="auto"/>
            </w:tcBorders>
            <w:shd w:val="clear" w:color="auto" w:fill="BFBFBF"/>
          </w:tcPr>
          <w:p w:rsidR="00035233" w:rsidRPr="00F01736" w:rsidRDefault="00035233" w:rsidP="00035233">
            <w:pPr>
              <w:pStyle w:val="01TableHEADINGleftaligned"/>
              <w:ind w:right="0"/>
              <w:jc w:val="center"/>
            </w:pPr>
            <w:r>
              <w:t>ACL (n=171)</w:t>
            </w:r>
          </w:p>
        </w:tc>
        <w:tc>
          <w:tcPr>
            <w:tcW w:w="976" w:type="pct"/>
            <w:tcBorders>
              <w:left w:val="single" w:sz="4" w:space="0" w:color="auto"/>
            </w:tcBorders>
            <w:shd w:val="clear" w:color="auto" w:fill="BFBFBF"/>
          </w:tcPr>
          <w:p w:rsidR="00035233" w:rsidRPr="00F01736" w:rsidRDefault="00035233" w:rsidP="00035233">
            <w:pPr>
              <w:pStyle w:val="01TableHEADINGleftaligned"/>
              <w:ind w:right="0"/>
              <w:jc w:val="center"/>
            </w:pPr>
            <w:r>
              <w:t>TIO (n=158)</w:t>
            </w:r>
          </w:p>
        </w:tc>
        <w:tc>
          <w:tcPr>
            <w:tcW w:w="976" w:type="pct"/>
            <w:shd w:val="clear" w:color="auto" w:fill="BFBFBF"/>
          </w:tcPr>
          <w:p w:rsidR="00035233" w:rsidRPr="00F01736" w:rsidRDefault="00035233" w:rsidP="00035233">
            <w:pPr>
              <w:pStyle w:val="01TableHEADINGleftaligned"/>
              <w:jc w:val="center"/>
            </w:pPr>
            <w:r>
              <w:t>Treatment difference, Δ (95% CI)</w:t>
            </w:r>
          </w:p>
        </w:tc>
        <w:tc>
          <w:tcPr>
            <w:tcW w:w="568" w:type="pct"/>
            <w:shd w:val="clear" w:color="auto" w:fill="BFBFBF"/>
          </w:tcPr>
          <w:p w:rsidR="00035233" w:rsidRPr="00F01736" w:rsidRDefault="00035233" w:rsidP="00035233">
            <w:pPr>
              <w:pStyle w:val="01TableHEADINGleftaligned"/>
              <w:jc w:val="center"/>
            </w:pPr>
            <w:r w:rsidRPr="00F01736">
              <w:t>p-</w:t>
            </w:r>
            <w:r w:rsidRPr="00DE60B1">
              <w:t>value</w:t>
            </w:r>
          </w:p>
        </w:tc>
      </w:tr>
      <w:tr w:rsidR="00035233" w:rsidRPr="00194011" w:rsidTr="00035233">
        <w:trPr>
          <w:cantSplit/>
        </w:trPr>
        <w:tc>
          <w:tcPr>
            <w:tcW w:w="1503" w:type="pct"/>
            <w:shd w:val="clear" w:color="auto" w:fill="auto"/>
          </w:tcPr>
          <w:p w:rsidR="00035233" w:rsidRPr="007C204B" w:rsidRDefault="00035233" w:rsidP="00035233">
            <w:pPr>
              <w:pStyle w:val="05Tabletext"/>
              <w:keepNext/>
              <w:spacing w:after="100" w:afterAutospacing="1"/>
            </w:pPr>
            <w:r>
              <w:t>Day 1, mean difference (95% CI), mL</w:t>
            </w:r>
          </w:p>
        </w:tc>
        <w:tc>
          <w:tcPr>
            <w:tcW w:w="976" w:type="pct"/>
            <w:shd w:val="clear" w:color="auto" w:fill="auto"/>
          </w:tcPr>
          <w:p w:rsidR="00035233" w:rsidRPr="00194011" w:rsidRDefault="00035233" w:rsidP="00035233">
            <w:pPr>
              <w:pStyle w:val="05Tabletext"/>
              <w:keepNext/>
              <w:jc w:val="center"/>
              <w:rPr>
                <w:vertAlign w:val="superscript"/>
              </w:rPr>
            </w:pPr>
            <w:r w:rsidRPr="00194011">
              <w:t>141 (NR)</w:t>
            </w:r>
            <w:r w:rsidRPr="00194011">
              <w:rPr>
                <w:vertAlign w:val="superscript"/>
              </w:rPr>
              <w:t>a</w:t>
            </w:r>
          </w:p>
        </w:tc>
        <w:tc>
          <w:tcPr>
            <w:tcW w:w="976" w:type="pct"/>
            <w:shd w:val="clear" w:color="auto" w:fill="auto"/>
          </w:tcPr>
          <w:p w:rsidR="00035233" w:rsidRPr="00194011" w:rsidRDefault="00035233" w:rsidP="00035233">
            <w:pPr>
              <w:pStyle w:val="05Tabletext"/>
              <w:keepNext/>
              <w:jc w:val="center"/>
              <w:rPr>
                <w:vertAlign w:val="superscript"/>
              </w:rPr>
            </w:pPr>
            <w:r w:rsidRPr="00194011">
              <w:t>93 (NR)</w:t>
            </w:r>
            <w:r w:rsidRPr="00194011">
              <w:rPr>
                <w:vertAlign w:val="superscript"/>
              </w:rPr>
              <w:t>b</w:t>
            </w:r>
          </w:p>
        </w:tc>
        <w:tc>
          <w:tcPr>
            <w:tcW w:w="976" w:type="pct"/>
            <w:shd w:val="clear" w:color="auto" w:fill="auto"/>
          </w:tcPr>
          <w:p w:rsidR="00035233" w:rsidRPr="00194011" w:rsidRDefault="00035233" w:rsidP="00035233">
            <w:pPr>
              <w:pStyle w:val="05Tabletext"/>
              <w:keepNext/>
              <w:jc w:val="center"/>
            </w:pPr>
            <w:r w:rsidRPr="00194011">
              <w:t>48 (NR)</w:t>
            </w:r>
          </w:p>
        </w:tc>
        <w:tc>
          <w:tcPr>
            <w:tcW w:w="568" w:type="pct"/>
            <w:shd w:val="clear" w:color="auto" w:fill="auto"/>
          </w:tcPr>
          <w:p w:rsidR="00035233" w:rsidRPr="00194011" w:rsidRDefault="00035233" w:rsidP="00035233">
            <w:pPr>
              <w:pStyle w:val="05Tabletext"/>
              <w:keepNext/>
              <w:jc w:val="center"/>
            </w:pPr>
            <w:r w:rsidRPr="00194011">
              <w:t>&lt;0.05</w:t>
            </w:r>
          </w:p>
        </w:tc>
      </w:tr>
      <w:tr w:rsidR="00035233" w:rsidRPr="00194011" w:rsidTr="00035233">
        <w:trPr>
          <w:cantSplit/>
        </w:trPr>
        <w:tc>
          <w:tcPr>
            <w:tcW w:w="1503" w:type="pct"/>
            <w:shd w:val="clear" w:color="auto" w:fill="auto"/>
          </w:tcPr>
          <w:p w:rsidR="00035233" w:rsidRDefault="00035233" w:rsidP="00035233">
            <w:pPr>
              <w:pStyle w:val="05Tabletext"/>
              <w:keepNext/>
              <w:spacing w:after="100" w:afterAutospacing="1"/>
            </w:pPr>
            <w:r>
              <w:t>Week 6, mean difference (95% CI), mL</w:t>
            </w:r>
          </w:p>
        </w:tc>
        <w:tc>
          <w:tcPr>
            <w:tcW w:w="976" w:type="pct"/>
            <w:shd w:val="clear" w:color="auto" w:fill="auto"/>
          </w:tcPr>
          <w:p w:rsidR="00035233" w:rsidRPr="00194011" w:rsidRDefault="00035233" w:rsidP="00035233">
            <w:pPr>
              <w:pStyle w:val="05Tabletext"/>
              <w:keepNext/>
              <w:jc w:val="center"/>
            </w:pPr>
            <w:r w:rsidRPr="00194011">
              <w:t>141 (NR)</w:t>
            </w:r>
            <w:r w:rsidRPr="00194011">
              <w:rPr>
                <w:vertAlign w:val="superscript"/>
              </w:rPr>
              <w:t>a</w:t>
            </w:r>
          </w:p>
        </w:tc>
        <w:tc>
          <w:tcPr>
            <w:tcW w:w="976" w:type="pct"/>
            <w:shd w:val="clear" w:color="auto" w:fill="auto"/>
          </w:tcPr>
          <w:p w:rsidR="00035233" w:rsidRPr="00194011" w:rsidRDefault="00035233" w:rsidP="00035233">
            <w:pPr>
              <w:pStyle w:val="05Tabletext"/>
              <w:keepNext/>
              <w:jc w:val="center"/>
            </w:pPr>
            <w:r w:rsidRPr="00194011">
              <w:t>102 (NR)</w:t>
            </w:r>
            <w:r w:rsidRPr="00194011">
              <w:rPr>
                <w:vertAlign w:val="superscript"/>
              </w:rPr>
              <w:t>b</w:t>
            </w:r>
          </w:p>
        </w:tc>
        <w:tc>
          <w:tcPr>
            <w:tcW w:w="976" w:type="pct"/>
            <w:shd w:val="clear" w:color="auto" w:fill="auto"/>
          </w:tcPr>
          <w:p w:rsidR="00035233" w:rsidRPr="00194011" w:rsidRDefault="00035233" w:rsidP="00035233">
            <w:pPr>
              <w:pStyle w:val="05Tabletext"/>
              <w:keepNext/>
              <w:jc w:val="center"/>
            </w:pPr>
            <w:r w:rsidRPr="00194011">
              <w:t>38 (NR)</w:t>
            </w:r>
          </w:p>
        </w:tc>
        <w:tc>
          <w:tcPr>
            <w:tcW w:w="568" w:type="pct"/>
            <w:shd w:val="clear" w:color="auto" w:fill="auto"/>
          </w:tcPr>
          <w:p w:rsidR="00035233" w:rsidRPr="00194011" w:rsidRDefault="00035233" w:rsidP="00035233">
            <w:pPr>
              <w:pStyle w:val="05Tabletext"/>
              <w:keepNext/>
              <w:jc w:val="center"/>
            </w:pPr>
            <w:r w:rsidRPr="00194011">
              <w:t>ns</w:t>
            </w:r>
          </w:p>
        </w:tc>
      </w:tr>
    </w:tbl>
    <w:p w:rsidR="00035233" w:rsidRDefault="00035233" w:rsidP="00035233">
      <w:pPr>
        <w:pStyle w:val="10TableorFigurefootnote"/>
      </w:pPr>
      <w:r>
        <w:t xml:space="preserve">Source: </w:t>
      </w:r>
      <w:r w:rsidRPr="00C63F0E">
        <w:t>Beier et al (2013),</w:t>
      </w:r>
      <w:r>
        <w:t xml:space="preserve"> Table 2.</w:t>
      </w:r>
    </w:p>
    <w:p w:rsidR="00035233" w:rsidRPr="00652C91" w:rsidRDefault="00035233" w:rsidP="00035233">
      <w:pPr>
        <w:pStyle w:val="10TableorFigurefootnote"/>
      </w:pPr>
      <w:r>
        <w:t>Abbreviations: CI, confidence interval; FEV</w:t>
      </w:r>
      <w:r>
        <w:rPr>
          <w:vertAlign w:val="subscript"/>
        </w:rPr>
        <w:t>1</w:t>
      </w:r>
      <w:r>
        <w:t xml:space="preserve">, forced expiratory volume in one second; LS, </w:t>
      </w:r>
      <w:bookmarkStart w:id="101" w:name="OLE_LINK1"/>
      <w:r>
        <w:t>least squares</w:t>
      </w:r>
      <w:bookmarkEnd w:id="101"/>
      <w:r>
        <w:t>; NR, not reported; ns, non-significant.</w:t>
      </w:r>
    </w:p>
    <w:p w:rsidR="00035233" w:rsidRDefault="00035233" w:rsidP="00035233">
      <w:pPr>
        <w:pStyle w:val="10TableorFigurefootnote"/>
      </w:pPr>
      <w:proofErr w:type="gramStart"/>
      <w:r>
        <w:rPr>
          <w:b/>
        </w:rPr>
        <w:t>a</w:t>
      </w:r>
      <w:proofErr w:type="gramEnd"/>
      <w:r>
        <w:rPr>
          <w:b/>
        </w:rPr>
        <w:t xml:space="preserve"> </w:t>
      </w:r>
      <w:r>
        <w:t>p&lt;0.0001 versus placebo.</w:t>
      </w:r>
    </w:p>
    <w:p w:rsidR="00035233" w:rsidRDefault="00035233" w:rsidP="00035233">
      <w:pPr>
        <w:pStyle w:val="10TableorFigurefootnote"/>
      </w:pPr>
      <w:proofErr w:type="gramStart"/>
      <w:r>
        <w:rPr>
          <w:b/>
        </w:rPr>
        <w:t>b</w:t>
      </w:r>
      <w:proofErr w:type="gramEnd"/>
      <w:r>
        <w:t xml:space="preserve"> p&lt;0.001 versus placebo.</w:t>
      </w:r>
    </w:p>
    <w:p w:rsidR="00035233" w:rsidRDefault="00035233" w:rsidP="00035233">
      <w:pPr>
        <w:pStyle w:val="11TableorFigurefootnotenostick"/>
      </w:pPr>
      <w:proofErr w:type="gramStart"/>
      <w:r>
        <w:rPr>
          <w:b/>
        </w:rPr>
        <w:t>c</w:t>
      </w:r>
      <w:proofErr w:type="gramEnd"/>
      <w:r>
        <w:rPr>
          <w:b/>
        </w:rPr>
        <w:t xml:space="preserve"> </w:t>
      </w:r>
      <w:r>
        <w:t>p&lt;0.01 versus placebo.</w:t>
      </w:r>
    </w:p>
    <w:p w:rsidR="00035233" w:rsidRDefault="00035233" w:rsidP="00035233">
      <w:pPr>
        <w:pStyle w:val="BodyText"/>
      </w:pPr>
      <w:r>
        <w:lastRenderedPageBreak/>
        <w:t>While not the focus of this review, the authors noted that “the trend towards greater symptomatic improvement with aclidinium over tiotropium observed in this study may be related to differences in dosing frequency”, while noting that the improvement in night</w:t>
      </w:r>
      <w:r w:rsidR="000A6E36">
        <w:t xml:space="preserve"> </w:t>
      </w:r>
      <w:r>
        <w:t>time and early morning symptoms under clinical trials conditions should be considered against the potential disadvantages of twice- versus once-daily dosing in real world scenarios (Beier et al, 2013).</w:t>
      </w:r>
    </w:p>
    <w:p w:rsidR="00035233" w:rsidRDefault="00035233" w:rsidP="00035233">
      <w:pPr>
        <w:pStyle w:val="BodyText"/>
      </w:pPr>
      <w:r>
        <w:t>In addition to the comparable efficacy results, the incidence of adverse events was balanced between the treatment groups, with 27.5% of patients in the aclidinium grou</w:t>
      </w:r>
      <w:r w:rsidR="001A68EF">
        <w:t>p experiencing an adverse event, 29.7% in the tiotropium group,</w:t>
      </w:r>
      <w:r>
        <w:t xml:space="preserve"> and 25.9% of patients who received placebo.</w:t>
      </w:r>
    </w:p>
    <w:p w:rsidR="00035233" w:rsidRPr="003E0A86" w:rsidRDefault="00035233" w:rsidP="00251CB8">
      <w:pPr>
        <w:pStyle w:val="Heading4"/>
        <w:numPr>
          <w:ilvl w:val="3"/>
          <w:numId w:val="11"/>
        </w:numPr>
      </w:pPr>
      <w:r>
        <w:t>Umeclidinium versus tiotropium</w:t>
      </w:r>
    </w:p>
    <w:p w:rsidR="00035233" w:rsidRDefault="00035233" w:rsidP="00251CB8">
      <w:pPr>
        <w:pStyle w:val="Heading5"/>
        <w:numPr>
          <w:ilvl w:val="4"/>
          <w:numId w:val="11"/>
        </w:numPr>
      </w:pPr>
      <w:r>
        <w:t>Feldman (2016)</w:t>
      </w:r>
    </w:p>
    <w:p w:rsidR="00035233" w:rsidRDefault="00035233" w:rsidP="00035233">
      <w:pPr>
        <w:pStyle w:val="BodyTextnospacebefore"/>
      </w:pPr>
      <w:r>
        <w:t>In a recent non-inferiority trial, patients with symptomatic moderate-to-severe COPD (GOLD Grade 2-3 and GOLD Groups B and D) were randomised to receive umeclidinium or tiotropium for 12 weeks. The MCID was defined as an increase of ≥100 mL above baseline in trough FEV</w:t>
      </w:r>
      <w:r>
        <w:rPr>
          <w:vertAlign w:val="subscript"/>
        </w:rPr>
        <w:t>1</w:t>
      </w:r>
      <w:r>
        <w:t>, with the non-inferiority margin set at half of the MCID (i.e. –50 mL). As such, umeclidinium was considered non-inferior to tiotropium if the lower boundary of the 95% confidence interval (CI) around the treatment difference was greater than –50 mL, and considered superior if it was greater than 0 mL.</w:t>
      </w:r>
    </w:p>
    <w:p w:rsidR="00035233" w:rsidRPr="00F60579" w:rsidRDefault="00C25BA8" w:rsidP="00035233">
      <w:pPr>
        <w:pStyle w:val="BodyText"/>
      </w:pPr>
      <w:r>
        <w:t>Table 3.11</w:t>
      </w:r>
      <w:r w:rsidR="00035233">
        <w:t xml:space="preserve"> shows an extensive list of analyses of change from baseline in trough FEV</w:t>
      </w:r>
      <w:r w:rsidR="00035233">
        <w:rPr>
          <w:vertAlign w:val="subscript"/>
        </w:rPr>
        <w:t>1</w:t>
      </w:r>
      <w:r w:rsidR="00035233">
        <w:t xml:space="preserve">, including the primary analysis: LS mean change from baseline at </w:t>
      </w:r>
      <w:r w:rsidR="004B3085">
        <w:t>D</w:t>
      </w:r>
      <w:r w:rsidR="00035233">
        <w:t>ay</w:t>
      </w:r>
      <w:r w:rsidR="00E51DEA">
        <w:t xml:space="preserve"> 85. The authors noted that </w:t>
      </w:r>
      <w:proofErr w:type="gramStart"/>
      <w:r w:rsidR="00E51DEA">
        <w:t xml:space="preserve">the </w:t>
      </w:r>
      <w:r w:rsidR="00035233">
        <w:t>per</w:t>
      </w:r>
      <w:proofErr w:type="gramEnd"/>
      <w:r w:rsidR="00035233">
        <w:t xml:space="preserve"> protocol (PP) population was used for analysis of the primary outcome to avoid bias of the results towards equivalence.</w:t>
      </w:r>
      <w:r w:rsidR="00035233">
        <w:rPr>
          <w:vertAlign w:val="subscript"/>
        </w:rPr>
        <w:t xml:space="preserve"> </w:t>
      </w:r>
      <w:r w:rsidR="00035233">
        <w:t>Importantly, patients experiencing a COPD exacerbation were excluded from the PP analysis from the onset of the exacerbation, owing to the potential impact that treatments administered for the exacerbation, or the exacerbation itself, may have had on efficacy findings.</w:t>
      </w:r>
    </w:p>
    <w:p w:rsidR="00035233" w:rsidRDefault="001A68EF" w:rsidP="00A55E5D">
      <w:pPr>
        <w:pStyle w:val="ToR3Tableheader"/>
        <w:keepNext w:val="0"/>
      </w:pPr>
      <w:bookmarkStart w:id="102" w:name="_Toc467782103"/>
      <w:bookmarkStart w:id="103" w:name="_Toc468012291"/>
      <w:bookmarkStart w:id="104" w:name="_Toc468034447"/>
      <w:bookmarkStart w:id="105" w:name="_Toc471891003"/>
      <w:bookmarkStart w:id="106" w:name="_Toc486428190"/>
      <w:r>
        <w:t>Table 3.11</w:t>
      </w:r>
      <w:r>
        <w:tab/>
      </w:r>
      <w:r w:rsidR="00035233">
        <w:t>Least squares mean change from baseline in trough FEV</w:t>
      </w:r>
      <w:r w:rsidR="00035233">
        <w:rPr>
          <w:vertAlign w:val="subscript"/>
        </w:rPr>
        <w:t>1</w:t>
      </w:r>
      <w:r w:rsidR="00035233">
        <w:t xml:space="preserve"> – UME vs TIO</w:t>
      </w:r>
      <w:bookmarkEnd w:id="102"/>
      <w:bookmarkEnd w:id="103"/>
      <w:bookmarkEnd w:id="104"/>
      <w:bookmarkEnd w:id="105"/>
      <w:bookmarkEnd w:id="10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Caption w:val="Least squares mean change from baseline in trough FEV1 "/>
        <w:tblDescription w:val="Umeclidinium versus tiotropium"/>
      </w:tblPr>
      <w:tblGrid>
        <w:gridCol w:w="3407"/>
        <w:gridCol w:w="1076"/>
        <w:gridCol w:w="1077"/>
        <w:gridCol w:w="1079"/>
        <w:gridCol w:w="1077"/>
        <w:gridCol w:w="1079"/>
        <w:gridCol w:w="853"/>
      </w:tblGrid>
      <w:tr w:rsidR="00035233" w:rsidRPr="00F01736" w:rsidTr="00035233">
        <w:trPr>
          <w:cantSplit/>
        </w:trPr>
        <w:tc>
          <w:tcPr>
            <w:tcW w:w="1766" w:type="pct"/>
            <w:shd w:val="clear" w:color="auto" w:fill="BFBFBF"/>
          </w:tcPr>
          <w:p w:rsidR="00035233" w:rsidRPr="00F01736" w:rsidRDefault="00035233" w:rsidP="00A55E5D">
            <w:pPr>
              <w:pStyle w:val="01TableHEADINGleftaligned"/>
              <w:keepNext w:val="0"/>
            </w:pPr>
            <w:r>
              <w:t>LS mean change from baseline</w:t>
            </w:r>
          </w:p>
        </w:tc>
        <w:tc>
          <w:tcPr>
            <w:tcW w:w="558" w:type="pct"/>
            <w:tcBorders>
              <w:right w:val="nil"/>
            </w:tcBorders>
            <w:shd w:val="clear" w:color="auto" w:fill="BFBFBF"/>
          </w:tcPr>
          <w:p w:rsidR="00035233" w:rsidRDefault="00035233" w:rsidP="00A55E5D">
            <w:pPr>
              <w:pStyle w:val="01TableHEADINGleftaligned"/>
              <w:keepNext w:val="0"/>
              <w:ind w:right="0"/>
              <w:jc w:val="right"/>
            </w:pPr>
            <w:r>
              <w:t>UME</w:t>
            </w:r>
          </w:p>
          <w:p w:rsidR="00035233" w:rsidRPr="00F01736" w:rsidRDefault="00035233" w:rsidP="00A55E5D">
            <w:pPr>
              <w:pStyle w:val="01TableHEADINGleftaligned"/>
              <w:keepNext w:val="0"/>
              <w:ind w:right="0"/>
              <w:jc w:val="center"/>
            </w:pPr>
            <w:r>
              <w:t>n</w:t>
            </w:r>
          </w:p>
        </w:tc>
        <w:tc>
          <w:tcPr>
            <w:tcW w:w="558" w:type="pct"/>
            <w:tcBorders>
              <w:left w:val="nil"/>
            </w:tcBorders>
            <w:shd w:val="clear" w:color="auto" w:fill="BFBFBF"/>
          </w:tcPr>
          <w:p w:rsidR="00035233" w:rsidRDefault="00035233" w:rsidP="00A55E5D">
            <w:pPr>
              <w:pStyle w:val="01TableHEADINGleftaligned"/>
              <w:keepNext w:val="0"/>
              <w:ind w:left="0"/>
            </w:pPr>
            <w:r>
              <w:t xml:space="preserve"> 62.5</w:t>
            </w:r>
          </w:p>
          <w:p w:rsidR="00035233" w:rsidRPr="00F01736" w:rsidRDefault="00035233" w:rsidP="00A55E5D">
            <w:pPr>
              <w:pStyle w:val="01TableHEADINGleftaligned"/>
              <w:keepNext w:val="0"/>
              <w:ind w:left="0"/>
              <w:jc w:val="center"/>
            </w:pPr>
            <w:r>
              <w:t>Mean (SE)</w:t>
            </w:r>
          </w:p>
        </w:tc>
        <w:tc>
          <w:tcPr>
            <w:tcW w:w="559" w:type="pct"/>
            <w:tcBorders>
              <w:right w:val="nil"/>
            </w:tcBorders>
            <w:shd w:val="clear" w:color="auto" w:fill="BFBFBF"/>
          </w:tcPr>
          <w:p w:rsidR="00035233" w:rsidRDefault="00035233" w:rsidP="00A55E5D">
            <w:pPr>
              <w:pStyle w:val="01TableHEADINGleftaligned"/>
              <w:keepNext w:val="0"/>
              <w:ind w:right="0"/>
              <w:jc w:val="right"/>
            </w:pPr>
            <w:r>
              <w:t>TIO</w:t>
            </w:r>
          </w:p>
          <w:p w:rsidR="00035233" w:rsidRPr="00F01736" w:rsidRDefault="00035233" w:rsidP="00A55E5D">
            <w:pPr>
              <w:pStyle w:val="01TableHEADINGleftaligned"/>
              <w:keepNext w:val="0"/>
              <w:ind w:right="0"/>
              <w:jc w:val="center"/>
            </w:pPr>
            <w:r>
              <w:t>n</w:t>
            </w:r>
          </w:p>
        </w:tc>
        <w:tc>
          <w:tcPr>
            <w:tcW w:w="558" w:type="pct"/>
            <w:tcBorders>
              <w:left w:val="nil"/>
            </w:tcBorders>
            <w:shd w:val="clear" w:color="auto" w:fill="BFBFBF"/>
          </w:tcPr>
          <w:p w:rsidR="00035233" w:rsidRDefault="00035233" w:rsidP="00A55E5D">
            <w:pPr>
              <w:pStyle w:val="01TableHEADINGleftaligned"/>
              <w:keepNext w:val="0"/>
              <w:ind w:left="0"/>
            </w:pPr>
            <w:r>
              <w:t xml:space="preserve"> 18</w:t>
            </w:r>
          </w:p>
          <w:p w:rsidR="00035233" w:rsidRPr="00F01736" w:rsidRDefault="00035233" w:rsidP="00A55E5D">
            <w:pPr>
              <w:pStyle w:val="01TableHEADINGleftaligned"/>
              <w:keepNext w:val="0"/>
              <w:ind w:left="0"/>
              <w:jc w:val="center"/>
            </w:pPr>
            <w:r>
              <w:t>Mean (SE)</w:t>
            </w:r>
          </w:p>
        </w:tc>
        <w:tc>
          <w:tcPr>
            <w:tcW w:w="559" w:type="pct"/>
            <w:shd w:val="clear" w:color="auto" w:fill="BFBFBF"/>
          </w:tcPr>
          <w:p w:rsidR="00035233" w:rsidRPr="00F01736" w:rsidRDefault="00035233" w:rsidP="00A55E5D">
            <w:pPr>
              <w:pStyle w:val="01TableHEADINGleftaligned"/>
              <w:keepNext w:val="0"/>
              <w:jc w:val="center"/>
            </w:pPr>
            <w:r>
              <w:t>Δ (95% CI)</w:t>
            </w:r>
          </w:p>
        </w:tc>
        <w:tc>
          <w:tcPr>
            <w:tcW w:w="442" w:type="pct"/>
            <w:shd w:val="clear" w:color="auto" w:fill="BFBFBF"/>
          </w:tcPr>
          <w:p w:rsidR="00035233" w:rsidRPr="00F01736" w:rsidRDefault="00035233" w:rsidP="00A55E5D">
            <w:pPr>
              <w:pStyle w:val="01TableHEADINGleftaligned"/>
              <w:keepNext w:val="0"/>
              <w:jc w:val="center"/>
            </w:pPr>
            <w:r w:rsidRPr="00F01736">
              <w:t>p-</w:t>
            </w:r>
            <w:r w:rsidRPr="00DE60B1">
              <w:t>value</w:t>
            </w:r>
          </w:p>
        </w:tc>
      </w:tr>
      <w:tr w:rsidR="00035233" w:rsidRPr="00194011" w:rsidTr="00035233">
        <w:trPr>
          <w:cantSplit/>
        </w:trPr>
        <w:tc>
          <w:tcPr>
            <w:tcW w:w="1766" w:type="pct"/>
            <w:tcBorders>
              <w:bottom w:val="single" w:sz="4" w:space="0" w:color="auto"/>
            </w:tcBorders>
            <w:shd w:val="clear" w:color="auto" w:fill="000000"/>
          </w:tcPr>
          <w:p w:rsidR="00035233" w:rsidRPr="0034378E" w:rsidRDefault="00035233" w:rsidP="00A55E5D">
            <w:pPr>
              <w:pStyle w:val="04Tablesubheading"/>
              <w:keepNext w:val="0"/>
            </w:pPr>
            <w:r w:rsidRPr="0034378E">
              <w:t>Trough FEV</w:t>
            </w:r>
            <w:r w:rsidRPr="006C0710">
              <w:rPr>
                <w:vertAlign w:val="subscript"/>
              </w:rPr>
              <w:t>1</w:t>
            </w:r>
          </w:p>
          <w:p w:rsidR="00035233" w:rsidRPr="00194011" w:rsidRDefault="00035233" w:rsidP="00A55E5D">
            <w:pPr>
              <w:pStyle w:val="04Tablesubheading"/>
              <w:keepNext w:val="0"/>
            </w:pPr>
            <w:r>
              <w:t>Overall population</w:t>
            </w:r>
          </w:p>
        </w:tc>
        <w:tc>
          <w:tcPr>
            <w:tcW w:w="558" w:type="pct"/>
            <w:tcBorders>
              <w:bottom w:val="single" w:sz="4" w:space="0" w:color="auto"/>
            </w:tcBorders>
            <w:shd w:val="clear" w:color="auto" w:fill="000000"/>
          </w:tcPr>
          <w:p w:rsidR="00035233" w:rsidRPr="00C34E40" w:rsidRDefault="00035233" w:rsidP="00A55E5D">
            <w:pPr>
              <w:pStyle w:val="04Tablesubheading"/>
              <w:keepNext w:val="0"/>
              <w:jc w:val="center"/>
            </w:pPr>
          </w:p>
        </w:tc>
        <w:tc>
          <w:tcPr>
            <w:tcW w:w="558" w:type="pct"/>
            <w:tcBorders>
              <w:bottom w:val="single" w:sz="4" w:space="0" w:color="auto"/>
            </w:tcBorders>
            <w:shd w:val="clear" w:color="auto" w:fill="000000"/>
          </w:tcPr>
          <w:p w:rsidR="00035233" w:rsidRPr="00C34E40" w:rsidRDefault="00035233" w:rsidP="00A55E5D">
            <w:pPr>
              <w:pStyle w:val="04Tablesubheading"/>
              <w:keepNext w:val="0"/>
              <w:jc w:val="center"/>
            </w:pPr>
          </w:p>
        </w:tc>
        <w:tc>
          <w:tcPr>
            <w:tcW w:w="559" w:type="pct"/>
            <w:tcBorders>
              <w:bottom w:val="single" w:sz="4" w:space="0" w:color="auto"/>
            </w:tcBorders>
            <w:shd w:val="clear" w:color="auto" w:fill="000000"/>
          </w:tcPr>
          <w:p w:rsidR="00035233" w:rsidRPr="00C34E40" w:rsidRDefault="00035233" w:rsidP="00A55E5D">
            <w:pPr>
              <w:pStyle w:val="04Tablesubheading"/>
              <w:keepNext w:val="0"/>
              <w:jc w:val="center"/>
            </w:pPr>
          </w:p>
        </w:tc>
        <w:tc>
          <w:tcPr>
            <w:tcW w:w="558" w:type="pct"/>
            <w:tcBorders>
              <w:bottom w:val="single" w:sz="4" w:space="0" w:color="auto"/>
            </w:tcBorders>
            <w:shd w:val="clear" w:color="auto" w:fill="000000"/>
          </w:tcPr>
          <w:p w:rsidR="00035233" w:rsidRPr="00C34E40" w:rsidRDefault="00035233" w:rsidP="00A55E5D">
            <w:pPr>
              <w:pStyle w:val="04Tablesubheading"/>
              <w:keepNext w:val="0"/>
              <w:jc w:val="center"/>
            </w:pPr>
          </w:p>
        </w:tc>
        <w:tc>
          <w:tcPr>
            <w:tcW w:w="559" w:type="pct"/>
            <w:tcBorders>
              <w:bottom w:val="single" w:sz="4" w:space="0" w:color="auto"/>
            </w:tcBorders>
            <w:shd w:val="clear" w:color="auto" w:fill="000000"/>
          </w:tcPr>
          <w:p w:rsidR="00035233" w:rsidRPr="00C34E40" w:rsidRDefault="00035233" w:rsidP="00A55E5D">
            <w:pPr>
              <w:pStyle w:val="04Tablesubheading"/>
              <w:keepNext w:val="0"/>
              <w:jc w:val="center"/>
            </w:pPr>
          </w:p>
        </w:tc>
        <w:tc>
          <w:tcPr>
            <w:tcW w:w="442" w:type="pct"/>
            <w:tcBorders>
              <w:bottom w:val="single" w:sz="4" w:space="0" w:color="auto"/>
            </w:tcBorders>
            <w:shd w:val="clear" w:color="auto" w:fill="000000"/>
          </w:tcPr>
          <w:p w:rsidR="00035233" w:rsidRPr="00C34E40" w:rsidRDefault="00035233" w:rsidP="00A55E5D">
            <w:pPr>
              <w:pStyle w:val="04Tablesubheading"/>
              <w:keepNext w:val="0"/>
            </w:pPr>
          </w:p>
        </w:tc>
      </w:tr>
      <w:tr w:rsidR="00035233" w:rsidRPr="00194011" w:rsidTr="00035233">
        <w:trPr>
          <w:cantSplit/>
        </w:trPr>
        <w:tc>
          <w:tcPr>
            <w:tcW w:w="1766" w:type="pct"/>
            <w:tcBorders>
              <w:bottom w:val="nil"/>
            </w:tcBorders>
            <w:shd w:val="clear" w:color="auto" w:fill="auto"/>
          </w:tcPr>
          <w:p w:rsidR="00035233" w:rsidRPr="00C406E8" w:rsidRDefault="00035233" w:rsidP="00A55E5D">
            <w:pPr>
              <w:pStyle w:val="05Tabletext"/>
            </w:pPr>
            <w:r>
              <w:t>D</w:t>
            </w:r>
            <w:r w:rsidRPr="00C406E8">
              <w:t>ay 2</w:t>
            </w:r>
            <w:r>
              <w:t>, mL</w:t>
            </w:r>
          </w:p>
        </w:tc>
        <w:tc>
          <w:tcPr>
            <w:tcW w:w="558" w:type="pct"/>
            <w:tcBorders>
              <w:bottom w:val="nil"/>
            </w:tcBorders>
            <w:shd w:val="clear" w:color="auto" w:fill="auto"/>
          </w:tcPr>
          <w:p w:rsidR="00035233" w:rsidRPr="00194011" w:rsidRDefault="00035233" w:rsidP="00A55E5D">
            <w:pPr>
              <w:pStyle w:val="05Tabletext"/>
              <w:jc w:val="center"/>
            </w:pPr>
            <w:r>
              <w:t>485</w:t>
            </w:r>
          </w:p>
        </w:tc>
        <w:tc>
          <w:tcPr>
            <w:tcW w:w="558" w:type="pct"/>
            <w:tcBorders>
              <w:bottom w:val="nil"/>
            </w:tcBorders>
            <w:shd w:val="clear" w:color="auto" w:fill="auto"/>
          </w:tcPr>
          <w:p w:rsidR="00035233" w:rsidRPr="00AB3BDC" w:rsidRDefault="00035233" w:rsidP="00A55E5D">
            <w:pPr>
              <w:pStyle w:val="05Tabletext"/>
              <w:jc w:val="center"/>
            </w:pPr>
            <w:r>
              <w:t>103 (8)</w:t>
            </w:r>
          </w:p>
        </w:tc>
        <w:tc>
          <w:tcPr>
            <w:tcW w:w="559" w:type="pct"/>
            <w:tcBorders>
              <w:bottom w:val="nil"/>
            </w:tcBorders>
            <w:shd w:val="clear" w:color="auto" w:fill="auto"/>
          </w:tcPr>
          <w:p w:rsidR="00035233" w:rsidRPr="00194011" w:rsidRDefault="00035233" w:rsidP="00A55E5D">
            <w:pPr>
              <w:pStyle w:val="05Tabletext"/>
              <w:jc w:val="center"/>
            </w:pPr>
            <w:r>
              <w:t>484</w:t>
            </w:r>
          </w:p>
        </w:tc>
        <w:tc>
          <w:tcPr>
            <w:tcW w:w="558" w:type="pct"/>
            <w:tcBorders>
              <w:bottom w:val="nil"/>
            </w:tcBorders>
            <w:shd w:val="clear" w:color="auto" w:fill="auto"/>
          </w:tcPr>
          <w:p w:rsidR="00035233" w:rsidRPr="00BC7782" w:rsidRDefault="00035233" w:rsidP="00A55E5D">
            <w:pPr>
              <w:pStyle w:val="05Tabletext"/>
              <w:jc w:val="center"/>
            </w:pPr>
            <w:r>
              <w:t>91 (8)</w:t>
            </w:r>
          </w:p>
        </w:tc>
        <w:tc>
          <w:tcPr>
            <w:tcW w:w="559" w:type="pct"/>
            <w:tcBorders>
              <w:bottom w:val="nil"/>
            </w:tcBorders>
            <w:shd w:val="clear" w:color="auto" w:fill="auto"/>
          </w:tcPr>
          <w:p w:rsidR="00035233" w:rsidRPr="00194011" w:rsidRDefault="00035233" w:rsidP="00A55E5D">
            <w:pPr>
              <w:pStyle w:val="05Tabletext"/>
              <w:jc w:val="center"/>
            </w:pPr>
            <w:r>
              <w:t>13 (–9,35)</w:t>
            </w:r>
          </w:p>
        </w:tc>
        <w:tc>
          <w:tcPr>
            <w:tcW w:w="442" w:type="pct"/>
            <w:tcBorders>
              <w:bottom w:val="nil"/>
            </w:tcBorders>
            <w:shd w:val="clear" w:color="auto" w:fill="auto"/>
          </w:tcPr>
          <w:p w:rsidR="00035233" w:rsidRPr="00194011" w:rsidRDefault="00035233" w:rsidP="00A55E5D">
            <w:pPr>
              <w:pStyle w:val="05Tabletext"/>
              <w:jc w:val="center"/>
            </w:pPr>
            <w:r>
              <w:t>0.254</w:t>
            </w:r>
          </w:p>
        </w:tc>
      </w:tr>
      <w:tr w:rsidR="00035233" w:rsidRPr="00194011" w:rsidTr="00035233">
        <w:trPr>
          <w:cantSplit/>
        </w:trPr>
        <w:tc>
          <w:tcPr>
            <w:tcW w:w="1766" w:type="pct"/>
            <w:tcBorders>
              <w:top w:val="nil"/>
              <w:bottom w:val="nil"/>
            </w:tcBorders>
            <w:shd w:val="clear" w:color="auto" w:fill="auto"/>
          </w:tcPr>
          <w:p w:rsidR="00035233" w:rsidRDefault="00035233" w:rsidP="00A55E5D">
            <w:pPr>
              <w:pStyle w:val="05Tabletext"/>
            </w:pPr>
            <w:r>
              <w:t>D</w:t>
            </w:r>
            <w:r w:rsidRPr="00C406E8">
              <w:t>ay 2</w:t>
            </w:r>
            <w:r>
              <w:t>8, mL</w:t>
            </w:r>
          </w:p>
        </w:tc>
        <w:tc>
          <w:tcPr>
            <w:tcW w:w="558" w:type="pct"/>
            <w:tcBorders>
              <w:top w:val="nil"/>
              <w:bottom w:val="nil"/>
            </w:tcBorders>
            <w:shd w:val="clear" w:color="auto" w:fill="auto"/>
          </w:tcPr>
          <w:p w:rsidR="00035233" w:rsidRPr="00194011" w:rsidRDefault="00035233" w:rsidP="00A55E5D">
            <w:pPr>
              <w:pStyle w:val="05Tabletext"/>
              <w:jc w:val="center"/>
            </w:pPr>
            <w:r>
              <w:t>485</w:t>
            </w:r>
          </w:p>
        </w:tc>
        <w:tc>
          <w:tcPr>
            <w:tcW w:w="558" w:type="pct"/>
            <w:tcBorders>
              <w:top w:val="nil"/>
              <w:bottom w:val="nil"/>
            </w:tcBorders>
            <w:shd w:val="clear" w:color="auto" w:fill="auto"/>
          </w:tcPr>
          <w:p w:rsidR="00035233" w:rsidRPr="00BC7782" w:rsidRDefault="00035233" w:rsidP="00A55E5D">
            <w:pPr>
              <w:pStyle w:val="05Tabletext"/>
              <w:jc w:val="center"/>
            </w:pPr>
            <w:r>
              <w:t>144 (10)</w:t>
            </w:r>
          </w:p>
        </w:tc>
        <w:tc>
          <w:tcPr>
            <w:tcW w:w="559" w:type="pct"/>
            <w:tcBorders>
              <w:top w:val="nil"/>
              <w:bottom w:val="nil"/>
            </w:tcBorders>
            <w:shd w:val="clear" w:color="auto" w:fill="auto"/>
          </w:tcPr>
          <w:p w:rsidR="00035233" w:rsidRPr="00194011" w:rsidRDefault="00035233" w:rsidP="00A55E5D">
            <w:pPr>
              <w:pStyle w:val="05Tabletext"/>
              <w:jc w:val="center"/>
            </w:pPr>
            <w:r>
              <w:t>484</w:t>
            </w:r>
          </w:p>
        </w:tc>
        <w:tc>
          <w:tcPr>
            <w:tcW w:w="558" w:type="pct"/>
            <w:tcBorders>
              <w:top w:val="nil"/>
              <w:bottom w:val="nil"/>
            </w:tcBorders>
            <w:shd w:val="clear" w:color="auto" w:fill="auto"/>
          </w:tcPr>
          <w:p w:rsidR="00035233" w:rsidRPr="00BC7782" w:rsidRDefault="00035233" w:rsidP="00A55E5D">
            <w:pPr>
              <w:pStyle w:val="05Tabletext"/>
              <w:jc w:val="center"/>
            </w:pPr>
            <w:r>
              <w:t>102 (10)</w:t>
            </w:r>
          </w:p>
        </w:tc>
        <w:tc>
          <w:tcPr>
            <w:tcW w:w="559" w:type="pct"/>
            <w:tcBorders>
              <w:top w:val="nil"/>
              <w:bottom w:val="nil"/>
            </w:tcBorders>
            <w:shd w:val="clear" w:color="auto" w:fill="auto"/>
          </w:tcPr>
          <w:p w:rsidR="00035233" w:rsidRPr="00194011" w:rsidRDefault="00035233" w:rsidP="00A55E5D">
            <w:pPr>
              <w:pStyle w:val="05Tabletext"/>
              <w:jc w:val="center"/>
            </w:pPr>
            <w:r>
              <w:t>42 (14,69)</w:t>
            </w:r>
          </w:p>
        </w:tc>
        <w:tc>
          <w:tcPr>
            <w:tcW w:w="442" w:type="pct"/>
            <w:tcBorders>
              <w:top w:val="nil"/>
              <w:bottom w:val="nil"/>
            </w:tcBorders>
            <w:shd w:val="clear" w:color="auto" w:fill="auto"/>
          </w:tcPr>
          <w:p w:rsidR="00035233" w:rsidRPr="00194011" w:rsidRDefault="00035233" w:rsidP="00A55E5D">
            <w:pPr>
              <w:pStyle w:val="05Tabletext"/>
              <w:jc w:val="center"/>
            </w:pPr>
            <w:r>
              <w:t>0.003</w:t>
            </w:r>
          </w:p>
        </w:tc>
      </w:tr>
      <w:tr w:rsidR="00035233" w:rsidRPr="00194011" w:rsidTr="00035233">
        <w:trPr>
          <w:cantSplit/>
        </w:trPr>
        <w:tc>
          <w:tcPr>
            <w:tcW w:w="1766" w:type="pct"/>
            <w:tcBorders>
              <w:top w:val="nil"/>
              <w:bottom w:val="nil"/>
            </w:tcBorders>
            <w:shd w:val="clear" w:color="auto" w:fill="auto"/>
          </w:tcPr>
          <w:p w:rsidR="00035233" w:rsidRDefault="00035233" w:rsidP="00A55E5D">
            <w:pPr>
              <w:pStyle w:val="05Tabletext"/>
            </w:pPr>
            <w:r>
              <w:t>Day 56, mL</w:t>
            </w:r>
          </w:p>
        </w:tc>
        <w:tc>
          <w:tcPr>
            <w:tcW w:w="558" w:type="pct"/>
            <w:tcBorders>
              <w:top w:val="nil"/>
              <w:bottom w:val="nil"/>
            </w:tcBorders>
            <w:shd w:val="clear" w:color="auto" w:fill="auto"/>
          </w:tcPr>
          <w:p w:rsidR="00035233" w:rsidRPr="00194011" w:rsidRDefault="00035233" w:rsidP="00A55E5D">
            <w:pPr>
              <w:pStyle w:val="05Tabletext"/>
              <w:jc w:val="center"/>
            </w:pPr>
            <w:r>
              <w:t>485</w:t>
            </w:r>
          </w:p>
        </w:tc>
        <w:tc>
          <w:tcPr>
            <w:tcW w:w="558" w:type="pct"/>
            <w:tcBorders>
              <w:top w:val="nil"/>
              <w:bottom w:val="nil"/>
            </w:tcBorders>
            <w:shd w:val="clear" w:color="auto" w:fill="auto"/>
          </w:tcPr>
          <w:p w:rsidR="00035233" w:rsidRPr="00BC7782" w:rsidRDefault="00035233" w:rsidP="00A55E5D">
            <w:pPr>
              <w:pStyle w:val="05Tabletext"/>
              <w:jc w:val="center"/>
            </w:pPr>
            <w:r>
              <w:t>136 (11)</w:t>
            </w:r>
          </w:p>
        </w:tc>
        <w:tc>
          <w:tcPr>
            <w:tcW w:w="559" w:type="pct"/>
            <w:tcBorders>
              <w:top w:val="nil"/>
              <w:bottom w:val="nil"/>
            </w:tcBorders>
            <w:shd w:val="clear" w:color="auto" w:fill="auto"/>
          </w:tcPr>
          <w:p w:rsidR="00035233" w:rsidRPr="00194011" w:rsidRDefault="00035233" w:rsidP="00A55E5D">
            <w:pPr>
              <w:pStyle w:val="05Tabletext"/>
              <w:jc w:val="center"/>
            </w:pPr>
            <w:r>
              <w:t>484</w:t>
            </w:r>
          </w:p>
        </w:tc>
        <w:tc>
          <w:tcPr>
            <w:tcW w:w="558" w:type="pct"/>
            <w:tcBorders>
              <w:top w:val="nil"/>
              <w:bottom w:val="nil"/>
            </w:tcBorders>
            <w:shd w:val="clear" w:color="auto" w:fill="auto"/>
          </w:tcPr>
          <w:p w:rsidR="00035233" w:rsidRPr="00BC7782" w:rsidRDefault="00035233" w:rsidP="00A55E5D">
            <w:pPr>
              <w:pStyle w:val="05Tabletext"/>
              <w:jc w:val="center"/>
            </w:pPr>
            <w:r>
              <w:t>89 (11)</w:t>
            </w:r>
          </w:p>
        </w:tc>
        <w:tc>
          <w:tcPr>
            <w:tcW w:w="559" w:type="pct"/>
            <w:tcBorders>
              <w:top w:val="nil"/>
              <w:bottom w:val="nil"/>
            </w:tcBorders>
            <w:shd w:val="clear" w:color="auto" w:fill="auto"/>
          </w:tcPr>
          <w:p w:rsidR="00035233" w:rsidRPr="00194011" w:rsidRDefault="00035233" w:rsidP="00A55E5D">
            <w:pPr>
              <w:pStyle w:val="05Tabletext"/>
              <w:jc w:val="center"/>
            </w:pPr>
            <w:r>
              <w:t>46 (17,76)</w:t>
            </w:r>
          </w:p>
        </w:tc>
        <w:tc>
          <w:tcPr>
            <w:tcW w:w="442" w:type="pct"/>
            <w:tcBorders>
              <w:top w:val="nil"/>
              <w:bottom w:val="nil"/>
            </w:tcBorders>
            <w:shd w:val="clear" w:color="auto" w:fill="auto"/>
          </w:tcPr>
          <w:p w:rsidR="00035233" w:rsidRPr="00194011" w:rsidRDefault="00035233" w:rsidP="00A55E5D">
            <w:pPr>
              <w:pStyle w:val="05Tabletext"/>
              <w:jc w:val="center"/>
            </w:pPr>
            <w:r>
              <w:t>0.002</w:t>
            </w:r>
          </w:p>
        </w:tc>
      </w:tr>
      <w:tr w:rsidR="00035233" w:rsidRPr="00194011" w:rsidTr="00035233">
        <w:trPr>
          <w:cantSplit/>
        </w:trPr>
        <w:tc>
          <w:tcPr>
            <w:tcW w:w="1766" w:type="pct"/>
            <w:tcBorders>
              <w:top w:val="nil"/>
              <w:bottom w:val="nil"/>
            </w:tcBorders>
            <w:shd w:val="clear" w:color="auto" w:fill="auto"/>
          </w:tcPr>
          <w:p w:rsidR="00035233" w:rsidRPr="00CA7E74" w:rsidRDefault="00035233" w:rsidP="00A55E5D">
            <w:pPr>
              <w:pStyle w:val="05Tabletext"/>
              <w:spacing w:after="100" w:afterAutospacing="1"/>
              <w:rPr>
                <w:b/>
              </w:rPr>
            </w:pPr>
            <w:r>
              <w:t>Day 85, mL</w:t>
            </w:r>
            <w:r>
              <w:rPr>
                <w:vertAlign w:val="superscript"/>
              </w:rPr>
              <w:t xml:space="preserve"> </w:t>
            </w:r>
            <w:r w:rsidRPr="000934A3">
              <w:t>(primary outcome</w:t>
            </w:r>
            <w:r>
              <w:t>; PP analysis</w:t>
            </w:r>
            <w:r w:rsidRPr="000934A3">
              <w:t>)</w:t>
            </w:r>
          </w:p>
        </w:tc>
        <w:tc>
          <w:tcPr>
            <w:tcW w:w="558" w:type="pct"/>
            <w:tcBorders>
              <w:top w:val="nil"/>
              <w:bottom w:val="nil"/>
            </w:tcBorders>
            <w:shd w:val="clear" w:color="auto" w:fill="auto"/>
          </w:tcPr>
          <w:p w:rsidR="00035233" w:rsidRPr="00194011" w:rsidRDefault="00035233" w:rsidP="00A55E5D">
            <w:pPr>
              <w:pStyle w:val="05Tabletext"/>
              <w:jc w:val="center"/>
            </w:pPr>
            <w:r>
              <w:t>485</w:t>
            </w:r>
          </w:p>
        </w:tc>
        <w:tc>
          <w:tcPr>
            <w:tcW w:w="558" w:type="pct"/>
            <w:tcBorders>
              <w:top w:val="nil"/>
              <w:bottom w:val="nil"/>
            </w:tcBorders>
            <w:shd w:val="clear" w:color="auto" w:fill="auto"/>
          </w:tcPr>
          <w:p w:rsidR="00035233" w:rsidRPr="002D515F" w:rsidRDefault="00035233" w:rsidP="00A55E5D">
            <w:pPr>
              <w:pStyle w:val="05Tabletext"/>
              <w:jc w:val="center"/>
            </w:pPr>
            <w:r>
              <w:t>154 (11)</w:t>
            </w:r>
          </w:p>
        </w:tc>
        <w:tc>
          <w:tcPr>
            <w:tcW w:w="559" w:type="pct"/>
            <w:tcBorders>
              <w:top w:val="nil"/>
              <w:bottom w:val="nil"/>
            </w:tcBorders>
            <w:shd w:val="clear" w:color="auto" w:fill="auto"/>
          </w:tcPr>
          <w:p w:rsidR="00035233" w:rsidRPr="00194011" w:rsidRDefault="00035233" w:rsidP="00A55E5D">
            <w:pPr>
              <w:pStyle w:val="05Tabletext"/>
              <w:jc w:val="center"/>
            </w:pPr>
            <w:r>
              <w:t>484</w:t>
            </w:r>
          </w:p>
        </w:tc>
        <w:tc>
          <w:tcPr>
            <w:tcW w:w="558" w:type="pct"/>
            <w:tcBorders>
              <w:top w:val="nil"/>
              <w:bottom w:val="nil"/>
            </w:tcBorders>
            <w:shd w:val="clear" w:color="auto" w:fill="auto"/>
          </w:tcPr>
          <w:p w:rsidR="00035233" w:rsidRPr="002D515F" w:rsidRDefault="00035233" w:rsidP="00A55E5D">
            <w:pPr>
              <w:pStyle w:val="05Tabletext"/>
              <w:jc w:val="center"/>
            </w:pPr>
            <w:r>
              <w:t>95 (11)</w:t>
            </w:r>
          </w:p>
        </w:tc>
        <w:tc>
          <w:tcPr>
            <w:tcW w:w="559" w:type="pct"/>
            <w:tcBorders>
              <w:top w:val="nil"/>
              <w:bottom w:val="nil"/>
            </w:tcBorders>
            <w:shd w:val="clear" w:color="auto" w:fill="auto"/>
          </w:tcPr>
          <w:p w:rsidR="00035233" w:rsidRPr="00194011" w:rsidRDefault="00035233" w:rsidP="00A55E5D">
            <w:pPr>
              <w:pStyle w:val="05Tabletext"/>
              <w:jc w:val="center"/>
            </w:pPr>
            <w:r>
              <w:t>59 (29,88)</w:t>
            </w:r>
          </w:p>
        </w:tc>
        <w:tc>
          <w:tcPr>
            <w:tcW w:w="442" w:type="pct"/>
            <w:tcBorders>
              <w:top w:val="nil"/>
              <w:bottom w:val="nil"/>
            </w:tcBorders>
            <w:shd w:val="clear" w:color="auto" w:fill="auto"/>
          </w:tcPr>
          <w:p w:rsidR="00035233" w:rsidRPr="00194011" w:rsidRDefault="00035233" w:rsidP="00A55E5D">
            <w:pPr>
              <w:pStyle w:val="05Tabletext"/>
              <w:jc w:val="center"/>
            </w:pPr>
            <w:r>
              <w:t>&lt;0.001</w:t>
            </w:r>
          </w:p>
        </w:tc>
      </w:tr>
      <w:tr w:rsidR="00035233" w:rsidRPr="00194011" w:rsidTr="00035233">
        <w:trPr>
          <w:cantSplit/>
        </w:trPr>
        <w:tc>
          <w:tcPr>
            <w:tcW w:w="1766" w:type="pct"/>
            <w:tcBorders>
              <w:top w:val="nil"/>
              <w:bottom w:val="single" w:sz="4" w:space="0" w:color="auto"/>
            </w:tcBorders>
            <w:shd w:val="clear" w:color="auto" w:fill="auto"/>
          </w:tcPr>
          <w:p w:rsidR="00035233" w:rsidRPr="00C406E8" w:rsidRDefault="00035233" w:rsidP="00A55E5D">
            <w:pPr>
              <w:pStyle w:val="05Tabletext"/>
              <w:spacing w:after="100" w:afterAutospacing="1"/>
            </w:pPr>
            <w:r>
              <w:t>Day 85, mL (ITT analysis)</w:t>
            </w:r>
          </w:p>
        </w:tc>
        <w:tc>
          <w:tcPr>
            <w:tcW w:w="558" w:type="pct"/>
            <w:tcBorders>
              <w:top w:val="nil"/>
              <w:bottom w:val="single" w:sz="4" w:space="0" w:color="auto"/>
            </w:tcBorders>
            <w:shd w:val="clear" w:color="auto" w:fill="auto"/>
          </w:tcPr>
          <w:p w:rsidR="00035233" w:rsidRPr="00194011" w:rsidRDefault="00035233" w:rsidP="00A55E5D">
            <w:pPr>
              <w:pStyle w:val="05Tabletext"/>
              <w:jc w:val="center"/>
            </w:pPr>
            <w:r>
              <w:t>508</w:t>
            </w:r>
          </w:p>
        </w:tc>
        <w:tc>
          <w:tcPr>
            <w:tcW w:w="558" w:type="pct"/>
            <w:tcBorders>
              <w:top w:val="nil"/>
              <w:bottom w:val="single" w:sz="4" w:space="0" w:color="auto"/>
            </w:tcBorders>
            <w:shd w:val="clear" w:color="auto" w:fill="auto"/>
          </w:tcPr>
          <w:p w:rsidR="00035233" w:rsidRPr="002D515F" w:rsidRDefault="00035233" w:rsidP="00A55E5D">
            <w:pPr>
              <w:pStyle w:val="05Tabletext"/>
              <w:jc w:val="center"/>
            </w:pPr>
            <w:r>
              <w:t>147 (10)</w:t>
            </w:r>
          </w:p>
        </w:tc>
        <w:tc>
          <w:tcPr>
            <w:tcW w:w="559" w:type="pct"/>
            <w:tcBorders>
              <w:top w:val="nil"/>
              <w:bottom w:val="single" w:sz="4" w:space="0" w:color="auto"/>
            </w:tcBorders>
            <w:shd w:val="clear" w:color="auto" w:fill="auto"/>
          </w:tcPr>
          <w:p w:rsidR="00035233" w:rsidRPr="00194011" w:rsidRDefault="00035233" w:rsidP="00A55E5D">
            <w:pPr>
              <w:pStyle w:val="05Tabletext"/>
              <w:jc w:val="center"/>
            </w:pPr>
            <w:r>
              <w:t>504</w:t>
            </w:r>
          </w:p>
        </w:tc>
        <w:tc>
          <w:tcPr>
            <w:tcW w:w="558" w:type="pct"/>
            <w:tcBorders>
              <w:top w:val="nil"/>
              <w:bottom w:val="single" w:sz="4" w:space="0" w:color="auto"/>
            </w:tcBorders>
            <w:shd w:val="clear" w:color="auto" w:fill="auto"/>
          </w:tcPr>
          <w:p w:rsidR="00035233" w:rsidRPr="002D515F" w:rsidRDefault="00035233" w:rsidP="00A55E5D">
            <w:pPr>
              <w:pStyle w:val="05Tabletext"/>
              <w:jc w:val="center"/>
            </w:pPr>
            <w:r>
              <w:t>94 (10)</w:t>
            </w:r>
          </w:p>
        </w:tc>
        <w:tc>
          <w:tcPr>
            <w:tcW w:w="559" w:type="pct"/>
            <w:tcBorders>
              <w:top w:val="nil"/>
              <w:bottom w:val="single" w:sz="4" w:space="0" w:color="auto"/>
            </w:tcBorders>
            <w:shd w:val="clear" w:color="auto" w:fill="auto"/>
          </w:tcPr>
          <w:p w:rsidR="00035233" w:rsidRDefault="00035233" w:rsidP="00A55E5D">
            <w:pPr>
              <w:pStyle w:val="05Tabletext"/>
              <w:jc w:val="center"/>
            </w:pPr>
            <w:r>
              <w:t>53 (25,81)</w:t>
            </w:r>
          </w:p>
        </w:tc>
        <w:tc>
          <w:tcPr>
            <w:tcW w:w="442" w:type="pct"/>
            <w:tcBorders>
              <w:top w:val="nil"/>
              <w:bottom w:val="single" w:sz="4" w:space="0" w:color="auto"/>
            </w:tcBorders>
            <w:shd w:val="clear" w:color="auto" w:fill="auto"/>
          </w:tcPr>
          <w:p w:rsidR="00035233" w:rsidRDefault="00035233" w:rsidP="00A55E5D">
            <w:pPr>
              <w:pStyle w:val="05Tabletext"/>
              <w:jc w:val="center"/>
            </w:pPr>
            <w:r>
              <w:t>&lt;0.001</w:t>
            </w:r>
          </w:p>
        </w:tc>
      </w:tr>
      <w:tr w:rsidR="00035233" w:rsidRPr="00194011" w:rsidTr="00035233">
        <w:trPr>
          <w:cantSplit/>
        </w:trPr>
        <w:tc>
          <w:tcPr>
            <w:tcW w:w="1766" w:type="pct"/>
            <w:tcBorders>
              <w:top w:val="single" w:sz="4" w:space="0" w:color="auto"/>
              <w:bottom w:val="single" w:sz="4" w:space="0" w:color="auto"/>
            </w:tcBorders>
            <w:shd w:val="clear" w:color="auto" w:fill="000000"/>
          </w:tcPr>
          <w:p w:rsidR="00035233" w:rsidRPr="000934A3" w:rsidRDefault="00035233" w:rsidP="00A55E5D">
            <w:pPr>
              <w:pStyle w:val="04Tablesubheading"/>
              <w:keepNext w:val="0"/>
              <w:rPr>
                <w:vertAlign w:val="superscript"/>
              </w:rPr>
            </w:pPr>
            <w:r>
              <w:t>Subgroup analyses – trough FEV</w:t>
            </w:r>
            <w:r>
              <w:rPr>
                <w:vertAlign w:val="subscript"/>
              </w:rPr>
              <w:t>1</w:t>
            </w:r>
            <w:r w:rsidR="004B3085">
              <w:t xml:space="preserve"> on D</w:t>
            </w:r>
            <w:r>
              <w:t>ay 85</w:t>
            </w:r>
            <w:r>
              <w:rPr>
                <w:vertAlign w:val="superscript"/>
              </w:rPr>
              <w:t>a</w:t>
            </w:r>
          </w:p>
          <w:p w:rsidR="00035233" w:rsidRDefault="00035233" w:rsidP="00A55E5D">
            <w:pPr>
              <w:pStyle w:val="04Tablesubheading"/>
              <w:keepNext w:val="0"/>
            </w:pPr>
            <w:r>
              <w:t>GOLD Grade</w:t>
            </w:r>
          </w:p>
        </w:tc>
        <w:tc>
          <w:tcPr>
            <w:tcW w:w="558" w:type="pct"/>
            <w:tcBorders>
              <w:top w:val="single" w:sz="4" w:space="0" w:color="auto"/>
              <w:bottom w:val="single" w:sz="4" w:space="0" w:color="auto"/>
            </w:tcBorders>
            <w:shd w:val="clear" w:color="auto" w:fill="000000"/>
          </w:tcPr>
          <w:p w:rsidR="00035233" w:rsidRDefault="00035233" w:rsidP="00A55E5D">
            <w:pPr>
              <w:pStyle w:val="04Tablesubheading"/>
              <w:keepNext w:val="0"/>
            </w:pPr>
          </w:p>
        </w:tc>
        <w:tc>
          <w:tcPr>
            <w:tcW w:w="558" w:type="pct"/>
            <w:tcBorders>
              <w:top w:val="single" w:sz="4" w:space="0" w:color="auto"/>
              <w:bottom w:val="single" w:sz="4" w:space="0" w:color="auto"/>
            </w:tcBorders>
            <w:shd w:val="clear" w:color="auto" w:fill="000000"/>
          </w:tcPr>
          <w:p w:rsidR="00035233" w:rsidRDefault="00035233" w:rsidP="00A55E5D">
            <w:pPr>
              <w:pStyle w:val="04Tablesubheading"/>
              <w:keepNext w:val="0"/>
            </w:pPr>
          </w:p>
        </w:tc>
        <w:tc>
          <w:tcPr>
            <w:tcW w:w="559" w:type="pct"/>
            <w:tcBorders>
              <w:top w:val="single" w:sz="4" w:space="0" w:color="auto"/>
              <w:bottom w:val="single" w:sz="4" w:space="0" w:color="auto"/>
            </w:tcBorders>
            <w:shd w:val="clear" w:color="auto" w:fill="000000"/>
          </w:tcPr>
          <w:p w:rsidR="00035233" w:rsidRDefault="00035233" w:rsidP="00A55E5D">
            <w:pPr>
              <w:pStyle w:val="04Tablesubheading"/>
              <w:keepNext w:val="0"/>
            </w:pPr>
          </w:p>
        </w:tc>
        <w:tc>
          <w:tcPr>
            <w:tcW w:w="558" w:type="pct"/>
            <w:tcBorders>
              <w:top w:val="single" w:sz="4" w:space="0" w:color="auto"/>
              <w:bottom w:val="single" w:sz="4" w:space="0" w:color="auto"/>
            </w:tcBorders>
            <w:shd w:val="clear" w:color="auto" w:fill="000000"/>
          </w:tcPr>
          <w:p w:rsidR="00035233" w:rsidRDefault="00035233" w:rsidP="00A55E5D">
            <w:pPr>
              <w:pStyle w:val="04Tablesubheading"/>
              <w:keepNext w:val="0"/>
            </w:pPr>
          </w:p>
        </w:tc>
        <w:tc>
          <w:tcPr>
            <w:tcW w:w="559" w:type="pct"/>
            <w:tcBorders>
              <w:top w:val="single" w:sz="4" w:space="0" w:color="auto"/>
              <w:bottom w:val="single" w:sz="4" w:space="0" w:color="auto"/>
            </w:tcBorders>
            <w:shd w:val="clear" w:color="auto" w:fill="000000"/>
          </w:tcPr>
          <w:p w:rsidR="00035233" w:rsidRDefault="00035233" w:rsidP="00A55E5D">
            <w:pPr>
              <w:pStyle w:val="04Tablesubheading"/>
              <w:keepNext w:val="0"/>
            </w:pPr>
          </w:p>
        </w:tc>
        <w:tc>
          <w:tcPr>
            <w:tcW w:w="442" w:type="pct"/>
            <w:tcBorders>
              <w:top w:val="single" w:sz="4" w:space="0" w:color="auto"/>
              <w:bottom w:val="single" w:sz="4" w:space="0" w:color="auto"/>
            </w:tcBorders>
            <w:shd w:val="clear" w:color="auto" w:fill="000000"/>
          </w:tcPr>
          <w:p w:rsidR="00035233" w:rsidRDefault="00035233" w:rsidP="00A55E5D">
            <w:pPr>
              <w:pStyle w:val="04Tablesubheading"/>
              <w:keepNext w:val="0"/>
            </w:pPr>
          </w:p>
        </w:tc>
      </w:tr>
      <w:tr w:rsidR="00035233" w:rsidRPr="00194011" w:rsidTr="00035233">
        <w:trPr>
          <w:cantSplit/>
        </w:trPr>
        <w:tc>
          <w:tcPr>
            <w:tcW w:w="1766" w:type="pct"/>
            <w:tcBorders>
              <w:top w:val="single" w:sz="4" w:space="0" w:color="auto"/>
              <w:bottom w:val="nil"/>
            </w:tcBorders>
            <w:shd w:val="clear" w:color="auto" w:fill="auto"/>
          </w:tcPr>
          <w:p w:rsidR="00035233" w:rsidRPr="00C406E8" w:rsidRDefault="00035233" w:rsidP="00A55E5D">
            <w:pPr>
              <w:pStyle w:val="05Tabletext"/>
              <w:spacing w:after="100" w:afterAutospacing="1"/>
              <w:rPr>
                <w:vertAlign w:val="superscript"/>
              </w:rPr>
            </w:pPr>
            <w:r w:rsidRPr="00C406E8">
              <w:t>GOLD Grade 2</w:t>
            </w:r>
          </w:p>
        </w:tc>
        <w:tc>
          <w:tcPr>
            <w:tcW w:w="558" w:type="pct"/>
            <w:tcBorders>
              <w:top w:val="single" w:sz="4" w:space="0" w:color="auto"/>
              <w:bottom w:val="nil"/>
            </w:tcBorders>
            <w:shd w:val="clear" w:color="auto" w:fill="auto"/>
          </w:tcPr>
          <w:p w:rsidR="00035233" w:rsidRDefault="00035233" w:rsidP="00A55E5D">
            <w:pPr>
              <w:pStyle w:val="05Tabletext"/>
              <w:jc w:val="center"/>
            </w:pPr>
            <w:r>
              <w:t>281</w:t>
            </w:r>
          </w:p>
        </w:tc>
        <w:tc>
          <w:tcPr>
            <w:tcW w:w="558" w:type="pct"/>
            <w:tcBorders>
              <w:top w:val="single" w:sz="4" w:space="0" w:color="auto"/>
              <w:bottom w:val="nil"/>
            </w:tcBorders>
            <w:shd w:val="clear" w:color="auto" w:fill="auto"/>
          </w:tcPr>
          <w:p w:rsidR="00035233" w:rsidRDefault="00035233" w:rsidP="00A55E5D">
            <w:pPr>
              <w:pStyle w:val="05Tabletext"/>
              <w:jc w:val="center"/>
            </w:pPr>
            <w:r>
              <w:t>177 (14)</w:t>
            </w:r>
          </w:p>
        </w:tc>
        <w:tc>
          <w:tcPr>
            <w:tcW w:w="559" w:type="pct"/>
            <w:tcBorders>
              <w:top w:val="single" w:sz="4" w:space="0" w:color="auto"/>
              <w:bottom w:val="nil"/>
            </w:tcBorders>
            <w:shd w:val="clear" w:color="auto" w:fill="auto"/>
          </w:tcPr>
          <w:p w:rsidR="00035233" w:rsidRDefault="00035233" w:rsidP="00A55E5D">
            <w:pPr>
              <w:pStyle w:val="05Tabletext"/>
              <w:jc w:val="center"/>
            </w:pPr>
            <w:r>
              <w:t>281</w:t>
            </w:r>
          </w:p>
        </w:tc>
        <w:tc>
          <w:tcPr>
            <w:tcW w:w="558" w:type="pct"/>
            <w:tcBorders>
              <w:top w:val="single" w:sz="4" w:space="0" w:color="auto"/>
              <w:bottom w:val="nil"/>
            </w:tcBorders>
            <w:shd w:val="clear" w:color="auto" w:fill="auto"/>
          </w:tcPr>
          <w:p w:rsidR="00035233" w:rsidRDefault="00035233" w:rsidP="00A55E5D">
            <w:pPr>
              <w:pStyle w:val="05Tabletext"/>
              <w:jc w:val="center"/>
            </w:pPr>
            <w:r>
              <w:t>114 (14)</w:t>
            </w:r>
          </w:p>
        </w:tc>
        <w:tc>
          <w:tcPr>
            <w:tcW w:w="559" w:type="pct"/>
            <w:tcBorders>
              <w:top w:val="single" w:sz="4" w:space="0" w:color="auto"/>
              <w:bottom w:val="nil"/>
            </w:tcBorders>
            <w:shd w:val="clear" w:color="auto" w:fill="auto"/>
          </w:tcPr>
          <w:p w:rsidR="00035233" w:rsidRDefault="00035233" w:rsidP="00A55E5D">
            <w:pPr>
              <w:pStyle w:val="05Tabletext"/>
              <w:jc w:val="center"/>
            </w:pPr>
            <w:r>
              <w:t>63 (25,100)</w:t>
            </w:r>
          </w:p>
        </w:tc>
        <w:tc>
          <w:tcPr>
            <w:tcW w:w="442" w:type="pct"/>
            <w:tcBorders>
              <w:top w:val="single" w:sz="4" w:space="0" w:color="auto"/>
              <w:bottom w:val="nil"/>
            </w:tcBorders>
            <w:shd w:val="clear" w:color="auto" w:fill="auto"/>
          </w:tcPr>
          <w:p w:rsidR="00035233" w:rsidRDefault="00035233" w:rsidP="00A55E5D">
            <w:pPr>
              <w:pStyle w:val="05Tabletext"/>
              <w:jc w:val="center"/>
            </w:pPr>
            <w:r>
              <w:t>0.001</w:t>
            </w:r>
          </w:p>
        </w:tc>
      </w:tr>
      <w:tr w:rsidR="00035233" w:rsidRPr="00194011" w:rsidTr="00035233">
        <w:trPr>
          <w:cantSplit/>
        </w:trPr>
        <w:tc>
          <w:tcPr>
            <w:tcW w:w="1766" w:type="pct"/>
            <w:tcBorders>
              <w:top w:val="nil"/>
              <w:bottom w:val="single" w:sz="4" w:space="0" w:color="auto"/>
            </w:tcBorders>
            <w:shd w:val="clear" w:color="auto" w:fill="auto"/>
          </w:tcPr>
          <w:p w:rsidR="00035233" w:rsidRPr="00C406E8" w:rsidRDefault="00035233" w:rsidP="00A55E5D">
            <w:pPr>
              <w:pStyle w:val="05Tabletext"/>
              <w:spacing w:after="100" w:afterAutospacing="1"/>
              <w:rPr>
                <w:vertAlign w:val="superscript"/>
              </w:rPr>
            </w:pPr>
            <w:r w:rsidRPr="00C406E8">
              <w:t>GOLD Grade 3</w:t>
            </w:r>
          </w:p>
        </w:tc>
        <w:tc>
          <w:tcPr>
            <w:tcW w:w="558" w:type="pct"/>
            <w:tcBorders>
              <w:top w:val="nil"/>
              <w:bottom w:val="single" w:sz="4" w:space="0" w:color="auto"/>
            </w:tcBorders>
            <w:shd w:val="clear" w:color="auto" w:fill="auto"/>
          </w:tcPr>
          <w:p w:rsidR="00035233" w:rsidRDefault="00035233" w:rsidP="00A55E5D">
            <w:pPr>
              <w:pStyle w:val="05Tabletext"/>
              <w:jc w:val="center"/>
            </w:pPr>
            <w:r>
              <w:t>226</w:t>
            </w:r>
          </w:p>
        </w:tc>
        <w:tc>
          <w:tcPr>
            <w:tcW w:w="558" w:type="pct"/>
            <w:tcBorders>
              <w:top w:val="nil"/>
              <w:bottom w:val="single" w:sz="4" w:space="0" w:color="auto"/>
            </w:tcBorders>
            <w:shd w:val="clear" w:color="auto" w:fill="auto"/>
          </w:tcPr>
          <w:p w:rsidR="00035233" w:rsidRDefault="00035233" w:rsidP="00A55E5D">
            <w:pPr>
              <w:pStyle w:val="05Tabletext"/>
              <w:jc w:val="center"/>
            </w:pPr>
            <w:r>
              <w:t>108 (16)</w:t>
            </w:r>
          </w:p>
        </w:tc>
        <w:tc>
          <w:tcPr>
            <w:tcW w:w="559" w:type="pct"/>
            <w:tcBorders>
              <w:top w:val="nil"/>
              <w:bottom w:val="single" w:sz="4" w:space="0" w:color="auto"/>
            </w:tcBorders>
            <w:shd w:val="clear" w:color="auto" w:fill="auto"/>
          </w:tcPr>
          <w:p w:rsidR="00035233" w:rsidRDefault="00035233" w:rsidP="00A55E5D">
            <w:pPr>
              <w:pStyle w:val="05Tabletext"/>
              <w:jc w:val="center"/>
            </w:pPr>
            <w:r>
              <w:t>223</w:t>
            </w:r>
          </w:p>
        </w:tc>
        <w:tc>
          <w:tcPr>
            <w:tcW w:w="558" w:type="pct"/>
            <w:tcBorders>
              <w:top w:val="nil"/>
              <w:bottom w:val="single" w:sz="4" w:space="0" w:color="auto"/>
            </w:tcBorders>
            <w:shd w:val="clear" w:color="auto" w:fill="auto"/>
          </w:tcPr>
          <w:p w:rsidR="00035233" w:rsidRDefault="00035233" w:rsidP="00A55E5D">
            <w:pPr>
              <w:pStyle w:val="05Tabletext"/>
              <w:jc w:val="center"/>
            </w:pPr>
            <w:r>
              <w:t>69 (16)</w:t>
            </w:r>
          </w:p>
        </w:tc>
        <w:tc>
          <w:tcPr>
            <w:tcW w:w="559" w:type="pct"/>
            <w:tcBorders>
              <w:top w:val="nil"/>
              <w:bottom w:val="single" w:sz="4" w:space="0" w:color="auto"/>
            </w:tcBorders>
            <w:shd w:val="clear" w:color="auto" w:fill="auto"/>
          </w:tcPr>
          <w:p w:rsidR="00035233" w:rsidRDefault="00035233" w:rsidP="00A55E5D">
            <w:pPr>
              <w:pStyle w:val="05Tabletext"/>
              <w:jc w:val="center"/>
            </w:pPr>
            <w:r>
              <w:t>39 (–4,82)</w:t>
            </w:r>
          </w:p>
        </w:tc>
        <w:tc>
          <w:tcPr>
            <w:tcW w:w="442" w:type="pct"/>
            <w:tcBorders>
              <w:top w:val="nil"/>
              <w:bottom w:val="single" w:sz="4" w:space="0" w:color="auto"/>
            </w:tcBorders>
            <w:shd w:val="clear" w:color="auto" w:fill="auto"/>
          </w:tcPr>
          <w:p w:rsidR="00035233" w:rsidRDefault="00035233" w:rsidP="00A55E5D">
            <w:pPr>
              <w:pStyle w:val="05Tabletext"/>
              <w:jc w:val="center"/>
            </w:pPr>
            <w:r>
              <w:t>0.074</w:t>
            </w:r>
          </w:p>
        </w:tc>
      </w:tr>
      <w:tr w:rsidR="00035233" w:rsidRPr="00194011" w:rsidTr="00035233">
        <w:trPr>
          <w:cantSplit/>
        </w:trPr>
        <w:tc>
          <w:tcPr>
            <w:tcW w:w="1766" w:type="pct"/>
            <w:tcBorders>
              <w:top w:val="single" w:sz="4" w:space="0" w:color="auto"/>
              <w:bottom w:val="nil"/>
            </w:tcBorders>
            <w:shd w:val="clear" w:color="auto" w:fill="000000"/>
          </w:tcPr>
          <w:p w:rsidR="00035233" w:rsidRDefault="00035233" w:rsidP="00A55E5D">
            <w:pPr>
              <w:pStyle w:val="04Tablesubheading"/>
              <w:keepNext w:val="0"/>
            </w:pPr>
            <w:r>
              <w:t>GOLD Group</w:t>
            </w:r>
          </w:p>
        </w:tc>
        <w:tc>
          <w:tcPr>
            <w:tcW w:w="558" w:type="pct"/>
            <w:tcBorders>
              <w:top w:val="single" w:sz="4" w:space="0" w:color="auto"/>
              <w:bottom w:val="nil"/>
            </w:tcBorders>
            <w:shd w:val="clear" w:color="auto" w:fill="000000"/>
          </w:tcPr>
          <w:p w:rsidR="00035233" w:rsidRDefault="00035233" w:rsidP="00A55E5D">
            <w:pPr>
              <w:pStyle w:val="04Tablesubheading"/>
              <w:keepNext w:val="0"/>
            </w:pPr>
          </w:p>
        </w:tc>
        <w:tc>
          <w:tcPr>
            <w:tcW w:w="558" w:type="pct"/>
            <w:tcBorders>
              <w:top w:val="single" w:sz="4" w:space="0" w:color="auto"/>
              <w:bottom w:val="nil"/>
            </w:tcBorders>
            <w:shd w:val="clear" w:color="auto" w:fill="000000"/>
          </w:tcPr>
          <w:p w:rsidR="00035233" w:rsidRDefault="00035233" w:rsidP="00A55E5D">
            <w:pPr>
              <w:pStyle w:val="04Tablesubheading"/>
              <w:keepNext w:val="0"/>
            </w:pPr>
          </w:p>
        </w:tc>
        <w:tc>
          <w:tcPr>
            <w:tcW w:w="559" w:type="pct"/>
            <w:tcBorders>
              <w:top w:val="single" w:sz="4" w:space="0" w:color="auto"/>
              <w:bottom w:val="nil"/>
            </w:tcBorders>
            <w:shd w:val="clear" w:color="auto" w:fill="000000"/>
          </w:tcPr>
          <w:p w:rsidR="00035233" w:rsidRDefault="00035233" w:rsidP="00A55E5D">
            <w:pPr>
              <w:pStyle w:val="04Tablesubheading"/>
              <w:keepNext w:val="0"/>
            </w:pPr>
          </w:p>
        </w:tc>
        <w:tc>
          <w:tcPr>
            <w:tcW w:w="558" w:type="pct"/>
            <w:tcBorders>
              <w:top w:val="single" w:sz="4" w:space="0" w:color="auto"/>
              <w:bottom w:val="nil"/>
            </w:tcBorders>
            <w:shd w:val="clear" w:color="auto" w:fill="000000"/>
          </w:tcPr>
          <w:p w:rsidR="00035233" w:rsidRDefault="00035233" w:rsidP="00A55E5D">
            <w:pPr>
              <w:pStyle w:val="04Tablesubheading"/>
              <w:keepNext w:val="0"/>
            </w:pPr>
          </w:p>
        </w:tc>
        <w:tc>
          <w:tcPr>
            <w:tcW w:w="559" w:type="pct"/>
            <w:tcBorders>
              <w:top w:val="single" w:sz="4" w:space="0" w:color="auto"/>
              <w:bottom w:val="nil"/>
            </w:tcBorders>
            <w:shd w:val="clear" w:color="auto" w:fill="000000"/>
          </w:tcPr>
          <w:p w:rsidR="00035233" w:rsidRDefault="00035233" w:rsidP="00A55E5D">
            <w:pPr>
              <w:pStyle w:val="04Tablesubheading"/>
              <w:keepNext w:val="0"/>
            </w:pPr>
          </w:p>
        </w:tc>
        <w:tc>
          <w:tcPr>
            <w:tcW w:w="442" w:type="pct"/>
            <w:tcBorders>
              <w:top w:val="single" w:sz="4" w:space="0" w:color="auto"/>
              <w:bottom w:val="nil"/>
            </w:tcBorders>
            <w:shd w:val="clear" w:color="auto" w:fill="000000"/>
          </w:tcPr>
          <w:p w:rsidR="00035233" w:rsidRDefault="00035233" w:rsidP="00A55E5D">
            <w:pPr>
              <w:pStyle w:val="04Tablesubheading"/>
              <w:keepNext w:val="0"/>
            </w:pPr>
          </w:p>
        </w:tc>
      </w:tr>
      <w:tr w:rsidR="00035233" w:rsidRPr="00194011" w:rsidTr="00035233">
        <w:trPr>
          <w:cantSplit/>
        </w:trPr>
        <w:tc>
          <w:tcPr>
            <w:tcW w:w="1766" w:type="pct"/>
            <w:tcBorders>
              <w:top w:val="nil"/>
              <w:bottom w:val="nil"/>
            </w:tcBorders>
            <w:shd w:val="clear" w:color="auto" w:fill="auto"/>
          </w:tcPr>
          <w:p w:rsidR="00035233" w:rsidRPr="006A237D" w:rsidRDefault="00035233" w:rsidP="00A55E5D">
            <w:pPr>
              <w:pStyle w:val="05Tabletext"/>
              <w:spacing w:after="100" w:afterAutospacing="1"/>
            </w:pPr>
            <w:r w:rsidRPr="006A237D">
              <w:t>GOLD Group B</w:t>
            </w:r>
          </w:p>
        </w:tc>
        <w:tc>
          <w:tcPr>
            <w:tcW w:w="558" w:type="pct"/>
            <w:tcBorders>
              <w:top w:val="nil"/>
              <w:bottom w:val="nil"/>
            </w:tcBorders>
            <w:shd w:val="clear" w:color="auto" w:fill="auto"/>
          </w:tcPr>
          <w:p w:rsidR="00035233" w:rsidRDefault="00035233" w:rsidP="00A55E5D">
            <w:pPr>
              <w:pStyle w:val="05Tabletext"/>
              <w:jc w:val="center"/>
            </w:pPr>
            <w:r>
              <w:t>244</w:t>
            </w:r>
          </w:p>
        </w:tc>
        <w:tc>
          <w:tcPr>
            <w:tcW w:w="558" w:type="pct"/>
            <w:tcBorders>
              <w:top w:val="nil"/>
              <w:bottom w:val="nil"/>
            </w:tcBorders>
            <w:shd w:val="clear" w:color="auto" w:fill="auto"/>
          </w:tcPr>
          <w:p w:rsidR="00035233" w:rsidRDefault="00035233" w:rsidP="00A55E5D">
            <w:pPr>
              <w:pStyle w:val="05Tabletext"/>
              <w:jc w:val="center"/>
            </w:pPr>
            <w:r>
              <w:t>171 (15)</w:t>
            </w:r>
          </w:p>
        </w:tc>
        <w:tc>
          <w:tcPr>
            <w:tcW w:w="559" w:type="pct"/>
            <w:tcBorders>
              <w:top w:val="nil"/>
              <w:bottom w:val="nil"/>
            </w:tcBorders>
            <w:shd w:val="clear" w:color="auto" w:fill="auto"/>
          </w:tcPr>
          <w:p w:rsidR="00035233" w:rsidRDefault="00035233" w:rsidP="00A55E5D">
            <w:pPr>
              <w:pStyle w:val="05Tabletext"/>
              <w:jc w:val="center"/>
            </w:pPr>
            <w:r>
              <w:t>227</w:t>
            </w:r>
          </w:p>
        </w:tc>
        <w:tc>
          <w:tcPr>
            <w:tcW w:w="558" w:type="pct"/>
            <w:tcBorders>
              <w:top w:val="nil"/>
              <w:bottom w:val="nil"/>
            </w:tcBorders>
            <w:shd w:val="clear" w:color="auto" w:fill="auto"/>
          </w:tcPr>
          <w:p w:rsidR="00035233" w:rsidRDefault="00035233" w:rsidP="00A55E5D">
            <w:pPr>
              <w:pStyle w:val="05Tabletext"/>
              <w:jc w:val="center"/>
            </w:pPr>
            <w:r>
              <w:t>114 (16)</w:t>
            </w:r>
          </w:p>
        </w:tc>
        <w:tc>
          <w:tcPr>
            <w:tcW w:w="559" w:type="pct"/>
            <w:tcBorders>
              <w:top w:val="nil"/>
              <w:bottom w:val="nil"/>
            </w:tcBorders>
            <w:shd w:val="clear" w:color="auto" w:fill="auto"/>
          </w:tcPr>
          <w:p w:rsidR="00035233" w:rsidRDefault="00035233" w:rsidP="00A55E5D">
            <w:pPr>
              <w:pStyle w:val="05Tabletext"/>
              <w:jc w:val="center"/>
            </w:pPr>
            <w:r>
              <w:t>57 (16,98)</w:t>
            </w:r>
          </w:p>
        </w:tc>
        <w:tc>
          <w:tcPr>
            <w:tcW w:w="442" w:type="pct"/>
            <w:tcBorders>
              <w:top w:val="nil"/>
              <w:bottom w:val="nil"/>
            </w:tcBorders>
            <w:shd w:val="clear" w:color="auto" w:fill="auto"/>
          </w:tcPr>
          <w:p w:rsidR="00035233" w:rsidRDefault="00035233" w:rsidP="00A55E5D">
            <w:pPr>
              <w:pStyle w:val="05Tabletext"/>
              <w:jc w:val="center"/>
            </w:pPr>
            <w:r>
              <w:t>0.006</w:t>
            </w:r>
          </w:p>
        </w:tc>
      </w:tr>
      <w:tr w:rsidR="00035233" w:rsidRPr="00194011" w:rsidTr="00035233">
        <w:trPr>
          <w:cantSplit/>
        </w:trPr>
        <w:tc>
          <w:tcPr>
            <w:tcW w:w="1766" w:type="pct"/>
            <w:tcBorders>
              <w:top w:val="nil"/>
              <w:bottom w:val="single" w:sz="4" w:space="0" w:color="auto"/>
            </w:tcBorders>
            <w:shd w:val="clear" w:color="auto" w:fill="auto"/>
          </w:tcPr>
          <w:p w:rsidR="00035233" w:rsidRPr="006A237D" w:rsidRDefault="00035233" w:rsidP="00A55E5D">
            <w:pPr>
              <w:pStyle w:val="05Tabletext"/>
              <w:spacing w:after="100" w:afterAutospacing="1"/>
            </w:pPr>
            <w:r w:rsidRPr="006A237D">
              <w:t>GOLD Group D</w:t>
            </w:r>
          </w:p>
        </w:tc>
        <w:tc>
          <w:tcPr>
            <w:tcW w:w="558" w:type="pct"/>
            <w:tcBorders>
              <w:top w:val="nil"/>
              <w:bottom w:val="single" w:sz="4" w:space="0" w:color="auto"/>
            </w:tcBorders>
            <w:shd w:val="clear" w:color="auto" w:fill="auto"/>
          </w:tcPr>
          <w:p w:rsidR="00035233" w:rsidRDefault="00035233" w:rsidP="00A55E5D">
            <w:pPr>
              <w:pStyle w:val="05Tabletext"/>
              <w:jc w:val="center"/>
            </w:pPr>
            <w:r>
              <w:t>263</w:t>
            </w:r>
          </w:p>
        </w:tc>
        <w:tc>
          <w:tcPr>
            <w:tcW w:w="558" w:type="pct"/>
            <w:tcBorders>
              <w:top w:val="nil"/>
              <w:bottom w:val="single" w:sz="4" w:space="0" w:color="auto"/>
            </w:tcBorders>
            <w:shd w:val="clear" w:color="auto" w:fill="auto"/>
          </w:tcPr>
          <w:p w:rsidR="00035233" w:rsidRDefault="00035233" w:rsidP="00A55E5D">
            <w:pPr>
              <w:pStyle w:val="05Tabletext"/>
              <w:jc w:val="center"/>
            </w:pPr>
            <w:r>
              <w:t>124 (15)</w:t>
            </w:r>
          </w:p>
        </w:tc>
        <w:tc>
          <w:tcPr>
            <w:tcW w:w="559" w:type="pct"/>
            <w:tcBorders>
              <w:top w:val="nil"/>
              <w:bottom w:val="single" w:sz="4" w:space="0" w:color="auto"/>
            </w:tcBorders>
            <w:shd w:val="clear" w:color="auto" w:fill="auto"/>
          </w:tcPr>
          <w:p w:rsidR="00035233" w:rsidRDefault="00035233" w:rsidP="00A55E5D">
            <w:pPr>
              <w:pStyle w:val="05Tabletext"/>
              <w:jc w:val="center"/>
            </w:pPr>
            <w:r>
              <w:t>277</w:t>
            </w:r>
          </w:p>
        </w:tc>
        <w:tc>
          <w:tcPr>
            <w:tcW w:w="558" w:type="pct"/>
            <w:tcBorders>
              <w:top w:val="nil"/>
              <w:bottom w:val="single" w:sz="4" w:space="0" w:color="auto"/>
            </w:tcBorders>
            <w:shd w:val="clear" w:color="auto" w:fill="auto"/>
          </w:tcPr>
          <w:p w:rsidR="00035233" w:rsidRDefault="00035233" w:rsidP="00A55E5D">
            <w:pPr>
              <w:pStyle w:val="05Tabletext"/>
              <w:jc w:val="center"/>
            </w:pPr>
            <w:r>
              <w:t>78 (14)</w:t>
            </w:r>
          </w:p>
        </w:tc>
        <w:tc>
          <w:tcPr>
            <w:tcW w:w="559" w:type="pct"/>
            <w:tcBorders>
              <w:top w:val="nil"/>
              <w:bottom w:val="single" w:sz="4" w:space="0" w:color="auto"/>
            </w:tcBorders>
            <w:shd w:val="clear" w:color="auto" w:fill="auto"/>
          </w:tcPr>
          <w:p w:rsidR="00035233" w:rsidRDefault="00035233" w:rsidP="00A55E5D">
            <w:pPr>
              <w:pStyle w:val="05Tabletext"/>
              <w:jc w:val="center"/>
            </w:pPr>
            <w:r>
              <w:t>46 (7,85)</w:t>
            </w:r>
          </w:p>
        </w:tc>
        <w:tc>
          <w:tcPr>
            <w:tcW w:w="442" w:type="pct"/>
            <w:tcBorders>
              <w:top w:val="nil"/>
              <w:bottom w:val="single" w:sz="4" w:space="0" w:color="auto"/>
            </w:tcBorders>
            <w:shd w:val="clear" w:color="auto" w:fill="auto"/>
          </w:tcPr>
          <w:p w:rsidR="00035233" w:rsidRDefault="00035233" w:rsidP="00A55E5D">
            <w:pPr>
              <w:pStyle w:val="05Tabletext"/>
              <w:jc w:val="center"/>
            </w:pPr>
            <w:r>
              <w:t>0.020</w:t>
            </w:r>
          </w:p>
        </w:tc>
      </w:tr>
      <w:tr w:rsidR="00035233" w:rsidRPr="00194011" w:rsidTr="00035233">
        <w:trPr>
          <w:cantSplit/>
        </w:trPr>
        <w:tc>
          <w:tcPr>
            <w:tcW w:w="1766" w:type="pct"/>
            <w:tcBorders>
              <w:top w:val="single" w:sz="4" w:space="0" w:color="auto"/>
              <w:bottom w:val="nil"/>
            </w:tcBorders>
            <w:shd w:val="clear" w:color="auto" w:fill="000000"/>
          </w:tcPr>
          <w:p w:rsidR="00035233" w:rsidRPr="006A237D" w:rsidRDefault="00035233" w:rsidP="00A55E5D">
            <w:pPr>
              <w:pStyle w:val="04Tablesubheading"/>
              <w:keepNext w:val="0"/>
            </w:pPr>
            <w:r>
              <w:t>ICS use at screening</w:t>
            </w:r>
          </w:p>
        </w:tc>
        <w:tc>
          <w:tcPr>
            <w:tcW w:w="558" w:type="pct"/>
            <w:tcBorders>
              <w:top w:val="single" w:sz="4" w:space="0" w:color="auto"/>
              <w:bottom w:val="nil"/>
            </w:tcBorders>
            <w:shd w:val="clear" w:color="auto" w:fill="000000"/>
          </w:tcPr>
          <w:p w:rsidR="00035233" w:rsidRDefault="00035233" w:rsidP="00A55E5D">
            <w:pPr>
              <w:pStyle w:val="04Tablesubheading"/>
              <w:keepNext w:val="0"/>
            </w:pPr>
          </w:p>
        </w:tc>
        <w:tc>
          <w:tcPr>
            <w:tcW w:w="558" w:type="pct"/>
            <w:tcBorders>
              <w:top w:val="single" w:sz="4" w:space="0" w:color="auto"/>
              <w:bottom w:val="nil"/>
            </w:tcBorders>
            <w:shd w:val="clear" w:color="auto" w:fill="000000"/>
          </w:tcPr>
          <w:p w:rsidR="00035233" w:rsidRDefault="00035233" w:rsidP="00A55E5D">
            <w:pPr>
              <w:pStyle w:val="04Tablesubheading"/>
              <w:keepNext w:val="0"/>
            </w:pPr>
          </w:p>
        </w:tc>
        <w:tc>
          <w:tcPr>
            <w:tcW w:w="559" w:type="pct"/>
            <w:tcBorders>
              <w:top w:val="single" w:sz="4" w:space="0" w:color="auto"/>
              <w:bottom w:val="nil"/>
            </w:tcBorders>
            <w:shd w:val="clear" w:color="auto" w:fill="000000"/>
          </w:tcPr>
          <w:p w:rsidR="00035233" w:rsidRDefault="00035233" w:rsidP="00A55E5D">
            <w:pPr>
              <w:pStyle w:val="04Tablesubheading"/>
              <w:keepNext w:val="0"/>
            </w:pPr>
          </w:p>
        </w:tc>
        <w:tc>
          <w:tcPr>
            <w:tcW w:w="558" w:type="pct"/>
            <w:tcBorders>
              <w:top w:val="single" w:sz="4" w:space="0" w:color="auto"/>
              <w:bottom w:val="nil"/>
            </w:tcBorders>
            <w:shd w:val="clear" w:color="auto" w:fill="000000"/>
          </w:tcPr>
          <w:p w:rsidR="00035233" w:rsidRDefault="00035233" w:rsidP="00A55E5D">
            <w:pPr>
              <w:pStyle w:val="04Tablesubheading"/>
              <w:keepNext w:val="0"/>
            </w:pPr>
          </w:p>
        </w:tc>
        <w:tc>
          <w:tcPr>
            <w:tcW w:w="559" w:type="pct"/>
            <w:tcBorders>
              <w:top w:val="single" w:sz="4" w:space="0" w:color="auto"/>
              <w:bottom w:val="nil"/>
            </w:tcBorders>
            <w:shd w:val="clear" w:color="auto" w:fill="000000"/>
          </w:tcPr>
          <w:p w:rsidR="00035233" w:rsidRDefault="00035233" w:rsidP="00A55E5D">
            <w:pPr>
              <w:pStyle w:val="04Tablesubheading"/>
              <w:keepNext w:val="0"/>
            </w:pPr>
          </w:p>
        </w:tc>
        <w:tc>
          <w:tcPr>
            <w:tcW w:w="442" w:type="pct"/>
            <w:tcBorders>
              <w:top w:val="single" w:sz="4" w:space="0" w:color="auto"/>
              <w:bottom w:val="nil"/>
            </w:tcBorders>
            <w:shd w:val="clear" w:color="auto" w:fill="000000"/>
          </w:tcPr>
          <w:p w:rsidR="00035233" w:rsidRDefault="00035233" w:rsidP="00A55E5D">
            <w:pPr>
              <w:pStyle w:val="04Tablesubheading"/>
              <w:keepNext w:val="0"/>
            </w:pPr>
          </w:p>
        </w:tc>
      </w:tr>
      <w:tr w:rsidR="00035233" w:rsidRPr="00194011" w:rsidTr="00035233">
        <w:trPr>
          <w:cantSplit/>
        </w:trPr>
        <w:tc>
          <w:tcPr>
            <w:tcW w:w="1766" w:type="pct"/>
            <w:tcBorders>
              <w:top w:val="nil"/>
              <w:bottom w:val="nil"/>
            </w:tcBorders>
            <w:shd w:val="clear" w:color="auto" w:fill="auto"/>
          </w:tcPr>
          <w:p w:rsidR="00035233" w:rsidRPr="006A237D" w:rsidRDefault="00035233" w:rsidP="00A55E5D">
            <w:pPr>
              <w:pStyle w:val="05Tabletext"/>
              <w:spacing w:after="100" w:afterAutospacing="1"/>
            </w:pPr>
            <w:r w:rsidRPr="006A237D">
              <w:lastRenderedPageBreak/>
              <w:t>ICS users at screening</w:t>
            </w:r>
          </w:p>
        </w:tc>
        <w:tc>
          <w:tcPr>
            <w:tcW w:w="558" w:type="pct"/>
            <w:tcBorders>
              <w:top w:val="nil"/>
              <w:bottom w:val="nil"/>
            </w:tcBorders>
            <w:shd w:val="clear" w:color="auto" w:fill="auto"/>
          </w:tcPr>
          <w:p w:rsidR="00035233" w:rsidRDefault="00035233" w:rsidP="00A55E5D">
            <w:pPr>
              <w:pStyle w:val="05Tabletext"/>
              <w:jc w:val="center"/>
            </w:pPr>
            <w:r>
              <w:t>246</w:t>
            </w:r>
          </w:p>
        </w:tc>
        <w:tc>
          <w:tcPr>
            <w:tcW w:w="558" w:type="pct"/>
            <w:tcBorders>
              <w:top w:val="nil"/>
              <w:bottom w:val="nil"/>
            </w:tcBorders>
            <w:shd w:val="clear" w:color="auto" w:fill="auto"/>
          </w:tcPr>
          <w:p w:rsidR="00035233" w:rsidRDefault="00035233" w:rsidP="00A55E5D">
            <w:pPr>
              <w:pStyle w:val="05Tabletext"/>
              <w:jc w:val="center"/>
            </w:pPr>
            <w:r>
              <w:t>147 (15)</w:t>
            </w:r>
          </w:p>
        </w:tc>
        <w:tc>
          <w:tcPr>
            <w:tcW w:w="559" w:type="pct"/>
            <w:tcBorders>
              <w:top w:val="nil"/>
              <w:bottom w:val="nil"/>
            </w:tcBorders>
            <w:shd w:val="clear" w:color="auto" w:fill="auto"/>
          </w:tcPr>
          <w:p w:rsidR="00035233" w:rsidRDefault="00035233" w:rsidP="00A55E5D">
            <w:pPr>
              <w:pStyle w:val="05Tabletext"/>
              <w:jc w:val="center"/>
            </w:pPr>
            <w:r>
              <w:t>229</w:t>
            </w:r>
          </w:p>
        </w:tc>
        <w:tc>
          <w:tcPr>
            <w:tcW w:w="558" w:type="pct"/>
            <w:tcBorders>
              <w:top w:val="nil"/>
              <w:bottom w:val="nil"/>
            </w:tcBorders>
            <w:shd w:val="clear" w:color="auto" w:fill="auto"/>
          </w:tcPr>
          <w:p w:rsidR="00035233" w:rsidRDefault="00035233" w:rsidP="00A55E5D">
            <w:pPr>
              <w:pStyle w:val="05Tabletext"/>
              <w:jc w:val="center"/>
            </w:pPr>
            <w:r>
              <w:t>81 (15)</w:t>
            </w:r>
          </w:p>
        </w:tc>
        <w:tc>
          <w:tcPr>
            <w:tcW w:w="559" w:type="pct"/>
            <w:tcBorders>
              <w:top w:val="nil"/>
              <w:bottom w:val="nil"/>
            </w:tcBorders>
            <w:shd w:val="clear" w:color="auto" w:fill="auto"/>
          </w:tcPr>
          <w:p w:rsidR="00035233" w:rsidRDefault="00035233" w:rsidP="00A55E5D">
            <w:pPr>
              <w:pStyle w:val="05Tabletext"/>
              <w:jc w:val="center"/>
            </w:pPr>
            <w:r>
              <w:t>66 (25,107)</w:t>
            </w:r>
          </w:p>
        </w:tc>
        <w:tc>
          <w:tcPr>
            <w:tcW w:w="442" w:type="pct"/>
            <w:tcBorders>
              <w:top w:val="nil"/>
              <w:bottom w:val="nil"/>
            </w:tcBorders>
            <w:shd w:val="clear" w:color="auto" w:fill="auto"/>
          </w:tcPr>
          <w:p w:rsidR="00035233" w:rsidRDefault="00035233" w:rsidP="00A55E5D">
            <w:pPr>
              <w:pStyle w:val="05Tabletext"/>
              <w:jc w:val="center"/>
            </w:pPr>
            <w:r>
              <w:t>0.002</w:t>
            </w:r>
          </w:p>
        </w:tc>
      </w:tr>
      <w:tr w:rsidR="00035233" w:rsidRPr="00194011" w:rsidTr="00035233">
        <w:trPr>
          <w:cantSplit/>
        </w:trPr>
        <w:tc>
          <w:tcPr>
            <w:tcW w:w="1766" w:type="pct"/>
            <w:tcBorders>
              <w:top w:val="nil"/>
              <w:bottom w:val="nil"/>
            </w:tcBorders>
            <w:shd w:val="clear" w:color="auto" w:fill="auto"/>
          </w:tcPr>
          <w:p w:rsidR="00035233" w:rsidRPr="006A237D" w:rsidRDefault="00035233" w:rsidP="00A55E5D">
            <w:pPr>
              <w:pStyle w:val="05Tabletext"/>
              <w:spacing w:after="100" w:afterAutospacing="1"/>
            </w:pPr>
            <w:r w:rsidRPr="006A237D">
              <w:t>ICS non-users at screening</w:t>
            </w:r>
          </w:p>
        </w:tc>
        <w:tc>
          <w:tcPr>
            <w:tcW w:w="558" w:type="pct"/>
            <w:tcBorders>
              <w:top w:val="nil"/>
              <w:bottom w:val="nil"/>
            </w:tcBorders>
            <w:shd w:val="clear" w:color="auto" w:fill="auto"/>
          </w:tcPr>
          <w:p w:rsidR="00035233" w:rsidRDefault="00035233" w:rsidP="00A55E5D">
            <w:pPr>
              <w:pStyle w:val="05Tabletext"/>
              <w:jc w:val="center"/>
            </w:pPr>
            <w:r>
              <w:t>262</w:t>
            </w:r>
          </w:p>
        </w:tc>
        <w:tc>
          <w:tcPr>
            <w:tcW w:w="558" w:type="pct"/>
            <w:tcBorders>
              <w:top w:val="nil"/>
              <w:bottom w:val="nil"/>
            </w:tcBorders>
            <w:shd w:val="clear" w:color="auto" w:fill="auto"/>
          </w:tcPr>
          <w:p w:rsidR="00035233" w:rsidRDefault="00035233" w:rsidP="00A55E5D">
            <w:pPr>
              <w:pStyle w:val="05Tabletext"/>
              <w:jc w:val="center"/>
            </w:pPr>
            <w:r>
              <w:t>146 (14)</w:t>
            </w:r>
          </w:p>
        </w:tc>
        <w:tc>
          <w:tcPr>
            <w:tcW w:w="559" w:type="pct"/>
            <w:tcBorders>
              <w:top w:val="nil"/>
              <w:bottom w:val="nil"/>
            </w:tcBorders>
            <w:shd w:val="clear" w:color="auto" w:fill="auto"/>
          </w:tcPr>
          <w:p w:rsidR="00035233" w:rsidRDefault="00035233" w:rsidP="00A55E5D">
            <w:pPr>
              <w:pStyle w:val="05Tabletext"/>
              <w:jc w:val="center"/>
            </w:pPr>
            <w:r>
              <w:t>275</w:t>
            </w:r>
          </w:p>
        </w:tc>
        <w:tc>
          <w:tcPr>
            <w:tcW w:w="558" w:type="pct"/>
            <w:tcBorders>
              <w:top w:val="nil"/>
              <w:bottom w:val="nil"/>
            </w:tcBorders>
            <w:shd w:val="clear" w:color="auto" w:fill="auto"/>
          </w:tcPr>
          <w:p w:rsidR="00035233" w:rsidRDefault="00035233" w:rsidP="00A55E5D">
            <w:pPr>
              <w:pStyle w:val="05Tabletext"/>
              <w:jc w:val="center"/>
            </w:pPr>
            <w:r>
              <w:t>104 (14)</w:t>
            </w:r>
          </w:p>
        </w:tc>
        <w:tc>
          <w:tcPr>
            <w:tcW w:w="559" w:type="pct"/>
            <w:tcBorders>
              <w:top w:val="nil"/>
              <w:bottom w:val="nil"/>
            </w:tcBorders>
            <w:shd w:val="clear" w:color="auto" w:fill="auto"/>
          </w:tcPr>
          <w:p w:rsidR="00035233" w:rsidRDefault="00035233" w:rsidP="00A55E5D">
            <w:pPr>
              <w:pStyle w:val="05Tabletext"/>
              <w:jc w:val="center"/>
            </w:pPr>
            <w:r>
              <w:t>42 (3,81)</w:t>
            </w:r>
          </w:p>
        </w:tc>
        <w:tc>
          <w:tcPr>
            <w:tcW w:w="442" w:type="pct"/>
            <w:tcBorders>
              <w:top w:val="nil"/>
              <w:bottom w:val="nil"/>
            </w:tcBorders>
            <w:shd w:val="clear" w:color="auto" w:fill="auto"/>
          </w:tcPr>
          <w:p w:rsidR="00035233" w:rsidRDefault="00035233" w:rsidP="00A55E5D">
            <w:pPr>
              <w:pStyle w:val="05Tabletext"/>
              <w:jc w:val="center"/>
            </w:pPr>
            <w:r>
              <w:t>0.035</w:t>
            </w:r>
          </w:p>
        </w:tc>
      </w:tr>
      <w:tr w:rsidR="00035233" w:rsidRPr="00194011" w:rsidTr="00035233">
        <w:trPr>
          <w:cantSplit/>
        </w:trPr>
        <w:tc>
          <w:tcPr>
            <w:tcW w:w="1766" w:type="pct"/>
            <w:tcBorders>
              <w:top w:val="nil"/>
              <w:bottom w:val="nil"/>
            </w:tcBorders>
            <w:shd w:val="clear" w:color="auto" w:fill="000000"/>
          </w:tcPr>
          <w:p w:rsidR="00035233" w:rsidRPr="006A237D" w:rsidRDefault="00035233" w:rsidP="00A55E5D">
            <w:pPr>
              <w:pStyle w:val="04Tablesubheading"/>
              <w:keepNext w:val="0"/>
            </w:pPr>
            <w:r>
              <w:t>ICS use and GOLD grade at screening</w:t>
            </w:r>
          </w:p>
        </w:tc>
        <w:tc>
          <w:tcPr>
            <w:tcW w:w="558" w:type="pct"/>
            <w:tcBorders>
              <w:top w:val="nil"/>
              <w:bottom w:val="nil"/>
            </w:tcBorders>
            <w:shd w:val="clear" w:color="auto" w:fill="000000"/>
          </w:tcPr>
          <w:p w:rsidR="00035233" w:rsidRDefault="00035233" w:rsidP="00A55E5D">
            <w:pPr>
              <w:pStyle w:val="04Tablesubheading"/>
              <w:keepNext w:val="0"/>
            </w:pPr>
          </w:p>
        </w:tc>
        <w:tc>
          <w:tcPr>
            <w:tcW w:w="558" w:type="pct"/>
            <w:tcBorders>
              <w:top w:val="nil"/>
              <w:bottom w:val="nil"/>
            </w:tcBorders>
            <w:shd w:val="clear" w:color="auto" w:fill="000000"/>
          </w:tcPr>
          <w:p w:rsidR="00035233" w:rsidRDefault="00035233" w:rsidP="00A55E5D">
            <w:pPr>
              <w:pStyle w:val="04Tablesubheading"/>
              <w:keepNext w:val="0"/>
            </w:pPr>
          </w:p>
        </w:tc>
        <w:tc>
          <w:tcPr>
            <w:tcW w:w="559" w:type="pct"/>
            <w:tcBorders>
              <w:top w:val="nil"/>
              <w:bottom w:val="nil"/>
            </w:tcBorders>
            <w:shd w:val="clear" w:color="auto" w:fill="000000"/>
          </w:tcPr>
          <w:p w:rsidR="00035233" w:rsidRDefault="00035233" w:rsidP="00A55E5D">
            <w:pPr>
              <w:pStyle w:val="04Tablesubheading"/>
              <w:keepNext w:val="0"/>
            </w:pPr>
          </w:p>
        </w:tc>
        <w:tc>
          <w:tcPr>
            <w:tcW w:w="558" w:type="pct"/>
            <w:tcBorders>
              <w:top w:val="nil"/>
              <w:bottom w:val="nil"/>
            </w:tcBorders>
            <w:shd w:val="clear" w:color="auto" w:fill="000000"/>
          </w:tcPr>
          <w:p w:rsidR="00035233" w:rsidRDefault="00035233" w:rsidP="00A55E5D">
            <w:pPr>
              <w:pStyle w:val="04Tablesubheading"/>
              <w:keepNext w:val="0"/>
            </w:pPr>
          </w:p>
        </w:tc>
        <w:tc>
          <w:tcPr>
            <w:tcW w:w="559" w:type="pct"/>
            <w:tcBorders>
              <w:top w:val="nil"/>
              <w:bottom w:val="nil"/>
            </w:tcBorders>
            <w:shd w:val="clear" w:color="auto" w:fill="000000"/>
          </w:tcPr>
          <w:p w:rsidR="00035233" w:rsidRDefault="00035233" w:rsidP="00A55E5D">
            <w:pPr>
              <w:pStyle w:val="04Tablesubheading"/>
              <w:keepNext w:val="0"/>
            </w:pPr>
          </w:p>
        </w:tc>
        <w:tc>
          <w:tcPr>
            <w:tcW w:w="442" w:type="pct"/>
            <w:tcBorders>
              <w:top w:val="nil"/>
              <w:bottom w:val="nil"/>
            </w:tcBorders>
            <w:shd w:val="clear" w:color="auto" w:fill="000000"/>
          </w:tcPr>
          <w:p w:rsidR="00035233" w:rsidRDefault="00035233" w:rsidP="00A55E5D">
            <w:pPr>
              <w:pStyle w:val="04Tablesubheading"/>
              <w:keepNext w:val="0"/>
            </w:pPr>
          </w:p>
        </w:tc>
      </w:tr>
      <w:tr w:rsidR="00035233" w:rsidRPr="00194011" w:rsidTr="00035233">
        <w:trPr>
          <w:cantSplit/>
        </w:trPr>
        <w:tc>
          <w:tcPr>
            <w:tcW w:w="1766" w:type="pct"/>
            <w:tcBorders>
              <w:top w:val="nil"/>
              <w:bottom w:val="nil"/>
            </w:tcBorders>
            <w:shd w:val="clear" w:color="auto" w:fill="auto"/>
          </w:tcPr>
          <w:p w:rsidR="00035233" w:rsidRPr="00925AF2" w:rsidRDefault="00035233" w:rsidP="00A55E5D">
            <w:pPr>
              <w:pStyle w:val="05Tabletext"/>
              <w:spacing w:after="100" w:afterAutospacing="1"/>
            </w:pPr>
            <w:r w:rsidRPr="00925AF2">
              <w:t>GOLD Grade 2 and ICS users at screening</w:t>
            </w:r>
          </w:p>
        </w:tc>
        <w:tc>
          <w:tcPr>
            <w:tcW w:w="558" w:type="pct"/>
            <w:tcBorders>
              <w:top w:val="nil"/>
              <w:bottom w:val="nil"/>
            </w:tcBorders>
            <w:shd w:val="clear" w:color="auto" w:fill="auto"/>
          </w:tcPr>
          <w:p w:rsidR="00035233" w:rsidRDefault="00035233" w:rsidP="00A55E5D">
            <w:pPr>
              <w:pStyle w:val="05Tabletext"/>
              <w:jc w:val="center"/>
            </w:pPr>
            <w:r>
              <w:t>122</w:t>
            </w:r>
          </w:p>
        </w:tc>
        <w:tc>
          <w:tcPr>
            <w:tcW w:w="558" w:type="pct"/>
            <w:tcBorders>
              <w:top w:val="nil"/>
              <w:bottom w:val="nil"/>
            </w:tcBorders>
            <w:shd w:val="clear" w:color="auto" w:fill="auto"/>
          </w:tcPr>
          <w:p w:rsidR="00035233" w:rsidRDefault="00035233" w:rsidP="00A55E5D">
            <w:pPr>
              <w:pStyle w:val="05Tabletext"/>
              <w:jc w:val="center"/>
            </w:pPr>
            <w:r>
              <w:t>172 (21)</w:t>
            </w:r>
          </w:p>
        </w:tc>
        <w:tc>
          <w:tcPr>
            <w:tcW w:w="559" w:type="pct"/>
            <w:tcBorders>
              <w:top w:val="nil"/>
              <w:bottom w:val="nil"/>
            </w:tcBorders>
            <w:shd w:val="clear" w:color="auto" w:fill="auto"/>
          </w:tcPr>
          <w:p w:rsidR="00035233" w:rsidRDefault="00035233" w:rsidP="00A55E5D">
            <w:pPr>
              <w:pStyle w:val="05Tabletext"/>
              <w:jc w:val="center"/>
            </w:pPr>
            <w:r>
              <w:t>114</w:t>
            </w:r>
          </w:p>
        </w:tc>
        <w:tc>
          <w:tcPr>
            <w:tcW w:w="558" w:type="pct"/>
            <w:tcBorders>
              <w:top w:val="nil"/>
              <w:bottom w:val="nil"/>
            </w:tcBorders>
            <w:shd w:val="clear" w:color="auto" w:fill="auto"/>
          </w:tcPr>
          <w:p w:rsidR="00035233" w:rsidRDefault="00035233" w:rsidP="00A55E5D">
            <w:pPr>
              <w:pStyle w:val="05Tabletext"/>
              <w:jc w:val="center"/>
            </w:pPr>
            <w:r>
              <w:t>108 (21)</w:t>
            </w:r>
          </w:p>
        </w:tc>
        <w:tc>
          <w:tcPr>
            <w:tcW w:w="559" w:type="pct"/>
            <w:tcBorders>
              <w:top w:val="nil"/>
              <w:bottom w:val="nil"/>
            </w:tcBorders>
            <w:shd w:val="clear" w:color="auto" w:fill="auto"/>
          </w:tcPr>
          <w:p w:rsidR="00035233" w:rsidRDefault="00035233" w:rsidP="00A55E5D">
            <w:pPr>
              <w:pStyle w:val="05Tabletext"/>
              <w:jc w:val="center"/>
            </w:pPr>
            <w:r>
              <w:t>64 (6,122)</w:t>
            </w:r>
          </w:p>
        </w:tc>
        <w:tc>
          <w:tcPr>
            <w:tcW w:w="442" w:type="pct"/>
            <w:tcBorders>
              <w:top w:val="nil"/>
              <w:bottom w:val="nil"/>
            </w:tcBorders>
            <w:shd w:val="clear" w:color="auto" w:fill="auto"/>
          </w:tcPr>
          <w:p w:rsidR="00035233" w:rsidRDefault="00035233" w:rsidP="00A55E5D">
            <w:pPr>
              <w:pStyle w:val="05Tabletext"/>
              <w:jc w:val="center"/>
            </w:pPr>
            <w:r>
              <w:t>0.030</w:t>
            </w:r>
          </w:p>
        </w:tc>
      </w:tr>
      <w:tr w:rsidR="00035233" w:rsidRPr="00194011" w:rsidTr="00035233">
        <w:trPr>
          <w:cantSplit/>
        </w:trPr>
        <w:tc>
          <w:tcPr>
            <w:tcW w:w="1766" w:type="pct"/>
            <w:tcBorders>
              <w:top w:val="nil"/>
              <w:bottom w:val="nil"/>
            </w:tcBorders>
            <w:shd w:val="clear" w:color="auto" w:fill="auto"/>
          </w:tcPr>
          <w:p w:rsidR="00035233" w:rsidRPr="00925AF2" w:rsidRDefault="00035233" w:rsidP="00A55E5D">
            <w:pPr>
              <w:pStyle w:val="05Tabletext"/>
              <w:spacing w:after="100" w:afterAutospacing="1"/>
            </w:pPr>
            <w:r w:rsidRPr="00925AF2">
              <w:t>GOLD Grade 2 and ICS non-users at screening</w:t>
            </w:r>
          </w:p>
        </w:tc>
        <w:tc>
          <w:tcPr>
            <w:tcW w:w="558" w:type="pct"/>
            <w:tcBorders>
              <w:top w:val="nil"/>
              <w:bottom w:val="nil"/>
            </w:tcBorders>
            <w:shd w:val="clear" w:color="auto" w:fill="auto"/>
          </w:tcPr>
          <w:p w:rsidR="00035233" w:rsidRDefault="00035233" w:rsidP="00A55E5D">
            <w:pPr>
              <w:pStyle w:val="05Tabletext"/>
              <w:jc w:val="center"/>
            </w:pPr>
            <w:r>
              <w:t>159</w:t>
            </w:r>
          </w:p>
        </w:tc>
        <w:tc>
          <w:tcPr>
            <w:tcW w:w="558" w:type="pct"/>
            <w:tcBorders>
              <w:top w:val="nil"/>
              <w:bottom w:val="nil"/>
            </w:tcBorders>
            <w:shd w:val="clear" w:color="auto" w:fill="auto"/>
          </w:tcPr>
          <w:p w:rsidR="00035233" w:rsidRDefault="00035233" w:rsidP="00A55E5D">
            <w:pPr>
              <w:pStyle w:val="05Tabletext"/>
              <w:jc w:val="center"/>
            </w:pPr>
            <w:r>
              <w:t>181 (19)</w:t>
            </w:r>
          </w:p>
        </w:tc>
        <w:tc>
          <w:tcPr>
            <w:tcW w:w="559" w:type="pct"/>
            <w:tcBorders>
              <w:top w:val="nil"/>
              <w:bottom w:val="nil"/>
            </w:tcBorders>
            <w:shd w:val="clear" w:color="auto" w:fill="auto"/>
          </w:tcPr>
          <w:p w:rsidR="00035233" w:rsidRDefault="00035233" w:rsidP="00A55E5D">
            <w:pPr>
              <w:pStyle w:val="05Tabletext"/>
              <w:jc w:val="center"/>
            </w:pPr>
            <w:r>
              <w:t>167</w:t>
            </w:r>
          </w:p>
        </w:tc>
        <w:tc>
          <w:tcPr>
            <w:tcW w:w="558" w:type="pct"/>
            <w:tcBorders>
              <w:top w:val="nil"/>
              <w:bottom w:val="nil"/>
            </w:tcBorders>
            <w:shd w:val="clear" w:color="auto" w:fill="auto"/>
          </w:tcPr>
          <w:p w:rsidR="00035233" w:rsidRDefault="00035233" w:rsidP="00A55E5D">
            <w:pPr>
              <w:pStyle w:val="05Tabletext"/>
              <w:jc w:val="center"/>
            </w:pPr>
            <w:r>
              <w:t>119 (18)</w:t>
            </w:r>
          </w:p>
        </w:tc>
        <w:tc>
          <w:tcPr>
            <w:tcW w:w="559" w:type="pct"/>
            <w:tcBorders>
              <w:top w:val="nil"/>
              <w:bottom w:val="nil"/>
            </w:tcBorders>
            <w:shd w:val="clear" w:color="auto" w:fill="auto"/>
          </w:tcPr>
          <w:p w:rsidR="00035233" w:rsidRDefault="00035233" w:rsidP="00A55E5D">
            <w:pPr>
              <w:pStyle w:val="05Tabletext"/>
              <w:jc w:val="center"/>
            </w:pPr>
            <w:r>
              <w:t>62 (13,111)</w:t>
            </w:r>
          </w:p>
        </w:tc>
        <w:tc>
          <w:tcPr>
            <w:tcW w:w="442" w:type="pct"/>
            <w:tcBorders>
              <w:top w:val="nil"/>
              <w:bottom w:val="nil"/>
            </w:tcBorders>
            <w:shd w:val="clear" w:color="auto" w:fill="auto"/>
          </w:tcPr>
          <w:p w:rsidR="00035233" w:rsidRDefault="00035233" w:rsidP="00A55E5D">
            <w:pPr>
              <w:pStyle w:val="05Tabletext"/>
              <w:jc w:val="center"/>
            </w:pPr>
            <w:r>
              <w:t>0.013</w:t>
            </w:r>
          </w:p>
        </w:tc>
      </w:tr>
      <w:tr w:rsidR="00035233" w:rsidRPr="00194011" w:rsidTr="00035233">
        <w:trPr>
          <w:cantSplit/>
        </w:trPr>
        <w:tc>
          <w:tcPr>
            <w:tcW w:w="1766" w:type="pct"/>
            <w:tcBorders>
              <w:top w:val="nil"/>
              <w:bottom w:val="nil"/>
            </w:tcBorders>
            <w:shd w:val="clear" w:color="auto" w:fill="auto"/>
          </w:tcPr>
          <w:p w:rsidR="00035233" w:rsidRPr="00925AF2" w:rsidRDefault="00035233" w:rsidP="00A55E5D">
            <w:pPr>
              <w:pStyle w:val="05Tabletext"/>
              <w:spacing w:after="100" w:afterAutospacing="1"/>
            </w:pPr>
            <w:r w:rsidRPr="00925AF2">
              <w:t>GOLD Grade 3 and ICS users at screening</w:t>
            </w:r>
          </w:p>
        </w:tc>
        <w:tc>
          <w:tcPr>
            <w:tcW w:w="558" w:type="pct"/>
            <w:tcBorders>
              <w:top w:val="nil"/>
              <w:bottom w:val="nil"/>
            </w:tcBorders>
            <w:shd w:val="clear" w:color="auto" w:fill="auto"/>
          </w:tcPr>
          <w:p w:rsidR="00035233" w:rsidRDefault="00035233" w:rsidP="00A55E5D">
            <w:pPr>
              <w:pStyle w:val="05Tabletext"/>
              <w:jc w:val="center"/>
            </w:pPr>
            <w:r>
              <w:t>124</w:t>
            </w:r>
          </w:p>
        </w:tc>
        <w:tc>
          <w:tcPr>
            <w:tcW w:w="558" w:type="pct"/>
            <w:tcBorders>
              <w:top w:val="nil"/>
              <w:bottom w:val="nil"/>
            </w:tcBorders>
            <w:shd w:val="clear" w:color="auto" w:fill="auto"/>
          </w:tcPr>
          <w:p w:rsidR="00035233" w:rsidRDefault="00035233" w:rsidP="00A55E5D">
            <w:pPr>
              <w:pStyle w:val="05Tabletext"/>
              <w:jc w:val="center"/>
            </w:pPr>
            <w:r>
              <w:t>118 (22)</w:t>
            </w:r>
          </w:p>
        </w:tc>
        <w:tc>
          <w:tcPr>
            <w:tcW w:w="559" w:type="pct"/>
            <w:tcBorders>
              <w:top w:val="nil"/>
              <w:bottom w:val="nil"/>
            </w:tcBorders>
            <w:shd w:val="clear" w:color="auto" w:fill="auto"/>
          </w:tcPr>
          <w:p w:rsidR="00035233" w:rsidRDefault="00035233" w:rsidP="00A55E5D">
            <w:pPr>
              <w:pStyle w:val="05Tabletext"/>
              <w:jc w:val="center"/>
            </w:pPr>
            <w:r>
              <w:t>115</w:t>
            </w:r>
          </w:p>
        </w:tc>
        <w:tc>
          <w:tcPr>
            <w:tcW w:w="558" w:type="pct"/>
            <w:tcBorders>
              <w:top w:val="nil"/>
              <w:bottom w:val="nil"/>
            </w:tcBorders>
            <w:shd w:val="clear" w:color="auto" w:fill="auto"/>
          </w:tcPr>
          <w:p w:rsidR="00035233" w:rsidRDefault="00035233" w:rsidP="00A55E5D">
            <w:pPr>
              <w:pStyle w:val="05Tabletext"/>
              <w:jc w:val="center"/>
            </w:pPr>
            <w:r>
              <w:t>53 (22)</w:t>
            </w:r>
          </w:p>
        </w:tc>
        <w:tc>
          <w:tcPr>
            <w:tcW w:w="559" w:type="pct"/>
            <w:tcBorders>
              <w:top w:val="nil"/>
              <w:bottom w:val="nil"/>
            </w:tcBorders>
            <w:shd w:val="clear" w:color="auto" w:fill="auto"/>
          </w:tcPr>
          <w:p w:rsidR="00035233" w:rsidRDefault="00035233" w:rsidP="00A55E5D">
            <w:pPr>
              <w:pStyle w:val="05Tabletext"/>
              <w:jc w:val="center"/>
            </w:pPr>
            <w:r>
              <w:t>65 (7,123)</w:t>
            </w:r>
          </w:p>
        </w:tc>
        <w:tc>
          <w:tcPr>
            <w:tcW w:w="442" w:type="pct"/>
            <w:tcBorders>
              <w:top w:val="nil"/>
              <w:bottom w:val="nil"/>
            </w:tcBorders>
            <w:shd w:val="clear" w:color="auto" w:fill="auto"/>
          </w:tcPr>
          <w:p w:rsidR="00035233" w:rsidRDefault="00035233" w:rsidP="00A55E5D">
            <w:pPr>
              <w:pStyle w:val="05Tabletext"/>
              <w:jc w:val="center"/>
            </w:pPr>
            <w:r>
              <w:t>0.028</w:t>
            </w:r>
          </w:p>
        </w:tc>
      </w:tr>
      <w:tr w:rsidR="00035233" w:rsidRPr="00194011" w:rsidTr="00035233">
        <w:trPr>
          <w:cantSplit/>
        </w:trPr>
        <w:tc>
          <w:tcPr>
            <w:tcW w:w="1766" w:type="pct"/>
            <w:tcBorders>
              <w:top w:val="nil"/>
            </w:tcBorders>
            <w:shd w:val="clear" w:color="auto" w:fill="auto"/>
          </w:tcPr>
          <w:p w:rsidR="00035233" w:rsidRPr="00925AF2" w:rsidRDefault="00035233" w:rsidP="00A55E5D">
            <w:pPr>
              <w:pStyle w:val="05Tabletext"/>
              <w:spacing w:after="100" w:afterAutospacing="1"/>
            </w:pPr>
            <w:r w:rsidRPr="00925AF2">
              <w:t>GOLD Grade 3 and ICS non-users at screening</w:t>
            </w:r>
          </w:p>
        </w:tc>
        <w:tc>
          <w:tcPr>
            <w:tcW w:w="558" w:type="pct"/>
            <w:tcBorders>
              <w:top w:val="nil"/>
            </w:tcBorders>
            <w:shd w:val="clear" w:color="auto" w:fill="auto"/>
          </w:tcPr>
          <w:p w:rsidR="00035233" w:rsidRDefault="00035233" w:rsidP="00A55E5D">
            <w:pPr>
              <w:pStyle w:val="05Tabletext"/>
              <w:jc w:val="center"/>
            </w:pPr>
            <w:r>
              <w:t>102</w:t>
            </w:r>
          </w:p>
        </w:tc>
        <w:tc>
          <w:tcPr>
            <w:tcW w:w="558" w:type="pct"/>
            <w:tcBorders>
              <w:top w:val="nil"/>
            </w:tcBorders>
            <w:shd w:val="clear" w:color="auto" w:fill="auto"/>
          </w:tcPr>
          <w:p w:rsidR="00035233" w:rsidRDefault="00035233" w:rsidP="00A55E5D">
            <w:pPr>
              <w:pStyle w:val="05Tabletext"/>
              <w:jc w:val="center"/>
            </w:pPr>
            <w:r>
              <w:t>97 (24)</w:t>
            </w:r>
          </w:p>
        </w:tc>
        <w:tc>
          <w:tcPr>
            <w:tcW w:w="559" w:type="pct"/>
            <w:tcBorders>
              <w:top w:val="nil"/>
            </w:tcBorders>
            <w:shd w:val="clear" w:color="auto" w:fill="auto"/>
          </w:tcPr>
          <w:p w:rsidR="00035233" w:rsidRDefault="00035233" w:rsidP="00A55E5D">
            <w:pPr>
              <w:pStyle w:val="05Tabletext"/>
              <w:jc w:val="center"/>
            </w:pPr>
            <w:r>
              <w:t>108</w:t>
            </w:r>
          </w:p>
        </w:tc>
        <w:tc>
          <w:tcPr>
            <w:tcW w:w="558" w:type="pct"/>
            <w:tcBorders>
              <w:top w:val="nil"/>
            </w:tcBorders>
            <w:shd w:val="clear" w:color="auto" w:fill="auto"/>
          </w:tcPr>
          <w:p w:rsidR="00035233" w:rsidRDefault="00035233" w:rsidP="00A55E5D">
            <w:pPr>
              <w:pStyle w:val="05Tabletext"/>
              <w:jc w:val="center"/>
            </w:pPr>
            <w:r>
              <w:t>88 (23)</w:t>
            </w:r>
          </w:p>
        </w:tc>
        <w:tc>
          <w:tcPr>
            <w:tcW w:w="559" w:type="pct"/>
            <w:tcBorders>
              <w:top w:val="nil"/>
            </w:tcBorders>
            <w:shd w:val="clear" w:color="auto" w:fill="auto"/>
          </w:tcPr>
          <w:p w:rsidR="00035233" w:rsidRDefault="00035233" w:rsidP="00A55E5D">
            <w:pPr>
              <w:pStyle w:val="05Tabletext"/>
              <w:jc w:val="center"/>
            </w:pPr>
            <w:r>
              <w:t>9 (–55,72)</w:t>
            </w:r>
          </w:p>
        </w:tc>
        <w:tc>
          <w:tcPr>
            <w:tcW w:w="442" w:type="pct"/>
            <w:tcBorders>
              <w:top w:val="nil"/>
            </w:tcBorders>
            <w:shd w:val="clear" w:color="auto" w:fill="auto"/>
          </w:tcPr>
          <w:p w:rsidR="00035233" w:rsidRDefault="00035233" w:rsidP="00A55E5D">
            <w:pPr>
              <w:pStyle w:val="05Tabletext"/>
              <w:jc w:val="center"/>
            </w:pPr>
            <w:r>
              <w:t>0.784</w:t>
            </w:r>
          </w:p>
        </w:tc>
      </w:tr>
    </w:tbl>
    <w:p w:rsidR="00035233" w:rsidRDefault="00035233" w:rsidP="00A55E5D">
      <w:pPr>
        <w:pStyle w:val="10TableorFigurefootnote"/>
        <w:keepNext w:val="0"/>
      </w:pPr>
      <w:r>
        <w:t>Source: Feldman (2016), Figure 2 (p 724), Table 2 (p 724), Table S4 (online).</w:t>
      </w:r>
    </w:p>
    <w:p w:rsidR="00035233" w:rsidRDefault="00035233" w:rsidP="00A55E5D">
      <w:pPr>
        <w:pStyle w:val="10TableorFigurefootnote"/>
        <w:keepNext w:val="0"/>
      </w:pPr>
      <w:r>
        <w:t>Abbreviations: CI, confidence interval; FEV</w:t>
      </w:r>
      <w:r>
        <w:rPr>
          <w:vertAlign w:val="subscript"/>
        </w:rPr>
        <w:t>1</w:t>
      </w:r>
      <w:r>
        <w:t xml:space="preserve">, forced expiratory volume in one second; GOLD, Global Initiative for chronic Obstructive Lung Disease; ITT, intention-to-treat; LS, least squares; NR, not reported; ns, non-significant; PP, per protocol; SE, standard error; TIO, tiotropium; UME, </w:t>
      </w:r>
      <w:r w:rsidRPr="00BE7D82">
        <w:t>umeclidinium</w:t>
      </w:r>
      <w:r>
        <w:t>.</w:t>
      </w:r>
    </w:p>
    <w:p w:rsidR="00035233" w:rsidRDefault="00035233" w:rsidP="00A55E5D">
      <w:pPr>
        <w:pStyle w:val="10TableorFigurefootnote"/>
        <w:keepNext w:val="0"/>
      </w:pPr>
      <w:r>
        <w:t>Note: Results are based on the PP population unless otherwise specified (PP: all patients in the ITT population, including those who did not complete the study, who did not have a protocol deviation considered to impact efficacy).</w:t>
      </w:r>
    </w:p>
    <w:p w:rsidR="00035233" w:rsidRDefault="00035233" w:rsidP="00A55E5D">
      <w:pPr>
        <w:pStyle w:val="11TableorFigurefootnotenostick"/>
      </w:pPr>
      <w:r>
        <w:rPr>
          <w:b/>
        </w:rPr>
        <w:t>a</w:t>
      </w:r>
      <w:r>
        <w:t xml:space="preserve"> </w:t>
      </w:r>
      <w:r w:rsidRPr="000076A1">
        <w:t>All post hoc analyses were performed using a repeated measures model with covariates of treatment, baseline FEV</w:t>
      </w:r>
      <w:r w:rsidRPr="000076A1">
        <w:rPr>
          <w:vertAlign w:val="subscript"/>
        </w:rPr>
        <w:t xml:space="preserve">1 </w:t>
      </w:r>
      <w:r w:rsidRPr="000076A1">
        <w:t>(mean of the two assessments made 30 min and 5 min pre-dose on Day 1), centre group, 24 h</w:t>
      </w:r>
      <w:r>
        <w:t>r</w:t>
      </w:r>
      <w:r w:rsidRPr="000076A1">
        <w:t xml:space="preserve"> subset flag, GOLD grade/GOLD group/ICS use, day, day-by-baseline and day-by-GOLD grade/GOLD group/ICS use and Day by GOLD grade/GOLD group/ICS use by treatment interactions.</w:t>
      </w:r>
    </w:p>
    <w:p w:rsidR="00035233" w:rsidRDefault="00035233" w:rsidP="00035233">
      <w:pPr>
        <w:pStyle w:val="BodyText"/>
      </w:pPr>
      <w:r>
        <w:t xml:space="preserve">The results shown above demonstrate that umeclidinium </w:t>
      </w:r>
      <w:r w:rsidRPr="00433987">
        <w:t>was found to be non-inferior and</w:t>
      </w:r>
      <w:r w:rsidR="00A4660F">
        <w:t>, on a subsequent superiority analysis,</w:t>
      </w:r>
      <w:r w:rsidRPr="00433987">
        <w:t xml:space="preserve"> superior to </w:t>
      </w:r>
      <w:r>
        <w:t xml:space="preserve">tiotropium, based on </w:t>
      </w:r>
      <w:r w:rsidRPr="00433987">
        <w:t>trough FEV</w:t>
      </w:r>
      <w:r w:rsidRPr="00DB4020">
        <w:rPr>
          <w:vertAlign w:val="subscript"/>
        </w:rPr>
        <w:t>1</w:t>
      </w:r>
      <w:r>
        <w:t>. Similar differences were observed in the PP and intention-to-treat (ITT) populations.</w:t>
      </w:r>
      <w:r w:rsidRPr="00563F5D">
        <w:t xml:space="preserve"> </w:t>
      </w:r>
      <w:r w:rsidR="003E6962">
        <w:t>Superiority was shown after four</w:t>
      </w:r>
      <w:r>
        <w:t xml:space="preserve"> weeks of treatment and maintained until the end o</w:t>
      </w:r>
      <w:r w:rsidR="003E6962">
        <w:t>f the 12-</w:t>
      </w:r>
      <w:r>
        <w:t>week study.</w:t>
      </w:r>
    </w:p>
    <w:p w:rsidR="00035233" w:rsidRDefault="00035233" w:rsidP="00035233">
      <w:pPr>
        <w:pStyle w:val="BodyText"/>
      </w:pPr>
      <w:r>
        <w:t xml:space="preserve">The subgroup analyses in </w:t>
      </w:r>
      <w:r w:rsidR="00C25BA8">
        <w:t xml:space="preserve">Table 3.11 </w:t>
      </w:r>
      <w:r>
        <w:t>generally favoured umeclidinium over tiotropium; however</w:t>
      </w:r>
      <w:r w:rsidR="003E6962">
        <w:t>,</w:t>
      </w:r>
      <w:r>
        <w:t xml:space="preserve"> the treatment difference was more pronounced in some subgroups than others. For instance, a statistically significant difference was observed in the least squares mean change from baseline in trough FEV</w:t>
      </w:r>
      <w:r>
        <w:rPr>
          <w:vertAlign w:val="subscript"/>
        </w:rPr>
        <w:t>1</w:t>
      </w:r>
      <w:r>
        <w:t xml:space="preserve"> in favour of umeclidinium versus tiotropium for patients with GOLD Grade 2 COPD, but not for patients with GOLD Grade 3 COPD at </w:t>
      </w:r>
      <w:r w:rsidR="004B3085">
        <w:t>D</w:t>
      </w:r>
      <w:r>
        <w:t>ay 85.</w:t>
      </w:r>
    </w:p>
    <w:p w:rsidR="00035233" w:rsidRPr="00EE6AD2" w:rsidRDefault="00035233" w:rsidP="00035233">
      <w:pPr>
        <w:pStyle w:val="BodyText"/>
      </w:pPr>
      <w:r>
        <w:t>An analysis of responders was conducted that also showed a statistically significant difference, in favour of umeclidinium, in the proportion of patients with an increase of ≥100 mL above baseline in trough FEV</w:t>
      </w:r>
      <w:r>
        <w:rPr>
          <w:vertAlign w:val="subscript"/>
        </w:rPr>
        <w:t>1</w:t>
      </w:r>
      <w:r>
        <w:t xml:space="preserve"> (see</w:t>
      </w:r>
      <w:r w:rsidR="001A68EF">
        <w:t xml:space="preserve"> </w:t>
      </w:r>
      <w:r w:rsidR="00C25BA8">
        <w:t>Table 3.12</w:t>
      </w:r>
      <w:r>
        <w:t>).</w:t>
      </w:r>
    </w:p>
    <w:p w:rsidR="00035233" w:rsidRDefault="00C25BA8" w:rsidP="001A68EF">
      <w:pPr>
        <w:pStyle w:val="ToR3Tableheader"/>
      </w:pPr>
      <w:bookmarkStart w:id="107" w:name="_Toc467782104"/>
      <w:bookmarkStart w:id="108" w:name="_Toc468012292"/>
      <w:bookmarkStart w:id="109" w:name="_Toc468034448"/>
      <w:bookmarkStart w:id="110" w:name="_Toc471891004"/>
      <w:bookmarkStart w:id="111" w:name="_Toc486428191"/>
      <w:r>
        <w:t>Table 3.12</w:t>
      </w:r>
      <w:r w:rsidR="00035233">
        <w:tab/>
        <w:t xml:space="preserve">Proportion of patients with an increase of </w:t>
      </w:r>
      <w:r w:rsidR="00035233">
        <w:rPr>
          <w:rFonts w:cs="Arial"/>
        </w:rPr>
        <w:t>≥</w:t>
      </w:r>
      <w:r w:rsidR="00035233">
        <w:t xml:space="preserve">100 mL above baseline in trough </w:t>
      </w:r>
      <w:r w:rsidR="00035233" w:rsidRPr="00BB1563">
        <w:t>FEV</w:t>
      </w:r>
      <w:r w:rsidR="00035233" w:rsidRPr="00BB1563">
        <w:rPr>
          <w:vertAlign w:val="subscript"/>
        </w:rPr>
        <w:t>1</w:t>
      </w:r>
      <w:r w:rsidR="00035233">
        <w:t xml:space="preserve"> – UME vs TIO</w:t>
      </w:r>
      <w:bookmarkEnd w:id="107"/>
      <w:bookmarkEnd w:id="108"/>
      <w:bookmarkEnd w:id="109"/>
      <w:bookmarkEnd w:id="110"/>
      <w:bookmarkEnd w:id="1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Caption w:val="Proportion of patients with an increase of ≥100 mL above baseline in trough FEV1 "/>
        <w:tblDescription w:val="Umeclidinium versus tiotropium"/>
      </w:tblPr>
      <w:tblGrid>
        <w:gridCol w:w="3833"/>
        <w:gridCol w:w="1560"/>
        <w:gridCol w:w="1559"/>
        <w:gridCol w:w="1571"/>
        <w:gridCol w:w="1125"/>
      </w:tblGrid>
      <w:tr w:rsidR="00035233" w:rsidRPr="00F01736" w:rsidTr="00035233">
        <w:trPr>
          <w:cantSplit/>
        </w:trPr>
        <w:tc>
          <w:tcPr>
            <w:tcW w:w="1986" w:type="pct"/>
            <w:shd w:val="clear" w:color="auto" w:fill="BFBFBF"/>
          </w:tcPr>
          <w:p w:rsidR="00035233" w:rsidRPr="000F4939" w:rsidRDefault="00035233" w:rsidP="00035233">
            <w:pPr>
              <w:pStyle w:val="01TableHEADINGleftaligned"/>
            </w:pPr>
            <w:r>
              <w:t>Trough FEV</w:t>
            </w:r>
            <w:r>
              <w:rPr>
                <w:vertAlign w:val="subscript"/>
              </w:rPr>
              <w:t xml:space="preserve">1 </w:t>
            </w:r>
            <w:r>
              <w:t>increase ≥100 mL above baseline</w:t>
            </w:r>
          </w:p>
        </w:tc>
        <w:tc>
          <w:tcPr>
            <w:tcW w:w="808" w:type="pct"/>
            <w:tcBorders>
              <w:right w:val="single" w:sz="4" w:space="0" w:color="auto"/>
            </w:tcBorders>
            <w:shd w:val="clear" w:color="auto" w:fill="BFBFBF"/>
          </w:tcPr>
          <w:p w:rsidR="00035233" w:rsidRPr="00F01736" w:rsidRDefault="00035233" w:rsidP="00035233">
            <w:pPr>
              <w:pStyle w:val="01TableHEADINGleftaligned"/>
              <w:jc w:val="center"/>
            </w:pPr>
            <w:r>
              <w:t>UME (n=485)</w:t>
            </w:r>
          </w:p>
        </w:tc>
        <w:tc>
          <w:tcPr>
            <w:tcW w:w="808" w:type="pct"/>
            <w:tcBorders>
              <w:left w:val="single" w:sz="4" w:space="0" w:color="auto"/>
            </w:tcBorders>
            <w:shd w:val="clear" w:color="auto" w:fill="BFBFBF"/>
          </w:tcPr>
          <w:p w:rsidR="00035233" w:rsidRPr="00F01736" w:rsidRDefault="00035233" w:rsidP="00035233">
            <w:pPr>
              <w:pStyle w:val="01TableHEADINGleftaligned"/>
              <w:ind w:left="0"/>
              <w:jc w:val="center"/>
            </w:pPr>
            <w:r>
              <w:t>TIO (n=484)</w:t>
            </w:r>
          </w:p>
        </w:tc>
        <w:tc>
          <w:tcPr>
            <w:tcW w:w="814" w:type="pct"/>
            <w:shd w:val="clear" w:color="auto" w:fill="BFBFBF"/>
          </w:tcPr>
          <w:p w:rsidR="00035233" w:rsidRPr="00F01736" w:rsidRDefault="00035233" w:rsidP="00035233">
            <w:pPr>
              <w:pStyle w:val="01TableHEADINGleftaligned"/>
              <w:jc w:val="center"/>
            </w:pPr>
            <w:r>
              <w:t>OR (95% CI)</w:t>
            </w:r>
          </w:p>
        </w:tc>
        <w:tc>
          <w:tcPr>
            <w:tcW w:w="583" w:type="pct"/>
            <w:shd w:val="clear" w:color="auto" w:fill="BFBFBF"/>
          </w:tcPr>
          <w:p w:rsidR="00035233" w:rsidRPr="00F01736" w:rsidRDefault="00035233" w:rsidP="00035233">
            <w:pPr>
              <w:pStyle w:val="01TableHEADINGleftaligned"/>
              <w:jc w:val="center"/>
            </w:pPr>
            <w:r w:rsidRPr="00F01736">
              <w:t>p-</w:t>
            </w:r>
            <w:r w:rsidRPr="00DE60B1">
              <w:t>value</w:t>
            </w:r>
          </w:p>
        </w:tc>
      </w:tr>
      <w:tr w:rsidR="00035233" w:rsidRPr="00194011" w:rsidTr="00035233">
        <w:trPr>
          <w:cantSplit/>
        </w:trPr>
        <w:tc>
          <w:tcPr>
            <w:tcW w:w="1986" w:type="pct"/>
            <w:shd w:val="clear" w:color="auto" w:fill="auto"/>
          </w:tcPr>
          <w:p w:rsidR="00035233" w:rsidRPr="00194011" w:rsidRDefault="00035233" w:rsidP="00035233">
            <w:pPr>
              <w:pStyle w:val="05Tabletext"/>
              <w:keepNext/>
              <w:rPr>
                <w:b/>
              </w:rPr>
            </w:pPr>
            <w:r>
              <w:t xml:space="preserve">Proportion of responders on </w:t>
            </w:r>
            <w:r w:rsidR="004B3085">
              <w:t>D</w:t>
            </w:r>
            <w:r>
              <w:t>ay 2, %</w:t>
            </w:r>
          </w:p>
        </w:tc>
        <w:tc>
          <w:tcPr>
            <w:tcW w:w="808" w:type="pct"/>
            <w:shd w:val="clear" w:color="auto" w:fill="auto"/>
          </w:tcPr>
          <w:p w:rsidR="00035233" w:rsidRPr="00AB3BDC" w:rsidRDefault="00035233" w:rsidP="00035233">
            <w:pPr>
              <w:pStyle w:val="05Tabletext"/>
              <w:keepNext/>
              <w:jc w:val="center"/>
            </w:pPr>
            <w:r>
              <w:t>51</w:t>
            </w:r>
          </w:p>
        </w:tc>
        <w:tc>
          <w:tcPr>
            <w:tcW w:w="808" w:type="pct"/>
            <w:shd w:val="clear" w:color="auto" w:fill="auto"/>
          </w:tcPr>
          <w:p w:rsidR="00035233" w:rsidRPr="00BC7782" w:rsidRDefault="00035233" w:rsidP="00035233">
            <w:pPr>
              <w:pStyle w:val="05Tabletext"/>
              <w:keepNext/>
              <w:jc w:val="center"/>
            </w:pPr>
            <w:r>
              <w:t>48</w:t>
            </w:r>
          </w:p>
        </w:tc>
        <w:tc>
          <w:tcPr>
            <w:tcW w:w="814" w:type="pct"/>
            <w:shd w:val="clear" w:color="auto" w:fill="auto"/>
          </w:tcPr>
          <w:p w:rsidR="00035233" w:rsidRPr="00194011" w:rsidRDefault="00035233" w:rsidP="00035233">
            <w:pPr>
              <w:pStyle w:val="05Tabletext"/>
              <w:keepNext/>
              <w:jc w:val="center"/>
            </w:pPr>
            <w:r>
              <w:t>1.13 (0.88, 1.45)</w:t>
            </w:r>
          </w:p>
        </w:tc>
        <w:tc>
          <w:tcPr>
            <w:tcW w:w="583" w:type="pct"/>
            <w:shd w:val="clear" w:color="auto" w:fill="auto"/>
          </w:tcPr>
          <w:p w:rsidR="00035233" w:rsidRPr="00194011" w:rsidRDefault="00035233" w:rsidP="00035233">
            <w:pPr>
              <w:pStyle w:val="05Tabletext"/>
              <w:keepNext/>
              <w:jc w:val="center"/>
            </w:pPr>
            <w:r>
              <w:t>ns</w:t>
            </w:r>
          </w:p>
        </w:tc>
      </w:tr>
      <w:tr w:rsidR="00035233" w:rsidRPr="00194011" w:rsidTr="00035233">
        <w:trPr>
          <w:cantSplit/>
        </w:trPr>
        <w:tc>
          <w:tcPr>
            <w:tcW w:w="1986" w:type="pct"/>
            <w:shd w:val="clear" w:color="auto" w:fill="auto"/>
          </w:tcPr>
          <w:p w:rsidR="00035233" w:rsidRDefault="00035233" w:rsidP="00035233">
            <w:pPr>
              <w:pStyle w:val="05Tabletext"/>
              <w:keepNext/>
            </w:pPr>
            <w:r>
              <w:t xml:space="preserve">Proportion of responders of </w:t>
            </w:r>
            <w:r w:rsidR="004B3085">
              <w:t>D</w:t>
            </w:r>
            <w:r>
              <w:t>ay 28, %</w:t>
            </w:r>
          </w:p>
        </w:tc>
        <w:tc>
          <w:tcPr>
            <w:tcW w:w="808" w:type="pct"/>
            <w:shd w:val="clear" w:color="auto" w:fill="auto"/>
          </w:tcPr>
          <w:p w:rsidR="00035233" w:rsidRPr="00AB3BDC" w:rsidRDefault="00035233" w:rsidP="00035233">
            <w:pPr>
              <w:pStyle w:val="05Tabletext"/>
              <w:keepNext/>
              <w:jc w:val="center"/>
            </w:pPr>
            <w:r>
              <w:t>58</w:t>
            </w:r>
          </w:p>
        </w:tc>
        <w:tc>
          <w:tcPr>
            <w:tcW w:w="808" w:type="pct"/>
            <w:shd w:val="clear" w:color="auto" w:fill="auto"/>
          </w:tcPr>
          <w:p w:rsidR="00035233" w:rsidRPr="00BC7782" w:rsidRDefault="00035233" w:rsidP="00035233">
            <w:pPr>
              <w:pStyle w:val="05Tabletext"/>
              <w:keepNext/>
              <w:jc w:val="center"/>
            </w:pPr>
            <w:r>
              <w:t>47</w:t>
            </w:r>
          </w:p>
        </w:tc>
        <w:tc>
          <w:tcPr>
            <w:tcW w:w="814" w:type="pct"/>
            <w:shd w:val="clear" w:color="auto" w:fill="auto"/>
          </w:tcPr>
          <w:p w:rsidR="00035233" w:rsidRPr="00194011" w:rsidRDefault="00035233" w:rsidP="00035233">
            <w:pPr>
              <w:pStyle w:val="05Tabletext"/>
              <w:keepNext/>
              <w:jc w:val="center"/>
            </w:pPr>
            <w:r>
              <w:t>1.51 (1.18, 1.93)</w:t>
            </w:r>
          </w:p>
        </w:tc>
        <w:tc>
          <w:tcPr>
            <w:tcW w:w="583" w:type="pct"/>
            <w:shd w:val="clear" w:color="auto" w:fill="auto"/>
          </w:tcPr>
          <w:p w:rsidR="00035233" w:rsidRPr="00194011" w:rsidRDefault="00035233" w:rsidP="00035233">
            <w:pPr>
              <w:pStyle w:val="05Tabletext"/>
              <w:keepNext/>
              <w:jc w:val="center"/>
            </w:pPr>
            <w:r>
              <w:t>&lt;0.05</w:t>
            </w:r>
          </w:p>
        </w:tc>
      </w:tr>
      <w:tr w:rsidR="00035233" w:rsidRPr="00194011" w:rsidTr="00035233">
        <w:trPr>
          <w:cantSplit/>
        </w:trPr>
        <w:tc>
          <w:tcPr>
            <w:tcW w:w="1986" w:type="pct"/>
            <w:shd w:val="clear" w:color="auto" w:fill="auto"/>
          </w:tcPr>
          <w:p w:rsidR="00035233" w:rsidRDefault="00035233" w:rsidP="00035233">
            <w:pPr>
              <w:pStyle w:val="05Tabletext"/>
              <w:keepNext/>
            </w:pPr>
            <w:r>
              <w:t xml:space="preserve">Proportion of responders on </w:t>
            </w:r>
            <w:r w:rsidR="004B3085">
              <w:t>D</w:t>
            </w:r>
            <w:r>
              <w:t>ay 56, %</w:t>
            </w:r>
          </w:p>
        </w:tc>
        <w:tc>
          <w:tcPr>
            <w:tcW w:w="808" w:type="pct"/>
            <w:shd w:val="clear" w:color="auto" w:fill="auto"/>
          </w:tcPr>
          <w:p w:rsidR="00035233" w:rsidRPr="00AB3BDC" w:rsidRDefault="00035233" w:rsidP="00035233">
            <w:pPr>
              <w:pStyle w:val="05Tabletext"/>
              <w:keepNext/>
              <w:jc w:val="center"/>
            </w:pPr>
            <w:r>
              <w:t>52</w:t>
            </w:r>
          </w:p>
        </w:tc>
        <w:tc>
          <w:tcPr>
            <w:tcW w:w="808" w:type="pct"/>
            <w:shd w:val="clear" w:color="auto" w:fill="auto"/>
          </w:tcPr>
          <w:p w:rsidR="00035233" w:rsidRPr="00BC7782" w:rsidRDefault="00035233" w:rsidP="00035233">
            <w:pPr>
              <w:pStyle w:val="05Tabletext"/>
              <w:keepNext/>
              <w:jc w:val="center"/>
            </w:pPr>
            <w:r>
              <w:t>41</w:t>
            </w:r>
          </w:p>
        </w:tc>
        <w:tc>
          <w:tcPr>
            <w:tcW w:w="814" w:type="pct"/>
            <w:shd w:val="clear" w:color="auto" w:fill="auto"/>
          </w:tcPr>
          <w:p w:rsidR="00035233" w:rsidRPr="00194011" w:rsidRDefault="00035233" w:rsidP="00035233">
            <w:pPr>
              <w:pStyle w:val="05Tabletext"/>
              <w:keepNext/>
              <w:jc w:val="center"/>
            </w:pPr>
            <w:r>
              <w:t>1.52 (1.18, 1.95)</w:t>
            </w:r>
          </w:p>
        </w:tc>
        <w:tc>
          <w:tcPr>
            <w:tcW w:w="583" w:type="pct"/>
            <w:shd w:val="clear" w:color="auto" w:fill="auto"/>
          </w:tcPr>
          <w:p w:rsidR="00035233" w:rsidRPr="00194011" w:rsidRDefault="00035233" w:rsidP="00035233">
            <w:pPr>
              <w:pStyle w:val="05Tabletext"/>
              <w:keepNext/>
              <w:jc w:val="center"/>
            </w:pPr>
            <w:r>
              <w:t>&lt;0.05</w:t>
            </w:r>
          </w:p>
        </w:tc>
      </w:tr>
      <w:tr w:rsidR="00035233" w:rsidRPr="00194011" w:rsidTr="00035233">
        <w:trPr>
          <w:cantSplit/>
        </w:trPr>
        <w:tc>
          <w:tcPr>
            <w:tcW w:w="1986" w:type="pct"/>
            <w:shd w:val="clear" w:color="auto" w:fill="auto"/>
          </w:tcPr>
          <w:p w:rsidR="00035233" w:rsidRDefault="00035233" w:rsidP="00035233">
            <w:pPr>
              <w:pStyle w:val="05Tabletext"/>
              <w:keepNext/>
            </w:pPr>
            <w:r>
              <w:t xml:space="preserve">Proportion of responders on </w:t>
            </w:r>
            <w:r w:rsidR="004B3085">
              <w:t>D</w:t>
            </w:r>
            <w:r>
              <w:t>ay 84, %</w:t>
            </w:r>
          </w:p>
        </w:tc>
        <w:tc>
          <w:tcPr>
            <w:tcW w:w="808" w:type="pct"/>
            <w:shd w:val="clear" w:color="auto" w:fill="auto"/>
          </w:tcPr>
          <w:p w:rsidR="00035233" w:rsidRPr="00AB3BDC" w:rsidRDefault="00035233" w:rsidP="00035233">
            <w:pPr>
              <w:pStyle w:val="05Tabletext"/>
              <w:keepNext/>
              <w:jc w:val="center"/>
            </w:pPr>
            <w:r>
              <w:t>50</w:t>
            </w:r>
          </w:p>
        </w:tc>
        <w:tc>
          <w:tcPr>
            <w:tcW w:w="808" w:type="pct"/>
            <w:shd w:val="clear" w:color="auto" w:fill="auto"/>
          </w:tcPr>
          <w:p w:rsidR="00035233" w:rsidRPr="00BC7782" w:rsidRDefault="00035233" w:rsidP="00035233">
            <w:pPr>
              <w:pStyle w:val="05Tabletext"/>
              <w:keepNext/>
              <w:jc w:val="center"/>
            </w:pPr>
            <w:r>
              <w:t>43</w:t>
            </w:r>
          </w:p>
        </w:tc>
        <w:tc>
          <w:tcPr>
            <w:tcW w:w="814" w:type="pct"/>
            <w:shd w:val="clear" w:color="auto" w:fill="auto"/>
          </w:tcPr>
          <w:p w:rsidR="00035233" w:rsidRPr="00194011" w:rsidRDefault="00035233" w:rsidP="00035233">
            <w:pPr>
              <w:pStyle w:val="05Tabletext"/>
              <w:keepNext/>
              <w:jc w:val="center"/>
            </w:pPr>
            <w:r>
              <w:t>1.30 (1.01, 1.66)</w:t>
            </w:r>
          </w:p>
        </w:tc>
        <w:tc>
          <w:tcPr>
            <w:tcW w:w="583" w:type="pct"/>
            <w:shd w:val="clear" w:color="auto" w:fill="auto"/>
          </w:tcPr>
          <w:p w:rsidR="00035233" w:rsidRPr="00194011" w:rsidRDefault="00035233" w:rsidP="00035233">
            <w:pPr>
              <w:pStyle w:val="05Tabletext"/>
              <w:keepNext/>
              <w:jc w:val="center"/>
            </w:pPr>
            <w:r>
              <w:t>&lt;0.05</w:t>
            </w:r>
          </w:p>
        </w:tc>
      </w:tr>
      <w:tr w:rsidR="00035233" w:rsidRPr="00194011" w:rsidTr="00035233">
        <w:trPr>
          <w:cantSplit/>
        </w:trPr>
        <w:tc>
          <w:tcPr>
            <w:tcW w:w="1986" w:type="pct"/>
            <w:shd w:val="clear" w:color="auto" w:fill="auto"/>
          </w:tcPr>
          <w:p w:rsidR="00035233" w:rsidRDefault="00035233" w:rsidP="00035233">
            <w:pPr>
              <w:pStyle w:val="05Tabletext"/>
              <w:keepNext/>
            </w:pPr>
            <w:r>
              <w:t xml:space="preserve">Proportion of responders on </w:t>
            </w:r>
            <w:r w:rsidR="004B3085">
              <w:t>D</w:t>
            </w:r>
            <w:r>
              <w:t>ay 85, n (%)</w:t>
            </w:r>
          </w:p>
        </w:tc>
        <w:tc>
          <w:tcPr>
            <w:tcW w:w="808" w:type="pct"/>
            <w:shd w:val="clear" w:color="auto" w:fill="auto"/>
          </w:tcPr>
          <w:p w:rsidR="00035233" w:rsidRPr="00BF47B2" w:rsidRDefault="00035233" w:rsidP="00035233">
            <w:pPr>
              <w:pStyle w:val="04Tablesubheading"/>
              <w:ind w:right="0"/>
              <w:jc w:val="center"/>
              <w:rPr>
                <w:b w:val="0"/>
              </w:rPr>
            </w:pPr>
            <w:r>
              <w:rPr>
                <w:b w:val="0"/>
              </w:rPr>
              <w:t>268 (53)</w:t>
            </w:r>
          </w:p>
        </w:tc>
        <w:tc>
          <w:tcPr>
            <w:tcW w:w="808" w:type="pct"/>
            <w:shd w:val="clear" w:color="auto" w:fill="auto"/>
          </w:tcPr>
          <w:p w:rsidR="00035233" w:rsidRPr="00EE6AD2" w:rsidRDefault="00035233" w:rsidP="00035233">
            <w:pPr>
              <w:pStyle w:val="04Tablesubheading"/>
              <w:ind w:right="0"/>
              <w:jc w:val="center"/>
              <w:rPr>
                <w:b w:val="0"/>
              </w:rPr>
            </w:pPr>
            <w:r>
              <w:rPr>
                <w:b w:val="0"/>
              </w:rPr>
              <w:t>228 (</w:t>
            </w:r>
            <w:r w:rsidRPr="00EE6AD2">
              <w:rPr>
                <w:b w:val="0"/>
              </w:rPr>
              <w:t>45</w:t>
            </w:r>
            <w:r>
              <w:rPr>
                <w:b w:val="0"/>
              </w:rPr>
              <w:t>)</w:t>
            </w:r>
          </w:p>
        </w:tc>
        <w:tc>
          <w:tcPr>
            <w:tcW w:w="814" w:type="pct"/>
            <w:shd w:val="clear" w:color="auto" w:fill="auto"/>
          </w:tcPr>
          <w:p w:rsidR="00035233" w:rsidRPr="00194011" w:rsidRDefault="00035233" w:rsidP="00035233">
            <w:pPr>
              <w:pStyle w:val="05Tabletext"/>
              <w:keepNext/>
              <w:jc w:val="center"/>
            </w:pPr>
            <w:r>
              <w:t>1.35 (1.06, 1.74)</w:t>
            </w:r>
          </w:p>
        </w:tc>
        <w:tc>
          <w:tcPr>
            <w:tcW w:w="583" w:type="pct"/>
            <w:shd w:val="clear" w:color="auto" w:fill="auto"/>
          </w:tcPr>
          <w:p w:rsidR="00035233" w:rsidRPr="00194011" w:rsidRDefault="00035233" w:rsidP="00035233">
            <w:pPr>
              <w:pStyle w:val="05Tabletext"/>
              <w:keepNext/>
              <w:jc w:val="center"/>
            </w:pPr>
            <w:r>
              <w:t>&lt;0.05</w:t>
            </w:r>
          </w:p>
        </w:tc>
      </w:tr>
    </w:tbl>
    <w:p w:rsidR="00035233" w:rsidRDefault="00035233" w:rsidP="00035233">
      <w:pPr>
        <w:pStyle w:val="10TableorFigurefootnote"/>
      </w:pPr>
      <w:r>
        <w:t>Source: Feldman (2016), Figure 4.</w:t>
      </w:r>
    </w:p>
    <w:p w:rsidR="00035233" w:rsidRDefault="00035233" w:rsidP="00035233">
      <w:pPr>
        <w:pStyle w:val="11TableorFigurefootnotenostick"/>
      </w:pPr>
      <w:r>
        <w:t>Abbreviations: CI, confidence interval; FEV</w:t>
      </w:r>
      <w:r>
        <w:rPr>
          <w:vertAlign w:val="subscript"/>
        </w:rPr>
        <w:t>1</w:t>
      </w:r>
      <w:r>
        <w:t>, forced expiratory volume in one second; ns, non-significant; OR, odds ratio; TIO, tiotropium; UME, umeclidinium.</w:t>
      </w:r>
    </w:p>
    <w:p w:rsidR="00035233" w:rsidRDefault="00035233" w:rsidP="00035233">
      <w:pPr>
        <w:pStyle w:val="BodyText"/>
      </w:pPr>
      <w:r>
        <w:t>Umeclidinium was generally found to have superior efficacy to tiotropium when assessed by trough FEV</w:t>
      </w:r>
      <w:r>
        <w:rPr>
          <w:vertAlign w:val="subscript"/>
        </w:rPr>
        <w:t>1</w:t>
      </w:r>
      <w:r>
        <w:t>, and was also well</w:t>
      </w:r>
      <w:r w:rsidR="00CB2EED">
        <w:t xml:space="preserve"> </w:t>
      </w:r>
      <w:r>
        <w:t>tolerated (see</w:t>
      </w:r>
      <w:r w:rsidR="00C25BA8">
        <w:t xml:space="preserve"> Table 3.13</w:t>
      </w:r>
      <w:r>
        <w:t>); however, it is important to note that no significant differences were found between the treatment groups for several other efficacy outcomes, including TDI, SGRQ and COPD Assessment Test (CAT) scores (data not presented in this review).</w:t>
      </w:r>
    </w:p>
    <w:p w:rsidR="00035233" w:rsidRDefault="00C25BA8" w:rsidP="001A68EF">
      <w:pPr>
        <w:pStyle w:val="ToR3Tableheader"/>
      </w:pPr>
      <w:bookmarkStart w:id="112" w:name="_Toc467782105"/>
      <w:bookmarkStart w:id="113" w:name="_Toc468012293"/>
      <w:bookmarkStart w:id="114" w:name="_Toc468034449"/>
      <w:bookmarkStart w:id="115" w:name="_Toc471891005"/>
      <w:bookmarkStart w:id="116" w:name="_Toc486428192"/>
      <w:r>
        <w:t>Table 3.13</w:t>
      </w:r>
      <w:r w:rsidR="00035233">
        <w:tab/>
        <w:t>Incidence of adverse events and other safety outcomes for UME vs TIO – ITT population</w:t>
      </w:r>
      <w:bookmarkEnd w:id="112"/>
      <w:bookmarkEnd w:id="113"/>
      <w:bookmarkEnd w:id="114"/>
      <w:bookmarkEnd w:id="115"/>
      <w:bookmarkEnd w:id="1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Caption w:val="Incidence of adverse events and other safety outcomes "/>
        <w:tblDescription w:val="Umeclidinium versus tiotropium"/>
      </w:tblPr>
      <w:tblGrid>
        <w:gridCol w:w="2700"/>
        <w:gridCol w:w="3473"/>
        <w:gridCol w:w="3475"/>
      </w:tblGrid>
      <w:tr w:rsidR="00035233" w:rsidRPr="00194011" w:rsidTr="00035233">
        <w:trPr>
          <w:cantSplit/>
        </w:trPr>
        <w:tc>
          <w:tcPr>
            <w:tcW w:w="1399" w:type="pct"/>
            <w:shd w:val="clear" w:color="auto" w:fill="BFBFBF"/>
          </w:tcPr>
          <w:p w:rsidR="00035233" w:rsidRPr="00194011" w:rsidRDefault="00035233" w:rsidP="00035233">
            <w:pPr>
              <w:pStyle w:val="01TableHEADINGleftaligned"/>
              <w:rPr>
                <w:i/>
              </w:rPr>
            </w:pPr>
            <w:r>
              <w:t>Safety outcome</w:t>
            </w:r>
          </w:p>
        </w:tc>
        <w:tc>
          <w:tcPr>
            <w:tcW w:w="1800" w:type="pct"/>
            <w:tcBorders>
              <w:bottom w:val="single" w:sz="4" w:space="0" w:color="auto"/>
            </w:tcBorders>
            <w:shd w:val="clear" w:color="auto" w:fill="BFBFBF"/>
          </w:tcPr>
          <w:p w:rsidR="00035233" w:rsidRPr="00194011" w:rsidRDefault="00035233" w:rsidP="00035233">
            <w:pPr>
              <w:pStyle w:val="01TableHEADINGleftaligned"/>
              <w:jc w:val="center"/>
            </w:pPr>
            <w:r>
              <w:t>UME 62.5 (N=509)</w:t>
            </w:r>
          </w:p>
        </w:tc>
        <w:tc>
          <w:tcPr>
            <w:tcW w:w="1801" w:type="pct"/>
            <w:tcBorders>
              <w:bottom w:val="single" w:sz="4" w:space="0" w:color="auto"/>
            </w:tcBorders>
            <w:shd w:val="clear" w:color="auto" w:fill="BFBFBF"/>
          </w:tcPr>
          <w:p w:rsidR="00035233" w:rsidRPr="00194011" w:rsidRDefault="00035233" w:rsidP="00035233">
            <w:pPr>
              <w:pStyle w:val="01TableHEADINGleftaligned"/>
              <w:jc w:val="center"/>
            </w:pPr>
            <w:r>
              <w:t>TIO 18 (N=508)</w:t>
            </w:r>
          </w:p>
        </w:tc>
      </w:tr>
      <w:tr w:rsidR="00035233" w:rsidRPr="00194011" w:rsidTr="00035233">
        <w:trPr>
          <w:cantSplit/>
        </w:trPr>
        <w:tc>
          <w:tcPr>
            <w:tcW w:w="1399" w:type="pct"/>
            <w:shd w:val="clear" w:color="auto" w:fill="auto"/>
          </w:tcPr>
          <w:p w:rsidR="00035233" w:rsidRPr="00194011" w:rsidRDefault="00035233" w:rsidP="00035233">
            <w:pPr>
              <w:pStyle w:val="05Tabletext"/>
            </w:pPr>
            <w:r>
              <w:t>AE incidence, n (%)</w:t>
            </w:r>
          </w:p>
        </w:tc>
        <w:tc>
          <w:tcPr>
            <w:tcW w:w="1800" w:type="pct"/>
            <w:shd w:val="clear" w:color="auto" w:fill="auto"/>
          </w:tcPr>
          <w:p w:rsidR="00035233" w:rsidRPr="00194011" w:rsidRDefault="00035233" w:rsidP="00035233">
            <w:pPr>
              <w:pStyle w:val="05Tabletext"/>
              <w:jc w:val="center"/>
            </w:pPr>
            <w:r>
              <w:t>165 (32)</w:t>
            </w:r>
          </w:p>
        </w:tc>
        <w:tc>
          <w:tcPr>
            <w:tcW w:w="1801" w:type="pct"/>
            <w:shd w:val="clear" w:color="auto" w:fill="auto"/>
          </w:tcPr>
          <w:p w:rsidR="00035233" w:rsidRPr="00194011" w:rsidRDefault="00035233" w:rsidP="00035233">
            <w:pPr>
              <w:pStyle w:val="05Tabletext"/>
              <w:jc w:val="center"/>
            </w:pPr>
            <w:r>
              <w:t>153 (30)</w:t>
            </w:r>
          </w:p>
        </w:tc>
      </w:tr>
      <w:tr w:rsidR="00035233" w:rsidRPr="00194011" w:rsidTr="00035233">
        <w:trPr>
          <w:cantSplit/>
        </w:trPr>
        <w:tc>
          <w:tcPr>
            <w:tcW w:w="1399" w:type="pct"/>
            <w:shd w:val="clear" w:color="auto" w:fill="auto"/>
          </w:tcPr>
          <w:p w:rsidR="00035233" w:rsidRPr="00194011" w:rsidRDefault="00035233" w:rsidP="00035233">
            <w:pPr>
              <w:pStyle w:val="05Tabletext"/>
            </w:pPr>
            <w:r w:rsidRPr="00D901D1">
              <w:lastRenderedPageBreak/>
              <w:t>On-treatment exacerbations</w:t>
            </w:r>
            <w:r w:rsidRPr="00D901D1">
              <w:rPr>
                <w:vertAlign w:val="superscript"/>
              </w:rPr>
              <w:t>a</w:t>
            </w:r>
            <w:r>
              <w:t>, n (%)</w:t>
            </w:r>
          </w:p>
        </w:tc>
        <w:tc>
          <w:tcPr>
            <w:tcW w:w="1800" w:type="pct"/>
            <w:shd w:val="clear" w:color="auto" w:fill="auto"/>
          </w:tcPr>
          <w:p w:rsidR="00035233" w:rsidRPr="00194011" w:rsidRDefault="00035233" w:rsidP="00035233">
            <w:pPr>
              <w:pStyle w:val="05Tabletext"/>
              <w:jc w:val="center"/>
            </w:pPr>
            <w:r>
              <w:t>58 (11)</w:t>
            </w:r>
          </w:p>
        </w:tc>
        <w:tc>
          <w:tcPr>
            <w:tcW w:w="1801" w:type="pct"/>
            <w:shd w:val="clear" w:color="auto" w:fill="auto"/>
          </w:tcPr>
          <w:p w:rsidR="00035233" w:rsidRPr="00194011" w:rsidRDefault="00035233" w:rsidP="00035233">
            <w:pPr>
              <w:pStyle w:val="05Tabletext"/>
              <w:jc w:val="center"/>
            </w:pPr>
            <w:r>
              <w:t>48 (9)</w:t>
            </w:r>
          </w:p>
        </w:tc>
      </w:tr>
      <w:tr w:rsidR="00035233" w:rsidRPr="00194011" w:rsidTr="00035233">
        <w:trPr>
          <w:cantSplit/>
        </w:trPr>
        <w:tc>
          <w:tcPr>
            <w:tcW w:w="1399" w:type="pct"/>
            <w:shd w:val="clear" w:color="auto" w:fill="auto"/>
          </w:tcPr>
          <w:p w:rsidR="00035233" w:rsidRPr="00194011" w:rsidRDefault="00035233" w:rsidP="00035233">
            <w:pPr>
              <w:pStyle w:val="05Tabletext"/>
            </w:pPr>
            <w:r>
              <w:t>Cardiovascular events, n (%)</w:t>
            </w:r>
          </w:p>
        </w:tc>
        <w:tc>
          <w:tcPr>
            <w:tcW w:w="1800" w:type="pct"/>
            <w:shd w:val="clear" w:color="auto" w:fill="auto"/>
          </w:tcPr>
          <w:p w:rsidR="00035233" w:rsidRPr="00194011" w:rsidRDefault="00035233" w:rsidP="00035233">
            <w:pPr>
              <w:pStyle w:val="05Tabletext"/>
              <w:jc w:val="center"/>
            </w:pPr>
            <w:r>
              <w:t>9 (2)</w:t>
            </w:r>
          </w:p>
        </w:tc>
        <w:tc>
          <w:tcPr>
            <w:tcW w:w="1801" w:type="pct"/>
            <w:shd w:val="clear" w:color="auto" w:fill="auto"/>
          </w:tcPr>
          <w:p w:rsidR="00035233" w:rsidRPr="00194011" w:rsidRDefault="00035233" w:rsidP="00035233">
            <w:pPr>
              <w:pStyle w:val="05Tabletext"/>
              <w:jc w:val="center"/>
            </w:pPr>
            <w:r>
              <w:t>10 (2)</w:t>
            </w:r>
          </w:p>
        </w:tc>
      </w:tr>
      <w:tr w:rsidR="00035233" w:rsidRPr="00194011" w:rsidTr="00035233">
        <w:trPr>
          <w:cantSplit/>
        </w:trPr>
        <w:tc>
          <w:tcPr>
            <w:tcW w:w="1399" w:type="pct"/>
            <w:shd w:val="clear" w:color="auto" w:fill="auto"/>
          </w:tcPr>
          <w:p w:rsidR="00035233" w:rsidRPr="00194011" w:rsidRDefault="00035233" w:rsidP="00035233">
            <w:pPr>
              <w:pStyle w:val="05Tabletext"/>
            </w:pPr>
            <w:r>
              <w:t>Pneumonia, n (%)</w:t>
            </w:r>
          </w:p>
        </w:tc>
        <w:tc>
          <w:tcPr>
            <w:tcW w:w="1800" w:type="pct"/>
            <w:shd w:val="clear" w:color="auto" w:fill="auto"/>
          </w:tcPr>
          <w:p w:rsidR="00035233" w:rsidRPr="00194011" w:rsidRDefault="00035233" w:rsidP="00035233">
            <w:pPr>
              <w:pStyle w:val="05Tabletext"/>
              <w:jc w:val="center"/>
            </w:pPr>
            <w:r>
              <w:t>2 (&lt;1)</w:t>
            </w:r>
          </w:p>
        </w:tc>
        <w:tc>
          <w:tcPr>
            <w:tcW w:w="1801" w:type="pct"/>
            <w:shd w:val="clear" w:color="auto" w:fill="auto"/>
          </w:tcPr>
          <w:p w:rsidR="00035233" w:rsidRPr="00194011" w:rsidRDefault="00035233" w:rsidP="00035233">
            <w:pPr>
              <w:pStyle w:val="05Tabletext"/>
              <w:jc w:val="center"/>
            </w:pPr>
            <w:r>
              <w:t>2 (&lt;1)</w:t>
            </w:r>
          </w:p>
        </w:tc>
      </w:tr>
      <w:tr w:rsidR="00035233" w:rsidRPr="00194011" w:rsidTr="00035233">
        <w:trPr>
          <w:cantSplit/>
        </w:trPr>
        <w:tc>
          <w:tcPr>
            <w:tcW w:w="1399" w:type="pct"/>
            <w:shd w:val="clear" w:color="auto" w:fill="auto"/>
          </w:tcPr>
          <w:p w:rsidR="00035233" w:rsidRPr="00194011" w:rsidRDefault="00035233" w:rsidP="00035233">
            <w:pPr>
              <w:pStyle w:val="05Tabletext"/>
            </w:pPr>
            <w:r>
              <w:t>LRTI, n (%)</w:t>
            </w:r>
          </w:p>
        </w:tc>
        <w:tc>
          <w:tcPr>
            <w:tcW w:w="1800" w:type="pct"/>
            <w:shd w:val="clear" w:color="auto" w:fill="auto"/>
          </w:tcPr>
          <w:p w:rsidR="00035233" w:rsidRPr="00194011" w:rsidRDefault="00035233" w:rsidP="00035233">
            <w:pPr>
              <w:pStyle w:val="05Tabletext"/>
              <w:jc w:val="center"/>
            </w:pPr>
            <w:r>
              <w:t>5 (&lt;1)</w:t>
            </w:r>
          </w:p>
        </w:tc>
        <w:tc>
          <w:tcPr>
            <w:tcW w:w="1801" w:type="pct"/>
            <w:shd w:val="clear" w:color="auto" w:fill="auto"/>
          </w:tcPr>
          <w:p w:rsidR="00035233" w:rsidRPr="00194011" w:rsidRDefault="00035233" w:rsidP="00035233">
            <w:pPr>
              <w:pStyle w:val="05Tabletext"/>
              <w:jc w:val="center"/>
            </w:pPr>
            <w:r>
              <w:t>3 (&lt;1)</w:t>
            </w:r>
          </w:p>
        </w:tc>
      </w:tr>
      <w:tr w:rsidR="00035233" w:rsidRPr="00194011" w:rsidTr="00035233">
        <w:trPr>
          <w:cantSplit/>
        </w:trPr>
        <w:tc>
          <w:tcPr>
            <w:tcW w:w="1399" w:type="pct"/>
            <w:shd w:val="clear" w:color="auto" w:fill="auto"/>
          </w:tcPr>
          <w:p w:rsidR="00035233" w:rsidRPr="00194011" w:rsidRDefault="00035233" w:rsidP="00035233">
            <w:pPr>
              <w:pStyle w:val="05Tabletext"/>
            </w:pPr>
            <w:r>
              <w:t>Death, n (%)</w:t>
            </w:r>
          </w:p>
        </w:tc>
        <w:tc>
          <w:tcPr>
            <w:tcW w:w="1800" w:type="pct"/>
            <w:shd w:val="clear" w:color="auto" w:fill="auto"/>
          </w:tcPr>
          <w:p w:rsidR="00035233" w:rsidRPr="00194011" w:rsidRDefault="00035233" w:rsidP="00035233">
            <w:pPr>
              <w:pStyle w:val="05Tabletext"/>
              <w:jc w:val="center"/>
            </w:pPr>
            <w:r>
              <w:t>0</w:t>
            </w:r>
          </w:p>
        </w:tc>
        <w:tc>
          <w:tcPr>
            <w:tcW w:w="1801" w:type="pct"/>
            <w:shd w:val="clear" w:color="auto" w:fill="auto"/>
          </w:tcPr>
          <w:p w:rsidR="00035233" w:rsidRPr="00AE1100" w:rsidRDefault="00035233" w:rsidP="00035233">
            <w:pPr>
              <w:pStyle w:val="05Tabletext"/>
              <w:jc w:val="center"/>
              <w:rPr>
                <w:vertAlign w:val="superscript"/>
              </w:rPr>
            </w:pPr>
            <w:r>
              <w:t>2 (&lt;1)</w:t>
            </w:r>
            <w:r>
              <w:rPr>
                <w:vertAlign w:val="superscript"/>
              </w:rPr>
              <w:t>b</w:t>
            </w:r>
          </w:p>
        </w:tc>
      </w:tr>
    </w:tbl>
    <w:p w:rsidR="00035233" w:rsidRDefault="00035233" w:rsidP="00035233">
      <w:pPr>
        <w:pStyle w:val="10TableorFigurefootnote"/>
      </w:pPr>
      <w:r>
        <w:t>Source: Feldman et al (2016), Table 5.</w:t>
      </w:r>
    </w:p>
    <w:p w:rsidR="00035233" w:rsidRDefault="00035233" w:rsidP="00035233">
      <w:pPr>
        <w:pStyle w:val="10TableorFigurefootnote"/>
      </w:pPr>
      <w:r>
        <w:t>Abbreviations: AE, adverse event; LRTI, lower respiratory tract infection; TIO, tiotropium; UME, umeclidinium.</w:t>
      </w:r>
    </w:p>
    <w:p w:rsidR="00035233" w:rsidRDefault="00035233" w:rsidP="00035233">
      <w:pPr>
        <w:pStyle w:val="10TableorFigurefootnote"/>
      </w:pPr>
      <w:proofErr w:type="gramStart"/>
      <w:r>
        <w:rPr>
          <w:b/>
        </w:rPr>
        <w:t>a</w:t>
      </w:r>
      <w:proofErr w:type="gramEnd"/>
      <w:r>
        <w:t xml:space="preserve"> Defined as an acute worsening of symptoms of COPD requiring the use of any treatment beyond study medication or rescue albuterol/salbutamol.</w:t>
      </w:r>
    </w:p>
    <w:p w:rsidR="00035233" w:rsidRDefault="00035233" w:rsidP="00035233">
      <w:pPr>
        <w:pStyle w:val="11TableorFigurefootnotenostick"/>
      </w:pPr>
      <w:proofErr w:type="gramStart"/>
      <w:r>
        <w:rPr>
          <w:b/>
        </w:rPr>
        <w:t>b</w:t>
      </w:r>
      <w:proofErr w:type="gramEnd"/>
      <w:r>
        <w:t xml:space="preserve"> Neither of the two events (alcohol poisoning, seizure) were considered related to study drug by the reporting investigator.</w:t>
      </w:r>
    </w:p>
    <w:p w:rsidR="00035233" w:rsidRDefault="00035233" w:rsidP="00035233">
      <w:pPr>
        <w:pStyle w:val="BodyText"/>
      </w:pPr>
      <w:r>
        <w:t>Some important limitations of this study were acknowledged, most of which are broadly applicable across many COPD studies:</w:t>
      </w:r>
    </w:p>
    <w:p w:rsidR="00035233" w:rsidRDefault="00035233" w:rsidP="00251CB8">
      <w:pPr>
        <w:pStyle w:val="Bullettext"/>
        <w:numPr>
          <w:ilvl w:val="0"/>
          <w:numId w:val="57"/>
        </w:numPr>
      </w:pPr>
      <w:r w:rsidRPr="003F57FF">
        <w:t>It is not possible to determine whether the differences in bronchodilator effect observed are due to pharmacologic effects of the drugs themselves or to differences in the devices that might have influenced inhalation technique and/or drug absorption and lung deposition.</w:t>
      </w:r>
    </w:p>
    <w:p w:rsidR="00035233" w:rsidRDefault="00035233" w:rsidP="00251CB8">
      <w:pPr>
        <w:pStyle w:val="Bullettext"/>
        <w:numPr>
          <w:ilvl w:val="0"/>
          <w:numId w:val="57"/>
        </w:numPr>
      </w:pPr>
      <w:r w:rsidRPr="00114DC4">
        <w:t>This was a controlled, short-term study in which patients were supervised while administering their study medication. Therefore, patients were expected to have minimal critical errors in device handling.</w:t>
      </w:r>
    </w:p>
    <w:p w:rsidR="00035233" w:rsidRDefault="00035233" w:rsidP="00251CB8">
      <w:pPr>
        <w:pStyle w:val="Bullettext"/>
        <w:numPr>
          <w:ilvl w:val="0"/>
          <w:numId w:val="57"/>
        </w:numPr>
      </w:pPr>
      <w:r w:rsidRPr="00114DC4">
        <w:t xml:space="preserve">While this study reported on-treatment exacerbations as a safety outcome, the duration of the study was too short to evaluate the comparative efficacy of </w:t>
      </w:r>
      <w:r>
        <w:t>umeclidinium</w:t>
      </w:r>
      <w:r w:rsidRPr="00114DC4">
        <w:t xml:space="preserve"> and </w:t>
      </w:r>
      <w:r>
        <w:t>tiotropium</w:t>
      </w:r>
      <w:r w:rsidRPr="00114DC4">
        <w:t xml:space="preserve"> on exacerbation rate.</w:t>
      </w:r>
    </w:p>
    <w:p w:rsidR="00035233" w:rsidRDefault="00035233" w:rsidP="00251CB8">
      <w:pPr>
        <w:pStyle w:val="Bullettext"/>
        <w:numPr>
          <w:ilvl w:val="0"/>
          <w:numId w:val="57"/>
        </w:numPr>
      </w:pPr>
      <w:r>
        <w:t>There were differences in the markings between the tiotropium and placebo capsules which may have may have impacted on the blinding of treatment assignment. Specifically, tiotropium capsules had trade marking but placebo capsules did not.</w:t>
      </w:r>
      <w:r>
        <w:rPr>
          <w:rStyle w:val="FootnoteReference"/>
        </w:rPr>
        <w:footnoteReference w:id="14"/>
      </w:r>
      <w:r>
        <w:t xml:space="preserve"> In an attempt to mask this discrepancy, blister packages for both tiotropium and placebo were covered with opaque over-labels in order to cover the appearance of the commercial blister packing of tiotropium. Any identifying marks on the inhaler were also covered.</w:t>
      </w:r>
    </w:p>
    <w:p w:rsidR="00035233" w:rsidRDefault="00035233" w:rsidP="00251CB8">
      <w:pPr>
        <w:pStyle w:val="Heading5"/>
        <w:numPr>
          <w:ilvl w:val="4"/>
          <w:numId w:val="11"/>
        </w:numPr>
        <w:spacing w:before="240"/>
      </w:pPr>
      <w:r>
        <w:t>Donohue (2012)</w:t>
      </w:r>
    </w:p>
    <w:p w:rsidR="00035233" w:rsidRDefault="00035233" w:rsidP="00035233">
      <w:pPr>
        <w:pStyle w:val="BodyTextnospacebefore"/>
      </w:pPr>
      <w:r>
        <w:t>Donohue et al (2012) undertook a dose-response study that evaluated once-daily and twice-daily doses of umeclidinium with daily doses ranging from 62.5 μg (the PBS dose) to 1000 μg. While the primary aim of the study was not to compare umeclidinium and tiotropium, an open-label tiotropium arm was included in the trial, allowing for a basic assessment of the comparative efficacy of the two LAMA therapies.</w:t>
      </w:r>
    </w:p>
    <w:p w:rsidR="00035233" w:rsidRDefault="00035233" w:rsidP="00035233">
      <w:pPr>
        <w:pStyle w:val="BodyText"/>
      </w:pPr>
      <w:r>
        <w:t xml:space="preserve">As outlined in </w:t>
      </w:r>
      <w:r w:rsidR="00C25BA8">
        <w:t>Table 3.8,</w:t>
      </w:r>
      <w:r>
        <w:t xml:space="preserve"> concurrent use of ICS was permitted during the study. Across the treatment groups, between 21% and 39% of patients were also treated with ICS throughout the treatment period. Overall, the authors concluded that doses of umeclidinium ranging from 62.5 to 1000 μg once-daily were well tolerated, with efficacy comparable to tiotropium. The results for umeclidinium 62.5 μg and tiotropium 18 μg (the PBS-listed doses) are shown in </w:t>
      </w:r>
      <w:r w:rsidR="00C25BA8">
        <w:t>Table 3.14</w:t>
      </w:r>
      <w:r w:rsidR="001A68EF">
        <w:t>.</w:t>
      </w:r>
    </w:p>
    <w:p w:rsidR="00035233" w:rsidRDefault="001A68EF" w:rsidP="001A68EF">
      <w:pPr>
        <w:pStyle w:val="ToR3Tableheader"/>
      </w:pPr>
      <w:bookmarkStart w:id="117" w:name="_Toc467782106"/>
      <w:bookmarkStart w:id="118" w:name="_Toc468012294"/>
      <w:bookmarkStart w:id="119" w:name="_Toc468034450"/>
      <w:bookmarkStart w:id="120" w:name="_Toc471891006"/>
      <w:bookmarkStart w:id="121" w:name="_Toc486428193"/>
      <w:r>
        <w:lastRenderedPageBreak/>
        <w:t>Table 3.14</w:t>
      </w:r>
      <w:r>
        <w:tab/>
      </w:r>
      <w:r w:rsidR="00035233">
        <w:t>Changes in trough FEV</w:t>
      </w:r>
      <w:r w:rsidR="00035233">
        <w:rPr>
          <w:vertAlign w:val="subscript"/>
        </w:rPr>
        <w:t>1</w:t>
      </w:r>
      <w:r w:rsidR="00035233">
        <w:t xml:space="preserve"> on </w:t>
      </w:r>
      <w:r w:rsidR="004B3085">
        <w:t>D</w:t>
      </w:r>
      <w:r w:rsidR="00035233">
        <w:t>ay 15 – UME vs TIO</w:t>
      </w:r>
      <w:bookmarkEnd w:id="117"/>
      <w:bookmarkEnd w:id="118"/>
      <w:bookmarkEnd w:id="119"/>
      <w:bookmarkEnd w:id="120"/>
      <w:bookmarkEnd w:id="1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Caption w:val="Changes in trough FEV1 on day 15 "/>
        <w:tblDescription w:val="Umeclidinium versus tiotropium"/>
      </w:tblPr>
      <w:tblGrid>
        <w:gridCol w:w="3412"/>
        <w:gridCol w:w="1559"/>
        <w:gridCol w:w="1559"/>
        <w:gridCol w:w="1559"/>
        <w:gridCol w:w="1559"/>
      </w:tblGrid>
      <w:tr w:rsidR="00035233" w:rsidRPr="00F01736" w:rsidTr="00035233">
        <w:trPr>
          <w:cantSplit/>
        </w:trPr>
        <w:tc>
          <w:tcPr>
            <w:tcW w:w="1768" w:type="pct"/>
            <w:shd w:val="clear" w:color="auto" w:fill="BFBFBF"/>
          </w:tcPr>
          <w:p w:rsidR="00035233" w:rsidRPr="00696E1E" w:rsidRDefault="00035233" w:rsidP="00035233">
            <w:pPr>
              <w:pStyle w:val="01TableHEADINGleftaligned"/>
            </w:pPr>
            <w:r w:rsidRPr="00A90153">
              <w:t>Trough FEV</w:t>
            </w:r>
            <w:r w:rsidRPr="00A90153">
              <w:rPr>
                <w:vertAlign w:val="subscript"/>
              </w:rPr>
              <w:t>1</w:t>
            </w:r>
            <w:r>
              <w:t xml:space="preserve"> on </w:t>
            </w:r>
            <w:r w:rsidR="004B3085">
              <w:t>D</w:t>
            </w:r>
            <w:r w:rsidRPr="00A90153">
              <w:t>ay 15</w:t>
            </w:r>
          </w:p>
        </w:tc>
        <w:tc>
          <w:tcPr>
            <w:tcW w:w="808" w:type="pct"/>
            <w:tcBorders>
              <w:right w:val="nil"/>
            </w:tcBorders>
            <w:shd w:val="clear" w:color="auto" w:fill="BFBFBF"/>
          </w:tcPr>
          <w:p w:rsidR="00035233" w:rsidRPr="00F01736" w:rsidRDefault="00035233" w:rsidP="00035233">
            <w:pPr>
              <w:pStyle w:val="01TableHEADINGleftaligned"/>
              <w:jc w:val="right"/>
            </w:pPr>
            <w:r>
              <w:t>UME</w:t>
            </w:r>
          </w:p>
        </w:tc>
        <w:tc>
          <w:tcPr>
            <w:tcW w:w="808" w:type="pct"/>
            <w:tcBorders>
              <w:left w:val="nil"/>
              <w:right w:val="single" w:sz="4" w:space="0" w:color="auto"/>
            </w:tcBorders>
            <w:shd w:val="clear" w:color="auto" w:fill="BFBFBF"/>
          </w:tcPr>
          <w:p w:rsidR="00035233" w:rsidRPr="00F01736" w:rsidRDefault="00035233" w:rsidP="00035233">
            <w:pPr>
              <w:pStyle w:val="01TableHEADINGleftaligned"/>
              <w:ind w:left="0" w:right="0"/>
            </w:pPr>
            <w:r>
              <w:t>(n=35)</w:t>
            </w:r>
          </w:p>
        </w:tc>
        <w:tc>
          <w:tcPr>
            <w:tcW w:w="808" w:type="pct"/>
            <w:tcBorders>
              <w:left w:val="single" w:sz="4" w:space="0" w:color="auto"/>
              <w:right w:val="nil"/>
            </w:tcBorders>
            <w:shd w:val="clear" w:color="auto" w:fill="BFBFBF"/>
          </w:tcPr>
          <w:p w:rsidR="00035233" w:rsidRPr="00F01736" w:rsidRDefault="00035233" w:rsidP="00035233">
            <w:pPr>
              <w:pStyle w:val="01TableHEADINGleftaligned"/>
              <w:jc w:val="right"/>
            </w:pPr>
            <w:r>
              <w:t>TIO</w:t>
            </w:r>
          </w:p>
        </w:tc>
        <w:tc>
          <w:tcPr>
            <w:tcW w:w="808" w:type="pct"/>
            <w:tcBorders>
              <w:left w:val="nil"/>
            </w:tcBorders>
            <w:shd w:val="clear" w:color="auto" w:fill="BFBFBF"/>
          </w:tcPr>
          <w:p w:rsidR="00035233" w:rsidRPr="00F01736" w:rsidRDefault="00035233" w:rsidP="00035233">
            <w:pPr>
              <w:pStyle w:val="01TableHEADINGleftaligned"/>
              <w:ind w:left="0"/>
            </w:pPr>
            <w:r>
              <w:t>(n=35)</w:t>
            </w:r>
          </w:p>
        </w:tc>
      </w:tr>
      <w:tr w:rsidR="00035233" w:rsidRPr="00F01736" w:rsidTr="00035233">
        <w:trPr>
          <w:cantSplit/>
        </w:trPr>
        <w:tc>
          <w:tcPr>
            <w:tcW w:w="1768" w:type="pct"/>
            <w:shd w:val="clear" w:color="auto" w:fill="000000"/>
          </w:tcPr>
          <w:p w:rsidR="00035233" w:rsidRDefault="00035233" w:rsidP="00035233">
            <w:pPr>
              <w:pStyle w:val="04Tablesubheading"/>
            </w:pPr>
          </w:p>
        </w:tc>
        <w:tc>
          <w:tcPr>
            <w:tcW w:w="808" w:type="pct"/>
            <w:tcBorders>
              <w:right w:val="single" w:sz="4" w:space="0" w:color="auto"/>
            </w:tcBorders>
            <w:shd w:val="clear" w:color="auto" w:fill="000000"/>
          </w:tcPr>
          <w:p w:rsidR="00035233" w:rsidRDefault="00035233" w:rsidP="00035233">
            <w:pPr>
              <w:pStyle w:val="04Tablesubheading"/>
              <w:jc w:val="center"/>
            </w:pPr>
            <w:r>
              <w:t>Mean (SE)</w:t>
            </w:r>
          </w:p>
        </w:tc>
        <w:tc>
          <w:tcPr>
            <w:tcW w:w="808" w:type="pct"/>
            <w:tcBorders>
              <w:right w:val="single" w:sz="4" w:space="0" w:color="auto"/>
            </w:tcBorders>
            <w:shd w:val="clear" w:color="auto" w:fill="000000"/>
          </w:tcPr>
          <w:p w:rsidR="00035233" w:rsidRDefault="00035233" w:rsidP="00035233">
            <w:pPr>
              <w:pStyle w:val="04Tablesubheading"/>
              <w:tabs>
                <w:tab w:val="left" w:pos="465"/>
                <w:tab w:val="center" w:pos="774"/>
              </w:tabs>
            </w:pPr>
            <w:r>
              <w:tab/>
            </w:r>
            <w:r>
              <w:tab/>
              <w:t>p-value</w:t>
            </w:r>
          </w:p>
        </w:tc>
        <w:tc>
          <w:tcPr>
            <w:tcW w:w="808" w:type="pct"/>
            <w:tcBorders>
              <w:left w:val="single" w:sz="4" w:space="0" w:color="auto"/>
            </w:tcBorders>
            <w:shd w:val="clear" w:color="auto" w:fill="000000"/>
          </w:tcPr>
          <w:p w:rsidR="00035233" w:rsidRDefault="00035233" w:rsidP="00035233">
            <w:pPr>
              <w:pStyle w:val="04Tablesubheading"/>
              <w:jc w:val="center"/>
            </w:pPr>
            <w:r>
              <w:t>Mean (SE)</w:t>
            </w:r>
          </w:p>
        </w:tc>
        <w:tc>
          <w:tcPr>
            <w:tcW w:w="808" w:type="pct"/>
            <w:tcBorders>
              <w:left w:val="single" w:sz="4" w:space="0" w:color="auto"/>
            </w:tcBorders>
            <w:shd w:val="clear" w:color="auto" w:fill="000000"/>
          </w:tcPr>
          <w:p w:rsidR="00035233" w:rsidRDefault="00035233" w:rsidP="00035233">
            <w:pPr>
              <w:pStyle w:val="04Tablesubheading"/>
              <w:jc w:val="center"/>
            </w:pPr>
            <w:r>
              <w:t>p-value</w:t>
            </w:r>
          </w:p>
        </w:tc>
      </w:tr>
      <w:tr w:rsidR="00035233" w:rsidRPr="00194011" w:rsidTr="00035233">
        <w:trPr>
          <w:cantSplit/>
        </w:trPr>
        <w:tc>
          <w:tcPr>
            <w:tcW w:w="1768" w:type="pct"/>
            <w:shd w:val="clear" w:color="auto" w:fill="auto"/>
          </w:tcPr>
          <w:p w:rsidR="00035233" w:rsidRPr="00194011" w:rsidRDefault="00035233" w:rsidP="00035233">
            <w:pPr>
              <w:pStyle w:val="05Tabletext"/>
              <w:rPr>
                <w:b/>
              </w:rPr>
            </w:pPr>
            <w:r>
              <w:t>Adjusted mean change from baseline, mL</w:t>
            </w:r>
          </w:p>
        </w:tc>
        <w:tc>
          <w:tcPr>
            <w:tcW w:w="808" w:type="pct"/>
            <w:shd w:val="clear" w:color="auto" w:fill="auto"/>
          </w:tcPr>
          <w:p w:rsidR="00035233" w:rsidRPr="00BC7782" w:rsidRDefault="00035233" w:rsidP="00035233">
            <w:pPr>
              <w:pStyle w:val="05Tabletext"/>
              <w:jc w:val="center"/>
            </w:pPr>
            <w:r>
              <w:t>81 (33)</w:t>
            </w:r>
          </w:p>
        </w:tc>
        <w:tc>
          <w:tcPr>
            <w:tcW w:w="808" w:type="pct"/>
            <w:shd w:val="clear" w:color="auto" w:fill="auto"/>
          </w:tcPr>
          <w:p w:rsidR="00035233" w:rsidRPr="00BC7782" w:rsidRDefault="00035233" w:rsidP="00035233">
            <w:pPr>
              <w:pStyle w:val="05Tabletext"/>
              <w:jc w:val="center"/>
            </w:pPr>
            <w:r>
              <w:t>-</w:t>
            </w:r>
          </w:p>
        </w:tc>
        <w:tc>
          <w:tcPr>
            <w:tcW w:w="808" w:type="pct"/>
            <w:shd w:val="clear" w:color="auto" w:fill="auto"/>
          </w:tcPr>
          <w:p w:rsidR="00035233" w:rsidRPr="00194011" w:rsidRDefault="00035233" w:rsidP="00035233">
            <w:pPr>
              <w:pStyle w:val="05Tabletext"/>
              <w:jc w:val="center"/>
            </w:pPr>
            <w:r>
              <w:t>58 (33)</w:t>
            </w:r>
          </w:p>
        </w:tc>
        <w:tc>
          <w:tcPr>
            <w:tcW w:w="808" w:type="pct"/>
            <w:shd w:val="clear" w:color="auto" w:fill="auto"/>
          </w:tcPr>
          <w:p w:rsidR="00035233" w:rsidRPr="00194011" w:rsidRDefault="00035233" w:rsidP="00035233">
            <w:pPr>
              <w:pStyle w:val="05Tabletext"/>
              <w:jc w:val="center"/>
            </w:pPr>
            <w:r>
              <w:t>-</w:t>
            </w:r>
          </w:p>
        </w:tc>
      </w:tr>
      <w:tr w:rsidR="00035233" w:rsidRPr="00194011" w:rsidTr="00035233">
        <w:trPr>
          <w:cantSplit/>
        </w:trPr>
        <w:tc>
          <w:tcPr>
            <w:tcW w:w="1768" w:type="pct"/>
            <w:shd w:val="clear" w:color="auto" w:fill="auto"/>
          </w:tcPr>
          <w:p w:rsidR="00035233" w:rsidRDefault="00035233" w:rsidP="00035233">
            <w:pPr>
              <w:pStyle w:val="05Tabletext"/>
            </w:pPr>
            <w:r w:rsidRPr="00A90153">
              <w:t>Adjusted mean difference versus placebo</w:t>
            </w:r>
            <w:r>
              <w:t>, mL</w:t>
            </w:r>
          </w:p>
        </w:tc>
        <w:tc>
          <w:tcPr>
            <w:tcW w:w="808" w:type="pct"/>
            <w:shd w:val="clear" w:color="auto" w:fill="auto"/>
          </w:tcPr>
          <w:p w:rsidR="00035233" w:rsidRDefault="00035233" w:rsidP="00035233">
            <w:pPr>
              <w:pStyle w:val="05Tabletext"/>
              <w:jc w:val="center"/>
            </w:pPr>
            <w:r>
              <w:t>128</w:t>
            </w:r>
          </w:p>
        </w:tc>
        <w:tc>
          <w:tcPr>
            <w:tcW w:w="808" w:type="pct"/>
            <w:shd w:val="clear" w:color="auto" w:fill="auto"/>
          </w:tcPr>
          <w:p w:rsidR="00035233" w:rsidRDefault="00035233" w:rsidP="00035233">
            <w:pPr>
              <w:pStyle w:val="05Tabletext"/>
              <w:jc w:val="center"/>
            </w:pPr>
            <w:r>
              <w:t>≤0.001</w:t>
            </w:r>
          </w:p>
        </w:tc>
        <w:tc>
          <w:tcPr>
            <w:tcW w:w="808" w:type="pct"/>
            <w:shd w:val="clear" w:color="auto" w:fill="auto"/>
          </w:tcPr>
          <w:p w:rsidR="00035233" w:rsidRDefault="00035233" w:rsidP="00035233">
            <w:pPr>
              <w:pStyle w:val="05Tabletext"/>
              <w:jc w:val="center"/>
            </w:pPr>
            <w:r>
              <w:t>105</w:t>
            </w:r>
          </w:p>
        </w:tc>
        <w:tc>
          <w:tcPr>
            <w:tcW w:w="808" w:type="pct"/>
            <w:shd w:val="clear" w:color="auto" w:fill="auto"/>
          </w:tcPr>
          <w:p w:rsidR="00035233" w:rsidRDefault="00035233" w:rsidP="00035233">
            <w:pPr>
              <w:pStyle w:val="05Tabletext"/>
              <w:jc w:val="center"/>
            </w:pPr>
            <w:r>
              <w:t>0.003</w:t>
            </w:r>
          </w:p>
        </w:tc>
      </w:tr>
    </w:tbl>
    <w:p w:rsidR="00035233" w:rsidRDefault="00035233" w:rsidP="00035233">
      <w:pPr>
        <w:pStyle w:val="10TableorFigurefootnote"/>
      </w:pPr>
      <w:r>
        <w:t>Source: Donohue (2012), pg 973.</w:t>
      </w:r>
    </w:p>
    <w:p w:rsidR="00035233" w:rsidRDefault="00035233" w:rsidP="00035233">
      <w:pPr>
        <w:pStyle w:val="10TableorFigurefootnote"/>
      </w:pPr>
      <w:r>
        <w:t>Note: Mean change from baseline in the placebo arm was –47 mL (SE: 17).</w:t>
      </w:r>
    </w:p>
    <w:p w:rsidR="00035233" w:rsidRDefault="00035233" w:rsidP="00035233">
      <w:pPr>
        <w:pStyle w:val="11TableorFigurefootnotenostick"/>
      </w:pPr>
      <w:r>
        <w:t>Abbreviations: FEV</w:t>
      </w:r>
      <w:r>
        <w:rPr>
          <w:vertAlign w:val="subscript"/>
        </w:rPr>
        <w:t>1</w:t>
      </w:r>
      <w:r>
        <w:t>, forced expiratory volume in one second; SE, standard error; TIO, tiotropium; UME, umeclidinium.</w:t>
      </w:r>
    </w:p>
    <w:p w:rsidR="00035233" w:rsidRDefault="00035233" w:rsidP="00251CB8">
      <w:pPr>
        <w:pStyle w:val="Heading4"/>
        <w:numPr>
          <w:ilvl w:val="3"/>
          <w:numId w:val="11"/>
        </w:numPr>
      </w:pPr>
      <w:r>
        <w:t>Umeclidinium versus glycopyrronium</w:t>
      </w:r>
    </w:p>
    <w:p w:rsidR="00035233" w:rsidRDefault="00035233" w:rsidP="00251CB8">
      <w:pPr>
        <w:pStyle w:val="Heading5"/>
        <w:numPr>
          <w:ilvl w:val="4"/>
          <w:numId w:val="11"/>
        </w:numPr>
      </w:pPr>
      <w:r>
        <w:t>NCT02236611</w:t>
      </w:r>
    </w:p>
    <w:p w:rsidR="00035233" w:rsidRPr="00A01D9B" w:rsidRDefault="00035233" w:rsidP="00035233">
      <w:pPr>
        <w:pStyle w:val="BodyTextnospacebefore"/>
      </w:pPr>
      <w:r>
        <w:t>This</w:t>
      </w:r>
      <w:r w:rsidRPr="00A01D9B">
        <w:t xml:space="preserve"> recently completed RCT was not identified in the systematic literature review, as there were no peer-reviewed publications of the trial at the time of the search. However, the study was cited and briefly summarised in the GlaxoSm</w:t>
      </w:r>
      <w:r>
        <w:t>ithKline response to the final ToR</w:t>
      </w:r>
      <w:r w:rsidRPr="00A01D9B">
        <w:t xml:space="preserve"> for this review (dated 22 April 2016). The study characteristics and results presented here for trial NCT02236611 were collated from the </w:t>
      </w:r>
      <w:r w:rsidR="001A68EF">
        <w:t xml:space="preserve">public </w:t>
      </w:r>
      <w:r w:rsidRPr="00A01D9B">
        <w:t>submission as well as the study results that were available on ClinicalTrials.gov as of 10 November 2016.</w:t>
      </w:r>
    </w:p>
    <w:p w:rsidR="00035233" w:rsidRDefault="00035233" w:rsidP="00035233">
      <w:pPr>
        <w:pStyle w:val="BodyText"/>
      </w:pPr>
      <w:r>
        <w:t xml:space="preserve">The primary aim of the study was to determine non-inferiority of umeclidinium to glycopyrronium. The non-inferiority margin was set at –50 mL, meaning that </w:t>
      </w:r>
      <w:r w:rsidRPr="00397982">
        <w:t xml:space="preserve">umeclidinium was considered non-inferior to </w:t>
      </w:r>
      <w:r>
        <w:t xml:space="preserve">glycopyrronium </w:t>
      </w:r>
      <w:r w:rsidRPr="00397982">
        <w:t>if the lower boundary of the 95% C</w:t>
      </w:r>
      <w:r>
        <w:t>I</w:t>
      </w:r>
      <w:r w:rsidRPr="00397982">
        <w:t xml:space="preserve"> around the treatment difference was greater than –50 mL</w:t>
      </w:r>
      <w:r>
        <w:t>.</w:t>
      </w:r>
    </w:p>
    <w:p w:rsidR="001A68EF" w:rsidRDefault="00035233" w:rsidP="001A68EF">
      <w:pPr>
        <w:pStyle w:val="BodyText"/>
      </w:pPr>
      <w:r>
        <w:t xml:space="preserve">Based on both per protocol and ITT analyses, shown in </w:t>
      </w:r>
      <w:r w:rsidR="006172D5">
        <w:t xml:space="preserve">Table 3.15, </w:t>
      </w:r>
      <w:r>
        <w:t>the results showed that umeclidinium was non-inferior to glycopyrronium.</w:t>
      </w:r>
      <w:r w:rsidR="001A68EF">
        <w:t xml:space="preserve"> The safety results shown in Table 3.16 indicate that both umeclidinium and glycopyrronium were generally well tolerated.</w:t>
      </w:r>
    </w:p>
    <w:p w:rsidR="00035233" w:rsidRDefault="001A68EF" w:rsidP="001A68EF">
      <w:pPr>
        <w:pStyle w:val="ToR3Tableheader"/>
      </w:pPr>
      <w:bookmarkStart w:id="122" w:name="_Toc467782107"/>
      <w:bookmarkStart w:id="123" w:name="_Toc468012295"/>
      <w:bookmarkStart w:id="124" w:name="_Toc468034451"/>
      <w:bookmarkStart w:id="125" w:name="_Toc471891007"/>
      <w:bookmarkStart w:id="126" w:name="_Toc486428194"/>
      <w:r>
        <w:t>Table 3.15</w:t>
      </w:r>
      <w:r w:rsidR="00035233">
        <w:tab/>
        <w:t xml:space="preserve">Least squares mean change from baseline for trough </w:t>
      </w:r>
      <w:r w:rsidR="00035233" w:rsidRPr="003845C5">
        <w:t>FEV</w:t>
      </w:r>
      <w:r w:rsidR="00035233" w:rsidRPr="003845C5">
        <w:rPr>
          <w:vertAlign w:val="subscript"/>
        </w:rPr>
        <w:t>1</w:t>
      </w:r>
      <w:r w:rsidR="00035233" w:rsidRPr="003845C5">
        <w:t xml:space="preserve"> </w:t>
      </w:r>
      <w:r w:rsidR="00035233">
        <w:t>– UME vs GLY</w:t>
      </w:r>
      <w:bookmarkEnd w:id="122"/>
      <w:bookmarkEnd w:id="123"/>
      <w:bookmarkEnd w:id="124"/>
      <w:bookmarkEnd w:id="125"/>
      <w:bookmarkEnd w:id="126"/>
    </w:p>
    <w:tbl>
      <w:tblPr>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Least squares mean change from baseline for trough FEV1 "/>
        <w:tblDescription w:val="Umeclidinium versus glycopyrronium"/>
      </w:tblPr>
      <w:tblGrid>
        <w:gridCol w:w="3548"/>
        <w:gridCol w:w="1560"/>
        <w:gridCol w:w="1418"/>
        <w:gridCol w:w="1843"/>
        <w:gridCol w:w="1073"/>
      </w:tblGrid>
      <w:tr w:rsidR="00035233" w:rsidRPr="00F01736" w:rsidTr="00035233">
        <w:trPr>
          <w:cantSplit/>
        </w:trPr>
        <w:tc>
          <w:tcPr>
            <w:tcW w:w="1879" w:type="pct"/>
            <w:tcBorders>
              <w:bottom w:val="single" w:sz="4" w:space="0" w:color="auto"/>
            </w:tcBorders>
            <w:shd w:val="clear" w:color="auto" w:fill="BFBFBF"/>
          </w:tcPr>
          <w:p w:rsidR="00035233" w:rsidRPr="005F28CA" w:rsidRDefault="00035233" w:rsidP="00030E3B">
            <w:pPr>
              <w:pStyle w:val="01TableHEADINGleftaligned"/>
              <w:keepLines/>
              <w:rPr>
                <w:vertAlign w:val="subscript"/>
              </w:rPr>
            </w:pPr>
            <w:r>
              <w:t>Trough FEV</w:t>
            </w:r>
            <w:r>
              <w:rPr>
                <w:vertAlign w:val="subscript"/>
              </w:rPr>
              <w:t>1</w:t>
            </w:r>
          </w:p>
        </w:tc>
        <w:tc>
          <w:tcPr>
            <w:tcW w:w="826" w:type="pct"/>
            <w:tcBorders>
              <w:bottom w:val="single" w:sz="4" w:space="0" w:color="auto"/>
              <w:right w:val="single" w:sz="4" w:space="0" w:color="auto"/>
            </w:tcBorders>
            <w:shd w:val="clear" w:color="auto" w:fill="BFBFBF"/>
          </w:tcPr>
          <w:p w:rsidR="00035233" w:rsidRPr="00F01736" w:rsidRDefault="00035233" w:rsidP="00030E3B">
            <w:pPr>
              <w:pStyle w:val="01TableHEADINGleftaligned"/>
              <w:keepLines/>
              <w:ind w:right="0"/>
              <w:jc w:val="center"/>
            </w:pPr>
            <w:r>
              <w:t>UME (n=431)</w:t>
            </w:r>
          </w:p>
        </w:tc>
        <w:tc>
          <w:tcPr>
            <w:tcW w:w="751" w:type="pct"/>
            <w:tcBorders>
              <w:left w:val="single" w:sz="4" w:space="0" w:color="auto"/>
              <w:bottom w:val="single" w:sz="4" w:space="0" w:color="auto"/>
            </w:tcBorders>
            <w:shd w:val="clear" w:color="auto" w:fill="BFBFBF"/>
          </w:tcPr>
          <w:p w:rsidR="00035233" w:rsidRPr="00F01736" w:rsidRDefault="00035233" w:rsidP="00030E3B">
            <w:pPr>
              <w:pStyle w:val="01TableHEADINGleftaligned"/>
              <w:keepLines/>
              <w:ind w:right="0"/>
              <w:jc w:val="center"/>
            </w:pPr>
            <w:r>
              <w:t>GLY (n=425)</w:t>
            </w:r>
          </w:p>
        </w:tc>
        <w:tc>
          <w:tcPr>
            <w:tcW w:w="976" w:type="pct"/>
            <w:tcBorders>
              <w:bottom w:val="single" w:sz="4" w:space="0" w:color="auto"/>
            </w:tcBorders>
            <w:shd w:val="clear" w:color="auto" w:fill="BFBFBF"/>
          </w:tcPr>
          <w:p w:rsidR="00035233" w:rsidRPr="00F01736" w:rsidRDefault="00035233" w:rsidP="00030E3B">
            <w:pPr>
              <w:pStyle w:val="01TableHEADINGleftaligned"/>
              <w:keepLines/>
              <w:jc w:val="center"/>
            </w:pPr>
            <w:r>
              <w:t>Treatment difference, Δ (95% CI)</w:t>
            </w:r>
          </w:p>
        </w:tc>
        <w:tc>
          <w:tcPr>
            <w:tcW w:w="568" w:type="pct"/>
            <w:tcBorders>
              <w:bottom w:val="single" w:sz="4" w:space="0" w:color="auto"/>
            </w:tcBorders>
            <w:shd w:val="clear" w:color="auto" w:fill="BFBFBF"/>
          </w:tcPr>
          <w:p w:rsidR="00035233" w:rsidRPr="00F01736" w:rsidRDefault="00035233" w:rsidP="00030E3B">
            <w:pPr>
              <w:pStyle w:val="01TableHEADINGleftaligned"/>
              <w:keepLines/>
              <w:jc w:val="center"/>
            </w:pPr>
            <w:r w:rsidRPr="00F01736">
              <w:t>p-</w:t>
            </w:r>
            <w:r w:rsidRPr="00DE60B1">
              <w:t>value</w:t>
            </w:r>
          </w:p>
        </w:tc>
      </w:tr>
      <w:tr w:rsidR="00035233" w:rsidRPr="00194011" w:rsidTr="00035233">
        <w:trPr>
          <w:cantSplit/>
        </w:trPr>
        <w:tc>
          <w:tcPr>
            <w:tcW w:w="1879" w:type="pct"/>
            <w:tcBorders>
              <w:bottom w:val="nil"/>
            </w:tcBorders>
            <w:shd w:val="clear" w:color="auto" w:fill="auto"/>
          </w:tcPr>
          <w:p w:rsidR="00035233" w:rsidRPr="006C0DFA" w:rsidRDefault="00035233" w:rsidP="00030E3B">
            <w:pPr>
              <w:pStyle w:val="05Tabletext"/>
              <w:keepNext/>
              <w:keepLines/>
            </w:pPr>
            <w:r>
              <w:t>LS mea</w:t>
            </w:r>
            <w:r w:rsidR="004B3085">
              <w:t>n (SE) change from baseline on D</w:t>
            </w:r>
            <w:r>
              <w:t>ay 85, L</w:t>
            </w:r>
          </w:p>
        </w:tc>
        <w:tc>
          <w:tcPr>
            <w:tcW w:w="826" w:type="pct"/>
            <w:tcBorders>
              <w:bottom w:val="nil"/>
            </w:tcBorders>
            <w:shd w:val="clear" w:color="auto" w:fill="auto"/>
          </w:tcPr>
          <w:p w:rsidR="00035233" w:rsidRPr="005F28CA" w:rsidRDefault="00035233" w:rsidP="00030E3B">
            <w:pPr>
              <w:pStyle w:val="05Tabletext"/>
              <w:keepNext/>
              <w:keepLines/>
              <w:jc w:val="center"/>
            </w:pPr>
          </w:p>
        </w:tc>
        <w:tc>
          <w:tcPr>
            <w:tcW w:w="751" w:type="pct"/>
            <w:tcBorders>
              <w:bottom w:val="nil"/>
            </w:tcBorders>
            <w:shd w:val="clear" w:color="auto" w:fill="auto"/>
          </w:tcPr>
          <w:p w:rsidR="00035233" w:rsidRPr="00C92D36" w:rsidRDefault="00035233" w:rsidP="00030E3B">
            <w:pPr>
              <w:pStyle w:val="05Tabletext"/>
              <w:keepNext/>
              <w:keepLines/>
              <w:jc w:val="center"/>
            </w:pPr>
          </w:p>
        </w:tc>
        <w:tc>
          <w:tcPr>
            <w:tcW w:w="976" w:type="pct"/>
            <w:tcBorders>
              <w:bottom w:val="nil"/>
            </w:tcBorders>
            <w:shd w:val="clear" w:color="auto" w:fill="auto"/>
          </w:tcPr>
          <w:p w:rsidR="00035233" w:rsidRPr="00194011" w:rsidRDefault="00035233" w:rsidP="00030E3B">
            <w:pPr>
              <w:pStyle w:val="05Tabletext"/>
              <w:keepNext/>
              <w:keepLines/>
              <w:jc w:val="center"/>
            </w:pPr>
          </w:p>
        </w:tc>
        <w:tc>
          <w:tcPr>
            <w:tcW w:w="568" w:type="pct"/>
            <w:tcBorders>
              <w:bottom w:val="nil"/>
            </w:tcBorders>
            <w:shd w:val="clear" w:color="auto" w:fill="auto"/>
          </w:tcPr>
          <w:p w:rsidR="00035233" w:rsidRPr="00194011" w:rsidRDefault="00035233" w:rsidP="00030E3B">
            <w:pPr>
              <w:pStyle w:val="05Tabletext"/>
              <w:keepNext/>
              <w:keepLines/>
              <w:jc w:val="center"/>
            </w:pPr>
          </w:p>
        </w:tc>
      </w:tr>
      <w:tr w:rsidR="00035233" w:rsidRPr="00194011" w:rsidTr="00035233">
        <w:trPr>
          <w:cantSplit/>
        </w:trPr>
        <w:tc>
          <w:tcPr>
            <w:tcW w:w="1879" w:type="pct"/>
            <w:tcBorders>
              <w:top w:val="nil"/>
              <w:bottom w:val="nil"/>
            </w:tcBorders>
            <w:shd w:val="clear" w:color="auto" w:fill="auto"/>
          </w:tcPr>
          <w:p w:rsidR="00035233" w:rsidRDefault="00035233" w:rsidP="00030E3B">
            <w:pPr>
              <w:pStyle w:val="05Tabletext"/>
              <w:keepNext/>
              <w:keepLines/>
              <w:ind w:firstLine="232"/>
            </w:pPr>
            <w:r>
              <w:t>Per protocol population</w:t>
            </w:r>
          </w:p>
        </w:tc>
        <w:tc>
          <w:tcPr>
            <w:tcW w:w="826" w:type="pct"/>
            <w:tcBorders>
              <w:top w:val="nil"/>
              <w:bottom w:val="nil"/>
            </w:tcBorders>
            <w:shd w:val="clear" w:color="auto" w:fill="auto"/>
          </w:tcPr>
          <w:p w:rsidR="00035233" w:rsidRPr="005F28CA" w:rsidRDefault="00035233" w:rsidP="00030E3B">
            <w:pPr>
              <w:pStyle w:val="05Tabletext"/>
              <w:keepNext/>
              <w:keepLines/>
              <w:jc w:val="center"/>
            </w:pPr>
            <w:r w:rsidRPr="005F28CA">
              <w:t>0.123 (0.0105)</w:t>
            </w:r>
          </w:p>
        </w:tc>
        <w:tc>
          <w:tcPr>
            <w:tcW w:w="751" w:type="pct"/>
            <w:tcBorders>
              <w:top w:val="nil"/>
              <w:bottom w:val="nil"/>
            </w:tcBorders>
            <w:shd w:val="clear" w:color="auto" w:fill="auto"/>
          </w:tcPr>
          <w:p w:rsidR="00035233" w:rsidRDefault="00035233" w:rsidP="00030E3B">
            <w:pPr>
              <w:pStyle w:val="05Tabletext"/>
              <w:keepNext/>
              <w:keepLines/>
              <w:jc w:val="center"/>
            </w:pPr>
            <w:r>
              <w:t>0.099 (0.0105)</w:t>
            </w:r>
          </w:p>
        </w:tc>
        <w:tc>
          <w:tcPr>
            <w:tcW w:w="976" w:type="pct"/>
            <w:tcBorders>
              <w:top w:val="nil"/>
              <w:bottom w:val="nil"/>
            </w:tcBorders>
            <w:shd w:val="clear" w:color="auto" w:fill="auto"/>
          </w:tcPr>
          <w:p w:rsidR="00035233" w:rsidRDefault="00035233" w:rsidP="00030E3B">
            <w:pPr>
              <w:pStyle w:val="05Tabletext"/>
              <w:keepNext/>
              <w:keepLines/>
              <w:jc w:val="center"/>
            </w:pPr>
            <w:r>
              <w:t>0.024 (–0.005, 0.054)</w:t>
            </w:r>
          </w:p>
        </w:tc>
        <w:tc>
          <w:tcPr>
            <w:tcW w:w="568" w:type="pct"/>
            <w:tcBorders>
              <w:top w:val="nil"/>
              <w:bottom w:val="nil"/>
            </w:tcBorders>
            <w:shd w:val="clear" w:color="auto" w:fill="auto"/>
          </w:tcPr>
          <w:p w:rsidR="00035233" w:rsidRDefault="00035233" w:rsidP="00030E3B">
            <w:pPr>
              <w:pStyle w:val="05Tabletext"/>
              <w:keepNext/>
              <w:keepLines/>
              <w:jc w:val="center"/>
            </w:pPr>
            <w:r>
              <w:t>0.100</w:t>
            </w:r>
          </w:p>
        </w:tc>
      </w:tr>
      <w:tr w:rsidR="00035233" w:rsidRPr="00194011" w:rsidTr="00035233">
        <w:trPr>
          <w:cantSplit/>
        </w:trPr>
        <w:tc>
          <w:tcPr>
            <w:tcW w:w="1879" w:type="pct"/>
            <w:tcBorders>
              <w:top w:val="nil"/>
            </w:tcBorders>
            <w:shd w:val="clear" w:color="auto" w:fill="auto"/>
          </w:tcPr>
          <w:p w:rsidR="00035233" w:rsidRDefault="00035233" w:rsidP="00030E3B">
            <w:pPr>
              <w:pStyle w:val="05Tabletext"/>
              <w:keepNext/>
              <w:keepLines/>
              <w:ind w:firstLine="232"/>
            </w:pPr>
            <w:r>
              <w:t>Intention</w:t>
            </w:r>
            <w:r w:rsidR="00D1265E">
              <w:t>-</w:t>
            </w:r>
            <w:r>
              <w:t>to</w:t>
            </w:r>
            <w:r w:rsidR="00D1265E">
              <w:t>-</w:t>
            </w:r>
            <w:r>
              <w:t>treat population</w:t>
            </w:r>
          </w:p>
        </w:tc>
        <w:tc>
          <w:tcPr>
            <w:tcW w:w="826" w:type="pct"/>
            <w:tcBorders>
              <w:top w:val="nil"/>
            </w:tcBorders>
            <w:shd w:val="clear" w:color="auto" w:fill="auto"/>
          </w:tcPr>
          <w:p w:rsidR="00035233" w:rsidRPr="005F28CA" w:rsidRDefault="00035233" w:rsidP="00030E3B">
            <w:pPr>
              <w:pStyle w:val="05Tabletext"/>
              <w:keepNext/>
              <w:keepLines/>
              <w:jc w:val="center"/>
            </w:pPr>
            <w:r>
              <w:t>NR</w:t>
            </w:r>
          </w:p>
        </w:tc>
        <w:tc>
          <w:tcPr>
            <w:tcW w:w="751" w:type="pct"/>
            <w:tcBorders>
              <w:top w:val="nil"/>
            </w:tcBorders>
            <w:shd w:val="clear" w:color="auto" w:fill="auto"/>
          </w:tcPr>
          <w:p w:rsidR="00035233" w:rsidRDefault="00035233" w:rsidP="00030E3B">
            <w:pPr>
              <w:pStyle w:val="05Tabletext"/>
              <w:keepNext/>
              <w:keepLines/>
              <w:jc w:val="center"/>
            </w:pPr>
            <w:r>
              <w:t>NR</w:t>
            </w:r>
          </w:p>
        </w:tc>
        <w:tc>
          <w:tcPr>
            <w:tcW w:w="976" w:type="pct"/>
            <w:tcBorders>
              <w:top w:val="nil"/>
            </w:tcBorders>
            <w:shd w:val="clear" w:color="auto" w:fill="auto"/>
          </w:tcPr>
          <w:p w:rsidR="00035233" w:rsidRDefault="00035233" w:rsidP="00030E3B">
            <w:pPr>
              <w:pStyle w:val="05Tabletext"/>
              <w:keepNext/>
              <w:keepLines/>
              <w:jc w:val="center"/>
            </w:pPr>
            <w:r>
              <w:t>0.033 (0.005, 0.061)</w:t>
            </w:r>
          </w:p>
        </w:tc>
        <w:tc>
          <w:tcPr>
            <w:tcW w:w="568" w:type="pct"/>
            <w:tcBorders>
              <w:top w:val="nil"/>
            </w:tcBorders>
            <w:shd w:val="clear" w:color="auto" w:fill="auto"/>
          </w:tcPr>
          <w:p w:rsidR="00035233" w:rsidRDefault="00035233" w:rsidP="00030E3B">
            <w:pPr>
              <w:pStyle w:val="05Tabletext"/>
              <w:keepNext/>
              <w:keepLines/>
              <w:jc w:val="center"/>
            </w:pPr>
            <w:r>
              <w:t>NR</w:t>
            </w:r>
          </w:p>
        </w:tc>
      </w:tr>
    </w:tbl>
    <w:p w:rsidR="00035233" w:rsidRDefault="00035233" w:rsidP="00030E3B">
      <w:pPr>
        <w:pStyle w:val="10TableorFigurefootnote"/>
        <w:keepLines/>
      </w:pPr>
      <w:r>
        <w:t xml:space="preserve">Source: NCT02236611. Results available at: </w:t>
      </w:r>
      <w:r w:rsidRPr="00E80D21">
        <w:t>https://clinicaltrials.gov/ct2/show/results/NCT02236611?sect=X70156&amp;term=NCT02236611&amp;rank=1#outcome1</w:t>
      </w:r>
      <w:r>
        <w:t>.</w:t>
      </w:r>
    </w:p>
    <w:p w:rsidR="00035233" w:rsidRDefault="00035233" w:rsidP="00030E3B">
      <w:pPr>
        <w:pStyle w:val="10TableorFigurefootnote"/>
        <w:keepLines/>
      </w:pPr>
      <w:r>
        <w:t>Note: Based on a mixed models analysis.</w:t>
      </w:r>
    </w:p>
    <w:p w:rsidR="00035233" w:rsidRPr="00091C07" w:rsidRDefault="00035233" w:rsidP="00030E3B">
      <w:pPr>
        <w:pStyle w:val="11TableorFigurefootnotenostick"/>
        <w:keepNext/>
        <w:keepLines/>
      </w:pPr>
      <w:r>
        <w:t>Abbreviations: CI, confidence interval; FEV</w:t>
      </w:r>
      <w:r>
        <w:rPr>
          <w:vertAlign w:val="subscript"/>
        </w:rPr>
        <w:t>1</w:t>
      </w:r>
      <w:r>
        <w:t>, forced expiratory volume in one second; GLY, glycopyrronium; LS, least squares; NR, not reported; SE, standard error; UME, umeclidinium.</w:t>
      </w:r>
    </w:p>
    <w:p w:rsidR="00035233" w:rsidRDefault="001A68EF" w:rsidP="001A68EF">
      <w:pPr>
        <w:pStyle w:val="ToR3Tableheader"/>
      </w:pPr>
      <w:bookmarkStart w:id="127" w:name="_Toc467782108"/>
      <w:bookmarkStart w:id="128" w:name="_Toc468012296"/>
      <w:bookmarkStart w:id="129" w:name="_Toc468034452"/>
      <w:bookmarkStart w:id="130" w:name="_Toc471891008"/>
      <w:bookmarkStart w:id="131" w:name="_Toc486428195"/>
      <w:r>
        <w:t>Table 3.16</w:t>
      </w:r>
      <w:r w:rsidR="00035233">
        <w:tab/>
        <w:t>Safety outcomes for the comparison of UME and GLY</w:t>
      </w:r>
      <w:bookmarkEnd w:id="127"/>
      <w:bookmarkEnd w:id="128"/>
      <w:bookmarkEnd w:id="129"/>
      <w:bookmarkEnd w:id="130"/>
      <w:bookmarkEnd w:id="1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Caption w:val="Safety outcomes"/>
        <w:tblDescription w:val="Umeclidinium versus glycopyrronium"/>
      </w:tblPr>
      <w:tblGrid>
        <w:gridCol w:w="3692"/>
        <w:gridCol w:w="2977"/>
        <w:gridCol w:w="2979"/>
      </w:tblGrid>
      <w:tr w:rsidR="00035233" w:rsidRPr="00194011" w:rsidTr="00035233">
        <w:trPr>
          <w:cantSplit/>
        </w:trPr>
        <w:tc>
          <w:tcPr>
            <w:tcW w:w="1913" w:type="pct"/>
            <w:shd w:val="clear" w:color="auto" w:fill="BFBFBF"/>
          </w:tcPr>
          <w:p w:rsidR="00035233" w:rsidRPr="00194011" w:rsidRDefault="00035233" w:rsidP="00035233">
            <w:pPr>
              <w:pStyle w:val="01TableHEADINGleftaligned"/>
              <w:rPr>
                <w:i/>
              </w:rPr>
            </w:pPr>
            <w:r>
              <w:t>Safety outcome</w:t>
            </w:r>
          </w:p>
        </w:tc>
        <w:tc>
          <w:tcPr>
            <w:tcW w:w="1543" w:type="pct"/>
            <w:tcBorders>
              <w:bottom w:val="single" w:sz="4" w:space="0" w:color="auto"/>
            </w:tcBorders>
            <w:shd w:val="clear" w:color="auto" w:fill="BFBFBF"/>
          </w:tcPr>
          <w:p w:rsidR="00035233" w:rsidRPr="00194011" w:rsidRDefault="00035233" w:rsidP="00035233">
            <w:pPr>
              <w:pStyle w:val="01TableHEADINGleftaligned"/>
              <w:jc w:val="center"/>
            </w:pPr>
            <w:r>
              <w:t>UME (N=516)</w:t>
            </w:r>
          </w:p>
        </w:tc>
        <w:tc>
          <w:tcPr>
            <w:tcW w:w="1544" w:type="pct"/>
            <w:tcBorders>
              <w:bottom w:val="single" w:sz="4" w:space="0" w:color="auto"/>
            </w:tcBorders>
            <w:shd w:val="clear" w:color="auto" w:fill="BFBFBF"/>
          </w:tcPr>
          <w:p w:rsidR="00035233" w:rsidRPr="00194011" w:rsidRDefault="00035233" w:rsidP="00035233">
            <w:pPr>
              <w:pStyle w:val="01TableHEADINGleftaligned"/>
              <w:jc w:val="center"/>
            </w:pPr>
            <w:r>
              <w:t>GLY (N=518)</w:t>
            </w:r>
          </w:p>
        </w:tc>
      </w:tr>
      <w:tr w:rsidR="00035233" w:rsidRPr="00194011" w:rsidTr="00035233">
        <w:trPr>
          <w:cantSplit/>
        </w:trPr>
        <w:tc>
          <w:tcPr>
            <w:tcW w:w="1913" w:type="pct"/>
            <w:tcBorders>
              <w:bottom w:val="single" w:sz="4" w:space="0" w:color="auto"/>
            </w:tcBorders>
            <w:shd w:val="clear" w:color="auto" w:fill="auto"/>
          </w:tcPr>
          <w:p w:rsidR="00035233" w:rsidRPr="00194011" w:rsidRDefault="00035233" w:rsidP="00035233">
            <w:pPr>
              <w:pStyle w:val="05Tabletext"/>
            </w:pPr>
            <w:r>
              <w:t>Total AEs not including SAEs, n (%)</w:t>
            </w:r>
          </w:p>
        </w:tc>
        <w:tc>
          <w:tcPr>
            <w:tcW w:w="1543" w:type="pct"/>
            <w:tcBorders>
              <w:bottom w:val="single" w:sz="4" w:space="0" w:color="auto"/>
            </w:tcBorders>
            <w:shd w:val="clear" w:color="auto" w:fill="auto"/>
          </w:tcPr>
          <w:p w:rsidR="00035233" w:rsidRPr="00194011" w:rsidRDefault="00035233" w:rsidP="00035233">
            <w:pPr>
              <w:pStyle w:val="05Tabletext"/>
              <w:jc w:val="center"/>
            </w:pPr>
            <w:r>
              <w:t>77 (14.9)</w:t>
            </w:r>
          </w:p>
        </w:tc>
        <w:tc>
          <w:tcPr>
            <w:tcW w:w="1544" w:type="pct"/>
            <w:tcBorders>
              <w:bottom w:val="single" w:sz="4" w:space="0" w:color="auto"/>
            </w:tcBorders>
            <w:shd w:val="clear" w:color="auto" w:fill="auto"/>
          </w:tcPr>
          <w:p w:rsidR="00035233" w:rsidRPr="00194011" w:rsidRDefault="00035233" w:rsidP="00035233">
            <w:pPr>
              <w:pStyle w:val="05Tabletext"/>
              <w:jc w:val="center"/>
            </w:pPr>
            <w:r>
              <w:t>80 (15.4)</w:t>
            </w:r>
          </w:p>
        </w:tc>
      </w:tr>
      <w:tr w:rsidR="00035233" w:rsidRPr="00194011" w:rsidTr="00035233">
        <w:trPr>
          <w:cantSplit/>
        </w:trPr>
        <w:tc>
          <w:tcPr>
            <w:tcW w:w="1913" w:type="pct"/>
            <w:tcBorders>
              <w:bottom w:val="nil"/>
            </w:tcBorders>
            <w:shd w:val="clear" w:color="auto" w:fill="auto"/>
          </w:tcPr>
          <w:p w:rsidR="00035233" w:rsidRPr="00194011" w:rsidRDefault="00035233" w:rsidP="00035233">
            <w:pPr>
              <w:pStyle w:val="05Tabletext"/>
            </w:pPr>
            <w:r>
              <w:t>Total SAEs, n (%)</w:t>
            </w:r>
          </w:p>
        </w:tc>
        <w:tc>
          <w:tcPr>
            <w:tcW w:w="1543" w:type="pct"/>
            <w:tcBorders>
              <w:bottom w:val="nil"/>
            </w:tcBorders>
            <w:shd w:val="clear" w:color="auto" w:fill="auto"/>
          </w:tcPr>
          <w:p w:rsidR="00035233" w:rsidRPr="00194011" w:rsidRDefault="00035233" w:rsidP="00035233">
            <w:pPr>
              <w:pStyle w:val="05Tabletext"/>
              <w:jc w:val="center"/>
            </w:pPr>
            <w:r>
              <w:t>17 (3.3)</w:t>
            </w:r>
          </w:p>
        </w:tc>
        <w:tc>
          <w:tcPr>
            <w:tcW w:w="1544" w:type="pct"/>
            <w:tcBorders>
              <w:bottom w:val="nil"/>
            </w:tcBorders>
            <w:shd w:val="clear" w:color="auto" w:fill="auto"/>
          </w:tcPr>
          <w:p w:rsidR="00035233" w:rsidRPr="00194011" w:rsidRDefault="00035233" w:rsidP="00035233">
            <w:pPr>
              <w:pStyle w:val="05Tabletext"/>
              <w:jc w:val="center"/>
            </w:pPr>
            <w:r>
              <w:t>15 (2.9)</w:t>
            </w:r>
          </w:p>
        </w:tc>
      </w:tr>
      <w:tr w:rsidR="00035233" w:rsidRPr="00194011" w:rsidTr="00035233">
        <w:trPr>
          <w:cantSplit/>
        </w:trPr>
        <w:tc>
          <w:tcPr>
            <w:tcW w:w="1913" w:type="pct"/>
            <w:tcBorders>
              <w:top w:val="nil"/>
              <w:bottom w:val="nil"/>
            </w:tcBorders>
            <w:shd w:val="clear" w:color="auto" w:fill="auto"/>
          </w:tcPr>
          <w:p w:rsidR="00035233" w:rsidRPr="00194011" w:rsidRDefault="00035233" w:rsidP="00035233">
            <w:pPr>
              <w:pStyle w:val="05Tabletext"/>
              <w:ind w:firstLine="232"/>
            </w:pPr>
            <w:r>
              <w:t>Cardiac disorders</w:t>
            </w:r>
          </w:p>
        </w:tc>
        <w:tc>
          <w:tcPr>
            <w:tcW w:w="1543" w:type="pct"/>
            <w:tcBorders>
              <w:top w:val="nil"/>
              <w:bottom w:val="nil"/>
            </w:tcBorders>
            <w:shd w:val="clear" w:color="auto" w:fill="auto"/>
          </w:tcPr>
          <w:p w:rsidR="00035233" w:rsidRPr="00194011" w:rsidRDefault="00035233" w:rsidP="00035233">
            <w:pPr>
              <w:pStyle w:val="05Tabletext"/>
              <w:jc w:val="center"/>
            </w:pPr>
            <w:r>
              <w:t>2 (0.4)</w:t>
            </w:r>
          </w:p>
        </w:tc>
        <w:tc>
          <w:tcPr>
            <w:tcW w:w="1544" w:type="pct"/>
            <w:tcBorders>
              <w:top w:val="nil"/>
              <w:bottom w:val="nil"/>
            </w:tcBorders>
            <w:shd w:val="clear" w:color="auto" w:fill="auto"/>
          </w:tcPr>
          <w:p w:rsidR="00035233" w:rsidRPr="00194011" w:rsidRDefault="00035233" w:rsidP="00035233">
            <w:pPr>
              <w:pStyle w:val="05Tabletext"/>
              <w:jc w:val="center"/>
            </w:pPr>
            <w:r>
              <w:t>3 (0.6)</w:t>
            </w:r>
          </w:p>
        </w:tc>
      </w:tr>
      <w:tr w:rsidR="00035233" w:rsidRPr="00194011" w:rsidTr="00035233">
        <w:trPr>
          <w:cantSplit/>
        </w:trPr>
        <w:tc>
          <w:tcPr>
            <w:tcW w:w="1913" w:type="pct"/>
            <w:tcBorders>
              <w:top w:val="nil"/>
            </w:tcBorders>
            <w:shd w:val="clear" w:color="auto" w:fill="auto"/>
          </w:tcPr>
          <w:p w:rsidR="00035233" w:rsidRPr="00194011" w:rsidRDefault="00035233" w:rsidP="00035233">
            <w:pPr>
              <w:pStyle w:val="05Tabletext"/>
              <w:ind w:firstLine="232"/>
            </w:pPr>
            <w:r>
              <w:t>Respiratory, thoracic and mediastinal disorders</w:t>
            </w:r>
          </w:p>
        </w:tc>
        <w:tc>
          <w:tcPr>
            <w:tcW w:w="1543" w:type="pct"/>
            <w:tcBorders>
              <w:top w:val="nil"/>
            </w:tcBorders>
            <w:shd w:val="clear" w:color="auto" w:fill="auto"/>
          </w:tcPr>
          <w:p w:rsidR="00035233" w:rsidRPr="00194011" w:rsidRDefault="00035233" w:rsidP="00035233">
            <w:pPr>
              <w:pStyle w:val="05Tabletext"/>
              <w:jc w:val="center"/>
            </w:pPr>
            <w:r>
              <w:t>7 (1.4)</w:t>
            </w:r>
          </w:p>
        </w:tc>
        <w:tc>
          <w:tcPr>
            <w:tcW w:w="1544" w:type="pct"/>
            <w:tcBorders>
              <w:top w:val="nil"/>
            </w:tcBorders>
            <w:shd w:val="clear" w:color="auto" w:fill="auto"/>
          </w:tcPr>
          <w:p w:rsidR="00035233" w:rsidRPr="00194011" w:rsidRDefault="00035233" w:rsidP="00035233">
            <w:pPr>
              <w:pStyle w:val="05Tabletext"/>
              <w:jc w:val="center"/>
            </w:pPr>
            <w:r>
              <w:t>6 (1.2)</w:t>
            </w:r>
          </w:p>
        </w:tc>
      </w:tr>
    </w:tbl>
    <w:p w:rsidR="00035233" w:rsidRDefault="00035233" w:rsidP="00035233">
      <w:pPr>
        <w:pStyle w:val="10TableorFigurefootnote"/>
      </w:pPr>
      <w:r>
        <w:t xml:space="preserve">Source: NCT02236611. Results available at: </w:t>
      </w:r>
      <w:r w:rsidRPr="00E80D21">
        <w:t>https://clinicaltrials.gov/ct2/show/results/NCT02236611?sect=X70156&amp;term=NCT02236611&amp;rank=1#outcome1</w:t>
      </w:r>
      <w:r>
        <w:t>.</w:t>
      </w:r>
    </w:p>
    <w:p w:rsidR="00035233" w:rsidRPr="00091C07" w:rsidRDefault="00035233" w:rsidP="00035233">
      <w:pPr>
        <w:pStyle w:val="11TableorFigurefootnotenostick"/>
      </w:pPr>
      <w:r>
        <w:t>Abbreviations: AE, adverse event; GLY, glycopyrronium; SAE, serious adverse event; UME, umeclidinium.</w:t>
      </w:r>
    </w:p>
    <w:p w:rsidR="00035233" w:rsidRDefault="00035233" w:rsidP="00251CB8">
      <w:pPr>
        <w:pStyle w:val="Heading4"/>
        <w:numPr>
          <w:ilvl w:val="3"/>
          <w:numId w:val="11"/>
        </w:numPr>
      </w:pPr>
      <w:r>
        <w:lastRenderedPageBreak/>
        <w:t xml:space="preserve">Tiotropium Respimat versus tiotropium </w:t>
      </w:r>
      <w:r w:rsidR="00AC3855">
        <w:t>HandiHaler</w:t>
      </w:r>
    </w:p>
    <w:p w:rsidR="00035233" w:rsidRDefault="00035233" w:rsidP="00251CB8">
      <w:pPr>
        <w:pStyle w:val="Heading5"/>
        <w:numPr>
          <w:ilvl w:val="4"/>
          <w:numId w:val="11"/>
        </w:numPr>
      </w:pPr>
      <w:r>
        <w:t>TIOSPIR study</w:t>
      </w:r>
    </w:p>
    <w:p w:rsidR="00035233" w:rsidRDefault="00035233" w:rsidP="00035233">
      <w:pPr>
        <w:pStyle w:val="BodyTextnospacebefore"/>
      </w:pPr>
      <w:r>
        <w:t xml:space="preserve">The TIOSPIR study was a large RCT that compared the safety and efficacy of the two PBS-listed tiotropium formulations, </w:t>
      </w:r>
      <w:r w:rsidR="00AC3855">
        <w:t>HandiHaler</w:t>
      </w:r>
      <w:r>
        <w:t xml:space="preserve"> and Respimat, over a 2-3 year period. The primary safety outcome was time to death of any cause (non-inferiority of Respimat versus </w:t>
      </w:r>
      <w:r w:rsidR="00AC3855">
        <w:t>HandiHaler</w:t>
      </w:r>
      <w:r>
        <w:t xml:space="preserve">), and the primary efficacy outcome was time to first COPD exacerbation (superiority for Respimat versus </w:t>
      </w:r>
      <w:r w:rsidR="00AC3855">
        <w:t>HandiHaler</w:t>
      </w:r>
      <w:r>
        <w:t>).</w:t>
      </w:r>
    </w:p>
    <w:p w:rsidR="00035233" w:rsidRDefault="00035233" w:rsidP="00035233">
      <w:pPr>
        <w:pStyle w:val="BodyText"/>
      </w:pPr>
      <w:r>
        <w:t xml:space="preserve">The primary safety outcomes were reported by Wise et al (2013) and were considered by the PBAC as part of the tiotropium/olodaterol (Spiolto Respimat) submission in July 2014. Subsequently, several post hoc analyses of the TIOSPIR study have been published that focus on the comparative efficacy of Respimat and </w:t>
      </w:r>
      <w:r w:rsidR="00AC3855">
        <w:t>HandiHaler</w:t>
      </w:r>
      <w:r>
        <w:t xml:space="preserve"> and the comparative safety in particular patient subgroups. Three of those publications, with findings of relevance to this review, are summarised below.</w:t>
      </w:r>
    </w:p>
    <w:p w:rsidR="00035233" w:rsidRPr="007F6AE4" w:rsidRDefault="00035233" w:rsidP="00035233">
      <w:pPr>
        <w:pStyle w:val="BodyText"/>
      </w:pPr>
      <w:r>
        <w:t xml:space="preserve">It should be noted that several of the post hoc TIOSPIR publications emphasise the liberal eligibility </w:t>
      </w:r>
      <w:r w:rsidRPr="00447B08">
        <w:t>criteria of the study, noting that patients with a wide range of disease severities and those with a history of cardiac disorders were included. As a result, TIOSPIR is likely to be more representative of a typical COPD population than some clinical studies (although patients with severe, unstable cardiovascular disease or moderate-to-severe renal impairment were not eligible).</w:t>
      </w:r>
    </w:p>
    <w:p w:rsidR="00035233" w:rsidRDefault="00035233" w:rsidP="00035233">
      <w:pPr>
        <w:pStyle w:val="BodyText"/>
      </w:pPr>
      <w:r>
        <w:t>Anzueto et al (2015) undertook a subgroup analysis of spirometry outcomes on a subset of 1,370 patients who underwent spirometry at baseline and every 24 weeks throughout the study. The non-inferiority margin for trough FEV</w:t>
      </w:r>
      <w:r>
        <w:rPr>
          <w:vertAlign w:val="subscript"/>
        </w:rPr>
        <w:t>1</w:t>
      </w:r>
      <w:r>
        <w:t xml:space="preserve"> was set at 50 mL and, based on that criteria, tiotropium Respimat 5 μg was shown to be non-inferior to </w:t>
      </w:r>
      <w:r w:rsidR="00AC3855">
        <w:t>HandiHaler</w:t>
      </w:r>
      <w:r>
        <w:t xml:space="preserve"> (see</w:t>
      </w:r>
      <w:r w:rsidR="006172D5">
        <w:t xml:space="preserve"> Table 3.17</w:t>
      </w:r>
      <w:r>
        <w:t>).</w:t>
      </w:r>
      <w:r>
        <w:rPr>
          <w:rStyle w:val="FootnoteReference"/>
        </w:rPr>
        <w:footnoteReference w:id="15"/>
      </w:r>
      <w:r>
        <w:t xml:space="preserve"> </w:t>
      </w:r>
    </w:p>
    <w:p w:rsidR="00035233" w:rsidRDefault="0014196D" w:rsidP="001A68EF">
      <w:pPr>
        <w:pStyle w:val="ToR3Tableheader"/>
      </w:pPr>
      <w:bookmarkStart w:id="132" w:name="_Toc467782109"/>
      <w:bookmarkStart w:id="133" w:name="_Toc468012297"/>
      <w:bookmarkStart w:id="134" w:name="_Toc468034453"/>
      <w:bookmarkStart w:id="135" w:name="_Toc471891009"/>
      <w:bookmarkStart w:id="136" w:name="_Toc486428196"/>
      <w:r>
        <w:t>Table 3.17</w:t>
      </w:r>
      <w:r w:rsidR="00035233">
        <w:tab/>
        <w:t>Adjusted mean change from baseline in trough FEV</w:t>
      </w:r>
      <w:r w:rsidR="00035233">
        <w:rPr>
          <w:vertAlign w:val="subscript"/>
        </w:rPr>
        <w:t>1</w:t>
      </w:r>
      <w:r w:rsidR="00035233">
        <w:t xml:space="preserve"> – Respimat vs </w:t>
      </w:r>
      <w:r w:rsidR="00AC3855">
        <w:t>HandiHaler</w:t>
      </w:r>
      <w:bookmarkEnd w:id="132"/>
      <w:bookmarkEnd w:id="133"/>
      <w:bookmarkEnd w:id="134"/>
      <w:bookmarkEnd w:id="135"/>
      <w:bookmarkEnd w:id="136"/>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Caption w:val="Adjusted mean change from baseline in trough FEV1 "/>
        <w:tblDescription w:val="Respimat versus HandiHaler"/>
      </w:tblPr>
      <w:tblGrid>
        <w:gridCol w:w="3973"/>
        <w:gridCol w:w="1700"/>
        <w:gridCol w:w="1702"/>
        <w:gridCol w:w="1418"/>
        <w:gridCol w:w="853"/>
      </w:tblGrid>
      <w:tr w:rsidR="00035233" w:rsidRPr="00F01736" w:rsidTr="00035233">
        <w:trPr>
          <w:cantSplit/>
        </w:trPr>
        <w:tc>
          <w:tcPr>
            <w:tcW w:w="2060" w:type="pct"/>
            <w:shd w:val="clear" w:color="auto" w:fill="BFBFBF"/>
          </w:tcPr>
          <w:p w:rsidR="00035233" w:rsidRPr="00F01736" w:rsidRDefault="00035233" w:rsidP="00035233">
            <w:pPr>
              <w:pStyle w:val="01TableHEADINGleftaligned"/>
            </w:pPr>
          </w:p>
        </w:tc>
        <w:tc>
          <w:tcPr>
            <w:tcW w:w="881" w:type="pct"/>
            <w:shd w:val="clear" w:color="auto" w:fill="BFBFBF"/>
          </w:tcPr>
          <w:p w:rsidR="00035233" w:rsidRDefault="00035233" w:rsidP="00035233">
            <w:pPr>
              <w:pStyle w:val="01TableHEADINGleftaligned"/>
              <w:ind w:left="0"/>
              <w:jc w:val="center"/>
            </w:pPr>
            <w:r>
              <w:t>Respimat (n=461)</w:t>
            </w:r>
          </w:p>
        </w:tc>
        <w:tc>
          <w:tcPr>
            <w:tcW w:w="882" w:type="pct"/>
            <w:shd w:val="clear" w:color="auto" w:fill="BFBFBF"/>
          </w:tcPr>
          <w:p w:rsidR="00035233" w:rsidRPr="00F01736" w:rsidRDefault="00AC3855" w:rsidP="00035233">
            <w:pPr>
              <w:pStyle w:val="01TableHEADINGleftaligned"/>
              <w:ind w:left="0"/>
              <w:jc w:val="center"/>
            </w:pPr>
            <w:r>
              <w:t>HandiHaler</w:t>
            </w:r>
            <w:r w:rsidR="00035233">
              <w:t xml:space="preserve"> (n=445)</w:t>
            </w:r>
          </w:p>
        </w:tc>
        <w:tc>
          <w:tcPr>
            <w:tcW w:w="735" w:type="pct"/>
            <w:shd w:val="clear" w:color="auto" w:fill="BFBFBF"/>
          </w:tcPr>
          <w:p w:rsidR="00035233" w:rsidRPr="00F01736" w:rsidRDefault="00035233" w:rsidP="00035233">
            <w:pPr>
              <w:pStyle w:val="01TableHEADINGleftaligned"/>
              <w:jc w:val="center"/>
            </w:pPr>
            <w:r>
              <w:t>Δ mL (95% CI)</w:t>
            </w:r>
          </w:p>
        </w:tc>
        <w:tc>
          <w:tcPr>
            <w:tcW w:w="442" w:type="pct"/>
            <w:shd w:val="clear" w:color="auto" w:fill="BFBFBF"/>
          </w:tcPr>
          <w:p w:rsidR="00035233" w:rsidRPr="00F01736" w:rsidRDefault="00035233" w:rsidP="00035233">
            <w:pPr>
              <w:pStyle w:val="01TableHEADINGleftaligned"/>
              <w:jc w:val="center"/>
            </w:pPr>
            <w:r w:rsidRPr="00F01736">
              <w:t>p-</w:t>
            </w:r>
            <w:r w:rsidRPr="00DE60B1">
              <w:t>value</w:t>
            </w:r>
          </w:p>
        </w:tc>
      </w:tr>
      <w:tr w:rsidR="00035233" w:rsidRPr="00194011" w:rsidTr="00035233">
        <w:trPr>
          <w:cantSplit/>
        </w:trPr>
        <w:tc>
          <w:tcPr>
            <w:tcW w:w="2060" w:type="pct"/>
            <w:shd w:val="clear" w:color="auto" w:fill="auto"/>
          </w:tcPr>
          <w:p w:rsidR="00035233" w:rsidRPr="005C5C6F" w:rsidRDefault="00035233" w:rsidP="00035233">
            <w:pPr>
              <w:pStyle w:val="05Tabletext"/>
              <w:keepNext/>
              <w:rPr>
                <w:b/>
              </w:rPr>
            </w:pPr>
            <w:r>
              <w:t>Adjusted mean trough FEV</w:t>
            </w:r>
            <w:r>
              <w:rPr>
                <w:vertAlign w:val="subscript"/>
              </w:rPr>
              <w:t>1</w:t>
            </w:r>
            <w:r>
              <w:t xml:space="preserve"> (average 24-120 weeks), mL</w:t>
            </w:r>
          </w:p>
        </w:tc>
        <w:tc>
          <w:tcPr>
            <w:tcW w:w="881" w:type="pct"/>
          </w:tcPr>
          <w:p w:rsidR="00035233" w:rsidRDefault="00035233" w:rsidP="00035233">
            <w:pPr>
              <w:pStyle w:val="05Tabletext"/>
              <w:keepNext/>
              <w:jc w:val="center"/>
            </w:pPr>
            <w:r>
              <w:t>1,285</w:t>
            </w:r>
          </w:p>
        </w:tc>
        <w:tc>
          <w:tcPr>
            <w:tcW w:w="882" w:type="pct"/>
            <w:shd w:val="clear" w:color="auto" w:fill="auto"/>
          </w:tcPr>
          <w:p w:rsidR="00035233" w:rsidRPr="00BC7782" w:rsidRDefault="00035233" w:rsidP="00035233">
            <w:pPr>
              <w:pStyle w:val="05Tabletext"/>
              <w:keepNext/>
              <w:jc w:val="center"/>
            </w:pPr>
            <w:r>
              <w:t>1,295</w:t>
            </w:r>
          </w:p>
        </w:tc>
        <w:tc>
          <w:tcPr>
            <w:tcW w:w="735" w:type="pct"/>
            <w:shd w:val="clear" w:color="auto" w:fill="auto"/>
          </w:tcPr>
          <w:p w:rsidR="00035233" w:rsidRPr="00194011" w:rsidRDefault="00035233" w:rsidP="00035233">
            <w:pPr>
              <w:pStyle w:val="05Tabletext"/>
              <w:keepNext/>
              <w:jc w:val="center"/>
            </w:pPr>
            <w:r>
              <w:t>–10 (–38, 18)</w:t>
            </w:r>
          </w:p>
        </w:tc>
        <w:tc>
          <w:tcPr>
            <w:tcW w:w="442" w:type="pct"/>
            <w:shd w:val="clear" w:color="auto" w:fill="auto"/>
          </w:tcPr>
          <w:p w:rsidR="00035233" w:rsidRPr="00194011" w:rsidRDefault="00035233" w:rsidP="00035233">
            <w:pPr>
              <w:pStyle w:val="05Tabletext"/>
              <w:keepNext/>
              <w:jc w:val="center"/>
            </w:pPr>
            <w:r>
              <w:t>ns</w:t>
            </w:r>
          </w:p>
        </w:tc>
      </w:tr>
    </w:tbl>
    <w:p w:rsidR="00035233" w:rsidRDefault="00035233" w:rsidP="00035233">
      <w:pPr>
        <w:pStyle w:val="10TableorFigurefootnote"/>
      </w:pPr>
      <w:r>
        <w:t>Source: Anzueto (2015), p110.</w:t>
      </w:r>
    </w:p>
    <w:p w:rsidR="00035233" w:rsidRDefault="00035233" w:rsidP="00035233">
      <w:pPr>
        <w:pStyle w:val="10TableorFigurefootnote"/>
      </w:pPr>
      <w:r>
        <w:t>Note: Trough FEV</w:t>
      </w:r>
      <w:r w:rsidRPr="00284675">
        <w:rPr>
          <w:vertAlign w:val="subscript"/>
        </w:rPr>
        <w:t>1</w:t>
      </w:r>
      <w:r>
        <w:t xml:space="preserve"> (24 to 120 weeks) was analysed between treatment groups using a mixed model repeated measures model with an autoregression-1 covariance structure and the Kenwood–Roger approximation to estimate denominator degrees of freedom. Analyses included the fixed terms for treatment, investigative site, visit, treatment-by-visit interaction, baseline FEV</w:t>
      </w:r>
      <w:r w:rsidRPr="00284675">
        <w:rPr>
          <w:vertAlign w:val="subscript"/>
        </w:rPr>
        <w:t>1</w:t>
      </w:r>
      <w:r>
        <w:t>, and baseline FEV</w:t>
      </w:r>
      <w:r w:rsidRPr="00284675">
        <w:rPr>
          <w:vertAlign w:val="subscript"/>
        </w:rPr>
        <w:t>1</w:t>
      </w:r>
      <w:r>
        <w:t>-by-visit interaction, and a random term for patient.</w:t>
      </w:r>
    </w:p>
    <w:p w:rsidR="00035233" w:rsidRDefault="00035233" w:rsidP="00035233">
      <w:pPr>
        <w:pStyle w:val="11TableorFigurefootnotenostick"/>
      </w:pPr>
      <w:r>
        <w:t>Abbreviations: CI, confidence interval; FEV</w:t>
      </w:r>
      <w:r>
        <w:rPr>
          <w:vertAlign w:val="subscript"/>
        </w:rPr>
        <w:t>1</w:t>
      </w:r>
      <w:r>
        <w:t>, forced expiratory volume in one second; ns, non-significant.</w:t>
      </w:r>
    </w:p>
    <w:p w:rsidR="00035233" w:rsidRDefault="00035233" w:rsidP="00035233">
      <w:pPr>
        <w:pStyle w:val="BodyText"/>
      </w:pPr>
      <w:r>
        <w:t xml:space="preserve">In another subgroup analysis, Dahl et al (2015) examined the results for 2,782 patients who had stable </w:t>
      </w:r>
      <w:r w:rsidR="00AC3855">
        <w:t>HandiHaler</w:t>
      </w:r>
      <w:r w:rsidR="00BF258D">
        <w:t xml:space="preserve"> use for at least two</w:t>
      </w:r>
      <w:r>
        <w:t xml:space="preserve"> months prior to study enrolment. The aim of the study was to determine whether there was a difference in risk for patients who switched from </w:t>
      </w:r>
      <w:r w:rsidR="00AC3855">
        <w:t>HandiHaler</w:t>
      </w:r>
      <w:r>
        <w:t xml:space="preserve"> to Respimat in terms of time to death (safety) and time to first COPD exacerbation (efficacy).</w:t>
      </w:r>
    </w:p>
    <w:p w:rsidR="00035233" w:rsidRDefault="00035233" w:rsidP="00035233">
      <w:pPr>
        <w:pStyle w:val="BodyText"/>
      </w:pPr>
      <w:r>
        <w:t xml:space="preserve">Of the patients included in this post hoc analysis, 952 were randomised to </w:t>
      </w:r>
      <w:r w:rsidR="00AC3855">
        <w:t>HandiHaler</w:t>
      </w:r>
      <w:r>
        <w:t>; 918 to Respimat 5 μg; and</w:t>
      </w:r>
      <w:r w:rsidRPr="008D366B">
        <w:t xml:space="preserve"> </w:t>
      </w:r>
      <w:r>
        <w:t>914 to Respimat 2.5 μg.</w:t>
      </w:r>
      <w:r>
        <w:rPr>
          <w:rStyle w:val="FootnoteReference"/>
        </w:rPr>
        <w:footnoteReference w:id="16"/>
      </w:r>
      <w:r>
        <w:t xml:space="preserve"> In addition to pre-existing LAMA therapy, 68.7% </w:t>
      </w:r>
      <w:r>
        <w:lastRenderedPageBreak/>
        <w:t>of patients in this substudy were taking a LABA at baseline, and 66.5% were being treated with ICS. A high proportion of patients (60.1%) were also receiving cardiovascular medications and 16.2% had a history of cardiac arrhythmia.</w:t>
      </w:r>
    </w:p>
    <w:p w:rsidR="00035233" w:rsidRDefault="00035233" w:rsidP="00035233">
      <w:pPr>
        <w:pStyle w:val="BodyText"/>
      </w:pPr>
      <w:r>
        <w:t xml:space="preserve">Non-inferiority testing was undertaken for the time to death endpoint, using </w:t>
      </w:r>
      <w:r w:rsidR="00AC3855">
        <w:t>HandiHaler</w:t>
      </w:r>
      <w:r>
        <w:t xml:space="preserve"> as the reference group. Rate ratios and 95% CIs were used to compare incidence rates, with the non-inferiority margin set at 1.25; consequently, if the upper limit of the 95% CI was below 1.25, t</w:t>
      </w:r>
      <w:r w:rsidR="00BF258D">
        <w:t>he null hypothesis was rejected (Wise et al, 2013).</w:t>
      </w:r>
    </w:p>
    <w:p w:rsidR="00035233" w:rsidRDefault="006172D5" w:rsidP="00035233">
      <w:pPr>
        <w:pStyle w:val="BodyText"/>
      </w:pPr>
      <w:r>
        <w:t>Table 3.18</w:t>
      </w:r>
      <w:r w:rsidR="00035233">
        <w:t xml:space="preserve"> indicate</w:t>
      </w:r>
      <w:r>
        <w:t>s</w:t>
      </w:r>
      <w:r w:rsidR="00035233">
        <w:t xml:space="preserve"> that there were numerically fewer mortality events in the Respimat group than the </w:t>
      </w:r>
      <w:r w:rsidR="00AC3855">
        <w:t>HandiHaler</w:t>
      </w:r>
      <w:r w:rsidR="00035233">
        <w:t xml:space="preserve"> group in all but one of the relevant analyses, which included subgroup analyses of cardiac history, treatment history and COPD severity. The one exception was in patients with two or more exacerbations in the previous year, where the results numerically favoured </w:t>
      </w:r>
      <w:r w:rsidR="00AC3855">
        <w:t>HandiHaler</w:t>
      </w:r>
      <w:r w:rsidR="00035233">
        <w:t xml:space="preserve">. Nevertheless, the </w:t>
      </w:r>
      <w:proofErr w:type="gramStart"/>
      <w:r w:rsidR="00035233">
        <w:t>criteria for non-inferiority was</w:t>
      </w:r>
      <w:proofErr w:type="gramEnd"/>
      <w:r w:rsidR="00035233">
        <w:t xml:space="preserve"> met, demonstrating that across an extensive range of mortality outcomes, Respimat is non-inferior to </w:t>
      </w:r>
      <w:r w:rsidR="00AC3855">
        <w:t>HandiHaler</w:t>
      </w:r>
      <w:r w:rsidR="00035233">
        <w:t>. Additional safety findings for non-fatal</w:t>
      </w:r>
      <w:r>
        <w:t xml:space="preserve"> adverse events are presented in Table 3.20</w:t>
      </w:r>
      <w:r w:rsidR="00035233">
        <w:t>.</w:t>
      </w:r>
    </w:p>
    <w:p w:rsidR="00BF258D" w:rsidRDefault="00BF258D" w:rsidP="00035233">
      <w:pPr>
        <w:pStyle w:val="BodyText"/>
      </w:pPr>
      <w:r>
        <w:t xml:space="preserve">There was no significant difference in the co-primary end point of time to first COPD exacerbation in Respimat versus HandiHaler, with a similar number of exacerbations, including severe exacerbations, being observed between the two treatment groups (see Table 3.19). </w:t>
      </w:r>
    </w:p>
    <w:p w:rsidR="00035233" w:rsidRDefault="00BF258D" w:rsidP="00A55E5D">
      <w:pPr>
        <w:pStyle w:val="ToR3Tableheader"/>
        <w:keepNext w:val="0"/>
      </w:pPr>
      <w:bookmarkStart w:id="137" w:name="_Toc467782110"/>
      <w:bookmarkStart w:id="138" w:name="_Toc468012298"/>
      <w:bookmarkStart w:id="139" w:name="_Toc468034454"/>
      <w:bookmarkStart w:id="140" w:name="_Toc471891010"/>
      <w:bookmarkStart w:id="141" w:name="_Toc486428197"/>
      <w:r>
        <w:t>Table 3.18</w:t>
      </w:r>
      <w:r w:rsidR="00035233">
        <w:tab/>
        <w:t xml:space="preserve">Incidence of mortality and fatal MACE in treated with tiotropium </w:t>
      </w:r>
      <w:r w:rsidR="00AC3855">
        <w:t>HandiHaler</w:t>
      </w:r>
      <w:r w:rsidR="00035233">
        <w:t xml:space="preserve"> at baseline who continue to receive </w:t>
      </w:r>
      <w:r w:rsidR="00AC3855">
        <w:t>HandiHaler</w:t>
      </w:r>
      <w:r w:rsidR="00035233">
        <w:t xml:space="preserve"> or switch to Respimat in the TIOSPIR study</w:t>
      </w:r>
      <w:bookmarkEnd w:id="137"/>
      <w:bookmarkEnd w:id="138"/>
      <w:bookmarkEnd w:id="139"/>
      <w:bookmarkEnd w:id="140"/>
      <w:bookmarkEnd w:id="141"/>
      <w:r w:rsidR="00035233">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Caption w:val="Mortality"/>
        <w:tblDescription w:val="Incidence of mortality and fatal MACE in treated with tiotropium HandiHaler at baseline who continue to receive HandiHaler or switch to Respimat in the TIOSPIR study "/>
      </w:tblPr>
      <w:tblGrid>
        <w:gridCol w:w="3692"/>
        <w:gridCol w:w="854"/>
        <w:gridCol w:w="1698"/>
        <w:gridCol w:w="1698"/>
        <w:gridCol w:w="1706"/>
      </w:tblGrid>
      <w:tr w:rsidR="00035233" w:rsidRPr="00F01736" w:rsidTr="00035233">
        <w:trPr>
          <w:cantSplit/>
          <w:tblHeader/>
        </w:trPr>
        <w:tc>
          <w:tcPr>
            <w:tcW w:w="1913" w:type="pct"/>
            <w:tcBorders>
              <w:bottom w:val="single" w:sz="4" w:space="0" w:color="auto"/>
            </w:tcBorders>
            <w:shd w:val="clear" w:color="auto" w:fill="BFBFBF"/>
          </w:tcPr>
          <w:p w:rsidR="00035233" w:rsidRPr="00F01736" w:rsidRDefault="00035233" w:rsidP="00A55E5D">
            <w:pPr>
              <w:pStyle w:val="01TableHEADINGleftaligned"/>
              <w:keepNext w:val="0"/>
            </w:pPr>
          </w:p>
        </w:tc>
        <w:tc>
          <w:tcPr>
            <w:tcW w:w="442" w:type="pct"/>
            <w:tcBorders>
              <w:bottom w:val="single" w:sz="4" w:space="0" w:color="auto"/>
            </w:tcBorders>
            <w:shd w:val="clear" w:color="auto" w:fill="BFBFBF"/>
          </w:tcPr>
          <w:p w:rsidR="00035233" w:rsidRDefault="00035233" w:rsidP="00A55E5D">
            <w:pPr>
              <w:pStyle w:val="01TableHEADINGleftaligned"/>
              <w:keepNext w:val="0"/>
              <w:ind w:right="0"/>
              <w:jc w:val="center"/>
            </w:pPr>
            <w:r>
              <w:t>N for both groups</w:t>
            </w:r>
          </w:p>
        </w:tc>
        <w:tc>
          <w:tcPr>
            <w:tcW w:w="880" w:type="pct"/>
            <w:tcBorders>
              <w:bottom w:val="single" w:sz="4" w:space="0" w:color="auto"/>
              <w:right w:val="single" w:sz="4" w:space="0" w:color="auto"/>
            </w:tcBorders>
            <w:shd w:val="clear" w:color="auto" w:fill="BFBFBF"/>
          </w:tcPr>
          <w:p w:rsidR="00035233" w:rsidRPr="00F01736" w:rsidRDefault="00035233" w:rsidP="00A55E5D">
            <w:pPr>
              <w:pStyle w:val="01TableHEADINGleftaligned"/>
              <w:keepNext w:val="0"/>
              <w:ind w:right="0"/>
              <w:jc w:val="center"/>
            </w:pPr>
            <w:r>
              <w:t>Respimat (n=918)</w:t>
            </w:r>
          </w:p>
        </w:tc>
        <w:tc>
          <w:tcPr>
            <w:tcW w:w="880" w:type="pct"/>
            <w:tcBorders>
              <w:left w:val="single" w:sz="4" w:space="0" w:color="auto"/>
              <w:bottom w:val="single" w:sz="4" w:space="0" w:color="auto"/>
            </w:tcBorders>
            <w:shd w:val="clear" w:color="auto" w:fill="BFBFBF"/>
          </w:tcPr>
          <w:p w:rsidR="00035233" w:rsidRPr="00F01736" w:rsidRDefault="00AC3855" w:rsidP="00A55E5D">
            <w:pPr>
              <w:pStyle w:val="01TableHEADINGleftaligned"/>
              <w:keepNext w:val="0"/>
              <w:jc w:val="center"/>
            </w:pPr>
            <w:r>
              <w:t>HandiHaler</w:t>
            </w:r>
            <w:r w:rsidR="00035233">
              <w:t xml:space="preserve"> (n=952)</w:t>
            </w:r>
          </w:p>
        </w:tc>
        <w:tc>
          <w:tcPr>
            <w:tcW w:w="884" w:type="pct"/>
            <w:tcBorders>
              <w:bottom w:val="single" w:sz="4" w:space="0" w:color="auto"/>
            </w:tcBorders>
            <w:shd w:val="clear" w:color="auto" w:fill="BFBFBF"/>
          </w:tcPr>
          <w:p w:rsidR="00035233" w:rsidRPr="00F01736" w:rsidRDefault="00035233" w:rsidP="00A55E5D">
            <w:pPr>
              <w:pStyle w:val="01TableHEADINGleftaligned"/>
              <w:keepNext w:val="0"/>
              <w:jc w:val="center"/>
            </w:pPr>
            <w:r>
              <w:t>Rate ratio (95% CI)</w:t>
            </w:r>
          </w:p>
        </w:tc>
      </w:tr>
      <w:tr w:rsidR="00035233" w:rsidRPr="00194011" w:rsidTr="00035233">
        <w:trPr>
          <w:cantSplit/>
        </w:trPr>
        <w:tc>
          <w:tcPr>
            <w:tcW w:w="1913" w:type="pct"/>
            <w:tcBorders>
              <w:bottom w:val="nil"/>
            </w:tcBorders>
            <w:shd w:val="clear" w:color="auto" w:fill="000000"/>
          </w:tcPr>
          <w:p w:rsidR="00035233" w:rsidRDefault="00035233" w:rsidP="00A55E5D">
            <w:pPr>
              <w:pStyle w:val="04Tablesubheading"/>
              <w:keepNext w:val="0"/>
            </w:pPr>
            <w:r>
              <w:t>Overall</w:t>
            </w:r>
          </w:p>
        </w:tc>
        <w:tc>
          <w:tcPr>
            <w:tcW w:w="442" w:type="pct"/>
            <w:tcBorders>
              <w:bottom w:val="nil"/>
            </w:tcBorders>
            <w:shd w:val="clear" w:color="auto" w:fill="000000"/>
          </w:tcPr>
          <w:p w:rsidR="00035233" w:rsidRDefault="00035233" w:rsidP="00A55E5D">
            <w:pPr>
              <w:pStyle w:val="04Tablesubheading"/>
              <w:keepNext w:val="0"/>
            </w:pPr>
          </w:p>
        </w:tc>
        <w:tc>
          <w:tcPr>
            <w:tcW w:w="880" w:type="pct"/>
            <w:tcBorders>
              <w:bottom w:val="nil"/>
            </w:tcBorders>
            <w:shd w:val="clear" w:color="auto" w:fill="000000"/>
          </w:tcPr>
          <w:p w:rsidR="00035233" w:rsidRDefault="00035233" w:rsidP="00A55E5D">
            <w:pPr>
              <w:pStyle w:val="04Tablesubheading"/>
              <w:keepNext w:val="0"/>
            </w:pPr>
          </w:p>
        </w:tc>
        <w:tc>
          <w:tcPr>
            <w:tcW w:w="880" w:type="pct"/>
            <w:tcBorders>
              <w:bottom w:val="nil"/>
            </w:tcBorders>
            <w:shd w:val="clear" w:color="auto" w:fill="000000"/>
          </w:tcPr>
          <w:p w:rsidR="00035233" w:rsidRDefault="00035233" w:rsidP="00A55E5D">
            <w:pPr>
              <w:pStyle w:val="04Tablesubheading"/>
              <w:keepNext w:val="0"/>
            </w:pPr>
          </w:p>
        </w:tc>
        <w:tc>
          <w:tcPr>
            <w:tcW w:w="884" w:type="pct"/>
            <w:tcBorders>
              <w:bottom w:val="nil"/>
            </w:tcBorders>
            <w:shd w:val="clear" w:color="auto" w:fill="000000"/>
          </w:tcPr>
          <w:p w:rsidR="00035233" w:rsidRDefault="00035233" w:rsidP="00A55E5D">
            <w:pPr>
              <w:pStyle w:val="04Tablesubheading"/>
              <w:keepNext w:val="0"/>
            </w:pPr>
          </w:p>
        </w:tc>
      </w:tr>
      <w:tr w:rsidR="00035233" w:rsidRPr="00194011" w:rsidTr="00035233">
        <w:trPr>
          <w:cantSplit/>
        </w:trPr>
        <w:tc>
          <w:tcPr>
            <w:tcW w:w="1913" w:type="pct"/>
            <w:tcBorders>
              <w:bottom w:val="nil"/>
            </w:tcBorders>
            <w:shd w:val="clear" w:color="auto" w:fill="auto"/>
          </w:tcPr>
          <w:p w:rsidR="00035233" w:rsidRPr="00CB33BD" w:rsidRDefault="00035233" w:rsidP="00A55E5D">
            <w:pPr>
              <w:pStyle w:val="05Tabletext"/>
            </w:pPr>
            <w:r>
              <w:t>All-cause mortality, n (rate per 100 patient-years)</w:t>
            </w:r>
          </w:p>
        </w:tc>
        <w:tc>
          <w:tcPr>
            <w:tcW w:w="442" w:type="pct"/>
            <w:tcBorders>
              <w:bottom w:val="nil"/>
            </w:tcBorders>
          </w:tcPr>
          <w:p w:rsidR="00035233" w:rsidRDefault="00035233" w:rsidP="00A55E5D">
            <w:pPr>
              <w:pStyle w:val="05Tabletext"/>
              <w:jc w:val="center"/>
            </w:pPr>
            <w:r>
              <w:t>-</w:t>
            </w:r>
          </w:p>
        </w:tc>
        <w:tc>
          <w:tcPr>
            <w:tcW w:w="880" w:type="pct"/>
            <w:tcBorders>
              <w:bottom w:val="nil"/>
            </w:tcBorders>
            <w:shd w:val="clear" w:color="auto" w:fill="auto"/>
          </w:tcPr>
          <w:p w:rsidR="00035233" w:rsidRPr="00194011" w:rsidRDefault="00035233" w:rsidP="00A55E5D">
            <w:pPr>
              <w:pStyle w:val="05Tabletext"/>
              <w:jc w:val="center"/>
            </w:pPr>
            <w:r>
              <w:t>71 (3.3)</w:t>
            </w:r>
          </w:p>
        </w:tc>
        <w:tc>
          <w:tcPr>
            <w:tcW w:w="880" w:type="pct"/>
            <w:tcBorders>
              <w:bottom w:val="nil"/>
            </w:tcBorders>
            <w:shd w:val="clear" w:color="auto" w:fill="auto"/>
          </w:tcPr>
          <w:p w:rsidR="00035233" w:rsidRPr="00BC7782" w:rsidRDefault="00035233" w:rsidP="00A55E5D">
            <w:pPr>
              <w:pStyle w:val="05Tabletext"/>
              <w:jc w:val="center"/>
            </w:pPr>
            <w:r>
              <w:t>92 (4.1)</w:t>
            </w:r>
          </w:p>
        </w:tc>
        <w:tc>
          <w:tcPr>
            <w:tcW w:w="884" w:type="pct"/>
            <w:tcBorders>
              <w:bottom w:val="nil"/>
            </w:tcBorders>
            <w:shd w:val="clear" w:color="auto" w:fill="auto"/>
          </w:tcPr>
          <w:p w:rsidR="00035233" w:rsidRPr="00194011" w:rsidRDefault="00035233" w:rsidP="00A55E5D">
            <w:pPr>
              <w:pStyle w:val="05Tabletext"/>
              <w:jc w:val="center"/>
            </w:pPr>
            <w:r>
              <w:t>0.79 (0.58, 1.07)</w:t>
            </w:r>
          </w:p>
        </w:tc>
      </w:tr>
      <w:tr w:rsidR="00035233" w:rsidRPr="00194011" w:rsidTr="00035233">
        <w:trPr>
          <w:cantSplit/>
        </w:trPr>
        <w:tc>
          <w:tcPr>
            <w:tcW w:w="1913" w:type="pct"/>
            <w:tcBorders>
              <w:top w:val="nil"/>
              <w:bottom w:val="nil"/>
            </w:tcBorders>
            <w:shd w:val="clear" w:color="auto" w:fill="auto"/>
          </w:tcPr>
          <w:p w:rsidR="00035233" w:rsidRDefault="00035233" w:rsidP="00A55E5D">
            <w:pPr>
              <w:pStyle w:val="05Tabletext"/>
              <w:ind w:firstLine="232"/>
            </w:pPr>
            <w:r>
              <w:t>Cardiac disorders</w:t>
            </w:r>
          </w:p>
        </w:tc>
        <w:tc>
          <w:tcPr>
            <w:tcW w:w="442" w:type="pct"/>
            <w:tcBorders>
              <w:top w:val="nil"/>
              <w:bottom w:val="nil"/>
            </w:tcBorders>
          </w:tcPr>
          <w:p w:rsidR="00035233" w:rsidRDefault="00035233" w:rsidP="00A55E5D">
            <w:pPr>
              <w:pStyle w:val="05Tabletext"/>
              <w:jc w:val="center"/>
            </w:pPr>
            <w:r>
              <w:t>-</w:t>
            </w:r>
          </w:p>
        </w:tc>
        <w:tc>
          <w:tcPr>
            <w:tcW w:w="880" w:type="pct"/>
            <w:tcBorders>
              <w:top w:val="nil"/>
              <w:bottom w:val="nil"/>
            </w:tcBorders>
            <w:shd w:val="clear" w:color="auto" w:fill="auto"/>
          </w:tcPr>
          <w:p w:rsidR="00035233" w:rsidRDefault="00035233" w:rsidP="00A55E5D">
            <w:pPr>
              <w:pStyle w:val="05Tabletext"/>
              <w:jc w:val="center"/>
            </w:pPr>
            <w:r>
              <w:t>2 (0.1)</w:t>
            </w:r>
          </w:p>
        </w:tc>
        <w:tc>
          <w:tcPr>
            <w:tcW w:w="880" w:type="pct"/>
            <w:tcBorders>
              <w:top w:val="nil"/>
              <w:bottom w:val="nil"/>
            </w:tcBorders>
            <w:shd w:val="clear" w:color="auto" w:fill="auto"/>
          </w:tcPr>
          <w:p w:rsidR="00035233" w:rsidRDefault="00035233" w:rsidP="00A55E5D">
            <w:pPr>
              <w:pStyle w:val="05Tabletext"/>
              <w:jc w:val="center"/>
            </w:pPr>
            <w:r>
              <w:t>5 (0.2)</w:t>
            </w:r>
          </w:p>
        </w:tc>
        <w:tc>
          <w:tcPr>
            <w:tcW w:w="884" w:type="pct"/>
            <w:tcBorders>
              <w:top w:val="nil"/>
              <w:bottom w:val="nil"/>
            </w:tcBorders>
            <w:shd w:val="clear" w:color="auto" w:fill="auto"/>
          </w:tcPr>
          <w:p w:rsidR="00035233" w:rsidRDefault="00035233" w:rsidP="00A55E5D">
            <w:pPr>
              <w:pStyle w:val="05Tabletext"/>
              <w:jc w:val="center"/>
            </w:pPr>
            <w:r>
              <w:t>0.41 (0.08, 2.10)</w:t>
            </w:r>
          </w:p>
        </w:tc>
      </w:tr>
      <w:tr w:rsidR="00035233" w:rsidRPr="00194011" w:rsidTr="00035233">
        <w:trPr>
          <w:cantSplit/>
        </w:trPr>
        <w:tc>
          <w:tcPr>
            <w:tcW w:w="1913" w:type="pct"/>
            <w:tcBorders>
              <w:top w:val="nil"/>
              <w:bottom w:val="nil"/>
            </w:tcBorders>
            <w:shd w:val="clear" w:color="auto" w:fill="auto"/>
          </w:tcPr>
          <w:p w:rsidR="00035233" w:rsidRDefault="00035233" w:rsidP="00A55E5D">
            <w:pPr>
              <w:pStyle w:val="05Tabletext"/>
              <w:ind w:firstLine="232"/>
            </w:pPr>
            <w:r>
              <w:t>Respiratory, thoracic and mediastinal disorders</w:t>
            </w:r>
          </w:p>
        </w:tc>
        <w:tc>
          <w:tcPr>
            <w:tcW w:w="442" w:type="pct"/>
            <w:tcBorders>
              <w:top w:val="nil"/>
              <w:bottom w:val="nil"/>
            </w:tcBorders>
          </w:tcPr>
          <w:p w:rsidR="00035233" w:rsidRDefault="00035233" w:rsidP="00A55E5D">
            <w:pPr>
              <w:pStyle w:val="05Tabletext"/>
              <w:jc w:val="center"/>
            </w:pPr>
            <w:r>
              <w:t>-</w:t>
            </w:r>
          </w:p>
        </w:tc>
        <w:tc>
          <w:tcPr>
            <w:tcW w:w="880" w:type="pct"/>
            <w:tcBorders>
              <w:top w:val="nil"/>
              <w:bottom w:val="nil"/>
            </w:tcBorders>
            <w:shd w:val="clear" w:color="auto" w:fill="auto"/>
          </w:tcPr>
          <w:p w:rsidR="00035233" w:rsidRDefault="00035233" w:rsidP="00A55E5D">
            <w:pPr>
              <w:pStyle w:val="05Tabletext"/>
              <w:jc w:val="center"/>
            </w:pPr>
            <w:r>
              <w:t>26 (1.2)</w:t>
            </w:r>
          </w:p>
        </w:tc>
        <w:tc>
          <w:tcPr>
            <w:tcW w:w="880" w:type="pct"/>
            <w:tcBorders>
              <w:top w:val="nil"/>
              <w:bottom w:val="nil"/>
            </w:tcBorders>
            <w:shd w:val="clear" w:color="auto" w:fill="auto"/>
          </w:tcPr>
          <w:p w:rsidR="00035233" w:rsidRDefault="00035233" w:rsidP="00A55E5D">
            <w:pPr>
              <w:pStyle w:val="05Tabletext"/>
              <w:jc w:val="center"/>
            </w:pPr>
            <w:r>
              <w:t>33 (1.5)</w:t>
            </w:r>
          </w:p>
        </w:tc>
        <w:tc>
          <w:tcPr>
            <w:tcW w:w="884" w:type="pct"/>
            <w:tcBorders>
              <w:top w:val="nil"/>
              <w:bottom w:val="nil"/>
            </w:tcBorders>
            <w:shd w:val="clear" w:color="auto" w:fill="auto"/>
          </w:tcPr>
          <w:p w:rsidR="00035233" w:rsidRDefault="00035233" w:rsidP="00A55E5D">
            <w:pPr>
              <w:pStyle w:val="05Tabletext"/>
              <w:jc w:val="center"/>
            </w:pPr>
            <w:r>
              <w:t>0.80 (0.46, 1.78)</w:t>
            </w:r>
          </w:p>
        </w:tc>
      </w:tr>
      <w:tr w:rsidR="00035233" w:rsidRPr="00194011" w:rsidTr="00035233">
        <w:trPr>
          <w:cantSplit/>
        </w:trPr>
        <w:tc>
          <w:tcPr>
            <w:tcW w:w="1913" w:type="pct"/>
            <w:tcBorders>
              <w:top w:val="nil"/>
              <w:bottom w:val="single" w:sz="4" w:space="0" w:color="auto"/>
            </w:tcBorders>
            <w:shd w:val="clear" w:color="auto" w:fill="auto"/>
          </w:tcPr>
          <w:p w:rsidR="00035233" w:rsidRPr="00BE18DC" w:rsidRDefault="00035233" w:rsidP="00A55E5D">
            <w:pPr>
              <w:pStyle w:val="05Tabletext"/>
              <w:ind w:firstLine="232"/>
            </w:pPr>
            <w:r>
              <w:t>Fatal MACE</w:t>
            </w:r>
            <w:r>
              <w:rPr>
                <w:vertAlign w:val="superscript"/>
              </w:rPr>
              <w:t>a</w:t>
            </w:r>
          </w:p>
        </w:tc>
        <w:tc>
          <w:tcPr>
            <w:tcW w:w="442" w:type="pct"/>
            <w:tcBorders>
              <w:top w:val="nil"/>
              <w:bottom w:val="single" w:sz="4" w:space="0" w:color="auto"/>
            </w:tcBorders>
          </w:tcPr>
          <w:p w:rsidR="00035233" w:rsidRDefault="00035233" w:rsidP="00A55E5D">
            <w:pPr>
              <w:pStyle w:val="05Tabletext"/>
              <w:jc w:val="center"/>
            </w:pPr>
            <w:r>
              <w:t>-</w:t>
            </w:r>
          </w:p>
        </w:tc>
        <w:tc>
          <w:tcPr>
            <w:tcW w:w="880" w:type="pct"/>
            <w:tcBorders>
              <w:top w:val="nil"/>
              <w:bottom w:val="single" w:sz="4" w:space="0" w:color="auto"/>
            </w:tcBorders>
            <w:shd w:val="clear" w:color="auto" w:fill="auto"/>
          </w:tcPr>
          <w:p w:rsidR="00035233" w:rsidRDefault="00035233" w:rsidP="00A55E5D">
            <w:pPr>
              <w:pStyle w:val="05Tabletext"/>
              <w:jc w:val="center"/>
            </w:pPr>
            <w:r>
              <w:t>13 (0.6)</w:t>
            </w:r>
          </w:p>
        </w:tc>
        <w:tc>
          <w:tcPr>
            <w:tcW w:w="880" w:type="pct"/>
            <w:tcBorders>
              <w:top w:val="nil"/>
              <w:bottom w:val="single" w:sz="4" w:space="0" w:color="auto"/>
            </w:tcBorders>
            <w:shd w:val="clear" w:color="auto" w:fill="auto"/>
          </w:tcPr>
          <w:p w:rsidR="00035233" w:rsidRPr="00BC7782" w:rsidRDefault="00035233" w:rsidP="00A55E5D">
            <w:pPr>
              <w:pStyle w:val="05Tabletext"/>
              <w:jc w:val="center"/>
            </w:pPr>
            <w:r>
              <w:t>20 (0.9)</w:t>
            </w:r>
          </w:p>
        </w:tc>
        <w:tc>
          <w:tcPr>
            <w:tcW w:w="884" w:type="pct"/>
            <w:tcBorders>
              <w:top w:val="nil"/>
              <w:bottom w:val="single" w:sz="4" w:space="0" w:color="auto"/>
            </w:tcBorders>
            <w:shd w:val="clear" w:color="auto" w:fill="auto"/>
          </w:tcPr>
          <w:p w:rsidR="00035233" w:rsidRPr="00194011" w:rsidRDefault="00035233" w:rsidP="00A55E5D">
            <w:pPr>
              <w:pStyle w:val="05Tabletext"/>
              <w:jc w:val="center"/>
            </w:pPr>
            <w:r>
              <w:t>0.66 (0.33, 1.33)</w:t>
            </w:r>
          </w:p>
        </w:tc>
      </w:tr>
      <w:tr w:rsidR="00035233" w:rsidRPr="00194011" w:rsidTr="00035233">
        <w:trPr>
          <w:cantSplit/>
        </w:trPr>
        <w:tc>
          <w:tcPr>
            <w:tcW w:w="1913" w:type="pct"/>
            <w:tcBorders>
              <w:top w:val="nil"/>
              <w:bottom w:val="single" w:sz="4" w:space="0" w:color="auto"/>
            </w:tcBorders>
            <w:shd w:val="clear" w:color="auto" w:fill="auto"/>
          </w:tcPr>
          <w:p w:rsidR="00035233" w:rsidRPr="00923487" w:rsidRDefault="00035233" w:rsidP="00A55E5D">
            <w:pPr>
              <w:pStyle w:val="05Tabletext"/>
            </w:pPr>
            <w:r>
              <w:t>All-cause mortality, total incidence (%)</w:t>
            </w:r>
          </w:p>
        </w:tc>
        <w:tc>
          <w:tcPr>
            <w:tcW w:w="442" w:type="pct"/>
            <w:tcBorders>
              <w:top w:val="nil"/>
              <w:bottom w:val="single" w:sz="4" w:space="0" w:color="auto"/>
            </w:tcBorders>
          </w:tcPr>
          <w:p w:rsidR="00035233" w:rsidRDefault="00035233" w:rsidP="00A55E5D">
            <w:pPr>
              <w:pStyle w:val="05Tabletext"/>
              <w:jc w:val="center"/>
            </w:pPr>
            <w:r>
              <w:t>-</w:t>
            </w:r>
          </w:p>
        </w:tc>
        <w:tc>
          <w:tcPr>
            <w:tcW w:w="880" w:type="pct"/>
            <w:tcBorders>
              <w:top w:val="nil"/>
              <w:bottom w:val="single" w:sz="4" w:space="0" w:color="auto"/>
            </w:tcBorders>
            <w:shd w:val="clear" w:color="auto" w:fill="auto"/>
          </w:tcPr>
          <w:p w:rsidR="00035233" w:rsidRDefault="00035233" w:rsidP="00A55E5D">
            <w:pPr>
              <w:pStyle w:val="05Tabletext"/>
              <w:jc w:val="center"/>
            </w:pPr>
            <w:r>
              <w:t>7.7</w:t>
            </w:r>
          </w:p>
        </w:tc>
        <w:tc>
          <w:tcPr>
            <w:tcW w:w="880" w:type="pct"/>
            <w:tcBorders>
              <w:top w:val="nil"/>
              <w:bottom w:val="single" w:sz="4" w:space="0" w:color="auto"/>
            </w:tcBorders>
            <w:shd w:val="clear" w:color="auto" w:fill="auto"/>
          </w:tcPr>
          <w:p w:rsidR="00035233" w:rsidRDefault="00035233" w:rsidP="00A55E5D">
            <w:pPr>
              <w:pStyle w:val="05Tabletext"/>
              <w:jc w:val="center"/>
            </w:pPr>
            <w:r>
              <w:t>9.7</w:t>
            </w:r>
          </w:p>
        </w:tc>
        <w:tc>
          <w:tcPr>
            <w:tcW w:w="884" w:type="pct"/>
            <w:tcBorders>
              <w:top w:val="nil"/>
              <w:bottom w:val="single" w:sz="4" w:space="0" w:color="auto"/>
            </w:tcBorders>
            <w:shd w:val="clear" w:color="auto" w:fill="auto"/>
          </w:tcPr>
          <w:p w:rsidR="00035233" w:rsidRDefault="00035233" w:rsidP="00A55E5D">
            <w:pPr>
              <w:pStyle w:val="05Tabletext"/>
              <w:jc w:val="center"/>
            </w:pPr>
            <w:r>
              <w:t>0.79 (0.58, 1.07)</w:t>
            </w:r>
          </w:p>
        </w:tc>
      </w:tr>
      <w:tr w:rsidR="00035233" w:rsidRPr="00194011" w:rsidTr="00035233">
        <w:trPr>
          <w:cantSplit/>
        </w:trPr>
        <w:tc>
          <w:tcPr>
            <w:tcW w:w="1913" w:type="pct"/>
            <w:tcBorders>
              <w:top w:val="single" w:sz="4" w:space="0" w:color="auto"/>
              <w:bottom w:val="single" w:sz="4" w:space="0" w:color="auto"/>
            </w:tcBorders>
            <w:shd w:val="clear" w:color="auto" w:fill="000000"/>
          </w:tcPr>
          <w:p w:rsidR="00035233" w:rsidRDefault="00035233" w:rsidP="00A55E5D">
            <w:pPr>
              <w:pStyle w:val="04Tablesubheading"/>
              <w:keepNext w:val="0"/>
            </w:pPr>
            <w:r>
              <w:t>Subgroup analyses, total incidence (%)</w:t>
            </w:r>
          </w:p>
          <w:p w:rsidR="00035233" w:rsidRPr="00923487" w:rsidRDefault="00035233" w:rsidP="00A55E5D">
            <w:pPr>
              <w:pStyle w:val="04Tablesubheading"/>
              <w:keepNext w:val="0"/>
            </w:pPr>
            <w:r>
              <w:t>Baseline cardiac arrhythmia</w:t>
            </w:r>
          </w:p>
        </w:tc>
        <w:tc>
          <w:tcPr>
            <w:tcW w:w="442" w:type="pct"/>
            <w:tcBorders>
              <w:top w:val="single" w:sz="4" w:space="0" w:color="auto"/>
              <w:bottom w:val="single" w:sz="4" w:space="0" w:color="auto"/>
            </w:tcBorders>
            <w:shd w:val="clear" w:color="auto" w:fill="000000"/>
          </w:tcPr>
          <w:p w:rsidR="00035233" w:rsidRDefault="00035233" w:rsidP="00A55E5D">
            <w:pPr>
              <w:pStyle w:val="04Tablesubheading"/>
              <w:keepNext w:val="0"/>
            </w:pPr>
          </w:p>
        </w:tc>
        <w:tc>
          <w:tcPr>
            <w:tcW w:w="880" w:type="pct"/>
            <w:tcBorders>
              <w:top w:val="single" w:sz="4" w:space="0" w:color="auto"/>
              <w:bottom w:val="single" w:sz="4" w:space="0" w:color="auto"/>
            </w:tcBorders>
            <w:shd w:val="clear" w:color="auto" w:fill="000000"/>
          </w:tcPr>
          <w:p w:rsidR="00035233" w:rsidRDefault="00035233" w:rsidP="00A55E5D">
            <w:pPr>
              <w:pStyle w:val="04Tablesubheading"/>
              <w:keepNext w:val="0"/>
            </w:pPr>
          </w:p>
        </w:tc>
        <w:tc>
          <w:tcPr>
            <w:tcW w:w="880" w:type="pct"/>
            <w:tcBorders>
              <w:top w:val="single" w:sz="4" w:space="0" w:color="auto"/>
              <w:bottom w:val="single" w:sz="4" w:space="0" w:color="auto"/>
            </w:tcBorders>
            <w:shd w:val="clear" w:color="auto" w:fill="000000"/>
          </w:tcPr>
          <w:p w:rsidR="00035233" w:rsidRDefault="00035233" w:rsidP="00A55E5D">
            <w:pPr>
              <w:pStyle w:val="04Tablesubheading"/>
              <w:keepNext w:val="0"/>
            </w:pPr>
          </w:p>
        </w:tc>
        <w:tc>
          <w:tcPr>
            <w:tcW w:w="884" w:type="pct"/>
            <w:tcBorders>
              <w:top w:val="single" w:sz="4" w:space="0" w:color="auto"/>
              <w:bottom w:val="single" w:sz="4" w:space="0" w:color="auto"/>
            </w:tcBorders>
            <w:shd w:val="clear" w:color="auto" w:fill="000000"/>
          </w:tcPr>
          <w:p w:rsidR="00035233" w:rsidRDefault="00035233" w:rsidP="00A55E5D">
            <w:pPr>
              <w:pStyle w:val="04Tablesubheading"/>
              <w:keepNext w:val="0"/>
            </w:pPr>
          </w:p>
        </w:tc>
      </w:tr>
      <w:tr w:rsidR="00035233" w:rsidRPr="00194011" w:rsidTr="00035233">
        <w:trPr>
          <w:cantSplit/>
        </w:trPr>
        <w:tc>
          <w:tcPr>
            <w:tcW w:w="1913" w:type="pct"/>
            <w:tcBorders>
              <w:top w:val="single" w:sz="4" w:space="0" w:color="auto"/>
              <w:bottom w:val="single" w:sz="4" w:space="0" w:color="auto"/>
            </w:tcBorders>
            <w:shd w:val="clear" w:color="auto" w:fill="auto"/>
          </w:tcPr>
          <w:p w:rsidR="00035233" w:rsidRPr="00923487" w:rsidRDefault="00035233" w:rsidP="00A55E5D">
            <w:pPr>
              <w:pStyle w:val="05Tabletext"/>
            </w:pPr>
            <w:r>
              <w:t>No</w:t>
            </w:r>
          </w:p>
        </w:tc>
        <w:tc>
          <w:tcPr>
            <w:tcW w:w="442" w:type="pct"/>
            <w:tcBorders>
              <w:top w:val="single" w:sz="4" w:space="0" w:color="auto"/>
              <w:bottom w:val="single" w:sz="4" w:space="0" w:color="auto"/>
            </w:tcBorders>
          </w:tcPr>
          <w:p w:rsidR="00035233" w:rsidRDefault="00035233" w:rsidP="00A55E5D">
            <w:pPr>
              <w:pStyle w:val="05Tabletext"/>
              <w:jc w:val="center"/>
            </w:pPr>
            <w:r>
              <w:t>1,571</w:t>
            </w:r>
          </w:p>
        </w:tc>
        <w:tc>
          <w:tcPr>
            <w:tcW w:w="880" w:type="pct"/>
            <w:tcBorders>
              <w:top w:val="single" w:sz="4" w:space="0" w:color="auto"/>
              <w:bottom w:val="single" w:sz="4" w:space="0" w:color="auto"/>
            </w:tcBorders>
            <w:shd w:val="clear" w:color="auto" w:fill="auto"/>
          </w:tcPr>
          <w:p w:rsidR="00035233" w:rsidRDefault="00035233" w:rsidP="00A55E5D">
            <w:pPr>
              <w:pStyle w:val="05Tabletext"/>
              <w:jc w:val="center"/>
            </w:pPr>
            <w:r>
              <w:t>6.8</w:t>
            </w:r>
          </w:p>
        </w:tc>
        <w:tc>
          <w:tcPr>
            <w:tcW w:w="880" w:type="pct"/>
            <w:tcBorders>
              <w:top w:val="single" w:sz="4" w:space="0" w:color="auto"/>
              <w:bottom w:val="single" w:sz="4" w:space="0" w:color="auto"/>
            </w:tcBorders>
            <w:shd w:val="clear" w:color="auto" w:fill="auto"/>
          </w:tcPr>
          <w:p w:rsidR="00035233" w:rsidRDefault="00035233" w:rsidP="00A55E5D">
            <w:pPr>
              <w:pStyle w:val="05Tabletext"/>
              <w:jc w:val="center"/>
            </w:pPr>
            <w:r>
              <w:t>8.7</w:t>
            </w:r>
          </w:p>
        </w:tc>
        <w:tc>
          <w:tcPr>
            <w:tcW w:w="884" w:type="pct"/>
            <w:tcBorders>
              <w:top w:val="single" w:sz="4" w:space="0" w:color="auto"/>
              <w:bottom w:val="single" w:sz="4" w:space="0" w:color="auto"/>
            </w:tcBorders>
            <w:shd w:val="clear" w:color="auto" w:fill="auto"/>
          </w:tcPr>
          <w:p w:rsidR="00035233" w:rsidRDefault="00035233" w:rsidP="00A55E5D">
            <w:pPr>
              <w:pStyle w:val="05Tabletext"/>
              <w:jc w:val="center"/>
            </w:pPr>
            <w:r>
              <w:t>0.77 (0.54, 1.10)</w:t>
            </w:r>
          </w:p>
        </w:tc>
      </w:tr>
      <w:tr w:rsidR="00035233" w:rsidRPr="00194011" w:rsidTr="00035233">
        <w:trPr>
          <w:cantSplit/>
        </w:trPr>
        <w:tc>
          <w:tcPr>
            <w:tcW w:w="1913" w:type="pct"/>
            <w:tcBorders>
              <w:top w:val="single" w:sz="4" w:space="0" w:color="auto"/>
              <w:bottom w:val="single" w:sz="4" w:space="0" w:color="auto"/>
            </w:tcBorders>
            <w:shd w:val="clear" w:color="auto" w:fill="auto"/>
          </w:tcPr>
          <w:p w:rsidR="00035233" w:rsidRPr="00923487" w:rsidRDefault="00035233" w:rsidP="00A55E5D">
            <w:pPr>
              <w:pStyle w:val="05Tabletext"/>
            </w:pPr>
            <w:r>
              <w:t>Yes</w:t>
            </w:r>
          </w:p>
        </w:tc>
        <w:tc>
          <w:tcPr>
            <w:tcW w:w="442" w:type="pct"/>
            <w:tcBorders>
              <w:top w:val="single" w:sz="4" w:space="0" w:color="auto"/>
              <w:bottom w:val="single" w:sz="4" w:space="0" w:color="auto"/>
            </w:tcBorders>
          </w:tcPr>
          <w:p w:rsidR="00035233" w:rsidRDefault="00035233" w:rsidP="00A55E5D">
            <w:pPr>
              <w:pStyle w:val="05Tabletext"/>
              <w:jc w:val="center"/>
            </w:pPr>
            <w:r>
              <w:t>296</w:t>
            </w:r>
          </w:p>
        </w:tc>
        <w:tc>
          <w:tcPr>
            <w:tcW w:w="880" w:type="pct"/>
            <w:tcBorders>
              <w:top w:val="single" w:sz="4" w:space="0" w:color="auto"/>
              <w:bottom w:val="single" w:sz="4" w:space="0" w:color="auto"/>
            </w:tcBorders>
            <w:shd w:val="clear" w:color="auto" w:fill="auto"/>
          </w:tcPr>
          <w:p w:rsidR="00035233" w:rsidRDefault="00035233" w:rsidP="00A55E5D">
            <w:pPr>
              <w:pStyle w:val="05Tabletext"/>
              <w:jc w:val="center"/>
            </w:pPr>
            <w:r>
              <w:t>12.3</w:t>
            </w:r>
          </w:p>
        </w:tc>
        <w:tc>
          <w:tcPr>
            <w:tcW w:w="880" w:type="pct"/>
            <w:tcBorders>
              <w:top w:val="single" w:sz="4" w:space="0" w:color="auto"/>
              <w:bottom w:val="single" w:sz="4" w:space="0" w:color="auto"/>
            </w:tcBorders>
            <w:shd w:val="clear" w:color="auto" w:fill="auto"/>
          </w:tcPr>
          <w:p w:rsidR="00035233" w:rsidRDefault="00035233" w:rsidP="00A55E5D">
            <w:pPr>
              <w:pStyle w:val="05Tabletext"/>
              <w:jc w:val="center"/>
            </w:pPr>
            <w:r>
              <w:t>14.6</w:t>
            </w:r>
          </w:p>
        </w:tc>
        <w:tc>
          <w:tcPr>
            <w:tcW w:w="884" w:type="pct"/>
            <w:tcBorders>
              <w:top w:val="single" w:sz="4" w:space="0" w:color="auto"/>
              <w:bottom w:val="single" w:sz="4" w:space="0" w:color="auto"/>
            </w:tcBorders>
            <w:shd w:val="clear" w:color="auto" w:fill="auto"/>
          </w:tcPr>
          <w:p w:rsidR="00035233" w:rsidRDefault="00035233" w:rsidP="00A55E5D">
            <w:pPr>
              <w:pStyle w:val="05Tabletext"/>
              <w:jc w:val="center"/>
            </w:pPr>
            <w:r>
              <w:t>0.83 (0.44, 1.56)</w:t>
            </w:r>
          </w:p>
        </w:tc>
      </w:tr>
      <w:tr w:rsidR="00035233" w:rsidRPr="00194011" w:rsidTr="00035233">
        <w:trPr>
          <w:cantSplit/>
        </w:trPr>
        <w:tc>
          <w:tcPr>
            <w:tcW w:w="1913" w:type="pct"/>
            <w:tcBorders>
              <w:top w:val="single" w:sz="4" w:space="0" w:color="auto"/>
              <w:bottom w:val="single" w:sz="4" w:space="0" w:color="auto"/>
            </w:tcBorders>
            <w:shd w:val="clear" w:color="auto" w:fill="000000"/>
          </w:tcPr>
          <w:p w:rsidR="00035233" w:rsidRPr="00DB5032" w:rsidRDefault="00035233" w:rsidP="00A55E5D">
            <w:pPr>
              <w:pStyle w:val="04Tablesubheading"/>
              <w:keepNext w:val="0"/>
              <w:rPr>
                <w:vertAlign w:val="superscript"/>
              </w:rPr>
            </w:pPr>
            <w:r>
              <w:t>Cardiac history</w:t>
            </w:r>
            <w:r>
              <w:rPr>
                <w:vertAlign w:val="superscript"/>
              </w:rPr>
              <w:t>b</w:t>
            </w:r>
          </w:p>
        </w:tc>
        <w:tc>
          <w:tcPr>
            <w:tcW w:w="442" w:type="pct"/>
            <w:tcBorders>
              <w:top w:val="single" w:sz="4" w:space="0" w:color="auto"/>
              <w:bottom w:val="single" w:sz="4" w:space="0" w:color="auto"/>
            </w:tcBorders>
            <w:shd w:val="clear" w:color="auto" w:fill="000000"/>
          </w:tcPr>
          <w:p w:rsidR="00035233" w:rsidRDefault="00035233" w:rsidP="00A55E5D">
            <w:pPr>
              <w:pStyle w:val="04Tablesubheading"/>
              <w:keepNext w:val="0"/>
            </w:pPr>
          </w:p>
        </w:tc>
        <w:tc>
          <w:tcPr>
            <w:tcW w:w="880" w:type="pct"/>
            <w:tcBorders>
              <w:top w:val="single" w:sz="4" w:space="0" w:color="auto"/>
              <w:bottom w:val="single" w:sz="4" w:space="0" w:color="auto"/>
            </w:tcBorders>
            <w:shd w:val="clear" w:color="auto" w:fill="000000"/>
          </w:tcPr>
          <w:p w:rsidR="00035233" w:rsidRDefault="00035233" w:rsidP="00A55E5D">
            <w:pPr>
              <w:pStyle w:val="04Tablesubheading"/>
              <w:keepNext w:val="0"/>
            </w:pPr>
          </w:p>
        </w:tc>
        <w:tc>
          <w:tcPr>
            <w:tcW w:w="880" w:type="pct"/>
            <w:tcBorders>
              <w:top w:val="single" w:sz="4" w:space="0" w:color="auto"/>
              <w:bottom w:val="single" w:sz="4" w:space="0" w:color="auto"/>
            </w:tcBorders>
            <w:shd w:val="clear" w:color="auto" w:fill="000000"/>
          </w:tcPr>
          <w:p w:rsidR="00035233" w:rsidRDefault="00035233" w:rsidP="00A55E5D">
            <w:pPr>
              <w:pStyle w:val="04Tablesubheading"/>
              <w:keepNext w:val="0"/>
            </w:pPr>
          </w:p>
        </w:tc>
        <w:tc>
          <w:tcPr>
            <w:tcW w:w="884" w:type="pct"/>
            <w:tcBorders>
              <w:top w:val="single" w:sz="4" w:space="0" w:color="auto"/>
              <w:bottom w:val="single" w:sz="4" w:space="0" w:color="auto"/>
            </w:tcBorders>
            <w:shd w:val="clear" w:color="auto" w:fill="000000"/>
          </w:tcPr>
          <w:p w:rsidR="00035233" w:rsidRDefault="00035233" w:rsidP="00A55E5D">
            <w:pPr>
              <w:pStyle w:val="04Tablesubheading"/>
              <w:keepNext w:val="0"/>
            </w:pPr>
          </w:p>
        </w:tc>
      </w:tr>
      <w:tr w:rsidR="00035233" w:rsidRPr="00194011" w:rsidTr="00035233">
        <w:trPr>
          <w:cantSplit/>
        </w:trPr>
        <w:tc>
          <w:tcPr>
            <w:tcW w:w="1913" w:type="pct"/>
            <w:tcBorders>
              <w:top w:val="single" w:sz="4" w:space="0" w:color="auto"/>
              <w:bottom w:val="single" w:sz="4" w:space="0" w:color="auto"/>
            </w:tcBorders>
            <w:shd w:val="clear" w:color="auto" w:fill="auto"/>
          </w:tcPr>
          <w:p w:rsidR="00035233" w:rsidRPr="00923487" w:rsidRDefault="00035233" w:rsidP="00A55E5D">
            <w:pPr>
              <w:pStyle w:val="05Tabletext"/>
            </w:pPr>
            <w:r>
              <w:t>No</w:t>
            </w:r>
          </w:p>
        </w:tc>
        <w:tc>
          <w:tcPr>
            <w:tcW w:w="442" w:type="pct"/>
            <w:tcBorders>
              <w:top w:val="single" w:sz="4" w:space="0" w:color="auto"/>
              <w:bottom w:val="single" w:sz="4" w:space="0" w:color="auto"/>
            </w:tcBorders>
          </w:tcPr>
          <w:p w:rsidR="00035233" w:rsidRDefault="00035233" w:rsidP="00A55E5D">
            <w:pPr>
              <w:pStyle w:val="05Tabletext"/>
              <w:jc w:val="center"/>
            </w:pPr>
            <w:r>
              <w:t>1,282</w:t>
            </w:r>
          </w:p>
        </w:tc>
        <w:tc>
          <w:tcPr>
            <w:tcW w:w="880" w:type="pct"/>
            <w:tcBorders>
              <w:top w:val="single" w:sz="4" w:space="0" w:color="auto"/>
              <w:bottom w:val="single" w:sz="4" w:space="0" w:color="auto"/>
            </w:tcBorders>
            <w:shd w:val="clear" w:color="auto" w:fill="auto"/>
          </w:tcPr>
          <w:p w:rsidR="00035233" w:rsidRDefault="00035233" w:rsidP="00A55E5D">
            <w:pPr>
              <w:pStyle w:val="05Tabletext"/>
              <w:jc w:val="center"/>
            </w:pPr>
            <w:r>
              <w:t>5.6</w:t>
            </w:r>
          </w:p>
        </w:tc>
        <w:tc>
          <w:tcPr>
            <w:tcW w:w="880" w:type="pct"/>
            <w:tcBorders>
              <w:top w:val="single" w:sz="4" w:space="0" w:color="auto"/>
              <w:bottom w:val="single" w:sz="4" w:space="0" w:color="auto"/>
            </w:tcBorders>
            <w:shd w:val="clear" w:color="auto" w:fill="auto"/>
          </w:tcPr>
          <w:p w:rsidR="00035233" w:rsidRDefault="00035233" w:rsidP="00A55E5D">
            <w:pPr>
              <w:pStyle w:val="05Tabletext"/>
              <w:jc w:val="center"/>
            </w:pPr>
            <w:r>
              <w:t>8.0</w:t>
            </w:r>
          </w:p>
        </w:tc>
        <w:tc>
          <w:tcPr>
            <w:tcW w:w="884" w:type="pct"/>
            <w:tcBorders>
              <w:top w:val="single" w:sz="4" w:space="0" w:color="auto"/>
              <w:bottom w:val="single" w:sz="4" w:space="0" w:color="auto"/>
            </w:tcBorders>
            <w:shd w:val="clear" w:color="auto" w:fill="auto"/>
          </w:tcPr>
          <w:p w:rsidR="00035233" w:rsidRDefault="00035233" w:rsidP="00A55E5D">
            <w:pPr>
              <w:pStyle w:val="05Tabletext"/>
              <w:jc w:val="center"/>
            </w:pPr>
            <w:r>
              <w:t>0.69 (0.45, 1.05)</w:t>
            </w:r>
          </w:p>
        </w:tc>
      </w:tr>
      <w:tr w:rsidR="00035233" w:rsidRPr="00194011" w:rsidTr="00035233">
        <w:trPr>
          <w:cantSplit/>
        </w:trPr>
        <w:tc>
          <w:tcPr>
            <w:tcW w:w="1913" w:type="pct"/>
            <w:tcBorders>
              <w:top w:val="single" w:sz="4" w:space="0" w:color="auto"/>
              <w:bottom w:val="single" w:sz="4" w:space="0" w:color="auto"/>
            </w:tcBorders>
            <w:shd w:val="clear" w:color="auto" w:fill="auto"/>
          </w:tcPr>
          <w:p w:rsidR="00035233" w:rsidRPr="00923487" w:rsidRDefault="00035233" w:rsidP="00A55E5D">
            <w:pPr>
              <w:pStyle w:val="05Tabletext"/>
            </w:pPr>
            <w:r>
              <w:t>Yes</w:t>
            </w:r>
          </w:p>
        </w:tc>
        <w:tc>
          <w:tcPr>
            <w:tcW w:w="442" w:type="pct"/>
            <w:tcBorders>
              <w:top w:val="single" w:sz="4" w:space="0" w:color="auto"/>
              <w:bottom w:val="single" w:sz="4" w:space="0" w:color="auto"/>
            </w:tcBorders>
          </w:tcPr>
          <w:p w:rsidR="00035233" w:rsidRDefault="00035233" w:rsidP="00A55E5D">
            <w:pPr>
              <w:pStyle w:val="05Tabletext"/>
              <w:jc w:val="center"/>
            </w:pPr>
            <w:r>
              <w:t>585</w:t>
            </w:r>
          </w:p>
        </w:tc>
        <w:tc>
          <w:tcPr>
            <w:tcW w:w="880" w:type="pct"/>
            <w:tcBorders>
              <w:top w:val="single" w:sz="4" w:space="0" w:color="auto"/>
              <w:bottom w:val="single" w:sz="4" w:space="0" w:color="auto"/>
            </w:tcBorders>
            <w:shd w:val="clear" w:color="auto" w:fill="auto"/>
          </w:tcPr>
          <w:p w:rsidR="00035233" w:rsidRDefault="00035233" w:rsidP="00A55E5D">
            <w:pPr>
              <w:pStyle w:val="05Tabletext"/>
              <w:jc w:val="center"/>
            </w:pPr>
            <w:r>
              <w:t>12.4</w:t>
            </w:r>
          </w:p>
        </w:tc>
        <w:tc>
          <w:tcPr>
            <w:tcW w:w="880" w:type="pct"/>
            <w:tcBorders>
              <w:top w:val="single" w:sz="4" w:space="0" w:color="auto"/>
              <w:bottom w:val="single" w:sz="4" w:space="0" w:color="auto"/>
            </w:tcBorders>
            <w:shd w:val="clear" w:color="auto" w:fill="auto"/>
          </w:tcPr>
          <w:p w:rsidR="00035233" w:rsidRDefault="00035233" w:rsidP="00A55E5D">
            <w:pPr>
              <w:pStyle w:val="05Tabletext"/>
              <w:jc w:val="center"/>
            </w:pPr>
            <w:r>
              <w:t>13.2</w:t>
            </w:r>
          </w:p>
        </w:tc>
        <w:tc>
          <w:tcPr>
            <w:tcW w:w="884" w:type="pct"/>
            <w:tcBorders>
              <w:top w:val="single" w:sz="4" w:space="0" w:color="auto"/>
              <w:bottom w:val="single" w:sz="4" w:space="0" w:color="auto"/>
            </w:tcBorders>
            <w:shd w:val="clear" w:color="auto" w:fill="auto"/>
          </w:tcPr>
          <w:p w:rsidR="00035233" w:rsidRDefault="00035233" w:rsidP="00A55E5D">
            <w:pPr>
              <w:pStyle w:val="05Tabletext"/>
              <w:jc w:val="center"/>
            </w:pPr>
            <w:r>
              <w:t>0.93 (0.59, 1.46)</w:t>
            </w:r>
          </w:p>
        </w:tc>
      </w:tr>
      <w:tr w:rsidR="00035233" w:rsidRPr="00194011" w:rsidTr="00035233">
        <w:trPr>
          <w:cantSplit/>
        </w:trPr>
        <w:tc>
          <w:tcPr>
            <w:tcW w:w="1913" w:type="pct"/>
            <w:tcBorders>
              <w:top w:val="single" w:sz="4" w:space="0" w:color="auto"/>
              <w:bottom w:val="single" w:sz="4" w:space="0" w:color="auto"/>
            </w:tcBorders>
            <w:shd w:val="clear" w:color="auto" w:fill="000000"/>
          </w:tcPr>
          <w:p w:rsidR="00035233" w:rsidRPr="00923487" w:rsidRDefault="00035233" w:rsidP="00A55E5D">
            <w:pPr>
              <w:pStyle w:val="04Tablesubheading"/>
              <w:keepNext w:val="0"/>
            </w:pPr>
            <w:r>
              <w:t>ICS</w:t>
            </w:r>
          </w:p>
        </w:tc>
        <w:tc>
          <w:tcPr>
            <w:tcW w:w="442" w:type="pct"/>
            <w:tcBorders>
              <w:top w:val="single" w:sz="4" w:space="0" w:color="auto"/>
              <w:bottom w:val="single" w:sz="4" w:space="0" w:color="auto"/>
            </w:tcBorders>
            <w:shd w:val="clear" w:color="auto" w:fill="000000"/>
          </w:tcPr>
          <w:p w:rsidR="00035233" w:rsidRDefault="00035233" w:rsidP="00A55E5D">
            <w:pPr>
              <w:pStyle w:val="04Tablesubheading"/>
              <w:keepNext w:val="0"/>
            </w:pPr>
          </w:p>
        </w:tc>
        <w:tc>
          <w:tcPr>
            <w:tcW w:w="880" w:type="pct"/>
            <w:tcBorders>
              <w:top w:val="single" w:sz="4" w:space="0" w:color="auto"/>
              <w:bottom w:val="single" w:sz="4" w:space="0" w:color="auto"/>
            </w:tcBorders>
            <w:shd w:val="clear" w:color="auto" w:fill="000000"/>
          </w:tcPr>
          <w:p w:rsidR="00035233" w:rsidRDefault="00035233" w:rsidP="00A55E5D">
            <w:pPr>
              <w:pStyle w:val="04Tablesubheading"/>
              <w:keepNext w:val="0"/>
            </w:pPr>
          </w:p>
        </w:tc>
        <w:tc>
          <w:tcPr>
            <w:tcW w:w="880" w:type="pct"/>
            <w:tcBorders>
              <w:top w:val="single" w:sz="4" w:space="0" w:color="auto"/>
              <w:bottom w:val="single" w:sz="4" w:space="0" w:color="auto"/>
            </w:tcBorders>
            <w:shd w:val="clear" w:color="auto" w:fill="000000"/>
          </w:tcPr>
          <w:p w:rsidR="00035233" w:rsidRDefault="00035233" w:rsidP="00A55E5D">
            <w:pPr>
              <w:pStyle w:val="04Tablesubheading"/>
              <w:keepNext w:val="0"/>
            </w:pPr>
          </w:p>
        </w:tc>
        <w:tc>
          <w:tcPr>
            <w:tcW w:w="884" w:type="pct"/>
            <w:tcBorders>
              <w:top w:val="single" w:sz="4" w:space="0" w:color="auto"/>
              <w:bottom w:val="single" w:sz="4" w:space="0" w:color="auto"/>
            </w:tcBorders>
            <w:shd w:val="clear" w:color="auto" w:fill="000000"/>
          </w:tcPr>
          <w:p w:rsidR="00035233" w:rsidRDefault="00035233" w:rsidP="00A55E5D">
            <w:pPr>
              <w:pStyle w:val="04Tablesubheading"/>
              <w:keepNext w:val="0"/>
            </w:pPr>
          </w:p>
        </w:tc>
      </w:tr>
      <w:tr w:rsidR="00035233" w:rsidRPr="00194011" w:rsidTr="00035233">
        <w:trPr>
          <w:cantSplit/>
        </w:trPr>
        <w:tc>
          <w:tcPr>
            <w:tcW w:w="1913" w:type="pct"/>
            <w:tcBorders>
              <w:top w:val="single" w:sz="4" w:space="0" w:color="auto"/>
              <w:bottom w:val="single" w:sz="4" w:space="0" w:color="auto"/>
            </w:tcBorders>
            <w:shd w:val="clear" w:color="auto" w:fill="auto"/>
          </w:tcPr>
          <w:p w:rsidR="00035233" w:rsidRPr="00923487" w:rsidRDefault="00035233" w:rsidP="00A55E5D">
            <w:pPr>
              <w:pStyle w:val="05Tabletext"/>
            </w:pPr>
            <w:r>
              <w:t>No</w:t>
            </w:r>
          </w:p>
        </w:tc>
        <w:tc>
          <w:tcPr>
            <w:tcW w:w="442" w:type="pct"/>
            <w:tcBorders>
              <w:top w:val="single" w:sz="4" w:space="0" w:color="auto"/>
              <w:bottom w:val="single" w:sz="4" w:space="0" w:color="auto"/>
            </w:tcBorders>
          </w:tcPr>
          <w:p w:rsidR="00035233" w:rsidRDefault="00035233" w:rsidP="00A55E5D">
            <w:pPr>
              <w:pStyle w:val="05Tabletext"/>
              <w:jc w:val="center"/>
            </w:pPr>
            <w:r>
              <w:t>630</w:t>
            </w:r>
          </w:p>
        </w:tc>
        <w:tc>
          <w:tcPr>
            <w:tcW w:w="880" w:type="pct"/>
            <w:tcBorders>
              <w:top w:val="single" w:sz="4" w:space="0" w:color="auto"/>
              <w:bottom w:val="single" w:sz="4" w:space="0" w:color="auto"/>
            </w:tcBorders>
            <w:shd w:val="clear" w:color="auto" w:fill="auto"/>
          </w:tcPr>
          <w:p w:rsidR="00035233" w:rsidRDefault="00035233" w:rsidP="00A55E5D">
            <w:pPr>
              <w:pStyle w:val="05Tabletext"/>
              <w:jc w:val="center"/>
            </w:pPr>
            <w:r>
              <w:t>7.2</w:t>
            </w:r>
          </w:p>
        </w:tc>
        <w:tc>
          <w:tcPr>
            <w:tcW w:w="880" w:type="pct"/>
            <w:tcBorders>
              <w:top w:val="single" w:sz="4" w:space="0" w:color="auto"/>
              <w:bottom w:val="single" w:sz="4" w:space="0" w:color="auto"/>
            </w:tcBorders>
            <w:shd w:val="clear" w:color="auto" w:fill="auto"/>
          </w:tcPr>
          <w:p w:rsidR="00035233" w:rsidRDefault="00035233" w:rsidP="00A55E5D">
            <w:pPr>
              <w:pStyle w:val="05Tabletext"/>
              <w:jc w:val="center"/>
            </w:pPr>
            <w:r>
              <w:t>8.3</w:t>
            </w:r>
          </w:p>
        </w:tc>
        <w:tc>
          <w:tcPr>
            <w:tcW w:w="884" w:type="pct"/>
            <w:tcBorders>
              <w:top w:val="single" w:sz="4" w:space="0" w:color="auto"/>
              <w:bottom w:val="single" w:sz="4" w:space="0" w:color="auto"/>
            </w:tcBorders>
            <w:shd w:val="clear" w:color="auto" w:fill="auto"/>
          </w:tcPr>
          <w:p w:rsidR="00035233" w:rsidRDefault="00035233" w:rsidP="00A55E5D">
            <w:pPr>
              <w:pStyle w:val="05Tabletext"/>
              <w:jc w:val="center"/>
            </w:pPr>
            <w:r>
              <w:t>0.86 (0.49, 1.51)</w:t>
            </w:r>
          </w:p>
        </w:tc>
      </w:tr>
      <w:tr w:rsidR="00035233" w:rsidRPr="00194011" w:rsidTr="00035233">
        <w:trPr>
          <w:cantSplit/>
        </w:trPr>
        <w:tc>
          <w:tcPr>
            <w:tcW w:w="1913" w:type="pct"/>
            <w:tcBorders>
              <w:top w:val="single" w:sz="4" w:space="0" w:color="auto"/>
              <w:bottom w:val="single" w:sz="4" w:space="0" w:color="auto"/>
            </w:tcBorders>
            <w:shd w:val="clear" w:color="auto" w:fill="auto"/>
          </w:tcPr>
          <w:p w:rsidR="00035233" w:rsidRPr="00923487" w:rsidRDefault="00035233" w:rsidP="00A55E5D">
            <w:pPr>
              <w:pStyle w:val="05Tabletext"/>
            </w:pPr>
            <w:r>
              <w:t>Yes</w:t>
            </w:r>
          </w:p>
        </w:tc>
        <w:tc>
          <w:tcPr>
            <w:tcW w:w="442" w:type="pct"/>
            <w:tcBorders>
              <w:top w:val="single" w:sz="4" w:space="0" w:color="auto"/>
              <w:bottom w:val="single" w:sz="4" w:space="0" w:color="auto"/>
            </w:tcBorders>
          </w:tcPr>
          <w:p w:rsidR="00035233" w:rsidRDefault="00035233" w:rsidP="00A55E5D">
            <w:pPr>
              <w:pStyle w:val="05Tabletext"/>
              <w:jc w:val="center"/>
            </w:pPr>
            <w:r>
              <w:t>1,238</w:t>
            </w:r>
          </w:p>
        </w:tc>
        <w:tc>
          <w:tcPr>
            <w:tcW w:w="880" w:type="pct"/>
            <w:tcBorders>
              <w:top w:val="single" w:sz="4" w:space="0" w:color="auto"/>
              <w:bottom w:val="single" w:sz="4" w:space="0" w:color="auto"/>
            </w:tcBorders>
            <w:shd w:val="clear" w:color="auto" w:fill="auto"/>
          </w:tcPr>
          <w:p w:rsidR="00035233" w:rsidRDefault="00035233" w:rsidP="00A55E5D">
            <w:pPr>
              <w:pStyle w:val="05Tabletext"/>
              <w:jc w:val="center"/>
            </w:pPr>
            <w:r>
              <w:t>8.0</w:t>
            </w:r>
          </w:p>
        </w:tc>
        <w:tc>
          <w:tcPr>
            <w:tcW w:w="880" w:type="pct"/>
            <w:tcBorders>
              <w:top w:val="single" w:sz="4" w:space="0" w:color="auto"/>
              <w:bottom w:val="single" w:sz="4" w:space="0" w:color="auto"/>
            </w:tcBorders>
            <w:shd w:val="clear" w:color="auto" w:fill="auto"/>
          </w:tcPr>
          <w:p w:rsidR="00035233" w:rsidRDefault="00035233" w:rsidP="00A55E5D">
            <w:pPr>
              <w:pStyle w:val="05Tabletext"/>
              <w:jc w:val="center"/>
            </w:pPr>
            <w:r>
              <w:t>10.4</w:t>
            </w:r>
          </w:p>
        </w:tc>
        <w:tc>
          <w:tcPr>
            <w:tcW w:w="884" w:type="pct"/>
            <w:tcBorders>
              <w:top w:val="single" w:sz="4" w:space="0" w:color="auto"/>
              <w:bottom w:val="single" w:sz="4" w:space="0" w:color="auto"/>
            </w:tcBorders>
            <w:shd w:val="clear" w:color="auto" w:fill="auto"/>
          </w:tcPr>
          <w:p w:rsidR="00035233" w:rsidRDefault="00035233" w:rsidP="00A55E5D">
            <w:pPr>
              <w:pStyle w:val="05Tabletext"/>
              <w:jc w:val="center"/>
            </w:pPr>
            <w:r>
              <w:t>0.75 (0.52, 1.09)</w:t>
            </w:r>
          </w:p>
        </w:tc>
      </w:tr>
      <w:tr w:rsidR="00035233" w:rsidRPr="00194011" w:rsidTr="00035233">
        <w:trPr>
          <w:cantSplit/>
        </w:trPr>
        <w:tc>
          <w:tcPr>
            <w:tcW w:w="1913" w:type="pct"/>
            <w:tcBorders>
              <w:top w:val="single" w:sz="4" w:space="0" w:color="auto"/>
              <w:bottom w:val="single" w:sz="4" w:space="0" w:color="auto"/>
            </w:tcBorders>
            <w:shd w:val="clear" w:color="auto" w:fill="000000"/>
          </w:tcPr>
          <w:p w:rsidR="00035233" w:rsidRDefault="00035233" w:rsidP="00A55E5D">
            <w:pPr>
              <w:pStyle w:val="04Tablesubheading"/>
              <w:keepNext w:val="0"/>
            </w:pPr>
            <w:r>
              <w:t>LABA</w:t>
            </w:r>
          </w:p>
        </w:tc>
        <w:tc>
          <w:tcPr>
            <w:tcW w:w="442" w:type="pct"/>
            <w:tcBorders>
              <w:top w:val="single" w:sz="4" w:space="0" w:color="auto"/>
              <w:bottom w:val="single" w:sz="4" w:space="0" w:color="auto"/>
            </w:tcBorders>
            <w:shd w:val="clear" w:color="auto" w:fill="000000"/>
          </w:tcPr>
          <w:p w:rsidR="00035233" w:rsidRDefault="00035233" w:rsidP="00A55E5D">
            <w:pPr>
              <w:pStyle w:val="04Tablesubheading"/>
              <w:keepNext w:val="0"/>
            </w:pPr>
          </w:p>
        </w:tc>
        <w:tc>
          <w:tcPr>
            <w:tcW w:w="880" w:type="pct"/>
            <w:tcBorders>
              <w:top w:val="single" w:sz="4" w:space="0" w:color="auto"/>
              <w:bottom w:val="single" w:sz="4" w:space="0" w:color="auto"/>
            </w:tcBorders>
            <w:shd w:val="clear" w:color="auto" w:fill="000000"/>
          </w:tcPr>
          <w:p w:rsidR="00035233" w:rsidRDefault="00035233" w:rsidP="00A55E5D">
            <w:pPr>
              <w:pStyle w:val="04Tablesubheading"/>
              <w:keepNext w:val="0"/>
            </w:pPr>
          </w:p>
        </w:tc>
        <w:tc>
          <w:tcPr>
            <w:tcW w:w="880" w:type="pct"/>
            <w:tcBorders>
              <w:top w:val="single" w:sz="4" w:space="0" w:color="auto"/>
              <w:bottom w:val="single" w:sz="4" w:space="0" w:color="auto"/>
            </w:tcBorders>
            <w:shd w:val="clear" w:color="auto" w:fill="000000"/>
          </w:tcPr>
          <w:p w:rsidR="00035233" w:rsidRDefault="00035233" w:rsidP="00A55E5D">
            <w:pPr>
              <w:pStyle w:val="04Tablesubheading"/>
              <w:keepNext w:val="0"/>
            </w:pPr>
          </w:p>
        </w:tc>
        <w:tc>
          <w:tcPr>
            <w:tcW w:w="884" w:type="pct"/>
            <w:tcBorders>
              <w:top w:val="single" w:sz="4" w:space="0" w:color="auto"/>
              <w:bottom w:val="single" w:sz="4" w:space="0" w:color="auto"/>
            </w:tcBorders>
            <w:shd w:val="clear" w:color="auto" w:fill="000000"/>
          </w:tcPr>
          <w:p w:rsidR="00035233" w:rsidRDefault="00035233" w:rsidP="00A55E5D">
            <w:pPr>
              <w:pStyle w:val="04Tablesubheading"/>
              <w:keepNext w:val="0"/>
            </w:pPr>
          </w:p>
        </w:tc>
      </w:tr>
      <w:tr w:rsidR="00035233" w:rsidRPr="00194011" w:rsidTr="00035233">
        <w:trPr>
          <w:cantSplit/>
        </w:trPr>
        <w:tc>
          <w:tcPr>
            <w:tcW w:w="1913" w:type="pct"/>
            <w:tcBorders>
              <w:top w:val="single" w:sz="4" w:space="0" w:color="auto"/>
              <w:bottom w:val="single" w:sz="4" w:space="0" w:color="auto"/>
            </w:tcBorders>
            <w:shd w:val="clear" w:color="auto" w:fill="auto"/>
          </w:tcPr>
          <w:p w:rsidR="00035233" w:rsidRDefault="00035233" w:rsidP="00A55E5D">
            <w:pPr>
              <w:pStyle w:val="05Tabletext"/>
            </w:pPr>
            <w:r>
              <w:t>No</w:t>
            </w:r>
          </w:p>
        </w:tc>
        <w:tc>
          <w:tcPr>
            <w:tcW w:w="442" w:type="pct"/>
            <w:tcBorders>
              <w:top w:val="single" w:sz="4" w:space="0" w:color="auto"/>
              <w:bottom w:val="single" w:sz="4" w:space="0" w:color="auto"/>
            </w:tcBorders>
          </w:tcPr>
          <w:p w:rsidR="00035233" w:rsidRDefault="00035233" w:rsidP="00A55E5D">
            <w:pPr>
              <w:pStyle w:val="05Tabletext"/>
              <w:jc w:val="center"/>
            </w:pPr>
            <w:r>
              <w:t>593</w:t>
            </w:r>
          </w:p>
        </w:tc>
        <w:tc>
          <w:tcPr>
            <w:tcW w:w="880" w:type="pct"/>
            <w:tcBorders>
              <w:top w:val="single" w:sz="4" w:space="0" w:color="auto"/>
              <w:bottom w:val="single" w:sz="4" w:space="0" w:color="auto"/>
            </w:tcBorders>
            <w:shd w:val="clear" w:color="auto" w:fill="auto"/>
          </w:tcPr>
          <w:p w:rsidR="00035233" w:rsidRDefault="00035233" w:rsidP="00A55E5D">
            <w:pPr>
              <w:pStyle w:val="05Tabletext"/>
              <w:jc w:val="center"/>
            </w:pPr>
            <w:r>
              <w:t>7.0</w:t>
            </w:r>
          </w:p>
        </w:tc>
        <w:tc>
          <w:tcPr>
            <w:tcW w:w="880" w:type="pct"/>
            <w:tcBorders>
              <w:top w:val="single" w:sz="4" w:space="0" w:color="auto"/>
              <w:bottom w:val="single" w:sz="4" w:space="0" w:color="auto"/>
            </w:tcBorders>
            <w:shd w:val="clear" w:color="auto" w:fill="auto"/>
          </w:tcPr>
          <w:p w:rsidR="00035233" w:rsidRDefault="00035233" w:rsidP="00A55E5D">
            <w:pPr>
              <w:pStyle w:val="05Tabletext"/>
              <w:jc w:val="center"/>
            </w:pPr>
            <w:r>
              <w:t>8.5</w:t>
            </w:r>
          </w:p>
        </w:tc>
        <w:tc>
          <w:tcPr>
            <w:tcW w:w="884" w:type="pct"/>
            <w:tcBorders>
              <w:top w:val="single" w:sz="4" w:space="0" w:color="auto"/>
              <w:bottom w:val="single" w:sz="4" w:space="0" w:color="auto"/>
            </w:tcBorders>
            <w:shd w:val="clear" w:color="auto" w:fill="auto"/>
          </w:tcPr>
          <w:p w:rsidR="00035233" w:rsidRDefault="00035233" w:rsidP="00A55E5D">
            <w:pPr>
              <w:pStyle w:val="05Tabletext"/>
              <w:jc w:val="center"/>
            </w:pPr>
            <w:r>
              <w:t>0.82 (0.46, 1.47)</w:t>
            </w:r>
          </w:p>
        </w:tc>
      </w:tr>
      <w:tr w:rsidR="00035233" w:rsidRPr="00194011" w:rsidTr="00035233">
        <w:trPr>
          <w:cantSplit/>
        </w:trPr>
        <w:tc>
          <w:tcPr>
            <w:tcW w:w="1913" w:type="pct"/>
            <w:tcBorders>
              <w:top w:val="single" w:sz="4" w:space="0" w:color="auto"/>
              <w:bottom w:val="single" w:sz="4" w:space="0" w:color="auto"/>
            </w:tcBorders>
            <w:shd w:val="clear" w:color="auto" w:fill="auto"/>
          </w:tcPr>
          <w:p w:rsidR="00035233" w:rsidRDefault="00035233" w:rsidP="00A55E5D">
            <w:pPr>
              <w:pStyle w:val="05Tabletext"/>
            </w:pPr>
            <w:r>
              <w:t>Yes</w:t>
            </w:r>
          </w:p>
        </w:tc>
        <w:tc>
          <w:tcPr>
            <w:tcW w:w="442" w:type="pct"/>
            <w:tcBorders>
              <w:top w:val="single" w:sz="4" w:space="0" w:color="auto"/>
              <w:bottom w:val="single" w:sz="4" w:space="0" w:color="auto"/>
            </w:tcBorders>
          </w:tcPr>
          <w:p w:rsidR="00035233" w:rsidRDefault="00035233" w:rsidP="00A55E5D">
            <w:pPr>
              <w:pStyle w:val="05Tabletext"/>
              <w:jc w:val="center"/>
            </w:pPr>
            <w:r>
              <w:t>1,275</w:t>
            </w:r>
          </w:p>
        </w:tc>
        <w:tc>
          <w:tcPr>
            <w:tcW w:w="880" w:type="pct"/>
            <w:tcBorders>
              <w:top w:val="single" w:sz="4" w:space="0" w:color="auto"/>
              <w:bottom w:val="single" w:sz="4" w:space="0" w:color="auto"/>
            </w:tcBorders>
            <w:shd w:val="clear" w:color="auto" w:fill="auto"/>
          </w:tcPr>
          <w:p w:rsidR="00035233" w:rsidRDefault="00035233" w:rsidP="00A55E5D">
            <w:pPr>
              <w:pStyle w:val="05Tabletext"/>
              <w:jc w:val="center"/>
            </w:pPr>
            <w:r>
              <w:t>8.1</w:t>
            </w:r>
          </w:p>
        </w:tc>
        <w:tc>
          <w:tcPr>
            <w:tcW w:w="880" w:type="pct"/>
            <w:tcBorders>
              <w:top w:val="single" w:sz="4" w:space="0" w:color="auto"/>
              <w:bottom w:val="single" w:sz="4" w:space="0" w:color="auto"/>
            </w:tcBorders>
            <w:shd w:val="clear" w:color="auto" w:fill="auto"/>
          </w:tcPr>
          <w:p w:rsidR="00035233" w:rsidRDefault="00035233" w:rsidP="00A55E5D">
            <w:pPr>
              <w:pStyle w:val="05Tabletext"/>
              <w:jc w:val="center"/>
            </w:pPr>
            <w:r>
              <w:t>10.2</w:t>
            </w:r>
          </w:p>
        </w:tc>
        <w:tc>
          <w:tcPr>
            <w:tcW w:w="884" w:type="pct"/>
            <w:tcBorders>
              <w:top w:val="single" w:sz="4" w:space="0" w:color="auto"/>
              <w:bottom w:val="single" w:sz="4" w:space="0" w:color="auto"/>
            </w:tcBorders>
            <w:shd w:val="clear" w:color="auto" w:fill="auto"/>
          </w:tcPr>
          <w:p w:rsidR="00035233" w:rsidRDefault="00035233" w:rsidP="00A55E5D">
            <w:pPr>
              <w:pStyle w:val="05Tabletext"/>
              <w:jc w:val="center"/>
            </w:pPr>
            <w:r>
              <w:t>0.77 (0.53, 1.11)</w:t>
            </w:r>
          </w:p>
        </w:tc>
      </w:tr>
      <w:tr w:rsidR="00035233" w:rsidRPr="00194011" w:rsidTr="00035233">
        <w:trPr>
          <w:cantSplit/>
        </w:trPr>
        <w:tc>
          <w:tcPr>
            <w:tcW w:w="1913" w:type="pct"/>
            <w:tcBorders>
              <w:top w:val="single" w:sz="4" w:space="0" w:color="auto"/>
              <w:bottom w:val="single" w:sz="4" w:space="0" w:color="auto"/>
            </w:tcBorders>
            <w:shd w:val="clear" w:color="auto" w:fill="000000"/>
          </w:tcPr>
          <w:p w:rsidR="00035233" w:rsidRDefault="00035233" w:rsidP="00A55E5D">
            <w:pPr>
              <w:pStyle w:val="04Tablesubheading"/>
              <w:keepNext w:val="0"/>
            </w:pPr>
            <w:r>
              <w:t>GOLD Grade</w:t>
            </w:r>
          </w:p>
        </w:tc>
        <w:tc>
          <w:tcPr>
            <w:tcW w:w="442" w:type="pct"/>
            <w:tcBorders>
              <w:top w:val="single" w:sz="4" w:space="0" w:color="auto"/>
              <w:bottom w:val="single" w:sz="4" w:space="0" w:color="auto"/>
            </w:tcBorders>
            <w:shd w:val="clear" w:color="auto" w:fill="000000"/>
          </w:tcPr>
          <w:p w:rsidR="00035233" w:rsidRDefault="00035233" w:rsidP="00A55E5D">
            <w:pPr>
              <w:pStyle w:val="04Tablesubheading"/>
              <w:keepNext w:val="0"/>
            </w:pPr>
          </w:p>
        </w:tc>
        <w:tc>
          <w:tcPr>
            <w:tcW w:w="880" w:type="pct"/>
            <w:tcBorders>
              <w:top w:val="single" w:sz="4" w:space="0" w:color="auto"/>
              <w:bottom w:val="single" w:sz="4" w:space="0" w:color="auto"/>
            </w:tcBorders>
            <w:shd w:val="clear" w:color="auto" w:fill="000000"/>
          </w:tcPr>
          <w:p w:rsidR="00035233" w:rsidRDefault="00035233" w:rsidP="00A55E5D">
            <w:pPr>
              <w:pStyle w:val="04Tablesubheading"/>
              <w:keepNext w:val="0"/>
            </w:pPr>
          </w:p>
        </w:tc>
        <w:tc>
          <w:tcPr>
            <w:tcW w:w="880" w:type="pct"/>
            <w:tcBorders>
              <w:top w:val="single" w:sz="4" w:space="0" w:color="auto"/>
              <w:bottom w:val="single" w:sz="4" w:space="0" w:color="auto"/>
            </w:tcBorders>
            <w:shd w:val="clear" w:color="auto" w:fill="000000"/>
          </w:tcPr>
          <w:p w:rsidR="00035233" w:rsidRDefault="00035233" w:rsidP="00A55E5D">
            <w:pPr>
              <w:pStyle w:val="04Tablesubheading"/>
              <w:keepNext w:val="0"/>
            </w:pPr>
          </w:p>
        </w:tc>
        <w:tc>
          <w:tcPr>
            <w:tcW w:w="884" w:type="pct"/>
            <w:tcBorders>
              <w:top w:val="single" w:sz="4" w:space="0" w:color="auto"/>
              <w:bottom w:val="single" w:sz="4" w:space="0" w:color="auto"/>
            </w:tcBorders>
            <w:shd w:val="clear" w:color="auto" w:fill="000000"/>
          </w:tcPr>
          <w:p w:rsidR="00035233" w:rsidRDefault="00035233" w:rsidP="00A55E5D">
            <w:pPr>
              <w:pStyle w:val="04Tablesubheading"/>
              <w:keepNext w:val="0"/>
            </w:pPr>
          </w:p>
        </w:tc>
      </w:tr>
      <w:tr w:rsidR="00035233" w:rsidRPr="00194011" w:rsidTr="00035233">
        <w:trPr>
          <w:cantSplit/>
        </w:trPr>
        <w:tc>
          <w:tcPr>
            <w:tcW w:w="1913" w:type="pct"/>
            <w:tcBorders>
              <w:top w:val="single" w:sz="4" w:space="0" w:color="auto"/>
              <w:bottom w:val="single" w:sz="4" w:space="0" w:color="auto"/>
            </w:tcBorders>
            <w:shd w:val="clear" w:color="auto" w:fill="auto"/>
          </w:tcPr>
          <w:p w:rsidR="00035233" w:rsidRDefault="00035233" w:rsidP="00A55E5D">
            <w:pPr>
              <w:pStyle w:val="05Tabletext"/>
            </w:pPr>
            <w:r>
              <w:t>I-II</w:t>
            </w:r>
          </w:p>
        </w:tc>
        <w:tc>
          <w:tcPr>
            <w:tcW w:w="442" w:type="pct"/>
            <w:tcBorders>
              <w:top w:val="single" w:sz="4" w:space="0" w:color="auto"/>
              <w:bottom w:val="single" w:sz="4" w:space="0" w:color="auto"/>
            </w:tcBorders>
          </w:tcPr>
          <w:p w:rsidR="00035233" w:rsidRDefault="00035233" w:rsidP="00A55E5D">
            <w:pPr>
              <w:pStyle w:val="05Tabletext"/>
              <w:jc w:val="center"/>
            </w:pPr>
            <w:r>
              <w:t>773</w:t>
            </w:r>
          </w:p>
        </w:tc>
        <w:tc>
          <w:tcPr>
            <w:tcW w:w="880" w:type="pct"/>
            <w:tcBorders>
              <w:top w:val="single" w:sz="4" w:space="0" w:color="auto"/>
              <w:bottom w:val="single" w:sz="4" w:space="0" w:color="auto"/>
            </w:tcBorders>
            <w:shd w:val="clear" w:color="auto" w:fill="auto"/>
          </w:tcPr>
          <w:p w:rsidR="00035233" w:rsidRDefault="00035233" w:rsidP="00A55E5D">
            <w:pPr>
              <w:pStyle w:val="05Tabletext"/>
              <w:jc w:val="center"/>
            </w:pPr>
            <w:r>
              <w:t>6.0</w:t>
            </w:r>
          </w:p>
        </w:tc>
        <w:tc>
          <w:tcPr>
            <w:tcW w:w="880" w:type="pct"/>
            <w:tcBorders>
              <w:top w:val="single" w:sz="4" w:space="0" w:color="auto"/>
              <w:bottom w:val="single" w:sz="4" w:space="0" w:color="auto"/>
            </w:tcBorders>
            <w:shd w:val="clear" w:color="auto" w:fill="auto"/>
          </w:tcPr>
          <w:p w:rsidR="00035233" w:rsidRDefault="00035233" w:rsidP="00A55E5D">
            <w:pPr>
              <w:pStyle w:val="05Tabletext"/>
              <w:jc w:val="center"/>
            </w:pPr>
            <w:r>
              <w:t>7.5</w:t>
            </w:r>
          </w:p>
        </w:tc>
        <w:tc>
          <w:tcPr>
            <w:tcW w:w="884" w:type="pct"/>
            <w:tcBorders>
              <w:top w:val="single" w:sz="4" w:space="0" w:color="auto"/>
              <w:bottom w:val="single" w:sz="4" w:space="0" w:color="auto"/>
            </w:tcBorders>
            <w:shd w:val="clear" w:color="auto" w:fill="auto"/>
          </w:tcPr>
          <w:p w:rsidR="00035233" w:rsidRDefault="00035233" w:rsidP="00A55E5D">
            <w:pPr>
              <w:pStyle w:val="05Tabletext"/>
              <w:jc w:val="center"/>
            </w:pPr>
            <w:r>
              <w:t>0.80 (0.46, 1.38)</w:t>
            </w:r>
          </w:p>
        </w:tc>
      </w:tr>
      <w:tr w:rsidR="00035233" w:rsidRPr="00194011" w:rsidTr="00035233">
        <w:trPr>
          <w:cantSplit/>
        </w:trPr>
        <w:tc>
          <w:tcPr>
            <w:tcW w:w="1913" w:type="pct"/>
            <w:tcBorders>
              <w:top w:val="single" w:sz="4" w:space="0" w:color="auto"/>
              <w:bottom w:val="single" w:sz="4" w:space="0" w:color="auto"/>
            </w:tcBorders>
            <w:shd w:val="clear" w:color="auto" w:fill="auto"/>
          </w:tcPr>
          <w:p w:rsidR="00035233" w:rsidRDefault="00035233" w:rsidP="00A55E5D">
            <w:pPr>
              <w:pStyle w:val="05Tabletext"/>
            </w:pPr>
            <w:r>
              <w:lastRenderedPageBreak/>
              <w:t>III</w:t>
            </w:r>
          </w:p>
        </w:tc>
        <w:tc>
          <w:tcPr>
            <w:tcW w:w="442" w:type="pct"/>
            <w:tcBorders>
              <w:top w:val="single" w:sz="4" w:space="0" w:color="auto"/>
              <w:bottom w:val="single" w:sz="4" w:space="0" w:color="auto"/>
            </w:tcBorders>
          </w:tcPr>
          <w:p w:rsidR="00035233" w:rsidRDefault="00035233" w:rsidP="00A55E5D">
            <w:pPr>
              <w:pStyle w:val="05Tabletext"/>
              <w:jc w:val="center"/>
            </w:pPr>
            <w:r>
              <w:t>841</w:t>
            </w:r>
          </w:p>
        </w:tc>
        <w:tc>
          <w:tcPr>
            <w:tcW w:w="880" w:type="pct"/>
            <w:tcBorders>
              <w:top w:val="single" w:sz="4" w:space="0" w:color="auto"/>
              <w:bottom w:val="single" w:sz="4" w:space="0" w:color="auto"/>
            </w:tcBorders>
            <w:shd w:val="clear" w:color="auto" w:fill="auto"/>
          </w:tcPr>
          <w:p w:rsidR="00035233" w:rsidRDefault="00035233" w:rsidP="00A55E5D">
            <w:pPr>
              <w:pStyle w:val="05Tabletext"/>
              <w:jc w:val="center"/>
            </w:pPr>
            <w:r>
              <w:t>6.5</w:t>
            </w:r>
          </w:p>
        </w:tc>
        <w:tc>
          <w:tcPr>
            <w:tcW w:w="880" w:type="pct"/>
            <w:tcBorders>
              <w:top w:val="single" w:sz="4" w:space="0" w:color="auto"/>
              <w:bottom w:val="single" w:sz="4" w:space="0" w:color="auto"/>
            </w:tcBorders>
            <w:shd w:val="clear" w:color="auto" w:fill="auto"/>
          </w:tcPr>
          <w:p w:rsidR="00035233" w:rsidRDefault="00035233" w:rsidP="00A55E5D">
            <w:pPr>
              <w:pStyle w:val="05Tabletext"/>
              <w:jc w:val="center"/>
            </w:pPr>
            <w:r>
              <w:t>8.4</w:t>
            </w:r>
          </w:p>
        </w:tc>
        <w:tc>
          <w:tcPr>
            <w:tcW w:w="884" w:type="pct"/>
            <w:tcBorders>
              <w:top w:val="single" w:sz="4" w:space="0" w:color="auto"/>
              <w:bottom w:val="single" w:sz="4" w:space="0" w:color="auto"/>
            </w:tcBorders>
            <w:shd w:val="clear" w:color="auto" w:fill="auto"/>
          </w:tcPr>
          <w:p w:rsidR="00035233" w:rsidRDefault="00035233" w:rsidP="00A55E5D">
            <w:pPr>
              <w:pStyle w:val="05Tabletext"/>
              <w:jc w:val="center"/>
            </w:pPr>
            <w:r>
              <w:t>0.77 (0.46, 1.27)</w:t>
            </w:r>
          </w:p>
        </w:tc>
      </w:tr>
      <w:tr w:rsidR="00035233" w:rsidRPr="00194011" w:rsidTr="00035233">
        <w:trPr>
          <w:cantSplit/>
        </w:trPr>
        <w:tc>
          <w:tcPr>
            <w:tcW w:w="1913" w:type="pct"/>
            <w:tcBorders>
              <w:top w:val="single" w:sz="4" w:space="0" w:color="auto"/>
              <w:bottom w:val="single" w:sz="4" w:space="0" w:color="auto"/>
            </w:tcBorders>
            <w:shd w:val="clear" w:color="auto" w:fill="auto"/>
          </w:tcPr>
          <w:p w:rsidR="00035233" w:rsidRDefault="00035233" w:rsidP="00A55E5D">
            <w:pPr>
              <w:pStyle w:val="05Tabletext"/>
            </w:pPr>
            <w:r>
              <w:t>IV</w:t>
            </w:r>
          </w:p>
        </w:tc>
        <w:tc>
          <w:tcPr>
            <w:tcW w:w="442" w:type="pct"/>
            <w:tcBorders>
              <w:top w:val="single" w:sz="4" w:space="0" w:color="auto"/>
              <w:bottom w:val="single" w:sz="4" w:space="0" w:color="auto"/>
            </w:tcBorders>
          </w:tcPr>
          <w:p w:rsidR="00035233" w:rsidRDefault="00035233" w:rsidP="00A55E5D">
            <w:pPr>
              <w:pStyle w:val="05Tabletext"/>
              <w:jc w:val="center"/>
            </w:pPr>
            <w:r>
              <w:t>241</w:t>
            </w:r>
          </w:p>
        </w:tc>
        <w:tc>
          <w:tcPr>
            <w:tcW w:w="880" w:type="pct"/>
            <w:tcBorders>
              <w:top w:val="single" w:sz="4" w:space="0" w:color="auto"/>
              <w:bottom w:val="single" w:sz="4" w:space="0" w:color="auto"/>
            </w:tcBorders>
            <w:shd w:val="clear" w:color="auto" w:fill="auto"/>
          </w:tcPr>
          <w:p w:rsidR="00035233" w:rsidRPr="00140D29" w:rsidRDefault="00035233" w:rsidP="00A55E5D">
            <w:pPr>
              <w:pStyle w:val="05Tabletext"/>
              <w:jc w:val="center"/>
            </w:pPr>
            <w:r>
              <w:t>17.9</w:t>
            </w:r>
          </w:p>
        </w:tc>
        <w:tc>
          <w:tcPr>
            <w:tcW w:w="880" w:type="pct"/>
            <w:tcBorders>
              <w:top w:val="single" w:sz="4" w:space="0" w:color="auto"/>
              <w:bottom w:val="single" w:sz="4" w:space="0" w:color="auto"/>
            </w:tcBorders>
            <w:shd w:val="clear" w:color="auto" w:fill="auto"/>
          </w:tcPr>
          <w:p w:rsidR="00035233" w:rsidRDefault="00035233" w:rsidP="00A55E5D">
            <w:pPr>
              <w:pStyle w:val="05Tabletext"/>
              <w:jc w:val="center"/>
            </w:pPr>
            <w:r>
              <w:t>21.0</w:t>
            </w:r>
          </w:p>
        </w:tc>
        <w:tc>
          <w:tcPr>
            <w:tcW w:w="884" w:type="pct"/>
            <w:tcBorders>
              <w:top w:val="single" w:sz="4" w:space="0" w:color="auto"/>
              <w:bottom w:val="single" w:sz="4" w:space="0" w:color="auto"/>
            </w:tcBorders>
            <w:shd w:val="clear" w:color="auto" w:fill="auto"/>
          </w:tcPr>
          <w:p w:rsidR="00035233" w:rsidRDefault="00035233" w:rsidP="00A55E5D">
            <w:pPr>
              <w:pStyle w:val="05Tabletext"/>
              <w:jc w:val="center"/>
            </w:pPr>
            <w:r>
              <w:t>0.82 (0.46, 1.46)</w:t>
            </w:r>
          </w:p>
        </w:tc>
      </w:tr>
      <w:tr w:rsidR="00035233" w:rsidRPr="00194011" w:rsidTr="00035233">
        <w:trPr>
          <w:cantSplit/>
        </w:trPr>
        <w:tc>
          <w:tcPr>
            <w:tcW w:w="1913" w:type="pct"/>
            <w:tcBorders>
              <w:top w:val="single" w:sz="4" w:space="0" w:color="auto"/>
              <w:bottom w:val="single" w:sz="4" w:space="0" w:color="auto"/>
            </w:tcBorders>
            <w:shd w:val="clear" w:color="auto" w:fill="000000"/>
          </w:tcPr>
          <w:p w:rsidR="00035233" w:rsidRDefault="00035233" w:rsidP="00A55E5D">
            <w:pPr>
              <w:pStyle w:val="04Tablesubheading"/>
              <w:keepNext w:val="0"/>
            </w:pPr>
            <w:r>
              <w:t>Exacerbation episodes in last year</w:t>
            </w:r>
          </w:p>
        </w:tc>
        <w:tc>
          <w:tcPr>
            <w:tcW w:w="442" w:type="pct"/>
            <w:tcBorders>
              <w:top w:val="single" w:sz="4" w:space="0" w:color="auto"/>
              <w:bottom w:val="single" w:sz="4" w:space="0" w:color="auto"/>
            </w:tcBorders>
            <w:shd w:val="clear" w:color="auto" w:fill="000000"/>
          </w:tcPr>
          <w:p w:rsidR="00035233" w:rsidRDefault="00035233" w:rsidP="00A55E5D">
            <w:pPr>
              <w:pStyle w:val="04Tablesubheading"/>
              <w:keepNext w:val="0"/>
            </w:pPr>
          </w:p>
        </w:tc>
        <w:tc>
          <w:tcPr>
            <w:tcW w:w="880" w:type="pct"/>
            <w:tcBorders>
              <w:top w:val="single" w:sz="4" w:space="0" w:color="auto"/>
              <w:bottom w:val="single" w:sz="4" w:space="0" w:color="auto"/>
            </w:tcBorders>
            <w:shd w:val="clear" w:color="auto" w:fill="000000"/>
          </w:tcPr>
          <w:p w:rsidR="00035233" w:rsidRDefault="00035233" w:rsidP="00A55E5D">
            <w:pPr>
              <w:pStyle w:val="04Tablesubheading"/>
              <w:keepNext w:val="0"/>
            </w:pPr>
          </w:p>
        </w:tc>
        <w:tc>
          <w:tcPr>
            <w:tcW w:w="880" w:type="pct"/>
            <w:tcBorders>
              <w:top w:val="single" w:sz="4" w:space="0" w:color="auto"/>
              <w:bottom w:val="single" w:sz="4" w:space="0" w:color="auto"/>
            </w:tcBorders>
            <w:shd w:val="clear" w:color="auto" w:fill="000000"/>
          </w:tcPr>
          <w:p w:rsidR="00035233" w:rsidRDefault="00035233" w:rsidP="00A55E5D">
            <w:pPr>
              <w:pStyle w:val="04Tablesubheading"/>
              <w:keepNext w:val="0"/>
            </w:pPr>
          </w:p>
        </w:tc>
        <w:tc>
          <w:tcPr>
            <w:tcW w:w="884" w:type="pct"/>
            <w:tcBorders>
              <w:top w:val="single" w:sz="4" w:space="0" w:color="auto"/>
              <w:bottom w:val="single" w:sz="4" w:space="0" w:color="auto"/>
            </w:tcBorders>
            <w:shd w:val="clear" w:color="auto" w:fill="000000"/>
          </w:tcPr>
          <w:p w:rsidR="00035233" w:rsidRDefault="00035233" w:rsidP="00A55E5D">
            <w:pPr>
              <w:pStyle w:val="04Tablesubheading"/>
              <w:keepNext w:val="0"/>
            </w:pPr>
          </w:p>
        </w:tc>
      </w:tr>
      <w:tr w:rsidR="00035233" w:rsidRPr="00194011" w:rsidTr="00035233">
        <w:trPr>
          <w:cantSplit/>
        </w:trPr>
        <w:tc>
          <w:tcPr>
            <w:tcW w:w="1913" w:type="pct"/>
            <w:tcBorders>
              <w:top w:val="single" w:sz="4" w:space="0" w:color="auto"/>
              <w:bottom w:val="single" w:sz="4" w:space="0" w:color="auto"/>
            </w:tcBorders>
            <w:shd w:val="clear" w:color="auto" w:fill="auto"/>
          </w:tcPr>
          <w:p w:rsidR="00035233" w:rsidRDefault="00035233" w:rsidP="00A55E5D">
            <w:pPr>
              <w:pStyle w:val="05Tabletext"/>
            </w:pPr>
            <w:r>
              <w:t>0 or 1</w:t>
            </w:r>
          </w:p>
        </w:tc>
        <w:tc>
          <w:tcPr>
            <w:tcW w:w="442" w:type="pct"/>
            <w:tcBorders>
              <w:top w:val="single" w:sz="4" w:space="0" w:color="auto"/>
              <w:bottom w:val="single" w:sz="4" w:space="0" w:color="auto"/>
            </w:tcBorders>
          </w:tcPr>
          <w:p w:rsidR="00035233" w:rsidRDefault="00035233" w:rsidP="00A55E5D">
            <w:pPr>
              <w:pStyle w:val="05Tabletext"/>
              <w:jc w:val="center"/>
            </w:pPr>
            <w:r>
              <w:t>1,561</w:t>
            </w:r>
          </w:p>
        </w:tc>
        <w:tc>
          <w:tcPr>
            <w:tcW w:w="880" w:type="pct"/>
            <w:tcBorders>
              <w:top w:val="single" w:sz="4" w:space="0" w:color="auto"/>
              <w:bottom w:val="single" w:sz="4" w:space="0" w:color="auto"/>
            </w:tcBorders>
            <w:shd w:val="clear" w:color="auto" w:fill="auto"/>
          </w:tcPr>
          <w:p w:rsidR="00035233" w:rsidRDefault="00035233" w:rsidP="00A55E5D">
            <w:pPr>
              <w:pStyle w:val="05Tabletext"/>
              <w:jc w:val="center"/>
            </w:pPr>
            <w:r>
              <w:t>6.8</w:t>
            </w:r>
          </w:p>
        </w:tc>
        <w:tc>
          <w:tcPr>
            <w:tcW w:w="880" w:type="pct"/>
            <w:tcBorders>
              <w:top w:val="single" w:sz="4" w:space="0" w:color="auto"/>
              <w:bottom w:val="single" w:sz="4" w:space="0" w:color="auto"/>
            </w:tcBorders>
            <w:shd w:val="clear" w:color="auto" w:fill="auto"/>
          </w:tcPr>
          <w:p w:rsidR="00035233" w:rsidRDefault="00035233" w:rsidP="00A55E5D">
            <w:pPr>
              <w:pStyle w:val="05Tabletext"/>
              <w:jc w:val="center"/>
            </w:pPr>
            <w:r>
              <w:t>9.8</w:t>
            </w:r>
          </w:p>
        </w:tc>
        <w:tc>
          <w:tcPr>
            <w:tcW w:w="884" w:type="pct"/>
            <w:tcBorders>
              <w:top w:val="single" w:sz="4" w:space="0" w:color="auto"/>
              <w:bottom w:val="single" w:sz="4" w:space="0" w:color="auto"/>
            </w:tcBorders>
            <w:shd w:val="clear" w:color="auto" w:fill="auto"/>
          </w:tcPr>
          <w:p w:rsidR="00035233" w:rsidRDefault="00035233" w:rsidP="00A55E5D">
            <w:pPr>
              <w:pStyle w:val="05Tabletext"/>
              <w:jc w:val="center"/>
            </w:pPr>
            <w:r>
              <w:t>0.68 (0.48, 0.97)</w:t>
            </w:r>
          </w:p>
        </w:tc>
      </w:tr>
      <w:tr w:rsidR="00035233" w:rsidRPr="00194011" w:rsidTr="00035233">
        <w:trPr>
          <w:cantSplit/>
        </w:trPr>
        <w:tc>
          <w:tcPr>
            <w:tcW w:w="1913" w:type="pct"/>
            <w:tcBorders>
              <w:top w:val="single" w:sz="4" w:space="0" w:color="auto"/>
              <w:bottom w:val="single" w:sz="4" w:space="0" w:color="auto"/>
            </w:tcBorders>
            <w:shd w:val="clear" w:color="auto" w:fill="auto"/>
          </w:tcPr>
          <w:p w:rsidR="00035233" w:rsidRDefault="00035233" w:rsidP="00A55E5D">
            <w:pPr>
              <w:pStyle w:val="05Tabletext"/>
            </w:pPr>
            <w:r>
              <w:t>2 or more</w:t>
            </w:r>
          </w:p>
        </w:tc>
        <w:tc>
          <w:tcPr>
            <w:tcW w:w="442" w:type="pct"/>
            <w:tcBorders>
              <w:top w:val="single" w:sz="4" w:space="0" w:color="auto"/>
              <w:bottom w:val="single" w:sz="4" w:space="0" w:color="auto"/>
            </w:tcBorders>
          </w:tcPr>
          <w:p w:rsidR="00035233" w:rsidRDefault="00035233" w:rsidP="00A55E5D">
            <w:pPr>
              <w:pStyle w:val="05Tabletext"/>
              <w:jc w:val="center"/>
            </w:pPr>
            <w:r>
              <w:t>306</w:t>
            </w:r>
          </w:p>
        </w:tc>
        <w:tc>
          <w:tcPr>
            <w:tcW w:w="880" w:type="pct"/>
            <w:tcBorders>
              <w:top w:val="single" w:sz="4" w:space="0" w:color="auto"/>
              <w:bottom w:val="single" w:sz="4" w:space="0" w:color="auto"/>
            </w:tcBorders>
            <w:shd w:val="clear" w:color="auto" w:fill="auto"/>
          </w:tcPr>
          <w:p w:rsidR="00035233" w:rsidRDefault="00035233" w:rsidP="00A55E5D">
            <w:pPr>
              <w:pStyle w:val="05Tabletext"/>
              <w:jc w:val="center"/>
            </w:pPr>
            <w:r>
              <w:t>11.6</w:t>
            </w:r>
          </w:p>
        </w:tc>
        <w:tc>
          <w:tcPr>
            <w:tcW w:w="880" w:type="pct"/>
            <w:tcBorders>
              <w:top w:val="single" w:sz="4" w:space="0" w:color="auto"/>
              <w:bottom w:val="single" w:sz="4" w:space="0" w:color="auto"/>
            </w:tcBorders>
            <w:shd w:val="clear" w:color="auto" w:fill="auto"/>
          </w:tcPr>
          <w:p w:rsidR="00035233" w:rsidRDefault="00035233" w:rsidP="00A55E5D">
            <w:pPr>
              <w:pStyle w:val="05Tabletext"/>
              <w:jc w:val="center"/>
            </w:pPr>
            <w:r>
              <w:t>9.3</w:t>
            </w:r>
          </w:p>
        </w:tc>
        <w:tc>
          <w:tcPr>
            <w:tcW w:w="884" w:type="pct"/>
            <w:tcBorders>
              <w:top w:val="single" w:sz="4" w:space="0" w:color="auto"/>
              <w:bottom w:val="single" w:sz="4" w:space="0" w:color="auto"/>
            </w:tcBorders>
            <w:shd w:val="clear" w:color="auto" w:fill="auto"/>
          </w:tcPr>
          <w:p w:rsidR="00035233" w:rsidRDefault="00035233" w:rsidP="00A55E5D">
            <w:pPr>
              <w:pStyle w:val="05Tabletext"/>
              <w:jc w:val="center"/>
            </w:pPr>
            <w:r>
              <w:t>1.26 (0.63, 2.53)</w:t>
            </w:r>
          </w:p>
        </w:tc>
      </w:tr>
    </w:tbl>
    <w:p w:rsidR="00035233" w:rsidRDefault="00035233" w:rsidP="00A55E5D">
      <w:pPr>
        <w:pStyle w:val="10TableorFigurefootnote"/>
        <w:keepNext w:val="0"/>
      </w:pPr>
      <w:r>
        <w:t>Source: Dahl et al (2015), Table 2 and e-figure 2b.</w:t>
      </w:r>
    </w:p>
    <w:p w:rsidR="00035233" w:rsidRDefault="00035233" w:rsidP="00A55E5D">
      <w:pPr>
        <w:pStyle w:val="10TableorFigurefootnote"/>
        <w:keepNext w:val="0"/>
      </w:pPr>
      <w:r>
        <w:t xml:space="preserve">Abbreviations: CI, confidence interval; ICS, inhaled corticosteroid; GOLD, </w:t>
      </w:r>
      <w:r w:rsidRPr="001F1058">
        <w:t xml:space="preserve">Global </w:t>
      </w:r>
      <w:r w:rsidR="006D27FC">
        <w:t>Initiative for Chronic Obstructive Lung Disease</w:t>
      </w:r>
      <w:r>
        <w:t>; LABA, long-acting beta-2 agonist; MACE, major adverse cardiovascular event.</w:t>
      </w:r>
    </w:p>
    <w:p w:rsidR="00035233" w:rsidRDefault="00035233" w:rsidP="00A55E5D">
      <w:pPr>
        <w:pStyle w:val="10TableorFigurefootnote"/>
        <w:keepNext w:val="0"/>
      </w:pPr>
      <w:proofErr w:type="gramStart"/>
      <w:r>
        <w:rPr>
          <w:b/>
        </w:rPr>
        <w:t>a</w:t>
      </w:r>
      <w:proofErr w:type="gramEnd"/>
      <w:r>
        <w:t xml:space="preserve"> </w:t>
      </w:r>
      <w:r w:rsidRPr="00BE18DC">
        <w:t>Stroke, transient ischaemic attack, myocardial infarction, sudden death, cardiac death, sudden cardiac death or fatal event in the system organ classes for cardiac and vascular disorders.</w:t>
      </w:r>
    </w:p>
    <w:p w:rsidR="00035233" w:rsidRDefault="00035233" w:rsidP="00A55E5D">
      <w:pPr>
        <w:pStyle w:val="11TableorFigurefootnotenostick"/>
      </w:pPr>
      <w:proofErr w:type="gramStart"/>
      <w:r>
        <w:rPr>
          <w:b/>
        </w:rPr>
        <w:t>b</w:t>
      </w:r>
      <w:proofErr w:type="gramEnd"/>
      <w:r>
        <w:rPr>
          <w:b/>
        </w:rPr>
        <w:t xml:space="preserve"> </w:t>
      </w:r>
      <w:r w:rsidRPr="00DB5032">
        <w:t>Defined as history of myocardial infarction, ischaemic heart disease/coronary artery disease, cardiac arrhythmia or heart failure.</w:t>
      </w:r>
    </w:p>
    <w:p w:rsidR="00035233" w:rsidRDefault="00BF258D" w:rsidP="00BF258D">
      <w:pPr>
        <w:pStyle w:val="ToR3Tableheader"/>
      </w:pPr>
      <w:bookmarkStart w:id="142" w:name="_Toc467782112"/>
      <w:bookmarkStart w:id="143" w:name="_Toc468012300"/>
      <w:bookmarkStart w:id="144" w:name="_Toc468034456"/>
      <w:bookmarkStart w:id="145" w:name="_Toc471891011"/>
      <w:bookmarkStart w:id="146" w:name="_Toc486428198"/>
      <w:r>
        <w:t>Table 3.19</w:t>
      </w:r>
      <w:r w:rsidR="006172D5">
        <w:tab/>
      </w:r>
      <w:r w:rsidR="00035233">
        <w:t>Risk and rate of exacerbations, on</w:t>
      </w:r>
      <w:r w:rsidR="00B225A4">
        <w:t>-</w:t>
      </w:r>
      <w:r w:rsidR="00035233">
        <w:t>treatment analysis</w:t>
      </w:r>
      <w:r w:rsidR="00035233">
        <w:rPr>
          <w:vertAlign w:val="superscript"/>
        </w:rPr>
        <w:t>a</w:t>
      </w:r>
      <w:r w:rsidR="00035233">
        <w:t xml:space="preserve"> – Respimat vs </w:t>
      </w:r>
      <w:r w:rsidR="00AC3855">
        <w:t>HandiHaler</w:t>
      </w:r>
      <w:bookmarkEnd w:id="142"/>
      <w:bookmarkEnd w:id="143"/>
      <w:bookmarkEnd w:id="144"/>
      <w:bookmarkEnd w:id="145"/>
      <w:bookmarkEnd w:id="1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Caption w:val="Risk and rate of exacerbations, on-treatment analysis"/>
        <w:tblDescription w:val="Respimat versus HandiHaler"/>
      </w:tblPr>
      <w:tblGrid>
        <w:gridCol w:w="3548"/>
        <w:gridCol w:w="1845"/>
        <w:gridCol w:w="1986"/>
        <w:gridCol w:w="1416"/>
        <w:gridCol w:w="853"/>
      </w:tblGrid>
      <w:tr w:rsidR="00035233" w:rsidRPr="00F01736" w:rsidTr="00035233">
        <w:trPr>
          <w:cantSplit/>
        </w:trPr>
        <w:tc>
          <w:tcPr>
            <w:tcW w:w="1839" w:type="pct"/>
            <w:shd w:val="clear" w:color="auto" w:fill="BFBFBF"/>
          </w:tcPr>
          <w:p w:rsidR="00035233" w:rsidRPr="00F01736" w:rsidRDefault="00035233" w:rsidP="00035233">
            <w:pPr>
              <w:pStyle w:val="01TableHEADINGleftaligned"/>
            </w:pPr>
          </w:p>
        </w:tc>
        <w:tc>
          <w:tcPr>
            <w:tcW w:w="956" w:type="pct"/>
            <w:tcBorders>
              <w:right w:val="single" w:sz="4" w:space="0" w:color="auto"/>
            </w:tcBorders>
            <w:shd w:val="clear" w:color="auto" w:fill="BFBFBF"/>
          </w:tcPr>
          <w:p w:rsidR="00035233" w:rsidRPr="00F01736" w:rsidRDefault="00035233" w:rsidP="00035233">
            <w:pPr>
              <w:pStyle w:val="01TableHEADINGleftaligned"/>
              <w:jc w:val="center"/>
            </w:pPr>
            <w:r>
              <w:t>Respimat (n=918)</w:t>
            </w:r>
          </w:p>
        </w:tc>
        <w:tc>
          <w:tcPr>
            <w:tcW w:w="1029" w:type="pct"/>
            <w:tcBorders>
              <w:left w:val="single" w:sz="4" w:space="0" w:color="auto"/>
            </w:tcBorders>
            <w:shd w:val="clear" w:color="auto" w:fill="BFBFBF"/>
          </w:tcPr>
          <w:p w:rsidR="00035233" w:rsidRPr="00F01736" w:rsidRDefault="00AC3855" w:rsidP="00035233">
            <w:pPr>
              <w:pStyle w:val="01TableHEADINGleftaligned"/>
              <w:jc w:val="center"/>
            </w:pPr>
            <w:r>
              <w:t>HandiHaler</w:t>
            </w:r>
            <w:r w:rsidR="00035233">
              <w:t xml:space="preserve"> (n=952)</w:t>
            </w:r>
          </w:p>
        </w:tc>
        <w:tc>
          <w:tcPr>
            <w:tcW w:w="734" w:type="pct"/>
            <w:shd w:val="clear" w:color="auto" w:fill="BFBFBF"/>
          </w:tcPr>
          <w:p w:rsidR="00035233" w:rsidRPr="00F01736" w:rsidRDefault="00035233" w:rsidP="00035233">
            <w:pPr>
              <w:pStyle w:val="01TableHEADINGleftaligned"/>
              <w:jc w:val="center"/>
            </w:pPr>
            <w:r>
              <w:t>HR (95% CI)</w:t>
            </w:r>
          </w:p>
        </w:tc>
        <w:tc>
          <w:tcPr>
            <w:tcW w:w="442" w:type="pct"/>
            <w:shd w:val="clear" w:color="auto" w:fill="BFBFBF"/>
          </w:tcPr>
          <w:p w:rsidR="00035233" w:rsidRPr="00F01736" w:rsidRDefault="00035233" w:rsidP="00035233">
            <w:pPr>
              <w:pStyle w:val="01TableHEADINGleftaligned"/>
              <w:jc w:val="center"/>
            </w:pPr>
            <w:r>
              <w:t>p-value</w:t>
            </w:r>
          </w:p>
        </w:tc>
      </w:tr>
      <w:tr w:rsidR="00035233" w:rsidRPr="00194011" w:rsidTr="00035233">
        <w:trPr>
          <w:cantSplit/>
        </w:trPr>
        <w:tc>
          <w:tcPr>
            <w:tcW w:w="1839" w:type="pct"/>
            <w:shd w:val="clear" w:color="auto" w:fill="000000"/>
          </w:tcPr>
          <w:p w:rsidR="00035233" w:rsidRPr="00A04345" w:rsidRDefault="00035233" w:rsidP="00035233">
            <w:pPr>
              <w:pStyle w:val="04Tablesubheading"/>
              <w:rPr>
                <w:vertAlign w:val="superscript"/>
              </w:rPr>
            </w:pPr>
            <w:r>
              <w:t>Any exacerbation</w:t>
            </w:r>
            <w:r>
              <w:rPr>
                <w:vertAlign w:val="superscript"/>
              </w:rPr>
              <w:t>b</w:t>
            </w:r>
          </w:p>
        </w:tc>
        <w:tc>
          <w:tcPr>
            <w:tcW w:w="956" w:type="pct"/>
            <w:shd w:val="clear" w:color="auto" w:fill="000000"/>
          </w:tcPr>
          <w:p w:rsidR="00035233" w:rsidRPr="00BF47B2" w:rsidRDefault="00035233" w:rsidP="00035233">
            <w:pPr>
              <w:pStyle w:val="04Tablesubheading"/>
              <w:ind w:right="0"/>
              <w:jc w:val="right"/>
            </w:pPr>
          </w:p>
        </w:tc>
        <w:tc>
          <w:tcPr>
            <w:tcW w:w="1029" w:type="pct"/>
            <w:shd w:val="clear" w:color="auto" w:fill="000000"/>
          </w:tcPr>
          <w:p w:rsidR="00035233" w:rsidRPr="00BF47B2" w:rsidRDefault="00035233" w:rsidP="00035233">
            <w:pPr>
              <w:pStyle w:val="04Tablesubheading"/>
              <w:ind w:right="0"/>
            </w:pPr>
          </w:p>
        </w:tc>
        <w:tc>
          <w:tcPr>
            <w:tcW w:w="734" w:type="pct"/>
            <w:shd w:val="clear" w:color="auto" w:fill="000000"/>
          </w:tcPr>
          <w:p w:rsidR="00035233" w:rsidRPr="00B10B1D" w:rsidRDefault="00035233" w:rsidP="00035233">
            <w:pPr>
              <w:pStyle w:val="04Tablesubheading"/>
              <w:jc w:val="center"/>
              <w:rPr>
                <w:vertAlign w:val="superscript"/>
              </w:rPr>
            </w:pPr>
          </w:p>
        </w:tc>
        <w:tc>
          <w:tcPr>
            <w:tcW w:w="442" w:type="pct"/>
            <w:shd w:val="clear" w:color="auto" w:fill="000000"/>
          </w:tcPr>
          <w:p w:rsidR="00035233" w:rsidRPr="00194011" w:rsidRDefault="00035233" w:rsidP="00035233">
            <w:pPr>
              <w:pStyle w:val="05Tabletext"/>
              <w:keepNext/>
              <w:jc w:val="center"/>
            </w:pPr>
          </w:p>
        </w:tc>
      </w:tr>
      <w:tr w:rsidR="00035233" w:rsidRPr="00194011" w:rsidTr="00035233">
        <w:trPr>
          <w:cantSplit/>
        </w:trPr>
        <w:tc>
          <w:tcPr>
            <w:tcW w:w="1839" w:type="pct"/>
            <w:shd w:val="clear" w:color="auto" w:fill="auto"/>
          </w:tcPr>
          <w:p w:rsidR="00035233" w:rsidRDefault="00035233" w:rsidP="00035233">
            <w:pPr>
              <w:pStyle w:val="05Tabletext"/>
              <w:keepNext/>
            </w:pPr>
            <w:r>
              <w:t>Patients with event, n (%)</w:t>
            </w:r>
          </w:p>
        </w:tc>
        <w:tc>
          <w:tcPr>
            <w:tcW w:w="956" w:type="pct"/>
            <w:shd w:val="clear" w:color="auto" w:fill="auto"/>
          </w:tcPr>
          <w:p w:rsidR="00035233" w:rsidRDefault="00035233" w:rsidP="00035233">
            <w:pPr>
              <w:pStyle w:val="05Tabletext"/>
              <w:keepNext/>
              <w:jc w:val="center"/>
            </w:pPr>
            <w:r>
              <w:t>560 (61.1)</w:t>
            </w:r>
          </w:p>
        </w:tc>
        <w:tc>
          <w:tcPr>
            <w:tcW w:w="1029" w:type="pct"/>
            <w:shd w:val="clear" w:color="auto" w:fill="auto"/>
          </w:tcPr>
          <w:p w:rsidR="00035233" w:rsidRPr="00BC7782" w:rsidRDefault="00035233" w:rsidP="00035233">
            <w:pPr>
              <w:pStyle w:val="05Tabletext"/>
              <w:keepNext/>
              <w:jc w:val="center"/>
            </w:pPr>
            <w:r>
              <w:t>578 (60.8)</w:t>
            </w:r>
          </w:p>
        </w:tc>
        <w:tc>
          <w:tcPr>
            <w:tcW w:w="734" w:type="pct"/>
            <w:shd w:val="clear" w:color="auto" w:fill="auto"/>
          </w:tcPr>
          <w:p w:rsidR="00035233" w:rsidRPr="005D7BED" w:rsidRDefault="00035233" w:rsidP="00035233">
            <w:pPr>
              <w:pStyle w:val="05Tabletext"/>
              <w:keepNext/>
              <w:jc w:val="center"/>
            </w:pPr>
            <w:r>
              <w:t>0.96 (0.86, 1.08)</w:t>
            </w:r>
          </w:p>
        </w:tc>
        <w:tc>
          <w:tcPr>
            <w:tcW w:w="442" w:type="pct"/>
            <w:shd w:val="clear" w:color="auto" w:fill="auto"/>
          </w:tcPr>
          <w:p w:rsidR="00035233" w:rsidRPr="00194011" w:rsidRDefault="00035233" w:rsidP="00035233">
            <w:pPr>
              <w:pStyle w:val="05Tabletext"/>
              <w:keepNext/>
              <w:jc w:val="center"/>
            </w:pPr>
            <w:r>
              <w:t>0.517</w:t>
            </w:r>
          </w:p>
        </w:tc>
      </w:tr>
      <w:tr w:rsidR="00035233" w:rsidRPr="00194011" w:rsidTr="00035233">
        <w:trPr>
          <w:cantSplit/>
        </w:trPr>
        <w:tc>
          <w:tcPr>
            <w:tcW w:w="1839" w:type="pct"/>
            <w:shd w:val="clear" w:color="auto" w:fill="auto"/>
          </w:tcPr>
          <w:p w:rsidR="00035233" w:rsidRDefault="00035233" w:rsidP="00035233">
            <w:pPr>
              <w:pStyle w:val="05Tabletext"/>
              <w:keepNext/>
            </w:pPr>
            <w:r>
              <w:t>Number of events</w:t>
            </w:r>
          </w:p>
        </w:tc>
        <w:tc>
          <w:tcPr>
            <w:tcW w:w="956" w:type="pct"/>
            <w:shd w:val="clear" w:color="auto" w:fill="auto"/>
          </w:tcPr>
          <w:p w:rsidR="00035233" w:rsidRDefault="00035233" w:rsidP="00035233">
            <w:pPr>
              <w:pStyle w:val="05Tabletext"/>
              <w:keepNext/>
              <w:jc w:val="center"/>
            </w:pPr>
            <w:r>
              <w:t>1,508</w:t>
            </w:r>
          </w:p>
        </w:tc>
        <w:tc>
          <w:tcPr>
            <w:tcW w:w="1029" w:type="pct"/>
            <w:shd w:val="clear" w:color="auto" w:fill="auto"/>
          </w:tcPr>
          <w:p w:rsidR="00035233" w:rsidRPr="00BC7782" w:rsidRDefault="00035233" w:rsidP="00035233">
            <w:pPr>
              <w:pStyle w:val="05Tabletext"/>
              <w:keepNext/>
              <w:jc w:val="center"/>
            </w:pPr>
            <w:r>
              <w:t>1,548</w:t>
            </w:r>
          </w:p>
        </w:tc>
        <w:tc>
          <w:tcPr>
            <w:tcW w:w="734" w:type="pct"/>
            <w:shd w:val="clear" w:color="auto" w:fill="auto"/>
          </w:tcPr>
          <w:p w:rsidR="00035233" w:rsidRPr="008946CC" w:rsidRDefault="00035233" w:rsidP="00035233">
            <w:pPr>
              <w:pStyle w:val="05Tabletext"/>
              <w:keepNext/>
              <w:jc w:val="center"/>
            </w:pPr>
            <w:r>
              <w:t>-</w:t>
            </w:r>
          </w:p>
        </w:tc>
        <w:tc>
          <w:tcPr>
            <w:tcW w:w="442" w:type="pct"/>
            <w:shd w:val="clear" w:color="auto" w:fill="auto"/>
          </w:tcPr>
          <w:p w:rsidR="00035233" w:rsidRPr="00194011" w:rsidRDefault="00035233" w:rsidP="00035233">
            <w:pPr>
              <w:pStyle w:val="05Tabletext"/>
              <w:keepNext/>
              <w:jc w:val="center"/>
            </w:pPr>
            <w:r>
              <w:t>-</w:t>
            </w:r>
          </w:p>
        </w:tc>
      </w:tr>
      <w:tr w:rsidR="00035233" w:rsidRPr="00194011" w:rsidTr="00035233">
        <w:trPr>
          <w:cantSplit/>
        </w:trPr>
        <w:tc>
          <w:tcPr>
            <w:tcW w:w="1839" w:type="pct"/>
            <w:shd w:val="clear" w:color="auto" w:fill="auto"/>
          </w:tcPr>
          <w:p w:rsidR="00035233" w:rsidRDefault="00035233" w:rsidP="00035233">
            <w:pPr>
              <w:pStyle w:val="05Tabletext"/>
              <w:keepNext/>
            </w:pPr>
            <w:r>
              <w:t>Adjusted rate of events per patient-year (95% CI)</w:t>
            </w:r>
          </w:p>
        </w:tc>
        <w:tc>
          <w:tcPr>
            <w:tcW w:w="956" w:type="pct"/>
            <w:shd w:val="clear" w:color="auto" w:fill="auto"/>
          </w:tcPr>
          <w:p w:rsidR="00035233" w:rsidRDefault="00035233" w:rsidP="00035233">
            <w:pPr>
              <w:pStyle w:val="05Tabletext"/>
              <w:keepNext/>
              <w:jc w:val="center"/>
            </w:pPr>
            <w:r>
              <w:t>0.83 (0.76, 0.90)</w:t>
            </w:r>
          </w:p>
        </w:tc>
        <w:tc>
          <w:tcPr>
            <w:tcW w:w="1029" w:type="pct"/>
            <w:shd w:val="clear" w:color="auto" w:fill="auto"/>
          </w:tcPr>
          <w:p w:rsidR="00035233" w:rsidRDefault="00035233" w:rsidP="00035233">
            <w:pPr>
              <w:pStyle w:val="05Tabletext"/>
              <w:keepNext/>
              <w:jc w:val="center"/>
            </w:pPr>
            <w:r>
              <w:t>0.81 (0.74, 0.87)</w:t>
            </w:r>
          </w:p>
        </w:tc>
        <w:tc>
          <w:tcPr>
            <w:tcW w:w="734" w:type="pct"/>
            <w:shd w:val="clear" w:color="auto" w:fill="auto"/>
          </w:tcPr>
          <w:p w:rsidR="00035233" w:rsidRDefault="00035233" w:rsidP="00035233">
            <w:pPr>
              <w:pStyle w:val="05Tabletext"/>
              <w:keepNext/>
              <w:jc w:val="center"/>
            </w:pPr>
            <w:r>
              <w:t>-</w:t>
            </w:r>
          </w:p>
        </w:tc>
        <w:tc>
          <w:tcPr>
            <w:tcW w:w="442" w:type="pct"/>
            <w:shd w:val="clear" w:color="auto" w:fill="auto"/>
          </w:tcPr>
          <w:p w:rsidR="00035233" w:rsidRDefault="00035233" w:rsidP="00035233">
            <w:pPr>
              <w:pStyle w:val="05Tabletext"/>
              <w:keepNext/>
              <w:jc w:val="center"/>
            </w:pPr>
            <w:r>
              <w:t>-</w:t>
            </w:r>
          </w:p>
        </w:tc>
      </w:tr>
      <w:tr w:rsidR="00035233" w:rsidRPr="00194011" w:rsidTr="00035233">
        <w:trPr>
          <w:cantSplit/>
        </w:trPr>
        <w:tc>
          <w:tcPr>
            <w:tcW w:w="1839" w:type="pct"/>
            <w:shd w:val="clear" w:color="auto" w:fill="000000"/>
          </w:tcPr>
          <w:p w:rsidR="00035233" w:rsidRPr="00BF47B2" w:rsidRDefault="00035233" w:rsidP="00035233">
            <w:pPr>
              <w:pStyle w:val="04Tablesubheading"/>
            </w:pPr>
            <w:r w:rsidRPr="00A04345">
              <w:t>Severe (hospitalised) exacerbation</w:t>
            </w:r>
          </w:p>
        </w:tc>
        <w:tc>
          <w:tcPr>
            <w:tcW w:w="956" w:type="pct"/>
            <w:shd w:val="clear" w:color="auto" w:fill="000000"/>
          </w:tcPr>
          <w:p w:rsidR="00035233" w:rsidRPr="00BF47B2" w:rsidRDefault="00035233" w:rsidP="00035233">
            <w:pPr>
              <w:pStyle w:val="04Tablesubheading"/>
              <w:ind w:right="0"/>
              <w:jc w:val="right"/>
            </w:pPr>
          </w:p>
        </w:tc>
        <w:tc>
          <w:tcPr>
            <w:tcW w:w="1029" w:type="pct"/>
            <w:shd w:val="clear" w:color="auto" w:fill="000000"/>
          </w:tcPr>
          <w:p w:rsidR="00035233" w:rsidRPr="00BF47B2" w:rsidRDefault="00035233" w:rsidP="00035233">
            <w:pPr>
              <w:pStyle w:val="04Tablesubheading"/>
              <w:ind w:right="0"/>
            </w:pPr>
          </w:p>
        </w:tc>
        <w:tc>
          <w:tcPr>
            <w:tcW w:w="734" w:type="pct"/>
            <w:shd w:val="clear" w:color="auto" w:fill="000000"/>
          </w:tcPr>
          <w:p w:rsidR="00035233" w:rsidRPr="00B10B1D" w:rsidRDefault="00035233" w:rsidP="00035233">
            <w:pPr>
              <w:pStyle w:val="04Tablesubheading"/>
              <w:jc w:val="center"/>
              <w:rPr>
                <w:vertAlign w:val="superscript"/>
              </w:rPr>
            </w:pPr>
          </w:p>
        </w:tc>
        <w:tc>
          <w:tcPr>
            <w:tcW w:w="442" w:type="pct"/>
            <w:shd w:val="clear" w:color="auto" w:fill="000000"/>
          </w:tcPr>
          <w:p w:rsidR="00035233" w:rsidRPr="00194011" w:rsidRDefault="00035233" w:rsidP="00035233">
            <w:pPr>
              <w:pStyle w:val="05Tabletext"/>
              <w:keepNext/>
              <w:jc w:val="center"/>
            </w:pPr>
          </w:p>
        </w:tc>
      </w:tr>
      <w:tr w:rsidR="00035233" w:rsidRPr="00194011" w:rsidTr="00035233">
        <w:trPr>
          <w:cantSplit/>
        </w:trPr>
        <w:tc>
          <w:tcPr>
            <w:tcW w:w="1839" w:type="pct"/>
            <w:shd w:val="clear" w:color="auto" w:fill="auto"/>
          </w:tcPr>
          <w:p w:rsidR="00035233" w:rsidRDefault="00035233" w:rsidP="00035233">
            <w:pPr>
              <w:pStyle w:val="05Tabletext"/>
              <w:keepNext/>
            </w:pPr>
            <w:r>
              <w:t>Patients with event, n (%)</w:t>
            </w:r>
          </w:p>
        </w:tc>
        <w:tc>
          <w:tcPr>
            <w:tcW w:w="956" w:type="pct"/>
            <w:shd w:val="clear" w:color="auto" w:fill="auto"/>
          </w:tcPr>
          <w:p w:rsidR="00035233" w:rsidRPr="00BF47B2" w:rsidRDefault="00035233" w:rsidP="00035233">
            <w:pPr>
              <w:pStyle w:val="04Tablesubheading"/>
              <w:ind w:right="0"/>
              <w:jc w:val="center"/>
              <w:rPr>
                <w:b w:val="0"/>
              </w:rPr>
            </w:pPr>
            <w:r>
              <w:rPr>
                <w:b w:val="0"/>
              </w:rPr>
              <w:t>173 (18.9)</w:t>
            </w:r>
          </w:p>
        </w:tc>
        <w:tc>
          <w:tcPr>
            <w:tcW w:w="1029" w:type="pct"/>
            <w:shd w:val="clear" w:color="auto" w:fill="auto"/>
          </w:tcPr>
          <w:p w:rsidR="00035233" w:rsidRPr="00194011" w:rsidRDefault="00035233" w:rsidP="00035233">
            <w:pPr>
              <w:pStyle w:val="05Tabletext"/>
              <w:jc w:val="center"/>
            </w:pPr>
            <w:r>
              <w:t>172 (18.1)</w:t>
            </w:r>
          </w:p>
        </w:tc>
        <w:tc>
          <w:tcPr>
            <w:tcW w:w="734" w:type="pct"/>
            <w:shd w:val="clear" w:color="auto" w:fill="auto"/>
          </w:tcPr>
          <w:p w:rsidR="00035233" w:rsidRPr="00194011" w:rsidRDefault="00035233" w:rsidP="00035233">
            <w:pPr>
              <w:pStyle w:val="05Tabletext"/>
              <w:keepNext/>
              <w:jc w:val="center"/>
            </w:pPr>
            <w:r>
              <w:t>1.03 (0.84, 1.28)</w:t>
            </w:r>
          </w:p>
        </w:tc>
        <w:tc>
          <w:tcPr>
            <w:tcW w:w="442" w:type="pct"/>
            <w:shd w:val="clear" w:color="auto" w:fill="auto"/>
          </w:tcPr>
          <w:p w:rsidR="00035233" w:rsidRPr="00840C42" w:rsidRDefault="00035233" w:rsidP="00035233">
            <w:pPr>
              <w:pStyle w:val="05Tabletext"/>
              <w:keepNext/>
              <w:jc w:val="center"/>
            </w:pPr>
            <w:r>
              <w:t>0.760</w:t>
            </w:r>
          </w:p>
        </w:tc>
      </w:tr>
      <w:tr w:rsidR="00035233" w:rsidRPr="00194011" w:rsidTr="00035233">
        <w:trPr>
          <w:cantSplit/>
        </w:trPr>
        <w:tc>
          <w:tcPr>
            <w:tcW w:w="1839" w:type="pct"/>
            <w:shd w:val="clear" w:color="auto" w:fill="auto"/>
          </w:tcPr>
          <w:p w:rsidR="00035233" w:rsidRDefault="00035233" w:rsidP="00035233">
            <w:pPr>
              <w:pStyle w:val="05Tabletext"/>
              <w:keepNext/>
            </w:pPr>
            <w:r>
              <w:t>Number of events</w:t>
            </w:r>
          </w:p>
        </w:tc>
        <w:tc>
          <w:tcPr>
            <w:tcW w:w="956" w:type="pct"/>
            <w:shd w:val="clear" w:color="auto" w:fill="auto"/>
          </w:tcPr>
          <w:p w:rsidR="00035233" w:rsidRPr="00BF47B2" w:rsidRDefault="00035233" w:rsidP="00035233">
            <w:pPr>
              <w:pStyle w:val="04Tablesubheading"/>
              <w:ind w:right="0"/>
              <w:jc w:val="center"/>
              <w:rPr>
                <w:b w:val="0"/>
              </w:rPr>
            </w:pPr>
            <w:r>
              <w:rPr>
                <w:b w:val="0"/>
              </w:rPr>
              <w:t>283</w:t>
            </w:r>
          </w:p>
        </w:tc>
        <w:tc>
          <w:tcPr>
            <w:tcW w:w="1029" w:type="pct"/>
            <w:shd w:val="clear" w:color="auto" w:fill="auto"/>
          </w:tcPr>
          <w:p w:rsidR="00035233" w:rsidRPr="00194011" w:rsidRDefault="00035233" w:rsidP="00035233">
            <w:pPr>
              <w:pStyle w:val="05Tabletext"/>
              <w:jc w:val="center"/>
            </w:pPr>
            <w:r>
              <w:t>267</w:t>
            </w:r>
          </w:p>
        </w:tc>
        <w:tc>
          <w:tcPr>
            <w:tcW w:w="734" w:type="pct"/>
            <w:shd w:val="clear" w:color="auto" w:fill="auto"/>
          </w:tcPr>
          <w:p w:rsidR="00035233" w:rsidRPr="00194011" w:rsidRDefault="00035233" w:rsidP="00035233">
            <w:pPr>
              <w:pStyle w:val="05Tabletext"/>
              <w:keepNext/>
              <w:jc w:val="center"/>
            </w:pPr>
            <w:r>
              <w:t>-</w:t>
            </w:r>
          </w:p>
        </w:tc>
        <w:tc>
          <w:tcPr>
            <w:tcW w:w="442" w:type="pct"/>
            <w:shd w:val="clear" w:color="auto" w:fill="auto"/>
          </w:tcPr>
          <w:p w:rsidR="00035233" w:rsidRPr="00840C42" w:rsidRDefault="00035233" w:rsidP="00035233">
            <w:pPr>
              <w:pStyle w:val="05Tabletext"/>
              <w:keepNext/>
              <w:jc w:val="center"/>
            </w:pPr>
            <w:r>
              <w:t>-</w:t>
            </w:r>
          </w:p>
        </w:tc>
      </w:tr>
      <w:tr w:rsidR="00035233" w:rsidRPr="00194011" w:rsidTr="00035233">
        <w:trPr>
          <w:cantSplit/>
        </w:trPr>
        <w:tc>
          <w:tcPr>
            <w:tcW w:w="1839" w:type="pct"/>
            <w:shd w:val="clear" w:color="auto" w:fill="auto"/>
          </w:tcPr>
          <w:p w:rsidR="00035233" w:rsidRDefault="00035233" w:rsidP="00035233">
            <w:pPr>
              <w:pStyle w:val="05Tabletext"/>
              <w:keepNext/>
            </w:pPr>
            <w:r>
              <w:t>Adjusted rate of events per patient-year (95% CI)</w:t>
            </w:r>
          </w:p>
        </w:tc>
        <w:tc>
          <w:tcPr>
            <w:tcW w:w="956" w:type="pct"/>
            <w:shd w:val="clear" w:color="auto" w:fill="auto"/>
          </w:tcPr>
          <w:p w:rsidR="00035233" w:rsidRDefault="00035233" w:rsidP="00035233">
            <w:pPr>
              <w:pStyle w:val="04Tablesubheading"/>
              <w:ind w:right="0"/>
              <w:jc w:val="center"/>
              <w:rPr>
                <w:b w:val="0"/>
              </w:rPr>
            </w:pPr>
            <w:r w:rsidRPr="009A49B1">
              <w:rPr>
                <w:b w:val="0"/>
              </w:rPr>
              <w:t>0.16 (0.13, 0.19)</w:t>
            </w:r>
          </w:p>
        </w:tc>
        <w:tc>
          <w:tcPr>
            <w:tcW w:w="1029" w:type="pct"/>
            <w:shd w:val="clear" w:color="auto" w:fill="auto"/>
          </w:tcPr>
          <w:p w:rsidR="00035233" w:rsidRDefault="00035233" w:rsidP="00035233">
            <w:pPr>
              <w:pStyle w:val="05Tabletext"/>
              <w:jc w:val="center"/>
            </w:pPr>
            <w:r w:rsidRPr="009A49B1">
              <w:t>0.14 (0.12, 0.17)</w:t>
            </w:r>
          </w:p>
        </w:tc>
        <w:tc>
          <w:tcPr>
            <w:tcW w:w="734" w:type="pct"/>
            <w:shd w:val="clear" w:color="auto" w:fill="auto"/>
          </w:tcPr>
          <w:p w:rsidR="00035233" w:rsidRDefault="00035233" w:rsidP="00035233">
            <w:pPr>
              <w:pStyle w:val="05Tabletext"/>
              <w:keepNext/>
              <w:jc w:val="center"/>
            </w:pPr>
            <w:r>
              <w:t>-</w:t>
            </w:r>
          </w:p>
        </w:tc>
        <w:tc>
          <w:tcPr>
            <w:tcW w:w="442" w:type="pct"/>
            <w:shd w:val="clear" w:color="auto" w:fill="auto"/>
          </w:tcPr>
          <w:p w:rsidR="00035233" w:rsidRDefault="00035233" w:rsidP="00035233">
            <w:pPr>
              <w:pStyle w:val="05Tabletext"/>
              <w:keepNext/>
              <w:jc w:val="center"/>
            </w:pPr>
            <w:r>
              <w:t>-</w:t>
            </w:r>
          </w:p>
        </w:tc>
      </w:tr>
    </w:tbl>
    <w:p w:rsidR="00035233" w:rsidRDefault="00035233" w:rsidP="00035233">
      <w:pPr>
        <w:pStyle w:val="10TableorFigurefootnote"/>
      </w:pPr>
      <w:r>
        <w:t>Source: Dahl et al (2015), Table 3.</w:t>
      </w:r>
    </w:p>
    <w:p w:rsidR="00035233" w:rsidRDefault="00035233" w:rsidP="00035233">
      <w:pPr>
        <w:pStyle w:val="10TableorFigurefootnote"/>
      </w:pPr>
      <w:r>
        <w:t>Abbreviations: CI, confidence interval; HR, hazard ratio.</w:t>
      </w:r>
    </w:p>
    <w:p w:rsidR="00035233" w:rsidRDefault="00035233" w:rsidP="00035233">
      <w:pPr>
        <w:pStyle w:val="10TableorFigurefootnote"/>
      </w:pPr>
      <w:r>
        <w:t xml:space="preserve">Note: </w:t>
      </w:r>
      <w:r w:rsidRPr="00A04345">
        <w:t>HRs and 95% CIs for time-to-event end points were calculated using a Cox</w:t>
      </w:r>
      <w:r w:rsidR="00AB35A5">
        <w:t xml:space="preserve"> </w:t>
      </w:r>
      <w:r w:rsidRPr="00A04345">
        <w:t>proportional hazards regression model (with no covariate adjustment).</w:t>
      </w:r>
      <w:r>
        <w:t xml:space="preserve"> </w:t>
      </w:r>
      <w:r w:rsidRPr="001320EB">
        <w:t>Negative binomial regression models were used to co</w:t>
      </w:r>
      <w:r>
        <w:t>mpare annual exacerbation rates.</w:t>
      </w:r>
    </w:p>
    <w:p w:rsidR="00035233" w:rsidRPr="002B2059" w:rsidRDefault="00035233" w:rsidP="00035233">
      <w:pPr>
        <w:pStyle w:val="10TableorFigurefootnote"/>
      </w:pPr>
      <w:proofErr w:type="gramStart"/>
      <w:r>
        <w:rPr>
          <w:b/>
        </w:rPr>
        <w:t>a</w:t>
      </w:r>
      <w:proofErr w:type="gramEnd"/>
      <w:r>
        <w:rPr>
          <w:b/>
        </w:rPr>
        <w:t xml:space="preserve"> </w:t>
      </w:r>
      <w:r>
        <w:t>Includes first day after treatment stop.</w:t>
      </w:r>
    </w:p>
    <w:p w:rsidR="00035233" w:rsidRDefault="00035233" w:rsidP="00035233">
      <w:pPr>
        <w:pStyle w:val="11TableorFigurefootnotenostick"/>
      </w:pPr>
      <w:proofErr w:type="gramStart"/>
      <w:r w:rsidRPr="00FC658A">
        <w:rPr>
          <w:b/>
        </w:rPr>
        <w:t>b</w:t>
      </w:r>
      <w:proofErr w:type="gramEnd"/>
      <w:r>
        <w:t xml:space="preserve"> Defined as the worsening of two or more major respiratory symptoms (dyspnoea, cough, sputum, chest tightness of wheezing) with a duration of at least 3 days and requiring specified treatment changes.</w:t>
      </w:r>
    </w:p>
    <w:p w:rsidR="00035233" w:rsidRDefault="00BF258D" w:rsidP="00BF258D">
      <w:pPr>
        <w:pStyle w:val="ToR3Tableheader"/>
      </w:pPr>
      <w:bookmarkStart w:id="147" w:name="_Toc467782111"/>
      <w:bookmarkStart w:id="148" w:name="_Toc468012299"/>
      <w:bookmarkStart w:id="149" w:name="_Toc468034455"/>
      <w:bookmarkStart w:id="150" w:name="_Toc471891012"/>
      <w:bookmarkStart w:id="151" w:name="_Toc486428199"/>
      <w:r>
        <w:t>Table 3.20</w:t>
      </w:r>
      <w:r w:rsidR="006172D5">
        <w:tab/>
      </w:r>
      <w:r w:rsidR="00035233">
        <w:t xml:space="preserve">Safety outcomes relating to tiotropium Respimat and </w:t>
      </w:r>
      <w:r w:rsidR="00AC3855">
        <w:t>HandiHaler</w:t>
      </w:r>
      <w:bookmarkEnd w:id="147"/>
      <w:bookmarkEnd w:id="148"/>
      <w:bookmarkEnd w:id="149"/>
      <w:bookmarkEnd w:id="150"/>
      <w:bookmarkEnd w:id="1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Caption w:val="Safety outcomes"/>
        <w:tblDescription w:val="Respimat versus Handihaler"/>
      </w:tblPr>
      <w:tblGrid>
        <w:gridCol w:w="2699"/>
        <w:gridCol w:w="3543"/>
        <w:gridCol w:w="3406"/>
      </w:tblGrid>
      <w:tr w:rsidR="00035233" w:rsidRPr="00194011" w:rsidTr="00035233">
        <w:trPr>
          <w:cantSplit/>
          <w:tblHeader/>
        </w:trPr>
        <w:tc>
          <w:tcPr>
            <w:tcW w:w="1399" w:type="pct"/>
            <w:shd w:val="clear" w:color="auto" w:fill="BFBFBF"/>
          </w:tcPr>
          <w:p w:rsidR="00035233" w:rsidRPr="00194011" w:rsidRDefault="00035233" w:rsidP="00035233">
            <w:pPr>
              <w:pStyle w:val="01TableHEADINGleftaligned"/>
              <w:rPr>
                <w:i/>
              </w:rPr>
            </w:pPr>
          </w:p>
        </w:tc>
        <w:tc>
          <w:tcPr>
            <w:tcW w:w="1836" w:type="pct"/>
            <w:tcBorders>
              <w:bottom w:val="single" w:sz="4" w:space="0" w:color="auto"/>
              <w:right w:val="single" w:sz="4" w:space="0" w:color="auto"/>
            </w:tcBorders>
            <w:shd w:val="clear" w:color="auto" w:fill="BFBFBF"/>
          </w:tcPr>
          <w:p w:rsidR="00035233" w:rsidRPr="00194011" w:rsidRDefault="00035233" w:rsidP="00035233">
            <w:pPr>
              <w:pStyle w:val="03TableHEADINGrightaligned"/>
              <w:ind w:right="0"/>
              <w:jc w:val="center"/>
            </w:pPr>
            <w:r>
              <w:t>Respimat (N=917)</w:t>
            </w:r>
          </w:p>
        </w:tc>
        <w:tc>
          <w:tcPr>
            <w:tcW w:w="1765" w:type="pct"/>
            <w:tcBorders>
              <w:left w:val="single" w:sz="4" w:space="0" w:color="auto"/>
              <w:bottom w:val="single" w:sz="4" w:space="0" w:color="auto"/>
            </w:tcBorders>
            <w:shd w:val="clear" w:color="auto" w:fill="BFBFBF"/>
          </w:tcPr>
          <w:p w:rsidR="00035233" w:rsidRPr="00194011" w:rsidRDefault="00AC3855" w:rsidP="00035233">
            <w:pPr>
              <w:pStyle w:val="01TableHEADINGleftaligned"/>
              <w:jc w:val="center"/>
            </w:pPr>
            <w:r>
              <w:t>HandiHaler</w:t>
            </w:r>
            <w:r w:rsidR="00035233">
              <w:t xml:space="preserve"> (N=951)</w:t>
            </w:r>
          </w:p>
        </w:tc>
      </w:tr>
      <w:tr w:rsidR="00035233" w:rsidRPr="00194011" w:rsidTr="00035233">
        <w:trPr>
          <w:cantSplit/>
        </w:trPr>
        <w:tc>
          <w:tcPr>
            <w:tcW w:w="1399" w:type="pct"/>
            <w:shd w:val="clear" w:color="auto" w:fill="auto"/>
          </w:tcPr>
          <w:p w:rsidR="00035233" w:rsidRPr="00194011" w:rsidRDefault="00035233" w:rsidP="00035233">
            <w:pPr>
              <w:pStyle w:val="05Tabletext"/>
            </w:pPr>
            <w:r>
              <w:t>Any AE, n (%)</w:t>
            </w:r>
          </w:p>
        </w:tc>
        <w:tc>
          <w:tcPr>
            <w:tcW w:w="1836" w:type="pct"/>
            <w:shd w:val="clear" w:color="auto" w:fill="auto"/>
          </w:tcPr>
          <w:p w:rsidR="00035233" w:rsidRPr="00194011" w:rsidRDefault="00035233" w:rsidP="00035233">
            <w:pPr>
              <w:pStyle w:val="05Tabletext"/>
              <w:jc w:val="center"/>
            </w:pPr>
            <w:r>
              <w:t>721 (78.6)</w:t>
            </w:r>
          </w:p>
        </w:tc>
        <w:tc>
          <w:tcPr>
            <w:tcW w:w="1765" w:type="pct"/>
            <w:shd w:val="clear" w:color="auto" w:fill="auto"/>
          </w:tcPr>
          <w:p w:rsidR="00035233" w:rsidRPr="00194011" w:rsidRDefault="00035233" w:rsidP="00035233">
            <w:pPr>
              <w:pStyle w:val="05Tabletext"/>
              <w:jc w:val="center"/>
            </w:pPr>
            <w:r>
              <w:t>737 (77.5)</w:t>
            </w:r>
          </w:p>
        </w:tc>
      </w:tr>
      <w:tr w:rsidR="00035233" w:rsidRPr="00194011" w:rsidTr="00035233">
        <w:trPr>
          <w:cantSplit/>
        </w:trPr>
        <w:tc>
          <w:tcPr>
            <w:tcW w:w="1399" w:type="pct"/>
            <w:shd w:val="clear" w:color="auto" w:fill="auto"/>
          </w:tcPr>
          <w:p w:rsidR="00035233" w:rsidRPr="00194011" w:rsidRDefault="00035233" w:rsidP="00035233">
            <w:pPr>
              <w:pStyle w:val="05Tabletext"/>
            </w:pPr>
            <w:r>
              <w:t>Drug-related AE, n (%)</w:t>
            </w:r>
          </w:p>
        </w:tc>
        <w:tc>
          <w:tcPr>
            <w:tcW w:w="1836" w:type="pct"/>
            <w:shd w:val="clear" w:color="auto" w:fill="auto"/>
          </w:tcPr>
          <w:p w:rsidR="00035233" w:rsidRPr="00194011" w:rsidRDefault="00035233" w:rsidP="00035233">
            <w:pPr>
              <w:pStyle w:val="05Tabletext"/>
              <w:jc w:val="center"/>
            </w:pPr>
            <w:r>
              <w:t>66 (7.2)</w:t>
            </w:r>
          </w:p>
        </w:tc>
        <w:tc>
          <w:tcPr>
            <w:tcW w:w="1765" w:type="pct"/>
            <w:shd w:val="clear" w:color="auto" w:fill="auto"/>
          </w:tcPr>
          <w:p w:rsidR="00035233" w:rsidRPr="00194011" w:rsidRDefault="00035233" w:rsidP="00035233">
            <w:pPr>
              <w:pStyle w:val="05Tabletext"/>
              <w:jc w:val="center"/>
            </w:pPr>
            <w:r>
              <w:t>75 (7.9)</w:t>
            </w:r>
          </w:p>
        </w:tc>
      </w:tr>
      <w:tr w:rsidR="00035233" w:rsidRPr="00194011" w:rsidTr="00035233">
        <w:trPr>
          <w:cantSplit/>
        </w:trPr>
        <w:tc>
          <w:tcPr>
            <w:tcW w:w="1399" w:type="pct"/>
            <w:shd w:val="clear" w:color="auto" w:fill="auto"/>
          </w:tcPr>
          <w:p w:rsidR="00035233" w:rsidRPr="00194011" w:rsidRDefault="00035233" w:rsidP="00035233">
            <w:pPr>
              <w:pStyle w:val="05Tabletext"/>
            </w:pPr>
            <w:r>
              <w:t>Serious AE, n (%)</w:t>
            </w:r>
          </w:p>
        </w:tc>
        <w:tc>
          <w:tcPr>
            <w:tcW w:w="1836" w:type="pct"/>
            <w:shd w:val="clear" w:color="auto" w:fill="auto"/>
          </w:tcPr>
          <w:p w:rsidR="00035233" w:rsidRPr="00194011" w:rsidRDefault="00035233" w:rsidP="00035233">
            <w:pPr>
              <w:pStyle w:val="05Tabletext"/>
              <w:jc w:val="center"/>
            </w:pPr>
            <w:r>
              <w:t>399 (43.5)</w:t>
            </w:r>
          </w:p>
        </w:tc>
        <w:tc>
          <w:tcPr>
            <w:tcW w:w="1765" w:type="pct"/>
            <w:shd w:val="clear" w:color="auto" w:fill="auto"/>
          </w:tcPr>
          <w:p w:rsidR="00035233" w:rsidRPr="00194011" w:rsidRDefault="00035233" w:rsidP="00035233">
            <w:pPr>
              <w:pStyle w:val="05Tabletext"/>
              <w:jc w:val="center"/>
            </w:pPr>
            <w:r>
              <w:t>409 (43.0)</w:t>
            </w:r>
          </w:p>
        </w:tc>
      </w:tr>
      <w:tr w:rsidR="00035233" w:rsidRPr="00194011" w:rsidTr="00035233">
        <w:trPr>
          <w:cantSplit/>
        </w:trPr>
        <w:tc>
          <w:tcPr>
            <w:tcW w:w="1399" w:type="pct"/>
            <w:shd w:val="clear" w:color="auto" w:fill="auto"/>
          </w:tcPr>
          <w:p w:rsidR="00035233" w:rsidRPr="00984B76" w:rsidRDefault="00035233" w:rsidP="00035233">
            <w:pPr>
              <w:pStyle w:val="05Tabletext"/>
            </w:pPr>
            <w:r>
              <w:t>Patients with MACE</w:t>
            </w:r>
            <w:r>
              <w:rPr>
                <w:vertAlign w:val="superscript"/>
              </w:rPr>
              <w:t>a</w:t>
            </w:r>
            <w:r>
              <w:t>, n (%)</w:t>
            </w:r>
          </w:p>
        </w:tc>
        <w:tc>
          <w:tcPr>
            <w:tcW w:w="1836" w:type="pct"/>
            <w:shd w:val="clear" w:color="auto" w:fill="auto"/>
          </w:tcPr>
          <w:p w:rsidR="00035233" w:rsidRPr="00194011" w:rsidRDefault="00035233" w:rsidP="00035233">
            <w:pPr>
              <w:pStyle w:val="05Tabletext"/>
              <w:jc w:val="center"/>
            </w:pPr>
            <w:r>
              <w:t>31 (3.4)</w:t>
            </w:r>
          </w:p>
        </w:tc>
        <w:tc>
          <w:tcPr>
            <w:tcW w:w="1765" w:type="pct"/>
            <w:shd w:val="clear" w:color="auto" w:fill="auto"/>
          </w:tcPr>
          <w:p w:rsidR="00035233" w:rsidRPr="00194011" w:rsidRDefault="00035233" w:rsidP="00035233">
            <w:pPr>
              <w:pStyle w:val="05Tabletext"/>
              <w:jc w:val="center"/>
            </w:pPr>
            <w:r>
              <w:t>57 (6.0)</w:t>
            </w:r>
          </w:p>
        </w:tc>
      </w:tr>
    </w:tbl>
    <w:p w:rsidR="00035233" w:rsidRDefault="00035233" w:rsidP="00035233">
      <w:pPr>
        <w:pStyle w:val="10TableorFigurefootnote"/>
      </w:pPr>
      <w:r>
        <w:t>Source: Dahl et al (2015), Table 4.</w:t>
      </w:r>
    </w:p>
    <w:p w:rsidR="00035233" w:rsidRDefault="00035233" w:rsidP="00035233">
      <w:pPr>
        <w:pStyle w:val="10TableorFigurefootnote"/>
      </w:pPr>
      <w:r>
        <w:t>Abbreviations: AE, adverse event; MACE, major adverse cardiovascular event.</w:t>
      </w:r>
    </w:p>
    <w:p w:rsidR="00035233" w:rsidRDefault="00035233" w:rsidP="00035233">
      <w:pPr>
        <w:pStyle w:val="11TableorFigurefootnotenostick"/>
      </w:pPr>
      <w:proofErr w:type="gramStart"/>
      <w:r>
        <w:rPr>
          <w:b/>
        </w:rPr>
        <w:t>a</w:t>
      </w:r>
      <w:proofErr w:type="gramEnd"/>
      <w:r>
        <w:rPr>
          <w:b/>
        </w:rPr>
        <w:t xml:space="preserve"> </w:t>
      </w:r>
      <w:r>
        <w:t>As determined by the investigator.</w:t>
      </w:r>
    </w:p>
    <w:p w:rsidR="00035233" w:rsidRPr="000D2EAF" w:rsidRDefault="00035233" w:rsidP="00035233">
      <w:pPr>
        <w:pStyle w:val="BodyText"/>
      </w:pPr>
      <w:r w:rsidRPr="000D2EAF">
        <w:t xml:space="preserve">Based on their findings, Dahl et al (2015) concluded that it is safe to switch patients from </w:t>
      </w:r>
      <w:r w:rsidR="00AC3855">
        <w:t>HandiHaler</w:t>
      </w:r>
      <w:r w:rsidRPr="000D2EAF">
        <w:t xml:space="preserve"> to Respimat</w:t>
      </w:r>
      <w:r>
        <w:t>, including those with a history of cardiac disorders,</w:t>
      </w:r>
      <w:r w:rsidRPr="000D2EAF">
        <w:t xml:space="preserve"> and that efficac</w:t>
      </w:r>
      <w:r>
        <w:t>y is maintained over the switch.</w:t>
      </w:r>
    </w:p>
    <w:p w:rsidR="00035233" w:rsidRDefault="00035233" w:rsidP="00035233">
      <w:pPr>
        <w:pStyle w:val="BodyText"/>
      </w:pPr>
      <w:r>
        <w:t>Conversely, Wise et al (2015) conducted a post hoc analysis of patients who were naïve to anticholinergic therapy prior to the study (N=6,966). The patients in this subgroup analysis had less severe disease than the total TIOSPIR population and had not received short- or long-acting inhaled anticholinergics during the two months prior to randomisation. Again, this post hoc analysis focused on the aforementioned co-primary endpoints: risk of death from any cause (measured as time to death) and risk of COPD exacerbation (measured as time to first exacerbation).</w:t>
      </w:r>
    </w:p>
    <w:p w:rsidR="00035233" w:rsidRDefault="00035233" w:rsidP="00035233">
      <w:pPr>
        <w:pStyle w:val="BodyText"/>
      </w:pPr>
      <w:r>
        <w:lastRenderedPageBreak/>
        <w:t xml:space="preserve">Patients naïve to anticholinergic treatment at baseline were randomised to tiotropium </w:t>
      </w:r>
      <w:r w:rsidR="00AC3855">
        <w:t>HandiHaler</w:t>
      </w:r>
      <w:r>
        <w:t xml:space="preserve"> 18 μg (n=2,309) or Respimat 5 μg (n=2,312).</w:t>
      </w:r>
      <w:r>
        <w:rPr>
          <w:rStyle w:val="FootnoteReference"/>
        </w:rPr>
        <w:footnoteReference w:id="17"/>
      </w:r>
      <w:r>
        <w:t xml:space="preserve"> Importantly, while all patients in this post hoc analysis were naïve to LAMAs, 50.2% and 51.6% of patients were taking ICS and LABA treatments, respectively, at baseline. </w:t>
      </w:r>
    </w:p>
    <w:p w:rsidR="00035233" w:rsidRDefault="00035233" w:rsidP="006172D5">
      <w:pPr>
        <w:pStyle w:val="BodyText"/>
      </w:pPr>
      <w:r>
        <w:t>Overall</w:t>
      </w:r>
      <w:r w:rsidR="00BF258D">
        <w:t>,</w:t>
      </w:r>
      <w:r>
        <w:t xml:space="preserve"> risk of death and the specific causes of death were similar between the Respimat and </w:t>
      </w:r>
      <w:r w:rsidR="00AC3855">
        <w:t>HandiHaler</w:t>
      </w:r>
      <w:r>
        <w:t xml:space="preserve"> treatment groups, as shown in </w:t>
      </w:r>
      <w:r w:rsidR="006172D5">
        <w:t>Table 3.21</w:t>
      </w:r>
      <w:r>
        <w:t>. The authors also noted that subgroup analyses (including cardiac history at baseline and pulmonary co-medication at baseline) showed no difference between groups; however, these data were not published.</w:t>
      </w:r>
    </w:p>
    <w:p w:rsidR="00035233" w:rsidRDefault="00BF258D" w:rsidP="00BF258D">
      <w:pPr>
        <w:pStyle w:val="ToR3Tableheader"/>
      </w:pPr>
      <w:bookmarkStart w:id="152" w:name="_Toc467782113"/>
      <w:bookmarkStart w:id="153" w:name="_Toc468012301"/>
      <w:bookmarkStart w:id="154" w:name="_Toc468034457"/>
      <w:bookmarkStart w:id="155" w:name="_Toc471891013"/>
      <w:bookmarkStart w:id="156" w:name="_Toc486428200"/>
      <w:r>
        <w:t>Table 3.21</w:t>
      </w:r>
      <w:r w:rsidR="00035233">
        <w:tab/>
        <w:t xml:space="preserve">Incidence of mortality and fatal MACE in anticholinergic-naïve patients treated with tiotropium Respimat versus tiotropium </w:t>
      </w:r>
      <w:r w:rsidR="00AC3855">
        <w:t>HandiHaler</w:t>
      </w:r>
      <w:r w:rsidR="00035233">
        <w:t xml:space="preserve"> in the TIOSPIR study</w:t>
      </w:r>
      <w:bookmarkEnd w:id="152"/>
      <w:bookmarkEnd w:id="153"/>
      <w:bookmarkEnd w:id="154"/>
      <w:bookmarkEnd w:id="155"/>
      <w:bookmarkEnd w:id="15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Caption w:val="Mortality"/>
        <w:tblDescription w:val="Incidence of mortality and fatal MACE in anticholinergic-naïve patients treated with tiotropium Respimat versus tiotropium HandiHaler in the TIOSPIR study"/>
      </w:tblPr>
      <w:tblGrid>
        <w:gridCol w:w="4546"/>
        <w:gridCol w:w="1698"/>
        <w:gridCol w:w="1698"/>
        <w:gridCol w:w="1706"/>
      </w:tblGrid>
      <w:tr w:rsidR="00035233" w:rsidRPr="00F01736" w:rsidTr="00035233">
        <w:trPr>
          <w:cantSplit/>
        </w:trPr>
        <w:tc>
          <w:tcPr>
            <w:tcW w:w="2356" w:type="pct"/>
            <w:tcBorders>
              <w:bottom w:val="single" w:sz="4" w:space="0" w:color="auto"/>
            </w:tcBorders>
            <w:shd w:val="clear" w:color="auto" w:fill="BFBFBF"/>
          </w:tcPr>
          <w:p w:rsidR="00035233" w:rsidRDefault="00035233" w:rsidP="00035233">
            <w:pPr>
              <w:pStyle w:val="01TableHEADINGleftaligned"/>
              <w:ind w:right="0"/>
              <w:jc w:val="center"/>
            </w:pPr>
          </w:p>
        </w:tc>
        <w:tc>
          <w:tcPr>
            <w:tcW w:w="880" w:type="pct"/>
            <w:tcBorders>
              <w:bottom w:val="single" w:sz="4" w:space="0" w:color="auto"/>
              <w:right w:val="single" w:sz="4" w:space="0" w:color="auto"/>
            </w:tcBorders>
            <w:shd w:val="clear" w:color="auto" w:fill="BFBFBF"/>
          </w:tcPr>
          <w:p w:rsidR="00035233" w:rsidRPr="00F01736" w:rsidRDefault="00035233" w:rsidP="00035233">
            <w:pPr>
              <w:pStyle w:val="01TableHEADINGleftaligned"/>
              <w:ind w:right="0"/>
              <w:jc w:val="center"/>
            </w:pPr>
            <w:r>
              <w:t>Respimat (n=2,312)</w:t>
            </w:r>
          </w:p>
        </w:tc>
        <w:tc>
          <w:tcPr>
            <w:tcW w:w="880" w:type="pct"/>
            <w:tcBorders>
              <w:left w:val="single" w:sz="4" w:space="0" w:color="auto"/>
              <w:bottom w:val="single" w:sz="4" w:space="0" w:color="auto"/>
            </w:tcBorders>
            <w:shd w:val="clear" w:color="auto" w:fill="BFBFBF"/>
          </w:tcPr>
          <w:p w:rsidR="00035233" w:rsidRPr="00F01736" w:rsidRDefault="00AC3855" w:rsidP="00035233">
            <w:pPr>
              <w:pStyle w:val="01TableHEADINGleftaligned"/>
              <w:jc w:val="center"/>
            </w:pPr>
            <w:r>
              <w:t>HandiHaler</w:t>
            </w:r>
            <w:r w:rsidR="00035233">
              <w:t xml:space="preserve"> (n=2,309)</w:t>
            </w:r>
          </w:p>
        </w:tc>
        <w:tc>
          <w:tcPr>
            <w:tcW w:w="884" w:type="pct"/>
            <w:tcBorders>
              <w:bottom w:val="single" w:sz="4" w:space="0" w:color="auto"/>
            </w:tcBorders>
            <w:shd w:val="clear" w:color="auto" w:fill="BFBFBF"/>
          </w:tcPr>
          <w:p w:rsidR="00035233" w:rsidRPr="00F01736" w:rsidRDefault="00035233" w:rsidP="00035233">
            <w:pPr>
              <w:pStyle w:val="01TableHEADINGleftaligned"/>
              <w:jc w:val="center"/>
            </w:pPr>
            <w:r>
              <w:t>Rate ratio (95% CI)</w:t>
            </w:r>
          </w:p>
        </w:tc>
      </w:tr>
      <w:tr w:rsidR="00035233" w:rsidRPr="00194011" w:rsidTr="00035233">
        <w:trPr>
          <w:cantSplit/>
        </w:trPr>
        <w:tc>
          <w:tcPr>
            <w:tcW w:w="2356" w:type="pct"/>
            <w:tcBorders>
              <w:bottom w:val="nil"/>
            </w:tcBorders>
            <w:shd w:val="clear" w:color="auto" w:fill="000000"/>
          </w:tcPr>
          <w:p w:rsidR="00035233" w:rsidRDefault="00035233" w:rsidP="00035233">
            <w:pPr>
              <w:pStyle w:val="04Tablesubheading"/>
            </w:pPr>
            <w:r>
              <w:t>Overall</w:t>
            </w:r>
          </w:p>
        </w:tc>
        <w:tc>
          <w:tcPr>
            <w:tcW w:w="880" w:type="pct"/>
            <w:tcBorders>
              <w:bottom w:val="nil"/>
            </w:tcBorders>
            <w:shd w:val="clear" w:color="auto" w:fill="000000"/>
          </w:tcPr>
          <w:p w:rsidR="00035233" w:rsidRDefault="00035233" w:rsidP="00035233">
            <w:pPr>
              <w:pStyle w:val="04Tablesubheading"/>
            </w:pPr>
          </w:p>
        </w:tc>
        <w:tc>
          <w:tcPr>
            <w:tcW w:w="880" w:type="pct"/>
            <w:tcBorders>
              <w:bottom w:val="nil"/>
            </w:tcBorders>
            <w:shd w:val="clear" w:color="auto" w:fill="000000"/>
          </w:tcPr>
          <w:p w:rsidR="00035233" w:rsidRDefault="00035233" w:rsidP="00035233">
            <w:pPr>
              <w:pStyle w:val="04Tablesubheading"/>
            </w:pPr>
          </w:p>
        </w:tc>
        <w:tc>
          <w:tcPr>
            <w:tcW w:w="884" w:type="pct"/>
            <w:tcBorders>
              <w:bottom w:val="nil"/>
            </w:tcBorders>
            <w:shd w:val="clear" w:color="auto" w:fill="000000"/>
          </w:tcPr>
          <w:p w:rsidR="00035233" w:rsidRDefault="00035233" w:rsidP="00035233">
            <w:pPr>
              <w:pStyle w:val="04Tablesubheading"/>
            </w:pPr>
          </w:p>
        </w:tc>
      </w:tr>
      <w:tr w:rsidR="00035233" w:rsidRPr="00194011" w:rsidTr="00035233">
        <w:trPr>
          <w:cantSplit/>
        </w:trPr>
        <w:tc>
          <w:tcPr>
            <w:tcW w:w="2356" w:type="pct"/>
            <w:tcBorders>
              <w:bottom w:val="nil"/>
            </w:tcBorders>
            <w:shd w:val="clear" w:color="auto" w:fill="auto"/>
          </w:tcPr>
          <w:p w:rsidR="00035233" w:rsidRPr="00E23116" w:rsidRDefault="00035233" w:rsidP="00035233">
            <w:pPr>
              <w:pStyle w:val="05Tabletext"/>
              <w:keepNext/>
            </w:pPr>
            <w:r w:rsidRPr="00E23116">
              <w:t>All-cause mortality, n (rate per 100 patient-years)</w:t>
            </w:r>
          </w:p>
        </w:tc>
        <w:tc>
          <w:tcPr>
            <w:tcW w:w="880" w:type="pct"/>
            <w:tcBorders>
              <w:bottom w:val="nil"/>
            </w:tcBorders>
            <w:shd w:val="clear" w:color="auto" w:fill="auto"/>
          </w:tcPr>
          <w:p w:rsidR="00035233" w:rsidRPr="00194011" w:rsidRDefault="00035233" w:rsidP="00035233">
            <w:pPr>
              <w:pStyle w:val="05Tabletext"/>
              <w:keepNext/>
              <w:jc w:val="center"/>
            </w:pPr>
            <w:r>
              <w:t>149 (2.8)</w:t>
            </w:r>
          </w:p>
        </w:tc>
        <w:tc>
          <w:tcPr>
            <w:tcW w:w="880" w:type="pct"/>
            <w:tcBorders>
              <w:bottom w:val="nil"/>
            </w:tcBorders>
            <w:shd w:val="clear" w:color="auto" w:fill="auto"/>
          </w:tcPr>
          <w:p w:rsidR="00035233" w:rsidRPr="00BC7782" w:rsidRDefault="00035233" w:rsidP="00035233">
            <w:pPr>
              <w:pStyle w:val="05Tabletext"/>
              <w:keepNext/>
              <w:jc w:val="center"/>
            </w:pPr>
            <w:r>
              <w:t>159 (3.0)</w:t>
            </w:r>
          </w:p>
        </w:tc>
        <w:tc>
          <w:tcPr>
            <w:tcW w:w="884" w:type="pct"/>
            <w:tcBorders>
              <w:bottom w:val="nil"/>
            </w:tcBorders>
            <w:shd w:val="clear" w:color="auto" w:fill="auto"/>
          </w:tcPr>
          <w:p w:rsidR="00035233" w:rsidRPr="00194011" w:rsidRDefault="00035233" w:rsidP="00035233">
            <w:pPr>
              <w:pStyle w:val="05Tabletext"/>
              <w:keepNext/>
              <w:jc w:val="center"/>
            </w:pPr>
            <w:r>
              <w:t>0.93 (0.75, 1.17)</w:t>
            </w:r>
          </w:p>
        </w:tc>
      </w:tr>
      <w:tr w:rsidR="00035233" w:rsidRPr="00194011" w:rsidTr="00035233">
        <w:trPr>
          <w:cantSplit/>
        </w:trPr>
        <w:tc>
          <w:tcPr>
            <w:tcW w:w="2356" w:type="pct"/>
            <w:tcBorders>
              <w:top w:val="nil"/>
              <w:bottom w:val="nil"/>
            </w:tcBorders>
            <w:shd w:val="clear" w:color="auto" w:fill="auto"/>
          </w:tcPr>
          <w:p w:rsidR="00035233" w:rsidRPr="00E23116" w:rsidRDefault="00035233" w:rsidP="00035233">
            <w:pPr>
              <w:pStyle w:val="05Tabletext"/>
              <w:keepNext/>
              <w:ind w:firstLine="232"/>
            </w:pPr>
            <w:r w:rsidRPr="00E23116">
              <w:t>Cardiac disorders</w:t>
            </w:r>
          </w:p>
        </w:tc>
        <w:tc>
          <w:tcPr>
            <w:tcW w:w="880" w:type="pct"/>
            <w:tcBorders>
              <w:top w:val="nil"/>
              <w:bottom w:val="nil"/>
            </w:tcBorders>
            <w:shd w:val="clear" w:color="auto" w:fill="auto"/>
          </w:tcPr>
          <w:p w:rsidR="00035233" w:rsidRDefault="00035233" w:rsidP="00035233">
            <w:pPr>
              <w:pStyle w:val="05Tabletext"/>
              <w:keepNext/>
              <w:jc w:val="center"/>
            </w:pPr>
            <w:r>
              <w:t>13 (0.2)</w:t>
            </w:r>
          </w:p>
        </w:tc>
        <w:tc>
          <w:tcPr>
            <w:tcW w:w="880" w:type="pct"/>
            <w:tcBorders>
              <w:top w:val="nil"/>
              <w:bottom w:val="nil"/>
            </w:tcBorders>
            <w:shd w:val="clear" w:color="auto" w:fill="auto"/>
          </w:tcPr>
          <w:p w:rsidR="00035233" w:rsidRDefault="00035233" w:rsidP="00035233">
            <w:pPr>
              <w:pStyle w:val="05Tabletext"/>
              <w:keepNext/>
              <w:jc w:val="center"/>
            </w:pPr>
            <w:r>
              <w:t>5 (0.1)</w:t>
            </w:r>
          </w:p>
        </w:tc>
        <w:tc>
          <w:tcPr>
            <w:tcW w:w="884" w:type="pct"/>
            <w:tcBorders>
              <w:top w:val="nil"/>
              <w:bottom w:val="nil"/>
            </w:tcBorders>
            <w:shd w:val="clear" w:color="auto" w:fill="auto"/>
          </w:tcPr>
          <w:p w:rsidR="00035233" w:rsidRDefault="00035233" w:rsidP="00035233">
            <w:pPr>
              <w:pStyle w:val="05Tabletext"/>
              <w:keepNext/>
              <w:jc w:val="center"/>
            </w:pPr>
            <w:r>
              <w:t>2.59 (0.92, 7.27)</w:t>
            </w:r>
          </w:p>
        </w:tc>
      </w:tr>
      <w:tr w:rsidR="00035233" w:rsidRPr="00194011" w:rsidTr="00035233">
        <w:trPr>
          <w:cantSplit/>
        </w:trPr>
        <w:tc>
          <w:tcPr>
            <w:tcW w:w="2356" w:type="pct"/>
            <w:tcBorders>
              <w:top w:val="nil"/>
              <w:bottom w:val="nil"/>
            </w:tcBorders>
            <w:shd w:val="clear" w:color="auto" w:fill="auto"/>
          </w:tcPr>
          <w:p w:rsidR="00035233" w:rsidRPr="00E23116" w:rsidRDefault="00035233" w:rsidP="00035233">
            <w:pPr>
              <w:pStyle w:val="05Tabletext"/>
              <w:keepNext/>
              <w:ind w:firstLine="232"/>
            </w:pPr>
            <w:r w:rsidRPr="00E23116">
              <w:t>Respiratory, thoracic and mediastinal disorders</w:t>
            </w:r>
          </w:p>
        </w:tc>
        <w:tc>
          <w:tcPr>
            <w:tcW w:w="880" w:type="pct"/>
            <w:tcBorders>
              <w:top w:val="nil"/>
              <w:bottom w:val="nil"/>
            </w:tcBorders>
            <w:shd w:val="clear" w:color="auto" w:fill="auto"/>
          </w:tcPr>
          <w:p w:rsidR="00035233" w:rsidRDefault="00035233" w:rsidP="00035233">
            <w:pPr>
              <w:pStyle w:val="05Tabletext"/>
              <w:keepNext/>
              <w:jc w:val="center"/>
            </w:pPr>
            <w:r>
              <w:t>34 (0.6)</w:t>
            </w:r>
          </w:p>
        </w:tc>
        <w:tc>
          <w:tcPr>
            <w:tcW w:w="880" w:type="pct"/>
            <w:tcBorders>
              <w:top w:val="nil"/>
              <w:bottom w:val="nil"/>
            </w:tcBorders>
            <w:shd w:val="clear" w:color="auto" w:fill="auto"/>
          </w:tcPr>
          <w:p w:rsidR="00035233" w:rsidRDefault="00035233" w:rsidP="00035233">
            <w:pPr>
              <w:pStyle w:val="05Tabletext"/>
              <w:keepNext/>
              <w:jc w:val="center"/>
            </w:pPr>
            <w:r>
              <w:t>36 (0.7)</w:t>
            </w:r>
          </w:p>
        </w:tc>
        <w:tc>
          <w:tcPr>
            <w:tcW w:w="884" w:type="pct"/>
            <w:tcBorders>
              <w:top w:val="nil"/>
              <w:bottom w:val="nil"/>
            </w:tcBorders>
            <w:shd w:val="clear" w:color="auto" w:fill="auto"/>
          </w:tcPr>
          <w:p w:rsidR="00035233" w:rsidRDefault="00035233" w:rsidP="00035233">
            <w:pPr>
              <w:pStyle w:val="05Tabletext"/>
              <w:keepNext/>
              <w:jc w:val="center"/>
            </w:pPr>
            <w:r>
              <w:t>0.94 (0.59, 1.50)</w:t>
            </w:r>
          </w:p>
        </w:tc>
      </w:tr>
      <w:tr w:rsidR="00035233" w:rsidRPr="00194011" w:rsidTr="00035233">
        <w:trPr>
          <w:cantSplit/>
          <w:trHeight w:val="52"/>
        </w:trPr>
        <w:tc>
          <w:tcPr>
            <w:tcW w:w="2356" w:type="pct"/>
            <w:tcBorders>
              <w:top w:val="nil"/>
              <w:bottom w:val="single" w:sz="4" w:space="0" w:color="auto"/>
            </w:tcBorders>
            <w:shd w:val="clear" w:color="auto" w:fill="auto"/>
          </w:tcPr>
          <w:p w:rsidR="00035233" w:rsidRPr="00E23116" w:rsidRDefault="00035233" w:rsidP="00035233">
            <w:pPr>
              <w:pStyle w:val="05Tabletext"/>
              <w:keepNext/>
              <w:ind w:firstLine="232"/>
            </w:pPr>
            <w:r w:rsidRPr="00E23116">
              <w:t>Fatal MACE</w:t>
            </w:r>
            <w:r w:rsidRPr="00E23116">
              <w:rPr>
                <w:vertAlign w:val="superscript"/>
              </w:rPr>
              <w:t>a</w:t>
            </w:r>
          </w:p>
        </w:tc>
        <w:tc>
          <w:tcPr>
            <w:tcW w:w="880" w:type="pct"/>
            <w:tcBorders>
              <w:top w:val="nil"/>
              <w:bottom w:val="single" w:sz="4" w:space="0" w:color="auto"/>
            </w:tcBorders>
            <w:shd w:val="clear" w:color="auto" w:fill="auto"/>
          </w:tcPr>
          <w:p w:rsidR="00035233" w:rsidRDefault="00035233" w:rsidP="00035233">
            <w:pPr>
              <w:pStyle w:val="05Tabletext"/>
              <w:keepNext/>
              <w:jc w:val="center"/>
            </w:pPr>
            <w:r>
              <w:t>49 (0.9)</w:t>
            </w:r>
          </w:p>
        </w:tc>
        <w:tc>
          <w:tcPr>
            <w:tcW w:w="880" w:type="pct"/>
            <w:tcBorders>
              <w:top w:val="nil"/>
              <w:bottom w:val="single" w:sz="4" w:space="0" w:color="auto"/>
            </w:tcBorders>
            <w:shd w:val="clear" w:color="auto" w:fill="auto"/>
          </w:tcPr>
          <w:p w:rsidR="00035233" w:rsidRPr="00BC7782" w:rsidRDefault="00035233" w:rsidP="00035233">
            <w:pPr>
              <w:pStyle w:val="05Tabletext"/>
              <w:keepNext/>
              <w:jc w:val="center"/>
            </w:pPr>
            <w:r>
              <w:t>43 (0.8)</w:t>
            </w:r>
          </w:p>
        </w:tc>
        <w:tc>
          <w:tcPr>
            <w:tcW w:w="884" w:type="pct"/>
            <w:tcBorders>
              <w:top w:val="nil"/>
              <w:bottom w:val="single" w:sz="4" w:space="0" w:color="auto"/>
            </w:tcBorders>
            <w:shd w:val="clear" w:color="auto" w:fill="auto"/>
          </w:tcPr>
          <w:p w:rsidR="00035233" w:rsidRPr="00194011" w:rsidRDefault="00035233" w:rsidP="00035233">
            <w:pPr>
              <w:pStyle w:val="05Tabletext"/>
              <w:keepNext/>
              <w:jc w:val="center"/>
            </w:pPr>
            <w:r>
              <w:t>1.14 (0.75, 1.71)</w:t>
            </w:r>
          </w:p>
        </w:tc>
      </w:tr>
    </w:tbl>
    <w:p w:rsidR="00035233" w:rsidRDefault="00035233" w:rsidP="00035233">
      <w:pPr>
        <w:pStyle w:val="10TableorFigurefootnote"/>
      </w:pPr>
      <w:r>
        <w:t>Source: Wise et al (2015), Table 2.</w:t>
      </w:r>
    </w:p>
    <w:p w:rsidR="00035233" w:rsidRDefault="00035233" w:rsidP="00035233">
      <w:pPr>
        <w:pStyle w:val="10TableorFigurefootnote"/>
      </w:pPr>
      <w:r>
        <w:t>Abbreviations: CI, confidence interval; MACE, major adverse cardiovascular event.</w:t>
      </w:r>
    </w:p>
    <w:p w:rsidR="00035233" w:rsidRDefault="00035233" w:rsidP="00035233">
      <w:pPr>
        <w:pStyle w:val="11TableorFigurefootnotenostick"/>
      </w:pPr>
      <w:proofErr w:type="gramStart"/>
      <w:r>
        <w:rPr>
          <w:b/>
        </w:rPr>
        <w:t>a</w:t>
      </w:r>
      <w:proofErr w:type="gramEnd"/>
      <w:r>
        <w:t xml:space="preserve"> </w:t>
      </w:r>
      <w:r w:rsidRPr="00BE18DC">
        <w:t>Stroke, transient ischaemic attack, myocardial infarction, sudden death, cardiac death, sudden cardiac death or fatal event in the system organ classes for cardiac and vascular disorders.</w:t>
      </w:r>
    </w:p>
    <w:p w:rsidR="00035233" w:rsidRPr="009E6A58" w:rsidRDefault="00035233" w:rsidP="00035233">
      <w:pPr>
        <w:pStyle w:val="BodyText"/>
      </w:pPr>
      <w:r>
        <w:t xml:space="preserve">There were no significant differences between Respimat and </w:t>
      </w:r>
      <w:r w:rsidR="00AC3855">
        <w:t>HandiHaler</w:t>
      </w:r>
      <w:r>
        <w:t xml:space="preserve"> with respect to the risk of exacerbations. Exacerbation rates were similar between the treatment arms across the spectrum of exacerbation severities (any, moderate-to-severe or severe) as shown in </w:t>
      </w:r>
      <w:r w:rsidR="006172D5">
        <w:t>Table 3.22</w:t>
      </w:r>
      <w:r>
        <w:t xml:space="preserve">. A subgroup analysis of less severe patients, classified as GOLD Stage II, also demonstrated comparable efficacy results for Respimat and </w:t>
      </w:r>
      <w:r w:rsidR="00AC3855">
        <w:t>HandiHaler</w:t>
      </w:r>
      <w:r>
        <w:t xml:space="preserve"> (data not presented).</w:t>
      </w:r>
    </w:p>
    <w:p w:rsidR="00035233" w:rsidRDefault="0014196D" w:rsidP="00BF258D">
      <w:pPr>
        <w:pStyle w:val="ToR3Tableheader"/>
      </w:pPr>
      <w:bookmarkStart w:id="157" w:name="_Toc467782114"/>
      <w:bookmarkStart w:id="158" w:name="_Toc468012302"/>
      <w:bookmarkStart w:id="159" w:name="_Toc468034458"/>
      <w:bookmarkStart w:id="160" w:name="_Toc471891014"/>
      <w:bookmarkStart w:id="161" w:name="_Toc486428201"/>
      <w:r>
        <w:lastRenderedPageBreak/>
        <w:t>Table 3.22</w:t>
      </w:r>
      <w:r w:rsidR="006172D5">
        <w:tab/>
      </w:r>
      <w:r w:rsidR="00035233">
        <w:t xml:space="preserve">Risk of exacerbation in anticholinergic naïve patients – Respimat vs </w:t>
      </w:r>
      <w:r w:rsidR="00AC3855">
        <w:t>HandiHaler</w:t>
      </w:r>
      <w:bookmarkEnd w:id="157"/>
      <w:bookmarkEnd w:id="158"/>
      <w:bookmarkEnd w:id="159"/>
      <w:bookmarkEnd w:id="160"/>
      <w:bookmarkEnd w:id="1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Caption w:val="Risk of exacerbation in anticholinergic naïve patients "/>
        <w:tblDescription w:val="Respimat versus HandiHaler"/>
      </w:tblPr>
      <w:tblGrid>
        <w:gridCol w:w="3548"/>
        <w:gridCol w:w="1845"/>
        <w:gridCol w:w="1986"/>
        <w:gridCol w:w="1416"/>
        <w:gridCol w:w="853"/>
      </w:tblGrid>
      <w:tr w:rsidR="00035233" w:rsidRPr="00F01736" w:rsidTr="00035233">
        <w:trPr>
          <w:cantSplit/>
        </w:trPr>
        <w:tc>
          <w:tcPr>
            <w:tcW w:w="1839" w:type="pct"/>
            <w:shd w:val="clear" w:color="auto" w:fill="BFBFBF"/>
          </w:tcPr>
          <w:p w:rsidR="00035233" w:rsidRPr="00F01736" w:rsidRDefault="00035233" w:rsidP="00035233">
            <w:pPr>
              <w:pStyle w:val="01TableHEADINGleftaligned"/>
            </w:pPr>
          </w:p>
        </w:tc>
        <w:tc>
          <w:tcPr>
            <w:tcW w:w="956" w:type="pct"/>
            <w:tcBorders>
              <w:right w:val="single" w:sz="4" w:space="0" w:color="auto"/>
            </w:tcBorders>
            <w:shd w:val="clear" w:color="auto" w:fill="BFBFBF"/>
          </w:tcPr>
          <w:p w:rsidR="00035233" w:rsidRPr="00F01736" w:rsidRDefault="00035233" w:rsidP="00035233">
            <w:pPr>
              <w:pStyle w:val="01TableHEADINGleftaligned"/>
              <w:jc w:val="center"/>
            </w:pPr>
            <w:r>
              <w:t>Respimat (n=2,309)</w:t>
            </w:r>
          </w:p>
        </w:tc>
        <w:tc>
          <w:tcPr>
            <w:tcW w:w="1029" w:type="pct"/>
            <w:tcBorders>
              <w:left w:val="single" w:sz="4" w:space="0" w:color="auto"/>
            </w:tcBorders>
            <w:shd w:val="clear" w:color="auto" w:fill="BFBFBF"/>
          </w:tcPr>
          <w:p w:rsidR="00035233" w:rsidRPr="00F01736" w:rsidRDefault="00AC3855" w:rsidP="00035233">
            <w:pPr>
              <w:pStyle w:val="01TableHEADINGleftaligned"/>
              <w:jc w:val="center"/>
            </w:pPr>
            <w:r>
              <w:t>HandiHaler</w:t>
            </w:r>
            <w:r w:rsidR="00035233">
              <w:t xml:space="preserve"> (n=2,307)</w:t>
            </w:r>
          </w:p>
        </w:tc>
        <w:tc>
          <w:tcPr>
            <w:tcW w:w="734" w:type="pct"/>
            <w:shd w:val="clear" w:color="auto" w:fill="BFBFBF"/>
          </w:tcPr>
          <w:p w:rsidR="00035233" w:rsidRPr="00F01736" w:rsidRDefault="00035233" w:rsidP="00035233">
            <w:pPr>
              <w:pStyle w:val="01TableHEADINGleftaligned"/>
              <w:jc w:val="center"/>
            </w:pPr>
            <w:r>
              <w:t>HR (95% CI)</w:t>
            </w:r>
          </w:p>
        </w:tc>
        <w:tc>
          <w:tcPr>
            <w:tcW w:w="442" w:type="pct"/>
            <w:shd w:val="clear" w:color="auto" w:fill="BFBFBF"/>
          </w:tcPr>
          <w:p w:rsidR="00035233" w:rsidRPr="00F01736" w:rsidRDefault="00035233" w:rsidP="00035233">
            <w:pPr>
              <w:pStyle w:val="01TableHEADINGleftaligned"/>
              <w:jc w:val="center"/>
            </w:pPr>
            <w:r>
              <w:t>p-value</w:t>
            </w:r>
          </w:p>
        </w:tc>
      </w:tr>
      <w:tr w:rsidR="00035233" w:rsidRPr="00194011" w:rsidTr="00035233">
        <w:trPr>
          <w:cantSplit/>
        </w:trPr>
        <w:tc>
          <w:tcPr>
            <w:tcW w:w="1839" w:type="pct"/>
            <w:shd w:val="clear" w:color="auto" w:fill="000000"/>
          </w:tcPr>
          <w:p w:rsidR="00035233" w:rsidRPr="00A04345" w:rsidRDefault="00035233" w:rsidP="00035233">
            <w:pPr>
              <w:pStyle w:val="04Tablesubheading"/>
              <w:rPr>
                <w:vertAlign w:val="superscript"/>
              </w:rPr>
            </w:pPr>
            <w:r>
              <w:t>Any exacerbation; all patients</w:t>
            </w:r>
          </w:p>
        </w:tc>
        <w:tc>
          <w:tcPr>
            <w:tcW w:w="956" w:type="pct"/>
            <w:shd w:val="clear" w:color="auto" w:fill="000000"/>
          </w:tcPr>
          <w:p w:rsidR="00035233" w:rsidRPr="00BF47B2" w:rsidRDefault="00035233" w:rsidP="00035233">
            <w:pPr>
              <w:pStyle w:val="04Tablesubheading"/>
              <w:ind w:right="0"/>
              <w:jc w:val="right"/>
            </w:pPr>
          </w:p>
        </w:tc>
        <w:tc>
          <w:tcPr>
            <w:tcW w:w="1029" w:type="pct"/>
            <w:shd w:val="clear" w:color="auto" w:fill="000000"/>
          </w:tcPr>
          <w:p w:rsidR="00035233" w:rsidRPr="00BF47B2" w:rsidRDefault="00035233" w:rsidP="00035233">
            <w:pPr>
              <w:pStyle w:val="04Tablesubheading"/>
              <w:ind w:right="0"/>
            </w:pPr>
          </w:p>
        </w:tc>
        <w:tc>
          <w:tcPr>
            <w:tcW w:w="734" w:type="pct"/>
            <w:shd w:val="clear" w:color="auto" w:fill="000000"/>
          </w:tcPr>
          <w:p w:rsidR="00035233" w:rsidRPr="00B10B1D" w:rsidRDefault="00035233" w:rsidP="00035233">
            <w:pPr>
              <w:pStyle w:val="04Tablesubheading"/>
              <w:jc w:val="center"/>
              <w:rPr>
                <w:vertAlign w:val="superscript"/>
              </w:rPr>
            </w:pPr>
          </w:p>
        </w:tc>
        <w:tc>
          <w:tcPr>
            <w:tcW w:w="442" w:type="pct"/>
            <w:shd w:val="clear" w:color="auto" w:fill="000000"/>
          </w:tcPr>
          <w:p w:rsidR="00035233" w:rsidRPr="00194011" w:rsidRDefault="00035233" w:rsidP="00035233">
            <w:pPr>
              <w:pStyle w:val="05Tabletext"/>
              <w:keepNext/>
              <w:jc w:val="center"/>
            </w:pPr>
          </w:p>
        </w:tc>
      </w:tr>
      <w:tr w:rsidR="00035233" w:rsidRPr="00194011" w:rsidTr="00035233">
        <w:trPr>
          <w:cantSplit/>
        </w:trPr>
        <w:tc>
          <w:tcPr>
            <w:tcW w:w="1839" w:type="pct"/>
            <w:shd w:val="clear" w:color="auto" w:fill="auto"/>
          </w:tcPr>
          <w:p w:rsidR="00035233" w:rsidRDefault="00035233" w:rsidP="00035233">
            <w:pPr>
              <w:pStyle w:val="05Tabletext"/>
              <w:keepNext/>
            </w:pPr>
            <w:r>
              <w:t>Patients with event, n (%)</w:t>
            </w:r>
          </w:p>
        </w:tc>
        <w:tc>
          <w:tcPr>
            <w:tcW w:w="956" w:type="pct"/>
            <w:shd w:val="clear" w:color="auto" w:fill="auto"/>
          </w:tcPr>
          <w:p w:rsidR="00035233" w:rsidRDefault="00035233" w:rsidP="00035233">
            <w:pPr>
              <w:pStyle w:val="05Tabletext"/>
              <w:keepNext/>
              <w:jc w:val="center"/>
            </w:pPr>
            <w:r>
              <w:t>923 (40.0)</w:t>
            </w:r>
          </w:p>
        </w:tc>
        <w:tc>
          <w:tcPr>
            <w:tcW w:w="1029" w:type="pct"/>
            <w:shd w:val="clear" w:color="auto" w:fill="auto"/>
          </w:tcPr>
          <w:p w:rsidR="00035233" w:rsidRPr="00BC7782" w:rsidRDefault="00035233" w:rsidP="00035233">
            <w:pPr>
              <w:pStyle w:val="05Tabletext"/>
              <w:keepNext/>
              <w:jc w:val="center"/>
            </w:pPr>
            <w:r>
              <w:t>948 (41.1)</w:t>
            </w:r>
          </w:p>
        </w:tc>
        <w:tc>
          <w:tcPr>
            <w:tcW w:w="734" w:type="pct"/>
            <w:shd w:val="clear" w:color="auto" w:fill="auto"/>
          </w:tcPr>
          <w:p w:rsidR="00035233" w:rsidRPr="005D7BED" w:rsidRDefault="00035233" w:rsidP="00035233">
            <w:pPr>
              <w:pStyle w:val="05Tabletext"/>
              <w:keepNext/>
              <w:jc w:val="center"/>
            </w:pPr>
            <w:r>
              <w:t>0.99 (0.90, 1.08)</w:t>
            </w:r>
          </w:p>
        </w:tc>
        <w:tc>
          <w:tcPr>
            <w:tcW w:w="442" w:type="pct"/>
            <w:shd w:val="clear" w:color="auto" w:fill="auto"/>
          </w:tcPr>
          <w:p w:rsidR="00035233" w:rsidRPr="00194011" w:rsidRDefault="00035233" w:rsidP="00035233">
            <w:pPr>
              <w:pStyle w:val="05Tabletext"/>
              <w:keepNext/>
              <w:jc w:val="center"/>
            </w:pPr>
            <w:r>
              <w:t>0.829</w:t>
            </w:r>
          </w:p>
        </w:tc>
      </w:tr>
      <w:tr w:rsidR="00035233" w:rsidRPr="00194011" w:rsidTr="00035233">
        <w:trPr>
          <w:cantSplit/>
        </w:trPr>
        <w:tc>
          <w:tcPr>
            <w:tcW w:w="1839" w:type="pct"/>
            <w:shd w:val="clear" w:color="auto" w:fill="auto"/>
          </w:tcPr>
          <w:p w:rsidR="00035233" w:rsidRDefault="00035233" w:rsidP="00035233">
            <w:pPr>
              <w:pStyle w:val="05Tabletext"/>
              <w:keepNext/>
            </w:pPr>
            <w:r>
              <w:t>Number of events</w:t>
            </w:r>
          </w:p>
        </w:tc>
        <w:tc>
          <w:tcPr>
            <w:tcW w:w="956" w:type="pct"/>
            <w:shd w:val="clear" w:color="auto" w:fill="auto"/>
          </w:tcPr>
          <w:p w:rsidR="00035233" w:rsidRDefault="00035233" w:rsidP="00035233">
            <w:pPr>
              <w:pStyle w:val="05Tabletext"/>
              <w:keepNext/>
              <w:jc w:val="center"/>
            </w:pPr>
            <w:r>
              <w:t>2,022</w:t>
            </w:r>
          </w:p>
        </w:tc>
        <w:tc>
          <w:tcPr>
            <w:tcW w:w="1029" w:type="pct"/>
            <w:shd w:val="clear" w:color="auto" w:fill="auto"/>
          </w:tcPr>
          <w:p w:rsidR="00035233" w:rsidRPr="00BC7782" w:rsidRDefault="00035233" w:rsidP="00035233">
            <w:pPr>
              <w:pStyle w:val="05Tabletext"/>
              <w:keepNext/>
              <w:jc w:val="center"/>
            </w:pPr>
            <w:r>
              <w:t>1,955</w:t>
            </w:r>
          </w:p>
        </w:tc>
        <w:tc>
          <w:tcPr>
            <w:tcW w:w="734" w:type="pct"/>
            <w:shd w:val="clear" w:color="auto" w:fill="auto"/>
          </w:tcPr>
          <w:p w:rsidR="00035233" w:rsidRPr="008946CC" w:rsidRDefault="00035233" w:rsidP="00035233">
            <w:pPr>
              <w:pStyle w:val="05Tabletext"/>
              <w:keepNext/>
              <w:jc w:val="center"/>
            </w:pPr>
            <w:r>
              <w:t>-</w:t>
            </w:r>
          </w:p>
        </w:tc>
        <w:tc>
          <w:tcPr>
            <w:tcW w:w="442" w:type="pct"/>
            <w:shd w:val="clear" w:color="auto" w:fill="auto"/>
          </w:tcPr>
          <w:p w:rsidR="00035233" w:rsidRPr="00194011" w:rsidRDefault="00035233" w:rsidP="00035233">
            <w:pPr>
              <w:pStyle w:val="05Tabletext"/>
              <w:keepNext/>
              <w:jc w:val="center"/>
            </w:pPr>
            <w:r>
              <w:t>-</w:t>
            </w:r>
          </w:p>
        </w:tc>
      </w:tr>
      <w:tr w:rsidR="00035233" w:rsidRPr="00194011" w:rsidTr="00035233">
        <w:trPr>
          <w:cantSplit/>
        </w:trPr>
        <w:tc>
          <w:tcPr>
            <w:tcW w:w="1839" w:type="pct"/>
            <w:shd w:val="clear" w:color="auto" w:fill="auto"/>
          </w:tcPr>
          <w:p w:rsidR="00035233" w:rsidRDefault="00035233" w:rsidP="00035233">
            <w:pPr>
              <w:pStyle w:val="05Tabletext"/>
              <w:keepNext/>
            </w:pPr>
            <w:r>
              <w:t>Adjusted rate of events per patient-year (95% CI)</w:t>
            </w:r>
          </w:p>
        </w:tc>
        <w:tc>
          <w:tcPr>
            <w:tcW w:w="956" w:type="pct"/>
            <w:shd w:val="clear" w:color="auto" w:fill="auto"/>
          </w:tcPr>
          <w:p w:rsidR="00035233" w:rsidRDefault="00035233" w:rsidP="00035233">
            <w:pPr>
              <w:pStyle w:val="05Tabletext"/>
              <w:keepNext/>
              <w:jc w:val="center"/>
            </w:pPr>
            <w:r>
              <w:t>0.45 (0.42, 0.48)</w:t>
            </w:r>
          </w:p>
        </w:tc>
        <w:tc>
          <w:tcPr>
            <w:tcW w:w="1029" w:type="pct"/>
            <w:shd w:val="clear" w:color="auto" w:fill="auto"/>
          </w:tcPr>
          <w:p w:rsidR="00035233" w:rsidRDefault="00035233" w:rsidP="00035233">
            <w:pPr>
              <w:pStyle w:val="05Tabletext"/>
              <w:keepNext/>
              <w:jc w:val="center"/>
            </w:pPr>
            <w:r>
              <w:t>0.44 (0.41, 0.47)</w:t>
            </w:r>
          </w:p>
        </w:tc>
        <w:tc>
          <w:tcPr>
            <w:tcW w:w="734" w:type="pct"/>
            <w:shd w:val="clear" w:color="auto" w:fill="auto"/>
          </w:tcPr>
          <w:p w:rsidR="00035233" w:rsidRDefault="00035233" w:rsidP="00035233">
            <w:pPr>
              <w:pStyle w:val="05Tabletext"/>
              <w:keepNext/>
              <w:jc w:val="center"/>
            </w:pPr>
            <w:r>
              <w:t>-</w:t>
            </w:r>
          </w:p>
        </w:tc>
        <w:tc>
          <w:tcPr>
            <w:tcW w:w="442" w:type="pct"/>
            <w:shd w:val="clear" w:color="auto" w:fill="auto"/>
          </w:tcPr>
          <w:p w:rsidR="00035233" w:rsidRDefault="00035233" w:rsidP="00035233">
            <w:pPr>
              <w:pStyle w:val="05Tabletext"/>
              <w:keepNext/>
              <w:jc w:val="center"/>
            </w:pPr>
            <w:r>
              <w:t>-</w:t>
            </w:r>
          </w:p>
        </w:tc>
      </w:tr>
      <w:tr w:rsidR="00035233" w:rsidRPr="00194011" w:rsidTr="00035233">
        <w:trPr>
          <w:cantSplit/>
        </w:trPr>
        <w:tc>
          <w:tcPr>
            <w:tcW w:w="1839" w:type="pct"/>
            <w:shd w:val="clear" w:color="auto" w:fill="000000"/>
          </w:tcPr>
          <w:p w:rsidR="00035233" w:rsidRDefault="00035233" w:rsidP="00035233">
            <w:pPr>
              <w:pStyle w:val="04Tablesubheading"/>
            </w:pPr>
            <w:r>
              <w:t>Moderate-to-severe exacerbations; all patients</w:t>
            </w:r>
          </w:p>
        </w:tc>
        <w:tc>
          <w:tcPr>
            <w:tcW w:w="956" w:type="pct"/>
            <w:shd w:val="clear" w:color="auto" w:fill="000000"/>
          </w:tcPr>
          <w:p w:rsidR="00035233" w:rsidRDefault="00035233" w:rsidP="00035233">
            <w:pPr>
              <w:pStyle w:val="04Tablesubheading"/>
            </w:pPr>
          </w:p>
        </w:tc>
        <w:tc>
          <w:tcPr>
            <w:tcW w:w="1029" w:type="pct"/>
            <w:shd w:val="clear" w:color="auto" w:fill="000000"/>
          </w:tcPr>
          <w:p w:rsidR="00035233" w:rsidRDefault="00035233" w:rsidP="00035233">
            <w:pPr>
              <w:pStyle w:val="04Tablesubheading"/>
            </w:pPr>
          </w:p>
        </w:tc>
        <w:tc>
          <w:tcPr>
            <w:tcW w:w="734" w:type="pct"/>
            <w:shd w:val="clear" w:color="auto" w:fill="000000"/>
          </w:tcPr>
          <w:p w:rsidR="00035233" w:rsidRDefault="00035233" w:rsidP="00035233">
            <w:pPr>
              <w:pStyle w:val="04Tablesubheading"/>
            </w:pPr>
          </w:p>
        </w:tc>
        <w:tc>
          <w:tcPr>
            <w:tcW w:w="442" w:type="pct"/>
            <w:shd w:val="clear" w:color="auto" w:fill="000000"/>
          </w:tcPr>
          <w:p w:rsidR="00035233" w:rsidRDefault="00035233" w:rsidP="00035233">
            <w:pPr>
              <w:pStyle w:val="04Tablesubheading"/>
            </w:pPr>
          </w:p>
        </w:tc>
      </w:tr>
      <w:tr w:rsidR="00035233" w:rsidRPr="00194011" w:rsidTr="00035233">
        <w:trPr>
          <w:cantSplit/>
        </w:trPr>
        <w:tc>
          <w:tcPr>
            <w:tcW w:w="1839" w:type="pct"/>
            <w:shd w:val="clear" w:color="auto" w:fill="auto"/>
          </w:tcPr>
          <w:p w:rsidR="00035233" w:rsidRDefault="00035233" w:rsidP="00035233">
            <w:pPr>
              <w:pStyle w:val="05Tabletext"/>
              <w:keepNext/>
            </w:pPr>
            <w:r>
              <w:t>Patients with event, n (%)</w:t>
            </w:r>
          </w:p>
        </w:tc>
        <w:tc>
          <w:tcPr>
            <w:tcW w:w="956" w:type="pct"/>
            <w:shd w:val="clear" w:color="auto" w:fill="auto"/>
          </w:tcPr>
          <w:p w:rsidR="00035233" w:rsidRDefault="00035233" w:rsidP="00035233">
            <w:pPr>
              <w:pStyle w:val="05Tabletext"/>
              <w:keepNext/>
              <w:jc w:val="center"/>
            </w:pPr>
            <w:r>
              <w:t>902 (39.1)</w:t>
            </w:r>
          </w:p>
        </w:tc>
        <w:tc>
          <w:tcPr>
            <w:tcW w:w="1029" w:type="pct"/>
            <w:shd w:val="clear" w:color="auto" w:fill="auto"/>
          </w:tcPr>
          <w:p w:rsidR="00035233" w:rsidRDefault="00035233" w:rsidP="00035233">
            <w:pPr>
              <w:pStyle w:val="05Tabletext"/>
              <w:keepNext/>
              <w:jc w:val="center"/>
            </w:pPr>
            <w:r>
              <w:t>926 (40.1)</w:t>
            </w:r>
          </w:p>
        </w:tc>
        <w:tc>
          <w:tcPr>
            <w:tcW w:w="734" w:type="pct"/>
            <w:shd w:val="clear" w:color="auto" w:fill="auto"/>
          </w:tcPr>
          <w:p w:rsidR="00035233" w:rsidRDefault="00035233" w:rsidP="00035233">
            <w:pPr>
              <w:pStyle w:val="05Tabletext"/>
              <w:keepNext/>
              <w:jc w:val="center"/>
            </w:pPr>
            <w:r>
              <w:t>0.99 (0.90, 1.09)</w:t>
            </w:r>
          </w:p>
        </w:tc>
        <w:tc>
          <w:tcPr>
            <w:tcW w:w="442" w:type="pct"/>
            <w:shd w:val="clear" w:color="auto" w:fill="auto"/>
          </w:tcPr>
          <w:p w:rsidR="00035233" w:rsidRDefault="00035233" w:rsidP="00035233">
            <w:pPr>
              <w:pStyle w:val="05Tabletext"/>
              <w:keepNext/>
              <w:jc w:val="center"/>
            </w:pPr>
            <w:r>
              <w:t>0.840</w:t>
            </w:r>
          </w:p>
        </w:tc>
      </w:tr>
      <w:tr w:rsidR="00035233" w:rsidRPr="00194011" w:rsidTr="00035233">
        <w:trPr>
          <w:cantSplit/>
        </w:trPr>
        <w:tc>
          <w:tcPr>
            <w:tcW w:w="1839" w:type="pct"/>
            <w:shd w:val="clear" w:color="auto" w:fill="auto"/>
          </w:tcPr>
          <w:p w:rsidR="00035233" w:rsidRDefault="00035233" w:rsidP="00035233">
            <w:pPr>
              <w:pStyle w:val="05Tabletext"/>
              <w:keepNext/>
            </w:pPr>
            <w:r>
              <w:t>Number of events</w:t>
            </w:r>
          </w:p>
        </w:tc>
        <w:tc>
          <w:tcPr>
            <w:tcW w:w="956" w:type="pct"/>
            <w:shd w:val="clear" w:color="auto" w:fill="auto"/>
          </w:tcPr>
          <w:p w:rsidR="00035233" w:rsidRDefault="00035233" w:rsidP="00035233">
            <w:pPr>
              <w:pStyle w:val="05Tabletext"/>
              <w:keepNext/>
              <w:jc w:val="center"/>
            </w:pPr>
            <w:r>
              <w:t>1,956</w:t>
            </w:r>
          </w:p>
        </w:tc>
        <w:tc>
          <w:tcPr>
            <w:tcW w:w="1029" w:type="pct"/>
            <w:shd w:val="clear" w:color="auto" w:fill="auto"/>
          </w:tcPr>
          <w:p w:rsidR="00035233" w:rsidRDefault="00035233" w:rsidP="00035233">
            <w:pPr>
              <w:pStyle w:val="05Tabletext"/>
              <w:keepNext/>
              <w:jc w:val="center"/>
            </w:pPr>
            <w:r>
              <w:t>1,902</w:t>
            </w:r>
          </w:p>
        </w:tc>
        <w:tc>
          <w:tcPr>
            <w:tcW w:w="734" w:type="pct"/>
            <w:shd w:val="clear" w:color="auto" w:fill="auto"/>
          </w:tcPr>
          <w:p w:rsidR="00035233" w:rsidRDefault="00035233" w:rsidP="00035233">
            <w:pPr>
              <w:pStyle w:val="05Tabletext"/>
              <w:keepNext/>
              <w:jc w:val="center"/>
            </w:pPr>
            <w:r>
              <w:t>-</w:t>
            </w:r>
          </w:p>
        </w:tc>
        <w:tc>
          <w:tcPr>
            <w:tcW w:w="442" w:type="pct"/>
            <w:shd w:val="clear" w:color="auto" w:fill="auto"/>
          </w:tcPr>
          <w:p w:rsidR="00035233" w:rsidRDefault="00035233" w:rsidP="00035233">
            <w:pPr>
              <w:pStyle w:val="05Tabletext"/>
              <w:keepNext/>
              <w:jc w:val="center"/>
            </w:pPr>
            <w:r>
              <w:t>-</w:t>
            </w:r>
          </w:p>
        </w:tc>
      </w:tr>
      <w:tr w:rsidR="00035233" w:rsidRPr="00194011" w:rsidTr="00035233">
        <w:trPr>
          <w:cantSplit/>
        </w:trPr>
        <w:tc>
          <w:tcPr>
            <w:tcW w:w="1839" w:type="pct"/>
            <w:shd w:val="clear" w:color="auto" w:fill="auto"/>
          </w:tcPr>
          <w:p w:rsidR="00035233" w:rsidRDefault="00035233" w:rsidP="00035233">
            <w:pPr>
              <w:pStyle w:val="05Tabletext"/>
              <w:keepNext/>
            </w:pPr>
            <w:r>
              <w:t>Adjusted rate of events per patient-year (95% CI)</w:t>
            </w:r>
          </w:p>
        </w:tc>
        <w:tc>
          <w:tcPr>
            <w:tcW w:w="956" w:type="pct"/>
            <w:shd w:val="clear" w:color="auto" w:fill="auto"/>
          </w:tcPr>
          <w:p w:rsidR="00035233" w:rsidRDefault="00035233" w:rsidP="00035233">
            <w:pPr>
              <w:pStyle w:val="05Tabletext"/>
              <w:keepNext/>
              <w:jc w:val="center"/>
            </w:pPr>
            <w:r>
              <w:t>0.44 (0.41, 0.47)</w:t>
            </w:r>
          </w:p>
        </w:tc>
        <w:tc>
          <w:tcPr>
            <w:tcW w:w="1029" w:type="pct"/>
            <w:shd w:val="clear" w:color="auto" w:fill="auto"/>
          </w:tcPr>
          <w:p w:rsidR="00035233" w:rsidRDefault="00035233" w:rsidP="00035233">
            <w:pPr>
              <w:pStyle w:val="05Tabletext"/>
              <w:keepNext/>
              <w:jc w:val="center"/>
            </w:pPr>
            <w:r>
              <w:t>0.43 (0.40, 0.46)</w:t>
            </w:r>
          </w:p>
        </w:tc>
        <w:tc>
          <w:tcPr>
            <w:tcW w:w="734" w:type="pct"/>
            <w:shd w:val="clear" w:color="auto" w:fill="auto"/>
          </w:tcPr>
          <w:p w:rsidR="00035233" w:rsidRDefault="00035233" w:rsidP="00035233">
            <w:pPr>
              <w:pStyle w:val="05Tabletext"/>
              <w:keepNext/>
              <w:jc w:val="center"/>
            </w:pPr>
            <w:r>
              <w:t>-</w:t>
            </w:r>
          </w:p>
        </w:tc>
        <w:tc>
          <w:tcPr>
            <w:tcW w:w="442" w:type="pct"/>
            <w:shd w:val="clear" w:color="auto" w:fill="auto"/>
          </w:tcPr>
          <w:p w:rsidR="00035233" w:rsidRDefault="00035233" w:rsidP="00035233">
            <w:pPr>
              <w:pStyle w:val="05Tabletext"/>
              <w:keepNext/>
              <w:jc w:val="center"/>
            </w:pPr>
            <w:r>
              <w:t>-</w:t>
            </w:r>
          </w:p>
        </w:tc>
      </w:tr>
      <w:tr w:rsidR="00035233" w:rsidRPr="00194011" w:rsidTr="00035233">
        <w:trPr>
          <w:cantSplit/>
        </w:trPr>
        <w:tc>
          <w:tcPr>
            <w:tcW w:w="1839" w:type="pct"/>
            <w:shd w:val="clear" w:color="auto" w:fill="000000"/>
          </w:tcPr>
          <w:p w:rsidR="00035233" w:rsidRPr="00BF47B2" w:rsidRDefault="00035233" w:rsidP="00035233">
            <w:pPr>
              <w:pStyle w:val="04Tablesubheading"/>
            </w:pPr>
            <w:r>
              <w:t>S</w:t>
            </w:r>
            <w:r w:rsidRPr="00A04345">
              <w:t>evere (hospitalised) exacerbation</w:t>
            </w:r>
            <w:r>
              <w:t>; all patients</w:t>
            </w:r>
          </w:p>
        </w:tc>
        <w:tc>
          <w:tcPr>
            <w:tcW w:w="956" w:type="pct"/>
            <w:shd w:val="clear" w:color="auto" w:fill="000000"/>
          </w:tcPr>
          <w:p w:rsidR="00035233" w:rsidRPr="00BF47B2" w:rsidRDefault="00035233" w:rsidP="00035233">
            <w:pPr>
              <w:pStyle w:val="04Tablesubheading"/>
              <w:ind w:right="0"/>
              <w:jc w:val="right"/>
            </w:pPr>
          </w:p>
        </w:tc>
        <w:tc>
          <w:tcPr>
            <w:tcW w:w="1029" w:type="pct"/>
            <w:shd w:val="clear" w:color="auto" w:fill="000000"/>
          </w:tcPr>
          <w:p w:rsidR="00035233" w:rsidRPr="00BF47B2" w:rsidRDefault="00035233" w:rsidP="00035233">
            <w:pPr>
              <w:pStyle w:val="04Tablesubheading"/>
              <w:ind w:right="0"/>
            </w:pPr>
          </w:p>
        </w:tc>
        <w:tc>
          <w:tcPr>
            <w:tcW w:w="734" w:type="pct"/>
            <w:shd w:val="clear" w:color="auto" w:fill="000000"/>
          </w:tcPr>
          <w:p w:rsidR="00035233" w:rsidRPr="00B10B1D" w:rsidRDefault="00035233" w:rsidP="00035233">
            <w:pPr>
              <w:pStyle w:val="04Tablesubheading"/>
              <w:jc w:val="center"/>
              <w:rPr>
                <w:vertAlign w:val="superscript"/>
              </w:rPr>
            </w:pPr>
          </w:p>
        </w:tc>
        <w:tc>
          <w:tcPr>
            <w:tcW w:w="442" w:type="pct"/>
            <w:shd w:val="clear" w:color="auto" w:fill="000000"/>
          </w:tcPr>
          <w:p w:rsidR="00035233" w:rsidRPr="00194011" w:rsidRDefault="00035233" w:rsidP="00035233">
            <w:pPr>
              <w:pStyle w:val="05Tabletext"/>
              <w:keepNext/>
              <w:jc w:val="center"/>
            </w:pPr>
          </w:p>
        </w:tc>
      </w:tr>
      <w:tr w:rsidR="00035233" w:rsidRPr="00194011" w:rsidTr="00035233">
        <w:trPr>
          <w:cantSplit/>
        </w:trPr>
        <w:tc>
          <w:tcPr>
            <w:tcW w:w="1839" w:type="pct"/>
            <w:shd w:val="clear" w:color="auto" w:fill="auto"/>
          </w:tcPr>
          <w:p w:rsidR="00035233" w:rsidRDefault="00035233" w:rsidP="00035233">
            <w:pPr>
              <w:pStyle w:val="05Tabletext"/>
              <w:keepNext/>
            </w:pPr>
            <w:r>
              <w:t>Patients with event, n (%)</w:t>
            </w:r>
          </w:p>
        </w:tc>
        <w:tc>
          <w:tcPr>
            <w:tcW w:w="956" w:type="pct"/>
            <w:shd w:val="clear" w:color="auto" w:fill="auto"/>
          </w:tcPr>
          <w:p w:rsidR="00035233" w:rsidRPr="00BF47B2" w:rsidRDefault="00035233" w:rsidP="00035233">
            <w:pPr>
              <w:pStyle w:val="04Tablesubheading"/>
              <w:ind w:right="0"/>
              <w:jc w:val="center"/>
              <w:rPr>
                <w:b w:val="0"/>
              </w:rPr>
            </w:pPr>
            <w:r>
              <w:rPr>
                <w:b w:val="0"/>
              </w:rPr>
              <w:t>250 (10.8)</w:t>
            </w:r>
          </w:p>
        </w:tc>
        <w:tc>
          <w:tcPr>
            <w:tcW w:w="1029" w:type="pct"/>
            <w:shd w:val="clear" w:color="auto" w:fill="auto"/>
          </w:tcPr>
          <w:p w:rsidR="00035233" w:rsidRPr="00194011" w:rsidRDefault="00035233" w:rsidP="00035233">
            <w:pPr>
              <w:pStyle w:val="05Tabletext"/>
              <w:jc w:val="center"/>
            </w:pPr>
            <w:r>
              <w:t>255 (11.1)</w:t>
            </w:r>
          </w:p>
        </w:tc>
        <w:tc>
          <w:tcPr>
            <w:tcW w:w="734" w:type="pct"/>
            <w:shd w:val="clear" w:color="auto" w:fill="auto"/>
          </w:tcPr>
          <w:p w:rsidR="00035233" w:rsidRPr="00194011" w:rsidRDefault="00035233" w:rsidP="00035233">
            <w:pPr>
              <w:pStyle w:val="05Tabletext"/>
              <w:keepNext/>
              <w:jc w:val="center"/>
            </w:pPr>
            <w:r>
              <w:t>0.99 (0.83, 1.18)</w:t>
            </w:r>
          </w:p>
        </w:tc>
        <w:tc>
          <w:tcPr>
            <w:tcW w:w="442" w:type="pct"/>
            <w:shd w:val="clear" w:color="auto" w:fill="auto"/>
          </w:tcPr>
          <w:p w:rsidR="00035233" w:rsidRPr="00840C42" w:rsidRDefault="00035233" w:rsidP="00035233">
            <w:pPr>
              <w:pStyle w:val="05Tabletext"/>
              <w:keepNext/>
              <w:jc w:val="center"/>
            </w:pPr>
            <w:r>
              <w:t>0.917</w:t>
            </w:r>
          </w:p>
        </w:tc>
      </w:tr>
      <w:tr w:rsidR="00035233" w:rsidRPr="00194011" w:rsidTr="00035233">
        <w:trPr>
          <w:cantSplit/>
        </w:trPr>
        <w:tc>
          <w:tcPr>
            <w:tcW w:w="1839" w:type="pct"/>
            <w:shd w:val="clear" w:color="auto" w:fill="auto"/>
          </w:tcPr>
          <w:p w:rsidR="00035233" w:rsidRDefault="00035233" w:rsidP="00035233">
            <w:pPr>
              <w:pStyle w:val="05Tabletext"/>
              <w:keepNext/>
            </w:pPr>
            <w:r>
              <w:t>Number of events</w:t>
            </w:r>
          </w:p>
        </w:tc>
        <w:tc>
          <w:tcPr>
            <w:tcW w:w="956" w:type="pct"/>
            <w:shd w:val="clear" w:color="auto" w:fill="auto"/>
          </w:tcPr>
          <w:p w:rsidR="00035233" w:rsidRPr="00BF47B2" w:rsidRDefault="00035233" w:rsidP="00035233">
            <w:pPr>
              <w:pStyle w:val="04Tablesubheading"/>
              <w:ind w:right="0"/>
              <w:jc w:val="center"/>
              <w:rPr>
                <w:b w:val="0"/>
              </w:rPr>
            </w:pPr>
            <w:r>
              <w:rPr>
                <w:b w:val="0"/>
              </w:rPr>
              <w:t>376</w:t>
            </w:r>
          </w:p>
        </w:tc>
        <w:tc>
          <w:tcPr>
            <w:tcW w:w="1029" w:type="pct"/>
            <w:shd w:val="clear" w:color="auto" w:fill="auto"/>
          </w:tcPr>
          <w:p w:rsidR="00035233" w:rsidRPr="00194011" w:rsidRDefault="00035233" w:rsidP="00035233">
            <w:pPr>
              <w:pStyle w:val="05Tabletext"/>
              <w:jc w:val="center"/>
            </w:pPr>
            <w:r>
              <w:t>363</w:t>
            </w:r>
          </w:p>
        </w:tc>
        <w:tc>
          <w:tcPr>
            <w:tcW w:w="734" w:type="pct"/>
            <w:shd w:val="clear" w:color="auto" w:fill="auto"/>
          </w:tcPr>
          <w:p w:rsidR="00035233" w:rsidRPr="00194011" w:rsidRDefault="00035233" w:rsidP="00035233">
            <w:pPr>
              <w:pStyle w:val="05Tabletext"/>
              <w:keepNext/>
              <w:jc w:val="center"/>
            </w:pPr>
            <w:r>
              <w:t>-</w:t>
            </w:r>
          </w:p>
        </w:tc>
        <w:tc>
          <w:tcPr>
            <w:tcW w:w="442" w:type="pct"/>
            <w:shd w:val="clear" w:color="auto" w:fill="auto"/>
          </w:tcPr>
          <w:p w:rsidR="00035233" w:rsidRPr="00840C42" w:rsidRDefault="00035233" w:rsidP="00035233">
            <w:pPr>
              <w:pStyle w:val="05Tabletext"/>
              <w:keepNext/>
              <w:jc w:val="center"/>
            </w:pPr>
            <w:r>
              <w:t>-</w:t>
            </w:r>
          </w:p>
        </w:tc>
      </w:tr>
      <w:tr w:rsidR="00035233" w:rsidRPr="00194011" w:rsidTr="00035233">
        <w:trPr>
          <w:cantSplit/>
        </w:trPr>
        <w:tc>
          <w:tcPr>
            <w:tcW w:w="1839" w:type="pct"/>
            <w:shd w:val="clear" w:color="auto" w:fill="auto"/>
          </w:tcPr>
          <w:p w:rsidR="00035233" w:rsidRDefault="00035233" w:rsidP="00035233">
            <w:pPr>
              <w:pStyle w:val="05Tabletext"/>
              <w:keepNext/>
            </w:pPr>
            <w:r>
              <w:t>Adjusted rate of events per patient-year (95% CI)</w:t>
            </w:r>
          </w:p>
        </w:tc>
        <w:tc>
          <w:tcPr>
            <w:tcW w:w="956" w:type="pct"/>
            <w:shd w:val="clear" w:color="auto" w:fill="auto"/>
          </w:tcPr>
          <w:p w:rsidR="00035233" w:rsidRDefault="00035233" w:rsidP="00035233">
            <w:pPr>
              <w:pStyle w:val="04Tablesubheading"/>
              <w:ind w:right="0"/>
              <w:jc w:val="center"/>
              <w:rPr>
                <w:b w:val="0"/>
              </w:rPr>
            </w:pPr>
            <w:r>
              <w:rPr>
                <w:b w:val="0"/>
              </w:rPr>
              <w:t>0.09 (0.08, 0.10)</w:t>
            </w:r>
          </w:p>
        </w:tc>
        <w:tc>
          <w:tcPr>
            <w:tcW w:w="1029" w:type="pct"/>
            <w:shd w:val="clear" w:color="auto" w:fill="auto"/>
          </w:tcPr>
          <w:p w:rsidR="00035233" w:rsidRDefault="00035233" w:rsidP="00035233">
            <w:pPr>
              <w:pStyle w:val="05Tabletext"/>
              <w:jc w:val="center"/>
            </w:pPr>
            <w:r>
              <w:t>0.08 (0.07, 0.10)</w:t>
            </w:r>
          </w:p>
        </w:tc>
        <w:tc>
          <w:tcPr>
            <w:tcW w:w="734" w:type="pct"/>
            <w:shd w:val="clear" w:color="auto" w:fill="auto"/>
          </w:tcPr>
          <w:p w:rsidR="00035233" w:rsidRDefault="00035233" w:rsidP="00035233">
            <w:pPr>
              <w:pStyle w:val="05Tabletext"/>
              <w:keepNext/>
              <w:jc w:val="center"/>
            </w:pPr>
            <w:r>
              <w:t>-</w:t>
            </w:r>
          </w:p>
        </w:tc>
        <w:tc>
          <w:tcPr>
            <w:tcW w:w="442" w:type="pct"/>
            <w:shd w:val="clear" w:color="auto" w:fill="auto"/>
          </w:tcPr>
          <w:p w:rsidR="00035233" w:rsidRDefault="00035233" w:rsidP="00035233">
            <w:pPr>
              <w:pStyle w:val="05Tabletext"/>
              <w:keepNext/>
              <w:jc w:val="center"/>
            </w:pPr>
            <w:r>
              <w:t>-</w:t>
            </w:r>
          </w:p>
        </w:tc>
      </w:tr>
    </w:tbl>
    <w:p w:rsidR="00035233" w:rsidRDefault="00035233" w:rsidP="00035233">
      <w:pPr>
        <w:pStyle w:val="10TableorFigurefootnote"/>
      </w:pPr>
      <w:r>
        <w:t>Source: Wise et al (2015), Table 3.</w:t>
      </w:r>
    </w:p>
    <w:p w:rsidR="00035233" w:rsidRDefault="00035233" w:rsidP="00035233">
      <w:pPr>
        <w:pStyle w:val="10TableorFigurefootnote"/>
      </w:pPr>
      <w:r>
        <w:t>Abbreviations: CI, confidence interval; HR, hazard ratio.</w:t>
      </w:r>
    </w:p>
    <w:p w:rsidR="00035233" w:rsidRDefault="00035233" w:rsidP="00035233">
      <w:pPr>
        <w:pStyle w:val="10TableorFigurefootnote"/>
      </w:pPr>
      <w:r>
        <w:t xml:space="preserve">Note: </w:t>
      </w:r>
      <w:r w:rsidRPr="00A04345">
        <w:t>HRs and 95% CIs for time-to-event end points were calculated using a Cox</w:t>
      </w:r>
      <w:r w:rsidR="00AB35A5">
        <w:t xml:space="preserve"> </w:t>
      </w:r>
      <w:r w:rsidRPr="00A04345">
        <w:t>proportional hazards regression model (with no covariate adjustment).</w:t>
      </w:r>
      <w:r>
        <w:t xml:space="preserve"> </w:t>
      </w:r>
      <w:r w:rsidRPr="001320EB">
        <w:t>Negative binomial regression models were used to co</w:t>
      </w:r>
      <w:r>
        <w:t>mpare annual exacerbation rates.</w:t>
      </w:r>
    </w:p>
    <w:p w:rsidR="00035233" w:rsidRPr="001235DE" w:rsidRDefault="00035233" w:rsidP="00035233">
      <w:pPr>
        <w:pStyle w:val="BodyText"/>
      </w:pPr>
      <w:r>
        <w:t xml:space="preserve">Overall, the post hoc analysis of anticholinergic naïve patients showed that those who were treated with tiotropium Respimat and </w:t>
      </w:r>
      <w:r w:rsidR="00AC3855">
        <w:t>HandiHaler</w:t>
      </w:r>
      <w:r>
        <w:t xml:space="preserve"> were at a similar risk of mortality, adverse cardiac events and exacerbations.</w:t>
      </w:r>
    </w:p>
    <w:p w:rsidR="00035233" w:rsidRDefault="00035233" w:rsidP="006172D5">
      <w:pPr>
        <w:pStyle w:val="Heading4"/>
      </w:pPr>
      <w:bookmarkStart w:id="162" w:name="_Toc467782085"/>
      <w:bookmarkStart w:id="163" w:name="_Toc468012273"/>
      <w:r>
        <w:t>Summary of findings</w:t>
      </w:r>
    </w:p>
    <w:p w:rsidR="005A6466" w:rsidRPr="008A3632" w:rsidRDefault="005A6466" w:rsidP="005A6466">
      <w:pPr>
        <w:pStyle w:val="Bullettext"/>
      </w:pPr>
      <w:r>
        <w:t>Overall, all LAMA therapies were well tolerated and no new safety concerns were identified. The findings presented throughout this section are consistent with evidence previously considered by the PBAC that demonstrated non-inferiority between all PBS-listed LAMA therapies with respect to efficacy.</w:t>
      </w:r>
    </w:p>
    <w:p w:rsidR="00035233" w:rsidRDefault="00035233" w:rsidP="00035233">
      <w:pPr>
        <w:pStyle w:val="Bullettext"/>
      </w:pPr>
      <w:r>
        <w:t>Manoharan et al (2016; poor quality) conducted a short-term cross-over study that compared the efficacy and safety of aclidinium and tiotropium in patients with moderate to severe COPD who were already on ICS/LABA therapy. Tiotropium and aclidinium were found to be comparable in terms of both efficacy (based on trough FEV</w:t>
      </w:r>
      <w:r>
        <w:rPr>
          <w:vertAlign w:val="subscript"/>
        </w:rPr>
        <w:t>1</w:t>
      </w:r>
      <w:r>
        <w:t>) and safety when used as triple therapy.</w:t>
      </w:r>
    </w:p>
    <w:p w:rsidR="00035233" w:rsidRDefault="00035233" w:rsidP="00035233">
      <w:pPr>
        <w:pStyle w:val="Bullettext"/>
      </w:pPr>
      <w:r>
        <w:t>Beier et al (2013; fair quality) also compared the effect of treatment with aclidinium and tiotropium on trough FEV</w:t>
      </w:r>
      <w:r>
        <w:rPr>
          <w:vertAlign w:val="subscript"/>
        </w:rPr>
        <w:t>1</w:t>
      </w:r>
      <w:r>
        <w:t xml:space="preserve"> in patients with moderate to severe COPD. Patients were permitted to stay on ICS (and some other therapies) if they were already taking them at baseline. The proportion of patients who were taking concomitant ICS was not reported and it is possible that in this study a large proportion of patients were using tiotropium and</w:t>
      </w:r>
      <w:r w:rsidR="00D85FEE">
        <w:t xml:space="preserve"> aclidinium as monotherapy. By W</w:t>
      </w:r>
      <w:r>
        <w:t>eek 6, both treatments had reached the MCID (i.e. both ≥100 mL improvement</w:t>
      </w:r>
      <w:r w:rsidR="00D85FEE">
        <w:t xml:space="preserve"> from baseline</w:t>
      </w:r>
      <w:r>
        <w:t>), but no significant difference was observed between tiotropium and aclidinium.</w:t>
      </w:r>
    </w:p>
    <w:p w:rsidR="00035233" w:rsidRDefault="00035233" w:rsidP="00035233">
      <w:pPr>
        <w:pStyle w:val="Bullettext"/>
      </w:pPr>
      <w:r>
        <w:t>Feldman et al (2016; good quality) confirmed the non-inferiority of umeclidinium to tiotropium. Based on the primary outcome (least squares mean change from baseline in trough FEV</w:t>
      </w:r>
      <w:r w:rsidRPr="006D2554">
        <w:rPr>
          <w:vertAlign w:val="subscript"/>
        </w:rPr>
        <w:t>1</w:t>
      </w:r>
      <w:r>
        <w:t xml:space="preserve"> at 12 weeks) umeclidinium was also found to be superior to tiotropium across a range of patient subgroups; however</w:t>
      </w:r>
      <w:r w:rsidR="001940E5">
        <w:t>,</w:t>
      </w:r>
      <w:r>
        <w:t xml:space="preserve"> no significant differences were found between the treatments groups for several other efficacy outcomes, including TDI, SGRQ and CAT score.</w:t>
      </w:r>
    </w:p>
    <w:p w:rsidR="00035233" w:rsidRDefault="00035233" w:rsidP="00035233">
      <w:pPr>
        <w:pStyle w:val="Bullettext"/>
      </w:pPr>
      <w:r>
        <w:lastRenderedPageBreak/>
        <w:t>An unpublished RCT (</w:t>
      </w:r>
      <w:r w:rsidRPr="00884B72">
        <w:t>NCT02236611; quality not assessed)</w:t>
      </w:r>
      <w:r>
        <w:t xml:space="preserve"> demonstrated non-inferiority of umeclidinium to glycopyrronium based on least squares mean change from baseline for trough FEV</w:t>
      </w:r>
      <w:r>
        <w:rPr>
          <w:vertAlign w:val="subscript"/>
        </w:rPr>
        <w:t>1</w:t>
      </w:r>
      <w:r>
        <w:t>. Short-term data (12 weeks) indicated that umeclidinium and glycopyrronium are also comparable in terms of safety.</w:t>
      </w:r>
    </w:p>
    <w:p w:rsidR="00035233" w:rsidRDefault="00035233" w:rsidP="00035233">
      <w:pPr>
        <w:pStyle w:val="Bullettext"/>
      </w:pPr>
      <w:r>
        <w:t xml:space="preserve">Despite earlier safety concerns, the largest COPD study conducted to date (TIOSPIR study; good quality) found that tiotropium Respimat was non-inferior to </w:t>
      </w:r>
      <w:r w:rsidR="00AC3855">
        <w:t>HandiHaler</w:t>
      </w:r>
      <w:r>
        <w:t xml:space="preserve"> across a broad range of safety outcomes, including overall risk of death. E</w:t>
      </w:r>
      <w:r w:rsidRPr="00FF16EA">
        <w:t>arlier safety concerns about a possible increased risk of mortality with tiotropium Respimat (particularly in patients with a history of cardiac arrhythmia) were</w:t>
      </w:r>
      <w:r w:rsidR="001940E5">
        <w:t xml:space="preserve"> </w:t>
      </w:r>
      <w:r w:rsidRPr="00FF16EA">
        <w:t>not supported by long</w:t>
      </w:r>
      <w:r>
        <w:t>er</w:t>
      </w:r>
      <w:r w:rsidR="001940E5">
        <w:t>-term evidence from this</w:t>
      </w:r>
      <w:r w:rsidRPr="00FF16EA">
        <w:t xml:space="preserve"> large</w:t>
      </w:r>
      <w:r w:rsidRPr="0062061D">
        <w:t>, high-quality</w:t>
      </w:r>
      <w:r w:rsidRPr="00FF16EA">
        <w:t xml:space="preserve"> RCT.</w:t>
      </w:r>
      <w:r>
        <w:t xml:space="preserve"> Tiotropium Respimat also demonstrated comparable efficacy to </w:t>
      </w:r>
      <w:r w:rsidR="00AC3855">
        <w:t>HandiHaler</w:t>
      </w:r>
      <w:r>
        <w:t xml:space="preserve"> with respect to both risk of exacerbations and change from baseline in trough FEV</w:t>
      </w:r>
      <w:r w:rsidRPr="00DA4B8D">
        <w:rPr>
          <w:vertAlign w:val="subscript"/>
        </w:rPr>
        <w:t>1</w:t>
      </w:r>
      <w:r>
        <w:t>.</w:t>
      </w:r>
    </w:p>
    <w:p w:rsidR="00035233" w:rsidRDefault="00035233" w:rsidP="006172D5">
      <w:pPr>
        <w:pStyle w:val="Heading3"/>
      </w:pPr>
      <w:bookmarkStart w:id="164" w:name="_Toc471890921"/>
      <w:bookmarkStart w:id="165" w:name="_Toc482185949"/>
      <w:bookmarkStart w:id="166" w:name="_Toc486428083"/>
      <w:r>
        <w:t xml:space="preserve">LABA versus </w:t>
      </w:r>
      <w:r w:rsidRPr="006172D5">
        <w:t>LABA</w:t>
      </w:r>
      <w:bookmarkEnd w:id="162"/>
      <w:bookmarkEnd w:id="163"/>
      <w:bookmarkEnd w:id="164"/>
      <w:bookmarkEnd w:id="165"/>
      <w:bookmarkEnd w:id="166"/>
    </w:p>
    <w:p w:rsidR="00035233" w:rsidRDefault="00035233" w:rsidP="00035233">
      <w:pPr>
        <w:pStyle w:val="BodyText"/>
      </w:pPr>
      <w:r>
        <w:t>Indacaterol is the only LABA currently listed on the PBS for COPD; however</w:t>
      </w:r>
      <w:r w:rsidR="005A6466">
        <w:t>,</w:t>
      </w:r>
      <w:r>
        <w:t xml:space="preserve"> it is available in two doses, 150 μg once-daily and 300 μg once-daily. </w:t>
      </w:r>
      <w:r w:rsidR="001940E5">
        <w:t>T</w:t>
      </w:r>
      <w:r>
        <w:t xml:space="preserve">he body of evidence comparing the doses is limited and only one RCT, listed in </w:t>
      </w:r>
      <w:r w:rsidR="006172D5">
        <w:t>Table 3.23</w:t>
      </w:r>
      <w:r>
        <w:t xml:space="preserve">, was identified that provided additional evidence about the comparative efficacy and safety of the two doses. The characteristics of the </w:t>
      </w:r>
      <w:r w:rsidR="006172D5">
        <w:t>included study are summarised in Table 3.24</w:t>
      </w:r>
      <w:r>
        <w:t>.</w:t>
      </w:r>
    </w:p>
    <w:p w:rsidR="00035233" w:rsidRDefault="001940E5" w:rsidP="001940E5">
      <w:pPr>
        <w:pStyle w:val="ToR3Tableheader"/>
      </w:pPr>
      <w:bookmarkStart w:id="167" w:name="_Toc467782115"/>
      <w:bookmarkStart w:id="168" w:name="_Toc468012303"/>
      <w:bookmarkStart w:id="169" w:name="_Toc468034459"/>
      <w:bookmarkStart w:id="170" w:name="_Toc471891015"/>
      <w:bookmarkStart w:id="171" w:name="_Toc486428202"/>
      <w:r>
        <w:t>Table 3.23</w:t>
      </w:r>
      <w:r w:rsidR="006172D5">
        <w:tab/>
      </w:r>
      <w:r w:rsidR="00035233">
        <w:t>List of randomised controlled trials comparing two doses of indacaterol</w:t>
      </w:r>
      <w:bookmarkEnd w:id="167"/>
      <w:bookmarkEnd w:id="168"/>
      <w:bookmarkEnd w:id="169"/>
      <w:bookmarkEnd w:id="170"/>
      <w:bookmarkEnd w:id="17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List of RCTs"/>
        <w:tblDescription w:val="List of randomised controlled trials comparing two doses of indacaterol"/>
      </w:tblPr>
      <w:tblGrid>
        <w:gridCol w:w="1565"/>
        <w:gridCol w:w="6377"/>
        <w:gridCol w:w="1706"/>
      </w:tblGrid>
      <w:tr w:rsidR="00035233" w:rsidRPr="00F01736" w:rsidTr="00035233">
        <w:trPr>
          <w:cantSplit/>
        </w:trPr>
        <w:tc>
          <w:tcPr>
            <w:tcW w:w="811" w:type="pct"/>
            <w:shd w:val="clear" w:color="auto" w:fill="BFBFBF"/>
          </w:tcPr>
          <w:p w:rsidR="00035233" w:rsidRPr="00F01736" w:rsidRDefault="00035233" w:rsidP="00035233">
            <w:pPr>
              <w:pStyle w:val="01TableHEADINGleftaligned"/>
            </w:pPr>
            <w:r>
              <w:t>Trial ID</w:t>
            </w:r>
          </w:p>
        </w:tc>
        <w:tc>
          <w:tcPr>
            <w:tcW w:w="3305" w:type="pct"/>
            <w:shd w:val="clear" w:color="auto" w:fill="BFBFBF"/>
          </w:tcPr>
          <w:p w:rsidR="00035233" w:rsidRPr="00F01736" w:rsidRDefault="00035233" w:rsidP="00035233">
            <w:pPr>
              <w:pStyle w:val="01TableHEADINGleftaligned"/>
              <w:jc w:val="center"/>
            </w:pPr>
            <w:r>
              <w:t>Citation</w:t>
            </w:r>
          </w:p>
        </w:tc>
        <w:tc>
          <w:tcPr>
            <w:tcW w:w="884" w:type="pct"/>
            <w:shd w:val="clear" w:color="auto" w:fill="BFBFBF"/>
          </w:tcPr>
          <w:p w:rsidR="00035233" w:rsidRPr="00F01736" w:rsidRDefault="00035233" w:rsidP="00035233">
            <w:pPr>
              <w:pStyle w:val="01TableHEADINGleftaligned"/>
              <w:jc w:val="center"/>
            </w:pPr>
            <w:r>
              <w:t>Description</w:t>
            </w:r>
          </w:p>
        </w:tc>
      </w:tr>
      <w:tr w:rsidR="00035233" w:rsidRPr="00194011" w:rsidTr="00035233">
        <w:trPr>
          <w:cantSplit/>
        </w:trPr>
        <w:tc>
          <w:tcPr>
            <w:tcW w:w="811" w:type="pct"/>
            <w:shd w:val="clear" w:color="auto" w:fill="auto"/>
          </w:tcPr>
          <w:p w:rsidR="00035233" w:rsidRPr="009C73B0" w:rsidRDefault="00035233" w:rsidP="00035233">
            <w:pPr>
              <w:pStyle w:val="05Tabletext"/>
            </w:pPr>
            <w:r>
              <w:t>INDORSE</w:t>
            </w:r>
          </w:p>
        </w:tc>
        <w:tc>
          <w:tcPr>
            <w:tcW w:w="3305" w:type="pct"/>
            <w:shd w:val="clear" w:color="auto" w:fill="auto"/>
          </w:tcPr>
          <w:p w:rsidR="00035233" w:rsidRPr="009C73B0" w:rsidRDefault="00035233" w:rsidP="00035233">
            <w:pPr>
              <w:pStyle w:val="05Tabletext"/>
            </w:pPr>
            <w:r w:rsidRPr="004A7648">
              <w:t>Chapman KR, Rennard SI, Dogra A, Owen R, Lassen C and Kramer B (2011). Long-term safety and efficacy of inda</w:t>
            </w:r>
            <w:r>
              <w:t>caterol, a long-acting beta</w:t>
            </w:r>
            <w:r w:rsidRPr="004A7648">
              <w:rPr>
                <w:vertAlign w:val="subscript"/>
              </w:rPr>
              <w:t>2</w:t>
            </w:r>
            <w:r w:rsidRPr="004A7648">
              <w:t>-agonist, in subjects with COPD: A randomized, placebo-controlled study. Chest 140 (1):68-75.</w:t>
            </w:r>
          </w:p>
        </w:tc>
        <w:tc>
          <w:tcPr>
            <w:tcW w:w="884" w:type="pct"/>
            <w:shd w:val="clear" w:color="auto" w:fill="auto"/>
          </w:tcPr>
          <w:p w:rsidR="00035233" w:rsidRPr="009C73B0" w:rsidRDefault="00035233" w:rsidP="00035233">
            <w:pPr>
              <w:pStyle w:val="05Tabletext"/>
            </w:pPr>
            <w:r>
              <w:t>Key publication</w:t>
            </w:r>
          </w:p>
        </w:tc>
      </w:tr>
    </w:tbl>
    <w:p w:rsidR="00035233" w:rsidRDefault="00035233" w:rsidP="00035233">
      <w:pPr>
        <w:pStyle w:val="BodyText"/>
      </w:pPr>
      <w:r>
        <w:t xml:space="preserve">The original submissions that supported the listing of indacaterol (Onbrez) demonstrated comparative clinical efficacy of the two doses of indacaterol (150 μg and 300 </w:t>
      </w:r>
      <w:r w:rsidR="00AE19E8">
        <w:t xml:space="preserve">μg once-daily) that are now PBS </w:t>
      </w:r>
      <w:r>
        <w:t xml:space="preserve">listed for COPD. On the basis of results from the pivotal clinical study that showed similar results for both doses, the sponsor did not request a price differential between the doses. Therefore, based on the evidence previously considered, the PBAC considered both indacaterol 150 μg and 300 μg to be equivalent to tiotropium 18 μg. </w:t>
      </w:r>
      <w:r w:rsidRPr="00445409">
        <w:t xml:space="preserve">The </w:t>
      </w:r>
      <w:r>
        <w:t xml:space="preserve">study characteristics of the one included study are </w:t>
      </w:r>
      <w:r w:rsidRPr="00445409">
        <w:t>summarised in</w:t>
      </w:r>
      <w:r>
        <w:t xml:space="preserve"> </w:t>
      </w:r>
      <w:r w:rsidR="006172D5">
        <w:t>Table 3.24</w:t>
      </w:r>
      <w:r>
        <w:t>.</w:t>
      </w:r>
    </w:p>
    <w:p w:rsidR="00035233" w:rsidRPr="00581910" w:rsidRDefault="00035233" w:rsidP="00035233">
      <w:pPr>
        <w:pStyle w:val="BodyText"/>
      </w:pPr>
    </w:p>
    <w:p w:rsidR="00035233" w:rsidRDefault="00035233" w:rsidP="00035233">
      <w:pPr>
        <w:spacing w:before="0" w:line="360" w:lineRule="auto"/>
        <w:sectPr w:rsidR="00035233" w:rsidSect="00270A37">
          <w:headerReference w:type="even" r:id="rId19"/>
          <w:headerReference w:type="default" r:id="rId20"/>
          <w:footerReference w:type="default" r:id="rId21"/>
          <w:headerReference w:type="first" r:id="rId22"/>
          <w:pgSz w:w="11906" w:h="16838"/>
          <w:pgMar w:top="1134" w:right="1134" w:bottom="1134" w:left="1134" w:header="709" w:footer="709" w:gutter="0"/>
          <w:cols w:space="708"/>
          <w:docGrid w:linePitch="360"/>
        </w:sectPr>
      </w:pPr>
    </w:p>
    <w:p w:rsidR="00035233" w:rsidRDefault="001940E5" w:rsidP="001940E5">
      <w:pPr>
        <w:pStyle w:val="ToR3Tableheader"/>
      </w:pPr>
      <w:bookmarkStart w:id="172" w:name="_Toc467782116"/>
      <w:bookmarkStart w:id="173" w:name="_Toc468012304"/>
      <w:bookmarkStart w:id="174" w:name="_Toc468034460"/>
      <w:bookmarkStart w:id="175" w:name="_Toc471891016"/>
      <w:bookmarkStart w:id="176" w:name="_Toc486428203"/>
      <w:r>
        <w:lastRenderedPageBreak/>
        <w:t>Table 3.24</w:t>
      </w:r>
      <w:r w:rsidR="006172D5">
        <w:tab/>
      </w:r>
      <w:r w:rsidR="00035233">
        <w:t>Details of RCTs comparing indacaterol 150 μg and indacaterol 300 μg</w:t>
      </w:r>
      <w:bookmarkEnd w:id="172"/>
      <w:bookmarkEnd w:id="173"/>
      <w:bookmarkEnd w:id="174"/>
      <w:bookmarkEnd w:id="175"/>
      <w:bookmarkEnd w:id="17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Caption w:val="Study characteristics"/>
        <w:tblDescription w:val="Details of RCTs comparing indacaterol 150 μg and indacaterol 300 μg"/>
      </w:tblPr>
      <w:tblGrid>
        <w:gridCol w:w="1800"/>
        <w:gridCol w:w="647"/>
        <w:gridCol w:w="892"/>
        <w:gridCol w:w="1688"/>
        <w:gridCol w:w="6383"/>
        <w:gridCol w:w="980"/>
        <w:gridCol w:w="2190"/>
      </w:tblGrid>
      <w:tr w:rsidR="00035233" w:rsidRPr="00194011" w:rsidTr="00035233">
        <w:trPr>
          <w:cantSplit/>
          <w:trHeight w:val="735"/>
          <w:tblHeader/>
        </w:trPr>
        <w:tc>
          <w:tcPr>
            <w:tcW w:w="617" w:type="pct"/>
            <w:shd w:val="clear" w:color="auto" w:fill="BFBFBF"/>
          </w:tcPr>
          <w:p w:rsidR="00035233" w:rsidRPr="00194011" w:rsidRDefault="00035233" w:rsidP="00035233">
            <w:pPr>
              <w:pStyle w:val="01TableHEADINGleftaligned"/>
            </w:pPr>
            <w:r w:rsidRPr="00194011">
              <w:t>Trial ID</w:t>
            </w:r>
          </w:p>
          <w:p w:rsidR="00035233" w:rsidRPr="00AC28D5" w:rsidRDefault="00035233" w:rsidP="00035233">
            <w:pPr>
              <w:pStyle w:val="01TableHEADINGleftaligned"/>
            </w:pPr>
            <w:r w:rsidRPr="00F24C36">
              <w:t>1. Publications</w:t>
            </w:r>
            <w:r w:rsidRPr="00F24C36">
              <w:br/>
              <w:t>2. Study quality</w:t>
            </w:r>
            <w:r>
              <w:br/>
            </w:r>
            <w:r w:rsidRPr="00F24C36">
              <w:t>3. Country</w:t>
            </w:r>
            <w:r w:rsidRPr="00F24C36">
              <w:br/>
              <w:t>4. Sponsor</w:t>
            </w:r>
          </w:p>
        </w:tc>
        <w:tc>
          <w:tcPr>
            <w:tcW w:w="222" w:type="pct"/>
            <w:shd w:val="clear" w:color="auto" w:fill="BFBFBF"/>
          </w:tcPr>
          <w:p w:rsidR="00035233" w:rsidRPr="00194011" w:rsidRDefault="00035233" w:rsidP="00035233">
            <w:pPr>
              <w:pStyle w:val="02TableHEADINGcentred"/>
            </w:pPr>
            <w:r w:rsidRPr="00194011">
              <w:t>N</w:t>
            </w:r>
          </w:p>
        </w:tc>
        <w:tc>
          <w:tcPr>
            <w:tcW w:w="306" w:type="pct"/>
            <w:shd w:val="clear" w:color="auto" w:fill="BFBFBF"/>
          </w:tcPr>
          <w:p w:rsidR="00035233" w:rsidRPr="00194011" w:rsidRDefault="00035233" w:rsidP="00035233">
            <w:pPr>
              <w:pStyle w:val="02TableHEADINGcentred"/>
            </w:pPr>
            <w:r w:rsidRPr="00194011">
              <w:t>Study design</w:t>
            </w:r>
          </w:p>
        </w:tc>
        <w:tc>
          <w:tcPr>
            <w:tcW w:w="579" w:type="pct"/>
            <w:shd w:val="clear" w:color="auto" w:fill="BFBFBF"/>
          </w:tcPr>
          <w:p w:rsidR="00035233" w:rsidRPr="00194011" w:rsidRDefault="00035233" w:rsidP="00035233">
            <w:pPr>
              <w:pStyle w:val="01TableHEADINGleftaligned"/>
              <w:jc w:val="center"/>
            </w:pPr>
            <w:r w:rsidRPr="00194011">
              <w:t>Tx (n)</w:t>
            </w:r>
          </w:p>
        </w:tc>
        <w:tc>
          <w:tcPr>
            <w:tcW w:w="2189" w:type="pct"/>
            <w:shd w:val="clear" w:color="auto" w:fill="BFBFBF"/>
          </w:tcPr>
          <w:p w:rsidR="00035233" w:rsidRPr="00194011" w:rsidRDefault="00035233" w:rsidP="00035233">
            <w:pPr>
              <w:pStyle w:val="01TableHEADINGleftaligned"/>
              <w:jc w:val="center"/>
            </w:pPr>
            <w:r w:rsidRPr="00194011">
              <w:t>Eligibility criteria</w:t>
            </w:r>
          </w:p>
        </w:tc>
        <w:tc>
          <w:tcPr>
            <w:tcW w:w="336" w:type="pct"/>
            <w:shd w:val="clear" w:color="auto" w:fill="BFBFBF"/>
          </w:tcPr>
          <w:p w:rsidR="00035233" w:rsidRPr="00194011" w:rsidRDefault="00035233" w:rsidP="00035233">
            <w:pPr>
              <w:pStyle w:val="01TableHEADINGleftaligned"/>
              <w:jc w:val="center"/>
            </w:pPr>
            <w:r w:rsidRPr="00194011">
              <w:t>Treatment period (LOF)</w:t>
            </w:r>
          </w:p>
        </w:tc>
        <w:tc>
          <w:tcPr>
            <w:tcW w:w="751" w:type="pct"/>
            <w:shd w:val="clear" w:color="auto" w:fill="BFBFBF"/>
          </w:tcPr>
          <w:p w:rsidR="00035233" w:rsidRPr="00194011" w:rsidRDefault="00035233" w:rsidP="00035233">
            <w:pPr>
              <w:pStyle w:val="01TableHEADINGleftaligned"/>
              <w:jc w:val="center"/>
            </w:pPr>
            <w:r w:rsidRPr="00194011">
              <w:t>Outcomes reported</w:t>
            </w:r>
          </w:p>
        </w:tc>
      </w:tr>
      <w:tr w:rsidR="00035233" w:rsidRPr="00194011" w:rsidTr="00035233">
        <w:trPr>
          <w:cantSplit/>
        </w:trPr>
        <w:tc>
          <w:tcPr>
            <w:tcW w:w="617" w:type="pct"/>
            <w:shd w:val="clear" w:color="auto" w:fill="auto"/>
          </w:tcPr>
          <w:p w:rsidR="00035233" w:rsidRDefault="00035233" w:rsidP="00035233">
            <w:pPr>
              <w:pStyle w:val="05Tabletext"/>
            </w:pPr>
            <w:r>
              <w:t>INDORSE</w:t>
            </w:r>
          </w:p>
          <w:p w:rsidR="00035233" w:rsidRDefault="00035233" w:rsidP="00251CB8">
            <w:pPr>
              <w:pStyle w:val="06Tabletextspacebefore"/>
              <w:numPr>
                <w:ilvl w:val="0"/>
                <w:numId w:val="15"/>
              </w:numPr>
            </w:pPr>
            <w:r w:rsidRPr="00E17801">
              <w:t>Chapman (2011)</w:t>
            </w:r>
          </w:p>
          <w:p w:rsidR="00035233" w:rsidRPr="00E17801" w:rsidRDefault="00035233" w:rsidP="00251CB8">
            <w:pPr>
              <w:pStyle w:val="06Tabletextspacebefore"/>
              <w:numPr>
                <w:ilvl w:val="0"/>
                <w:numId w:val="15"/>
              </w:numPr>
            </w:pPr>
            <w:r>
              <w:t>Good quality</w:t>
            </w:r>
          </w:p>
          <w:p w:rsidR="00035233" w:rsidRPr="00E17801" w:rsidRDefault="00035233" w:rsidP="00251CB8">
            <w:pPr>
              <w:pStyle w:val="06Tabletextspacebefore"/>
              <w:numPr>
                <w:ilvl w:val="0"/>
                <w:numId w:val="15"/>
              </w:numPr>
            </w:pPr>
            <w:r w:rsidRPr="00E17801">
              <w:t>US, Argentina, Canada, Germany, India, Italy, Spain, Sweden, Turkey</w:t>
            </w:r>
          </w:p>
          <w:p w:rsidR="00035233" w:rsidRPr="00AC28D5" w:rsidRDefault="00035233" w:rsidP="00251CB8">
            <w:pPr>
              <w:pStyle w:val="06Tabletextspacebefore"/>
              <w:numPr>
                <w:ilvl w:val="0"/>
                <w:numId w:val="15"/>
              </w:numPr>
            </w:pPr>
            <w:r w:rsidRPr="00E17801">
              <w:t>Novartis</w:t>
            </w:r>
          </w:p>
        </w:tc>
        <w:tc>
          <w:tcPr>
            <w:tcW w:w="222" w:type="pct"/>
            <w:shd w:val="clear" w:color="auto" w:fill="auto"/>
          </w:tcPr>
          <w:p w:rsidR="00035233" w:rsidRPr="00194011" w:rsidRDefault="00035233" w:rsidP="00035233">
            <w:pPr>
              <w:pStyle w:val="05Tabletext"/>
              <w:jc w:val="center"/>
            </w:pPr>
            <w:r>
              <w:t>415</w:t>
            </w:r>
          </w:p>
        </w:tc>
        <w:tc>
          <w:tcPr>
            <w:tcW w:w="306" w:type="pct"/>
            <w:shd w:val="clear" w:color="auto" w:fill="auto"/>
          </w:tcPr>
          <w:p w:rsidR="00035233" w:rsidRPr="00E95A58" w:rsidRDefault="00035233" w:rsidP="00035233">
            <w:pPr>
              <w:pStyle w:val="05Tabletext"/>
            </w:pPr>
            <w:r>
              <w:t>Double-blind, extension study.</w:t>
            </w:r>
          </w:p>
        </w:tc>
        <w:tc>
          <w:tcPr>
            <w:tcW w:w="579" w:type="pct"/>
            <w:shd w:val="clear" w:color="auto" w:fill="auto"/>
          </w:tcPr>
          <w:p w:rsidR="00035233" w:rsidRDefault="00035233" w:rsidP="00035233">
            <w:pPr>
              <w:pStyle w:val="05Tabletext"/>
            </w:pPr>
            <w:r>
              <w:t>IND 150 μg qd (n=144)</w:t>
            </w:r>
          </w:p>
          <w:p w:rsidR="00035233" w:rsidRDefault="00035233" w:rsidP="00035233">
            <w:pPr>
              <w:pStyle w:val="06Tabletextspacebefore"/>
            </w:pPr>
            <w:r>
              <w:t>IND 300 μg qd (n=146)</w:t>
            </w:r>
          </w:p>
          <w:p w:rsidR="00035233" w:rsidRPr="00055918" w:rsidRDefault="00035233" w:rsidP="00035233">
            <w:pPr>
              <w:pStyle w:val="06Tabletextspacebefore"/>
            </w:pPr>
            <w:r>
              <w:t>PBO (n=125)</w:t>
            </w:r>
          </w:p>
        </w:tc>
        <w:tc>
          <w:tcPr>
            <w:tcW w:w="2189" w:type="pct"/>
            <w:shd w:val="clear" w:color="auto" w:fill="auto"/>
          </w:tcPr>
          <w:p w:rsidR="00035233" w:rsidRDefault="00035233" w:rsidP="00035233">
            <w:pPr>
              <w:pStyle w:val="05Tabletext"/>
              <w:rPr>
                <w:u w:val="single"/>
              </w:rPr>
            </w:pPr>
            <w:r>
              <w:rPr>
                <w:u w:val="single"/>
              </w:rPr>
              <w:t>Inclusion</w:t>
            </w:r>
          </w:p>
          <w:p w:rsidR="00035233" w:rsidRDefault="00460E94" w:rsidP="00035233">
            <w:pPr>
              <w:pStyle w:val="05Tabletext"/>
            </w:pPr>
            <w:r>
              <w:t>(1) Completed the core 26-</w:t>
            </w:r>
            <w:r w:rsidR="00035233">
              <w:t>week study, (2) a</w:t>
            </w:r>
            <w:r w:rsidR="00035233" w:rsidRPr="00AB09C4">
              <w:t>ge ≥40 years</w:t>
            </w:r>
            <w:r w:rsidR="00035233">
              <w:t>, (3) moderate-to-severe COPD, (4) post-bronchodilator FEV</w:t>
            </w:r>
            <w:r w:rsidR="00035233">
              <w:rPr>
                <w:vertAlign w:val="subscript"/>
              </w:rPr>
              <w:t>1</w:t>
            </w:r>
            <w:r w:rsidR="00035233">
              <w:t xml:space="preserve"> &lt;80% and ≥30% predicted, and post-bronchodilator FEV</w:t>
            </w:r>
            <w:r w:rsidR="00035233">
              <w:rPr>
                <w:vertAlign w:val="subscript"/>
              </w:rPr>
              <w:t>1</w:t>
            </w:r>
            <w:r w:rsidR="00035233">
              <w:t>/FVC &lt;70%.</w:t>
            </w:r>
          </w:p>
          <w:p w:rsidR="00035233" w:rsidRDefault="00035233" w:rsidP="00035233">
            <w:pPr>
              <w:pStyle w:val="06Tabletextspacebefore"/>
              <w:rPr>
                <w:u w:val="single"/>
              </w:rPr>
            </w:pPr>
            <w:r>
              <w:rPr>
                <w:u w:val="single"/>
              </w:rPr>
              <w:t>Exclusion</w:t>
            </w:r>
          </w:p>
          <w:p w:rsidR="00035233" w:rsidRDefault="00035233" w:rsidP="00035233">
            <w:pPr>
              <w:pStyle w:val="05Tabletext"/>
            </w:pPr>
            <w:r>
              <w:t>(1) History of asthma, (2) respiratory tract infection or hospitalisation for COPD exacerbation within 6 weeks before the core study.</w:t>
            </w:r>
          </w:p>
          <w:p w:rsidR="00035233" w:rsidRDefault="00035233" w:rsidP="00035233">
            <w:pPr>
              <w:pStyle w:val="06Tabletextspacebefore"/>
            </w:pPr>
            <w:r>
              <w:rPr>
                <w:u w:val="single"/>
              </w:rPr>
              <w:t>Other</w:t>
            </w:r>
          </w:p>
          <w:p w:rsidR="00035233" w:rsidRPr="00E17801" w:rsidRDefault="00035233" w:rsidP="00035233">
            <w:pPr>
              <w:pStyle w:val="05Tabletext"/>
            </w:pPr>
            <w:r>
              <w:t>(1) Subjects were supplied with albuterol for use as needed, (2) other bronchodilators were discontinued before the study, (3) treatment with fixed combinations of LABAs and ICS was replaced with ICS monotherapy at equivalent doses and regimens prior to the core study (subjects already on ICS monotherapy at the start of the core study could continue their ICS medication).</w:t>
            </w:r>
          </w:p>
        </w:tc>
        <w:tc>
          <w:tcPr>
            <w:tcW w:w="336" w:type="pct"/>
            <w:shd w:val="clear" w:color="auto" w:fill="auto"/>
          </w:tcPr>
          <w:p w:rsidR="00035233" w:rsidRPr="00194011" w:rsidRDefault="00035233" w:rsidP="00035233">
            <w:pPr>
              <w:pStyle w:val="05Tabletext"/>
              <w:jc w:val="center"/>
            </w:pPr>
            <w:r>
              <w:t>52 weeks (2</w:t>
            </w:r>
            <w:r w:rsidR="00460E94">
              <w:t>6-week RCT with 26-</w:t>
            </w:r>
            <w:r>
              <w:t>week extension)</w:t>
            </w:r>
          </w:p>
        </w:tc>
        <w:tc>
          <w:tcPr>
            <w:tcW w:w="751" w:type="pct"/>
            <w:shd w:val="clear" w:color="auto" w:fill="auto"/>
          </w:tcPr>
          <w:p w:rsidR="00035233" w:rsidRDefault="00035233" w:rsidP="00035233">
            <w:pPr>
              <w:pStyle w:val="05Tabletext"/>
              <w:rPr>
                <w:u w:val="single"/>
              </w:rPr>
            </w:pPr>
            <w:r>
              <w:rPr>
                <w:u w:val="single"/>
              </w:rPr>
              <w:t>Primary</w:t>
            </w:r>
          </w:p>
          <w:p w:rsidR="00035233" w:rsidRPr="0005232C" w:rsidRDefault="00035233" w:rsidP="00035233">
            <w:pPr>
              <w:pStyle w:val="05Tabletext"/>
            </w:pPr>
            <w:r>
              <w:t>Safety over 52 weeks, including AEs, vital signs, ECGs, serum potassium and blood glucose levels.</w:t>
            </w:r>
          </w:p>
          <w:p w:rsidR="00035233" w:rsidRDefault="00035233" w:rsidP="00035233">
            <w:pPr>
              <w:pStyle w:val="06Tabletextspacebefore"/>
            </w:pPr>
            <w:r>
              <w:rPr>
                <w:u w:val="single"/>
              </w:rPr>
              <w:t>Secondary</w:t>
            </w:r>
          </w:p>
          <w:p w:rsidR="00035233" w:rsidRPr="007A732B" w:rsidRDefault="00035233" w:rsidP="00035233">
            <w:pPr>
              <w:pStyle w:val="05Tabletext"/>
            </w:pPr>
            <w:r>
              <w:t>Trough FEV</w:t>
            </w:r>
            <w:r>
              <w:rPr>
                <w:vertAlign w:val="subscript"/>
              </w:rPr>
              <w:t>1</w:t>
            </w:r>
            <w:r>
              <w:t xml:space="preserve"> at 52 weeks;</w:t>
            </w:r>
            <w:r>
              <w:rPr>
                <w:rStyle w:val="FootnoteReference"/>
              </w:rPr>
              <w:footnoteReference w:id="18"/>
            </w:r>
            <w:r>
              <w:t xml:space="preserve"> time to first COPD exacerbation;</w:t>
            </w:r>
            <w:r>
              <w:rPr>
                <w:rStyle w:val="FootnoteReference"/>
              </w:rPr>
              <w:footnoteReference w:id="19"/>
            </w:r>
            <w:r>
              <w:t xml:space="preserve"> albuterol use; rate of exacerbations; SGRQ.</w:t>
            </w:r>
          </w:p>
        </w:tc>
      </w:tr>
    </w:tbl>
    <w:p w:rsidR="00035233" w:rsidRDefault="00035233" w:rsidP="00035233">
      <w:pPr>
        <w:pStyle w:val="10TableorFigurefootnote"/>
      </w:pPr>
      <w:r w:rsidRPr="00745648">
        <w:t>Note: N refers to number randomised unless otherwise specified.</w:t>
      </w:r>
    </w:p>
    <w:p w:rsidR="00035233" w:rsidRDefault="00035233" w:rsidP="00035233">
      <w:pPr>
        <w:pStyle w:val="11TableorFigurefootnotenostick"/>
      </w:pPr>
      <w:r>
        <w:t>Abbreviations: AE, adverse event; COPD, chronic obstructive pulmonary disease; ECG, electrocardiogram; FEV</w:t>
      </w:r>
      <w:r>
        <w:rPr>
          <w:vertAlign w:val="subscript"/>
        </w:rPr>
        <w:t>1</w:t>
      </w:r>
      <w:r>
        <w:t>, forced expiratory volume in one second; FVC, forced vital capacity; ICS, inhaled corticosteroid; IND, indacaterol; LABA, long-acting beta-agonist; LOF, length of follow up; PBO, placebo; qd, once daily; RCT, randomised controlled trial; SGRQ, St George’s Respiratory Questionnaire; US, United States.</w:t>
      </w:r>
    </w:p>
    <w:p w:rsidR="00035233" w:rsidRDefault="00035233" w:rsidP="00035233">
      <w:pPr>
        <w:pStyle w:val="BodyText"/>
      </w:pPr>
    </w:p>
    <w:p w:rsidR="00035233" w:rsidRPr="006477B4" w:rsidRDefault="00035233" w:rsidP="00035233">
      <w:pPr>
        <w:pStyle w:val="BodyText"/>
        <w:sectPr w:rsidR="00035233" w:rsidRPr="006477B4" w:rsidSect="00270A37">
          <w:headerReference w:type="even" r:id="rId23"/>
          <w:footerReference w:type="default" r:id="rId24"/>
          <w:headerReference w:type="first" r:id="rId25"/>
          <w:pgSz w:w="16838" w:h="11906" w:orient="landscape"/>
          <w:pgMar w:top="1134" w:right="1134" w:bottom="1134" w:left="1134" w:header="709" w:footer="709" w:gutter="0"/>
          <w:cols w:space="708"/>
          <w:docGrid w:linePitch="360"/>
        </w:sectPr>
      </w:pPr>
    </w:p>
    <w:p w:rsidR="00035233" w:rsidRDefault="00035233" w:rsidP="00A55E5D">
      <w:pPr>
        <w:pStyle w:val="Heading4"/>
        <w:numPr>
          <w:ilvl w:val="3"/>
          <w:numId w:val="11"/>
        </w:numPr>
        <w:spacing w:before="120"/>
      </w:pPr>
      <w:r>
        <w:lastRenderedPageBreak/>
        <w:t>Indacaterol 150 μg once-daily versus indacaterol 300 μg once-daily</w:t>
      </w:r>
    </w:p>
    <w:p w:rsidR="00035233" w:rsidRDefault="00035233" w:rsidP="00251CB8">
      <w:pPr>
        <w:pStyle w:val="Heading5"/>
        <w:numPr>
          <w:ilvl w:val="4"/>
          <w:numId w:val="11"/>
        </w:numPr>
      </w:pPr>
      <w:r>
        <w:t>INDORSE study</w:t>
      </w:r>
    </w:p>
    <w:p w:rsidR="00035233" w:rsidRDefault="00035233" w:rsidP="00035233">
      <w:pPr>
        <w:pStyle w:val="BodyTextnospacebefore"/>
      </w:pPr>
      <w:r>
        <w:t>In this study, patients were randomised (</w:t>
      </w:r>
      <w:r w:rsidRPr="00E95A58">
        <w:t xml:space="preserve">1:1:1:1) to </w:t>
      </w:r>
      <w:r>
        <w:t>t</w:t>
      </w:r>
      <w:r w:rsidRPr="00E95A58">
        <w:t xml:space="preserve">reatment with </w:t>
      </w:r>
      <w:r>
        <w:t>indacaterol 1</w:t>
      </w:r>
      <w:r w:rsidR="001940E5">
        <w:t>50 μg or 300 </w:t>
      </w:r>
      <w:r w:rsidRPr="00E95A58">
        <w:t>μg, placebo, or open-label tiotropium</w:t>
      </w:r>
      <w:r>
        <w:t xml:space="preserve"> for 26 weeks</w:t>
      </w:r>
      <w:r w:rsidRPr="00E95A58">
        <w:t>.</w:t>
      </w:r>
      <w:r>
        <w:t xml:space="preserve"> Patients who were assigned to either of the indacaterol groups or placebo, and who completed the cor</w:t>
      </w:r>
      <w:r w:rsidR="00460E94">
        <w:t>e study, were eligible for a 26-</w:t>
      </w:r>
      <w:r>
        <w:t>week extension study in which they continued their existing treatment. The double-blind was maintained throughout the entire study period and the primary end point was safety at 52 weeks.</w:t>
      </w:r>
    </w:p>
    <w:p w:rsidR="00035233" w:rsidRPr="003D5DB9" w:rsidRDefault="00035233" w:rsidP="00035233">
      <w:pPr>
        <w:pStyle w:val="BodyText"/>
      </w:pPr>
      <w:r>
        <w:t>In relation to baseline characteristics, the treatment groups were generally comparable. In both of the indacaterol groups, 34% of patients were using ICS medications at baseline compared with 40% in the placebo group.</w:t>
      </w:r>
    </w:p>
    <w:p w:rsidR="00035233" w:rsidRDefault="00035233" w:rsidP="00035233">
      <w:pPr>
        <w:pStyle w:val="BodyText"/>
      </w:pPr>
      <w:r>
        <w:t>The differences between indacaterol and placebo in trough FEV</w:t>
      </w:r>
      <w:r w:rsidRPr="00D524C6">
        <w:rPr>
          <w:vertAlign w:val="subscript"/>
        </w:rPr>
        <w:t>1</w:t>
      </w:r>
      <w:r>
        <w:t xml:space="preserve"> were fairly consistent from Week 2 to Week 52, with differences of ≥160 mL compared with placebo for both doses at each time point (all p&lt;0.001). Although no statistical analyses were conducted to compare the two doses of indacaterol, it is apparent from the data presented in </w:t>
      </w:r>
      <w:r w:rsidR="006172D5">
        <w:t>Figure 3.1</w:t>
      </w:r>
      <w:r>
        <w:t xml:space="preserve"> and</w:t>
      </w:r>
      <w:r w:rsidR="006172D5" w:rsidRPr="006172D5">
        <w:t xml:space="preserve"> </w:t>
      </w:r>
      <w:r w:rsidR="006172D5">
        <w:t>Table 3.25</w:t>
      </w:r>
      <w:r w:rsidR="001940E5">
        <w:t xml:space="preserve"> </w:t>
      </w:r>
      <w:r>
        <w:t>that the two doses of indacaterol were associated with similar magnitudes of improvement from baseline and compared with placebo.</w:t>
      </w:r>
    </w:p>
    <w:p w:rsidR="001940E5" w:rsidRPr="00D524C6" w:rsidRDefault="001940E5" w:rsidP="001940E5">
      <w:pPr>
        <w:pStyle w:val="BodyText"/>
      </w:pPr>
      <w:r>
        <w:t xml:space="preserve">The results shown in Table 3.26 demonstrate very similar findings for the two indacaterol doses in relation to risk of exacerbations; however, the authors acknowledged that the study was not sufficiently powered for a comparison of exacerbation rates. </w:t>
      </w:r>
    </w:p>
    <w:p w:rsidR="00035233" w:rsidRPr="00615FFE" w:rsidRDefault="001940E5" w:rsidP="001940E5">
      <w:pPr>
        <w:pStyle w:val="ToR3Figureheader"/>
      </w:pPr>
      <w:bookmarkStart w:id="177" w:name="_Toc467782117"/>
      <w:bookmarkStart w:id="178" w:name="_Toc468012305"/>
      <w:bookmarkStart w:id="179" w:name="_Toc468034461"/>
      <w:bookmarkStart w:id="180" w:name="_Toc471891131"/>
      <w:bookmarkStart w:id="181" w:name="_Toc480375158"/>
      <w:bookmarkStart w:id="182" w:name="_Toc486428264"/>
      <w:r>
        <w:t>Figure 3.1</w:t>
      </w:r>
      <w:r w:rsidR="006172D5">
        <w:tab/>
        <w:t xml:space="preserve"> </w:t>
      </w:r>
      <w:r w:rsidR="00035233">
        <w:t>Differences between active treatments and placebo for trough FEV</w:t>
      </w:r>
      <w:r w:rsidR="00035233">
        <w:rPr>
          <w:vertAlign w:val="subscript"/>
        </w:rPr>
        <w:t>1</w:t>
      </w:r>
      <w:r w:rsidR="00460E94">
        <w:t xml:space="preserve"> up to W</w:t>
      </w:r>
      <w:r w:rsidR="00035233">
        <w:t>eek 52</w:t>
      </w:r>
      <w:bookmarkEnd w:id="177"/>
      <w:bookmarkEnd w:id="178"/>
      <w:bookmarkEnd w:id="179"/>
      <w:bookmarkEnd w:id="180"/>
      <w:bookmarkEnd w:id="181"/>
      <w:bookmarkEnd w:id="182"/>
    </w:p>
    <w:p w:rsidR="00035233" w:rsidRDefault="00035233" w:rsidP="00035233">
      <w:pPr>
        <w:pStyle w:val="Picturewithbox"/>
      </w:pPr>
      <w:r>
        <w:rPr>
          <w:noProof/>
          <w:lang w:eastAsia="en-AU"/>
        </w:rPr>
        <w:drawing>
          <wp:inline distT="0" distB="0" distL="0" distR="0" wp14:anchorId="51E21456" wp14:editId="69331635">
            <wp:extent cx="4311015" cy="2920365"/>
            <wp:effectExtent l="0" t="0" r="0" b="0"/>
            <wp:docPr id="39" name="Picture 2" descr="Chapman 2011 Figure 2" title="Differences between active treatments and placebo for trough FEV1 up to wee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pman 2011 Fig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11015" cy="2920365"/>
                    </a:xfrm>
                    <a:prstGeom prst="rect">
                      <a:avLst/>
                    </a:prstGeom>
                    <a:noFill/>
                    <a:ln>
                      <a:noFill/>
                    </a:ln>
                  </pic:spPr>
                </pic:pic>
              </a:graphicData>
            </a:graphic>
          </wp:inline>
        </w:drawing>
      </w:r>
    </w:p>
    <w:p w:rsidR="00035233" w:rsidRDefault="00035233" w:rsidP="00035233">
      <w:pPr>
        <w:pStyle w:val="10TableorFigurefootnote"/>
      </w:pPr>
      <w:r>
        <w:t>Source: Chapman et al (2011), Figure 2.</w:t>
      </w:r>
    </w:p>
    <w:p w:rsidR="00035233" w:rsidRDefault="00035233" w:rsidP="00035233">
      <w:pPr>
        <w:pStyle w:val="10TableorFigurefootnote"/>
      </w:pPr>
      <w:r>
        <w:t>Note: Data are presented as LS means with 95% CIs. An indacaterol-placebo difference of 120 mL (broken line) was taken as the threshold for a clinically relevant effect.</w:t>
      </w:r>
    </w:p>
    <w:p w:rsidR="00035233" w:rsidRDefault="00035233" w:rsidP="00035233">
      <w:pPr>
        <w:pStyle w:val="11TableorFigurefootnotenostick"/>
      </w:pPr>
      <w:r>
        <w:t>Abbreviations: FEV</w:t>
      </w:r>
      <w:r>
        <w:rPr>
          <w:vertAlign w:val="subscript"/>
        </w:rPr>
        <w:t>1</w:t>
      </w:r>
      <w:r>
        <w:t>, forced expiratory volume in 1 second.</w:t>
      </w:r>
    </w:p>
    <w:p w:rsidR="00035233" w:rsidRDefault="006172D5" w:rsidP="001940E5">
      <w:pPr>
        <w:pStyle w:val="ToR3Tableheader"/>
      </w:pPr>
      <w:bookmarkStart w:id="183" w:name="_Toc467782118"/>
      <w:bookmarkStart w:id="184" w:name="_Toc468012306"/>
      <w:bookmarkStart w:id="185" w:name="_Toc468034462"/>
      <w:bookmarkStart w:id="186" w:name="_Toc471891017"/>
      <w:bookmarkStart w:id="187" w:name="_Toc486428204"/>
      <w:r>
        <w:lastRenderedPageBreak/>
        <w:t>Ta</w:t>
      </w:r>
      <w:r w:rsidR="001940E5">
        <w:t>ble 3.25</w:t>
      </w:r>
      <w:r>
        <w:tab/>
      </w:r>
      <w:r w:rsidR="00035233">
        <w:t>Change in trough FEV</w:t>
      </w:r>
      <w:r w:rsidR="00035233">
        <w:rPr>
          <w:vertAlign w:val="subscript"/>
        </w:rPr>
        <w:t>1</w:t>
      </w:r>
      <w:r w:rsidR="00460E94">
        <w:t xml:space="preserve"> at W</w:t>
      </w:r>
      <w:r w:rsidR="00035233">
        <w:t>eek 52 – IND 150, IND 300 and PBO</w:t>
      </w:r>
      <w:bookmarkEnd w:id="183"/>
      <w:bookmarkEnd w:id="184"/>
      <w:bookmarkEnd w:id="185"/>
      <w:bookmarkEnd w:id="186"/>
      <w:bookmarkEnd w:id="18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Caption w:val="Change in trough FEV1 at week 52 "/>
        <w:tblDescription w:val="Indacaterol 150, Indacaterol 300 and placebo"/>
      </w:tblPr>
      <w:tblGrid>
        <w:gridCol w:w="3832"/>
        <w:gridCol w:w="1631"/>
        <w:gridCol w:w="1631"/>
        <w:gridCol w:w="1277"/>
        <w:gridCol w:w="1277"/>
      </w:tblGrid>
      <w:tr w:rsidR="00035233" w:rsidRPr="00F01736" w:rsidTr="00035233">
        <w:trPr>
          <w:cantSplit/>
          <w:tblHeader/>
        </w:trPr>
        <w:tc>
          <w:tcPr>
            <w:tcW w:w="1986" w:type="pct"/>
            <w:shd w:val="clear" w:color="auto" w:fill="BFBFBF"/>
          </w:tcPr>
          <w:p w:rsidR="00035233" w:rsidRPr="00FB7866" w:rsidRDefault="00035233" w:rsidP="00035233">
            <w:pPr>
              <w:pStyle w:val="01TableHEADINGleftaligned"/>
            </w:pPr>
            <w:r>
              <w:t>Trough FEV</w:t>
            </w:r>
            <w:r>
              <w:rPr>
                <w:vertAlign w:val="subscript"/>
              </w:rPr>
              <w:t>1</w:t>
            </w:r>
            <w:r w:rsidR="00460E94">
              <w:t xml:space="preserve"> at W</w:t>
            </w:r>
            <w:r>
              <w:t>eek 52</w:t>
            </w:r>
          </w:p>
        </w:tc>
        <w:tc>
          <w:tcPr>
            <w:tcW w:w="845" w:type="pct"/>
            <w:shd w:val="clear" w:color="auto" w:fill="BFBFBF"/>
          </w:tcPr>
          <w:p w:rsidR="00035233" w:rsidRPr="00F01736" w:rsidRDefault="00035233" w:rsidP="00035233">
            <w:pPr>
              <w:pStyle w:val="01TableHEADINGleftaligned"/>
              <w:jc w:val="center"/>
            </w:pPr>
            <w:r>
              <w:t>IND 150</w:t>
            </w:r>
          </w:p>
        </w:tc>
        <w:tc>
          <w:tcPr>
            <w:tcW w:w="845" w:type="pct"/>
            <w:shd w:val="clear" w:color="auto" w:fill="BFBFBF"/>
          </w:tcPr>
          <w:p w:rsidR="00035233" w:rsidRPr="00F01736" w:rsidRDefault="00035233" w:rsidP="00035233">
            <w:pPr>
              <w:pStyle w:val="01TableHEADINGleftaligned"/>
              <w:jc w:val="center"/>
            </w:pPr>
            <w:r>
              <w:t>IND 300</w:t>
            </w:r>
          </w:p>
        </w:tc>
        <w:tc>
          <w:tcPr>
            <w:tcW w:w="662" w:type="pct"/>
            <w:shd w:val="clear" w:color="auto" w:fill="BFBFBF"/>
          </w:tcPr>
          <w:p w:rsidR="00035233" w:rsidRPr="00F01736" w:rsidRDefault="00035233" w:rsidP="00035233">
            <w:pPr>
              <w:pStyle w:val="01TableHEADINGleftaligned"/>
              <w:jc w:val="center"/>
            </w:pPr>
            <w:r>
              <w:t>PBO</w:t>
            </w:r>
          </w:p>
        </w:tc>
        <w:tc>
          <w:tcPr>
            <w:tcW w:w="662" w:type="pct"/>
            <w:shd w:val="clear" w:color="auto" w:fill="BFBFBF"/>
          </w:tcPr>
          <w:p w:rsidR="00035233" w:rsidRPr="00F01736" w:rsidRDefault="00035233" w:rsidP="00035233">
            <w:pPr>
              <w:pStyle w:val="01TableHEADINGleftaligned"/>
              <w:jc w:val="center"/>
            </w:pPr>
            <w:r w:rsidRPr="00F01736">
              <w:t>p-</w:t>
            </w:r>
            <w:r w:rsidRPr="00DE60B1">
              <w:t>value</w:t>
            </w:r>
          </w:p>
        </w:tc>
      </w:tr>
      <w:tr w:rsidR="00035233" w:rsidRPr="00194011" w:rsidTr="00035233">
        <w:trPr>
          <w:cantSplit/>
        </w:trPr>
        <w:tc>
          <w:tcPr>
            <w:tcW w:w="1986" w:type="pct"/>
            <w:shd w:val="clear" w:color="auto" w:fill="auto"/>
          </w:tcPr>
          <w:p w:rsidR="00035233" w:rsidRPr="00194011" w:rsidRDefault="00035233" w:rsidP="00035233">
            <w:pPr>
              <w:pStyle w:val="05Tabletext"/>
              <w:keepNext/>
            </w:pPr>
            <w:r>
              <w:t xml:space="preserve">Change relative to </w:t>
            </w:r>
            <w:r w:rsidRPr="00FB7866">
              <w:t>placebo</w:t>
            </w:r>
            <w:r>
              <w:t>, LS mean (95% CI), mL</w:t>
            </w:r>
          </w:p>
        </w:tc>
        <w:tc>
          <w:tcPr>
            <w:tcW w:w="845" w:type="pct"/>
            <w:shd w:val="clear" w:color="auto" w:fill="auto"/>
          </w:tcPr>
          <w:p w:rsidR="00035233" w:rsidRPr="00AB3BDC" w:rsidRDefault="00035233" w:rsidP="00035233">
            <w:pPr>
              <w:pStyle w:val="05Tabletext"/>
              <w:keepNext/>
              <w:jc w:val="center"/>
            </w:pPr>
            <w:r>
              <w:t>170 (110, 230)</w:t>
            </w:r>
          </w:p>
        </w:tc>
        <w:tc>
          <w:tcPr>
            <w:tcW w:w="845" w:type="pct"/>
            <w:shd w:val="clear" w:color="auto" w:fill="auto"/>
          </w:tcPr>
          <w:p w:rsidR="00035233" w:rsidRPr="00BC7782" w:rsidRDefault="00035233" w:rsidP="00035233">
            <w:pPr>
              <w:pStyle w:val="05Tabletext"/>
              <w:keepNext/>
              <w:jc w:val="center"/>
            </w:pPr>
            <w:r>
              <w:t>180 (120, 240)</w:t>
            </w:r>
          </w:p>
        </w:tc>
        <w:tc>
          <w:tcPr>
            <w:tcW w:w="662" w:type="pct"/>
          </w:tcPr>
          <w:p w:rsidR="00035233" w:rsidRPr="00194011" w:rsidRDefault="00035233" w:rsidP="00035233">
            <w:pPr>
              <w:pStyle w:val="05Tabletext"/>
              <w:keepNext/>
              <w:jc w:val="center"/>
            </w:pPr>
            <w:r>
              <w:t>-</w:t>
            </w:r>
          </w:p>
        </w:tc>
        <w:tc>
          <w:tcPr>
            <w:tcW w:w="662" w:type="pct"/>
            <w:shd w:val="clear" w:color="auto" w:fill="auto"/>
          </w:tcPr>
          <w:p w:rsidR="00035233" w:rsidRPr="00194011" w:rsidRDefault="00035233" w:rsidP="00035233">
            <w:pPr>
              <w:pStyle w:val="05Tabletext"/>
              <w:keepNext/>
              <w:jc w:val="center"/>
            </w:pPr>
            <w:r>
              <w:t>both p&lt;0.001</w:t>
            </w:r>
          </w:p>
        </w:tc>
      </w:tr>
      <w:tr w:rsidR="00035233" w:rsidRPr="00194011" w:rsidTr="00035233">
        <w:trPr>
          <w:cantSplit/>
        </w:trPr>
        <w:tc>
          <w:tcPr>
            <w:tcW w:w="1986" w:type="pct"/>
            <w:shd w:val="clear" w:color="auto" w:fill="auto"/>
          </w:tcPr>
          <w:p w:rsidR="00035233" w:rsidRPr="00FB7866" w:rsidRDefault="00035233" w:rsidP="00035233">
            <w:pPr>
              <w:pStyle w:val="05Tabletext"/>
              <w:keepNext/>
            </w:pPr>
            <w:r>
              <w:t>Change relative to baseline, LS mean (% change), mL</w:t>
            </w:r>
          </w:p>
        </w:tc>
        <w:tc>
          <w:tcPr>
            <w:tcW w:w="845" w:type="pct"/>
            <w:shd w:val="clear" w:color="auto" w:fill="auto"/>
          </w:tcPr>
          <w:p w:rsidR="00035233" w:rsidRPr="00AB3BDC" w:rsidRDefault="00035233" w:rsidP="00035233">
            <w:pPr>
              <w:pStyle w:val="05Tabletext"/>
              <w:keepNext/>
              <w:jc w:val="center"/>
            </w:pPr>
            <w:r>
              <w:t>120 (10)</w:t>
            </w:r>
          </w:p>
        </w:tc>
        <w:tc>
          <w:tcPr>
            <w:tcW w:w="845" w:type="pct"/>
            <w:shd w:val="clear" w:color="auto" w:fill="auto"/>
          </w:tcPr>
          <w:p w:rsidR="00035233" w:rsidRPr="00BC7782" w:rsidRDefault="00035233" w:rsidP="00035233">
            <w:pPr>
              <w:pStyle w:val="05Tabletext"/>
              <w:keepNext/>
              <w:jc w:val="center"/>
            </w:pPr>
            <w:r>
              <w:t>130 (10)</w:t>
            </w:r>
          </w:p>
        </w:tc>
        <w:tc>
          <w:tcPr>
            <w:tcW w:w="662" w:type="pct"/>
          </w:tcPr>
          <w:p w:rsidR="00035233" w:rsidRPr="00194011" w:rsidRDefault="00035233" w:rsidP="00035233">
            <w:pPr>
              <w:pStyle w:val="05Tabletext"/>
              <w:keepNext/>
              <w:jc w:val="center"/>
            </w:pPr>
            <w:r>
              <w:t>–40 (–3)</w:t>
            </w:r>
          </w:p>
        </w:tc>
        <w:tc>
          <w:tcPr>
            <w:tcW w:w="662" w:type="pct"/>
            <w:shd w:val="clear" w:color="auto" w:fill="auto"/>
          </w:tcPr>
          <w:p w:rsidR="00035233" w:rsidRPr="00194011" w:rsidRDefault="00035233" w:rsidP="00035233">
            <w:pPr>
              <w:pStyle w:val="05Tabletext"/>
              <w:keepNext/>
              <w:jc w:val="center"/>
            </w:pPr>
            <w:r>
              <w:t>-</w:t>
            </w:r>
          </w:p>
        </w:tc>
      </w:tr>
    </w:tbl>
    <w:p w:rsidR="00035233" w:rsidRDefault="00035233" w:rsidP="00035233">
      <w:pPr>
        <w:pStyle w:val="10TableorFigurefootnote"/>
      </w:pPr>
      <w:r>
        <w:t>Source: Chapman et al (2011), pg 71-2 and Figure 2.</w:t>
      </w:r>
    </w:p>
    <w:p w:rsidR="00035233" w:rsidRDefault="00035233" w:rsidP="00035233">
      <w:pPr>
        <w:pStyle w:val="10TableorFigurefootnote"/>
      </w:pPr>
      <w:r>
        <w:t xml:space="preserve">Note: </w:t>
      </w:r>
      <w:r w:rsidRPr="000A2CF9">
        <w:t xml:space="preserve">Efficacy was analysed for the </w:t>
      </w:r>
      <w:r>
        <w:t>ITT</w:t>
      </w:r>
      <w:r w:rsidRPr="000A2CF9">
        <w:t xml:space="preserve"> pop</w:t>
      </w:r>
      <w:r>
        <w:t>ulation, comprising all randomis</w:t>
      </w:r>
      <w:r w:rsidRPr="000A2CF9">
        <w:t>ed subjects who received at least one dose of study drug, and subjects were analysed according to their rand</w:t>
      </w:r>
      <w:r>
        <w:t>omis</w:t>
      </w:r>
      <w:r w:rsidRPr="000A2CF9">
        <w:t>ed treatment.</w:t>
      </w:r>
      <w:r>
        <w:t xml:space="preserve"> The analysis was conducted using a mixed</w:t>
      </w:r>
      <w:r w:rsidR="00BD5577">
        <w:t xml:space="preserve"> </w:t>
      </w:r>
      <w:r>
        <w:t>model analysis of covariance.</w:t>
      </w:r>
    </w:p>
    <w:p w:rsidR="00035233" w:rsidRDefault="00035233" w:rsidP="00035233">
      <w:pPr>
        <w:pStyle w:val="11TableorFigurefootnotenostick"/>
      </w:pPr>
      <w:r>
        <w:t>Abbreviations: CI, confidence interval; FEV</w:t>
      </w:r>
      <w:r>
        <w:rPr>
          <w:vertAlign w:val="subscript"/>
        </w:rPr>
        <w:t>1</w:t>
      </w:r>
      <w:r>
        <w:t>, forced expiratory volume in 1 second; IND, indacaterol; LS, least squares; PBO, placebo.</w:t>
      </w:r>
    </w:p>
    <w:p w:rsidR="00035233" w:rsidRPr="00EF1FE8" w:rsidRDefault="001940E5" w:rsidP="001940E5">
      <w:pPr>
        <w:pStyle w:val="ToR3Tableheader"/>
      </w:pPr>
      <w:bookmarkStart w:id="188" w:name="_Toc467782119"/>
      <w:bookmarkStart w:id="189" w:name="_Toc468012307"/>
      <w:bookmarkStart w:id="190" w:name="_Toc468034463"/>
      <w:bookmarkStart w:id="191" w:name="_Toc471891018"/>
      <w:bookmarkStart w:id="192" w:name="_Toc486428205"/>
      <w:r>
        <w:t>Table 3.26</w:t>
      </w:r>
      <w:r w:rsidR="006172D5">
        <w:tab/>
      </w:r>
      <w:r w:rsidR="00035233">
        <w:t>Rate of COPD exacerbations – IND 150 μg, IND 300 μg versus</w:t>
      </w:r>
      <w:r w:rsidR="00035233" w:rsidRPr="00A60855">
        <w:t xml:space="preserve"> placebo</w:t>
      </w:r>
      <w:bookmarkEnd w:id="188"/>
      <w:bookmarkEnd w:id="189"/>
      <w:bookmarkEnd w:id="190"/>
      <w:bookmarkEnd w:id="191"/>
      <w:bookmarkEnd w:id="19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Caption w:val="Rate of COPD exacerbations "/>
        <w:tblDescription w:val="Indacaterol 150, indacaterol 300 and placebo"/>
      </w:tblPr>
      <w:tblGrid>
        <w:gridCol w:w="3124"/>
        <w:gridCol w:w="2553"/>
        <w:gridCol w:w="2553"/>
        <w:gridCol w:w="1418"/>
      </w:tblGrid>
      <w:tr w:rsidR="00035233" w:rsidRPr="00194011" w:rsidTr="00035233">
        <w:trPr>
          <w:cantSplit/>
          <w:tblHeader/>
        </w:trPr>
        <w:tc>
          <w:tcPr>
            <w:tcW w:w="1619" w:type="pct"/>
            <w:shd w:val="clear" w:color="auto" w:fill="BFBFBF"/>
          </w:tcPr>
          <w:p w:rsidR="00035233" w:rsidRPr="00424904" w:rsidRDefault="00035233" w:rsidP="00035233">
            <w:pPr>
              <w:pStyle w:val="01TableHEADINGleftaligned"/>
            </w:pPr>
          </w:p>
        </w:tc>
        <w:tc>
          <w:tcPr>
            <w:tcW w:w="1323" w:type="pct"/>
            <w:tcBorders>
              <w:bottom w:val="single" w:sz="4" w:space="0" w:color="auto"/>
              <w:right w:val="single" w:sz="4" w:space="0" w:color="auto"/>
            </w:tcBorders>
            <w:shd w:val="clear" w:color="auto" w:fill="BFBFBF"/>
          </w:tcPr>
          <w:p w:rsidR="00035233" w:rsidRPr="00815893" w:rsidRDefault="00035233" w:rsidP="00035233">
            <w:pPr>
              <w:pStyle w:val="01TableHEADINGleftaligned"/>
              <w:ind w:right="0"/>
              <w:jc w:val="center"/>
            </w:pPr>
            <w:r>
              <w:t>IND 150 (n=144)</w:t>
            </w:r>
          </w:p>
        </w:tc>
        <w:tc>
          <w:tcPr>
            <w:tcW w:w="1323" w:type="pct"/>
            <w:tcBorders>
              <w:left w:val="single" w:sz="4" w:space="0" w:color="auto"/>
              <w:bottom w:val="single" w:sz="4" w:space="0" w:color="auto"/>
              <w:right w:val="single" w:sz="4" w:space="0" w:color="auto"/>
            </w:tcBorders>
            <w:shd w:val="clear" w:color="auto" w:fill="BFBFBF"/>
          </w:tcPr>
          <w:p w:rsidR="00035233" w:rsidRPr="00815893" w:rsidRDefault="00035233" w:rsidP="00035233">
            <w:pPr>
              <w:pStyle w:val="01TableHEADINGleftaligned"/>
              <w:ind w:left="28"/>
              <w:jc w:val="center"/>
            </w:pPr>
            <w:r>
              <w:t>IND 300 (n=146)</w:t>
            </w:r>
          </w:p>
        </w:tc>
        <w:tc>
          <w:tcPr>
            <w:tcW w:w="736" w:type="pct"/>
            <w:tcBorders>
              <w:left w:val="single" w:sz="4" w:space="0" w:color="auto"/>
              <w:bottom w:val="single" w:sz="4" w:space="0" w:color="auto"/>
            </w:tcBorders>
            <w:shd w:val="clear" w:color="auto" w:fill="BFBFBF"/>
          </w:tcPr>
          <w:p w:rsidR="00035233" w:rsidRPr="00194011" w:rsidRDefault="00035233" w:rsidP="00035233">
            <w:pPr>
              <w:pStyle w:val="01TableHEADINGleftaligned"/>
              <w:jc w:val="center"/>
            </w:pPr>
            <w:r>
              <w:t>PBO (n=124)</w:t>
            </w:r>
          </w:p>
        </w:tc>
      </w:tr>
      <w:tr w:rsidR="00035233" w:rsidRPr="00194011" w:rsidTr="00035233">
        <w:trPr>
          <w:cantSplit/>
        </w:trPr>
        <w:tc>
          <w:tcPr>
            <w:tcW w:w="1619" w:type="pct"/>
            <w:shd w:val="clear" w:color="auto" w:fill="000000"/>
          </w:tcPr>
          <w:p w:rsidR="00035233" w:rsidRDefault="00035233" w:rsidP="00035233">
            <w:pPr>
              <w:pStyle w:val="04Tablesubheading"/>
            </w:pPr>
            <w:r>
              <w:t>Without imputation</w:t>
            </w:r>
          </w:p>
        </w:tc>
        <w:tc>
          <w:tcPr>
            <w:tcW w:w="1323" w:type="pct"/>
            <w:shd w:val="clear" w:color="auto" w:fill="000000"/>
          </w:tcPr>
          <w:p w:rsidR="00035233" w:rsidRDefault="00035233" w:rsidP="00035233">
            <w:pPr>
              <w:pStyle w:val="04Tablesubheading"/>
            </w:pPr>
          </w:p>
        </w:tc>
        <w:tc>
          <w:tcPr>
            <w:tcW w:w="1323" w:type="pct"/>
            <w:shd w:val="clear" w:color="auto" w:fill="000000"/>
          </w:tcPr>
          <w:p w:rsidR="00035233" w:rsidRDefault="00035233" w:rsidP="00035233">
            <w:pPr>
              <w:pStyle w:val="04Tablesubheading"/>
            </w:pPr>
          </w:p>
        </w:tc>
        <w:tc>
          <w:tcPr>
            <w:tcW w:w="736" w:type="pct"/>
            <w:shd w:val="clear" w:color="auto" w:fill="000000"/>
          </w:tcPr>
          <w:p w:rsidR="00035233" w:rsidRDefault="00035233" w:rsidP="00035233">
            <w:pPr>
              <w:pStyle w:val="04Tablesubheading"/>
            </w:pPr>
          </w:p>
        </w:tc>
      </w:tr>
      <w:tr w:rsidR="00035233" w:rsidRPr="00194011" w:rsidTr="00035233">
        <w:trPr>
          <w:cantSplit/>
        </w:trPr>
        <w:tc>
          <w:tcPr>
            <w:tcW w:w="1619" w:type="pct"/>
            <w:shd w:val="clear" w:color="auto" w:fill="auto"/>
          </w:tcPr>
          <w:p w:rsidR="00035233" w:rsidRPr="001E0938" w:rsidRDefault="00035233" w:rsidP="00035233">
            <w:pPr>
              <w:pStyle w:val="05Tabletext"/>
            </w:pPr>
            <w:r>
              <w:t>Exacerbations per year</w:t>
            </w:r>
          </w:p>
        </w:tc>
        <w:tc>
          <w:tcPr>
            <w:tcW w:w="1323" w:type="pct"/>
            <w:shd w:val="clear" w:color="auto" w:fill="auto"/>
          </w:tcPr>
          <w:p w:rsidR="00035233" w:rsidRDefault="00035233" w:rsidP="00035233">
            <w:pPr>
              <w:pStyle w:val="05Tabletext"/>
              <w:jc w:val="center"/>
            </w:pPr>
            <w:r>
              <w:t>0.39</w:t>
            </w:r>
          </w:p>
        </w:tc>
        <w:tc>
          <w:tcPr>
            <w:tcW w:w="1323" w:type="pct"/>
            <w:shd w:val="clear" w:color="auto" w:fill="auto"/>
          </w:tcPr>
          <w:p w:rsidR="00035233" w:rsidRDefault="00035233" w:rsidP="00035233">
            <w:pPr>
              <w:pStyle w:val="05Tabletext"/>
              <w:jc w:val="center"/>
            </w:pPr>
            <w:r>
              <w:t>0.38</w:t>
            </w:r>
          </w:p>
        </w:tc>
        <w:tc>
          <w:tcPr>
            <w:tcW w:w="736" w:type="pct"/>
            <w:shd w:val="clear" w:color="auto" w:fill="auto"/>
          </w:tcPr>
          <w:p w:rsidR="00035233" w:rsidRDefault="00035233" w:rsidP="00035233">
            <w:pPr>
              <w:pStyle w:val="05Tabletext"/>
              <w:jc w:val="center"/>
            </w:pPr>
            <w:r>
              <w:t>0.54</w:t>
            </w:r>
          </w:p>
        </w:tc>
      </w:tr>
      <w:tr w:rsidR="00035233" w:rsidRPr="00194011" w:rsidTr="00035233">
        <w:trPr>
          <w:cantSplit/>
        </w:trPr>
        <w:tc>
          <w:tcPr>
            <w:tcW w:w="1619" w:type="pct"/>
            <w:shd w:val="clear" w:color="auto" w:fill="auto"/>
          </w:tcPr>
          <w:p w:rsidR="00035233" w:rsidRDefault="00035233" w:rsidP="00035233">
            <w:pPr>
              <w:pStyle w:val="05Tabletext"/>
            </w:pPr>
            <w:r>
              <w:t>Rate ratio compared with placebo (95% CI)</w:t>
            </w:r>
          </w:p>
        </w:tc>
        <w:tc>
          <w:tcPr>
            <w:tcW w:w="1323" w:type="pct"/>
            <w:shd w:val="clear" w:color="auto" w:fill="auto"/>
          </w:tcPr>
          <w:p w:rsidR="00035233" w:rsidRDefault="00035233" w:rsidP="00035233">
            <w:pPr>
              <w:pStyle w:val="05Tabletext"/>
              <w:jc w:val="center"/>
            </w:pPr>
            <w:r>
              <w:t>0.64 (0.43, 0.96); p=0.029</w:t>
            </w:r>
          </w:p>
        </w:tc>
        <w:tc>
          <w:tcPr>
            <w:tcW w:w="1323" w:type="pct"/>
            <w:shd w:val="clear" w:color="auto" w:fill="auto"/>
          </w:tcPr>
          <w:p w:rsidR="00035233" w:rsidRDefault="00035233" w:rsidP="00035233">
            <w:pPr>
              <w:pStyle w:val="05Tabletext"/>
              <w:jc w:val="center"/>
            </w:pPr>
            <w:r>
              <w:t>0.62 (0.42, 0.92); p=0.018</w:t>
            </w:r>
          </w:p>
        </w:tc>
        <w:tc>
          <w:tcPr>
            <w:tcW w:w="736" w:type="pct"/>
            <w:shd w:val="clear" w:color="auto" w:fill="auto"/>
          </w:tcPr>
          <w:p w:rsidR="00035233" w:rsidRDefault="00035233" w:rsidP="00035233">
            <w:pPr>
              <w:pStyle w:val="05Tabletext"/>
              <w:jc w:val="center"/>
            </w:pPr>
            <w:r>
              <w:t>-</w:t>
            </w:r>
          </w:p>
        </w:tc>
      </w:tr>
      <w:tr w:rsidR="00035233" w:rsidRPr="00194011" w:rsidTr="00035233">
        <w:trPr>
          <w:cantSplit/>
        </w:trPr>
        <w:tc>
          <w:tcPr>
            <w:tcW w:w="1619" w:type="pct"/>
            <w:shd w:val="clear" w:color="auto" w:fill="000000"/>
          </w:tcPr>
          <w:p w:rsidR="00035233" w:rsidRDefault="00035233" w:rsidP="00035233">
            <w:pPr>
              <w:pStyle w:val="04Tablesubheading"/>
            </w:pPr>
            <w:r>
              <w:t>With imputation</w:t>
            </w:r>
          </w:p>
        </w:tc>
        <w:tc>
          <w:tcPr>
            <w:tcW w:w="1323" w:type="pct"/>
            <w:shd w:val="clear" w:color="auto" w:fill="000000"/>
          </w:tcPr>
          <w:p w:rsidR="00035233" w:rsidRDefault="00035233" w:rsidP="00035233">
            <w:pPr>
              <w:pStyle w:val="04Tablesubheading"/>
            </w:pPr>
          </w:p>
        </w:tc>
        <w:tc>
          <w:tcPr>
            <w:tcW w:w="1323" w:type="pct"/>
            <w:shd w:val="clear" w:color="auto" w:fill="000000"/>
          </w:tcPr>
          <w:p w:rsidR="00035233" w:rsidRDefault="00035233" w:rsidP="00035233">
            <w:pPr>
              <w:pStyle w:val="04Tablesubheading"/>
            </w:pPr>
          </w:p>
        </w:tc>
        <w:tc>
          <w:tcPr>
            <w:tcW w:w="736" w:type="pct"/>
            <w:shd w:val="clear" w:color="auto" w:fill="000000"/>
          </w:tcPr>
          <w:p w:rsidR="00035233" w:rsidRDefault="00035233" w:rsidP="00035233">
            <w:pPr>
              <w:pStyle w:val="04Tablesubheading"/>
            </w:pPr>
          </w:p>
        </w:tc>
      </w:tr>
      <w:tr w:rsidR="00035233" w:rsidRPr="00194011" w:rsidTr="00035233">
        <w:trPr>
          <w:cantSplit/>
        </w:trPr>
        <w:tc>
          <w:tcPr>
            <w:tcW w:w="1619" w:type="pct"/>
            <w:shd w:val="clear" w:color="auto" w:fill="auto"/>
          </w:tcPr>
          <w:p w:rsidR="00035233" w:rsidRDefault="00035233" w:rsidP="00035233">
            <w:pPr>
              <w:pStyle w:val="05Tabletext"/>
            </w:pPr>
            <w:r>
              <w:t>Exacerbations per year</w:t>
            </w:r>
          </w:p>
        </w:tc>
        <w:tc>
          <w:tcPr>
            <w:tcW w:w="1323" w:type="pct"/>
            <w:shd w:val="clear" w:color="auto" w:fill="auto"/>
          </w:tcPr>
          <w:p w:rsidR="00035233" w:rsidRDefault="00035233" w:rsidP="00035233">
            <w:pPr>
              <w:pStyle w:val="05Tabletext"/>
              <w:jc w:val="center"/>
            </w:pPr>
            <w:r>
              <w:t>0.43</w:t>
            </w:r>
          </w:p>
        </w:tc>
        <w:tc>
          <w:tcPr>
            <w:tcW w:w="1323" w:type="pct"/>
            <w:shd w:val="clear" w:color="auto" w:fill="auto"/>
          </w:tcPr>
          <w:p w:rsidR="00035233" w:rsidRDefault="00035233" w:rsidP="00035233">
            <w:pPr>
              <w:pStyle w:val="05Tabletext"/>
              <w:jc w:val="center"/>
            </w:pPr>
            <w:r>
              <w:t>0.40</w:t>
            </w:r>
          </w:p>
        </w:tc>
        <w:tc>
          <w:tcPr>
            <w:tcW w:w="736" w:type="pct"/>
            <w:shd w:val="clear" w:color="auto" w:fill="auto"/>
          </w:tcPr>
          <w:p w:rsidR="00035233" w:rsidRDefault="00035233" w:rsidP="00035233">
            <w:pPr>
              <w:pStyle w:val="05Tabletext"/>
              <w:jc w:val="center"/>
            </w:pPr>
            <w:r>
              <w:t>0.57</w:t>
            </w:r>
          </w:p>
        </w:tc>
      </w:tr>
      <w:tr w:rsidR="00035233" w:rsidRPr="00194011" w:rsidTr="00035233">
        <w:trPr>
          <w:cantSplit/>
        </w:trPr>
        <w:tc>
          <w:tcPr>
            <w:tcW w:w="1619" w:type="pct"/>
            <w:shd w:val="clear" w:color="auto" w:fill="auto"/>
          </w:tcPr>
          <w:p w:rsidR="00035233" w:rsidRDefault="00035233" w:rsidP="00035233">
            <w:pPr>
              <w:pStyle w:val="05Tabletext"/>
            </w:pPr>
            <w:r>
              <w:t>Rate ratio compared with placebo (95% CI)</w:t>
            </w:r>
          </w:p>
        </w:tc>
        <w:tc>
          <w:tcPr>
            <w:tcW w:w="1323" w:type="pct"/>
            <w:shd w:val="clear" w:color="auto" w:fill="auto"/>
          </w:tcPr>
          <w:p w:rsidR="00035233" w:rsidRDefault="00035233" w:rsidP="00035233">
            <w:pPr>
              <w:pStyle w:val="05Tabletext"/>
              <w:jc w:val="center"/>
            </w:pPr>
            <w:r>
              <w:t>0.67 (0.45, 1.01); p=0.054</w:t>
            </w:r>
          </w:p>
        </w:tc>
        <w:tc>
          <w:tcPr>
            <w:tcW w:w="1323" w:type="pct"/>
            <w:shd w:val="clear" w:color="auto" w:fill="auto"/>
          </w:tcPr>
          <w:p w:rsidR="00035233" w:rsidRDefault="00035233" w:rsidP="00035233">
            <w:pPr>
              <w:pStyle w:val="05Tabletext"/>
              <w:jc w:val="center"/>
            </w:pPr>
            <w:r>
              <w:t>0.66 (0.44, 0.98); p=0.042</w:t>
            </w:r>
          </w:p>
        </w:tc>
        <w:tc>
          <w:tcPr>
            <w:tcW w:w="736" w:type="pct"/>
            <w:shd w:val="clear" w:color="auto" w:fill="auto"/>
          </w:tcPr>
          <w:p w:rsidR="00035233" w:rsidRDefault="00035233" w:rsidP="00035233">
            <w:pPr>
              <w:pStyle w:val="05Tabletext"/>
              <w:jc w:val="center"/>
            </w:pPr>
            <w:r>
              <w:t>-</w:t>
            </w:r>
          </w:p>
        </w:tc>
      </w:tr>
    </w:tbl>
    <w:p w:rsidR="00035233" w:rsidRDefault="00035233" w:rsidP="00035233">
      <w:pPr>
        <w:pStyle w:val="10TableorFigurefootnote"/>
      </w:pPr>
      <w:r>
        <w:t>Source: Chapman et al (2011), Table 3.</w:t>
      </w:r>
    </w:p>
    <w:p w:rsidR="00035233" w:rsidRDefault="00035233" w:rsidP="00035233">
      <w:pPr>
        <w:pStyle w:val="10TableorFigurefootnote"/>
      </w:pPr>
      <w:r>
        <w:t xml:space="preserve">Note: </w:t>
      </w:r>
      <w:r w:rsidRPr="00442514">
        <w:t>Time to first exacerbation was analysed using a Cox regression model, and exacerbation rates were analysed using a Poisson regression model without imputation (a sensitivity analysis with imputation of an additional exacerbation for prematurely discontinuing subjects was also performed).</w:t>
      </w:r>
    </w:p>
    <w:p w:rsidR="00035233" w:rsidRDefault="00035233" w:rsidP="00035233">
      <w:pPr>
        <w:pStyle w:val="11TableorFigurefootnotenostick"/>
      </w:pPr>
      <w:r>
        <w:t>Abbreviations: CI, confidence interval; COPD, chronic obstructive pulmonary disease; IND, indacaterol; PBO, placebo.</w:t>
      </w:r>
    </w:p>
    <w:p w:rsidR="00035233" w:rsidRDefault="00035233" w:rsidP="00035233">
      <w:pPr>
        <w:pStyle w:val="BodyText"/>
      </w:pPr>
      <w:r>
        <w:t xml:space="preserve">The primary objective of the INDORSE study was to evaluate the long-term safety of indacaterol. The safety outcomes summarised in </w:t>
      </w:r>
      <w:r w:rsidR="006172D5">
        <w:t>Table 3.27</w:t>
      </w:r>
      <w:r>
        <w:t xml:space="preserve"> demonstrate that both doses of indacaterol were well</w:t>
      </w:r>
      <w:r w:rsidR="00CB2EED">
        <w:t xml:space="preserve"> </w:t>
      </w:r>
      <w:r w:rsidR="001940E5">
        <w:t>tolerated over a one</w:t>
      </w:r>
      <w:r>
        <w:t xml:space="preserve"> year period and there were no concerning safety signals in either of the indacaterol groups, compared with placebo.</w:t>
      </w:r>
    </w:p>
    <w:p w:rsidR="00035233" w:rsidRPr="00295C79" w:rsidRDefault="001940E5" w:rsidP="001940E5">
      <w:pPr>
        <w:pStyle w:val="ToR3Tableheader"/>
        <w:rPr>
          <w:vertAlign w:val="superscript"/>
        </w:rPr>
      </w:pPr>
      <w:bookmarkStart w:id="193" w:name="_Toc467782120"/>
      <w:bookmarkStart w:id="194" w:name="_Toc468012308"/>
      <w:bookmarkStart w:id="195" w:name="_Toc468034464"/>
      <w:bookmarkStart w:id="196" w:name="_Toc471891019"/>
      <w:bookmarkStart w:id="197" w:name="_Toc486428206"/>
      <w:r>
        <w:t>Table 3.27</w:t>
      </w:r>
      <w:r w:rsidR="006172D5">
        <w:tab/>
      </w:r>
      <w:r w:rsidR="00035233">
        <w:t>Safety outcomes relating to IND 150 μg, IND 300 μg and placebo – safety population</w:t>
      </w:r>
      <w:r w:rsidR="00035233">
        <w:rPr>
          <w:vertAlign w:val="superscript"/>
        </w:rPr>
        <w:t>a</w:t>
      </w:r>
      <w:bookmarkEnd w:id="193"/>
      <w:bookmarkEnd w:id="194"/>
      <w:bookmarkEnd w:id="195"/>
      <w:bookmarkEnd w:id="196"/>
      <w:bookmarkEnd w:id="19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Caption w:val="Safety outcomes"/>
        <w:tblDescription w:val="Safety outcomes relating to IND 150 μg, IND 300 μg and placebo "/>
      </w:tblPr>
      <w:tblGrid>
        <w:gridCol w:w="2699"/>
        <w:gridCol w:w="2316"/>
        <w:gridCol w:w="2316"/>
        <w:gridCol w:w="2317"/>
      </w:tblGrid>
      <w:tr w:rsidR="00035233" w:rsidRPr="00194011" w:rsidTr="00035233">
        <w:trPr>
          <w:cantSplit/>
          <w:tblHeader/>
        </w:trPr>
        <w:tc>
          <w:tcPr>
            <w:tcW w:w="1399" w:type="pct"/>
            <w:shd w:val="clear" w:color="auto" w:fill="BFBFBF"/>
          </w:tcPr>
          <w:p w:rsidR="00035233" w:rsidRPr="00194011" w:rsidRDefault="00035233" w:rsidP="00035233">
            <w:pPr>
              <w:pStyle w:val="01TableHEADINGleftaligned"/>
              <w:rPr>
                <w:i/>
              </w:rPr>
            </w:pPr>
          </w:p>
        </w:tc>
        <w:tc>
          <w:tcPr>
            <w:tcW w:w="1200" w:type="pct"/>
            <w:tcBorders>
              <w:bottom w:val="single" w:sz="4" w:space="0" w:color="auto"/>
            </w:tcBorders>
            <w:shd w:val="clear" w:color="auto" w:fill="BFBFBF"/>
          </w:tcPr>
          <w:p w:rsidR="00035233" w:rsidRPr="00194011" w:rsidRDefault="00035233" w:rsidP="00035233">
            <w:pPr>
              <w:pStyle w:val="01TableHEADINGleftaligned"/>
              <w:jc w:val="center"/>
            </w:pPr>
            <w:r>
              <w:t>IND 150 (n=144)</w:t>
            </w:r>
          </w:p>
        </w:tc>
        <w:tc>
          <w:tcPr>
            <w:tcW w:w="1200" w:type="pct"/>
            <w:tcBorders>
              <w:bottom w:val="single" w:sz="4" w:space="0" w:color="auto"/>
            </w:tcBorders>
            <w:shd w:val="clear" w:color="auto" w:fill="BFBFBF"/>
          </w:tcPr>
          <w:p w:rsidR="00035233" w:rsidRPr="00194011" w:rsidRDefault="00035233" w:rsidP="00035233">
            <w:pPr>
              <w:pStyle w:val="01TableHEADINGleftaligned"/>
              <w:jc w:val="center"/>
            </w:pPr>
            <w:r>
              <w:t>IND 300 (n=146)</w:t>
            </w:r>
          </w:p>
        </w:tc>
        <w:tc>
          <w:tcPr>
            <w:tcW w:w="1201" w:type="pct"/>
            <w:tcBorders>
              <w:bottom w:val="single" w:sz="4" w:space="0" w:color="auto"/>
            </w:tcBorders>
            <w:shd w:val="clear" w:color="auto" w:fill="BFBFBF"/>
          </w:tcPr>
          <w:p w:rsidR="00035233" w:rsidRPr="00194011" w:rsidRDefault="00035233" w:rsidP="00035233">
            <w:pPr>
              <w:pStyle w:val="01TableHEADINGleftaligned"/>
              <w:jc w:val="center"/>
            </w:pPr>
            <w:r>
              <w:t>PBO (n=124)</w:t>
            </w:r>
          </w:p>
        </w:tc>
      </w:tr>
      <w:tr w:rsidR="00035233" w:rsidRPr="00194011" w:rsidTr="00035233">
        <w:trPr>
          <w:cantSplit/>
        </w:trPr>
        <w:tc>
          <w:tcPr>
            <w:tcW w:w="1399" w:type="pct"/>
            <w:shd w:val="clear" w:color="auto" w:fill="auto"/>
          </w:tcPr>
          <w:p w:rsidR="00035233" w:rsidRPr="00194011" w:rsidRDefault="00035233" w:rsidP="00035233">
            <w:pPr>
              <w:pStyle w:val="05Tabletext"/>
            </w:pPr>
            <w:r>
              <w:t>AEs, n (%)</w:t>
            </w:r>
          </w:p>
        </w:tc>
        <w:tc>
          <w:tcPr>
            <w:tcW w:w="1200" w:type="pct"/>
            <w:shd w:val="clear" w:color="auto" w:fill="auto"/>
          </w:tcPr>
          <w:p w:rsidR="00035233" w:rsidRPr="00194011" w:rsidRDefault="00035233" w:rsidP="00035233">
            <w:pPr>
              <w:pStyle w:val="05Tabletext"/>
              <w:jc w:val="center"/>
            </w:pPr>
            <w:r>
              <w:t>110 (76.4)</w:t>
            </w:r>
          </w:p>
        </w:tc>
        <w:tc>
          <w:tcPr>
            <w:tcW w:w="1200" w:type="pct"/>
            <w:shd w:val="clear" w:color="auto" w:fill="auto"/>
          </w:tcPr>
          <w:p w:rsidR="00035233" w:rsidRPr="00194011" w:rsidRDefault="00035233" w:rsidP="00035233">
            <w:pPr>
              <w:pStyle w:val="05Tabletext"/>
              <w:jc w:val="center"/>
            </w:pPr>
            <w:r>
              <w:t>112 (76.7)</w:t>
            </w:r>
          </w:p>
        </w:tc>
        <w:tc>
          <w:tcPr>
            <w:tcW w:w="1201" w:type="pct"/>
            <w:shd w:val="clear" w:color="auto" w:fill="auto"/>
          </w:tcPr>
          <w:p w:rsidR="00035233" w:rsidRPr="00194011" w:rsidRDefault="00035233" w:rsidP="00035233">
            <w:pPr>
              <w:pStyle w:val="05Tabletext"/>
              <w:jc w:val="center"/>
            </w:pPr>
            <w:r>
              <w:t>84 (67.7)</w:t>
            </w:r>
          </w:p>
        </w:tc>
      </w:tr>
      <w:tr w:rsidR="00035233" w:rsidRPr="00194011" w:rsidTr="00035233">
        <w:trPr>
          <w:cantSplit/>
        </w:trPr>
        <w:tc>
          <w:tcPr>
            <w:tcW w:w="1399" w:type="pct"/>
            <w:shd w:val="clear" w:color="auto" w:fill="auto"/>
          </w:tcPr>
          <w:p w:rsidR="00035233" w:rsidRPr="00194011" w:rsidRDefault="00035233" w:rsidP="00035233">
            <w:pPr>
              <w:pStyle w:val="05Tabletext"/>
            </w:pPr>
            <w:r>
              <w:t>COPD worsening, n (%)</w:t>
            </w:r>
          </w:p>
        </w:tc>
        <w:tc>
          <w:tcPr>
            <w:tcW w:w="1200" w:type="pct"/>
            <w:shd w:val="clear" w:color="auto" w:fill="auto"/>
          </w:tcPr>
          <w:p w:rsidR="00035233" w:rsidRPr="00194011" w:rsidRDefault="00035233" w:rsidP="00035233">
            <w:pPr>
              <w:pStyle w:val="05Tabletext"/>
              <w:jc w:val="center"/>
            </w:pPr>
            <w:r>
              <w:t>35 (24.3)</w:t>
            </w:r>
          </w:p>
        </w:tc>
        <w:tc>
          <w:tcPr>
            <w:tcW w:w="1200" w:type="pct"/>
            <w:shd w:val="clear" w:color="auto" w:fill="auto"/>
          </w:tcPr>
          <w:p w:rsidR="00035233" w:rsidRPr="00DA6845" w:rsidRDefault="00035233" w:rsidP="00035233">
            <w:pPr>
              <w:pStyle w:val="05Tabletext"/>
              <w:jc w:val="center"/>
            </w:pPr>
            <w:r>
              <w:t>39 (26.7)</w:t>
            </w:r>
          </w:p>
        </w:tc>
        <w:tc>
          <w:tcPr>
            <w:tcW w:w="1201" w:type="pct"/>
            <w:shd w:val="clear" w:color="auto" w:fill="auto"/>
          </w:tcPr>
          <w:p w:rsidR="00035233" w:rsidRPr="00DA6845" w:rsidRDefault="00035233" w:rsidP="00035233">
            <w:pPr>
              <w:pStyle w:val="05Tabletext"/>
              <w:jc w:val="center"/>
            </w:pPr>
            <w:r>
              <w:t>34 (27.4)</w:t>
            </w:r>
          </w:p>
        </w:tc>
      </w:tr>
      <w:tr w:rsidR="00035233" w:rsidRPr="00194011" w:rsidTr="00035233">
        <w:trPr>
          <w:cantSplit/>
        </w:trPr>
        <w:tc>
          <w:tcPr>
            <w:tcW w:w="1399" w:type="pct"/>
            <w:shd w:val="clear" w:color="auto" w:fill="auto"/>
          </w:tcPr>
          <w:p w:rsidR="00035233" w:rsidRPr="00194011" w:rsidRDefault="00035233" w:rsidP="00035233">
            <w:pPr>
              <w:pStyle w:val="05Tabletext"/>
            </w:pPr>
            <w:r>
              <w:t>LRTI, n (%)</w:t>
            </w:r>
          </w:p>
        </w:tc>
        <w:tc>
          <w:tcPr>
            <w:tcW w:w="1200" w:type="pct"/>
            <w:shd w:val="clear" w:color="auto" w:fill="auto"/>
          </w:tcPr>
          <w:p w:rsidR="00035233" w:rsidRPr="00194011" w:rsidRDefault="00035233" w:rsidP="00035233">
            <w:pPr>
              <w:pStyle w:val="05Tabletext"/>
              <w:jc w:val="center"/>
            </w:pPr>
            <w:r>
              <w:t>5 (3.5)</w:t>
            </w:r>
          </w:p>
        </w:tc>
        <w:tc>
          <w:tcPr>
            <w:tcW w:w="1200" w:type="pct"/>
            <w:shd w:val="clear" w:color="auto" w:fill="auto"/>
          </w:tcPr>
          <w:p w:rsidR="00035233" w:rsidRPr="00DA6845" w:rsidRDefault="00035233" w:rsidP="00035233">
            <w:pPr>
              <w:pStyle w:val="05Tabletext"/>
              <w:jc w:val="center"/>
            </w:pPr>
            <w:r>
              <w:t>11 (7.5)</w:t>
            </w:r>
          </w:p>
        </w:tc>
        <w:tc>
          <w:tcPr>
            <w:tcW w:w="1201" w:type="pct"/>
            <w:shd w:val="clear" w:color="auto" w:fill="auto"/>
          </w:tcPr>
          <w:p w:rsidR="00035233" w:rsidRPr="00DA6845" w:rsidRDefault="00035233" w:rsidP="00035233">
            <w:pPr>
              <w:pStyle w:val="05Tabletext"/>
              <w:jc w:val="center"/>
            </w:pPr>
            <w:r>
              <w:t>8 (6.5)</w:t>
            </w:r>
          </w:p>
        </w:tc>
      </w:tr>
      <w:tr w:rsidR="00035233" w:rsidRPr="00194011" w:rsidTr="00035233">
        <w:trPr>
          <w:cantSplit/>
        </w:trPr>
        <w:tc>
          <w:tcPr>
            <w:tcW w:w="1399" w:type="pct"/>
            <w:shd w:val="clear" w:color="auto" w:fill="auto"/>
          </w:tcPr>
          <w:p w:rsidR="00035233" w:rsidRPr="00A140AA" w:rsidRDefault="00035233" w:rsidP="00035233">
            <w:pPr>
              <w:pStyle w:val="05Tabletext"/>
            </w:pPr>
            <w:r>
              <w:t xml:space="preserve">Death, n (%) </w:t>
            </w:r>
          </w:p>
        </w:tc>
        <w:tc>
          <w:tcPr>
            <w:tcW w:w="1200" w:type="pct"/>
            <w:shd w:val="clear" w:color="auto" w:fill="auto"/>
          </w:tcPr>
          <w:p w:rsidR="00035233" w:rsidRPr="00194011" w:rsidRDefault="00035233" w:rsidP="00035233">
            <w:pPr>
              <w:pStyle w:val="05Tabletext"/>
              <w:jc w:val="center"/>
            </w:pPr>
            <w:r>
              <w:t>0</w:t>
            </w:r>
          </w:p>
        </w:tc>
        <w:tc>
          <w:tcPr>
            <w:tcW w:w="1200" w:type="pct"/>
            <w:shd w:val="clear" w:color="auto" w:fill="auto"/>
          </w:tcPr>
          <w:p w:rsidR="00035233" w:rsidRPr="00652256" w:rsidRDefault="00035233" w:rsidP="00035233">
            <w:pPr>
              <w:pStyle w:val="05Tabletext"/>
              <w:jc w:val="center"/>
              <w:rPr>
                <w:vertAlign w:val="superscript"/>
              </w:rPr>
            </w:pPr>
            <w:r>
              <w:t>1 (&lt;1)</w:t>
            </w:r>
          </w:p>
        </w:tc>
        <w:tc>
          <w:tcPr>
            <w:tcW w:w="1201" w:type="pct"/>
            <w:shd w:val="clear" w:color="auto" w:fill="auto"/>
          </w:tcPr>
          <w:p w:rsidR="00035233" w:rsidRPr="00652256" w:rsidRDefault="00035233" w:rsidP="00035233">
            <w:pPr>
              <w:pStyle w:val="05Tabletext"/>
              <w:jc w:val="center"/>
              <w:rPr>
                <w:vertAlign w:val="superscript"/>
              </w:rPr>
            </w:pPr>
            <w:r>
              <w:t>1 (&lt;1)</w:t>
            </w:r>
          </w:p>
        </w:tc>
      </w:tr>
      <w:tr w:rsidR="00035233" w:rsidRPr="00194011" w:rsidTr="00035233">
        <w:trPr>
          <w:cantSplit/>
        </w:trPr>
        <w:tc>
          <w:tcPr>
            <w:tcW w:w="1399" w:type="pct"/>
            <w:shd w:val="clear" w:color="auto" w:fill="auto"/>
          </w:tcPr>
          <w:p w:rsidR="00035233" w:rsidRPr="009D7EEA" w:rsidRDefault="00035233" w:rsidP="00035233">
            <w:pPr>
              <w:pStyle w:val="05Tabletext"/>
              <w:rPr>
                <w:rFonts w:ascii="Arial" w:hAnsi="Arial" w:cs="Arial"/>
                <w:rtl/>
              </w:rPr>
            </w:pPr>
            <w:r>
              <w:t>AE leading to discontinuation, n (%)</w:t>
            </w:r>
          </w:p>
        </w:tc>
        <w:tc>
          <w:tcPr>
            <w:tcW w:w="1200" w:type="pct"/>
            <w:shd w:val="clear" w:color="auto" w:fill="auto"/>
          </w:tcPr>
          <w:p w:rsidR="00035233" w:rsidRPr="00194011" w:rsidRDefault="00035233" w:rsidP="00035233">
            <w:pPr>
              <w:pStyle w:val="05Tabletext"/>
              <w:jc w:val="center"/>
            </w:pPr>
            <w:r>
              <w:t>4 (2.8)</w:t>
            </w:r>
          </w:p>
        </w:tc>
        <w:tc>
          <w:tcPr>
            <w:tcW w:w="1200" w:type="pct"/>
            <w:shd w:val="clear" w:color="auto" w:fill="auto"/>
          </w:tcPr>
          <w:p w:rsidR="00035233" w:rsidRPr="00194011" w:rsidRDefault="00035233" w:rsidP="00035233">
            <w:pPr>
              <w:pStyle w:val="05Tabletext"/>
              <w:jc w:val="center"/>
            </w:pPr>
            <w:r>
              <w:t>2 (1.4)</w:t>
            </w:r>
          </w:p>
        </w:tc>
        <w:tc>
          <w:tcPr>
            <w:tcW w:w="1201" w:type="pct"/>
            <w:shd w:val="clear" w:color="auto" w:fill="auto"/>
          </w:tcPr>
          <w:p w:rsidR="00035233" w:rsidRPr="00194011" w:rsidRDefault="00035233" w:rsidP="00035233">
            <w:pPr>
              <w:pStyle w:val="05Tabletext"/>
              <w:jc w:val="center"/>
            </w:pPr>
            <w:r>
              <w:t>7 (5.6)</w:t>
            </w:r>
          </w:p>
        </w:tc>
      </w:tr>
      <w:tr w:rsidR="00035233" w:rsidRPr="00194011" w:rsidTr="00035233">
        <w:trPr>
          <w:cantSplit/>
        </w:trPr>
        <w:tc>
          <w:tcPr>
            <w:tcW w:w="1399" w:type="pct"/>
            <w:shd w:val="clear" w:color="auto" w:fill="auto"/>
          </w:tcPr>
          <w:p w:rsidR="00035233" w:rsidRPr="00194011" w:rsidRDefault="00035233" w:rsidP="00035233">
            <w:pPr>
              <w:pStyle w:val="05Tabletext"/>
            </w:pPr>
            <w:r>
              <w:t>SAE, n (%)</w:t>
            </w:r>
          </w:p>
        </w:tc>
        <w:tc>
          <w:tcPr>
            <w:tcW w:w="1200" w:type="pct"/>
            <w:shd w:val="clear" w:color="auto" w:fill="auto"/>
          </w:tcPr>
          <w:p w:rsidR="00035233" w:rsidRPr="00194011" w:rsidRDefault="00035233" w:rsidP="00035233">
            <w:pPr>
              <w:pStyle w:val="05Tabletext"/>
              <w:jc w:val="center"/>
            </w:pPr>
            <w:r>
              <w:t>15 (10.4)</w:t>
            </w:r>
          </w:p>
        </w:tc>
        <w:tc>
          <w:tcPr>
            <w:tcW w:w="1200" w:type="pct"/>
            <w:shd w:val="clear" w:color="auto" w:fill="auto"/>
          </w:tcPr>
          <w:p w:rsidR="00035233" w:rsidRPr="00194011" w:rsidRDefault="00035233" w:rsidP="00035233">
            <w:pPr>
              <w:pStyle w:val="05Tabletext"/>
              <w:jc w:val="center"/>
            </w:pPr>
            <w:r>
              <w:t>18 (12.3)</w:t>
            </w:r>
          </w:p>
        </w:tc>
        <w:tc>
          <w:tcPr>
            <w:tcW w:w="1201" w:type="pct"/>
            <w:shd w:val="clear" w:color="auto" w:fill="auto"/>
          </w:tcPr>
          <w:p w:rsidR="00035233" w:rsidRPr="00194011" w:rsidRDefault="00035233" w:rsidP="00035233">
            <w:pPr>
              <w:pStyle w:val="05Tabletext"/>
              <w:jc w:val="center"/>
            </w:pPr>
            <w:r>
              <w:t>13 (10.5)</w:t>
            </w:r>
          </w:p>
        </w:tc>
      </w:tr>
    </w:tbl>
    <w:p w:rsidR="00035233" w:rsidRDefault="00035233" w:rsidP="00035233">
      <w:pPr>
        <w:pStyle w:val="10TableorFigurefootnote"/>
      </w:pPr>
      <w:r>
        <w:t>Source: Chapman et al (2011), pg 70; e-Table 1 (Online supplement).</w:t>
      </w:r>
    </w:p>
    <w:p w:rsidR="00035233" w:rsidRDefault="00035233" w:rsidP="00035233">
      <w:pPr>
        <w:pStyle w:val="10TableorFigurefootnote"/>
      </w:pPr>
      <w:r>
        <w:t>Note: Both deaths were due to myocardial infarction, and both were suspected to be related to study treatment (note: investigators were blinded to treatment assignment).</w:t>
      </w:r>
    </w:p>
    <w:p w:rsidR="00035233" w:rsidRDefault="00035233" w:rsidP="00035233">
      <w:pPr>
        <w:pStyle w:val="10TableorFigurefootnote"/>
      </w:pPr>
      <w:r>
        <w:t>Abbreviations: AE, adverse event; COPD, chronic obstructive pulmonary disease; IND, indacaterol; LRTI, lower respiratory tract infection; PBO, placebo; SAE, serious adverse event.</w:t>
      </w:r>
    </w:p>
    <w:p w:rsidR="00035233" w:rsidRPr="00295C79" w:rsidRDefault="00035233" w:rsidP="00035233">
      <w:pPr>
        <w:pStyle w:val="11TableorFigurefootnotenostick"/>
      </w:pPr>
      <w:proofErr w:type="gramStart"/>
      <w:r>
        <w:rPr>
          <w:b/>
        </w:rPr>
        <w:t>a</w:t>
      </w:r>
      <w:proofErr w:type="gramEnd"/>
      <w:r>
        <w:rPr>
          <w:b/>
        </w:rPr>
        <w:t xml:space="preserve"> </w:t>
      </w:r>
      <w:r w:rsidRPr="00442514">
        <w:t>All subjects who received at least one dose of the study drug.</w:t>
      </w:r>
    </w:p>
    <w:p w:rsidR="00035233" w:rsidRDefault="00035233" w:rsidP="00251CB8">
      <w:pPr>
        <w:pStyle w:val="Heading4"/>
        <w:numPr>
          <w:ilvl w:val="3"/>
          <w:numId w:val="11"/>
        </w:numPr>
      </w:pPr>
      <w:r>
        <w:t>Summary of findings</w:t>
      </w:r>
    </w:p>
    <w:p w:rsidR="00035233" w:rsidRDefault="00035233" w:rsidP="00035233">
      <w:pPr>
        <w:pStyle w:val="Bullettext"/>
      </w:pPr>
      <w:r>
        <w:t>The previously established comparable clinical efficacy of indacaterol 150 μg and indacaterol 300 μg (both once daily) is supported by newer evidence from the INDORSE study (Chapman et al, 2011; good quality). Indacaterol demonstrated good overall tolerability and long-term safety in patients with moderate to severe COPD.</w:t>
      </w:r>
    </w:p>
    <w:p w:rsidR="00035233" w:rsidRDefault="00035233" w:rsidP="00251CB8">
      <w:pPr>
        <w:pStyle w:val="Heading3"/>
        <w:numPr>
          <w:ilvl w:val="2"/>
          <w:numId w:val="11"/>
        </w:numPr>
      </w:pPr>
      <w:bookmarkStart w:id="198" w:name="_Ref467570404"/>
      <w:bookmarkStart w:id="199" w:name="_Toc467782086"/>
      <w:bookmarkStart w:id="200" w:name="_Toc468012274"/>
      <w:bookmarkStart w:id="201" w:name="_Toc471890922"/>
      <w:bookmarkStart w:id="202" w:name="_Toc482185950"/>
      <w:bookmarkStart w:id="203" w:name="_Toc486428084"/>
      <w:r>
        <w:lastRenderedPageBreak/>
        <w:t>LAMA/LABA versus LAMA/LABA</w:t>
      </w:r>
      <w:bookmarkEnd w:id="198"/>
      <w:bookmarkEnd w:id="199"/>
      <w:bookmarkEnd w:id="200"/>
      <w:bookmarkEnd w:id="201"/>
      <w:bookmarkEnd w:id="202"/>
      <w:bookmarkEnd w:id="203"/>
    </w:p>
    <w:p w:rsidR="00035233" w:rsidRDefault="00035233" w:rsidP="00035233">
      <w:pPr>
        <w:pStyle w:val="BodyText"/>
      </w:pPr>
      <w:r>
        <w:t>O</w:t>
      </w:r>
      <w:r w:rsidRPr="00FD73DF">
        <w:t xml:space="preserve">ne </w:t>
      </w:r>
      <w:r>
        <w:t xml:space="preserve">recently published </w:t>
      </w:r>
      <w:r w:rsidRPr="00FD73DF">
        <w:t xml:space="preserve">RCT was identified that </w:t>
      </w:r>
      <w:r>
        <w:t xml:space="preserve">examined the </w:t>
      </w:r>
      <w:r w:rsidRPr="00FD73DF">
        <w:t xml:space="preserve">comparative efficacy and safety of </w:t>
      </w:r>
      <w:r>
        <w:t xml:space="preserve">two different LAMA/LABA combination therapies. The publication details are shown in </w:t>
      </w:r>
      <w:r w:rsidR="00B85D87">
        <w:t xml:space="preserve">Table 3.28 </w:t>
      </w:r>
      <w:r>
        <w:t xml:space="preserve">and </w:t>
      </w:r>
      <w:r w:rsidRPr="00445409">
        <w:t xml:space="preserve">the </w:t>
      </w:r>
      <w:r>
        <w:t>study characteristics, such as the patient eligibility criteria, length of follow</w:t>
      </w:r>
      <w:r w:rsidR="004B2947">
        <w:t xml:space="preserve"> </w:t>
      </w:r>
      <w:r>
        <w:t xml:space="preserve">up and outcomes assessed, are </w:t>
      </w:r>
      <w:r w:rsidRPr="00445409">
        <w:t>summarised in</w:t>
      </w:r>
      <w:r>
        <w:t xml:space="preserve"> </w:t>
      </w:r>
      <w:r w:rsidR="00B85D87">
        <w:t>Table 3.29</w:t>
      </w:r>
      <w:r>
        <w:t>.</w:t>
      </w:r>
    </w:p>
    <w:p w:rsidR="00035233" w:rsidRDefault="001940E5" w:rsidP="001940E5">
      <w:pPr>
        <w:pStyle w:val="ToR3Tableheader"/>
      </w:pPr>
      <w:bookmarkStart w:id="204" w:name="_Toc467782121"/>
      <w:bookmarkStart w:id="205" w:name="_Toc468012309"/>
      <w:bookmarkStart w:id="206" w:name="_Toc468034465"/>
      <w:bookmarkStart w:id="207" w:name="_Toc471891020"/>
      <w:bookmarkStart w:id="208" w:name="_Toc486428207"/>
      <w:r>
        <w:t>Table 3.28</w:t>
      </w:r>
      <w:r w:rsidR="00035233">
        <w:tab/>
        <w:t>List of randomised controlled trials comparing two LAMA/LABA combination therapies</w:t>
      </w:r>
      <w:bookmarkEnd w:id="204"/>
      <w:bookmarkEnd w:id="205"/>
      <w:bookmarkEnd w:id="206"/>
      <w:bookmarkEnd w:id="207"/>
      <w:bookmarkEnd w:id="20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List of RCTs"/>
        <w:tblDescription w:val="List of randomised controlled trials comparing two LAMA/LABA combination therapies"/>
      </w:tblPr>
      <w:tblGrid>
        <w:gridCol w:w="1565"/>
        <w:gridCol w:w="6377"/>
        <w:gridCol w:w="1706"/>
      </w:tblGrid>
      <w:tr w:rsidR="00035233" w:rsidRPr="00F01736" w:rsidTr="00035233">
        <w:trPr>
          <w:cantSplit/>
          <w:tblHeader/>
        </w:trPr>
        <w:tc>
          <w:tcPr>
            <w:tcW w:w="811" w:type="pct"/>
            <w:shd w:val="clear" w:color="auto" w:fill="BFBFBF"/>
          </w:tcPr>
          <w:p w:rsidR="00035233" w:rsidRPr="00F01736" w:rsidRDefault="00035233" w:rsidP="00035233">
            <w:pPr>
              <w:pStyle w:val="01TableHEADINGleftaligned"/>
            </w:pPr>
            <w:r>
              <w:t>Trial ID</w:t>
            </w:r>
          </w:p>
        </w:tc>
        <w:tc>
          <w:tcPr>
            <w:tcW w:w="3305" w:type="pct"/>
            <w:shd w:val="clear" w:color="auto" w:fill="BFBFBF"/>
          </w:tcPr>
          <w:p w:rsidR="00035233" w:rsidRPr="00F01736" w:rsidRDefault="00035233" w:rsidP="00035233">
            <w:pPr>
              <w:pStyle w:val="01TableHEADINGleftaligned"/>
              <w:jc w:val="center"/>
            </w:pPr>
            <w:r>
              <w:t>Citation</w:t>
            </w:r>
          </w:p>
        </w:tc>
        <w:tc>
          <w:tcPr>
            <w:tcW w:w="884" w:type="pct"/>
            <w:shd w:val="clear" w:color="auto" w:fill="BFBFBF"/>
          </w:tcPr>
          <w:p w:rsidR="00035233" w:rsidRPr="00F01736" w:rsidRDefault="00035233" w:rsidP="00035233">
            <w:pPr>
              <w:pStyle w:val="01TableHEADINGleftaligned"/>
              <w:jc w:val="center"/>
            </w:pPr>
            <w:r>
              <w:t>Description</w:t>
            </w:r>
          </w:p>
        </w:tc>
      </w:tr>
      <w:tr w:rsidR="00035233" w:rsidRPr="00194011" w:rsidTr="00035233">
        <w:trPr>
          <w:cantSplit/>
        </w:trPr>
        <w:tc>
          <w:tcPr>
            <w:tcW w:w="811" w:type="pct"/>
            <w:shd w:val="clear" w:color="auto" w:fill="auto"/>
          </w:tcPr>
          <w:p w:rsidR="00035233" w:rsidRPr="009C73B0" w:rsidRDefault="00035233" w:rsidP="00035233">
            <w:pPr>
              <w:pStyle w:val="05Tabletext"/>
            </w:pPr>
            <w:r>
              <w:t>Kalberg (2016)</w:t>
            </w:r>
          </w:p>
        </w:tc>
        <w:tc>
          <w:tcPr>
            <w:tcW w:w="3305" w:type="pct"/>
            <w:shd w:val="clear" w:color="auto" w:fill="auto"/>
          </w:tcPr>
          <w:p w:rsidR="00035233" w:rsidRPr="009C73B0" w:rsidRDefault="00035233" w:rsidP="00035233">
            <w:pPr>
              <w:pStyle w:val="05Tabletext"/>
            </w:pPr>
            <w:r w:rsidRPr="00D21549">
              <w:t>Kalberg C, O'Dell D, Galkin D, Newlands A and Fahy WA (2016). Dual Bronchodilator Therapy with Umeclidinium/Vilanterol Versus Tiotropium plus Indacaterol in Chronic Obstructive Pulmonary Disease: A Randomized Controlled Trial. Drugs in R and D 16 (2):217-227.</w:t>
            </w:r>
          </w:p>
        </w:tc>
        <w:tc>
          <w:tcPr>
            <w:tcW w:w="884" w:type="pct"/>
            <w:shd w:val="clear" w:color="auto" w:fill="auto"/>
          </w:tcPr>
          <w:p w:rsidR="00035233" w:rsidRPr="009C73B0" w:rsidRDefault="00035233" w:rsidP="00035233">
            <w:pPr>
              <w:pStyle w:val="05Tabletext"/>
            </w:pPr>
            <w:r>
              <w:t>Key publication</w:t>
            </w:r>
          </w:p>
        </w:tc>
      </w:tr>
      <w:tr w:rsidR="00D7792B" w:rsidRPr="00194011" w:rsidTr="00035233">
        <w:trPr>
          <w:cantSplit/>
        </w:trPr>
        <w:tc>
          <w:tcPr>
            <w:tcW w:w="811" w:type="pct"/>
            <w:shd w:val="clear" w:color="auto" w:fill="auto"/>
          </w:tcPr>
          <w:p w:rsidR="00D7792B" w:rsidRDefault="00C142FB" w:rsidP="00035233">
            <w:pPr>
              <w:pStyle w:val="05Tabletext"/>
            </w:pPr>
            <w:r>
              <w:t>QUANTIFY</w:t>
            </w:r>
          </w:p>
        </w:tc>
        <w:tc>
          <w:tcPr>
            <w:tcW w:w="3305" w:type="pct"/>
            <w:shd w:val="clear" w:color="auto" w:fill="auto"/>
          </w:tcPr>
          <w:p w:rsidR="00D7792B" w:rsidRPr="00D21549" w:rsidRDefault="00D7792B" w:rsidP="00035233">
            <w:pPr>
              <w:pStyle w:val="05Tabletext"/>
            </w:pPr>
            <w:r>
              <w:t>B</w:t>
            </w:r>
            <w:r w:rsidRPr="003859A0">
              <w:t xml:space="preserve">uhl, </w:t>
            </w:r>
            <w:r>
              <w:t>R</w:t>
            </w:r>
            <w:r w:rsidRPr="003859A0">
              <w:t xml:space="preserve">., </w:t>
            </w:r>
            <w:r>
              <w:t>G</w:t>
            </w:r>
            <w:r w:rsidRPr="003859A0">
              <w:t xml:space="preserve">essner, </w:t>
            </w:r>
            <w:r>
              <w:t>C</w:t>
            </w:r>
            <w:r w:rsidRPr="003859A0">
              <w:t xml:space="preserve">., </w:t>
            </w:r>
            <w:r>
              <w:t>S</w:t>
            </w:r>
            <w:r w:rsidRPr="003859A0">
              <w:t xml:space="preserve">chuermann, </w:t>
            </w:r>
            <w:r>
              <w:t>W</w:t>
            </w:r>
            <w:r w:rsidRPr="003859A0">
              <w:t xml:space="preserve">., </w:t>
            </w:r>
            <w:r>
              <w:t>F</w:t>
            </w:r>
            <w:r w:rsidRPr="003859A0">
              <w:t xml:space="preserve">oerster, </w:t>
            </w:r>
            <w:r>
              <w:t>K</w:t>
            </w:r>
            <w:r w:rsidRPr="003859A0">
              <w:t xml:space="preserve">., </w:t>
            </w:r>
            <w:r>
              <w:t>S</w:t>
            </w:r>
            <w:r w:rsidRPr="003859A0">
              <w:t xml:space="preserve">ieder, </w:t>
            </w:r>
            <w:r>
              <w:t>C</w:t>
            </w:r>
            <w:r w:rsidRPr="003859A0">
              <w:t xml:space="preserve">., </w:t>
            </w:r>
            <w:r>
              <w:t>H</w:t>
            </w:r>
            <w:r w:rsidRPr="003859A0">
              <w:t xml:space="preserve">iltl, </w:t>
            </w:r>
            <w:r>
              <w:t>S</w:t>
            </w:r>
            <w:r w:rsidRPr="003859A0">
              <w:t xml:space="preserve">. &amp; </w:t>
            </w:r>
            <w:r>
              <w:t>K</w:t>
            </w:r>
            <w:r w:rsidRPr="003859A0">
              <w:t xml:space="preserve">orn, </w:t>
            </w:r>
            <w:r>
              <w:t>S</w:t>
            </w:r>
            <w:r w:rsidRPr="003859A0">
              <w:t xml:space="preserve">. </w:t>
            </w:r>
            <w:r>
              <w:t>(2015a). Efficacy and safety of or</w:t>
            </w:r>
            <w:r w:rsidRPr="003859A0">
              <w:t>ce-daily QVA149 compared with the free combination of once-daily tiotropium plus twice-daily formoterol in patients with moderate-to-severe COPD (QUANTIFY): a randomised, non-inferiority study. Thorax, 70, 311-9.</w:t>
            </w:r>
          </w:p>
        </w:tc>
        <w:tc>
          <w:tcPr>
            <w:tcW w:w="884" w:type="pct"/>
            <w:shd w:val="clear" w:color="auto" w:fill="auto"/>
          </w:tcPr>
          <w:p w:rsidR="00D7792B" w:rsidRDefault="00D7792B" w:rsidP="00035233">
            <w:pPr>
              <w:pStyle w:val="05Tabletext"/>
            </w:pPr>
            <w:r>
              <w:t>Key publication</w:t>
            </w:r>
          </w:p>
        </w:tc>
      </w:tr>
    </w:tbl>
    <w:p w:rsidR="00035233" w:rsidRDefault="00035233" w:rsidP="00035233">
      <w:pPr>
        <w:pStyle w:val="11TableorFigurefootnotenostick"/>
      </w:pPr>
    </w:p>
    <w:p w:rsidR="00035233" w:rsidRDefault="00035233" w:rsidP="00035233">
      <w:pPr>
        <w:pStyle w:val="BodyText"/>
      </w:pPr>
    </w:p>
    <w:p w:rsidR="00035233" w:rsidRDefault="00035233" w:rsidP="00035233">
      <w:pPr>
        <w:pStyle w:val="BodyText"/>
        <w:sectPr w:rsidR="00035233" w:rsidSect="00270A37">
          <w:headerReference w:type="even" r:id="rId27"/>
          <w:footerReference w:type="default" r:id="rId28"/>
          <w:headerReference w:type="first" r:id="rId29"/>
          <w:pgSz w:w="11906" w:h="16838"/>
          <w:pgMar w:top="1134" w:right="1134" w:bottom="1134" w:left="1134" w:header="709" w:footer="709" w:gutter="0"/>
          <w:cols w:space="708"/>
          <w:docGrid w:linePitch="360"/>
        </w:sectPr>
      </w:pPr>
    </w:p>
    <w:p w:rsidR="00035233" w:rsidRDefault="001940E5" w:rsidP="001940E5">
      <w:pPr>
        <w:pStyle w:val="ToR3Tableheader"/>
      </w:pPr>
      <w:bookmarkStart w:id="209" w:name="_Toc467782122"/>
      <w:bookmarkStart w:id="210" w:name="_Toc468012310"/>
      <w:bookmarkStart w:id="211" w:name="_Toc468034466"/>
      <w:bookmarkStart w:id="212" w:name="_Toc471891021"/>
      <w:bookmarkStart w:id="213" w:name="_Toc486428208"/>
      <w:r>
        <w:lastRenderedPageBreak/>
        <w:t>Table 3.29</w:t>
      </w:r>
      <w:r w:rsidR="00B85D87">
        <w:tab/>
      </w:r>
      <w:r w:rsidR="00035233">
        <w:t>Details of RCTs comparing two LAMA/LABA combinations in patients with COPD</w:t>
      </w:r>
      <w:bookmarkEnd w:id="209"/>
      <w:bookmarkEnd w:id="210"/>
      <w:bookmarkEnd w:id="211"/>
      <w:bookmarkEnd w:id="212"/>
      <w:bookmarkEnd w:id="2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Caption w:val="Study characteristics"/>
        <w:tblDescription w:val="Details of RCTs comparing two LAMA/LABA combinations in patients with COPD"/>
      </w:tblPr>
      <w:tblGrid>
        <w:gridCol w:w="1800"/>
        <w:gridCol w:w="647"/>
        <w:gridCol w:w="892"/>
        <w:gridCol w:w="1688"/>
        <w:gridCol w:w="6383"/>
        <w:gridCol w:w="980"/>
        <w:gridCol w:w="2190"/>
      </w:tblGrid>
      <w:tr w:rsidR="00035233" w:rsidRPr="00194011" w:rsidTr="00035233">
        <w:trPr>
          <w:cantSplit/>
          <w:trHeight w:val="735"/>
          <w:tblHeader/>
        </w:trPr>
        <w:tc>
          <w:tcPr>
            <w:tcW w:w="617" w:type="pct"/>
            <w:shd w:val="clear" w:color="auto" w:fill="BFBFBF"/>
          </w:tcPr>
          <w:p w:rsidR="00035233" w:rsidRPr="00194011" w:rsidRDefault="00035233" w:rsidP="00035233">
            <w:pPr>
              <w:pStyle w:val="01TableHEADINGleftaligned"/>
            </w:pPr>
            <w:r w:rsidRPr="00194011">
              <w:t>Trial ID</w:t>
            </w:r>
          </w:p>
          <w:p w:rsidR="00035233" w:rsidRPr="00AC28D5" w:rsidRDefault="00035233" w:rsidP="00035233">
            <w:pPr>
              <w:pStyle w:val="01TableHEADINGleftaligned"/>
            </w:pPr>
            <w:r w:rsidRPr="00F24C36">
              <w:t>1. Publications</w:t>
            </w:r>
            <w:r w:rsidRPr="00F24C36">
              <w:br/>
              <w:t>2. Study quality</w:t>
            </w:r>
            <w:r>
              <w:br/>
            </w:r>
            <w:r w:rsidRPr="00F24C36">
              <w:t>3. Country</w:t>
            </w:r>
            <w:r w:rsidRPr="00F24C36">
              <w:br/>
              <w:t>4. Sponsor</w:t>
            </w:r>
          </w:p>
        </w:tc>
        <w:tc>
          <w:tcPr>
            <w:tcW w:w="222" w:type="pct"/>
            <w:shd w:val="clear" w:color="auto" w:fill="BFBFBF"/>
          </w:tcPr>
          <w:p w:rsidR="00035233" w:rsidRPr="00194011" w:rsidRDefault="00035233" w:rsidP="00035233">
            <w:pPr>
              <w:pStyle w:val="02TableHEADINGcentred"/>
            </w:pPr>
            <w:r w:rsidRPr="00194011">
              <w:t>N</w:t>
            </w:r>
          </w:p>
        </w:tc>
        <w:tc>
          <w:tcPr>
            <w:tcW w:w="306" w:type="pct"/>
            <w:shd w:val="clear" w:color="auto" w:fill="BFBFBF"/>
          </w:tcPr>
          <w:p w:rsidR="00035233" w:rsidRPr="00194011" w:rsidRDefault="00035233" w:rsidP="00035233">
            <w:pPr>
              <w:pStyle w:val="02TableHEADINGcentred"/>
            </w:pPr>
            <w:r w:rsidRPr="00194011">
              <w:t>Study design</w:t>
            </w:r>
          </w:p>
        </w:tc>
        <w:tc>
          <w:tcPr>
            <w:tcW w:w="579" w:type="pct"/>
            <w:shd w:val="clear" w:color="auto" w:fill="BFBFBF"/>
          </w:tcPr>
          <w:p w:rsidR="00035233" w:rsidRPr="00194011" w:rsidRDefault="00035233" w:rsidP="00035233">
            <w:pPr>
              <w:pStyle w:val="01TableHEADINGleftaligned"/>
              <w:jc w:val="center"/>
            </w:pPr>
            <w:r w:rsidRPr="00194011">
              <w:t>Tx (n)</w:t>
            </w:r>
          </w:p>
        </w:tc>
        <w:tc>
          <w:tcPr>
            <w:tcW w:w="2189" w:type="pct"/>
            <w:shd w:val="clear" w:color="auto" w:fill="BFBFBF"/>
          </w:tcPr>
          <w:p w:rsidR="00035233" w:rsidRPr="00194011" w:rsidRDefault="00035233" w:rsidP="00035233">
            <w:pPr>
              <w:pStyle w:val="01TableHEADINGleftaligned"/>
              <w:jc w:val="center"/>
            </w:pPr>
            <w:r w:rsidRPr="00194011">
              <w:t>Eligibility criteria</w:t>
            </w:r>
          </w:p>
        </w:tc>
        <w:tc>
          <w:tcPr>
            <w:tcW w:w="336" w:type="pct"/>
            <w:shd w:val="clear" w:color="auto" w:fill="BFBFBF"/>
          </w:tcPr>
          <w:p w:rsidR="00035233" w:rsidRPr="00194011" w:rsidRDefault="00035233" w:rsidP="00035233">
            <w:pPr>
              <w:pStyle w:val="01TableHEADINGleftaligned"/>
              <w:jc w:val="center"/>
            </w:pPr>
            <w:r w:rsidRPr="00194011">
              <w:t>Treatment period (LOF)</w:t>
            </w:r>
          </w:p>
        </w:tc>
        <w:tc>
          <w:tcPr>
            <w:tcW w:w="751" w:type="pct"/>
            <w:shd w:val="clear" w:color="auto" w:fill="BFBFBF"/>
          </w:tcPr>
          <w:p w:rsidR="00035233" w:rsidRPr="00194011" w:rsidRDefault="00035233" w:rsidP="00035233">
            <w:pPr>
              <w:pStyle w:val="01TableHEADINGleftaligned"/>
              <w:jc w:val="center"/>
            </w:pPr>
            <w:r w:rsidRPr="00194011">
              <w:t>Outcomes reported</w:t>
            </w:r>
          </w:p>
        </w:tc>
      </w:tr>
      <w:tr w:rsidR="00035233" w:rsidRPr="00194011" w:rsidTr="00035233">
        <w:trPr>
          <w:cantSplit/>
        </w:trPr>
        <w:tc>
          <w:tcPr>
            <w:tcW w:w="617" w:type="pct"/>
            <w:shd w:val="clear" w:color="auto" w:fill="auto"/>
          </w:tcPr>
          <w:p w:rsidR="00035233" w:rsidRPr="00E45EE9" w:rsidRDefault="00035233" w:rsidP="00035233">
            <w:pPr>
              <w:pStyle w:val="05Tabletext"/>
            </w:pPr>
            <w:r w:rsidRPr="00E45EE9">
              <w:t>Kalberg (2016)</w:t>
            </w:r>
          </w:p>
          <w:p w:rsidR="00035233" w:rsidRDefault="00035233" w:rsidP="00251CB8">
            <w:pPr>
              <w:pStyle w:val="06Tabletextspacebefore"/>
              <w:numPr>
                <w:ilvl w:val="0"/>
                <w:numId w:val="16"/>
              </w:numPr>
            </w:pPr>
            <w:r w:rsidRPr="00023E91">
              <w:t>N/A</w:t>
            </w:r>
          </w:p>
          <w:p w:rsidR="00035233" w:rsidRPr="00023E91" w:rsidRDefault="00035233" w:rsidP="00251CB8">
            <w:pPr>
              <w:pStyle w:val="06Tabletextspacebefore"/>
              <w:numPr>
                <w:ilvl w:val="0"/>
                <w:numId w:val="16"/>
              </w:numPr>
            </w:pPr>
            <w:r>
              <w:t>Good quality</w:t>
            </w:r>
          </w:p>
          <w:p w:rsidR="00035233" w:rsidRPr="00023E91" w:rsidRDefault="00035233" w:rsidP="00251CB8">
            <w:pPr>
              <w:pStyle w:val="06Tabletextspacebefore"/>
              <w:numPr>
                <w:ilvl w:val="0"/>
                <w:numId w:val="16"/>
              </w:numPr>
            </w:pPr>
            <w:r w:rsidRPr="00023E91">
              <w:t>Germany, Russia, Hungary, Argentina, Romania and others.</w:t>
            </w:r>
          </w:p>
          <w:p w:rsidR="00035233" w:rsidRPr="00AC28D5" w:rsidRDefault="00035233" w:rsidP="00251CB8">
            <w:pPr>
              <w:pStyle w:val="06Tabletextspacebefore"/>
              <w:numPr>
                <w:ilvl w:val="0"/>
                <w:numId w:val="16"/>
              </w:numPr>
            </w:pPr>
            <w:r>
              <w:t>GlaxoSmithKline</w:t>
            </w:r>
          </w:p>
        </w:tc>
        <w:tc>
          <w:tcPr>
            <w:tcW w:w="222" w:type="pct"/>
            <w:shd w:val="clear" w:color="auto" w:fill="auto"/>
          </w:tcPr>
          <w:p w:rsidR="00035233" w:rsidRPr="00194011" w:rsidRDefault="00035233" w:rsidP="00035233">
            <w:pPr>
              <w:pStyle w:val="05Tabletext"/>
              <w:jc w:val="center"/>
            </w:pPr>
            <w:r>
              <w:t>961</w:t>
            </w:r>
          </w:p>
        </w:tc>
        <w:tc>
          <w:tcPr>
            <w:tcW w:w="306" w:type="pct"/>
            <w:shd w:val="clear" w:color="auto" w:fill="auto"/>
          </w:tcPr>
          <w:p w:rsidR="00035233" w:rsidRPr="00194011" w:rsidRDefault="00035233" w:rsidP="00035233">
            <w:pPr>
              <w:pStyle w:val="05Tabletext"/>
            </w:pPr>
            <w:r>
              <w:t>Non-inferiority. Double</w:t>
            </w:r>
            <w:r w:rsidR="001A058C">
              <w:t>-</w:t>
            </w:r>
            <w:r>
              <w:t>blind,</w:t>
            </w:r>
            <w:r>
              <w:rPr>
                <w:rStyle w:val="FootnoteReference"/>
              </w:rPr>
              <w:footnoteReference w:id="20"/>
            </w:r>
            <w:r>
              <w:t xml:space="preserve"> triple</w:t>
            </w:r>
            <w:r w:rsidR="009828FD">
              <w:t>-</w:t>
            </w:r>
            <w:r>
              <w:t>dummy.</w:t>
            </w:r>
          </w:p>
        </w:tc>
        <w:tc>
          <w:tcPr>
            <w:tcW w:w="579" w:type="pct"/>
            <w:shd w:val="clear" w:color="auto" w:fill="auto"/>
          </w:tcPr>
          <w:p w:rsidR="00035233" w:rsidRDefault="00035233" w:rsidP="00035233">
            <w:pPr>
              <w:pStyle w:val="05Tabletext"/>
            </w:pPr>
            <w:r>
              <w:t>UME/VIL 62.5/25 μg qd (n=482)</w:t>
            </w:r>
          </w:p>
          <w:p w:rsidR="00035233" w:rsidRPr="0062743E" w:rsidRDefault="00035233" w:rsidP="00035233">
            <w:pPr>
              <w:pStyle w:val="06Tabletextspacebefore"/>
              <w:rPr>
                <w:vertAlign w:val="superscript"/>
              </w:rPr>
            </w:pPr>
            <w:r>
              <w:t>TIO 18 μg qd + IND 150 μg qd (n=479)</w:t>
            </w:r>
          </w:p>
        </w:tc>
        <w:tc>
          <w:tcPr>
            <w:tcW w:w="2189" w:type="pct"/>
            <w:shd w:val="clear" w:color="auto" w:fill="auto"/>
          </w:tcPr>
          <w:p w:rsidR="00035233" w:rsidRDefault="00035233" w:rsidP="00035233">
            <w:pPr>
              <w:pStyle w:val="05Tabletext"/>
              <w:rPr>
                <w:u w:val="single"/>
              </w:rPr>
            </w:pPr>
            <w:r>
              <w:rPr>
                <w:u w:val="single"/>
              </w:rPr>
              <w:t>Inclusion</w:t>
            </w:r>
          </w:p>
          <w:p w:rsidR="00035233" w:rsidRPr="008A0DB3" w:rsidRDefault="00035233" w:rsidP="00035233">
            <w:pPr>
              <w:pStyle w:val="05Tabletext"/>
            </w:pPr>
            <w:r>
              <w:t>(1) Age ≥40 years, (2) clinical history of COPD, (3) pre- and post-bronchodilator FEV</w:t>
            </w:r>
            <w:r>
              <w:rPr>
                <w:vertAlign w:val="subscript"/>
              </w:rPr>
              <w:t>1</w:t>
            </w:r>
            <w:r>
              <w:t xml:space="preserve"> values of ≤70% predicted normal, (4) pre- and post-bronchodilator FEV</w:t>
            </w:r>
            <w:r>
              <w:rPr>
                <w:vertAlign w:val="subscript"/>
              </w:rPr>
              <w:t>1</w:t>
            </w:r>
            <w:r>
              <w:t>/FVC ratio &lt;0.70, (5) score of ≥2 on the mMRC Dyspnea Scale.</w:t>
            </w:r>
          </w:p>
          <w:p w:rsidR="00035233" w:rsidRDefault="00035233" w:rsidP="00035233">
            <w:pPr>
              <w:pStyle w:val="06Tabletextspacebefore"/>
              <w:rPr>
                <w:u w:val="single"/>
              </w:rPr>
            </w:pPr>
            <w:r>
              <w:rPr>
                <w:u w:val="single"/>
              </w:rPr>
              <w:t>Exclusion</w:t>
            </w:r>
          </w:p>
          <w:p w:rsidR="00035233" w:rsidRDefault="00035233" w:rsidP="00035233">
            <w:pPr>
              <w:pStyle w:val="05Tabletext"/>
            </w:pPr>
            <w:r>
              <w:t>(1) Current diagnosis of asthma, (2) alpha-1 antitrypsin deficiency, (3) active lung infection, (4) lung cancer, (5) abnormal or significant electrocardiogram finding, (6) hospitalised for COPD or pneumonia within 12 weeks of visit 1, (7) current oxygen therapy or pulmonary rehabilitation.</w:t>
            </w:r>
          </w:p>
          <w:p w:rsidR="00035233" w:rsidRDefault="00035233" w:rsidP="00035233">
            <w:pPr>
              <w:pStyle w:val="06Tabletextspacebefore"/>
            </w:pPr>
            <w:r>
              <w:rPr>
                <w:u w:val="single"/>
              </w:rPr>
              <w:t>Other</w:t>
            </w:r>
          </w:p>
          <w:p w:rsidR="00035233" w:rsidRPr="00186693" w:rsidRDefault="00035233" w:rsidP="00035233">
            <w:pPr>
              <w:pStyle w:val="05Tabletext"/>
            </w:pPr>
            <w:r>
              <w:t>(1) The use of ICS/LABAs, phosphodiesterase-4 inhibitors, theophyllines, oral β</w:t>
            </w:r>
            <w:r>
              <w:rPr>
                <w:vertAlign w:val="subscript"/>
              </w:rPr>
              <w:t>2</w:t>
            </w:r>
            <w:r>
              <w:t>-agonists, LAMAs, LABAs, and LAMA/LABA combinations (other than those under study) was not allowed, (2) patients were randomised to treatment only if they had not experienced COPD exacerbation between visits 1 and 2 and if they had not used any prohibited medication during the run-in period to visit 2, (3) all patients had albuterol provided for as-needed use.</w:t>
            </w:r>
          </w:p>
        </w:tc>
        <w:tc>
          <w:tcPr>
            <w:tcW w:w="336" w:type="pct"/>
            <w:shd w:val="clear" w:color="auto" w:fill="auto"/>
          </w:tcPr>
          <w:p w:rsidR="00035233" w:rsidRPr="00194011" w:rsidRDefault="00035233" w:rsidP="00035233">
            <w:pPr>
              <w:pStyle w:val="05Tabletext"/>
              <w:jc w:val="center"/>
            </w:pPr>
            <w:r>
              <w:t>12 weeks</w:t>
            </w:r>
          </w:p>
        </w:tc>
        <w:tc>
          <w:tcPr>
            <w:tcW w:w="751" w:type="pct"/>
            <w:shd w:val="clear" w:color="auto" w:fill="auto"/>
          </w:tcPr>
          <w:p w:rsidR="00035233" w:rsidRDefault="00035233" w:rsidP="00035233">
            <w:pPr>
              <w:pStyle w:val="05Tabletext"/>
              <w:rPr>
                <w:u w:val="single"/>
              </w:rPr>
            </w:pPr>
            <w:r>
              <w:rPr>
                <w:u w:val="single"/>
              </w:rPr>
              <w:t>Primary</w:t>
            </w:r>
          </w:p>
          <w:p w:rsidR="00035233" w:rsidRPr="00DD3D64" w:rsidRDefault="00035233" w:rsidP="00035233">
            <w:pPr>
              <w:pStyle w:val="05Tabletext"/>
            </w:pPr>
            <w:r>
              <w:t>Trough FEV</w:t>
            </w:r>
            <w:r>
              <w:rPr>
                <w:vertAlign w:val="subscript"/>
              </w:rPr>
              <w:t>1</w:t>
            </w:r>
            <w:r w:rsidR="004B3085">
              <w:t xml:space="preserve"> on D</w:t>
            </w:r>
            <w:r>
              <w:t>ay 85.</w:t>
            </w:r>
          </w:p>
          <w:p w:rsidR="00035233" w:rsidRDefault="00035233" w:rsidP="00035233">
            <w:pPr>
              <w:pStyle w:val="06Tabletextspacebefore"/>
            </w:pPr>
            <w:r>
              <w:rPr>
                <w:u w:val="single"/>
              </w:rPr>
              <w:t>Secondary</w:t>
            </w:r>
          </w:p>
          <w:p w:rsidR="00035233" w:rsidRPr="00872354" w:rsidRDefault="00035233" w:rsidP="00035233">
            <w:pPr>
              <w:pStyle w:val="05Tabletext"/>
            </w:pPr>
            <w:r>
              <w:t>Trough FEV</w:t>
            </w:r>
            <w:r>
              <w:rPr>
                <w:vertAlign w:val="subscript"/>
              </w:rPr>
              <w:t>1</w:t>
            </w:r>
            <w:r w:rsidR="004B3085">
              <w:t xml:space="preserve"> on D</w:t>
            </w:r>
            <w:r>
              <w:t>ays 28 and 56, weighted mean FEV</w:t>
            </w:r>
            <w:r>
              <w:rPr>
                <w:vertAlign w:val="subscript"/>
              </w:rPr>
              <w:t>1</w:t>
            </w:r>
            <w:r w:rsidR="004B3085">
              <w:t xml:space="preserve"> over 0-6 hours on D</w:t>
            </w:r>
            <w:r>
              <w:t>ay 84, serial and trough FVC, rescue medication, TDI focal score, SGRQ, safety (AEs, vital signs, COPD exacerbations).</w:t>
            </w:r>
          </w:p>
        </w:tc>
      </w:tr>
      <w:tr w:rsidR="006C1BA2" w:rsidRPr="00194011" w:rsidTr="00035233">
        <w:trPr>
          <w:cantSplit/>
        </w:trPr>
        <w:tc>
          <w:tcPr>
            <w:tcW w:w="617" w:type="pct"/>
            <w:shd w:val="clear" w:color="auto" w:fill="auto"/>
          </w:tcPr>
          <w:p w:rsidR="006C1BA2" w:rsidRDefault="00C142FB" w:rsidP="00035233">
            <w:pPr>
              <w:pStyle w:val="05Tabletext"/>
            </w:pPr>
            <w:r>
              <w:t>QUANTIFY</w:t>
            </w:r>
          </w:p>
          <w:p w:rsidR="00467AB4" w:rsidRDefault="00C142FB" w:rsidP="00251CB8">
            <w:pPr>
              <w:pStyle w:val="06Tabletextspacebefore"/>
              <w:numPr>
                <w:ilvl w:val="0"/>
                <w:numId w:val="58"/>
              </w:numPr>
            </w:pPr>
            <w:r>
              <w:t>Buhl (2015a)</w:t>
            </w:r>
          </w:p>
          <w:p w:rsidR="00467AB4" w:rsidRDefault="006126BE" w:rsidP="00251CB8">
            <w:pPr>
              <w:pStyle w:val="06Tabletextspacebefore"/>
              <w:numPr>
                <w:ilvl w:val="0"/>
                <w:numId w:val="58"/>
              </w:numPr>
            </w:pPr>
            <w:r>
              <w:t>Good</w:t>
            </w:r>
            <w:r w:rsidR="00467AB4">
              <w:t xml:space="preserve"> quality</w:t>
            </w:r>
          </w:p>
          <w:p w:rsidR="00467AB4" w:rsidRDefault="00467AB4" w:rsidP="00251CB8">
            <w:pPr>
              <w:pStyle w:val="06Tabletextspacebefore"/>
              <w:numPr>
                <w:ilvl w:val="0"/>
                <w:numId w:val="58"/>
              </w:numPr>
            </w:pPr>
            <w:r>
              <w:t>Germany</w:t>
            </w:r>
            <w:r w:rsidR="009824B8">
              <w:t xml:space="preserve"> (164 centres)</w:t>
            </w:r>
          </w:p>
          <w:p w:rsidR="00467AB4" w:rsidRPr="00926D14" w:rsidRDefault="00467AB4" w:rsidP="00251CB8">
            <w:pPr>
              <w:pStyle w:val="06Tabletextspacebefore"/>
              <w:numPr>
                <w:ilvl w:val="0"/>
                <w:numId w:val="58"/>
              </w:numPr>
            </w:pPr>
            <w:r>
              <w:t>Novartis Pharma AG, Boeheringer Ingelheim</w:t>
            </w:r>
          </w:p>
        </w:tc>
        <w:tc>
          <w:tcPr>
            <w:tcW w:w="222" w:type="pct"/>
            <w:shd w:val="clear" w:color="auto" w:fill="auto"/>
          </w:tcPr>
          <w:p w:rsidR="006C1BA2" w:rsidRDefault="00467AB4" w:rsidP="00035233">
            <w:pPr>
              <w:pStyle w:val="05Tabletext"/>
              <w:jc w:val="center"/>
            </w:pPr>
            <w:r>
              <w:t>934</w:t>
            </w:r>
          </w:p>
        </w:tc>
        <w:tc>
          <w:tcPr>
            <w:tcW w:w="306" w:type="pct"/>
            <w:shd w:val="clear" w:color="auto" w:fill="auto"/>
          </w:tcPr>
          <w:p w:rsidR="006C1BA2" w:rsidRDefault="009824B8" w:rsidP="002C6C26">
            <w:pPr>
              <w:pStyle w:val="05Tabletext"/>
            </w:pPr>
            <w:r>
              <w:t xml:space="preserve">Non-inferiority </w:t>
            </w:r>
            <w:r w:rsidR="00625E52">
              <w:t>blinded, triple-dummy, parallel</w:t>
            </w:r>
            <w:r w:rsidR="002C6C26">
              <w:t>.</w:t>
            </w:r>
          </w:p>
        </w:tc>
        <w:tc>
          <w:tcPr>
            <w:tcW w:w="579" w:type="pct"/>
            <w:shd w:val="clear" w:color="auto" w:fill="auto"/>
          </w:tcPr>
          <w:p w:rsidR="009824B8" w:rsidRDefault="009824B8" w:rsidP="009824B8">
            <w:pPr>
              <w:pStyle w:val="05Tabletext"/>
            </w:pPr>
            <w:r>
              <w:t>IND/GLY 110/50 μg qd (n=476)</w:t>
            </w:r>
          </w:p>
          <w:p w:rsidR="009824B8" w:rsidRDefault="009824B8" w:rsidP="009824B8">
            <w:pPr>
              <w:pStyle w:val="05Tabletext"/>
            </w:pPr>
            <w:r>
              <w:t>TIO 18 μg qd + EFO 112 μg qd (n=479)</w:t>
            </w:r>
          </w:p>
          <w:p w:rsidR="00625E52" w:rsidRPr="00926D14" w:rsidRDefault="00625E52" w:rsidP="001940E5">
            <w:pPr>
              <w:pStyle w:val="06Tabletextspacebefore"/>
            </w:pPr>
          </w:p>
        </w:tc>
        <w:tc>
          <w:tcPr>
            <w:tcW w:w="2189" w:type="pct"/>
            <w:shd w:val="clear" w:color="auto" w:fill="auto"/>
          </w:tcPr>
          <w:p w:rsidR="006C1BA2" w:rsidRPr="00D7792B" w:rsidRDefault="00625E52" w:rsidP="00035233">
            <w:pPr>
              <w:pStyle w:val="05Tabletext"/>
              <w:rPr>
                <w:szCs w:val="18"/>
                <w:u w:val="single"/>
              </w:rPr>
            </w:pPr>
            <w:r w:rsidRPr="00D7792B">
              <w:rPr>
                <w:szCs w:val="18"/>
                <w:u w:val="single"/>
              </w:rPr>
              <w:t>Inclusion</w:t>
            </w:r>
          </w:p>
          <w:p w:rsidR="005F5506" w:rsidRPr="00926D14" w:rsidRDefault="00625E52">
            <w:pPr>
              <w:pStyle w:val="05Tabletext"/>
              <w:rPr>
                <w:rFonts w:cs="Arial"/>
                <w:lang w:eastAsia="en-AU"/>
              </w:rPr>
            </w:pPr>
            <w:r w:rsidRPr="00926D14">
              <w:t>(1</w:t>
            </w:r>
            <w:r w:rsidR="009824B8">
              <w:t xml:space="preserve"> </w:t>
            </w:r>
            <w:r w:rsidR="00D7792B">
              <w:t>Adults</w:t>
            </w:r>
            <w:r w:rsidRPr="00926D14">
              <w:t xml:space="preserve"> aged ≥40 years, (2) moderate-to-severe stable COPD, (3) current or ex-smokers with a smoking history of at least 10 pack-years, (4) patients with a post-broncho</w:t>
            </w:r>
            <w:r w:rsidR="005F5506" w:rsidRPr="00926D14">
              <w:t>dilator bronchodilator FEV</w:t>
            </w:r>
            <w:r w:rsidR="005F5506" w:rsidRPr="00926D14">
              <w:rPr>
                <w:vertAlign w:val="subscript"/>
              </w:rPr>
              <w:t>1</w:t>
            </w:r>
            <w:r w:rsidR="005F5506" w:rsidRPr="00926D14">
              <w:t xml:space="preserve"> values </w:t>
            </w:r>
            <w:r w:rsidR="005F5506" w:rsidRPr="001940E5">
              <w:rPr>
                <w:rFonts w:cs="Arial"/>
                <w:lang w:eastAsia="en-AU"/>
              </w:rPr>
              <w:t>≥ 30% and &lt; 80% of the predicted normal, and post-bronchodilator FEV</w:t>
            </w:r>
            <w:r w:rsidR="005F5506" w:rsidRPr="001940E5">
              <w:rPr>
                <w:rFonts w:cs="Arial"/>
                <w:vertAlign w:val="subscript"/>
                <w:lang w:eastAsia="en-AU"/>
              </w:rPr>
              <w:t>1</w:t>
            </w:r>
            <w:r w:rsidR="005F5506" w:rsidRPr="001940E5">
              <w:rPr>
                <w:rFonts w:cs="Arial"/>
                <w:lang w:eastAsia="en-AU"/>
              </w:rPr>
              <w:t>/FVC &lt; 0·7 at Visit 2</w:t>
            </w:r>
            <w:r w:rsidR="005F5506" w:rsidRPr="00926D14">
              <w:rPr>
                <w:rFonts w:cs="Arial"/>
                <w:lang w:eastAsia="en-AU"/>
              </w:rPr>
              <w:t>)</w:t>
            </w:r>
            <w:r w:rsidR="00FD3164">
              <w:rPr>
                <w:rFonts w:cs="Arial"/>
                <w:lang w:eastAsia="en-AU"/>
              </w:rPr>
              <w:t xml:space="preserve">, (5) </w:t>
            </w:r>
            <w:r w:rsidR="00FD3164" w:rsidRPr="00241A70">
              <w:t xml:space="preserve">Patients </w:t>
            </w:r>
            <w:r w:rsidR="00FD3164">
              <w:t xml:space="preserve">receiving </w:t>
            </w:r>
            <w:r w:rsidR="00FD3164" w:rsidRPr="00241A70">
              <w:t>ICS continued treatment at the same dose.</w:t>
            </w:r>
          </w:p>
          <w:p w:rsidR="005F5506" w:rsidRPr="001940E5" w:rsidRDefault="005F5506" w:rsidP="001940E5">
            <w:pPr>
              <w:autoSpaceDE w:val="0"/>
              <w:autoSpaceDN w:val="0"/>
              <w:adjustRightInd w:val="0"/>
              <w:spacing w:before="0" w:line="240" w:lineRule="auto"/>
              <w:ind w:left="77"/>
              <w:jc w:val="left"/>
              <w:rPr>
                <w:rFonts w:cs="Arial"/>
                <w:color w:val="000000"/>
                <w:szCs w:val="18"/>
                <w:u w:val="single"/>
                <w:lang w:eastAsia="en-AU"/>
              </w:rPr>
            </w:pPr>
            <w:r w:rsidRPr="001940E5">
              <w:rPr>
                <w:rFonts w:ascii="Arial Narrow" w:hAnsi="Arial Narrow" w:cs="Arial"/>
                <w:color w:val="000000"/>
                <w:sz w:val="18"/>
                <w:szCs w:val="18"/>
                <w:u w:val="single"/>
                <w:lang w:eastAsia="en-AU"/>
              </w:rPr>
              <w:t>Exclusion</w:t>
            </w:r>
          </w:p>
          <w:p w:rsidR="00D7792B" w:rsidRDefault="00D7792B" w:rsidP="00D7792B">
            <w:pPr>
              <w:pStyle w:val="05Tabletext"/>
            </w:pPr>
            <w:r>
              <w:t xml:space="preserve">(1) </w:t>
            </w:r>
            <w:r w:rsidRPr="0020626F">
              <w:t xml:space="preserve">Patients with any history of asthma </w:t>
            </w:r>
            <w:r>
              <w:t>(2) COPD exacerbation that needed treatment with antibiotics, systemic corticosteroids or hospitalisation in the 6 weeks before pre-screening.and p</w:t>
            </w:r>
            <w:r w:rsidRPr="0020626F">
              <w:t>atients who developed a COPD exacerbation between the pre-screening and randomisation visits</w:t>
            </w:r>
            <w:r w:rsidRPr="0020626F" w:rsidDel="00F44642">
              <w:t xml:space="preserve"> </w:t>
            </w:r>
            <w:r>
              <w:t xml:space="preserve">(3) </w:t>
            </w:r>
            <w:r w:rsidRPr="0020626F">
              <w:t xml:space="preserve">Patients who had a respiratory tract infection within 6 weeks </w:t>
            </w:r>
            <w:r>
              <w:t>prior to pre-screening</w:t>
            </w:r>
            <w:r w:rsidRPr="0020626F">
              <w:t>.</w:t>
            </w:r>
          </w:p>
          <w:p w:rsidR="00D7792B" w:rsidRPr="000F0485" w:rsidRDefault="00D7792B" w:rsidP="00D7792B">
            <w:pPr>
              <w:pStyle w:val="05Tabletext"/>
              <w:rPr>
                <w:u w:val="single"/>
              </w:rPr>
            </w:pPr>
            <w:r w:rsidRPr="000F0485">
              <w:rPr>
                <w:u w:val="single"/>
              </w:rPr>
              <w:t xml:space="preserve">Other </w:t>
            </w:r>
          </w:p>
          <w:p w:rsidR="008A456F" w:rsidRPr="001940E5" w:rsidRDefault="008A456F" w:rsidP="00D7792B">
            <w:pPr>
              <w:pStyle w:val="05Tabletext"/>
              <w:rPr>
                <w:szCs w:val="18"/>
              </w:rPr>
            </w:pPr>
          </w:p>
        </w:tc>
        <w:tc>
          <w:tcPr>
            <w:tcW w:w="336" w:type="pct"/>
            <w:shd w:val="clear" w:color="auto" w:fill="auto"/>
          </w:tcPr>
          <w:p w:rsidR="006C1BA2" w:rsidRPr="00D7792B" w:rsidRDefault="008A456F" w:rsidP="00035233">
            <w:pPr>
              <w:pStyle w:val="05Tabletext"/>
              <w:jc w:val="center"/>
              <w:rPr>
                <w:szCs w:val="18"/>
              </w:rPr>
            </w:pPr>
            <w:r>
              <w:rPr>
                <w:szCs w:val="18"/>
              </w:rPr>
              <w:t>26 weeks</w:t>
            </w:r>
          </w:p>
        </w:tc>
        <w:tc>
          <w:tcPr>
            <w:tcW w:w="751" w:type="pct"/>
            <w:shd w:val="clear" w:color="auto" w:fill="auto"/>
          </w:tcPr>
          <w:p w:rsidR="00D7792B" w:rsidRPr="001940E5" w:rsidRDefault="00D7792B" w:rsidP="00D7792B">
            <w:pPr>
              <w:pStyle w:val="06Tabletextspacebefore"/>
              <w:rPr>
                <w:u w:val="single"/>
              </w:rPr>
            </w:pPr>
            <w:r w:rsidRPr="001940E5">
              <w:rPr>
                <w:u w:val="single"/>
              </w:rPr>
              <w:t>Primary</w:t>
            </w:r>
          </w:p>
          <w:p w:rsidR="00D7792B" w:rsidRDefault="00D7792B" w:rsidP="00D7792B">
            <w:pPr>
              <w:pStyle w:val="06Tabletextspacebefore"/>
            </w:pPr>
            <w:r>
              <w:t>SGRQ-C</w:t>
            </w:r>
          </w:p>
          <w:p w:rsidR="00D7792B" w:rsidRPr="001940E5" w:rsidRDefault="00D7792B" w:rsidP="00D7792B">
            <w:pPr>
              <w:pStyle w:val="06Tabletextspacebefore"/>
              <w:rPr>
                <w:u w:val="single"/>
              </w:rPr>
            </w:pPr>
            <w:r w:rsidRPr="001940E5">
              <w:rPr>
                <w:u w:val="single"/>
              </w:rPr>
              <w:t>Secondary</w:t>
            </w:r>
          </w:p>
          <w:p w:rsidR="008A456F" w:rsidRPr="001940E5" w:rsidRDefault="00D7792B" w:rsidP="001940E5">
            <w:pPr>
              <w:pStyle w:val="06Tabletextspacebefore"/>
            </w:pPr>
            <w:r>
              <w:t>Trough FEV</w:t>
            </w:r>
            <w:r w:rsidRPr="001940E5">
              <w:rPr>
                <w:vertAlign w:val="subscript"/>
              </w:rPr>
              <w:t xml:space="preserve">1 </w:t>
            </w:r>
            <w:r>
              <w:t>and FVC on week 12 and 26, rescue medication, TDI focal score,  safety (AEs, vital signs, COPD moderate and severe exacerbations resulting in hospitalisations).</w:t>
            </w:r>
          </w:p>
        </w:tc>
      </w:tr>
    </w:tbl>
    <w:p w:rsidR="00035233" w:rsidRDefault="00035233" w:rsidP="00035233">
      <w:pPr>
        <w:pStyle w:val="10TableorFigurefootnote"/>
      </w:pPr>
      <w:r w:rsidRPr="00745648">
        <w:t>Note: N refers to number randomised unless otherwise specified.</w:t>
      </w:r>
    </w:p>
    <w:p w:rsidR="00035233" w:rsidRPr="000F0485" w:rsidRDefault="00035233" w:rsidP="00035233">
      <w:pPr>
        <w:pStyle w:val="10TableorFigurefootnote"/>
      </w:pPr>
      <w:r w:rsidRPr="000F0485">
        <w:t xml:space="preserve">Abbreviations: AE, adverse event; COPD, chronic obstructive pulmonary disease; </w:t>
      </w:r>
      <w:r w:rsidR="00475E24" w:rsidRPr="000F0485">
        <w:t xml:space="preserve">EFO, </w:t>
      </w:r>
      <w:r w:rsidR="00475E24" w:rsidRPr="002C6C26">
        <w:t>Eformoterol</w:t>
      </w:r>
      <w:r w:rsidR="00475E24" w:rsidRPr="000F0485">
        <w:t xml:space="preserve">, </w:t>
      </w:r>
      <w:r w:rsidRPr="000F0485">
        <w:t>FEV</w:t>
      </w:r>
      <w:r w:rsidRPr="000F0485">
        <w:rPr>
          <w:vertAlign w:val="subscript"/>
        </w:rPr>
        <w:t>1</w:t>
      </w:r>
      <w:r w:rsidRPr="000F0485">
        <w:t xml:space="preserve">, forced expiratory volume in one second; FVC, forced vital capacity; ICS, inhaled corticosteroid; IND, indacaterol; LABA, long-acting beta-agonist; LAMA, long-acting muscarinic antagonist; LOF, length of follow up; mMRC, modified Medical Research Council; N/A, not applicable; PBO, placebo; qd, once daily; RCT, randomised controlled trial; SGRQ, St George’s Respiratory Questionnaire; </w:t>
      </w:r>
      <w:r w:rsidR="009824B8" w:rsidRPr="000F0485">
        <w:t xml:space="preserve">SGRQ-C, St George’s Respiratory Questionnaire COPD, </w:t>
      </w:r>
      <w:r w:rsidRPr="000F0485">
        <w:t>TDI, Transition Dyspnea Index; TIO, tiotropium; UME, umeclidinium; VIL, vilanterol</w:t>
      </w:r>
      <w:r w:rsidR="009824B8" w:rsidRPr="000F0485">
        <w:t>,</w:t>
      </w:r>
      <w:r w:rsidRPr="000F0485">
        <w:t>.</w:t>
      </w:r>
    </w:p>
    <w:p w:rsidR="00035233" w:rsidRPr="008C1271" w:rsidRDefault="00035233" w:rsidP="00035233">
      <w:pPr>
        <w:pStyle w:val="BodyText"/>
      </w:pPr>
    </w:p>
    <w:p w:rsidR="00035233" w:rsidRDefault="00035233" w:rsidP="00251CB8">
      <w:pPr>
        <w:pStyle w:val="Heading2"/>
        <w:numPr>
          <w:ilvl w:val="1"/>
          <w:numId w:val="11"/>
        </w:numPr>
        <w:sectPr w:rsidR="00035233" w:rsidSect="00270A37">
          <w:footerReference w:type="default" r:id="rId30"/>
          <w:pgSz w:w="16838" w:h="11906" w:orient="landscape"/>
          <w:pgMar w:top="1134" w:right="1134" w:bottom="1134" w:left="1134" w:header="709" w:footer="709" w:gutter="0"/>
          <w:cols w:space="708"/>
          <w:docGrid w:linePitch="360"/>
        </w:sectPr>
      </w:pPr>
    </w:p>
    <w:p w:rsidR="00035233" w:rsidRPr="00030E3B" w:rsidRDefault="00035233" w:rsidP="00030E3B">
      <w:pPr>
        <w:pStyle w:val="Heading4"/>
      </w:pPr>
      <w:r w:rsidRPr="00030E3B">
        <w:lastRenderedPageBreak/>
        <w:t>Umeclidinium/vilanterol versus tiotropium + indacaterol</w:t>
      </w:r>
    </w:p>
    <w:p w:rsidR="00035233" w:rsidRDefault="00035233" w:rsidP="00251CB8">
      <w:pPr>
        <w:pStyle w:val="Heading5"/>
        <w:numPr>
          <w:ilvl w:val="4"/>
          <w:numId w:val="11"/>
        </w:numPr>
      </w:pPr>
      <w:r>
        <w:t>Kalberg (2016)</w:t>
      </w:r>
    </w:p>
    <w:p w:rsidR="00035233" w:rsidRDefault="00035233" w:rsidP="00035233">
      <w:pPr>
        <w:pStyle w:val="BodyTextnospacebefore"/>
      </w:pPr>
      <w:r>
        <w:t>The authors stated that umeclidinium/vilanterol has previously been investigated in comparison with umeclidinium, vilanterol, or tiotropium monotherapy; however, this non-inferiority trial is the first to evaluate the FDC in comparison with another combination of a LAMA and LABA (i.e. tiotropium and indacaterol at PBS-listed doses, in separate inhalers).</w:t>
      </w:r>
    </w:p>
    <w:p w:rsidR="00035233" w:rsidRPr="00997759" w:rsidRDefault="00035233" w:rsidP="00035233">
      <w:pPr>
        <w:pStyle w:val="BodyText"/>
      </w:pPr>
      <w:r>
        <w:t>In both treatment groups, the majority of patients were symptomatic with a high risk of exacerbations, with 61% and 60% of patients in the umeclidinium/vilanterol and tiotropium plus indacaterol groups, respectively, being classified as GOLD Group D. Over half of the patients in both the umeclidinium/vilanterol (56%) and tiotropium plus indacaterol (51%) arms were also receiving ICS at screening</w:t>
      </w:r>
      <w:r w:rsidR="001940E5">
        <w:t>.</w:t>
      </w:r>
    </w:p>
    <w:p w:rsidR="00035233" w:rsidRPr="00C7671E" w:rsidRDefault="00035233" w:rsidP="00035233">
      <w:pPr>
        <w:pStyle w:val="BodyText"/>
      </w:pPr>
      <w:r>
        <w:t>As in several of the aforementioned studies, the non-inferiority margin was set at –50 mL (i.e. if the lower limit of the 95% confidence interval</w:t>
      </w:r>
      <w:r w:rsidR="008C7FDE">
        <w:t xml:space="preserve"> (CI)</w:t>
      </w:r>
      <w:r>
        <w:t xml:space="preserve"> fell above –50 mL but below 0, then umeclidinium/vilanterol could be considered statistically non-inferior to tiotropium plus indacaterol). On this basis, the results presented in </w:t>
      </w:r>
      <w:r w:rsidR="00B85D87">
        <w:t xml:space="preserve">Table 3.30 </w:t>
      </w:r>
      <w:r>
        <w:t xml:space="preserve">for </w:t>
      </w:r>
      <w:r w:rsidR="004B3085">
        <w:t>trough FEV</w:t>
      </w:r>
      <w:r w:rsidR="004B3085" w:rsidRPr="009824B8">
        <w:rPr>
          <w:vertAlign w:val="subscript"/>
        </w:rPr>
        <w:t>1</w:t>
      </w:r>
      <w:r w:rsidR="004B3085">
        <w:t xml:space="preserve"> at D</w:t>
      </w:r>
      <w:r w:rsidR="005510C8">
        <w:t>ay</w:t>
      </w:r>
      <w:r>
        <w:t xml:space="preserve"> 85 demonstrate non-inferiority of the two treatments.</w:t>
      </w:r>
    </w:p>
    <w:p w:rsidR="00035233" w:rsidRDefault="0014196D" w:rsidP="001940E5">
      <w:pPr>
        <w:pStyle w:val="ToR3Tableheader"/>
      </w:pPr>
      <w:bookmarkStart w:id="214" w:name="_Toc467782123"/>
      <w:bookmarkStart w:id="215" w:name="_Toc468012311"/>
      <w:bookmarkStart w:id="216" w:name="_Toc468034467"/>
      <w:bookmarkStart w:id="217" w:name="_Toc471891022"/>
      <w:bookmarkStart w:id="218" w:name="_Toc486428209"/>
      <w:r>
        <w:t>Table 3.30</w:t>
      </w:r>
      <w:r w:rsidR="00B85D87">
        <w:tab/>
      </w:r>
      <w:r w:rsidR="00035233">
        <w:t>Change from baseline to Day 85 in trough FEV</w:t>
      </w:r>
      <w:r w:rsidR="00035233">
        <w:rPr>
          <w:vertAlign w:val="subscript"/>
        </w:rPr>
        <w:t>1</w:t>
      </w:r>
      <w:r w:rsidR="00035233">
        <w:t xml:space="preserve"> – UME/VIL vs TIO+IND</w:t>
      </w:r>
      <w:bookmarkEnd w:id="214"/>
      <w:bookmarkEnd w:id="215"/>
      <w:bookmarkEnd w:id="216"/>
      <w:bookmarkEnd w:id="217"/>
      <w:bookmarkEnd w:id="2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Change from baseline to Day 85 in trough FEV1 "/>
        <w:tblDescription w:val="Umeclidinium/vilanterol versus tiotropium plus indacaterol"/>
      </w:tblPr>
      <w:tblGrid>
        <w:gridCol w:w="2417"/>
        <w:gridCol w:w="1205"/>
        <w:gridCol w:w="1206"/>
        <w:gridCol w:w="1204"/>
        <w:gridCol w:w="1206"/>
        <w:gridCol w:w="1204"/>
        <w:gridCol w:w="1206"/>
      </w:tblGrid>
      <w:tr w:rsidR="00035233" w:rsidRPr="00F01736" w:rsidTr="00035233">
        <w:trPr>
          <w:cantSplit/>
          <w:tblHeader/>
        </w:trPr>
        <w:tc>
          <w:tcPr>
            <w:tcW w:w="1252" w:type="pct"/>
            <w:shd w:val="clear" w:color="auto" w:fill="BFBFBF"/>
          </w:tcPr>
          <w:p w:rsidR="00035233" w:rsidRPr="007368BA" w:rsidRDefault="00035233" w:rsidP="00035233">
            <w:pPr>
              <w:pStyle w:val="01TableHEADINGleftaligned"/>
            </w:pPr>
            <w:r w:rsidRPr="00257521">
              <w:t>LS mean change from baseline</w:t>
            </w:r>
          </w:p>
        </w:tc>
        <w:tc>
          <w:tcPr>
            <w:tcW w:w="624" w:type="pct"/>
            <w:tcBorders>
              <w:right w:val="nil"/>
            </w:tcBorders>
            <w:shd w:val="clear" w:color="auto" w:fill="BFBFBF"/>
          </w:tcPr>
          <w:p w:rsidR="00035233" w:rsidRPr="00C72460" w:rsidRDefault="00035233" w:rsidP="00035233">
            <w:pPr>
              <w:pStyle w:val="01TableHEADINGleftaligned"/>
              <w:ind w:right="0"/>
              <w:jc w:val="right"/>
            </w:pPr>
            <w:r>
              <w:t>UME/VIL</w:t>
            </w:r>
          </w:p>
        </w:tc>
        <w:tc>
          <w:tcPr>
            <w:tcW w:w="625" w:type="pct"/>
            <w:tcBorders>
              <w:left w:val="nil"/>
            </w:tcBorders>
            <w:shd w:val="clear" w:color="auto" w:fill="BFBFBF"/>
          </w:tcPr>
          <w:p w:rsidR="00035233" w:rsidRPr="00C72460" w:rsidRDefault="00035233" w:rsidP="00035233">
            <w:pPr>
              <w:pStyle w:val="01TableHEADINGleftaligned"/>
              <w:ind w:right="0"/>
            </w:pPr>
            <w:r>
              <w:t>62.5/25</w:t>
            </w:r>
          </w:p>
        </w:tc>
        <w:tc>
          <w:tcPr>
            <w:tcW w:w="624" w:type="pct"/>
            <w:tcBorders>
              <w:right w:val="nil"/>
            </w:tcBorders>
            <w:shd w:val="clear" w:color="auto" w:fill="BFBFBF"/>
          </w:tcPr>
          <w:p w:rsidR="00035233" w:rsidRPr="00C72460" w:rsidRDefault="00035233" w:rsidP="00035233">
            <w:pPr>
              <w:pStyle w:val="01TableHEADINGleftaligned"/>
              <w:ind w:right="0"/>
              <w:jc w:val="right"/>
            </w:pPr>
            <w:r>
              <w:t>TIO 18 +</w:t>
            </w:r>
          </w:p>
        </w:tc>
        <w:tc>
          <w:tcPr>
            <w:tcW w:w="625" w:type="pct"/>
            <w:tcBorders>
              <w:left w:val="nil"/>
            </w:tcBorders>
            <w:shd w:val="clear" w:color="auto" w:fill="BFBFBF"/>
          </w:tcPr>
          <w:p w:rsidR="00035233" w:rsidRPr="00C72460" w:rsidRDefault="00035233" w:rsidP="00035233">
            <w:pPr>
              <w:pStyle w:val="01TableHEADINGleftaligned"/>
              <w:ind w:left="0"/>
            </w:pPr>
            <w:r>
              <w:t xml:space="preserve"> IND 150</w:t>
            </w:r>
          </w:p>
        </w:tc>
        <w:tc>
          <w:tcPr>
            <w:tcW w:w="624" w:type="pct"/>
            <w:shd w:val="clear" w:color="auto" w:fill="BFBFBF"/>
          </w:tcPr>
          <w:p w:rsidR="00035233" w:rsidRPr="00F01736" w:rsidRDefault="00035233" w:rsidP="00035233">
            <w:pPr>
              <w:pStyle w:val="01TableHEADINGleftaligned"/>
              <w:jc w:val="center"/>
            </w:pPr>
            <w:r>
              <w:t>Δ</w:t>
            </w:r>
          </w:p>
        </w:tc>
        <w:tc>
          <w:tcPr>
            <w:tcW w:w="625" w:type="pct"/>
            <w:shd w:val="clear" w:color="auto" w:fill="BFBFBF"/>
          </w:tcPr>
          <w:p w:rsidR="00035233" w:rsidRPr="00F01736" w:rsidRDefault="00035233" w:rsidP="00035233">
            <w:pPr>
              <w:pStyle w:val="01TableHEADINGleftaligned"/>
              <w:jc w:val="center"/>
            </w:pPr>
            <w:r w:rsidRPr="00F01736">
              <w:t>p-</w:t>
            </w:r>
            <w:r w:rsidRPr="00DE60B1">
              <w:t>value</w:t>
            </w:r>
          </w:p>
        </w:tc>
      </w:tr>
      <w:tr w:rsidR="00035233" w:rsidRPr="00194011" w:rsidTr="00035233">
        <w:trPr>
          <w:cantSplit/>
        </w:trPr>
        <w:tc>
          <w:tcPr>
            <w:tcW w:w="1252" w:type="pct"/>
            <w:shd w:val="clear" w:color="auto" w:fill="000000"/>
          </w:tcPr>
          <w:p w:rsidR="00035233" w:rsidRPr="00257521" w:rsidRDefault="00035233" w:rsidP="00035233">
            <w:pPr>
              <w:pStyle w:val="04Tablesubheading"/>
            </w:pPr>
          </w:p>
        </w:tc>
        <w:tc>
          <w:tcPr>
            <w:tcW w:w="624" w:type="pct"/>
            <w:shd w:val="clear" w:color="auto" w:fill="000000"/>
          </w:tcPr>
          <w:p w:rsidR="00035233" w:rsidRPr="00C34E40" w:rsidRDefault="00035233" w:rsidP="00035233">
            <w:pPr>
              <w:pStyle w:val="04Tablesubheading"/>
              <w:ind w:left="0" w:right="0"/>
              <w:jc w:val="center"/>
            </w:pPr>
            <w:r>
              <w:t>N</w:t>
            </w:r>
          </w:p>
        </w:tc>
        <w:tc>
          <w:tcPr>
            <w:tcW w:w="625" w:type="pct"/>
            <w:shd w:val="clear" w:color="auto" w:fill="000000"/>
          </w:tcPr>
          <w:p w:rsidR="00035233" w:rsidRPr="00C34E40" w:rsidRDefault="00035233" w:rsidP="00035233">
            <w:pPr>
              <w:pStyle w:val="04Tablesubheading"/>
              <w:ind w:left="0" w:right="0"/>
              <w:jc w:val="center"/>
            </w:pPr>
            <w:r>
              <w:t>mL (SE)</w:t>
            </w:r>
          </w:p>
        </w:tc>
        <w:tc>
          <w:tcPr>
            <w:tcW w:w="624" w:type="pct"/>
            <w:shd w:val="clear" w:color="auto" w:fill="000000"/>
          </w:tcPr>
          <w:p w:rsidR="00035233" w:rsidRPr="00C34E40" w:rsidRDefault="00035233" w:rsidP="00035233">
            <w:pPr>
              <w:pStyle w:val="04Tablesubheading"/>
              <w:jc w:val="center"/>
            </w:pPr>
            <w:r w:rsidRPr="00C34E40">
              <w:t>N</w:t>
            </w:r>
          </w:p>
        </w:tc>
        <w:tc>
          <w:tcPr>
            <w:tcW w:w="625" w:type="pct"/>
            <w:shd w:val="clear" w:color="auto" w:fill="000000"/>
          </w:tcPr>
          <w:p w:rsidR="00035233" w:rsidRPr="00C34E40" w:rsidRDefault="00035233" w:rsidP="00035233">
            <w:pPr>
              <w:pStyle w:val="04Tablesubheading"/>
              <w:ind w:left="0"/>
              <w:jc w:val="center"/>
            </w:pPr>
            <w:r w:rsidRPr="00C34E40">
              <w:t>mL (</w:t>
            </w:r>
            <w:r>
              <w:t>SE</w:t>
            </w:r>
            <w:r w:rsidRPr="00C34E40">
              <w:t>)</w:t>
            </w:r>
          </w:p>
        </w:tc>
        <w:tc>
          <w:tcPr>
            <w:tcW w:w="624" w:type="pct"/>
            <w:shd w:val="clear" w:color="auto" w:fill="000000"/>
          </w:tcPr>
          <w:p w:rsidR="00035233" w:rsidRPr="00C34E40" w:rsidRDefault="00035233" w:rsidP="00035233">
            <w:pPr>
              <w:pStyle w:val="04Tablesubheading"/>
              <w:jc w:val="center"/>
            </w:pPr>
            <w:r>
              <w:t>mL (95% CI)</w:t>
            </w:r>
          </w:p>
        </w:tc>
        <w:tc>
          <w:tcPr>
            <w:tcW w:w="625" w:type="pct"/>
            <w:shd w:val="clear" w:color="auto" w:fill="000000"/>
          </w:tcPr>
          <w:p w:rsidR="00035233" w:rsidRPr="00194011" w:rsidRDefault="00035233" w:rsidP="00035233">
            <w:pPr>
              <w:pStyle w:val="04Tablesubheading"/>
            </w:pPr>
          </w:p>
        </w:tc>
      </w:tr>
      <w:tr w:rsidR="00035233" w:rsidRPr="00194011" w:rsidTr="00035233">
        <w:trPr>
          <w:cantSplit/>
          <w:trHeight w:val="78"/>
        </w:trPr>
        <w:tc>
          <w:tcPr>
            <w:tcW w:w="1252" w:type="pct"/>
            <w:shd w:val="clear" w:color="auto" w:fill="auto"/>
          </w:tcPr>
          <w:p w:rsidR="00035233" w:rsidRPr="00C72460" w:rsidRDefault="00035233" w:rsidP="00035233">
            <w:pPr>
              <w:pStyle w:val="05Tabletext"/>
            </w:pPr>
            <w:r>
              <w:t>Trough FEV</w:t>
            </w:r>
            <w:r>
              <w:rPr>
                <w:vertAlign w:val="subscript"/>
              </w:rPr>
              <w:t>1</w:t>
            </w:r>
            <w:r w:rsidR="004B3085">
              <w:t xml:space="preserve"> on D</w:t>
            </w:r>
            <w:r>
              <w:t>ay 85 – PP</w:t>
            </w:r>
          </w:p>
        </w:tc>
        <w:tc>
          <w:tcPr>
            <w:tcW w:w="624" w:type="pct"/>
            <w:shd w:val="clear" w:color="auto" w:fill="auto"/>
          </w:tcPr>
          <w:p w:rsidR="00035233" w:rsidRPr="00194011" w:rsidRDefault="00035233" w:rsidP="00035233">
            <w:pPr>
              <w:pStyle w:val="05Tabletext"/>
              <w:jc w:val="center"/>
            </w:pPr>
            <w:r>
              <w:t>392</w:t>
            </w:r>
          </w:p>
        </w:tc>
        <w:tc>
          <w:tcPr>
            <w:tcW w:w="625" w:type="pct"/>
            <w:shd w:val="clear" w:color="auto" w:fill="auto"/>
          </w:tcPr>
          <w:p w:rsidR="00035233" w:rsidRPr="00817EE2" w:rsidRDefault="00035233" w:rsidP="00035233">
            <w:pPr>
              <w:pStyle w:val="05Tabletext"/>
              <w:jc w:val="center"/>
            </w:pPr>
            <w:r w:rsidRPr="00817EE2">
              <w:t>172 (11)</w:t>
            </w:r>
          </w:p>
        </w:tc>
        <w:tc>
          <w:tcPr>
            <w:tcW w:w="624" w:type="pct"/>
            <w:shd w:val="clear" w:color="auto" w:fill="auto"/>
          </w:tcPr>
          <w:p w:rsidR="00035233" w:rsidRPr="00194011" w:rsidRDefault="00035233" w:rsidP="00035233">
            <w:pPr>
              <w:pStyle w:val="05Tabletext"/>
              <w:jc w:val="center"/>
            </w:pPr>
            <w:r>
              <w:t>392</w:t>
            </w:r>
          </w:p>
        </w:tc>
        <w:tc>
          <w:tcPr>
            <w:tcW w:w="625" w:type="pct"/>
            <w:shd w:val="clear" w:color="auto" w:fill="auto"/>
          </w:tcPr>
          <w:p w:rsidR="00035233" w:rsidRPr="00817EE2" w:rsidRDefault="00035233" w:rsidP="00035233">
            <w:pPr>
              <w:pStyle w:val="05Tabletext"/>
              <w:jc w:val="center"/>
            </w:pPr>
            <w:r>
              <w:t>171 (11)</w:t>
            </w:r>
          </w:p>
        </w:tc>
        <w:tc>
          <w:tcPr>
            <w:tcW w:w="624" w:type="pct"/>
            <w:shd w:val="clear" w:color="auto" w:fill="auto"/>
          </w:tcPr>
          <w:p w:rsidR="00035233" w:rsidRPr="00194011" w:rsidRDefault="00035233" w:rsidP="00035233">
            <w:pPr>
              <w:pStyle w:val="05Tabletext"/>
              <w:jc w:val="center"/>
            </w:pPr>
            <w:r>
              <w:t>1 (–29, 30)</w:t>
            </w:r>
          </w:p>
        </w:tc>
        <w:tc>
          <w:tcPr>
            <w:tcW w:w="625" w:type="pct"/>
            <w:shd w:val="clear" w:color="auto" w:fill="auto"/>
          </w:tcPr>
          <w:p w:rsidR="00035233" w:rsidRPr="00194011" w:rsidRDefault="00035233" w:rsidP="00035233">
            <w:pPr>
              <w:pStyle w:val="05Tabletext"/>
              <w:jc w:val="center"/>
            </w:pPr>
            <w:r>
              <w:t>NR</w:t>
            </w:r>
          </w:p>
        </w:tc>
      </w:tr>
      <w:tr w:rsidR="00035233" w:rsidRPr="00194011" w:rsidTr="00035233">
        <w:trPr>
          <w:cantSplit/>
        </w:trPr>
        <w:tc>
          <w:tcPr>
            <w:tcW w:w="1252" w:type="pct"/>
            <w:shd w:val="clear" w:color="auto" w:fill="auto"/>
          </w:tcPr>
          <w:p w:rsidR="00035233" w:rsidRDefault="00035233" w:rsidP="00035233">
            <w:pPr>
              <w:pStyle w:val="05Tabletext"/>
            </w:pPr>
            <w:r>
              <w:t>Trough FEV</w:t>
            </w:r>
            <w:r>
              <w:rPr>
                <w:vertAlign w:val="subscript"/>
              </w:rPr>
              <w:t>1</w:t>
            </w:r>
            <w:r w:rsidR="004B3085">
              <w:t xml:space="preserve"> on D</w:t>
            </w:r>
            <w:r>
              <w:t>ay 85 – ITT</w:t>
            </w:r>
          </w:p>
        </w:tc>
        <w:tc>
          <w:tcPr>
            <w:tcW w:w="624" w:type="pct"/>
            <w:shd w:val="clear" w:color="auto" w:fill="auto"/>
          </w:tcPr>
          <w:p w:rsidR="00035233" w:rsidRDefault="00035233" w:rsidP="00035233">
            <w:pPr>
              <w:pStyle w:val="05Tabletext"/>
              <w:jc w:val="center"/>
            </w:pPr>
            <w:r>
              <w:t>482</w:t>
            </w:r>
          </w:p>
        </w:tc>
        <w:tc>
          <w:tcPr>
            <w:tcW w:w="625" w:type="pct"/>
            <w:shd w:val="clear" w:color="auto" w:fill="auto"/>
          </w:tcPr>
          <w:p w:rsidR="00035233" w:rsidRPr="00817EE2" w:rsidRDefault="00035233" w:rsidP="00035233">
            <w:pPr>
              <w:pStyle w:val="05Tabletext"/>
              <w:jc w:val="center"/>
            </w:pPr>
            <w:r>
              <w:t>NR</w:t>
            </w:r>
          </w:p>
        </w:tc>
        <w:tc>
          <w:tcPr>
            <w:tcW w:w="624" w:type="pct"/>
            <w:shd w:val="clear" w:color="auto" w:fill="auto"/>
          </w:tcPr>
          <w:p w:rsidR="00035233" w:rsidRDefault="00035233" w:rsidP="00035233">
            <w:pPr>
              <w:pStyle w:val="05Tabletext"/>
              <w:jc w:val="center"/>
            </w:pPr>
            <w:r>
              <w:t>479</w:t>
            </w:r>
          </w:p>
        </w:tc>
        <w:tc>
          <w:tcPr>
            <w:tcW w:w="625" w:type="pct"/>
            <w:shd w:val="clear" w:color="auto" w:fill="auto"/>
          </w:tcPr>
          <w:p w:rsidR="00035233" w:rsidRDefault="00035233" w:rsidP="00035233">
            <w:pPr>
              <w:pStyle w:val="05Tabletext"/>
              <w:jc w:val="center"/>
            </w:pPr>
            <w:r>
              <w:t>NR</w:t>
            </w:r>
          </w:p>
        </w:tc>
        <w:tc>
          <w:tcPr>
            <w:tcW w:w="624" w:type="pct"/>
            <w:shd w:val="clear" w:color="auto" w:fill="auto"/>
          </w:tcPr>
          <w:p w:rsidR="00035233" w:rsidRDefault="00035233" w:rsidP="00035233">
            <w:pPr>
              <w:pStyle w:val="05Tabletext"/>
              <w:jc w:val="center"/>
            </w:pPr>
            <w:r>
              <w:t>7 (–22, 35)</w:t>
            </w:r>
          </w:p>
        </w:tc>
        <w:tc>
          <w:tcPr>
            <w:tcW w:w="625" w:type="pct"/>
            <w:shd w:val="clear" w:color="auto" w:fill="auto"/>
          </w:tcPr>
          <w:p w:rsidR="00035233" w:rsidRDefault="00035233" w:rsidP="00035233">
            <w:pPr>
              <w:pStyle w:val="05Tabletext"/>
              <w:jc w:val="center"/>
            </w:pPr>
            <w:r>
              <w:t>NR</w:t>
            </w:r>
          </w:p>
        </w:tc>
      </w:tr>
    </w:tbl>
    <w:p w:rsidR="00035233" w:rsidRDefault="00035233" w:rsidP="00035233">
      <w:pPr>
        <w:pStyle w:val="10TableorFigurefootnote"/>
      </w:pPr>
      <w:r>
        <w:t>Source: Kalberg et al (2016), Table 2.</w:t>
      </w:r>
    </w:p>
    <w:p w:rsidR="00035233" w:rsidRDefault="00035233" w:rsidP="00035233">
      <w:pPr>
        <w:pStyle w:val="10TableorFigurefootnote"/>
      </w:pPr>
      <w:r>
        <w:t xml:space="preserve">Note: </w:t>
      </w:r>
      <w:r w:rsidRPr="006B7401">
        <w:t xml:space="preserve">The </w:t>
      </w:r>
      <w:r>
        <w:t xml:space="preserve">authors noted that </w:t>
      </w:r>
      <w:r w:rsidRPr="006B7401">
        <w:t>use of the ITT population (</w:t>
      </w:r>
      <w:r>
        <w:t xml:space="preserve">i.e. </w:t>
      </w:r>
      <w:r w:rsidRPr="006B7401">
        <w:t>inclusion of data from protocol deviators) would tend to bias the results toward</w:t>
      </w:r>
      <w:r w:rsidR="00950856">
        <w:t>s</w:t>
      </w:r>
      <w:r w:rsidRPr="006B7401">
        <w:t xml:space="preserve"> equivalence.</w:t>
      </w:r>
    </w:p>
    <w:p w:rsidR="00035233" w:rsidRDefault="00035233" w:rsidP="00035233">
      <w:pPr>
        <w:pStyle w:val="11TableorFigurefootnotenostick"/>
      </w:pPr>
      <w:r>
        <w:t>Abbreviations: CI, confidence interval; FEV</w:t>
      </w:r>
      <w:r>
        <w:rPr>
          <w:vertAlign w:val="subscript"/>
        </w:rPr>
        <w:t>1</w:t>
      </w:r>
      <w:r>
        <w:t>, forced expiratory volume in one second; IND, indacaterol; ITT, intention-to-treat; LS, least squares; NR, not reported; PP, per protocol; SE, standard error; TIO, tiotropium; UME, umeclidinium; VIL, vilanterol.</w:t>
      </w:r>
    </w:p>
    <w:p w:rsidR="00035233" w:rsidRDefault="00035233" w:rsidP="00035233">
      <w:pPr>
        <w:pStyle w:val="BodyText"/>
      </w:pPr>
      <w:r>
        <w:t xml:space="preserve">While the focus of this review is on a small number of outcomes, the authors highlighted </w:t>
      </w:r>
      <w:r w:rsidR="00B85D87">
        <w:t>that umeclidinium/</w:t>
      </w:r>
      <w:r>
        <w:t xml:space="preserve">vilanterol and tiotropium plus indacaterol were comparable across a range of lung function, patient-reported, and safety outcomes over a 12-week period (see </w:t>
      </w:r>
      <w:r w:rsidR="00B85D87">
        <w:t xml:space="preserve">Table 3.31 </w:t>
      </w:r>
      <w:r>
        <w:t>for safety results).</w:t>
      </w:r>
    </w:p>
    <w:p w:rsidR="00035233" w:rsidRDefault="00B85D87" w:rsidP="001940E5">
      <w:pPr>
        <w:pStyle w:val="ToR3Tableheader"/>
      </w:pPr>
      <w:bookmarkStart w:id="219" w:name="_Toc467782124"/>
      <w:bookmarkStart w:id="220" w:name="_Toc468012312"/>
      <w:bookmarkStart w:id="221" w:name="_Toc468034468"/>
      <w:bookmarkStart w:id="222" w:name="_Toc471891023"/>
      <w:bookmarkStart w:id="223" w:name="_Toc486428210"/>
      <w:r>
        <w:lastRenderedPageBreak/>
        <w:t>Table 3.31</w:t>
      </w:r>
      <w:r w:rsidR="00035233">
        <w:tab/>
        <w:t>Results for safety outcomes relating to UME/VIL vs TIO+IND</w:t>
      </w:r>
      <w:bookmarkEnd w:id="219"/>
      <w:bookmarkEnd w:id="220"/>
      <w:bookmarkEnd w:id="221"/>
      <w:bookmarkEnd w:id="222"/>
      <w:bookmarkEnd w:id="2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Caption w:val="Safety outcomes"/>
        <w:tblDescription w:val="UME/VIL vsTIO plus IND"/>
      </w:tblPr>
      <w:tblGrid>
        <w:gridCol w:w="4683"/>
        <w:gridCol w:w="2551"/>
        <w:gridCol w:w="2414"/>
      </w:tblGrid>
      <w:tr w:rsidR="00035233" w:rsidRPr="00194011" w:rsidTr="00035233">
        <w:trPr>
          <w:cantSplit/>
          <w:tblHeader/>
        </w:trPr>
        <w:tc>
          <w:tcPr>
            <w:tcW w:w="2427" w:type="pct"/>
            <w:shd w:val="clear" w:color="auto" w:fill="BFBFBF"/>
          </w:tcPr>
          <w:p w:rsidR="00035233" w:rsidRPr="00194011" w:rsidRDefault="00035233" w:rsidP="00035233">
            <w:pPr>
              <w:pStyle w:val="01TableHEADINGleftaligned"/>
              <w:rPr>
                <w:i/>
              </w:rPr>
            </w:pPr>
          </w:p>
        </w:tc>
        <w:tc>
          <w:tcPr>
            <w:tcW w:w="1322" w:type="pct"/>
            <w:tcBorders>
              <w:bottom w:val="single" w:sz="4" w:space="0" w:color="auto"/>
            </w:tcBorders>
            <w:shd w:val="clear" w:color="auto" w:fill="BFBFBF"/>
          </w:tcPr>
          <w:p w:rsidR="00035233" w:rsidRPr="00194011" w:rsidRDefault="00035233" w:rsidP="00035233">
            <w:pPr>
              <w:pStyle w:val="01TableHEADINGleftaligned"/>
              <w:jc w:val="center"/>
            </w:pPr>
            <w:r>
              <w:t xml:space="preserve">UME/VIL 62.5/25 </w:t>
            </w:r>
            <w:r>
              <w:br/>
              <w:t>(N=482)</w:t>
            </w:r>
          </w:p>
        </w:tc>
        <w:tc>
          <w:tcPr>
            <w:tcW w:w="1251" w:type="pct"/>
            <w:tcBorders>
              <w:bottom w:val="single" w:sz="4" w:space="0" w:color="auto"/>
            </w:tcBorders>
            <w:shd w:val="clear" w:color="auto" w:fill="BFBFBF"/>
          </w:tcPr>
          <w:p w:rsidR="00035233" w:rsidRPr="00194011" w:rsidRDefault="00035233" w:rsidP="00035233">
            <w:pPr>
              <w:pStyle w:val="01TableHEADINGleftaligned"/>
              <w:jc w:val="center"/>
            </w:pPr>
            <w:r>
              <w:t xml:space="preserve">TIO 18 + IND 150 </w:t>
            </w:r>
            <w:r>
              <w:br/>
              <w:t>(N=479)</w:t>
            </w:r>
          </w:p>
        </w:tc>
      </w:tr>
      <w:tr w:rsidR="00035233" w:rsidRPr="00194011" w:rsidTr="00035233">
        <w:trPr>
          <w:cantSplit/>
        </w:trPr>
        <w:tc>
          <w:tcPr>
            <w:tcW w:w="2427" w:type="pct"/>
            <w:shd w:val="clear" w:color="auto" w:fill="auto"/>
          </w:tcPr>
          <w:p w:rsidR="00035233" w:rsidRPr="00194011" w:rsidRDefault="00035233" w:rsidP="00035233">
            <w:pPr>
              <w:pStyle w:val="05Tabletext"/>
              <w:keepNext/>
            </w:pPr>
            <w:r>
              <w:t>AEs, n (%)</w:t>
            </w:r>
          </w:p>
        </w:tc>
        <w:tc>
          <w:tcPr>
            <w:tcW w:w="1322" w:type="pct"/>
            <w:shd w:val="clear" w:color="auto" w:fill="auto"/>
          </w:tcPr>
          <w:p w:rsidR="00035233" w:rsidRPr="00194011" w:rsidRDefault="00035233" w:rsidP="00035233">
            <w:pPr>
              <w:pStyle w:val="05Tabletext"/>
              <w:keepNext/>
              <w:jc w:val="center"/>
            </w:pPr>
            <w:r>
              <w:t>202 (42)</w:t>
            </w:r>
          </w:p>
        </w:tc>
        <w:tc>
          <w:tcPr>
            <w:tcW w:w="1251" w:type="pct"/>
            <w:shd w:val="clear" w:color="auto" w:fill="auto"/>
          </w:tcPr>
          <w:p w:rsidR="00035233" w:rsidRPr="00194011" w:rsidRDefault="00035233" w:rsidP="00035233">
            <w:pPr>
              <w:pStyle w:val="05Tabletext"/>
              <w:keepNext/>
              <w:jc w:val="center"/>
            </w:pPr>
            <w:r>
              <w:t>186 (39)</w:t>
            </w:r>
          </w:p>
        </w:tc>
      </w:tr>
      <w:tr w:rsidR="00035233" w:rsidRPr="00194011" w:rsidTr="00035233">
        <w:trPr>
          <w:cantSplit/>
        </w:trPr>
        <w:tc>
          <w:tcPr>
            <w:tcW w:w="2427" w:type="pct"/>
            <w:shd w:val="clear" w:color="auto" w:fill="auto"/>
          </w:tcPr>
          <w:p w:rsidR="00035233" w:rsidRPr="00A140AA" w:rsidRDefault="00035233" w:rsidP="00035233">
            <w:pPr>
              <w:pStyle w:val="05Tabletext"/>
              <w:keepNext/>
            </w:pPr>
            <w:r>
              <w:t xml:space="preserve">Drug-related AEs, n (%) </w:t>
            </w:r>
          </w:p>
        </w:tc>
        <w:tc>
          <w:tcPr>
            <w:tcW w:w="1322" w:type="pct"/>
            <w:shd w:val="clear" w:color="auto" w:fill="auto"/>
          </w:tcPr>
          <w:p w:rsidR="00035233" w:rsidRPr="00194011" w:rsidRDefault="00035233" w:rsidP="00035233">
            <w:pPr>
              <w:pStyle w:val="05Tabletext"/>
              <w:keepNext/>
              <w:jc w:val="center"/>
            </w:pPr>
            <w:r>
              <w:t>30 (6)</w:t>
            </w:r>
          </w:p>
        </w:tc>
        <w:tc>
          <w:tcPr>
            <w:tcW w:w="1251" w:type="pct"/>
            <w:shd w:val="clear" w:color="auto" w:fill="auto"/>
          </w:tcPr>
          <w:p w:rsidR="00035233" w:rsidRPr="00194011" w:rsidRDefault="00035233" w:rsidP="00035233">
            <w:pPr>
              <w:pStyle w:val="05Tabletext"/>
              <w:keepNext/>
              <w:jc w:val="center"/>
            </w:pPr>
            <w:r>
              <w:t>37 (8)</w:t>
            </w:r>
          </w:p>
        </w:tc>
      </w:tr>
      <w:tr w:rsidR="00035233" w:rsidRPr="00194011" w:rsidTr="00035233">
        <w:trPr>
          <w:cantSplit/>
        </w:trPr>
        <w:tc>
          <w:tcPr>
            <w:tcW w:w="2427" w:type="pct"/>
            <w:shd w:val="clear" w:color="auto" w:fill="auto"/>
          </w:tcPr>
          <w:p w:rsidR="00035233" w:rsidRPr="009D7EEA" w:rsidRDefault="00035233" w:rsidP="00035233">
            <w:pPr>
              <w:pStyle w:val="05Tabletext"/>
              <w:keepNext/>
              <w:rPr>
                <w:rFonts w:ascii="Arial" w:hAnsi="Arial" w:cs="Arial"/>
                <w:rtl/>
              </w:rPr>
            </w:pPr>
            <w:r>
              <w:t>AE leading to study withdrawal/ discontinuation of medication, n (%)</w:t>
            </w:r>
          </w:p>
        </w:tc>
        <w:tc>
          <w:tcPr>
            <w:tcW w:w="1322" w:type="pct"/>
            <w:shd w:val="clear" w:color="auto" w:fill="auto"/>
          </w:tcPr>
          <w:p w:rsidR="00035233" w:rsidRPr="00194011" w:rsidRDefault="00035233" w:rsidP="00035233">
            <w:pPr>
              <w:pStyle w:val="05Tabletext"/>
              <w:keepNext/>
              <w:jc w:val="center"/>
            </w:pPr>
            <w:r>
              <w:t>12 (2)</w:t>
            </w:r>
          </w:p>
        </w:tc>
        <w:tc>
          <w:tcPr>
            <w:tcW w:w="1251" w:type="pct"/>
            <w:shd w:val="clear" w:color="auto" w:fill="auto"/>
          </w:tcPr>
          <w:p w:rsidR="00035233" w:rsidRPr="00194011" w:rsidRDefault="00035233" w:rsidP="00035233">
            <w:pPr>
              <w:pStyle w:val="05Tabletext"/>
              <w:keepNext/>
              <w:jc w:val="center"/>
            </w:pPr>
            <w:r>
              <w:t>8 (2)</w:t>
            </w:r>
          </w:p>
        </w:tc>
      </w:tr>
      <w:tr w:rsidR="00035233" w:rsidRPr="00194011" w:rsidTr="00035233">
        <w:trPr>
          <w:cantSplit/>
        </w:trPr>
        <w:tc>
          <w:tcPr>
            <w:tcW w:w="2427" w:type="pct"/>
            <w:shd w:val="clear" w:color="auto" w:fill="auto"/>
          </w:tcPr>
          <w:p w:rsidR="00035233" w:rsidRPr="00194011" w:rsidRDefault="00035233" w:rsidP="00035233">
            <w:pPr>
              <w:pStyle w:val="05Tabletext"/>
              <w:keepNext/>
            </w:pPr>
            <w:r>
              <w:t>Non-fatal SAE, n (%)</w:t>
            </w:r>
          </w:p>
        </w:tc>
        <w:tc>
          <w:tcPr>
            <w:tcW w:w="1322" w:type="pct"/>
            <w:shd w:val="clear" w:color="auto" w:fill="auto"/>
          </w:tcPr>
          <w:p w:rsidR="00035233" w:rsidRPr="00194011" w:rsidRDefault="00035233" w:rsidP="00035233">
            <w:pPr>
              <w:pStyle w:val="05Tabletext"/>
              <w:keepNext/>
              <w:jc w:val="center"/>
            </w:pPr>
            <w:r>
              <w:t>17 (4)</w:t>
            </w:r>
          </w:p>
        </w:tc>
        <w:tc>
          <w:tcPr>
            <w:tcW w:w="1251" w:type="pct"/>
            <w:shd w:val="clear" w:color="auto" w:fill="auto"/>
          </w:tcPr>
          <w:p w:rsidR="00035233" w:rsidRPr="00194011" w:rsidRDefault="00035233" w:rsidP="00035233">
            <w:pPr>
              <w:pStyle w:val="05Tabletext"/>
              <w:keepNext/>
              <w:jc w:val="center"/>
            </w:pPr>
            <w:r>
              <w:t>15 (3)</w:t>
            </w:r>
          </w:p>
        </w:tc>
      </w:tr>
      <w:tr w:rsidR="00035233" w:rsidRPr="00194011" w:rsidTr="00035233">
        <w:trPr>
          <w:cantSplit/>
        </w:trPr>
        <w:tc>
          <w:tcPr>
            <w:tcW w:w="2427" w:type="pct"/>
            <w:shd w:val="clear" w:color="auto" w:fill="auto"/>
          </w:tcPr>
          <w:p w:rsidR="00035233" w:rsidRPr="00194011" w:rsidRDefault="00035233" w:rsidP="00035233">
            <w:pPr>
              <w:pStyle w:val="05Tabletext"/>
              <w:keepNext/>
            </w:pPr>
            <w:r>
              <w:t>Fatal SAE, n (%)</w:t>
            </w:r>
          </w:p>
        </w:tc>
        <w:tc>
          <w:tcPr>
            <w:tcW w:w="1322" w:type="pct"/>
            <w:shd w:val="clear" w:color="auto" w:fill="auto"/>
          </w:tcPr>
          <w:p w:rsidR="00035233" w:rsidRPr="00CF2D24" w:rsidRDefault="00035233" w:rsidP="00035233">
            <w:pPr>
              <w:pStyle w:val="05Tabletext"/>
              <w:keepNext/>
              <w:jc w:val="center"/>
              <w:rPr>
                <w:vertAlign w:val="superscript"/>
              </w:rPr>
            </w:pPr>
            <w:r>
              <w:t>4 (&lt;1)</w:t>
            </w:r>
            <w:r>
              <w:rPr>
                <w:vertAlign w:val="superscript"/>
              </w:rPr>
              <w:t>a</w:t>
            </w:r>
          </w:p>
        </w:tc>
        <w:tc>
          <w:tcPr>
            <w:tcW w:w="1251" w:type="pct"/>
            <w:shd w:val="clear" w:color="auto" w:fill="auto"/>
          </w:tcPr>
          <w:p w:rsidR="00035233" w:rsidRPr="00194011" w:rsidRDefault="00035233" w:rsidP="00035233">
            <w:pPr>
              <w:pStyle w:val="05Tabletext"/>
              <w:keepNext/>
              <w:jc w:val="center"/>
            </w:pPr>
            <w:r>
              <w:t>1 (&lt;1)</w:t>
            </w:r>
          </w:p>
        </w:tc>
      </w:tr>
      <w:tr w:rsidR="00035233" w:rsidRPr="00194011" w:rsidTr="00035233">
        <w:trPr>
          <w:cantSplit/>
        </w:trPr>
        <w:tc>
          <w:tcPr>
            <w:tcW w:w="2427" w:type="pct"/>
            <w:shd w:val="clear" w:color="auto" w:fill="auto"/>
          </w:tcPr>
          <w:p w:rsidR="00035233" w:rsidRPr="00194011" w:rsidRDefault="00035233" w:rsidP="00035233">
            <w:pPr>
              <w:pStyle w:val="05Tabletext"/>
              <w:keepNext/>
            </w:pPr>
            <w:r>
              <w:t>COPD exacerbation</w:t>
            </w:r>
            <w:r>
              <w:rPr>
                <w:vertAlign w:val="superscript"/>
              </w:rPr>
              <w:t>b</w:t>
            </w:r>
            <w:r>
              <w:t>, n (%)</w:t>
            </w:r>
          </w:p>
        </w:tc>
        <w:tc>
          <w:tcPr>
            <w:tcW w:w="1322" w:type="pct"/>
            <w:shd w:val="clear" w:color="auto" w:fill="auto"/>
          </w:tcPr>
          <w:p w:rsidR="00035233" w:rsidRPr="00194011" w:rsidRDefault="00035233" w:rsidP="00035233">
            <w:pPr>
              <w:pStyle w:val="05Tabletext"/>
              <w:keepNext/>
              <w:jc w:val="center"/>
            </w:pPr>
            <w:r>
              <w:t>48 (10)</w:t>
            </w:r>
          </w:p>
        </w:tc>
        <w:tc>
          <w:tcPr>
            <w:tcW w:w="1251" w:type="pct"/>
            <w:shd w:val="clear" w:color="auto" w:fill="auto"/>
          </w:tcPr>
          <w:p w:rsidR="00035233" w:rsidRPr="00DA6845" w:rsidRDefault="00035233" w:rsidP="00035233">
            <w:pPr>
              <w:pStyle w:val="05Tabletext"/>
              <w:keepNext/>
              <w:jc w:val="center"/>
            </w:pPr>
            <w:r w:rsidRPr="00DA6845">
              <w:t>49 (10)</w:t>
            </w:r>
          </w:p>
        </w:tc>
      </w:tr>
      <w:tr w:rsidR="00035233" w:rsidRPr="00194011" w:rsidTr="00035233">
        <w:trPr>
          <w:cantSplit/>
        </w:trPr>
        <w:tc>
          <w:tcPr>
            <w:tcW w:w="2427" w:type="pct"/>
            <w:shd w:val="clear" w:color="auto" w:fill="auto"/>
          </w:tcPr>
          <w:p w:rsidR="00035233" w:rsidRPr="00194011" w:rsidRDefault="00035233" w:rsidP="00035233">
            <w:pPr>
              <w:pStyle w:val="05Tabletext"/>
              <w:keepNext/>
            </w:pPr>
            <w:r>
              <w:t>CV events of special interest</w:t>
            </w:r>
            <w:r>
              <w:rPr>
                <w:vertAlign w:val="superscript"/>
              </w:rPr>
              <w:t>c</w:t>
            </w:r>
            <w:r>
              <w:t>, n (%)</w:t>
            </w:r>
          </w:p>
        </w:tc>
        <w:tc>
          <w:tcPr>
            <w:tcW w:w="1322" w:type="pct"/>
            <w:shd w:val="clear" w:color="auto" w:fill="auto"/>
          </w:tcPr>
          <w:p w:rsidR="00035233" w:rsidRPr="00194011" w:rsidRDefault="00035233" w:rsidP="00035233">
            <w:pPr>
              <w:pStyle w:val="05Tabletext"/>
              <w:keepNext/>
              <w:jc w:val="center"/>
            </w:pPr>
            <w:r>
              <w:t>11 (2)</w:t>
            </w:r>
          </w:p>
        </w:tc>
        <w:tc>
          <w:tcPr>
            <w:tcW w:w="1251" w:type="pct"/>
            <w:shd w:val="clear" w:color="auto" w:fill="auto"/>
          </w:tcPr>
          <w:p w:rsidR="00035233" w:rsidRPr="00DA6845" w:rsidRDefault="00035233" w:rsidP="00035233">
            <w:pPr>
              <w:pStyle w:val="05Tabletext"/>
              <w:keepNext/>
              <w:jc w:val="center"/>
            </w:pPr>
            <w:r w:rsidRPr="00DA6845">
              <w:t>9 (2)</w:t>
            </w:r>
          </w:p>
        </w:tc>
      </w:tr>
    </w:tbl>
    <w:p w:rsidR="00035233" w:rsidRDefault="00035233" w:rsidP="00035233">
      <w:pPr>
        <w:pStyle w:val="10TableorFigurefootnote"/>
      </w:pPr>
      <w:r>
        <w:t>Source: Kalberg (2016), Table 4.</w:t>
      </w:r>
    </w:p>
    <w:p w:rsidR="00035233" w:rsidRDefault="00035233" w:rsidP="00035233">
      <w:pPr>
        <w:pStyle w:val="10TableorFigurefootnote"/>
      </w:pPr>
      <w:r>
        <w:t>Note: Based on ITT population.</w:t>
      </w:r>
    </w:p>
    <w:p w:rsidR="00035233" w:rsidRDefault="00035233" w:rsidP="00035233">
      <w:pPr>
        <w:pStyle w:val="10TableorFigurefootnote"/>
      </w:pPr>
      <w:r>
        <w:t>Abbreviations: AE, adverse event; COPD, chronic obstructive pulmonary disease; CV, cardiovascular; IND, indacaterol; SAE, serious adverse events; TIO, tiotropium; UME, umeclidinium; VIL, vilanterol.</w:t>
      </w:r>
    </w:p>
    <w:p w:rsidR="00035233" w:rsidRDefault="00035233" w:rsidP="00035233">
      <w:pPr>
        <w:pStyle w:val="10TableorFigurefootnote"/>
      </w:pPr>
      <w:r>
        <w:rPr>
          <w:b/>
        </w:rPr>
        <w:t>a</w:t>
      </w:r>
      <w:r>
        <w:t xml:space="preserve"> The three deaths relating to ventricular fibrillation, cardiac arrest, and pneumonia in the UME/VIL treatment group occurred ≥14 days after the last dose of the study medication, as recorded in the electronic case report forms. The cardiac arrest was reported by the investigator as being related to the study medication. No other deaths were deemed to be related to the study medication.</w:t>
      </w:r>
    </w:p>
    <w:p w:rsidR="00035233" w:rsidRPr="00997759" w:rsidRDefault="00035233" w:rsidP="00035233">
      <w:pPr>
        <w:pStyle w:val="10TableorFigurefootnote"/>
        <w:rPr>
          <w:b/>
        </w:rPr>
      </w:pPr>
      <w:proofErr w:type="gramStart"/>
      <w:r>
        <w:rPr>
          <w:b/>
        </w:rPr>
        <w:t>b</w:t>
      </w:r>
      <w:proofErr w:type="gramEnd"/>
      <w:r>
        <w:rPr>
          <w:b/>
        </w:rPr>
        <w:t xml:space="preserve"> </w:t>
      </w:r>
      <w:r w:rsidRPr="00997759">
        <w:t>Exacerbations were defined as worsening of COPD symptoms, requiring use of additional treatment other than the prescribed bronchodilator and/or emergency treatment or hospitalisation.</w:t>
      </w:r>
    </w:p>
    <w:p w:rsidR="00035233" w:rsidRDefault="00035233" w:rsidP="00035233">
      <w:pPr>
        <w:pStyle w:val="11TableorFigurefootnotenostick"/>
      </w:pPr>
      <w:proofErr w:type="gramStart"/>
      <w:r>
        <w:rPr>
          <w:b/>
        </w:rPr>
        <w:t>c</w:t>
      </w:r>
      <w:proofErr w:type="gramEnd"/>
      <w:r>
        <w:t xml:space="preserve"> </w:t>
      </w:r>
      <w:r w:rsidRPr="00CF2D24">
        <w:t>Included cardiac arrhythmias, cardiac failure, isch</w:t>
      </w:r>
      <w:r w:rsidR="006B5DF1">
        <w:t>aemic</w:t>
      </w:r>
      <w:r w:rsidRPr="00CF2D24">
        <w:t xml:space="preserve"> heart disease, central nervous system haemorrhages, and cerebrovascular conditions.</w:t>
      </w:r>
    </w:p>
    <w:p w:rsidR="001C5F1E" w:rsidRDefault="001C5F1E" w:rsidP="001C5F1E">
      <w:pPr>
        <w:pStyle w:val="Heading4"/>
        <w:rPr>
          <w:u w:val="single"/>
        </w:rPr>
      </w:pPr>
      <w:r>
        <w:t>Indacaterol</w:t>
      </w:r>
      <w:r w:rsidRPr="00030E3B">
        <w:t>/</w:t>
      </w:r>
      <w:r w:rsidRPr="001C5F1E">
        <w:t xml:space="preserve"> glycopyrronium</w:t>
      </w:r>
      <w:r w:rsidRPr="00030E3B">
        <w:t xml:space="preserve"> versus tiotropium + </w:t>
      </w:r>
      <w:r>
        <w:t>e</w:t>
      </w:r>
      <w:r w:rsidRPr="001C5F1E">
        <w:t>formoterol</w:t>
      </w:r>
    </w:p>
    <w:p w:rsidR="00644D56" w:rsidRDefault="00176B91" w:rsidP="00251CB8">
      <w:pPr>
        <w:pStyle w:val="Heading4"/>
        <w:numPr>
          <w:ilvl w:val="3"/>
          <w:numId w:val="11"/>
        </w:numPr>
        <w:rPr>
          <w:b w:val="0"/>
          <w:u w:val="single"/>
        </w:rPr>
      </w:pPr>
      <w:r>
        <w:rPr>
          <w:b w:val="0"/>
          <w:u w:val="single"/>
        </w:rPr>
        <w:t>QUANTIFY</w:t>
      </w:r>
    </w:p>
    <w:p w:rsidR="008D122F" w:rsidRDefault="008D122F" w:rsidP="008D122F">
      <w:pPr>
        <w:pStyle w:val="BodyTextnospacebefore"/>
      </w:pPr>
      <w:r>
        <w:t xml:space="preserve">The authors stated that </w:t>
      </w:r>
      <w:r w:rsidR="00870F58">
        <w:t>indacaterol</w:t>
      </w:r>
      <w:r>
        <w:t>/</w:t>
      </w:r>
      <w:r w:rsidR="00870F58" w:rsidRPr="00870F58">
        <w:t>glycopyrronium</w:t>
      </w:r>
      <w:r>
        <w:t xml:space="preserve"> has previously been investigated in comparison with </w:t>
      </w:r>
      <w:r w:rsidR="00541A16" w:rsidRPr="00541A16">
        <w:t>indacaterol</w:t>
      </w:r>
      <w:r w:rsidR="00282AA0">
        <w:t xml:space="preserve"> and</w:t>
      </w:r>
      <w:r>
        <w:t xml:space="preserve"> </w:t>
      </w:r>
      <w:r w:rsidR="00541A16" w:rsidRPr="00541A16">
        <w:t>glycopyrronium</w:t>
      </w:r>
      <w:r>
        <w:t xml:space="preserve">; however, this non-inferiority trial is the first to evaluate the FDC in comparison with another combination of a LAMA and LABA (i.e. tiotropium and </w:t>
      </w:r>
      <w:r w:rsidR="00541A16" w:rsidRPr="00541A16">
        <w:t xml:space="preserve">eformoterol </w:t>
      </w:r>
      <w:r>
        <w:t>at PBS-listed doses, in separate inhalers).</w:t>
      </w:r>
    </w:p>
    <w:p w:rsidR="002C6C26" w:rsidRPr="00997759" w:rsidRDefault="008D122F" w:rsidP="008D122F">
      <w:pPr>
        <w:pStyle w:val="BodyText"/>
      </w:pPr>
      <w:r>
        <w:t xml:space="preserve">In both treatment groups, the </w:t>
      </w:r>
      <w:r w:rsidR="00541A16">
        <w:t xml:space="preserve">patients had moderate or severe </w:t>
      </w:r>
      <w:r>
        <w:t>risk of exacerbations</w:t>
      </w:r>
      <w:r w:rsidR="00541A16">
        <w:t xml:space="preserve"> (GOLD </w:t>
      </w:r>
      <w:r w:rsidR="006126BE">
        <w:t>II</w:t>
      </w:r>
      <w:r w:rsidR="00541A16">
        <w:t xml:space="preserve"> and GOLD </w:t>
      </w:r>
      <w:r w:rsidR="006126BE">
        <w:t>III</w:t>
      </w:r>
      <w:r w:rsidR="00541A16">
        <w:t xml:space="preserve"> </w:t>
      </w:r>
      <w:r w:rsidR="006126BE">
        <w:t xml:space="preserve">groups </w:t>
      </w:r>
      <w:r w:rsidR="00541A16">
        <w:t xml:space="preserve">as defined by GOLD 2010) </w:t>
      </w:r>
      <w:r>
        <w:t xml:space="preserve">with </w:t>
      </w:r>
      <w:r w:rsidR="006126BE">
        <w:t>57.7</w:t>
      </w:r>
      <w:r>
        <w:t xml:space="preserve">% and </w:t>
      </w:r>
      <w:r w:rsidR="006126BE">
        <w:t>55.7</w:t>
      </w:r>
      <w:r>
        <w:t xml:space="preserve">% of patients in the </w:t>
      </w:r>
      <w:r w:rsidR="006126BE">
        <w:t>indacaterol/</w:t>
      </w:r>
      <w:r w:rsidR="006126BE" w:rsidRPr="00870F58">
        <w:t>glycopyrronium</w:t>
      </w:r>
      <w:r w:rsidR="006126BE">
        <w:t xml:space="preserve"> </w:t>
      </w:r>
      <w:r>
        <w:t xml:space="preserve">and tiotropium plus </w:t>
      </w:r>
      <w:r w:rsidR="006126BE" w:rsidRPr="00541A16">
        <w:t>eformoterol</w:t>
      </w:r>
      <w:r w:rsidR="006126BE">
        <w:t xml:space="preserve"> </w:t>
      </w:r>
      <w:r>
        <w:t xml:space="preserve">groups, respectively, being classified as </w:t>
      </w:r>
      <w:r w:rsidR="006126BE">
        <w:t>moderate COPD</w:t>
      </w:r>
      <w:r>
        <w:t xml:space="preserve">. Over </w:t>
      </w:r>
      <w:r w:rsidR="006126BE">
        <w:t xml:space="preserve">86% of patients in both treatment groups had no </w:t>
      </w:r>
      <w:r w:rsidR="006126BE" w:rsidRPr="006126BE">
        <w:t>COPD exacerbation history</w:t>
      </w:r>
      <w:r w:rsidR="006126BE">
        <w:t xml:space="preserve"> at baseline.</w:t>
      </w:r>
    </w:p>
    <w:p w:rsidR="008D122F" w:rsidRDefault="009E6DC7" w:rsidP="002C6C26">
      <w:pPr>
        <w:pStyle w:val="BodyText"/>
      </w:pPr>
      <w:r>
        <w:t>The non-inferiority margin was predeﬁned as 4 units, which has been reported in the literature as an appropriate deﬁnition for the limit for a clinically relevant effect for the SGRQ-C (refer to ToR 2).</w:t>
      </w:r>
      <w:r w:rsidR="000057FC">
        <w:t xml:space="preserve"> Secondary endpoints included TDI scores, symptoms of SGRQ-C, spirometry (FEV</w:t>
      </w:r>
      <w:r w:rsidR="000057FC" w:rsidRPr="007758D9">
        <w:rPr>
          <w:vertAlign w:val="subscript"/>
        </w:rPr>
        <w:t>1</w:t>
      </w:r>
      <w:r w:rsidR="000057FC">
        <w:t xml:space="preserve"> and FVC), rate of moderate and severe COPD exacerbations requiring hospitalisation</w:t>
      </w:r>
      <w:r w:rsidR="00282AA0">
        <w:t>,</w:t>
      </w:r>
      <w:r w:rsidR="000057FC">
        <w:t xml:space="preserve"> and time to ﬁrst moderate/severe exacerbation during the treatment period.</w:t>
      </w:r>
      <w:r>
        <w:t xml:space="preserve"> </w:t>
      </w:r>
      <w:r w:rsidR="00282AA0">
        <w:t>The a</w:t>
      </w:r>
      <w:r w:rsidR="00C0759B">
        <w:t xml:space="preserve">uthors acknowledged that a limitation of the </w:t>
      </w:r>
      <w:proofErr w:type="gramStart"/>
      <w:r w:rsidR="00C0759B">
        <w:t>study,</w:t>
      </w:r>
      <w:proofErr w:type="gramEnd"/>
      <w:r w:rsidR="00C0759B">
        <w:t xml:space="preserve"> was that </w:t>
      </w:r>
      <w:r w:rsidR="008D122F">
        <w:t>only the incidence of at least one exacerbation</w:t>
      </w:r>
      <w:r w:rsidR="00C0759B">
        <w:t xml:space="preserve"> was considered</w:t>
      </w:r>
      <w:r w:rsidR="008D122F">
        <w:t>, rather than the</w:t>
      </w:r>
      <w:r w:rsidR="00B364B7">
        <w:t xml:space="preserve"> </w:t>
      </w:r>
      <w:r w:rsidR="00B364B7" w:rsidRPr="00B364B7">
        <w:t>number of exacerbations experienced</w:t>
      </w:r>
      <w:r w:rsidR="00C0759B">
        <w:t>.</w:t>
      </w:r>
    </w:p>
    <w:p w:rsidR="00622005" w:rsidRDefault="00C0759B" w:rsidP="000F0485">
      <w:pPr>
        <w:pStyle w:val="BodyText"/>
      </w:pPr>
      <w:r w:rsidRPr="00C0759B">
        <w:t xml:space="preserve">All the 934 randomised patients were included in the </w:t>
      </w:r>
      <w:r>
        <w:t>full analysis set (</w:t>
      </w:r>
      <w:r w:rsidRPr="00C0759B">
        <w:t>FAS</w:t>
      </w:r>
      <w:r>
        <w:t>)</w:t>
      </w:r>
      <w:r w:rsidRPr="00C0759B">
        <w:t>.</w:t>
      </w:r>
      <w:r>
        <w:t xml:space="preserve"> Non-inferiority was met for </w:t>
      </w:r>
      <w:r w:rsidR="00176B91" w:rsidRPr="00176B91">
        <w:t>indacaterol/glycopyrronium</w:t>
      </w:r>
      <w:r>
        <w:t xml:space="preserve"> compared with</w:t>
      </w:r>
      <w:r w:rsidR="00176B91">
        <w:t xml:space="preserve"> tiotropium plus </w:t>
      </w:r>
      <w:r w:rsidR="00176B91" w:rsidRPr="00541A16">
        <w:t>eformoterol</w:t>
      </w:r>
      <w:r w:rsidR="008543D0">
        <w:t xml:space="preserve"> (difference: –0.69 units; 95% CI−2.31 to 0.92; p=0.399)</w:t>
      </w:r>
      <w:r w:rsidR="008E7471">
        <w:t xml:space="preserve"> at week 26</w:t>
      </w:r>
      <w:r w:rsidR="00176B91">
        <w:t xml:space="preserve">. </w:t>
      </w:r>
      <w:r w:rsidR="005E2C48">
        <w:t xml:space="preserve">Compared with </w:t>
      </w:r>
      <w:r w:rsidR="005E2C48" w:rsidRPr="005E2C48">
        <w:t>tiotropium plus eformoterol</w:t>
      </w:r>
      <w:r w:rsidR="005E2C48">
        <w:t xml:space="preserve">, patients receiving </w:t>
      </w:r>
      <w:r w:rsidR="005E2C48" w:rsidRPr="005E2C48">
        <w:t>indacaterol/glycopyrronium</w:t>
      </w:r>
      <w:r w:rsidR="005E2C48">
        <w:t xml:space="preserve"> showed a significantly increased pre-dose FEV</w:t>
      </w:r>
      <w:r w:rsidR="005E2C48" w:rsidRPr="002C6C26">
        <w:rPr>
          <w:vertAlign w:val="subscript"/>
        </w:rPr>
        <w:t>1</w:t>
      </w:r>
      <w:r w:rsidR="005E2C48">
        <w:t xml:space="preserve"> (+68 mL, 95% CI 37 mL to 100 mL; p&lt;0.001) and FVC</w:t>
      </w:r>
      <w:r w:rsidR="008E7471">
        <w:t xml:space="preserve"> </w:t>
      </w:r>
      <w:r w:rsidR="005E2C48">
        <w:t>(+74 mL, 95% CI 24 mL to 125 mL; p=0.004) in the FAS</w:t>
      </w:r>
      <w:r w:rsidR="0001548E">
        <w:t xml:space="preserve"> at week 26</w:t>
      </w:r>
      <w:r w:rsidR="003F659A">
        <w:t>. Post-dose</w:t>
      </w:r>
      <w:r w:rsidR="008E7471">
        <w:t xml:space="preserve"> </w:t>
      </w:r>
      <w:r w:rsidR="003F659A">
        <w:t>FEV</w:t>
      </w:r>
      <w:r w:rsidR="003F659A" w:rsidRPr="007758D9">
        <w:rPr>
          <w:vertAlign w:val="subscript"/>
        </w:rPr>
        <w:t>1</w:t>
      </w:r>
      <w:r w:rsidR="003F659A">
        <w:t xml:space="preserve"> and post-</w:t>
      </w:r>
      <w:r w:rsidR="003F659A">
        <w:lastRenderedPageBreak/>
        <w:t>dose FVC showed no signiﬁcant differences</w:t>
      </w:r>
      <w:r w:rsidR="008E7471">
        <w:t xml:space="preserve"> </w:t>
      </w:r>
      <w:r w:rsidR="003F659A">
        <w:t>between</w:t>
      </w:r>
      <w:r w:rsidR="008E7471">
        <w:t xml:space="preserve"> </w:t>
      </w:r>
      <w:r w:rsidR="003F659A">
        <w:t>the</w:t>
      </w:r>
      <w:r w:rsidR="008E7471">
        <w:t xml:space="preserve"> </w:t>
      </w:r>
      <w:r w:rsidR="003F659A">
        <w:t>treatment</w:t>
      </w:r>
      <w:r w:rsidR="008E7471">
        <w:t xml:space="preserve"> </w:t>
      </w:r>
      <w:r w:rsidR="003F659A">
        <w:t>groups</w:t>
      </w:r>
      <w:r w:rsidR="008E7471">
        <w:t xml:space="preserve">. </w:t>
      </w:r>
      <w:r w:rsidR="008E7471" w:rsidRPr="008E7471">
        <w:t>The authors poin</w:t>
      </w:r>
      <w:r w:rsidR="00282AA0">
        <w:t xml:space="preserve">ted out </w:t>
      </w:r>
      <w:proofErr w:type="gramStart"/>
      <w:r w:rsidR="00282AA0">
        <w:t>that concomitant drugs</w:t>
      </w:r>
      <w:proofErr w:type="gramEnd"/>
      <w:r w:rsidR="00282AA0">
        <w:t xml:space="preserve"> </w:t>
      </w:r>
      <w:r w:rsidR="008E7471" w:rsidRPr="008E7471">
        <w:t>did not influence efficacy parameters.</w:t>
      </w:r>
    </w:p>
    <w:p w:rsidR="00622005" w:rsidRDefault="00282AA0" w:rsidP="00622005">
      <w:pPr>
        <w:pStyle w:val="BodyText"/>
      </w:pPr>
      <w:r>
        <w:t>T</w:t>
      </w:r>
      <w:r w:rsidR="00622005">
        <w:t xml:space="preserve">he authors highlighted that </w:t>
      </w:r>
      <w:r w:rsidR="00622005" w:rsidRPr="00176B91">
        <w:t>indacaterol/glycopyrronium</w:t>
      </w:r>
      <w:r w:rsidR="00622005">
        <w:t xml:space="preserve"> and tiotropium plus </w:t>
      </w:r>
      <w:r w:rsidR="00622005" w:rsidRPr="00541A16">
        <w:t>eformoterol</w:t>
      </w:r>
      <w:r w:rsidR="00622005">
        <w:t xml:space="preserve"> were comparable across safety outcomes over a 26-week period (see Table 3.32 for safety results).</w:t>
      </w:r>
    </w:p>
    <w:p w:rsidR="00B364B7" w:rsidRDefault="00B364B7" w:rsidP="00282AA0">
      <w:pPr>
        <w:pStyle w:val="ToR3Tableheader"/>
      </w:pPr>
      <w:bookmarkStart w:id="224" w:name="_Toc486428211"/>
      <w:r>
        <w:t>Table 3.32</w:t>
      </w:r>
      <w:r>
        <w:tab/>
        <w:t xml:space="preserve">Results for safety outcomes relating to </w:t>
      </w:r>
      <w:r w:rsidR="00CC1A5B">
        <w:t>IND/GLY</w:t>
      </w:r>
      <w:r>
        <w:t xml:space="preserve"> vs TIO+</w:t>
      </w:r>
      <w:r w:rsidR="00CC1A5B">
        <w:t>EFO</w:t>
      </w:r>
      <w:bookmarkEnd w:id="2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Caption w:val="Safety outcomes"/>
        <w:tblDescription w:val="UME/VIL vsTIO plus IND"/>
      </w:tblPr>
      <w:tblGrid>
        <w:gridCol w:w="4683"/>
        <w:gridCol w:w="2551"/>
        <w:gridCol w:w="2414"/>
      </w:tblGrid>
      <w:tr w:rsidR="00B364B7" w:rsidRPr="00194011" w:rsidTr="00545695">
        <w:trPr>
          <w:cantSplit/>
          <w:tblHeader/>
        </w:trPr>
        <w:tc>
          <w:tcPr>
            <w:tcW w:w="2427" w:type="pct"/>
            <w:shd w:val="clear" w:color="auto" w:fill="BFBFBF"/>
          </w:tcPr>
          <w:p w:rsidR="00B364B7" w:rsidRPr="00194011" w:rsidRDefault="00B364B7" w:rsidP="00545695">
            <w:pPr>
              <w:pStyle w:val="01TableHEADINGleftaligned"/>
              <w:rPr>
                <w:i/>
              </w:rPr>
            </w:pPr>
          </w:p>
        </w:tc>
        <w:tc>
          <w:tcPr>
            <w:tcW w:w="1322" w:type="pct"/>
            <w:tcBorders>
              <w:bottom w:val="single" w:sz="4" w:space="0" w:color="auto"/>
            </w:tcBorders>
            <w:shd w:val="clear" w:color="auto" w:fill="BFBFBF"/>
          </w:tcPr>
          <w:p w:rsidR="00B364B7" w:rsidRPr="00194011" w:rsidRDefault="00CC1A5B">
            <w:pPr>
              <w:pStyle w:val="01TableHEADINGleftaligned"/>
              <w:jc w:val="center"/>
            </w:pPr>
            <w:r>
              <w:t>IND/GLY</w:t>
            </w:r>
            <w:r w:rsidR="00B364B7">
              <w:t xml:space="preserve">  </w:t>
            </w:r>
            <w:r>
              <w:t>110/50</w:t>
            </w:r>
            <w:r w:rsidR="00B364B7">
              <w:br/>
              <w:t>(N=4</w:t>
            </w:r>
            <w:r>
              <w:t>76</w:t>
            </w:r>
            <w:r w:rsidR="00B364B7">
              <w:t>)</w:t>
            </w:r>
          </w:p>
        </w:tc>
        <w:tc>
          <w:tcPr>
            <w:tcW w:w="1251" w:type="pct"/>
            <w:tcBorders>
              <w:bottom w:val="single" w:sz="4" w:space="0" w:color="auto"/>
            </w:tcBorders>
            <w:shd w:val="clear" w:color="auto" w:fill="BFBFBF"/>
          </w:tcPr>
          <w:p w:rsidR="00B364B7" w:rsidRPr="00194011" w:rsidRDefault="00B364B7">
            <w:pPr>
              <w:pStyle w:val="01TableHEADINGleftaligned"/>
              <w:jc w:val="center"/>
            </w:pPr>
            <w:r>
              <w:t xml:space="preserve">TIO 18 + </w:t>
            </w:r>
            <w:r w:rsidR="00CC1A5B">
              <w:t>EFO</w:t>
            </w:r>
            <w:r>
              <w:t xml:space="preserve"> 1</w:t>
            </w:r>
            <w:r w:rsidR="00CC1A5B">
              <w:t>12</w:t>
            </w:r>
            <w:r>
              <w:t xml:space="preserve"> </w:t>
            </w:r>
            <w:r>
              <w:br/>
              <w:t>(N=479)</w:t>
            </w:r>
          </w:p>
        </w:tc>
      </w:tr>
      <w:tr w:rsidR="00B364B7" w:rsidRPr="00194011" w:rsidTr="00545695">
        <w:trPr>
          <w:cantSplit/>
        </w:trPr>
        <w:tc>
          <w:tcPr>
            <w:tcW w:w="2427" w:type="pct"/>
            <w:shd w:val="clear" w:color="auto" w:fill="auto"/>
          </w:tcPr>
          <w:p w:rsidR="00B364B7" w:rsidRPr="00194011" w:rsidRDefault="00B364B7" w:rsidP="00545695">
            <w:pPr>
              <w:pStyle w:val="05Tabletext"/>
              <w:keepNext/>
            </w:pPr>
            <w:r>
              <w:t>AEs, n (%)</w:t>
            </w:r>
          </w:p>
        </w:tc>
        <w:tc>
          <w:tcPr>
            <w:tcW w:w="1322" w:type="pct"/>
            <w:shd w:val="clear" w:color="auto" w:fill="auto"/>
          </w:tcPr>
          <w:p w:rsidR="00B364B7" w:rsidRPr="00194011" w:rsidRDefault="00CC1A5B" w:rsidP="00545695">
            <w:pPr>
              <w:pStyle w:val="05Tabletext"/>
              <w:keepNext/>
              <w:jc w:val="center"/>
            </w:pPr>
            <w:r>
              <w:t>208 (43</w:t>
            </w:r>
            <w:r w:rsidR="00FE7B1D">
              <w:t>.</w:t>
            </w:r>
            <w:r>
              <w:t>7)</w:t>
            </w:r>
          </w:p>
        </w:tc>
        <w:tc>
          <w:tcPr>
            <w:tcW w:w="1251" w:type="pct"/>
            <w:shd w:val="clear" w:color="auto" w:fill="auto"/>
          </w:tcPr>
          <w:p w:rsidR="00B364B7" w:rsidRPr="00194011" w:rsidRDefault="00CC1A5B" w:rsidP="00545695">
            <w:pPr>
              <w:pStyle w:val="05Tabletext"/>
              <w:keepNext/>
              <w:jc w:val="center"/>
            </w:pPr>
            <w:r>
              <w:t>195 (42.6)</w:t>
            </w:r>
          </w:p>
        </w:tc>
      </w:tr>
      <w:tr w:rsidR="00B364B7" w:rsidRPr="00194011" w:rsidTr="00545695">
        <w:trPr>
          <w:cantSplit/>
        </w:trPr>
        <w:tc>
          <w:tcPr>
            <w:tcW w:w="2427" w:type="pct"/>
            <w:shd w:val="clear" w:color="auto" w:fill="auto"/>
          </w:tcPr>
          <w:p w:rsidR="00B364B7" w:rsidRPr="00A140AA" w:rsidRDefault="00B364B7" w:rsidP="00545695">
            <w:pPr>
              <w:pStyle w:val="05Tabletext"/>
              <w:keepNext/>
            </w:pPr>
            <w:r>
              <w:t xml:space="preserve">Drug-related AEs, n (%) </w:t>
            </w:r>
          </w:p>
        </w:tc>
        <w:tc>
          <w:tcPr>
            <w:tcW w:w="1322" w:type="pct"/>
            <w:shd w:val="clear" w:color="auto" w:fill="auto"/>
          </w:tcPr>
          <w:p w:rsidR="00B364B7" w:rsidRPr="00194011" w:rsidRDefault="00CC1A5B" w:rsidP="00545695">
            <w:pPr>
              <w:pStyle w:val="05Tabletext"/>
              <w:keepNext/>
              <w:jc w:val="center"/>
            </w:pPr>
            <w:r>
              <w:t>32 (6.7)</w:t>
            </w:r>
          </w:p>
        </w:tc>
        <w:tc>
          <w:tcPr>
            <w:tcW w:w="1251" w:type="pct"/>
            <w:shd w:val="clear" w:color="auto" w:fill="auto"/>
          </w:tcPr>
          <w:p w:rsidR="00B364B7" w:rsidRPr="00194011" w:rsidRDefault="00CC1A5B" w:rsidP="00545695">
            <w:pPr>
              <w:pStyle w:val="05Tabletext"/>
              <w:keepNext/>
              <w:jc w:val="center"/>
            </w:pPr>
            <w:r>
              <w:t>24 (5.2)</w:t>
            </w:r>
          </w:p>
        </w:tc>
      </w:tr>
      <w:tr w:rsidR="00B364B7" w:rsidRPr="00194011" w:rsidTr="00545695">
        <w:trPr>
          <w:cantSplit/>
        </w:trPr>
        <w:tc>
          <w:tcPr>
            <w:tcW w:w="2427" w:type="pct"/>
            <w:shd w:val="clear" w:color="auto" w:fill="auto"/>
          </w:tcPr>
          <w:p w:rsidR="00B364B7" w:rsidRPr="009D7EEA" w:rsidRDefault="00B364B7" w:rsidP="00545695">
            <w:pPr>
              <w:pStyle w:val="05Tabletext"/>
              <w:keepNext/>
              <w:rPr>
                <w:rFonts w:ascii="Arial" w:hAnsi="Arial" w:cs="Arial"/>
                <w:rtl/>
              </w:rPr>
            </w:pPr>
            <w:r>
              <w:t>AE leading to study withdrawal/ discontinuation of medication, n (%)</w:t>
            </w:r>
          </w:p>
        </w:tc>
        <w:tc>
          <w:tcPr>
            <w:tcW w:w="1322" w:type="pct"/>
            <w:shd w:val="clear" w:color="auto" w:fill="auto"/>
          </w:tcPr>
          <w:p w:rsidR="00B364B7" w:rsidRPr="00194011" w:rsidRDefault="00FE7B1D" w:rsidP="00545695">
            <w:pPr>
              <w:pStyle w:val="05Tabletext"/>
              <w:keepNext/>
              <w:jc w:val="center"/>
            </w:pPr>
            <w:r>
              <w:t>20 (4.2)</w:t>
            </w:r>
          </w:p>
        </w:tc>
        <w:tc>
          <w:tcPr>
            <w:tcW w:w="1251" w:type="pct"/>
            <w:shd w:val="clear" w:color="auto" w:fill="auto"/>
          </w:tcPr>
          <w:p w:rsidR="00B364B7" w:rsidRPr="00194011" w:rsidRDefault="00FE7B1D" w:rsidP="00545695">
            <w:pPr>
              <w:pStyle w:val="05Tabletext"/>
              <w:keepNext/>
              <w:jc w:val="center"/>
            </w:pPr>
            <w:r>
              <w:t>14 (3.1)</w:t>
            </w:r>
          </w:p>
        </w:tc>
      </w:tr>
      <w:tr w:rsidR="00B364B7" w:rsidRPr="00194011" w:rsidTr="00545695">
        <w:trPr>
          <w:cantSplit/>
        </w:trPr>
        <w:tc>
          <w:tcPr>
            <w:tcW w:w="2427" w:type="pct"/>
            <w:shd w:val="clear" w:color="auto" w:fill="auto"/>
          </w:tcPr>
          <w:p w:rsidR="00B364B7" w:rsidRPr="00194011" w:rsidRDefault="00B364B7" w:rsidP="00545695">
            <w:pPr>
              <w:pStyle w:val="05Tabletext"/>
              <w:keepNext/>
            </w:pPr>
            <w:r>
              <w:t>Non-fatal SAE, n (%)</w:t>
            </w:r>
          </w:p>
        </w:tc>
        <w:tc>
          <w:tcPr>
            <w:tcW w:w="1322" w:type="pct"/>
            <w:shd w:val="clear" w:color="auto" w:fill="auto"/>
          </w:tcPr>
          <w:p w:rsidR="00B364B7" w:rsidRPr="00194011" w:rsidRDefault="00FE7B1D" w:rsidP="00545695">
            <w:pPr>
              <w:pStyle w:val="05Tabletext"/>
              <w:keepNext/>
              <w:jc w:val="center"/>
            </w:pPr>
            <w:r>
              <w:t>30 (6.3)</w:t>
            </w:r>
          </w:p>
        </w:tc>
        <w:tc>
          <w:tcPr>
            <w:tcW w:w="1251" w:type="pct"/>
            <w:shd w:val="clear" w:color="auto" w:fill="auto"/>
          </w:tcPr>
          <w:p w:rsidR="00B364B7" w:rsidRPr="00194011" w:rsidRDefault="00FE7B1D" w:rsidP="00545695">
            <w:pPr>
              <w:pStyle w:val="05Tabletext"/>
              <w:keepNext/>
              <w:jc w:val="center"/>
            </w:pPr>
            <w:r>
              <w:t>24 (5.2)</w:t>
            </w:r>
          </w:p>
        </w:tc>
      </w:tr>
      <w:tr w:rsidR="00FE7B1D" w:rsidRPr="00194011" w:rsidTr="00545695">
        <w:trPr>
          <w:cantSplit/>
        </w:trPr>
        <w:tc>
          <w:tcPr>
            <w:tcW w:w="2427" w:type="pct"/>
            <w:shd w:val="clear" w:color="auto" w:fill="auto"/>
          </w:tcPr>
          <w:p w:rsidR="00FE7B1D" w:rsidRDefault="00FE7B1D" w:rsidP="00545695">
            <w:pPr>
              <w:pStyle w:val="05Tabletext"/>
              <w:keepNext/>
            </w:pPr>
            <w:r>
              <w:t>Drug-related SAEs, n (%)</w:t>
            </w:r>
          </w:p>
        </w:tc>
        <w:tc>
          <w:tcPr>
            <w:tcW w:w="1322" w:type="pct"/>
            <w:shd w:val="clear" w:color="auto" w:fill="auto"/>
          </w:tcPr>
          <w:p w:rsidR="00FE7B1D" w:rsidRPr="00194011" w:rsidRDefault="00FE7B1D" w:rsidP="00545695">
            <w:pPr>
              <w:pStyle w:val="05Tabletext"/>
              <w:keepNext/>
              <w:jc w:val="center"/>
            </w:pPr>
            <w:r>
              <w:t>3 (0.6)</w:t>
            </w:r>
          </w:p>
        </w:tc>
        <w:tc>
          <w:tcPr>
            <w:tcW w:w="1251" w:type="pct"/>
            <w:shd w:val="clear" w:color="auto" w:fill="auto"/>
          </w:tcPr>
          <w:p w:rsidR="00FE7B1D" w:rsidRPr="00194011" w:rsidRDefault="00FE7B1D" w:rsidP="00545695">
            <w:pPr>
              <w:pStyle w:val="05Tabletext"/>
              <w:keepNext/>
              <w:jc w:val="center"/>
            </w:pPr>
            <w:r>
              <w:t>3 (0.2)</w:t>
            </w:r>
          </w:p>
        </w:tc>
      </w:tr>
      <w:tr w:rsidR="00FE7B1D" w:rsidRPr="00194011" w:rsidTr="00545695">
        <w:trPr>
          <w:cantSplit/>
        </w:trPr>
        <w:tc>
          <w:tcPr>
            <w:tcW w:w="2427" w:type="pct"/>
            <w:shd w:val="clear" w:color="auto" w:fill="auto"/>
          </w:tcPr>
          <w:p w:rsidR="00FE7B1D" w:rsidRDefault="00FE7B1D" w:rsidP="00545695">
            <w:pPr>
              <w:pStyle w:val="05Tabletext"/>
              <w:keepNext/>
            </w:pPr>
            <w:r>
              <w:t>SAE leading to study withdrawal/ discontinuation of medication, n (%)</w:t>
            </w:r>
          </w:p>
        </w:tc>
        <w:tc>
          <w:tcPr>
            <w:tcW w:w="1322" w:type="pct"/>
            <w:shd w:val="clear" w:color="auto" w:fill="auto"/>
          </w:tcPr>
          <w:p w:rsidR="00FE7B1D" w:rsidRDefault="00FE7B1D" w:rsidP="00545695">
            <w:pPr>
              <w:pStyle w:val="05Tabletext"/>
              <w:keepNext/>
              <w:jc w:val="center"/>
            </w:pPr>
            <w:r>
              <w:t>8 (1.7)</w:t>
            </w:r>
          </w:p>
        </w:tc>
        <w:tc>
          <w:tcPr>
            <w:tcW w:w="1251" w:type="pct"/>
            <w:shd w:val="clear" w:color="auto" w:fill="auto"/>
          </w:tcPr>
          <w:p w:rsidR="00FE7B1D" w:rsidRDefault="00FE7B1D" w:rsidP="00545695">
            <w:pPr>
              <w:pStyle w:val="05Tabletext"/>
              <w:keepNext/>
              <w:jc w:val="center"/>
            </w:pPr>
            <w:r>
              <w:t>6 (1.3)</w:t>
            </w:r>
          </w:p>
        </w:tc>
      </w:tr>
      <w:tr w:rsidR="00B364B7" w:rsidRPr="00194011" w:rsidTr="00545695">
        <w:trPr>
          <w:cantSplit/>
        </w:trPr>
        <w:tc>
          <w:tcPr>
            <w:tcW w:w="2427" w:type="pct"/>
            <w:shd w:val="clear" w:color="auto" w:fill="auto"/>
          </w:tcPr>
          <w:p w:rsidR="00B364B7" w:rsidRPr="00194011" w:rsidRDefault="00B364B7" w:rsidP="00545695">
            <w:pPr>
              <w:pStyle w:val="05Tabletext"/>
              <w:keepNext/>
            </w:pPr>
            <w:r>
              <w:t>Fatal SAE, n (%)</w:t>
            </w:r>
          </w:p>
        </w:tc>
        <w:tc>
          <w:tcPr>
            <w:tcW w:w="1322" w:type="pct"/>
            <w:shd w:val="clear" w:color="auto" w:fill="auto"/>
          </w:tcPr>
          <w:p w:rsidR="00B364B7" w:rsidRPr="00CF2D24" w:rsidRDefault="00CC1A5B">
            <w:pPr>
              <w:pStyle w:val="05Tabletext"/>
              <w:keepNext/>
              <w:jc w:val="center"/>
              <w:rPr>
                <w:vertAlign w:val="superscript"/>
              </w:rPr>
            </w:pPr>
            <w:r>
              <w:t>3 (0.6)</w:t>
            </w:r>
          </w:p>
        </w:tc>
        <w:tc>
          <w:tcPr>
            <w:tcW w:w="1251" w:type="pct"/>
            <w:shd w:val="clear" w:color="auto" w:fill="auto"/>
          </w:tcPr>
          <w:p w:rsidR="00B364B7" w:rsidRPr="00194011" w:rsidRDefault="00FE7B1D">
            <w:pPr>
              <w:pStyle w:val="05Tabletext"/>
              <w:keepNext/>
              <w:jc w:val="center"/>
            </w:pPr>
            <w:r>
              <w:t>3</w:t>
            </w:r>
            <w:r w:rsidR="00CC1A5B">
              <w:t xml:space="preserve"> (0.</w:t>
            </w:r>
            <w:r>
              <w:t>7</w:t>
            </w:r>
            <w:r w:rsidR="00CC1A5B">
              <w:t>)</w:t>
            </w:r>
          </w:p>
        </w:tc>
      </w:tr>
    </w:tbl>
    <w:p w:rsidR="00B364B7" w:rsidRDefault="00B364B7" w:rsidP="00B364B7">
      <w:pPr>
        <w:pStyle w:val="10TableorFigurefootnote"/>
      </w:pPr>
      <w:r>
        <w:t>Source</w:t>
      </w:r>
      <w:r w:rsidR="00CC1A5B">
        <w:t>: Buhl (2015a</w:t>
      </w:r>
      <w:r>
        <w:t xml:space="preserve">), Table </w:t>
      </w:r>
      <w:r w:rsidR="00CC1A5B">
        <w:t>3</w:t>
      </w:r>
      <w:r>
        <w:t>.</w:t>
      </w:r>
    </w:p>
    <w:p w:rsidR="00B364B7" w:rsidRDefault="00B364B7" w:rsidP="00B364B7">
      <w:pPr>
        <w:pStyle w:val="10TableorFigurefootnote"/>
      </w:pPr>
      <w:r>
        <w:t>Note: Based on ITT population.</w:t>
      </w:r>
    </w:p>
    <w:p w:rsidR="00B364B7" w:rsidRPr="00D7792B" w:rsidRDefault="00B364B7" w:rsidP="002C6C26">
      <w:pPr>
        <w:pStyle w:val="10TableorFigurefootnote"/>
      </w:pPr>
      <w:r>
        <w:t xml:space="preserve">Abbreviations: AE, adverse event; </w:t>
      </w:r>
      <w:r w:rsidR="00475E24" w:rsidRPr="00475E24">
        <w:t xml:space="preserve">eformoterol </w:t>
      </w:r>
      <w:r w:rsidR="00475E24">
        <w:t xml:space="preserve">(EFO), GLY, </w:t>
      </w:r>
      <w:r w:rsidR="00475E24" w:rsidRPr="001C5F1E">
        <w:t>glycopyrronium</w:t>
      </w:r>
      <w:r w:rsidR="00475E24">
        <w:t xml:space="preserve"> </w:t>
      </w:r>
      <w:r>
        <w:t>IND, indacaterol; SAE, serious adverse events; TIO, tiotropium</w:t>
      </w:r>
    </w:p>
    <w:p w:rsidR="00035233" w:rsidRDefault="00035233" w:rsidP="00251CB8">
      <w:pPr>
        <w:pStyle w:val="Heading4"/>
        <w:numPr>
          <w:ilvl w:val="3"/>
          <w:numId w:val="11"/>
        </w:numPr>
      </w:pPr>
      <w:r>
        <w:t>Summary of findings</w:t>
      </w:r>
    </w:p>
    <w:p w:rsidR="00712B14" w:rsidRDefault="00035233" w:rsidP="00282AA0">
      <w:pPr>
        <w:pStyle w:val="Bullettext"/>
      </w:pPr>
      <w:r>
        <w:t>Kalberg et al (2016; good quality) compared the efficacy and safety of umeclidinium/</w:t>
      </w:r>
      <w:r>
        <w:rPr>
          <w:rFonts w:hint="cs"/>
        </w:rPr>
        <w:t>vilanterol versus tiotropium plus indacaterol and demonstrated non-inferiority of the two treatment combinations based on trough FEV</w:t>
      </w:r>
      <w:r>
        <w:rPr>
          <w:vertAlign w:val="subscript"/>
        </w:rPr>
        <w:t>1</w:t>
      </w:r>
      <w:r w:rsidR="00282AA0">
        <w:t xml:space="preserve">. </w:t>
      </w:r>
      <w:proofErr w:type="gramStart"/>
      <w:r w:rsidR="00712B14">
        <w:t>Both umeclidinium/vilanterol</w:t>
      </w:r>
      <w:proofErr w:type="gramEnd"/>
      <w:r w:rsidR="00712B14">
        <w:t xml:space="preserve"> and tiotropium plus indacaterol were well tolerated.</w:t>
      </w:r>
    </w:p>
    <w:p w:rsidR="00035233" w:rsidRDefault="00035233" w:rsidP="00035233">
      <w:pPr>
        <w:pStyle w:val="Bullettext"/>
      </w:pPr>
      <w:r>
        <w:t>The PBAC has previously considered the same comparison, as umeclidinium/vilanterol was the first LAMA/LABA FDC approved for COPD and therefore the most appropriate comparator at the time was tiotropium plus indacaterol (in separate inhalers). The newly available evidence is consistent with the previous evidence considered by the PBAC.</w:t>
      </w:r>
    </w:p>
    <w:p w:rsidR="003D19CE" w:rsidRDefault="00805A26" w:rsidP="00282AA0">
      <w:pPr>
        <w:pStyle w:val="Bullettext"/>
      </w:pPr>
      <w:r>
        <w:t>QUANTIFY</w:t>
      </w:r>
      <w:r w:rsidR="00467AB4">
        <w:t xml:space="preserve"> (2015</w:t>
      </w:r>
      <w:r>
        <w:t>: good quality</w:t>
      </w:r>
      <w:r w:rsidR="00467AB4">
        <w:t xml:space="preserve">) compared </w:t>
      </w:r>
      <w:r w:rsidR="003D19CE">
        <w:t xml:space="preserve">the efficacy and safey of </w:t>
      </w:r>
      <w:r w:rsidRPr="00805A26">
        <w:t>indacaterol/glycopyrronium</w:t>
      </w:r>
      <w:r w:rsidR="003D19CE">
        <w:t xml:space="preserve"> </w:t>
      </w:r>
      <w:r w:rsidR="003D19CE">
        <w:rPr>
          <w:rFonts w:hint="cs"/>
        </w:rPr>
        <w:t xml:space="preserve">versus tiotropium plus </w:t>
      </w:r>
      <w:r w:rsidR="003D19CE" w:rsidRPr="003D19CE">
        <w:t>eformoterol</w:t>
      </w:r>
      <w:r w:rsidR="003D19CE">
        <w:t xml:space="preserve"> </w:t>
      </w:r>
      <w:r w:rsidR="003D19CE">
        <w:rPr>
          <w:rFonts w:hint="cs"/>
        </w:rPr>
        <w:t xml:space="preserve">and demonstrated non-inferiority of the two treatment combinations based on </w:t>
      </w:r>
      <w:r w:rsidR="003D19CE" w:rsidRPr="003D19CE">
        <w:t>SGRQ-C</w:t>
      </w:r>
      <w:r w:rsidR="003D19CE">
        <w:t xml:space="preserve">.  Observed differences </w:t>
      </w:r>
      <w:r w:rsidR="00A82B82">
        <w:t xml:space="preserve">in lung function require further investigation because the trial was not designed to detect a minimally important difference in </w:t>
      </w:r>
      <w:r w:rsidR="00A82B82">
        <w:rPr>
          <w:rFonts w:hint="cs"/>
        </w:rPr>
        <w:t>FEV</w:t>
      </w:r>
      <w:r w:rsidR="00A82B82">
        <w:rPr>
          <w:vertAlign w:val="subscript"/>
        </w:rPr>
        <w:t xml:space="preserve">1 </w:t>
      </w:r>
      <w:r w:rsidR="00A82B82">
        <w:t>or FVC.</w:t>
      </w:r>
      <w:r w:rsidR="00282AA0">
        <w:t xml:space="preserve"> </w:t>
      </w:r>
      <w:proofErr w:type="gramStart"/>
      <w:r w:rsidR="003D19CE">
        <w:t xml:space="preserve">Both </w:t>
      </w:r>
      <w:r w:rsidR="003D19CE" w:rsidRPr="00805A26">
        <w:t>indacaterol/glycopyrronium</w:t>
      </w:r>
      <w:proofErr w:type="gramEnd"/>
      <w:r w:rsidR="003D19CE">
        <w:t xml:space="preserve"> and tiotropium plus </w:t>
      </w:r>
      <w:r w:rsidR="003D19CE" w:rsidRPr="003D19CE">
        <w:t>eformoterol</w:t>
      </w:r>
      <w:r w:rsidR="003D19CE">
        <w:t xml:space="preserve"> were well tolerated.</w:t>
      </w:r>
    </w:p>
    <w:p w:rsidR="00035233" w:rsidRDefault="00035233" w:rsidP="00251CB8">
      <w:pPr>
        <w:pStyle w:val="Heading3"/>
        <w:numPr>
          <w:ilvl w:val="2"/>
          <w:numId w:val="11"/>
        </w:numPr>
      </w:pPr>
      <w:bookmarkStart w:id="225" w:name="_Toc468012275"/>
      <w:bookmarkStart w:id="226" w:name="_Ref468094117"/>
      <w:bookmarkStart w:id="227" w:name="_Ref468098570"/>
      <w:bookmarkStart w:id="228" w:name="_Ref468098652"/>
      <w:bookmarkStart w:id="229" w:name="_Ref468109026"/>
      <w:bookmarkStart w:id="230" w:name="_Toc471890923"/>
      <w:bookmarkStart w:id="231" w:name="_Ref474238048"/>
      <w:bookmarkStart w:id="232" w:name="_Toc482185951"/>
      <w:bookmarkStart w:id="233" w:name="_Toc486428085"/>
      <w:r>
        <w:t xml:space="preserve">LAMA/LABA versus LAMA </w:t>
      </w:r>
      <w:proofErr w:type="gramStart"/>
      <w:r>
        <w:t>monotherapy</w:t>
      </w:r>
      <w:bookmarkEnd w:id="225"/>
      <w:bookmarkEnd w:id="226"/>
      <w:bookmarkEnd w:id="227"/>
      <w:bookmarkEnd w:id="228"/>
      <w:bookmarkEnd w:id="229"/>
      <w:bookmarkEnd w:id="230"/>
      <w:bookmarkEnd w:id="231"/>
      <w:bookmarkEnd w:id="232"/>
      <w:bookmarkEnd w:id="233"/>
      <w:proofErr w:type="gramEnd"/>
    </w:p>
    <w:p w:rsidR="00035233" w:rsidRDefault="00035233" w:rsidP="00035233">
      <w:pPr>
        <w:pStyle w:val="BodyText"/>
      </w:pPr>
      <w:r>
        <w:t xml:space="preserve">As discussed in </w:t>
      </w:r>
      <w:r w:rsidRPr="0062061D">
        <w:t>Section</w:t>
      </w:r>
      <w:r>
        <w:t xml:space="preserve"> 2, clinical practice guidelines indicate that combining bronchodilators of different pharmacological classes may improve efficacy in COPD patients; however, the availability of combination products raises questions regarding the timing of their initiation during the course of COPD (Ferguson et al, 2015). As such, this PBS review seeks to clarify whether there is additional benefit of moving from monotherapy to dual therapy, and in which patients this may be appropriate.</w:t>
      </w:r>
    </w:p>
    <w:p w:rsidR="00035233" w:rsidRPr="006D507D" w:rsidRDefault="00035233" w:rsidP="00035233">
      <w:pPr>
        <w:pStyle w:val="BodyText"/>
      </w:pPr>
      <w:r>
        <w:lastRenderedPageBreak/>
        <w:t xml:space="preserve">The five trials listed in </w:t>
      </w:r>
      <w:r w:rsidR="00B85D87">
        <w:t>Table 3.3</w:t>
      </w:r>
      <w:r w:rsidR="00C542B6">
        <w:t>3</w:t>
      </w:r>
      <w:r>
        <w:t xml:space="preserve"> contribute towards the evidence base for this question and are discussed in detail below.</w:t>
      </w:r>
    </w:p>
    <w:p w:rsidR="00035233" w:rsidRDefault="00B85D87" w:rsidP="00282AA0">
      <w:pPr>
        <w:pStyle w:val="ToR3Tableheader"/>
      </w:pPr>
      <w:bookmarkStart w:id="234" w:name="_Toc468006268"/>
      <w:bookmarkStart w:id="235" w:name="_Toc468012313"/>
      <w:bookmarkStart w:id="236" w:name="_Toc468034469"/>
      <w:bookmarkStart w:id="237" w:name="_Toc471891024"/>
      <w:bookmarkStart w:id="238" w:name="_Toc486428212"/>
      <w:r>
        <w:t>Table 3.3</w:t>
      </w:r>
      <w:r w:rsidR="00C542B6">
        <w:t>3</w:t>
      </w:r>
      <w:r w:rsidR="00035233">
        <w:tab/>
        <w:t xml:space="preserve">List of RCTs comparing LAMA/LABA dual therapy with LAMA </w:t>
      </w:r>
      <w:proofErr w:type="gramStart"/>
      <w:r w:rsidR="00035233">
        <w:t>monotherapy</w:t>
      </w:r>
      <w:bookmarkEnd w:id="234"/>
      <w:bookmarkEnd w:id="235"/>
      <w:bookmarkEnd w:id="236"/>
      <w:bookmarkEnd w:id="237"/>
      <w:bookmarkEnd w:id="238"/>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List of RCTs"/>
        <w:tblDescription w:val="List of RCTs comparing LAMA/LABA dual therapy with LABA or LAMA monotherapy"/>
      </w:tblPr>
      <w:tblGrid>
        <w:gridCol w:w="1565"/>
        <w:gridCol w:w="6377"/>
        <w:gridCol w:w="1706"/>
      </w:tblGrid>
      <w:tr w:rsidR="00035233" w:rsidRPr="00F01736" w:rsidTr="00035233">
        <w:trPr>
          <w:cantSplit/>
          <w:tblHeader/>
        </w:trPr>
        <w:tc>
          <w:tcPr>
            <w:tcW w:w="811" w:type="pct"/>
            <w:shd w:val="clear" w:color="auto" w:fill="BFBFBF"/>
          </w:tcPr>
          <w:p w:rsidR="00035233" w:rsidRPr="00F01736" w:rsidRDefault="00035233" w:rsidP="00E51DEA">
            <w:pPr>
              <w:pStyle w:val="01TableHEADINGleftaligned"/>
              <w:keepLines/>
            </w:pPr>
            <w:r>
              <w:t>Trial ID</w:t>
            </w:r>
          </w:p>
        </w:tc>
        <w:tc>
          <w:tcPr>
            <w:tcW w:w="3305" w:type="pct"/>
            <w:shd w:val="clear" w:color="auto" w:fill="BFBFBF"/>
          </w:tcPr>
          <w:p w:rsidR="00035233" w:rsidRPr="00F01736" w:rsidRDefault="00035233" w:rsidP="00E51DEA">
            <w:pPr>
              <w:pStyle w:val="01TableHEADINGleftaligned"/>
              <w:keepLines/>
              <w:jc w:val="center"/>
            </w:pPr>
            <w:r>
              <w:t>Citation</w:t>
            </w:r>
          </w:p>
        </w:tc>
        <w:tc>
          <w:tcPr>
            <w:tcW w:w="884" w:type="pct"/>
            <w:shd w:val="clear" w:color="auto" w:fill="BFBFBF"/>
          </w:tcPr>
          <w:p w:rsidR="00035233" w:rsidRPr="00F01736" w:rsidRDefault="00035233" w:rsidP="00E51DEA">
            <w:pPr>
              <w:pStyle w:val="01TableHEADINGleftaligned"/>
              <w:keepLines/>
              <w:jc w:val="center"/>
            </w:pPr>
            <w:r>
              <w:t>Description</w:t>
            </w:r>
          </w:p>
        </w:tc>
      </w:tr>
      <w:tr w:rsidR="00035233" w:rsidRPr="00194011" w:rsidTr="00035233">
        <w:trPr>
          <w:cantSplit/>
        </w:trPr>
        <w:tc>
          <w:tcPr>
            <w:tcW w:w="811" w:type="pct"/>
            <w:tcBorders>
              <w:bottom w:val="single" w:sz="4" w:space="0" w:color="auto"/>
            </w:tcBorders>
            <w:shd w:val="clear" w:color="auto" w:fill="auto"/>
          </w:tcPr>
          <w:p w:rsidR="00035233" w:rsidRDefault="00035233" w:rsidP="00E51DEA">
            <w:pPr>
              <w:pStyle w:val="05Tabletext"/>
              <w:keepNext/>
              <w:keepLines/>
            </w:pPr>
            <w:r>
              <w:t>BRIGHT</w:t>
            </w:r>
          </w:p>
        </w:tc>
        <w:tc>
          <w:tcPr>
            <w:tcW w:w="3305" w:type="pct"/>
            <w:shd w:val="clear" w:color="auto" w:fill="auto"/>
          </w:tcPr>
          <w:p w:rsidR="00035233" w:rsidRPr="00E04A53" w:rsidRDefault="00035233" w:rsidP="00E51DEA">
            <w:pPr>
              <w:pStyle w:val="05Tabletext"/>
              <w:keepNext/>
              <w:keepLines/>
            </w:pPr>
            <w:r w:rsidRPr="00AF0ED2">
              <w:t>Beeh KM, Korn S, Beier J, Jadayel D, Henley M, D'Andrea P, et al (2014). Effect of QVA149 on lung volumes and exercise tolerance in COPD patients: the BRIGHT study. Respiratory Medicine 108 (4):584-592.</w:t>
            </w:r>
          </w:p>
        </w:tc>
        <w:tc>
          <w:tcPr>
            <w:tcW w:w="884" w:type="pct"/>
            <w:shd w:val="clear" w:color="auto" w:fill="auto"/>
          </w:tcPr>
          <w:p w:rsidR="00035233" w:rsidRDefault="00035233" w:rsidP="00E51DEA">
            <w:pPr>
              <w:pStyle w:val="05Tabletext"/>
              <w:keepNext/>
              <w:keepLines/>
            </w:pPr>
            <w:r>
              <w:t>Key publication</w:t>
            </w:r>
          </w:p>
        </w:tc>
      </w:tr>
      <w:tr w:rsidR="00035233" w:rsidRPr="00194011" w:rsidTr="00035233">
        <w:trPr>
          <w:cantSplit/>
        </w:trPr>
        <w:tc>
          <w:tcPr>
            <w:tcW w:w="811" w:type="pct"/>
            <w:shd w:val="clear" w:color="auto" w:fill="auto"/>
          </w:tcPr>
          <w:p w:rsidR="00035233" w:rsidRPr="009C73B0" w:rsidRDefault="00035233" w:rsidP="00E51DEA">
            <w:pPr>
              <w:pStyle w:val="05Tabletext"/>
              <w:keepNext/>
              <w:keepLines/>
            </w:pPr>
            <w:r>
              <w:t>Maleki-Yazdi (2014)</w:t>
            </w:r>
          </w:p>
        </w:tc>
        <w:tc>
          <w:tcPr>
            <w:tcW w:w="3305" w:type="pct"/>
            <w:shd w:val="clear" w:color="auto" w:fill="auto"/>
          </w:tcPr>
          <w:p w:rsidR="00035233" w:rsidRPr="009C73B0" w:rsidRDefault="00035233" w:rsidP="00E51DEA">
            <w:pPr>
              <w:pStyle w:val="05Tabletext"/>
              <w:keepNext/>
              <w:keepLines/>
            </w:pPr>
            <w:r w:rsidRPr="00EC5BA6">
              <w:t>Maleki-Yazdi MR, Kaelin T, Richard N, Zvarich M and Church A (2014). Efficacy and safety of umeclidinium/vilanterol 62.5/25 mcg and tiotropium 18 mcg in chronic obstructive pulmonary disease: Results of a 24-week, randomized, controlled trial. Respiratory Medicine 108 (12):1752-1760.</w:t>
            </w:r>
          </w:p>
        </w:tc>
        <w:tc>
          <w:tcPr>
            <w:tcW w:w="884" w:type="pct"/>
            <w:shd w:val="clear" w:color="auto" w:fill="auto"/>
          </w:tcPr>
          <w:p w:rsidR="00035233" w:rsidRPr="009C73B0" w:rsidRDefault="00035233" w:rsidP="00E51DEA">
            <w:pPr>
              <w:pStyle w:val="05Tabletext"/>
              <w:keepNext/>
              <w:keepLines/>
            </w:pPr>
            <w:r>
              <w:t>Key publication</w:t>
            </w:r>
          </w:p>
        </w:tc>
      </w:tr>
      <w:tr w:rsidR="00035233" w:rsidRPr="00194011" w:rsidTr="00035233">
        <w:trPr>
          <w:cantSplit/>
        </w:trPr>
        <w:tc>
          <w:tcPr>
            <w:tcW w:w="811" w:type="pct"/>
            <w:tcBorders>
              <w:bottom w:val="nil"/>
            </w:tcBorders>
            <w:shd w:val="clear" w:color="auto" w:fill="auto"/>
          </w:tcPr>
          <w:p w:rsidR="00035233" w:rsidRDefault="00035233" w:rsidP="00E51DEA">
            <w:pPr>
              <w:pStyle w:val="05Tabletext"/>
              <w:keepNext/>
              <w:keepLines/>
            </w:pPr>
            <w:r>
              <w:t>Maltais (2014)</w:t>
            </w:r>
          </w:p>
        </w:tc>
        <w:tc>
          <w:tcPr>
            <w:tcW w:w="3305" w:type="pct"/>
            <w:shd w:val="clear" w:color="auto" w:fill="auto"/>
          </w:tcPr>
          <w:p w:rsidR="00035233" w:rsidRPr="00E04A53" w:rsidRDefault="00035233" w:rsidP="00E51DEA">
            <w:pPr>
              <w:pStyle w:val="05Tabletext"/>
              <w:keepNext/>
              <w:keepLines/>
            </w:pPr>
            <w:r w:rsidRPr="00A61000">
              <w:t>Maltais F, Singh S, Donald AC, Crater G, Church A, Goh AH, et al (2014). Effects of a combination of umeclidinium/vilanterol on exercise endurance in patients with chronic obstructive pulmonary disease: two randomized, double-blind clinical trials. Therapeutic Advances in Respiratory Disease 8(6):169-181.</w:t>
            </w:r>
          </w:p>
        </w:tc>
        <w:tc>
          <w:tcPr>
            <w:tcW w:w="884" w:type="pct"/>
            <w:shd w:val="clear" w:color="auto" w:fill="auto"/>
          </w:tcPr>
          <w:p w:rsidR="00035233" w:rsidRDefault="00035233" w:rsidP="00E51DEA">
            <w:pPr>
              <w:pStyle w:val="05Tabletext"/>
              <w:keepNext/>
              <w:keepLines/>
            </w:pPr>
            <w:r>
              <w:t>Key publication</w:t>
            </w:r>
          </w:p>
        </w:tc>
      </w:tr>
      <w:tr w:rsidR="00035233" w:rsidRPr="00194011" w:rsidTr="00035233">
        <w:trPr>
          <w:cantSplit/>
        </w:trPr>
        <w:tc>
          <w:tcPr>
            <w:tcW w:w="811" w:type="pct"/>
            <w:shd w:val="clear" w:color="auto" w:fill="auto"/>
          </w:tcPr>
          <w:p w:rsidR="00035233" w:rsidRPr="009C73B0" w:rsidRDefault="00035233" w:rsidP="00E51DEA">
            <w:pPr>
              <w:pStyle w:val="05Tabletext"/>
              <w:keepNext/>
              <w:keepLines/>
            </w:pPr>
            <w:r>
              <w:t>TONADO 1 and 2</w:t>
            </w:r>
          </w:p>
        </w:tc>
        <w:tc>
          <w:tcPr>
            <w:tcW w:w="3305" w:type="pct"/>
            <w:shd w:val="clear" w:color="auto" w:fill="auto"/>
          </w:tcPr>
          <w:p w:rsidR="00035233" w:rsidRPr="009C73B0" w:rsidRDefault="00035233" w:rsidP="00E51DEA">
            <w:pPr>
              <w:pStyle w:val="05Tabletext"/>
              <w:keepNext/>
              <w:keepLines/>
            </w:pPr>
            <w:r w:rsidRPr="002B7875">
              <w:t>Ferguson GT, Flezar M, Korn S, Korducki L, Gronke L, Abrahams R, et al (2015). Efficacy of Tiotropium + Olodaterol in Patients with Chronic Obstructive Pulmonary Disease by Initial Disease Severity and Treatment Intensity: A Post Hoc Analysis. Advances in Therapy 32 (6):523-536.</w:t>
            </w:r>
          </w:p>
        </w:tc>
        <w:tc>
          <w:tcPr>
            <w:tcW w:w="884" w:type="pct"/>
            <w:shd w:val="clear" w:color="auto" w:fill="auto"/>
          </w:tcPr>
          <w:p w:rsidR="00035233" w:rsidRPr="009C73B0" w:rsidRDefault="00035233" w:rsidP="00E51DEA">
            <w:pPr>
              <w:pStyle w:val="05Tabletext"/>
              <w:keepNext/>
              <w:keepLines/>
            </w:pPr>
            <w:r>
              <w:t>Post hoc analysis based on disease severity and treatment intensity</w:t>
            </w:r>
            <w:r>
              <w:rPr>
                <w:rStyle w:val="FootnoteReference"/>
              </w:rPr>
              <w:footnoteReference w:id="21"/>
            </w:r>
          </w:p>
        </w:tc>
      </w:tr>
      <w:tr w:rsidR="00035233" w:rsidRPr="00194011" w:rsidTr="00035233">
        <w:trPr>
          <w:cantSplit/>
        </w:trPr>
        <w:tc>
          <w:tcPr>
            <w:tcW w:w="811" w:type="pct"/>
            <w:tcBorders>
              <w:bottom w:val="nil"/>
            </w:tcBorders>
            <w:shd w:val="clear" w:color="auto" w:fill="auto"/>
          </w:tcPr>
          <w:p w:rsidR="00035233" w:rsidRPr="009C73B0" w:rsidRDefault="00035233" w:rsidP="00E51DEA">
            <w:pPr>
              <w:pStyle w:val="05Tabletext"/>
              <w:keepNext/>
              <w:keepLines/>
            </w:pPr>
            <w:r>
              <w:t>OTEMTO 1 and 2</w:t>
            </w:r>
          </w:p>
        </w:tc>
        <w:tc>
          <w:tcPr>
            <w:tcW w:w="3305" w:type="pct"/>
            <w:shd w:val="clear" w:color="auto" w:fill="auto"/>
          </w:tcPr>
          <w:p w:rsidR="00035233" w:rsidRPr="009C73B0" w:rsidRDefault="00035233" w:rsidP="00E51DEA">
            <w:pPr>
              <w:pStyle w:val="05Tabletext"/>
              <w:keepNext/>
              <w:keepLines/>
            </w:pPr>
            <w:r w:rsidRPr="00E04A53">
              <w:t>Singh D, Ferguson GT, Bolitschek J, Gronke L, Hallmann C, Bennett N, et al (2015</w:t>
            </w:r>
            <w:r w:rsidR="004B1AD2">
              <w:t>b</w:t>
            </w:r>
            <w:r w:rsidRPr="00E04A53">
              <w:t xml:space="preserve">). Tiotropium + olodaterol </w:t>
            </w:r>
            <w:proofErr w:type="gramStart"/>
            <w:r w:rsidRPr="00E04A53">
              <w:t>shows</w:t>
            </w:r>
            <w:proofErr w:type="gramEnd"/>
            <w:r w:rsidRPr="00E04A53">
              <w:t xml:space="preserve"> clinically meaningful improvements in quality of life. Respiratory Medicine 109 (10):1312-1319.</w:t>
            </w:r>
          </w:p>
        </w:tc>
        <w:tc>
          <w:tcPr>
            <w:tcW w:w="884" w:type="pct"/>
            <w:shd w:val="clear" w:color="auto" w:fill="auto"/>
          </w:tcPr>
          <w:p w:rsidR="00035233" w:rsidRPr="009C73B0" w:rsidRDefault="00035233" w:rsidP="00E51DEA">
            <w:pPr>
              <w:pStyle w:val="05Tabletext"/>
              <w:keepNext/>
              <w:keepLines/>
            </w:pPr>
            <w:r>
              <w:t>Key publication</w:t>
            </w:r>
          </w:p>
        </w:tc>
      </w:tr>
      <w:tr w:rsidR="00035233" w:rsidRPr="00194011" w:rsidTr="00035233">
        <w:trPr>
          <w:cantSplit/>
        </w:trPr>
        <w:tc>
          <w:tcPr>
            <w:tcW w:w="811" w:type="pct"/>
            <w:tcBorders>
              <w:top w:val="nil"/>
            </w:tcBorders>
            <w:shd w:val="clear" w:color="auto" w:fill="auto"/>
          </w:tcPr>
          <w:p w:rsidR="00035233" w:rsidRPr="009C73B0" w:rsidRDefault="00035233" w:rsidP="00E51DEA">
            <w:pPr>
              <w:pStyle w:val="05Tabletext"/>
              <w:keepNext/>
              <w:keepLines/>
            </w:pPr>
          </w:p>
        </w:tc>
        <w:tc>
          <w:tcPr>
            <w:tcW w:w="3305" w:type="pct"/>
            <w:shd w:val="clear" w:color="auto" w:fill="auto"/>
          </w:tcPr>
          <w:p w:rsidR="00035233" w:rsidRPr="009C73B0" w:rsidRDefault="00035233" w:rsidP="00E51DEA">
            <w:pPr>
              <w:pStyle w:val="05Tabletext"/>
              <w:keepNext/>
              <w:keepLines/>
            </w:pPr>
            <w:r w:rsidRPr="00E04A53">
              <w:t>Singh D, Gaga M, Schmidt O, Bjermer L, Gronke L, Voss F, et al (2016). Effects of tiotropium + olodaterol versus tiotropium or placebo by COPD disease severity and previous treatment history in the OTEMTO studies. Respiratory Research 17 (1) (73).</w:t>
            </w:r>
          </w:p>
        </w:tc>
        <w:tc>
          <w:tcPr>
            <w:tcW w:w="884" w:type="pct"/>
            <w:shd w:val="clear" w:color="auto" w:fill="auto"/>
          </w:tcPr>
          <w:p w:rsidR="00035233" w:rsidRPr="009C73B0" w:rsidRDefault="00035233" w:rsidP="00E51DEA">
            <w:pPr>
              <w:pStyle w:val="05Tabletext"/>
              <w:keepNext/>
              <w:keepLines/>
            </w:pPr>
            <w:r>
              <w:t>Poc hoc analysis based on disease severity and treatment history</w:t>
            </w:r>
          </w:p>
        </w:tc>
      </w:tr>
    </w:tbl>
    <w:p w:rsidR="00035233" w:rsidRDefault="00035233" w:rsidP="00E51DEA">
      <w:pPr>
        <w:pStyle w:val="11TableorFigurefootnotenostick"/>
        <w:keepNext/>
        <w:keepLines/>
      </w:pPr>
      <w:r w:rsidRPr="00422C78">
        <w:t>Abbreviations: LABA</w:t>
      </w:r>
      <w:r>
        <w:t>, long-acting beta-agonist; LAMA, long-acting muscarinic antagonist; RCT, randomised controlled trial.</w:t>
      </w:r>
    </w:p>
    <w:p w:rsidR="00035233" w:rsidRDefault="00035233" w:rsidP="00035233">
      <w:pPr>
        <w:pStyle w:val="BodyText"/>
      </w:pPr>
      <w:r w:rsidRPr="00445409">
        <w:t xml:space="preserve">The </w:t>
      </w:r>
      <w:r>
        <w:t>study characteristics of the five relevant RCTs, such as the patient eligibility criteria, length of follow</w:t>
      </w:r>
      <w:r w:rsidR="004B2947">
        <w:t xml:space="preserve"> </w:t>
      </w:r>
      <w:r>
        <w:t xml:space="preserve">up and outcomes assessed, are </w:t>
      </w:r>
      <w:r w:rsidRPr="00445409">
        <w:t>summarised in</w:t>
      </w:r>
      <w:r>
        <w:t xml:space="preserve"> </w:t>
      </w:r>
      <w:r w:rsidR="00B85D87">
        <w:t>Table 3.3</w:t>
      </w:r>
      <w:r w:rsidR="00C542B6">
        <w:t>4</w:t>
      </w:r>
      <w:r w:rsidR="00B85D87">
        <w:t>.</w:t>
      </w:r>
    </w:p>
    <w:p w:rsidR="00035233" w:rsidRDefault="00035233" w:rsidP="00035233">
      <w:pPr>
        <w:pStyle w:val="BodyText"/>
      </w:pPr>
    </w:p>
    <w:p w:rsidR="00035233" w:rsidRPr="00533A42" w:rsidRDefault="00035233" w:rsidP="00035233">
      <w:pPr>
        <w:pStyle w:val="BodyText"/>
        <w:sectPr w:rsidR="00035233" w:rsidRPr="00533A42" w:rsidSect="00270A37">
          <w:headerReference w:type="even" r:id="rId31"/>
          <w:footerReference w:type="default" r:id="rId32"/>
          <w:headerReference w:type="first" r:id="rId33"/>
          <w:pgSz w:w="11906" w:h="16838"/>
          <w:pgMar w:top="1134" w:right="1134" w:bottom="1134" w:left="1134" w:header="709" w:footer="709" w:gutter="0"/>
          <w:cols w:space="708"/>
          <w:docGrid w:linePitch="360"/>
        </w:sectPr>
      </w:pPr>
    </w:p>
    <w:p w:rsidR="00035233" w:rsidRDefault="00B85D87" w:rsidP="00282AA0">
      <w:pPr>
        <w:pStyle w:val="ToR3Tableheader"/>
      </w:pPr>
      <w:bookmarkStart w:id="239" w:name="_Toc468006269"/>
      <w:bookmarkStart w:id="240" w:name="_Toc468012314"/>
      <w:bookmarkStart w:id="241" w:name="_Toc468034470"/>
      <w:bookmarkStart w:id="242" w:name="_Toc471891025"/>
      <w:bookmarkStart w:id="243" w:name="_Toc486428213"/>
      <w:r>
        <w:lastRenderedPageBreak/>
        <w:t>Table 3.3</w:t>
      </w:r>
      <w:r w:rsidR="00C542B6">
        <w:t>4</w:t>
      </w:r>
      <w:r>
        <w:tab/>
      </w:r>
      <w:r w:rsidR="00035233">
        <w:t xml:space="preserve">Details of RCTs comparing LABA/LABA dual therapy with LAMA </w:t>
      </w:r>
      <w:proofErr w:type="gramStart"/>
      <w:r w:rsidR="00035233">
        <w:t>monotherapy</w:t>
      </w:r>
      <w:proofErr w:type="gramEnd"/>
      <w:r w:rsidR="00035233">
        <w:t xml:space="preserve"> in patients with COPD</w:t>
      </w:r>
      <w:bookmarkEnd w:id="239"/>
      <w:bookmarkEnd w:id="240"/>
      <w:bookmarkEnd w:id="241"/>
      <w:bookmarkEnd w:id="242"/>
      <w:bookmarkEnd w:id="2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Caption w:val="Study characteristics"/>
        <w:tblDescription w:val="Details of RCTs comparing LABA/LABA dual therapy with LABA or LAMA monotherapy in patients with COPD"/>
      </w:tblPr>
      <w:tblGrid>
        <w:gridCol w:w="1800"/>
        <w:gridCol w:w="647"/>
        <w:gridCol w:w="892"/>
        <w:gridCol w:w="1688"/>
        <w:gridCol w:w="6383"/>
        <w:gridCol w:w="980"/>
        <w:gridCol w:w="2190"/>
      </w:tblGrid>
      <w:tr w:rsidR="00035233" w:rsidRPr="00194011" w:rsidTr="00035233">
        <w:trPr>
          <w:cantSplit/>
          <w:trHeight w:val="735"/>
          <w:tblHeader/>
        </w:trPr>
        <w:tc>
          <w:tcPr>
            <w:tcW w:w="617" w:type="pct"/>
            <w:shd w:val="clear" w:color="auto" w:fill="BFBFBF"/>
          </w:tcPr>
          <w:p w:rsidR="00035233" w:rsidRPr="00194011" w:rsidRDefault="00035233" w:rsidP="00035233">
            <w:pPr>
              <w:pStyle w:val="01TableHEADINGleftaligned"/>
            </w:pPr>
            <w:r w:rsidRPr="00194011">
              <w:t>Trial ID</w:t>
            </w:r>
          </w:p>
          <w:p w:rsidR="00035233" w:rsidRPr="00AC28D5" w:rsidRDefault="00035233" w:rsidP="00035233">
            <w:pPr>
              <w:pStyle w:val="01TableHEADINGleftaligned"/>
            </w:pPr>
            <w:r w:rsidRPr="00F24C36">
              <w:t xml:space="preserve">1. </w:t>
            </w:r>
            <w:r>
              <w:t>Related p</w:t>
            </w:r>
            <w:r w:rsidRPr="00F24C36">
              <w:t>ublications</w:t>
            </w:r>
            <w:r w:rsidRPr="00F24C36">
              <w:br/>
              <w:t>2. Study quality</w:t>
            </w:r>
            <w:r>
              <w:br/>
            </w:r>
            <w:r w:rsidRPr="00F24C36">
              <w:t>3. Country</w:t>
            </w:r>
            <w:r w:rsidRPr="00F24C36">
              <w:br/>
              <w:t>4. Sponsor</w:t>
            </w:r>
          </w:p>
        </w:tc>
        <w:tc>
          <w:tcPr>
            <w:tcW w:w="222" w:type="pct"/>
            <w:shd w:val="clear" w:color="auto" w:fill="BFBFBF"/>
          </w:tcPr>
          <w:p w:rsidR="00035233" w:rsidRPr="00194011" w:rsidRDefault="00035233" w:rsidP="00035233">
            <w:pPr>
              <w:pStyle w:val="02TableHEADINGcentred"/>
            </w:pPr>
            <w:r w:rsidRPr="00194011">
              <w:t>N</w:t>
            </w:r>
          </w:p>
        </w:tc>
        <w:tc>
          <w:tcPr>
            <w:tcW w:w="306" w:type="pct"/>
            <w:shd w:val="clear" w:color="auto" w:fill="BFBFBF"/>
          </w:tcPr>
          <w:p w:rsidR="00035233" w:rsidRPr="00194011" w:rsidRDefault="00035233" w:rsidP="00035233">
            <w:pPr>
              <w:pStyle w:val="02TableHEADINGcentred"/>
            </w:pPr>
            <w:r w:rsidRPr="00194011">
              <w:t>Study design</w:t>
            </w:r>
          </w:p>
        </w:tc>
        <w:tc>
          <w:tcPr>
            <w:tcW w:w="579" w:type="pct"/>
            <w:shd w:val="clear" w:color="auto" w:fill="BFBFBF"/>
          </w:tcPr>
          <w:p w:rsidR="00035233" w:rsidRPr="00194011" w:rsidRDefault="00035233" w:rsidP="00035233">
            <w:pPr>
              <w:pStyle w:val="01TableHEADINGleftaligned"/>
              <w:jc w:val="center"/>
            </w:pPr>
            <w:r w:rsidRPr="00194011">
              <w:t>Tx (n)</w:t>
            </w:r>
          </w:p>
        </w:tc>
        <w:tc>
          <w:tcPr>
            <w:tcW w:w="2189" w:type="pct"/>
            <w:shd w:val="clear" w:color="auto" w:fill="BFBFBF"/>
          </w:tcPr>
          <w:p w:rsidR="00035233" w:rsidRPr="00194011" w:rsidRDefault="00035233" w:rsidP="00035233">
            <w:pPr>
              <w:pStyle w:val="01TableHEADINGleftaligned"/>
              <w:jc w:val="center"/>
            </w:pPr>
            <w:r w:rsidRPr="00194011">
              <w:t>Eligibility criteria</w:t>
            </w:r>
          </w:p>
        </w:tc>
        <w:tc>
          <w:tcPr>
            <w:tcW w:w="336" w:type="pct"/>
            <w:shd w:val="clear" w:color="auto" w:fill="BFBFBF"/>
          </w:tcPr>
          <w:p w:rsidR="00035233" w:rsidRPr="00194011" w:rsidRDefault="00035233" w:rsidP="00035233">
            <w:pPr>
              <w:pStyle w:val="01TableHEADINGleftaligned"/>
              <w:jc w:val="center"/>
            </w:pPr>
            <w:r>
              <w:t>Treatment period</w:t>
            </w:r>
          </w:p>
        </w:tc>
        <w:tc>
          <w:tcPr>
            <w:tcW w:w="751" w:type="pct"/>
            <w:shd w:val="clear" w:color="auto" w:fill="BFBFBF"/>
          </w:tcPr>
          <w:p w:rsidR="00035233" w:rsidRPr="00194011" w:rsidRDefault="00035233" w:rsidP="00035233">
            <w:pPr>
              <w:pStyle w:val="01TableHEADINGleftaligned"/>
              <w:jc w:val="center"/>
            </w:pPr>
            <w:r w:rsidRPr="00194011">
              <w:t>Outcomes reported</w:t>
            </w:r>
          </w:p>
        </w:tc>
      </w:tr>
      <w:tr w:rsidR="00035233" w:rsidRPr="00194011" w:rsidTr="00035233">
        <w:trPr>
          <w:cantSplit/>
        </w:trPr>
        <w:tc>
          <w:tcPr>
            <w:tcW w:w="617" w:type="pct"/>
            <w:shd w:val="clear" w:color="auto" w:fill="000000"/>
          </w:tcPr>
          <w:p w:rsidR="00035233" w:rsidRDefault="00035233" w:rsidP="00035233">
            <w:pPr>
              <w:pStyle w:val="04Tablesubheading"/>
            </w:pPr>
            <w:r>
              <w:t>GLY/IND vs TIO</w:t>
            </w:r>
          </w:p>
        </w:tc>
        <w:tc>
          <w:tcPr>
            <w:tcW w:w="222" w:type="pct"/>
            <w:shd w:val="clear" w:color="auto" w:fill="000000"/>
          </w:tcPr>
          <w:p w:rsidR="00035233" w:rsidRDefault="00035233" w:rsidP="00035233">
            <w:pPr>
              <w:pStyle w:val="04Tablesubheading"/>
            </w:pPr>
          </w:p>
        </w:tc>
        <w:tc>
          <w:tcPr>
            <w:tcW w:w="306" w:type="pct"/>
            <w:shd w:val="clear" w:color="auto" w:fill="000000"/>
          </w:tcPr>
          <w:p w:rsidR="00035233" w:rsidRDefault="00035233" w:rsidP="00035233">
            <w:pPr>
              <w:pStyle w:val="04Tablesubheading"/>
            </w:pPr>
          </w:p>
        </w:tc>
        <w:tc>
          <w:tcPr>
            <w:tcW w:w="579" w:type="pct"/>
            <w:shd w:val="clear" w:color="auto" w:fill="000000"/>
          </w:tcPr>
          <w:p w:rsidR="00035233" w:rsidRDefault="00035233" w:rsidP="00035233">
            <w:pPr>
              <w:pStyle w:val="04Tablesubheading"/>
            </w:pPr>
          </w:p>
        </w:tc>
        <w:tc>
          <w:tcPr>
            <w:tcW w:w="2189" w:type="pct"/>
            <w:shd w:val="clear" w:color="auto" w:fill="000000"/>
          </w:tcPr>
          <w:p w:rsidR="00035233" w:rsidRDefault="00035233" w:rsidP="00035233">
            <w:pPr>
              <w:pStyle w:val="04Tablesubheading"/>
              <w:rPr>
                <w:u w:val="single"/>
              </w:rPr>
            </w:pPr>
          </w:p>
        </w:tc>
        <w:tc>
          <w:tcPr>
            <w:tcW w:w="336" w:type="pct"/>
            <w:shd w:val="clear" w:color="auto" w:fill="000000"/>
          </w:tcPr>
          <w:p w:rsidR="00035233" w:rsidRDefault="00035233" w:rsidP="00035233">
            <w:pPr>
              <w:pStyle w:val="04Tablesubheading"/>
            </w:pPr>
          </w:p>
        </w:tc>
        <w:tc>
          <w:tcPr>
            <w:tcW w:w="751" w:type="pct"/>
            <w:shd w:val="clear" w:color="auto" w:fill="000000"/>
          </w:tcPr>
          <w:p w:rsidR="00035233" w:rsidRDefault="00035233" w:rsidP="00035233">
            <w:pPr>
              <w:pStyle w:val="04Tablesubheading"/>
              <w:rPr>
                <w:u w:val="single"/>
              </w:rPr>
            </w:pPr>
          </w:p>
        </w:tc>
      </w:tr>
      <w:tr w:rsidR="00035233" w:rsidRPr="00194011" w:rsidTr="00035233">
        <w:trPr>
          <w:cantSplit/>
        </w:trPr>
        <w:tc>
          <w:tcPr>
            <w:tcW w:w="617" w:type="pct"/>
            <w:shd w:val="clear" w:color="auto" w:fill="auto"/>
          </w:tcPr>
          <w:p w:rsidR="00035233" w:rsidRDefault="00035233" w:rsidP="00035233">
            <w:pPr>
              <w:pStyle w:val="05Tabletext"/>
            </w:pPr>
            <w:r>
              <w:t>BRIGHT</w:t>
            </w:r>
          </w:p>
          <w:p w:rsidR="00035233" w:rsidRDefault="00035233" w:rsidP="00251CB8">
            <w:pPr>
              <w:pStyle w:val="06Tabletextspacebefore"/>
              <w:numPr>
                <w:ilvl w:val="0"/>
                <w:numId w:val="18"/>
              </w:numPr>
            </w:pPr>
            <w:r>
              <w:t>Beeh (2014)</w:t>
            </w:r>
          </w:p>
          <w:p w:rsidR="00035233" w:rsidRDefault="00035233" w:rsidP="00251CB8">
            <w:pPr>
              <w:pStyle w:val="06Tabletextspacebefore"/>
              <w:numPr>
                <w:ilvl w:val="0"/>
                <w:numId w:val="18"/>
              </w:numPr>
            </w:pPr>
            <w:r>
              <w:t>Fair quality</w:t>
            </w:r>
          </w:p>
          <w:p w:rsidR="00035233" w:rsidRDefault="00035233" w:rsidP="00251CB8">
            <w:pPr>
              <w:pStyle w:val="06Tabletextspacebefore"/>
              <w:numPr>
                <w:ilvl w:val="0"/>
                <w:numId w:val="18"/>
              </w:numPr>
            </w:pPr>
            <w:r>
              <w:t>Germany, Spain</w:t>
            </w:r>
          </w:p>
          <w:p w:rsidR="00035233" w:rsidRPr="00D834C4" w:rsidRDefault="00035233" w:rsidP="00251CB8">
            <w:pPr>
              <w:pStyle w:val="06Tabletextspacebefore"/>
              <w:numPr>
                <w:ilvl w:val="0"/>
                <w:numId w:val="18"/>
              </w:numPr>
            </w:pPr>
            <w:r>
              <w:t>Novartis</w:t>
            </w:r>
          </w:p>
        </w:tc>
        <w:tc>
          <w:tcPr>
            <w:tcW w:w="222" w:type="pct"/>
            <w:shd w:val="clear" w:color="auto" w:fill="auto"/>
          </w:tcPr>
          <w:p w:rsidR="00035233" w:rsidRDefault="00035233" w:rsidP="00035233">
            <w:pPr>
              <w:pStyle w:val="05Tabletext"/>
              <w:jc w:val="center"/>
            </w:pPr>
            <w:r w:rsidRPr="006B21FF">
              <w:t>85</w:t>
            </w:r>
          </w:p>
        </w:tc>
        <w:tc>
          <w:tcPr>
            <w:tcW w:w="306" w:type="pct"/>
            <w:shd w:val="clear" w:color="auto" w:fill="auto"/>
          </w:tcPr>
          <w:p w:rsidR="00035233" w:rsidRDefault="00035233" w:rsidP="00035233">
            <w:pPr>
              <w:pStyle w:val="05Tabletext"/>
            </w:pPr>
            <w:r>
              <w:t>Superiority.</w:t>
            </w:r>
          </w:p>
          <w:p w:rsidR="00035233" w:rsidRDefault="00035233" w:rsidP="00035233">
            <w:pPr>
              <w:pStyle w:val="05Tabletext"/>
            </w:pPr>
            <w:r>
              <w:t>Double-blind,</w:t>
            </w:r>
            <w:r>
              <w:rPr>
                <w:rStyle w:val="FootnoteReference"/>
              </w:rPr>
              <w:footnoteReference w:id="22"/>
            </w:r>
            <w:r>
              <w:t xml:space="preserve"> double-dummy, three-period cross</w:t>
            </w:r>
            <w:r w:rsidR="00CB2EED">
              <w:t>-over</w:t>
            </w:r>
            <w:r>
              <w:t>.</w:t>
            </w:r>
          </w:p>
        </w:tc>
        <w:tc>
          <w:tcPr>
            <w:tcW w:w="579" w:type="pct"/>
            <w:shd w:val="clear" w:color="auto" w:fill="auto"/>
          </w:tcPr>
          <w:p w:rsidR="00035233" w:rsidRDefault="00035233" w:rsidP="00035233">
            <w:pPr>
              <w:pStyle w:val="05Tabletext"/>
            </w:pPr>
            <w:r>
              <w:t>GLY/IND 50/110 μg qd (n=77)</w:t>
            </w:r>
          </w:p>
          <w:p w:rsidR="00035233" w:rsidRDefault="00035233" w:rsidP="00035233">
            <w:pPr>
              <w:pStyle w:val="06Tabletextspacebefore"/>
            </w:pPr>
            <w:r>
              <w:t>TIO 18 μg qd (n=83)</w:t>
            </w:r>
          </w:p>
          <w:p w:rsidR="00035233" w:rsidRDefault="00035233" w:rsidP="00035233">
            <w:pPr>
              <w:pStyle w:val="06Tabletextspacebefore"/>
            </w:pPr>
            <w:r>
              <w:t>PBO (n=77)</w:t>
            </w:r>
          </w:p>
          <w:p w:rsidR="00035233" w:rsidRPr="00EF4BE0" w:rsidRDefault="00035233" w:rsidP="00035233">
            <w:pPr>
              <w:pStyle w:val="06Tabletextspacebefore"/>
            </w:pPr>
            <w:r>
              <w:t>Number in each treatment arm is based on the full analysis set.</w:t>
            </w:r>
          </w:p>
        </w:tc>
        <w:tc>
          <w:tcPr>
            <w:tcW w:w="2189" w:type="pct"/>
            <w:shd w:val="clear" w:color="auto" w:fill="auto"/>
          </w:tcPr>
          <w:p w:rsidR="00035233" w:rsidRDefault="00035233" w:rsidP="00035233">
            <w:pPr>
              <w:pStyle w:val="05Tabletext"/>
              <w:rPr>
                <w:u w:val="single"/>
              </w:rPr>
            </w:pPr>
            <w:r>
              <w:rPr>
                <w:u w:val="single"/>
              </w:rPr>
              <w:t>Inclusion</w:t>
            </w:r>
          </w:p>
          <w:p w:rsidR="00035233" w:rsidRDefault="00035233" w:rsidP="00035233">
            <w:pPr>
              <w:pStyle w:val="05Tabletext"/>
            </w:pPr>
            <w:r>
              <w:t>(1) Age ≥40 years, (2) moderate-to-severe COPD (stage II or III – GOLD 2008), (3) post-bronchodilator FEV</w:t>
            </w:r>
            <w:r>
              <w:rPr>
                <w:vertAlign w:val="subscript"/>
              </w:rPr>
              <w:t>1</w:t>
            </w:r>
            <w:r>
              <w:t xml:space="preserve"> of ≥40% and &lt;70% of predicted normal, (4) post-bronchodilator FEV</w:t>
            </w:r>
            <w:r>
              <w:rPr>
                <w:vertAlign w:val="subscript"/>
              </w:rPr>
              <w:t>1</w:t>
            </w:r>
            <w:r>
              <w:t>/FVC ratio of &lt;0.70 at screening.</w:t>
            </w:r>
          </w:p>
          <w:p w:rsidR="00035233" w:rsidRDefault="00035233" w:rsidP="00035233">
            <w:pPr>
              <w:pStyle w:val="06Tabletextspacebefore"/>
            </w:pPr>
            <w:r>
              <w:rPr>
                <w:u w:val="single"/>
              </w:rPr>
              <w:t>Exclusion</w:t>
            </w:r>
          </w:p>
          <w:p w:rsidR="00035233" w:rsidRPr="007F3048" w:rsidRDefault="00035233" w:rsidP="00035233">
            <w:pPr>
              <w:pStyle w:val="05Tabletext"/>
            </w:pPr>
            <w:r>
              <w:t>(1) Any history of asthma, (2) patients requiring long</w:t>
            </w:r>
            <w:r w:rsidR="00D1265E">
              <w:t>-</w:t>
            </w:r>
            <w:r>
              <w:t>term oxygen therapy, (3) COPD exacerbation (requiring antibiotics, systemic steroids or hospitalisation) in the 6 weeks prior to Visit 1, (4) respiratory tract infection within 4 weeks prior to Visit 1, (5) lung lobectomy, lung volume reduction, or lung transplantation.</w:t>
            </w:r>
          </w:p>
          <w:p w:rsidR="00035233" w:rsidRDefault="00035233" w:rsidP="00035233">
            <w:pPr>
              <w:pStyle w:val="06Tabletextspacebefore"/>
            </w:pPr>
            <w:r>
              <w:rPr>
                <w:u w:val="single"/>
              </w:rPr>
              <w:t>Other</w:t>
            </w:r>
          </w:p>
          <w:p w:rsidR="00035233" w:rsidRPr="00D77B28" w:rsidRDefault="00035233" w:rsidP="00035233">
            <w:pPr>
              <w:pStyle w:val="05Tabletext"/>
            </w:pPr>
            <w:r>
              <w:t>(1) Salbutamol/albuterol were provided for rescue use throughout the study, but not permitted within 6 hrs of each visit, (2) concomitant COPD medications and significant non-drug therapies were continued during the study.</w:t>
            </w:r>
            <w:r>
              <w:rPr>
                <w:rStyle w:val="FootnoteReference"/>
              </w:rPr>
              <w:footnoteReference w:id="23"/>
            </w:r>
          </w:p>
        </w:tc>
        <w:tc>
          <w:tcPr>
            <w:tcW w:w="336" w:type="pct"/>
            <w:shd w:val="clear" w:color="auto" w:fill="auto"/>
          </w:tcPr>
          <w:p w:rsidR="00035233" w:rsidRDefault="00460E94" w:rsidP="00035233">
            <w:pPr>
              <w:pStyle w:val="05Tabletext"/>
              <w:jc w:val="center"/>
            </w:pPr>
            <w:r>
              <w:t>3 weeks per treatment arm; 3-</w:t>
            </w:r>
            <w:r w:rsidR="00035233">
              <w:t>week washout between treatments.</w:t>
            </w:r>
          </w:p>
        </w:tc>
        <w:tc>
          <w:tcPr>
            <w:tcW w:w="751" w:type="pct"/>
            <w:shd w:val="clear" w:color="auto" w:fill="auto"/>
          </w:tcPr>
          <w:p w:rsidR="00035233" w:rsidRDefault="00035233" w:rsidP="00035233">
            <w:pPr>
              <w:pStyle w:val="05Tabletext"/>
            </w:pPr>
            <w:r>
              <w:rPr>
                <w:u w:val="single"/>
              </w:rPr>
              <w:t>Primary</w:t>
            </w:r>
          </w:p>
          <w:p w:rsidR="00035233" w:rsidRDefault="00035233" w:rsidP="00035233">
            <w:pPr>
              <w:pStyle w:val="05Tabletext"/>
            </w:pPr>
            <w:r>
              <w:t>Physiological response to exercise during SMETT after 3 weeks.</w:t>
            </w:r>
          </w:p>
          <w:p w:rsidR="00035233" w:rsidRDefault="00035233" w:rsidP="00035233">
            <w:pPr>
              <w:pStyle w:val="06Tabletextspacebefore"/>
              <w:rPr>
                <w:u w:val="single"/>
              </w:rPr>
            </w:pPr>
            <w:r>
              <w:rPr>
                <w:u w:val="single"/>
              </w:rPr>
              <w:t>Secondary</w:t>
            </w:r>
          </w:p>
          <w:p w:rsidR="00035233" w:rsidRPr="00EF4BE0" w:rsidRDefault="00035233" w:rsidP="00035233">
            <w:pPr>
              <w:pStyle w:val="05Tabletext"/>
            </w:pPr>
            <w:r>
              <w:t xml:space="preserve">Isotime IC during SMETT; trough IC; trough </w:t>
            </w:r>
            <w:r w:rsidRPr="00555E9F">
              <w:t>FEV</w:t>
            </w:r>
            <w:r>
              <w:rPr>
                <w:vertAlign w:val="subscript"/>
              </w:rPr>
              <w:t>1</w:t>
            </w:r>
            <w:r>
              <w:t xml:space="preserve"> at 3 weeks; other spirometry measures; pulmonary function (via body plethysmography); rescue medication; safety (physical examination, vital signs, AEs).</w:t>
            </w:r>
          </w:p>
        </w:tc>
      </w:tr>
      <w:tr w:rsidR="00035233" w:rsidRPr="00194011" w:rsidTr="00035233">
        <w:trPr>
          <w:cantSplit/>
        </w:trPr>
        <w:tc>
          <w:tcPr>
            <w:tcW w:w="617" w:type="pct"/>
            <w:shd w:val="clear" w:color="auto" w:fill="000000"/>
          </w:tcPr>
          <w:p w:rsidR="00035233" w:rsidRDefault="00035233" w:rsidP="00035233">
            <w:pPr>
              <w:pStyle w:val="04Tablesubheading"/>
            </w:pPr>
            <w:r>
              <w:t>TIO/OLO vs TIO</w:t>
            </w:r>
          </w:p>
        </w:tc>
        <w:tc>
          <w:tcPr>
            <w:tcW w:w="222" w:type="pct"/>
            <w:shd w:val="clear" w:color="auto" w:fill="000000"/>
          </w:tcPr>
          <w:p w:rsidR="00035233" w:rsidRDefault="00035233" w:rsidP="00035233">
            <w:pPr>
              <w:pStyle w:val="04Tablesubheading"/>
            </w:pPr>
          </w:p>
        </w:tc>
        <w:tc>
          <w:tcPr>
            <w:tcW w:w="306" w:type="pct"/>
            <w:shd w:val="clear" w:color="auto" w:fill="000000"/>
          </w:tcPr>
          <w:p w:rsidR="00035233" w:rsidRDefault="00035233" w:rsidP="00035233">
            <w:pPr>
              <w:pStyle w:val="04Tablesubheading"/>
            </w:pPr>
          </w:p>
        </w:tc>
        <w:tc>
          <w:tcPr>
            <w:tcW w:w="579" w:type="pct"/>
            <w:shd w:val="clear" w:color="auto" w:fill="000000"/>
          </w:tcPr>
          <w:p w:rsidR="00035233" w:rsidRDefault="00035233" w:rsidP="00035233">
            <w:pPr>
              <w:pStyle w:val="04Tablesubheading"/>
            </w:pPr>
          </w:p>
        </w:tc>
        <w:tc>
          <w:tcPr>
            <w:tcW w:w="2189" w:type="pct"/>
            <w:shd w:val="clear" w:color="auto" w:fill="000000"/>
          </w:tcPr>
          <w:p w:rsidR="00035233" w:rsidRDefault="00035233" w:rsidP="00035233">
            <w:pPr>
              <w:pStyle w:val="04Tablesubheading"/>
              <w:rPr>
                <w:u w:val="single"/>
              </w:rPr>
            </w:pPr>
          </w:p>
        </w:tc>
        <w:tc>
          <w:tcPr>
            <w:tcW w:w="336" w:type="pct"/>
            <w:shd w:val="clear" w:color="auto" w:fill="000000"/>
          </w:tcPr>
          <w:p w:rsidR="00035233" w:rsidRDefault="00035233" w:rsidP="00035233">
            <w:pPr>
              <w:pStyle w:val="04Tablesubheading"/>
            </w:pPr>
          </w:p>
        </w:tc>
        <w:tc>
          <w:tcPr>
            <w:tcW w:w="751" w:type="pct"/>
            <w:shd w:val="clear" w:color="auto" w:fill="000000"/>
          </w:tcPr>
          <w:p w:rsidR="00035233" w:rsidRDefault="00035233" w:rsidP="00035233">
            <w:pPr>
              <w:pStyle w:val="04Tablesubheading"/>
              <w:rPr>
                <w:u w:val="single"/>
              </w:rPr>
            </w:pPr>
          </w:p>
        </w:tc>
      </w:tr>
      <w:tr w:rsidR="00035233" w:rsidRPr="00194011" w:rsidTr="00035233">
        <w:trPr>
          <w:cantSplit/>
        </w:trPr>
        <w:tc>
          <w:tcPr>
            <w:tcW w:w="617" w:type="pct"/>
            <w:shd w:val="clear" w:color="auto" w:fill="auto"/>
          </w:tcPr>
          <w:p w:rsidR="00035233" w:rsidRDefault="00035233" w:rsidP="00035233">
            <w:pPr>
              <w:pStyle w:val="05Tabletext"/>
            </w:pPr>
            <w:r>
              <w:t>TONADO 1 and 2</w:t>
            </w:r>
          </w:p>
          <w:p w:rsidR="00035233" w:rsidRDefault="00035233" w:rsidP="00251CB8">
            <w:pPr>
              <w:pStyle w:val="06Tabletextspacebefore"/>
              <w:numPr>
                <w:ilvl w:val="0"/>
                <w:numId w:val="20"/>
              </w:numPr>
            </w:pPr>
            <w:r>
              <w:t>Ferguson (2015)</w:t>
            </w:r>
          </w:p>
          <w:p w:rsidR="00035233" w:rsidRDefault="00035233" w:rsidP="00251CB8">
            <w:pPr>
              <w:pStyle w:val="06Tabletextspacebefore"/>
              <w:numPr>
                <w:ilvl w:val="0"/>
                <w:numId w:val="20"/>
              </w:numPr>
            </w:pPr>
            <w:r>
              <w:t>Fair quality</w:t>
            </w:r>
          </w:p>
          <w:p w:rsidR="00035233" w:rsidRDefault="00035233" w:rsidP="00251CB8">
            <w:pPr>
              <w:pStyle w:val="06Tabletextspacebefore"/>
              <w:numPr>
                <w:ilvl w:val="0"/>
                <w:numId w:val="20"/>
              </w:numPr>
            </w:pPr>
            <w:r>
              <w:t xml:space="preserve">Various, including </w:t>
            </w:r>
            <w:r w:rsidR="00950856">
              <w:t>three</w:t>
            </w:r>
            <w:r>
              <w:t xml:space="preserve"> Australian sites</w:t>
            </w:r>
          </w:p>
          <w:p w:rsidR="00035233" w:rsidRPr="002B7875" w:rsidRDefault="00035233" w:rsidP="00251CB8">
            <w:pPr>
              <w:pStyle w:val="06Tabletextspacebefore"/>
              <w:numPr>
                <w:ilvl w:val="0"/>
                <w:numId w:val="20"/>
              </w:numPr>
            </w:pPr>
            <w:r w:rsidRPr="00B611F0">
              <w:t>Boehringer Ingelheim</w:t>
            </w:r>
          </w:p>
        </w:tc>
        <w:tc>
          <w:tcPr>
            <w:tcW w:w="222" w:type="pct"/>
            <w:shd w:val="clear" w:color="auto" w:fill="auto"/>
          </w:tcPr>
          <w:p w:rsidR="00035233" w:rsidRDefault="00035233" w:rsidP="00035233">
            <w:pPr>
              <w:pStyle w:val="05Tabletext"/>
              <w:jc w:val="center"/>
            </w:pPr>
            <w:r>
              <w:t>5,163</w:t>
            </w:r>
          </w:p>
        </w:tc>
        <w:tc>
          <w:tcPr>
            <w:tcW w:w="306" w:type="pct"/>
            <w:shd w:val="clear" w:color="auto" w:fill="auto"/>
          </w:tcPr>
          <w:p w:rsidR="00035233" w:rsidRDefault="00035233" w:rsidP="00035233">
            <w:pPr>
              <w:pStyle w:val="05Tabletext"/>
            </w:pPr>
            <w:r>
              <w:t>Two replicate superiority studies. Double-blind.</w:t>
            </w:r>
          </w:p>
        </w:tc>
        <w:tc>
          <w:tcPr>
            <w:tcW w:w="579" w:type="pct"/>
            <w:shd w:val="clear" w:color="auto" w:fill="auto"/>
          </w:tcPr>
          <w:p w:rsidR="00035233" w:rsidRDefault="00035233" w:rsidP="00035233">
            <w:pPr>
              <w:pStyle w:val="05Tabletext"/>
            </w:pPr>
            <w:r>
              <w:t>TIO/OLO 5/5 μg qd (n=1,029)</w:t>
            </w:r>
          </w:p>
          <w:p w:rsidR="00035233" w:rsidRDefault="00035233" w:rsidP="00035233">
            <w:pPr>
              <w:pStyle w:val="06Tabletextspacebefore"/>
            </w:pPr>
            <w:r>
              <w:t>TIO/OLO 2.5/5 μg qd (n=1,030)</w:t>
            </w:r>
            <w:bookmarkStart w:id="244" w:name="_Ref466542848"/>
            <w:r>
              <w:rPr>
                <w:rStyle w:val="FootnoteReference"/>
              </w:rPr>
              <w:footnoteReference w:id="24"/>
            </w:r>
            <w:bookmarkEnd w:id="244"/>
          </w:p>
          <w:p w:rsidR="00035233" w:rsidRDefault="00035233" w:rsidP="00035233">
            <w:pPr>
              <w:pStyle w:val="06Tabletextspacebefore"/>
            </w:pPr>
            <w:r>
              <w:t>TIO 5 μg qd (n=1,033)</w:t>
            </w:r>
          </w:p>
          <w:p w:rsidR="00035233" w:rsidRDefault="00035233" w:rsidP="00035233">
            <w:pPr>
              <w:pStyle w:val="06Tabletextspacebefore"/>
            </w:pPr>
            <w:r>
              <w:t>TIO 2.5 μg qd (n=1,032)</w:t>
            </w:r>
            <w:r w:rsidR="009309BE">
              <w:rPr>
                <w:vertAlign w:val="superscript"/>
              </w:rPr>
              <w:t>25</w:t>
            </w:r>
          </w:p>
          <w:p w:rsidR="00035233" w:rsidRDefault="00035233" w:rsidP="00035233">
            <w:pPr>
              <w:pStyle w:val="06Tabletextspacebefore"/>
            </w:pPr>
            <w:r>
              <w:t>OLO 5 μg qd (n=1,038)</w:t>
            </w:r>
            <w:r w:rsidR="009309BE">
              <w:rPr>
                <w:vertAlign w:val="superscript"/>
              </w:rPr>
              <w:t>25</w:t>
            </w:r>
          </w:p>
          <w:p w:rsidR="00035233" w:rsidRPr="00731233" w:rsidRDefault="00035233" w:rsidP="00035233">
            <w:pPr>
              <w:pStyle w:val="06Tabletextspacebefore"/>
            </w:pPr>
            <w:r>
              <w:t>All treatments were delivered via the Respimat inhaler.</w:t>
            </w:r>
          </w:p>
        </w:tc>
        <w:tc>
          <w:tcPr>
            <w:tcW w:w="2189" w:type="pct"/>
            <w:shd w:val="clear" w:color="auto" w:fill="auto"/>
          </w:tcPr>
          <w:p w:rsidR="00035233" w:rsidRDefault="00035233" w:rsidP="00035233">
            <w:pPr>
              <w:pStyle w:val="05Tabletext"/>
              <w:rPr>
                <w:u w:val="single"/>
              </w:rPr>
            </w:pPr>
            <w:r w:rsidRPr="002C013A">
              <w:rPr>
                <w:u w:val="single"/>
              </w:rPr>
              <w:t>Inclusion</w:t>
            </w:r>
          </w:p>
          <w:p w:rsidR="00035233" w:rsidRDefault="00035233" w:rsidP="00035233">
            <w:pPr>
              <w:pStyle w:val="05Tabletext"/>
            </w:pPr>
            <w:r>
              <w:t>(1) Age ≥40 years, (2) history of moderate to very severe COPD (GOLD 2-4), (3) post-bronchodilator FEV</w:t>
            </w:r>
            <w:r>
              <w:rPr>
                <w:vertAlign w:val="subscript"/>
              </w:rPr>
              <w:t>1</w:t>
            </w:r>
            <w:r>
              <w:t xml:space="preserve"> &lt;80% of predicted normal, (4) post-bronchodilator FEV</w:t>
            </w:r>
            <w:r>
              <w:rPr>
                <w:vertAlign w:val="subscript"/>
              </w:rPr>
              <w:t>1</w:t>
            </w:r>
            <w:r>
              <w:t>/FVC &lt;70%.</w:t>
            </w:r>
          </w:p>
          <w:p w:rsidR="00035233" w:rsidRDefault="00035233" w:rsidP="00035233">
            <w:pPr>
              <w:pStyle w:val="06Tabletextspacebefore"/>
              <w:rPr>
                <w:u w:val="single"/>
              </w:rPr>
            </w:pPr>
            <w:r>
              <w:rPr>
                <w:u w:val="single"/>
              </w:rPr>
              <w:t>Exclusion</w:t>
            </w:r>
          </w:p>
          <w:p w:rsidR="00035233" w:rsidRDefault="00035233" w:rsidP="00035233">
            <w:pPr>
              <w:pStyle w:val="05Tabletext"/>
            </w:pPr>
            <w:r>
              <w:t>(1) History of asthma, (2) significant disease other than asthma, (3) myocardial infarction within 1 year of screening, (3) known active tuberculosis, clinically evidence bronchiectasis, cystic fibrosis or life-threatening pulmonary obstruction, (4) previous thoracotomy with pulmonary resection, (5) regular use of daytime oxygen.</w:t>
            </w:r>
          </w:p>
          <w:p w:rsidR="00035233" w:rsidRDefault="00035233" w:rsidP="00035233">
            <w:pPr>
              <w:pStyle w:val="06Tabletextspacebefore"/>
              <w:rPr>
                <w:u w:val="single"/>
              </w:rPr>
            </w:pPr>
            <w:r>
              <w:rPr>
                <w:u w:val="single"/>
              </w:rPr>
              <w:t>Other</w:t>
            </w:r>
          </w:p>
          <w:p w:rsidR="00035233" w:rsidRPr="001B5BDA" w:rsidRDefault="00035233" w:rsidP="00035233">
            <w:pPr>
              <w:pStyle w:val="05Tabletext"/>
            </w:pPr>
            <w:r>
              <w:t>(1) Patients receiving ICS at baseline could continue with their medication, (2) all patients were provided with salbutamol/albuterol as rescue medication as required, (3) patients receiving LAMA or LABA prior to the study were required to discontinue these during screening.</w:t>
            </w:r>
          </w:p>
        </w:tc>
        <w:tc>
          <w:tcPr>
            <w:tcW w:w="336" w:type="pct"/>
            <w:shd w:val="clear" w:color="auto" w:fill="auto"/>
          </w:tcPr>
          <w:p w:rsidR="00035233" w:rsidRDefault="00035233" w:rsidP="00035233">
            <w:pPr>
              <w:pStyle w:val="05Tabletext"/>
              <w:jc w:val="center"/>
            </w:pPr>
            <w:r>
              <w:t>52 weeks</w:t>
            </w:r>
          </w:p>
        </w:tc>
        <w:tc>
          <w:tcPr>
            <w:tcW w:w="751" w:type="pct"/>
            <w:shd w:val="clear" w:color="auto" w:fill="auto"/>
          </w:tcPr>
          <w:p w:rsidR="00035233" w:rsidRDefault="00035233" w:rsidP="00035233">
            <w:pPr>
              <w:pStyle w:val="05Tabletext"/>
            </w:pPr>
            <w:r>
              <w:rPr>
                <w:u w:val="single"/>
              </w:rPr>
              <w:t>Primary</w:t>
            </w:r>
          </w:p>
          <w:p w:rsidR="00035233" w:rsidRDefault="00035233" w:rsidP="00035233">
            <w:pPr>
              <w:pStyle w:val="05Tabletext"/>
            </w:pPr>
            <w:r>
              <w:t>FEV</w:t>
            </w:r>
            <w:r>
              <w:rPr>
                <w:vertAlign w:val="subscript"/>
              </w:rPr>
              <w:t>1</w:t>
            </w:r>
            <w:r>
              <w:t xml:space="preserve"> AUC from 0 to 3 hrs; trough FEV</w:t>
            </w:r>
            <w:r>
              <w:rPr>
                <w:vertAlign w:val="subscript"/>
              </w:rPr>
              <w:t>1</w:t>
            </w:r>
            <w:r>
              <w:t xml:space="preserve"> response (i.e. change from baseline); SGRQ – all measured at 24 weeks.</w:t>
            </w:r>
          </w:p>
          <w:p w:rsidR="00035233" w:rsidRDefault="00035233" w:rsidP="00035233">
            <w:pPr>
              <w:pStyle w:val="06Tabletextspacebefore"/>
            </w:pPr>
            <w:r>
              <w:rPr>
                <w:u w:val="single"/>
              </w:rPr>
              <w:t>Secondary</w:t>
            </w:r>
          </w:p>
          <w:p w:rsidR="00035233" w:rsidRPr="003976F5" w:rsidRDefault="00035233" w:rsidP="00035233">
            <w:pPr>
              <w:pStyle w:val="05Tabletext"/>
            </w:pPr>
            <w:r>
              <w:t>FEV</w:t>
            </w:r>
            <w:r>
              <w:rPr>
                <w:vertAlign w:val="subscript"/>
              </w:rPr>
              <w:t>1</w:t>
            </w:r>
            <w:r>
              <w:t xml:space="preserve"> AUC from 0 to 3 hrs and trough FEV</w:t>
            </w:r>
            <w:r>
              <w:rPr>
                <w:vertAlign w:val="subscript"/>
              </w:rPr>
              <w:t>1</w:t>
            </w:r>
            <w:r>
              <w:t xml:space="preserve"> response </w:t>
            </w:r>
            <w:r w:rsidR="004B3085">
              <w:t>(i.e. change from baseline) on Day 1 and W</w:t>
            </w:r>
            <w:r>
              <w:t xml:space="preserve">eeks 2, 6, 12, </w:t>
            </w:r>
            <w:r w:rsidR="004B3085">
              <w:t>18, 24, 32, 40 and 52; SGRQ on Day 1 and W</w:t>
            </w:r>
            <w:r>
              <w:t>eeks 12, 24 and 52.</w:t>
            </w:r>
          </w:p>
        </w:tc>
      </w:tr>
      <w:tr w:rsidR="00035233" w:rsidRPr="00194011" w:rsidTr="00035233">
        <w:trPr>
          <w:cantSplit/>
        </w:trPr>
        <w:tc>
          <w:tcPr>
            <w:tcW w:w="617" w:type="pct"/>
            <w:shd w:val="clear" w:color="auto" w:fill="auto"/>
          </w:tcPr>
          <w:p w:rsidR="00035233" w:rsidRDefault="00035233" w:rsidP="00035233">
            <w:pPr>
              <w:pStyle w:val="05Tabletext"/>
            </w:pPr>
            <w:r>
              <w:lastRenderedPageBreak/>
              <w:t>OTEMTO 1 and 2</w:t>
            </w:r>
          </w:p>
          <w:p w:rsidR="00035233" w:rsidRDefault="00035233" w:rsidP="00251CB8">
            <w:pPr>
              <w:pStyle w:val="06Tabletextspacebefore"/>
              <w:numPr>
                <w:ilvl w:val="0"/>
                <w:numId w:val="19"/>
              </w:numPr>
            </w:pPr>
            <w:r>
              <w:t>Singh (2015</w:t>
            </w:r>
            <w:r w:rsidR="004B1AD2">
              <w:t>b</w:t>
            </w:r>
            <w:r>
              <w:t>), Singh (2016)</w:t>
            </w:r>
          </w:p>
          <w:p w:rsidR="00035233" w:rsidRDefault="00035233" w:rsidP="00251CB8">
            <w:pPr>
              <w:pStyle w:val="06Tabletextspacebefore"/>
              <w:numPr>
                <w:ilvl w:val="0"/>
                <w:numId w:val="19"/>
              </w:numPr>
            </w:pPr>
            <w:r>
              <w:t>Fair quality</w:t>
            </w:r>
          </w:p>
          <w:p w:rsidR="00035233" w:rsidRDefault="00035233" w:rsidP="00251CB8">
            <w:pPr>
              <w:pStyle w:val="06Tabletextspacebefore"/>
              <w:numPr>
                <w:ilvl w:val="0"/>
                <w:numId w:val="19"/>
              </w:numPr>
            </w:pPr>
            <w:r>
              <w:t>US, Belgium, Canada, Czech Republic, Denmark, Finland, Germany, South Africa, Spain, UK</w:t>
            </w:r>
          </w:p>
          <w:p w:rsidR="00035233" w:rsidRPr="007B0259" w:rsidRDefault="00035233" w:rsidP="00251CB8">
            <w:pPr>
              <w:pStyle w:val="06Tabletextspacebefore"/>
              <w:numPr>
                <w:ilvl w:val="0"/>
                <w:numId w:val="19"/>
              </w:numPr>
            </w:pPr>
            <w:r>
              <w:t>Boehringer Ingelheim</w:t>
            </w:r>
          </w:p>
        </w:tc>
        <w:tc>
          <w:tcPr>
            <w:tcW w:w="222" w:type="pct"/>
            <w:shd w:val="clear" w:color="auto" w:fill="auto"/>
          </w:tcPr>
          <w:p w:rsidR="00035233" w:rsidRDefault="00035233" w:rsidP="00035233">
            <w:pPr>
              <w:pStyle w:val="05Tabletext"/>
              <w:jc w:val="center"/>
            </w:pPr>
            <w:r>
              <w:t>1,623</w:t>
            </w:r>
          </w:p>
        </w:tc>
        <w:tc>
          <w:tcPr>
            <w:tcW w:w="306" w:type="pct"/>
            <w:shd w:val="clear" w:color="auto" w:fill="auto"/>
          </w:tcPr>
          <w:p w:rsidR="00035233" w:rsidRDefault="00035233" w:rsidP="00035233">
            <w:pPr>
              <w:pStyle w:val="05Tabletext"/>
            </w:pPr>
            <w:r>
              <w:t>Two replicate superiority studies. Double-blind.</w:t>
            </w:r>
          </w:p>
        </w:tc>
        <w:tc>
          <w:tcPr>
            <w:tcW w:w="579" w:type="pct"/>
            <w:shd w:val="clear" w:color="auto" w:fill="auto"/>
          </w:tcPr>
          <w:p w:rsidR="00035233" w:rsidRDefault="00035233" w:rsidP="00035233">
            <w:pPr>
              <w:pStyle w:val="05Tabletext"/>
            </w:pPr>
            <w:r>
              <w:t>TIO/OLO 5/5 μg qd (n=204)</w:t>
            </w:r>
          </w:p>
          <w:p w:rsidR="00035233" w:rsidRDefault="00035233" w:rsidP="00035233">
            <w:pPr>
              <w:pStyle w:val="06Tabletextspacebefore"/>
            </w:pPr>
            <w:r>
              <w:t>TIO/OLO 2.5/5 μg qd (n=202)</w:t>
            </w:r>
            <w:r>
              <w:rPr>
                <w:rStyle w:val="FootnoteReference"/>
              </w:rPr>
              <w:footnoteReference w:id="25"/>
            </w:r>
          </w:p>
          <w:p w:rsidR="00035233" w:rsidRDefault="00035233" w:rsidP="00035233">
            <w:pPr>
              <w:pStyle w:val="06Tabletextspacebefore"/>
            </w:pPr>
            <w:r>
              <w:t>TIO 5 μg qd (n=204)</w:t>
            </w:r>
          </w:p>
          <w:p w:rsidR="00035233" w:rsidRDefault="00035233" w:rsidP="00035233">
            <w:pPr>
              <w:pStyle w:val="06Tabletextspacebefore"/>
            </w:pPr>
            <w:r>
              <w:t>PBO (n=204)</w:t>
            </w:r>
          </w:p>
          <w:p w:rsidR="00035233" w:rsidRPr="001942EE" w:rsidRDefault="00035233" w:rsidP="00035233">
            <w:pPr>
              <w:pStyle w:val="06Tabletextspacebefore"/>
            </w:pPr>
            <w:r>
              <w:t>All treatments were delivered via the Respimat inhaler.</w:t>
            </w:r>
          </w:p>
        </w:tc>
        <w:tc>
          <w:tcPr>
            <w:tcW w:w="2189" w:type="pct"/>
            <w:shd w:val="clear" w:color="auto" w:fill="auto"/>
          </w:tcPr>
          <w:p w:rsidR="00035233" w:rsidRDefault="00035233" w:rsidP="00035233">
            <w:pPr>
              <w:pStyle w:val="05Tabletext"/>
              <w:rPr>
                <w:u w:val="single"/>
              </w:rPr>
            </w:pPr>
            <w:r>
              <w:rPr>
                <w:u w:val="single"/>
              </w:rPr>
              <w:t>Inclusion</w:t>
            </w:r>
          </w:p>
          <w:p w:rsidR="00035233" w:rsidRDefault="00035233" w:rsidP="00035233">
            <w:pPr>
              <w:pStyle w:val="05Tabletext"/>
            </w:pPr>
            <w:r>
              <w:t>(1) Age ≥40 years, (2) moderate-to-severe COPD (stage II or III – GOLD), (3) post-bronchodilator FEV</w:t>
            </w:r>
            <w:r>
              <w:rPr>
                <w:vertAlign w:val="subscript"/>
              </w:rPr>
              <w:t>1</w:t>
            </w:r>
            <w:r>
              <w:t xml:space="preserve"> of ≥30% and &lt;80% of predicted normal, (4) FEV</w:t>
            </w:r>
            <w:r>
              <w:rPr>
                <w:vertAlign w:val="subscript"/>
              </w:rPr>
              <w:t>1</w:t>
            </w:r>
            <w:r>
              <w:t>/FVC ratio of &lt;0.70 predicted.</w:t>
            </w:r>
          </w:p>
          <w:p w:rsidR="00035233" w:rsidRDefault="00035233" w:rsidP="00035233">
            <w:pPr>
              <w:pStyle w:val="06Tabletextspacebefore"/>
            </w:pPr>
            <w:r>
              <w:rPr>
                <w:u w:val="single"/>
              </w:rPr>
              <w:t>Exclusion</w:t>
            </w:r>
          </w:p>
          <w:p w:rsidR="00035233" w:rsidRDefault="00035233" w:rsidP="00035233">
            <w:pPr>
              <w:pStyle w:val="06Tabletextspacebefore"/>
            </w:pPr>
            <w:r>
              <w:t>(1) Any history of asthma, (2) another significant disease, (3) COPD exacerbation or symptoms of lower respiratory tract infection within the previous 3 months, (4) unstable or life-threatening cardiac arrhythmia.</w:t>
            </w:r>
          </w:p>
          <w:p w:rsidR="00035233" w:rsidRDefault="00035233" w:rsidP="00035233">
            <w:pPr>
              <w:pStyle w:val="06Tabletextspacebefore"/>
            </w:pPr>
            <w:r>
              <w:rPr>
                <w:u w:val="single"/>
              </w:rPr>
              <w:t>Other</w:t>
            </w:r>
          </w:p>
          <w:p w:rsidR="00035233" w:rsidRPr="00670FE5" w:rsidRDefault="00035233" w:rsidP="00035233">
            <w:pPr>
              <w:pStyle w:val="05Tabletext"/>
            </w:pPr>
            <w:r>
              <w:t>(1) Allowed to continue ICS therapy (if they were on a stable dose for 6 weeks prior to screening), (2) LABA or LAMAs other than study medication were prohibited during the screening or treatment periods, (3) open-label salbutamol provided as rescue medication throughout the study.</w:t>
            </w:r>
          </w:p>
        </w:tc>
        <w:tc>
          <w:tcPr>
            <w:tcW w:w="336" w:type="pct"/>
            <w:shd w:val="clear" w:color="auto" w:fill="auto"/>
          </w:tcPr>
          <w:p w:rsidR="00035233" w:rsidRDefault="00035233" w:rsidP="00035233">
            <w:pPr>
              <w:pStyle w:val="05Tabletext"/>
              <w:jc w:val="center"/>
            </w:pPr>
            <w:r>
              <w:t>12 weeks; final follow</w:t>
            </w:r>
            <w:r w:rsidR="004B2947">
              <w:t xml:space="preserve"> </w:t>
            </w:r>
            <w:r>
              <w:t>up was 3 weeks after the final dose of study medication.</w:t>
            </w:r>
          </w:p>
        </w:tc>
        <w:tc>
          <w:tcPr>
            <w:tcW w:w="751" w:type="pct"/>
            <w:shd w:val="clear" w:color="auto" w:fill="auto"/>
          </w:tcPr>
          <w:p w:rsidR="00035233" w:rsidRDefault="00035233" w:rsidP="00035233">
            <w:pPr>
              <w:pStyle w:val="05Tabletext"/>
              <w:rPr>
                <w:i/>
                <w:u w:val="single"/>
              </w:rPr>
            </w:pPr>
            <w:r>
              <w:rPr>
                <w:u w:val="single"/>
              </w:rPr>
              <w:t>Primary</w:t>
            </w:r>
          </w:p>
          <w:p w:rsidR="00035233" w:rsidRDefault="00035233" w:rsidP="00035233">
            <w:pPr>
              <w:pStyle w:val="05Tabletext"/>
            </w:pPr>
            <w:r>
              <w:t>SGRQ total score; FEV</w:t>
            </w:r>
            <w:r>
              <w:rPr>
                <w:vertAlign w:val="subscript"/>
              </w:rPr>
              <w:t>1</w:t>
            </w:r>
            <w:r>
              <w:t xml:space="preserve"> AUC from 0 to 3 hrs; trough FEV</w:t>
            </w:r>
            <w:r>
              <w:rPr>
                <w:vertAlign w:val="subscript"/>
              </w:rPr>
              <w:t>1</w:t>
            </w:r>
            <w:r>
              <w:t>.</w:t>
            </w:r>
            <w:r>
              <w:rPr>
                <w:rStyle w:val="FootnoteReference"/>
              </w:rPr>
              <w:footnoteReference w:id="26"/>
            </w:r>
          </w:p>
          <w:p w:rsidR="00035233" w:rsidRDefault="00035233" w:rsidP="00035233">
            <w:pPr>
              <w:pStyle w:val="06Tabletextspacebefore"/>
            </w:pPr>
            <w:r>
              <w:rPr>
                <w:u w:val="single"/>
              </w:rPr>
              <w:t>Secondary</w:t>
            </w:r>
          </w:p>
          <w:p w:rsidR="00035233" w:rsidRPr="007147DC" w:rsidRDefault="00035233" w:rsidP="00035233">
            <w:pPr>
              <w:pStyle w:val="05Tabletext"/>
            </w:pPr>
            <w:r>
              <w:t>TDI focal score; trough FVC and FVC AUC (0 to 3 hrs); safety (AEs, SAEs, vital signs).</w:t>
            </w:r>
          </w:p>
        </w:tc>
      </w:tr>
      <w:tr w:rsidR="00035233" w:rsidRPr="00194011" w:rsidTr="00035233">
        <w:trPr>
          <w:cantSplit/>
        </w:trPr>
        <w:tc>
          <w:tcPr>
            <w:tcW w:w="617" w:type="pct"/>
            <w:shd w:val="clear" w:color="auto" w:fill="000000"/>
          </w:tcPr>
          <w:p w:rsidR="00035233" w:rsidRDefault="00035233" w:rsidP="00035233">
            <w:pPr>
              <w:pStyle w:val="04Tablesubheading"/>
            </w:pPr>
            <w:r>
              <w:t>UME/VIL vs TIO</w:t>
            </w:r>
          </w:p>
        </w:tc>
        <w:tc>
          <w:tcPr>
            <w:tcW w:w="222" w:type="pct"/>
            <w:shd w:val="clear" w:color="auto" w:fill="000000"/>
          </w:tcPr>
          <w:p w:rsidR="00035233" w:rsidRDefault="00035233" w:rsidP="00035233">
            <w:pPr>
              <w:pStyle w:val="04Tablesubheading"/>
            </w:pPr>
          </w:p>
        </w:tc>
        <w:tc>
          <w:tcPr>
            <w:tcW w:w="306" w:type="pct"/>
            <w:shd w:val="clear" w:color="auto" w:fill="000000"/>
          </w:tcPr>
          <w:p w:rsidR="00035233" w:rsidRDefault="00035233" w:rsidP="00035233">
            <w:pPr>
              <w:pStyle w:val="04Tablesubheading"/>
            </w:pPr>
          </w:p>
        </w:tc>
        <w:tc>
          <w:tcPr>
            <w:tcW w:w="579" w:type="pct"/>
            <w:shd w:val="clear" w:color="auto" w:fill="000000"/>
          </w:tcPr>
          <w:p w:rsidR="00035233" w:rsidRDefault="00035233" w:rsidP="00035233">
            <w:pPr>
              <w:pStyle w:val="04Tablesubheading"/>
            </w:pPr>
          </w:p>
        </w:tc>
        <w:tc>
          <w:tcPr>
            <w:tcW w:w="2189" w:type="pct"/>
            <w:shd w:val="clear" w:color="auto" w:fill="000000"/>
          </w:tcPr>
          <w:p w:rsidR="00035233" w:rsidRPr="002C013A" w:rsidRDefault="00035233" w:rsidP="00035233">
            <w:pPr>
              <w:pStyle w:val="04Tablesubheading"/>
              <w:rPr>
                <w:u w:val="single"/>
              </w:rPr>
            </w:pPr>
          </w:p>
        </w:tc>
        <w:tc>
          <w:tcPr>
            <w:tcW w:w="336" w:type="pct"/>
            <w:shd w:val="clear" w:color="auto" w:fill="000000"/>
          </w:tcPr>
          <w:p w:rsidR="00035233" w:rsidRDefault="00035233" w:rsidP="00035233">
            <w:pPr>
              <w:pStyle w:val="04Tablesubheading"/>
            </w:pPr>
          </w:p>
        </w:tc>
        <w:tc>
          <w:tcPr>
            <w:tcW w:w="751" w:type="pct"/>
            <w:shd w:val="clear" w:color="auto" w:fill="000000"/>
          </w:tcPr>
          <w:p w:rsidR="00035233" w:rsidRDefault="00035233" w:rsidP="00035233">
            <w:pPr>
              <w:pStyle w:val="04Tablesubheading"/>
              <w:rPr>
                <w:u w:val="single"/>
              </w:rPr>
            </w:pPr>
          </w:p>
        </w:tc>
      </w:tr>
      <w:tr w:rsidR="00035233" w:rsidRPr="00194011" w:rsidTr="00035233">
        <w:trPr>
          <w:cantSplit/>
        </w:trPr>
        <w:tc>
          <w:tcPr>
            <w:tcW w:w="617" w:type="pct"/>
            <w:shd w:val="clear" w:color="auto" w:fill="auto"/>
          </w:tcPr>
          <w:p w:rsidR="00035233" w:rsidRDefault="00035233" w:rsidP="00035233">
            <w:pPr>
              <w:pStyle w:val="05Tabletext"/>
            </w:pPr>
            <w:r>
              <w:t>Maleki-Yazdi (2014)</w:t>
            </w:r>
          </w:p>
          <w:p w:rsidR="00035233" w:rsidRDefault="00035233" w:rsidP="00251CB8">
            <w:pPr>
              <w:pStyle w:val="06Tabletextspacebefore"/>
              <w:numPr>
                <w:ilvl w:val="0"/>
                <w:numId w:val="21"/>
              </w:numPr>
            </w:pPr>
            <w:r>
              <w:t>N/A</w:t>
            </w:r>
          </w:p>
          <w:p w:rsidR="00035233" w:rsidRDefault="00035233" w:rsidP="00251CB8">
            <w:pPr>
              <w:pStyle w:val="06Tabletextspacebefore"/>
              <w:numPr>
                <w:ilvl w:val="0"/>
                <w:numId w:val="21"/>
              </w:numPr>
            </w:pPr>
            <w:r>
              <w:t>Good quality</w:t>
            </w:r>
          </w:p>
          <w:p w:rsidR="00035233" w:rsidRDefault="00035233" w:rsidP="00251CB8">
            <w:pPr>
              <w:pStyle w:val="06Tabletextspacebefore"/>
              <w:numPr>
                <w:ilvl w:val="0"/>
                <w:numId w:val="21"/>
              </w:numPr>
            </w:pPr>
            <w:r>
              <w:t>US, Bulgaria, Canada, Germany, Hungary, Romania, Russia, Spain</w:t>
            </w:r>
          </w:p>
          <w:p w:rsidR="00035233" w:rsidRPr="00FB4BF5" w:rsidRDefault="00035233" w:rsidP="00251CB8">
            <w:pPr>
              <w:pStyle w:val="06Tabletextspacebefore"/>
              <w:numPr>
                <w:ilvl w:val="0"/>
                <w:numId w:val="21"/>
              </w:numPr>
            </w:pPr>
            <w:r>
              <w:t>GlaxoSmithKline</w:t>
            </w:r>
          </w:p>
        </w:tc>
        <w:tc>
          <w:tcPr>
            <w:tcW w:w="222" w:type="pct"/>
            <w:shd w:val="clear" w:color="auto" w:fill="auto"/>
          </w:tcPr>
          <w:p w:rsidR="00035233" w:rsidRDefault="00035233" w:rsidP="00035233">
            <w:pPr>
              <w:pStyle w:val="05Tabletext"/>
              <w:jc w:val="center"/>
            </w:pPr>
            <w:r>
              <w:t>905</w:t>
            </w:r>
          </w:p>
        </w:tc>
        <w:tc>
          <w:tcPr>
            <w:tcW w:w="306" w:type="pct"/>
            <w:shd w:val="clear" w:color="auto" w:fill="auto"/>
          </w:tcPr>
          <w:p w:rsidR="00035233" w:rsidRDefault="00035233" w:rsidP="00035233">
            <w:pPr>
              <w:pStyle w:val="05Tabletext"/>
            </w:pPr>
            <w:r>
              <w:t>Superiority. Double-blind, double-dummy.</w:t>
            </w:r>
          </w:p>
        </w:tc>
        <w:tc>
          <w:tcPr>
            <w:tcW w:w="579" w:type="pct"/>
            <w:shd w:val="clear" w:color="auto" w:fill="auto"/>
          </w:tcPr>
          <w:p w:rsidR="00035233" w:rsidRDefault="00035233" w:rsidP="00035233">
            <w:pPr>
              <w:pStyle w:val="05Tabletext"/>
            </w:pPr>
            <w:r>
              <w:t>UME/VIL 62.5/25 μg qd (n=454)</w:t>
            </w:r>
          </w:p>
          <w:p w:rsidR="00035233" w:rsidRPr="006E5106" w:rsidRDefault="00035233" w:rsidP="00035233">
            <w:pPr>
              <w:pStyle w:val="06Tabletextspacebefore"/>
              <w:rPr>
                <w:rtl/>
              </w:rPr>
            </w:pPr>
            <w:r>
              <w:t>TIO 18 μg qd (n=451)</w:t>
            </w:r>
          </w:p>
        </w:tc>
        <w:tc>
          <w:tcPr>
            <w:tcW w:w="2189" w:type="pct"/>
            <w:shd w:val="clear" w:color="auto" w:fill="auto"/>
          </w:tcPr>
          <w:p w:rsidR="00035233" w:rsidRDefault="00035233" w:rsidP="00035233">
            <w:pPr>
              <w:pStyle w:val="05Tabletext"/>
              <w:rPr>
                <w:u w:val="single"/>
              </w:rPr>
            </w:pPr>
            <w:r w:rsidRPr="002C013A">
              <w:rPr>
                <w:u w:val="single"/>
              </w:rPr>
              <w:t>Inclusion</w:t>
            </w:r>
          </w:p>
          <w:p w:rsidR="00035233" w:rsidRDefault="00035233" w:rsidP="00035233">
            <w:pPr>
              <w:pStyle w:val="05Tabletext"/>
            </w:pPr>
            <w:r>
              <w:t>(1) Age ≥40 years, (2) moderate</w:t>
            </w:r>
            <w:r w:rsidR="00B225A4">
              <w:t xml:space="preserve"> </w:t>
            </w:r>
            <w:r>
              <w:t>to</w:t>
            </w:r>
            <w:r w:rsidR="00B225A4">
              <w:t xml:space="preserve"> </w:t>
            </w:r>
            <w:r>
              <w:t>very severe COPD, (3) pre- and post-albuterol FEV</w:t>
            </w:r>
            <w:r>
              <w:rPr>
                <w:vertAlign w:val="subscript"/>
              </w:rPr>
              <w:t>1</w:t>
            </w:r>
            <w:r>
              <w:t>/FVC ratio of &lt;70%, (4) pre- and post-albuterol/salbutamol FEV</w:t>
            </w:r>
            <w:r>
              <w:rPr>
                <w:vertAlign w:val="subscript"/>
              </w:rPr>
              <w:t>1</w:t>
            </w:r>
            <w:r>
              <w:t xml:space="preserve"> of ≤70% of predicted normal at Visit 1, (5) a score of ≥2 on the mMRC scale at Visit 1.</w:t>
            </w:r>
          </w:p>
          <w:p w:rsidR="00035233" w:rsidRDefault="00035233" w:rsidP="00035233">
            <w:pPr>
              <w:pStyle w:val="06Tabletextspacebefore"/>
            </w:pPr>
            <w:r>
              <w:rPr>
                <w:u w:val="single"/>
              </w:rPr>
              <w:t>Exclusion</w:t>
            </w:r>
          </w:p>
          <w:p w:rsidR="00035233" w:rsidRDefault="00035233" w:rsidP="00035233">
            <w:pPr>
              <w:pStyle w:val="05Tabletext"/>
            </w:pPr>
            <w:r>
              <w:t>(1) Current diagnosis of asthma or other respiratory disorders, (2) historical or current evidence of clinically significant, uncontrolled cardiovascular, neurological, psychiatric, renal, hepatic, immunological, endocrine or haematological abnormalities, (3) hospitalisation for COPD or pneumonia within 12 weeks prior to Visit 1, (4) long-term oxygen therapy.</w:t>
            </w:r>
          </w:p>
          <w:p w:rsidR="00035233" w:rsidRDefault="00035233" w:rsidP="00035233">
            <w:pPr>
              <w:pStyle w:val="06Tabletextspacebefore"/>
            </w:pPr>
            <w:r>
              <w:rPr>
                <w:u w:val="single"/>
              </w:rPr>
              <w:t>Other</w:t>
            </w:r>
          </w:p>
          <w:p w:rsidR="00035233" w:rsidRPr="00230E27" w:rsidRDefault="00035233" w:rsidP="00035233">
            <w:pPr>
              <w:pStyle w:val="05Tabletext"/>
            </w:pPr>
            <w:r>
              <w:t>(1) Albuterol/salbutamol was provided as relief medication, (2) patients treated with ICS at screening were required to continue to the end of the treatment period unless there was a significant medical reason for discontinuation.</w:t>
            </w:r>
          </w:p>
        </w:tc>
        <w:tc>
          <w:tcPr>
            <w:tcW w:w="336" w:type="pct"/>
            <w:shd w:val="clear" w:color="auto" w:fill="auto"/>
          </w:tcPr>
          <w:p w:rsidR="00035233" w:rsidRDefault="00035233" w:rsidP="00035233">
            <w:pPr>
              <w:pStyle w:val="05Tabletext"/>
              <w:jc w:val="center"/>
            </w:pPr>
            <w:r>
              <w:t>24 weeks</w:t>
            </w:r>
          </w:p>
        </w:tc>
        <w:tc>
          <w:tcPr>
            <w:tcW w:w="751" w:type="pct"/>
            <w:shd w:val="clear" w:color="auto" w:fill="auto"/>
          </w:tcPr>
          <w:p w:rsidR="00035233" w:rsidRDefault="00035233" w:rsidP="00035233">
            <w:pPr>
              <w:pStyle w:val="05Tabletext"/>
            </w:pPr>
            <w:r>
              <w:rPr>
                <w:u w:val="single"/>
              </w:rPr>
              <w:t>Primary</w:t>
            </w:r>
          </w:p>
          <w:p w:rsidR="00035233" w:rsidRDefault="00035233" w:rsidP="00035233">
            <w:pPr>
              <w:pStyle w:val="05Tabletext"/>
            </w:pPr>
            <w:r>
              <w:t>Trough FEV</w:t>
            </w:r>
            <w:r>
              <w:rPr>
                <w:vertAlign w:val="subscript"/>
              </w:rPr>
              <w:t>1</w:t>
            </w:r>
            <w:r w:rsidR="004B3085">
              <w:t xml:space="preserve"> at D</w:t>
            </w:r>
            <w:r>
              <w:t>ay 169.</w:t>
            </w:r>
            <w:r>
              <w:rPr>
                <w:rStyle w:val="FootnoteReference"/>
              </w:rPr>
              <w:footnoteReference w:id="27"/>
            </w:r>
          </w:p>
          <w:p w:rsidR="00035233" w:rsidRDefault="00035233" w:rsidP="00035233">
            <w:pPr>
              <w:pStyle w:val="06Tabletextspacebefore"/>
            </w:pPr>
            <w:r>
              <w:rPr>
                <w:u w:val="single"/>
              </w:rPr>
              <w:t>Secondary</w:t>
            </w:r>
          </w:p>
          <w:p w:rsidR="00035233" w:rsidRPr="00A16B1B" w:rsidRDefault="00035233" w:rsidP="00035233">
            <w:pPr>
              <w:pStyle w:val="05Tabletext"/>
            </w:pPr>
            <w:r>
              <w:t>Weighted mean FEV</w:t>
            </w:r>
            <w:r>
              <w:rPr>
                <w:vertAlign w:val="subscript"/>
              </w:rPr>
              <w:t>1</w:t>
            </w:r>
            <w:r w:rsidR="004B3085">
              <w:t xml:space="preserve"> from 0 to 6 hrs at D</w:t>
            </w:r>
            <w:r>
              <w:t>ay 1, 84 and 168 (24 weeks); trough FEV</w:t>
            </w:r>
            <w:r>
              <w:rPr>
                <w:vertAlign w:val="subscript"/>
              </w:rPr>
              <w:t>1</w:t>
            </w:r>
            <w:r w:rsidR="004B3085">
              <w:t xml:space="preserve"> at D</w:t>
            </w:r>
            <w:r>
              <w:t>ays 2, 28, 56, 84, 112, 140 and 168; time of onset of action; trough FVC; percentage of responders achieving an increase in trough FEV</w:t>
            </w:r>
            <w:r>
              <w:rPr>
                <w:vertAlign w:val="subscript"/>
              </w:rPr>
              <w:t>1</w:t>
            </w:r>
            <w:r w:rsidR="004B3085">
              <w:t xml:space="preserve"> of ≥0.100L above baseline at D</w:t>
            </w:r>
            <w:r>
              <w:t>ay 169, peak FEV</w:t>
            </w:r>
            <w:r>
              <w:rPr>
                <w:vertAlign w:val="subscript"/>
              </w:rPr>
              <w:t>1</w:t>
            </w:r>
            <w:r w:rsidR="004B3085">
              <w:t xml:space="preserve"> at D</w:t>
            </w:r>
            <w:r>
              <w:t>ay 168; SGRQ; time to first COPD exacerbation; rescue medication; incidence of AEs.</w:t>
            </w:r>
          </w:p>
        </w:tc>
      </w:tr>
      <w:tr w:rsidR="00035233" w:rsidRPr="00194011" w:rsidTr="00035233">
        <w:trPr>
          <w:cantSplit/>
        </w:trPr>
        <w:tc>
          <w:tcPr>
            <w:tcW w:w="617" w:type="pct"/>
            <w:shd w:val="clear" w:color="auto" w:fill="000000"/>
          </w:tcPr>
          <w:p w:rsidR="00035233" w:rsidRDefault="00035233" w:rsidP="00035233">
            <w:pPr>
              <w:pStyle w:val="04Tablesubheading"/>
            </w:pPr>
            <w:r>
              <w:lastRenderedPageBreak/>
              <w:t>UME/VIL vs UME</w:t>
            </w:r>
          </w:p>
        </w:tc>
        <w:tc>
          <w:tcPr>
            <w:tcW w:w="222" w:type="pct"/>
            <w:shd w:val="clear" w:color="auto" w:fill="000000"/>
          </w:tcPr>
          <w:p w:rsidR="00035233" w:rsidRDefault="00035233" w:rsidP="00035233">
            <w:pPr>
              <w:pStyle w:val="04Tablesubheading"/>
            </w:pPr>
          </w:p>
        </w:tc>
        <w:tc>
          <w:tcPr>
            <w:tcW w:w="306" w:type="pct"/>
            <w:shd w:val="clear" w:color="auto" w:fill="000000"/>
          </w:tcPr>
          <w:p w:rsidR="00035233" w:rsidRDefault="00035233" w:rsidP="00035233">
            <w:pPr>
              <w:pStyle w:val="04Tablesubheading"/>
            </w:pPr>
          </w:p>
        </w:tc>
        <w:tc>
          <w:tcPr>
            <w:tcW w:w="579" w:type="pct"/>
            <w:shd w:val="clear" w:color="auto" w:fill="000000"/>
          </w:tcPr>
          <w:p w:rsidR="00035233" w:rsidRDefault="00035233" w:rsidP="00035233">
            <w:pPr>
              <w:pStyle w:val="04Tablesubheading"/>
            </w:pPr>
          </w:p>
        </w:tc>
        <w:tc>
          <w:tcPr>
            <w:tcW w:w="2189" w:type="pct"/>
            <w:shd w:val="clear" w:color="auto" w:fill="000000"/>
          </w:tcPr>
          <w:p w:rsidR="00035233" w:rsidRPr="002C013A" w:rsidRDefault="00035233" w:rsidP="00035233">
            <w:pPr>
              <w:pStyle w:val="04Tablesubheading"/>
              <w:rPr>
                <w:u w:val="single"/>
              </w:rPr>
            </w:pPr>
          </w:p>
        </w:tc>
        <w:tc>
          <w:tcPr>
            <w:tcW w:w="336" w:type="pct"/>
            <w:shd w:val="clear" w:color="auto" w:fill="000000"/>
          </w:tcPr>
          <w:p w:rsidR="00035233" w:rsidRDefault="00035233" w:rsidP="00035233">
            <w:pPr>
              <w:pStyle w:val="04Tablesubheading"/>
            </w:pPr>
          </w:p>
        </w:tc>
        <w:tc>
          <w:tcPr>
            <w:tcW w:w="751" w:type="pct"/>
            <w:shd w:val="clear" w:color="auto" w:fill="000000"/>
          </w:tcPr>
          <w:p w:rsidR="00035233" w:rsidRDefault="00035233" w:rsidP="00035233">
            <w:pPr>
              <w:pStyle w:val="04Tablesubheading"/>
              <w:rPr>
                <w:u w:val="single"/>
              </w:rPr>
            </w:pPr>
          </w:p>
        </w:tc>
      </w:tr>
      <w:tr w:rsidR="00035233" w:rsidRPr="00194011" w:rsidTr="00035233">
        <w:trPr>
          <w:cantSplit/>
        </w:trPr>
        <w:tc>
          <w:tcPr>
            <w:tcW w:w="617" w:type="pct"/>
            <w:shd w:val="clear" w:color="auto" w:fill="auto"/>
          </w:tcPr>
          <w:p w:rsidR="00035233" w:rsidRDefault="00035233" w:rsidP="00035233">
            <w:pPr>
              <w:pStyle w:val="05Tabletext"/>
            </w:pPr>
            <w:r>
              <w:t>Maltais (2014)</w:t>
            </w:r>
          </w:p>
          <w:p w:rsidR="00035233" w:rsidRDefault="00035233" w:rsidP="00251CB8">
            <w:pPr>
              <w:pStyle w:val="06Tabletextspacebefore"/>
              <w:numPr>
                <w:ilvl w:val="0"/>
                <w:numId w:val="32"/>
              </w:numPr>
            </w:pPr>
            <w:r>
              <w:t>N/A</w:t>
            </w:r>
          </w:p>
          <w:p w:rsidR="00035233" w:rsidRDefault="00035233" w:rsidP="00251CB8">
            <w:pPr>
              <w:pStyle w:val="06Tabletextspacebefore"/>
              <w:numPr>
                <w:ilvl w:val="0"/>
                <w:numId w:val="32"/>
              </w:numPr>
            </w:pPr>
            <w:r>
              <w:t>Fair quality</w:t>
            </w:r>
          </w:p>
          <w:p w:rsidR="00035233" w:rsidRDefault="00035233" w:rsidP="00251CB8">
            <w:pPr>
              <w:pStyle w:val="06Tabletextspacebefore"/>
              <w:numPr>
                <w:ilvl w:val="0"/>
                <w:numId w:val="32"/>
              </w:numPr>
            </w:pPr>
            <w:r>
              <w:t>US, Bulgaria, Canada, Czech Republic, Denmark, Estonia, Germany, Russia, South Africa, Ukraine, UK.</w:t>
            </w:r>
          </w:p>
          <w:p w:rsidR="00035233" w:rsidRPr="00A61000" w:rsidRDefault="00035233" w:rsidP="00251CB8">
            <w:pPr>
              <w:pStyle w:val="06Tabletextspacebefore"/>
              <w:numPr>
                <w:ilvl w:val="0"/>
                <w:numId w:val="32"/>
              </w:numPr>
            </w:pPr>
            <w:r>
              <w:t>GlaxoSmithKline</w:t>
            </w:r>
          </w:p>
        </w:tc>
        <w:tc>
          <w:tcPr>
            <w:tcW w:w="222" w:type="pct"/>
            <w:shd w:val="clear" w:color="auto" w:fill="auto"/>
          </w:tcPr>
          <w:p w:rsidR="00035233" w:rsidRDefault="00035233" w:rsidP="00035233">
            <w:pPr>
              <w:pStyle w:val="05Tabletext"/>
              <w:jc w:val="center"/>
            </w:pPr>
            <w:r w:rsidRPr="00271E1A">
              <w:t>349</w:t>
            </w:r>
            <w:r>
              <w:br/>
              <w:t xml:space="preserve">(Study 417); </w:t>
            </w:r>
            <w:r>
              <w:br/>
              <w:t>308</w:t>
            </w:r>
            <w:r>
              <w:br/>
              <w:t>(Study 418)</w:t>
            </w:r>
          </w:p>
          <w:p w:rsidR="00035233" w:rsidRPr="00271E1A" w:rsidRDefault="00035233" w:rsidP="00035233">
            <w:pPr>
              <w:pStyle w:val="05Tabletext"/>
              <w:jc w:val="center"/>
            </w:pPr>
            <w:r>
              <w:t xml:space="preserve"> </w:t>
            </w:r>
          </w:p>
        </w:tc>
        <w:tc>
          <w:tcPr>
            <w:tcW w:w="306" w:type="pct"/>
            <w:shd w:val="clear" w:color="auto" w:fill="auto"/>
          </w:tcPr>
          <w:p w:rsidR="00035233" w:rsidRDefault="00035233" w:rsidP="00035233">
            <w:pPr>
              <w:pStyle w:val="05Tabletext"/>
            </w:pPr>
            <w:r>
              <w:t>Two double-blind, incomplete block cross</w:t>
            </w:r>
            <w:r w:rsidR="00CB2EED">
              <w:t>-over</w:t>
            </w:r>
            <w:r>
              <w:t xml:space="preserve"> studies.</w:t>
            </w:r>
          </w:p>
        </w:tc>
        <w:tc>
          <w:tcPr>
            <w:tcW w:w="579" w:type="pct"/>
            <w:shd w:val="clear" w:color="auto" w:fill="auto"/>
          </w:tcPr>
          <w:p w:rsidR="00035233" w:rsidRDefault="00035233" w:rsidP="00035233">
            <w:pPr>
              <w:pStyle w:val="05Tabletext"/>
              <w:rPr>
                <w:u w:val="single"/>
              </w:rPr>
            </w:pPr>
            <w:r>
              <w:rPr>
                <w:u w:val="single"/>
              </w:rPr>
              <w:t>Study 417</w:t>
            </w:r>
          </w:p>
          <w:p w:rsidR="00035233" w:rsidRDefault="00035233" w:rsidP="00035233">
            <w:pPr>
              <w:pStyle w:val="05Tabletext"/>
            </w:pPr>
            <w:r>
              <w:t>UME/VIL 125/25 μg</w:t>
            </w:r>
            <w:bookmarkStart w:id="245" w:name="_Ref467589253"/>
            <w:r>
              <w:rPr>
                <w:rStyle w:val="FootnoteReference"/>
              </w:rPr>
              <w:footnoteReference w:id="28"/>
            </w:r>
            <w:bookmarkEnd w:id="245"/>
            <w:r>
              <w:t xml:space="preserve"> (n=144)</w:t>
            </w:r>
          </w:p>
          <w:p w:rsidR="00035233" w:rsidRDefault="00035233" w:rsidP="00035233">
            <w:pPr>
              <w:pStyle w:val="06Tabletextspacebefore"/>
            </w:pPr>
            <w:r>
              <w:t>UME/VIL 62.5/25 μg (n=152)</w:t>
            </w:r>
          </w:p>
          <w:p w:rsidR="00035233" w:rsidRDefault="00035233" w:rsidP="00035233">
            <w:pPr>
              <w:pStyle w:val="06Tabletextspacebefore"/>
            </w:pPr>
            <w:r>
              <w:t>VIL 25 μg</w:t>
            </w:r>
            <w:r w:rsidR="009309BE">
              <w:rPr>
                <w:vertAlign w:val="superscript"/>
              </w:rPr>
              <w:t>29</w:t>
            </w:r>
            <w:r>
              <w:rPr>
                <w:vertAlign w:val="superscript"/>
              </w:rPr>
              <w:t xml:space="preserve"> </w:t>
            </w:r>
            <w:r w:rsidRPr="002B1FD1">
              <w:t>(n=</w:t>
            </w:r>
            <w:r>
              <w:t>76</w:t>
            </w:r>
            <w:r w:rsidRPr="002B1FD1">
              <w:t>)</w:t>
            </w:r>
          </w:p>
          <w:p w:rsidR="00035233" w:rsidRDefault="00035233" w:rsidP="00035233">
            <w:pPr>
              <w:pStyle w:val="06Tabletextspacebefore"/>
            </w:pPr>
            <w:r>
              <w:t xml:space="preserve">UME 62.5 μg </w:t>
            </w:r>
            <w:r w:rsidRPr="002B1FD1">
              <w:t>(n=</w:t>
            </w:r>
            <w:r>
              <w:t>49</w:t>
            </w:r>
            <w:r w:rsidRPr="002B1FD1">
              <w:t>)</w:t>
            </w:r>
          </w:p>
          <w:p w:rsidR="00035233" w:rsidRPr="002B1FD1" w:rsidRDefault="00035233" w:rsidP="00035233">
            <w:pPr>
              <w:pStyle w:val="06Tabletextspacebefore"/>
            </w:pPr>
            <w:r>
              <w:t>UME 125 μg</w:t>
            </w:r>
            <w:r w:rsidR="009309BE">
              <w:rPr>
                <w:vertAlign w:val="superscript"/>
              </w:rPr>
              <w:t>29</w:t>
            </w:r>
            <w:r>
              <w:rPr>
                <w:vertAlign w:val="superscript"/>
              </w:rPr>
              <w:t xml:space="preserve"> </w:t>
            </w:r>
            <w:r w:rsidRPr="002B1FD1">
              <w:t>(n=</w:t>
            </w:r>
            <w:r>
              <w:t>50</w:t>
            </w:r>
            <w:r w:rsidRPr="002B1FD1">
              <w:t>)</w:t>
            </w:r>
          </w:p>
          <w:p w:rsidR="00035233" w:rsidRPr="007F1196" w:rsidRDefault="00035233" w:rsidP="00035233">
            <w:pPr>
              <w:pStyle w:val="06Tabletextspacebefore"/>
            </w:pPr>
            <w:r>
              <w:t xml:space="preserve">PBO </w:t>
            </w:r>
            <w:r w:rsidRPr="002B1FD1">
              <w:t>(n=</w:t>
            </w:r>
            <w:r>
              <w:t>170</w:t>
            </w:r>
            <w:r w:rsidRPr="002B1FD1">
              <w:t>)</w:t>
            </w:r>
          </w:p>
          <w:p w:rsidR="00035233" w:rsidRPr="007F1196" w:rsidRDefault="00035233" w:rsidP="00035233">
            <w:pPr>
              <w:pStyle w:val="06Tabletextspacebefore"/>
              <w:rPr>
                <w:u w:val="single"/>
              </w:rPr>
            </w:pPr>
            <w:r w:rsidRPr="007F1196">
              <w:rPr>
                <w:u w:val="single"/>
              </w:rPr>
              <w:t>Study 418</w:t>
            </w:r>
          </w:p>
          <w:p w:rsidR="00035233" w:rsidRDefault="00035233" w:rsidP="00035233">
            <w:pPr>
              <w:pStyle w:val="05Tabletext"/>
            </w:pPr>
            <w:r>
              <w:t>UME/VIL 125/25 μg</w:t>
            </w:r>
            <w:r w:rsidR="009309BE">
              <w:rPr>
                <w:vertAlign w:val="superscript"/>
              </w:rPr>
              <w:t>29</w:t>
            </w:r>
            <w:r>
              <w:t xml:space="preserve"> (n=128)</w:t>
            </w:r>
          </w:p>
          <w:p w:rsidR="00035233" w:rsidRDefault="00035233" w:rsidP="00035233">
            <w:pPr>
              <w:pStyle w:val="06Tabletextspacebefore"/>
            </w:pPr>
            <w:r>
              <w:t>UME/VIL 62.5/25 μg (n=130)</w:t>
            </w:r>
          </w:p>
          <w:p w:rsidR="00035233" w:rsidRDefault="00035233" w:rsidP="00035233">
            <w:pPr>
              <w:pStyle w:val="06Tabletextspacebefore"/>
            </w:pPr>
            <w:r>
              <w:t>VIL 25 μg</w:t>
            </w:r>
            <w:r w:rsidR="009309BE">
              <w:rPr>
                <w:vertAlign w:val="superscript"/>
              </w:rPr>
              <w:t>29</w:t>
            </w:r>
            <w:r w:rsidRPr="00622C68">
              <w:rPr>
                <w:vertAlign w:val="superscript"/>
              </w:rPr>
              <w:t xml:space="preserve"> </w:t>
            </w:r>
            <w:r w:rsidRPr="002B1FD1">
              <w:t>(n=</w:t>
            </w:r>
            <w:r>
              <w:t>64</w:t>
            </w:r>
            <w:r w:rsidRPr="002B1FD1">
              <w:t>)</w:t>
            </w:r>
          </w:p>
          <w:p w:rsidR="00035233" w:rsidRDefault="00035233" w:rsidP="00035233">
            <w:pPr>
              <w:pStyle w:val="06Tabletextspacebefore"/>
            </w:pPr>
            <w:r>
              <w:t xml:space="preserve">UME 62.5 μg </w:t>
            </w:r>
            <w:r w:rsidRPr="002B1FD1">
              <w:t>(n=</w:t>
            </w:r>
            <w:r>
              <w:t>40</w:t>
            </w:r>
            <w:r w:rsidRPr="002B1FD1">
              <w:t>)</w:t>
            </w:r>
          </w:p>
          <w:p w:rsidR="00035233" w:rsidRPr="002B1FD1" w:rsidRDefault="00035233" w:rsidP="00035233">
            <w:pPr>
              <w:pStyle w:val="06Tabletextspacebefore"/>
            </w:pPr>
            <w:r>
              <w:t>UME 125 μg</w:t>
            </w:r>
            <w:r w:rsidR="009309BE">
              <w:rPr>
                <w:vertAlign w:val="superscript"/>
              </w:rPr>
              <w:t>29</w:t>
            </w:r>
            <w:r>
              <w:rPr>
                <w:vertAlign w:val="superscript"/>
              </w:rPr>
              <w:t xml:space="preserve"> </w:t>
            </w:r>
            <w:r w:rsidRPr="002B1FD1">
              <w:t>(n=</w:t>
            </w:r>
            <w:r>
              <w:t>41</w:t>
            </w:r>
            <w:r w:rsidRPr="002B1FD1">
              <w:t>)</w:t>
            </w:r>
          </w:p>
          <w:p w:rsidR="00035233" w:rsidRPr="00941DE9" w:rsidRDefault="00035233" w:rsidP="00035233">
            <w:pPr>
              <w:pStyle w:val="06Tabletextspacebefore"/>
            </w:pPr>
            <w:r>
              <w:t xml:space="preserve">PBO </w:t>
            </w:r>
            <w:r w:rsidRPr="002B1FD1">
              <w:t>(n=</w:t>
            </w:r>
            <w:r>
              <w:t>151</w:t>
            </w:r>
            <w:r w:rsidRPr="002B1FD1">
              <w:t>)</w:t>
            </w:r>
          </w:p>
        </w:tc>
        <w:tc>
          <w:tcPr>
            <w:tcW w:w="2189" w:type="pct"/>
            <w:shd w:val="clear" w:color="auto" w:fill="auto"/>
          </w:tcPr>
          <w:p w:rsidR="00035233" w:rsidRDefault="00035233" w:rsidP="00035233">
            <w:pPr>
              <w:pStyle w:val="05Tabletext"/>
              <w:rPr>
                <w:u w:val="single"/>
              </w:rPr>
            </w:pPr>
            <w:r>
              <w:rPr>
                <w:u w:val="single"/>
              </w:rPr>
              <w:t>Inclusion:</w:t>
            </w:r>
          </w:p>
          <w:p w:rsidR="00035233" w:rsidRDefault="00035233" w:rsidP="00035233">
            <w:pPr>
              <w:pStyle w:val="05Tabletext"/>
            </w:pPr>
            <w:r>
              <w:t>(1) Age ≥40 years, (2) clinical diagnosis of moderate-to-severe COPD, (3) post-bronchodilator FEV</w:t>
            </w:r>
            <w:r>
              <w:rPr>
                <w:vertAlign w:val="subscript"/>
              </w:rPr>
              <w:t>1</w:t>
            </w:r>
            <w:r>
              <w:t>/FVC &lt;70% and FEV</w:t>
            </w:r>
            <w:r>
              <w:rPr>
                <w:vertAlign w:val="subscript"/>
              </w:rPr>
              <w:t xml:space="preserve">1 </w:t>
            </w:r>
            <w:r>
              <w:t>≥35% and ≤70% predicted,</w:t>
            </w:r>
            <w:r w:rsidR="002D1FA4">
              <w:t xml:space="preserve"> (4) a score of ≥2 on the mMRC Dyspnea S</w:t>
            </w:r>
            <w:r>
              <w:t>cale at Visit 1.</w:t>
            </w:r>
          </w:p>
          <w:p w:rsidR="00035233" w:rsidRDefault="00035233" w:rsidP="00035233">
            <w:pPr>
              <w:pStyle w:val="06Tabletextspacebefore"/>
            </w:pPr>
            <w:r>
              <w:rPr>
                <w:u w:val="single"/>
              </w:rPr>
              <w:t>Exclusion</w:t>
            </w:r>
          </w:p>
          <w:p w:rsidR="00035233" w:rsidRDefault="00035233" w:rsidP="00035233">
            <w:pPr>
              <w:pStyle w:val="05Tabletext"/>
            </w:pPr>
            <w:r>
              <w:t>(1) Comorbid respiratory conditions or a current diagnosis of asthma, (2) hospitalisation for an acute COPD exacerbation or pneumonia within 12 weeks of study start, (3) oxygen therapy for &gt;12 hrs per day.</w:t>
            </w:r>
          </w:p>
          <w:p w:rsidR="00035233" w:rsidRDefault="00035233" w:rsidP="00035233">
            <w:pPr>
              <w:pStyle w:val="06Tabletextspacebefore"/>
            </w:pPr>
            <w:r>
              <w:rPr>
                <w:u w:val="single"/>
              </w:rPr>
              <w:t>Other</w:t>
            </w:r>
          </w:p>
          <w:p w:rsidR="00035233" w:rsidRPr="006939BF" w:rsidRDefault="00035233" w:rsidP="00035233">
            <w:pPr>
              <w:pStyle w:val="05Tabletext"/>
            </w:pPr>
            <w:r>
              <w:t xml:space="preserve">(1) Patients were required to discontinue the use of LAMA or LABA therapies alone or in combination, (2) all medication (including short-acting bronchodilators) were required to be withheld for a 4 hrs period prior to spirometry testing, (3) patients using ICS were required to have maintained regular use of a stable dose of ICS during the run-in period at a dose ≤1000 mcg/day fluticasone propionate or equivalent, (4) patients were provided with salbutamol for use on an as-needed basis through the run-in, washout, and treatment periods. </w:t>
            </w:r>
          </w:p>
        </w:tc>
        <w:tc>
          <w:tcPr>
            <w:tcW w:w="336" w:type="pct"/>
            <w:shd w:val="clear" w:color="auto" w:fill="auto"/>
          </w:tcPr>
          <w:p w:rsidR="00035233" w:rsidRDefault="00035233" w:rsidP="00035233">
            <w:pPr>
              <w:pStyle w:val="05Tabletext"/>
              <w:jc w:val="center"/>
            </w:pPr>
            <w:r>
              <w:t>12 weeks per treatment group. Patients received two of six treatments.</w:t>
            </w:r>
          </w:p>
        </w:tc>
        <w:tc>
          <w:tcPr>
            <w:tcW w:w="751" w:type="pct"/>
            <w:shd w:val="clear" w:color="auto" w:fill="auto"/>
          </w:tcPr>
          <w:p w:rsidR="00035233" w:rsidRDefault="00035233" w:rsidP="00035233">
            <w:pPr>
              <w:pStyle w:val="05Tabletext"/>
            </w:pPr>
            <w:r>
              <w:rPr>
                <w:u w:val="single"/>
              </w:rPr>
              <w:t>Primary</w:t>
            </w:r>
          </w:p>
          <w:p w:rsidR="00035233" w:rsidRDefault="00035233" w:rsidP="00035233">
            <w:pPr>
              <w:pStyle w:val="05Tabletext"/>
            </w:pPr>
            <w:r>
              <w:t>Trough FEV</w:t>
            </w:r>
            <w:r>
              <w:rPr>
                <w:vertAlign w:val="subscript"/>
              </w:rPr>
              <w:t>1</w:t>
            </w:r>
            <w:r>
              <w:t xml:space="preserve"> </w:t>
            </w:r>
            <w:r w:rsidR="00460E94">
              <w:t>and exercise endurance time at W</w:t>
            </w:r>
            <w:r>
              <w:t>eek 12.</w:t>
            </w:r>
          </w:p>
          <w:p w:rsidR="00035233" w:rsidRDefault="00035233" w:rsidP="00035233">
            <w:pPr>
              <w:pStyle w:val="06Tabletextspacebefore"/>
              <w:rPr>
                <w:u w:val="single"/>
              </w:rPr>
            </w:pPr>
            <w:r>
              <w:rPr>
                <w:u w:val="single"/>
              </w:rPr>
              <w:t>Secondary</w:t>
            </w:r>
          </w:p>
          <w:p w:rsidR="00035233" w:rsidRPr="00D43F1C" w:rsidRDefault="00460E94" w:rsidP="00035233">
            <w:pPr>
              <w:pStyle w:val="05Tabletext"/>
            </w:pPr>
            <w:r>
              <w:t>Measures of lung volume at W</w:t>
            </w:r>
            <w:r w:rsidR="00035233">
              <w:t>eek 12; use of rescue medication; ease of inhaler use; safety (AEs, exacerbations, vital signs, clinical chemistry tests, haematology tests, 12-lead ECG).</w:t>
            </w:r>
          </w:p>
        </w:tc>
      </w:tr>
    </w:tbl>
    <w:p w:rsidR="00035233" w:rsidRDefault="00035233" w:rsidP="00035233">
      <w:pPr>
        <w:pStyle w:val="10TableorFigurefootnote"/>
      </w:pPr>
      <w:r w:rsidRPr="00745648">
        <w:t>Note: N refers to number randomised unless otherwise specified.</w:t>
      </w:r>
    </w:p>
    <w:p w:rsidR="00035233" w:rsidRDefault="00035233" w:rsidP="00035233">
      <w:pPr>
        <w:pStyle w:val="11TableorFigurefootnotenostick"/>
      </w:pPr>
      <w:r>
        <w:t>Abbreviations: AE, adverse event; AUC, area under the curve; BDI, Basline Dyspnea Index; COPD, chronic obstructive pulmonary disease; FEV</w:t>
      </w:r>
      <w:r>
        <w:rPr>
          <w:vertAlign w:val="subscript"/>
        </w:rPr>
        <w:t>1</w:t>
      </w:r>
      <w:r>
        <w:t>, forced expiratory volume in one second; FVC, forced vital capacity; GOLD, Global initiative for chronic Obstructive Lung Disease; IC, inspiratory capacity; ICS, inhaled corticosteroid; IND, indacaterol; LABA, long-acting beta-agonist; LAMA, long-acting muscarinic antagonist; mMRC, modified Medical Research Council; OLO, olodaterol; PBO, placebo; qd, once daily; SGRQ, St George’s Respiratory Questionnaire; SMETT, sub-maximal constant-load cycle ergometry exercise tolerance test; TDI, Transition Dyspnea Index; TIO, tiotropium; UME, umeclidinium; VIL, vilanterol.</w:t>
      </w:r>
    </w:p>
    <w:p w:rsidR="00035233" w:rsidRDefault="00035233" w:rsidP="00251CB8">
      <w:pPr>
        <w:pStyle w:val="Heading2"/>
        <w:numPr>
          <w:ilvl w:val="1"/>
          <w:numId w:val="11"/>
        </w:numPr>
        <w:sectPr w:rsidR="00035233" w:rsidSect="00270A37">
          <w:footerReference w:type="default" r:id="rId34"/>
          <w:pgSz w:w="16838" w:h="11906" w:orient="landscape"/>
          <w:pgMar w:top="1134" w:right="1134" w:bottom="1134" w:left="1134" w:header="709" w:footer="709" w:gutter="0"/>
          <w:cols w:space="708"/>
          <w:docGrid w:linePitch="360"/>
        </w:sectPr>
      </w:pPr>
    </w:p>
    <w:p w:rsidR="00035233" w:rsidRPr="00030E3B" w:rsidRDefault="00035233" w:rsidP="00030E3B">
      <w:pPr>
        <w:pStyle w:val="Heading4"/>
      </w:pPr>
      <w:r w:rsidRPr="00030E3B">
        <w:lastRenderedPageBreak/>
        <w:t>Glycopyrronium/indacaterol versus tiotropium</w:t>
      </w:r>
    </w:p>
    <w:p w:rsidR="00035233" w:rsidRDefault="00035233" w:rsidP="00251CB8">
      <w:pPr>
        <w:pStyle w:val="Heading5"/>
        <w:numPr>
          <w:ilvl w:val="4"/>
          <w:numId w:val="11"/>
        </w:numPr>
      </w:pPr>
      <w:r>
        <w:t>BRIGHT study</w:t>
      </w:r>
    </w:p>
    <w:p w:rsidR="00035233" w:rsidRDefault="00035233" w:rsidP="00035233">
      <w:pPr>
        <w:pStyle w:val="BodyTextnospacebefore"/>
      </w:pPr>
      <w:r>
        <w:t>This study compared treatment with glycopyrronium/indacaterol 50/110 μg with tiotropium 18 μg, and placebo in a three-way cross</w:t>
      </w:r>
      <w:r w:rsidR="00CB2EED">
        <w:t>-over</w:t>
      </w:r>
      <w:r>
        <w:t xml:space="preserve"> study. The primary outcome was exercise endurance time at </w:t>
      </w:r>
      <w:r w:rsidR="004B3085">
        <w:t>D</w:t>
      </w:r>
      <w:r>
        <w:t xml:space="preserve">ay 21, but the study also measured lung function outcomes using spirometry at baseline and </w:t>
      </w:r>
      <w:r w:rsidR="004B3085">
        <w:t>D</w:t>
      </w:r>
      <w:r>
        <w:t>ay 21 of each treatment period.</w:t>
      </w:r>
    </w:p>
    <w:p w:rsidR="00035233" w:rsidRPr="00242EB4" w:rsidRDefault="00035233" w:rsidP="00035233">
      <w:pPr>
        <w:pStyle w:val="BodyText"/>
      </w:pPr>
      <w:r>
        <w:t xml:space="preserve">As shown in </w:t>
      </w:r>
      <w:r w:rsidR="00B85D87">
        <w:t>Table 3.3</w:t>
      </w:r>
      <w:r w:rsidR="00C542B6">
        <w:t>5</w:t>
      </w:r>
      <w:r>
        <w:t>, glycopyrronium/</w:t>
      </w:r>
      <w:r w:rsidRPr="00242EB4">
        <w:t>indacaterol</w:t>
      </w:r>
      <w:r>
        <w:t xml:space="preserve"> significantly improved trough FEV</w:t>
      </w:r>
      <w:r w:rsidRPr="00E020A8">
        <w:rPr>
          <w:vertAlign w:val="subscript"/>
        </w:rPr>
        <w:t>1</w:t>
      </w:r>
      <w:r>
        <w:t xml:space="preserve"> compared with tiotropium on </w:t>
      </w:r>
      <w:r w:rsidR="004B3085">
        <w:t>D</w:t>
      </w:r>
      <w:r>
        <w:t>ay 21; however, the study was only powered to detect a difference between glycopyrronium/indacaterol and placebo. Therefore, while the results indicate that dual LAMA/LABA therapy was superior to tiotropium monotherapy, the statistical significance of the results must be interpreted with caution.</w:t>
      </w:r>
    </w:p>
    <w:p w:rsidR="00035233" w:rsidRDefault="00282AA0" w:rsidP="00035233">
      <w:pPr>
        <w:pStyle w:val="BodyText"/>
      </w:pPr>
      <w:r>
        <w:t>I</w:t>
      </w:r>
      <w:r w:rsidR="00035233">
        <w:t>t should be noted that 31% of patients were on ICS therapy at baseline; therefore, a subset of patients were on triple therapy, while others were on dual LAMA plus ICS therapy during the treatment period.</w:t>
      </w:r>
      <w:r w:rsidR="00EB11AA">
        <w:t xml:space="preserve"> Insufficient data were available to undertake a subgroup analysis of those patients who were </w:t>
      </w:r>
      <w:r w:rsidR="00E02E59">
        <w:t xml:space="preserve">on </w:t>
      </w:r>
      <w:r w:rsidR="00EB11AA">
        <w:t>ICS</w:t>
      </w:r>
      <w:r w:rsidR="00E02E59">
        <w:t xml:space="preserve"> therapy versus those who were not</w:t>
      </w:r>
      <w:r w:rsidR="00EB11AA">
        <w:t>.</w:t>
      </w:r>
    </w:p>
    <w:p w:rsidR="00035233" w:rsidRDefault="00B85D87" w:rsidP="00282AA0">
      <w:pPr>
        <w:pStyle w:val="ToR3Tableheader"/>
      </w:pPr>
      <w:bookmarkStart w:id="246" w:name="_Toc468006270"/>
      <w:bookmarkStart w:id="247" w:name="_Toc468012315"/>
      <w:bookmarkStart w:id="248" w:name="_Toc468034471"/>
      <w:bookmarkStart w:id="249" w:name="_Toc471891026"/>
      <w:bookmarkStart w:id="250" w:name="_Toc486428214"/>
      <w:r>
        <w:t>Table 3.3</w:t>
      </w:r>
      <w:r w:rsidR="00C542B6">
        <w:t>5</w:t>
      </w:r>
      <w:r w:rsidR="00035233">
        <w:tab/>
        <w:t>Least squares mean difference in trough FEV</w:t>
      </w:r>
      <w:r w:rsidR="00035233">
        <w:rPr>
          <w:vertAlign w:val="subscript"/>
        </w:rPr>
        <w:t>1</w:t>
      </w:r>
      <w:r w:rsidR="00035233">
        <w:t xml:space="preserve"> – GLY/IND vs TIO</w:t>
      </w:r>
      <w:bookmarkEnd w:id="246"/>
      <w:bookmarkEnd w:id="247"/>
      <w:bookmarkEnd w:id="248"/>
      <w:bookmarkEnd w:id="249"/>
      <w:bookmarkEnd w:id="25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Caption w:val="Least squares mean difference in trough FEV1 "/>
        <w:tblDescription w:val="GLY/IND versus TIO"/>
      </w:tblPr>
      <w:tblGrid>
        <w:gridCol w:w="3407"/>
        <w:gridCol w:w="4535"/>
        <w:gridCol w:w="1706"/>
      </w:tblGrid>
      <w:tr w:rsidR="00035233" w:rsidRPr="00F01736" w:rsidTr="00035233">
        <w:trPr>
          <w:cantSplit/>
          <w:tblHeader/>
        </w:trPr>
        <w:tc>
          <w:tcPr>
            <w:tcW w:w="1766" w:type="pct"/>
            <w:shd w:val="clear" w:color="auto" w:fill="BFBFBF"/>
          </w:tcPr>
          <w:p w:rsidR="00035233" w:rsidRPr="00F01736" w:rsidRDefault="00035233" w:rsidP="00035233">
            <w:pPr>
              <w:pStyle w:val="01TableHEADINGleftaligned"/>
            </w:pPr>
          </w:p>
        </w:tc>
        <w:tc>
          <w:tcPr>
            <w:tcW w:w="2350" w:type="pct"/>
            <w:shd w:val="clear" w:color="auto" w:fill="BFBFBF"/>
          </w:tcPr>
          <w:p w:rsidR="00035233" w:rsidRPr="00461976" w:rsidRDefault="00035233" w:rsidP="00035233">
            <w:pPr>
              <w:pStyle w:val="01TableHEADINGleftaligned"/>
              <w:jc w:val="center"/>
            </w:pPr>
            <w:r>
              <w:t>Treatment difference</w:t>
            </w:r>
            <w:r>
              <w:br/>
              <w:t>GLY/IND vs TIO</w:t>
            </w:r>
          </w:p>
        </w:tc>
        <w:tc>
          <w:tcPr>
            <w:tcW w:w="884" w:type="pct"/>
            <w:shd w:val="clear" w:color="auto" w:fill="BFBFBF"/>
          </w:tcPr>
          <w:p w:rsidR="00035233" w:rsidRPr="00F01736" w:rsidRDefault="00035233" w:rsidP="00035233">
            <w:pPr>
              <w:pStyle w:val="01TableHEADINGleftaligned"/>
              <w:jc w:val="center"/>
            </w:pPr>
            <w:r w:rsidRPr="00F01736">
              <w:t>p-</w:t>
            </w:r>
            <w:r w:rsidRPr="00DE60B1">
              <w:t>value</w:t>
            </w:r>
          </w:p>
        </w:tc>
      </w:tr>
      <w:tr w:rsidR="00035233" w:rsidRPr="00194011" w:rsidTr="00035233">
        <w:trPr>
          <w:cantSplit/>
        </w:trPr>
        <w:tc>
          <w:tcPr>
            <w:tcW w:w="1766" w:type="pct"/>
            <w:shd w:val="clear" w:color="auto" w:fill="auto"/>
          </w:tcPr>
          <w:p w:rsidR="00035233" w:rsidRPr="006F2C81" w:rsidRDefault="00035233" w:rsidP="00035233">
            <w:pPr>
              <w:pStyle w:val="05Tabletext"/>
              <w:rPr>
                <w:b/>
              </w:rPr>
            </w:pPr>
            <w:r>
              <w:t>LS mean difference in trough FEV</w:t>
            </w:r>
            <w:r>
              <w:rPr>
                <w:vertAlign w:val="subscript"/>
              </w:rPr>
              <w:t xml:space="preserve">1 </w:t>
            </w:r>
            <w:r>
              <w:t>at 3 weeks, L</w:t>
            </w:r>
          </w:p>
        </w:tc>
        <w:tc>
          <w:tcPr>
            <w:tcW w:w="2350" w:type="pct"/>
            <w:shd w:val="clear" w:color="auto" w:fill="auto"/>
          </w:tcPr>
          <w:p w:rsidR="00035233" w:rsidRPr="00BC7782" w:rsidRDefault="00035233" w:rsidP="00035233">
            <w:pPr>
              <w:pStyle w:val="05Tabletext"/>
              <w:jc w:val="center"/>
            </w:pPr>
            <w:r>
              <w:t>0.10 (0.05, 0.15)</w:t>
            </w:r>
          </w:p>
        </w:tc>
        <w:tc>
          <w:tcPr>
            <w:tcW w:w="884" w:type="pct"/>
            <w:shd w:val="clear" w:color="auto" w:fill="auto"/>
          </w:tcPr>
          <w:p w:rsidR="00035233" w:rsidRPr="00194011" w:rsidRDefault="00035233" w:rsidP="00035233">
            <w:pPr>
              <w:pStyle w:val="05Tabletext"/>
              <w:jc w:val="center"/>
            </w:pPr>
            <w:r>
              <w:t>&lt;0.001</w:t>
            </w:r>
          </w:p>
        </w:tc>
      </w:tr>
    </w:tbl>
    <w:p w:rsidR="00035233" w:rsidRDefault="00035233" w:rsidP="00035233">
      <w:pPr>
        <w:pStyle w:val="10TableorFigurefootnote"/>
      </w:pPr>
      <w:r>
        <w:t>Source: Beeh (2014), Table 2.</w:t>
      </w:r>
    </w:p>
    <w:p w:rsidR="00035233" w:rsidRDefault="00035233" w:rsidP="00035233">
      <w:pPr>
        <w:pStyle w:val="10TableorFigurefootnote"/>
      </w:pPr>
      <w:r>
        <w:t xml:space="preserve">Note: </w:t>
      </w:r>
      <w:r w:rsidRPr="005E6069">
        <w:t>Treatment effects for each of the three cross</w:t>
      </w:r>
      <w:r w:rsidR="00CB2EED">
        <w:t>-over</w:t>
      </w:r>
      <w:r w:rsidRPr="005E6069">
        <w:t xml:space="preserve"> periods were not reported separately.</w:t>
      </w:r>
    </w:p>
    <w:p w:rsidR="00035233" w:rsidRDefault="00035233" w:rsidP="00035233">
      <w:pPr>
        <w:pStyle w:val="11TableorFigurefootnotenostick"/>
      </w:pPr>
      <w:r>
        <w:t>Abbreviations: CI, confidence interval; FEV</w:t>
      </w:r>
      <w:r>
        <w:rPr>
          <w:vertAlign w:val="subscript"/>
        </w:rPr>
        <w:t>1</w:t>
      </w:r>
      <w:r>
        <w:t>, forced expiratory volume in 1 second; GLY, glycopyrronium; IND, indacaterol; LS, least squares; TIO, tiotropium.</w:t>
      </w:r>
    </w:p>
    <w:p w:rsidR="00035233" w:rsidRPr="00D03C97" w:rsidRDefault="00035233" w:rsidP="00035233">
      <w:pPr>
        <w:pStyle w:val="BodyText"/>
      </w:pPr>
      <w:r>
        <w:t>No clinically relevant differences were observed between glycopyrronium/indacaterol and tiotropium (or placebo) with respect to safety and tolerability</w:t>
      </w:r>
      <w:r w:rsidR="00282AA0">
        <w:t xml:space="preserve"> (see Table 3.36)</w:t>
      </w:r>
      <w:r>
        <w:t>.</w:t>
      </w:r>
    </w:p>
    <w:p w:rsidR="00035233" w:rsidRDefault="00B85D87" w:rsidP="00282AA0">
      <w:pPr>
        <w:pStyle w:val="ToR3Tableheader"/>
      </w:pPr>
      <w:bookmarkStart w:id="251" w:name="_Toc468006271"/>
      <w:bookmarkStart w:id="252" w:name="_Toc468012316"/>
      <w:bookmarkStart w:id="253" w:name="_Toc468034472"/>
      <w:bookmarkStart w:id="254" w:name="_Toc471891027"/>
      <w:bookmarkStart w:id="255" w:name="_Toc486428215"/>
      <w:r>
        <w:t>Table 3.3</w:t>
      </w:r>
      <w:r w:rsidR="00C542B6">
        <w:t>6</w:t>
      </w:r>
      <w:r w:rsidR="00035233">
        <w:tab/>
        <w:t>Safety outcomes relating to GLY/IND vs TIO</w:t>
      </w:r>
      <w:bookmarkEnd w:id="251"/>
      <w:bookmarkEnd w:id="252"/>
      <w:bookmarkEnd w:id="253"/>
      <w:bookmarkEnd w:id="254"/>
      <w:bookmarkEnd w:id="25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Caption w:val="Safety outcomes"/>
        <w:tblDescription w:val="GLY/IND versus TIO"/>
      </w:tblPr>
      <w:tblGrid>
        <w:gridCol w:w="1412"/>
        <w:gridCol w:w="2744"/>
        <w:gridCol w:w="2746"/>
        <w:gridCol w:w="2746"/>
      </w:tblGrid>
      <w:tr w:rsidR="00035233" w:rsidRPr="00194011" w:rsidTr="00035233">
        <w:trPr>
          <w:cantSplit/>
          <w:tblHeader/>
        </w:trPr>
        <w:tc>
          <w:tcPr>
            <w:tcW w:w="732" w:type="pct"/>
            <w:shd w:val="clear" w:color="auto" w:fill="BFBFBF"/>
          </w:tcPr>
          <w:p w:rsidR="00035233" w:rsidRPr="00194011" w:rsidRDefault="00035233" w:rsidP="00035233">
            <w:pPr>
              <w:pStyle w:val="01TableHEADINGleftaligned"/>
              <w:rPr>
                <w:i/>
              </w:rPr>
            </w:pPr>
            <w:r>
              <w:t>Safety outcome</w:t>
            </w:r>
          </w:p>
        </w:tc>
        <w:tc>
          <w:tcPr>
            <w:tcW w:w="1422" w:type="pct"/>
            <w:tcBorders>
              <w:bottom w:val="single" w:sz="4" w:space="0" w:color="auto"/>
            </w:tcBorders>
            <w:shd w:val="clear" w:color="auto" w:fill="BFBFBF"/>
          </w:tcPr>
          <w:p w:rsidR="00035233" w:rsidRDefault="00035233" w:rsidP="00035233">
            <w:pPr>
              <w:pStyle w:val="01TableHEADINGleftaligned"/>
              <w:jc w:val="center"/>
            </w:pPr>
            <w:r>
              <w:t>GLY/IND 50/110 (N=77)</w:t>
            </w:r>
          </w:p>
          <w:p w:rsidR="00035233" w:rsidRPr="00194011" w:rsidRDefault="00035233" w:rsidP="00035233">
            <w:pPr>
              <w:pStyle w:val="01TableHEADINGleftaligned"/>
              <w:jc w:val="center"/>
            </w:pPr>
            <w:proofErr w:type="gramStart"/>
            <w:r>
              <w:t>n</w:t>
            </w:r>
            <w:proofErr w:type="gramEnd"/>
            <w:r>
              <w:t xml:space="preserve"> (%)</w:t>
            </w:r>
          </w:p>
        </w:tc>
        <w:tc>
          <w:tcPr>
            <w:tcW w:w="1423" w:type="pct"/>
            <w:tcBorders>
              <w:bottom w:val="single" w:sz="4" w:space="0" w:color="auto"/>
            </w:tcBorders>
            <w:shd w:val="clear" w:color="auto" w:fill="BFBFBF"/>
          </w:tcPr>
          <w:p w:rsidR="00035233" w:rsidRDefault="00035233" w:rsidP="00035233">
            <w:pPr>
              <w:pStyle w:val="01TableHEADINGleftaligned"/>
              <w:jc w:val="center"/>
            </w:pPr>
            <w:r>
              <w:t>TIO 18 (N=83)</w:t>
            </w:r>
          </w:p>
          <w:p w:rsidR="00035233" w:rsidRPr="00194011" w:rsidRDefault="00035233" w:rsidP="00035233">
            <w:pPr>
              <w:pStyle w:val="01TableHEADINGleftaligned"/>
              <w:jc w:val="center"/>
            </w:pPr>
            <w:proofErr w:type="gramStart"/>
            <w:r>
              <w:t>n</w:t>
            </w:r>
            <w:proofErr w:type="gramEnd"/>
            <w:r>
              <w:t xml:space="preserve"> (%)</w:t>
            </w:r>
          </w:p>
        </w:tc>
        <w:tc>
          <w:tcPr>
            <w:tcW w:w="1423" w:type="pct"/>
            <w:tcBorders>
              <w:bottom w:val="single" w:sz="4" w:space="0" w:color="auto"/>
            </w:tcBorders>
            <w:shd w:val="clear" w:color="auto" w:fill="BFBFBF"/>
          </w:tcPr>
          <w:p w:rsidR="00035233" w:rsidRDefault="00035233" w:rsidP="00035233">
            <w:pPr>
              <w:pStyle w:val="01TableHEADINGleftaligned"/>
              <w:jc w:val="center"/>
            </w:pPr>
            <w:r>
              <w:t>PBO (N=77)</w:t>
            </w:r>
          </w:p>
          <w:p w:rsidR="00035233" w:rsidRDefault="00035233" w:rsidP="00035233">
            <w:pPr>
              <w:pStyle w:val="01TableHEADINGleftaligned"/>
              <w:jc w:val="center"/>
            </w:pPr>
            <w:proofErr w:type="gramStart"/>
            <w:r>
              <w:t>n</w:t>
            </w:r>
            <w:proofErr w:type="gramEnd"/>
            <w:r>
              <w:t xml:space="preserve"> (%)</w:t>
            </w:r>
          </w:p>
        </w:tc>
      </w:tr>
      <w:tr w:rsidR="00035233" w:rsidRPr="00194011" w:rsidTr="00035233">
        <w:trPr>
          <w:cantSplit/>
        </w:trPr>
        <w:tc>
          <w:tcPr>
            <w:tcW w:w="732" w:type="pct"/>
            <w:shd w:val="clear" w:color="auto" w:fill="auto"/>
          </w:tcPr>
          <w:p w:rsidR="00035233" w:rsidRPr="00194011" w:rsidRDefault="00035233" w:rsidP="00035233">
            <w:pPr>
              <w:pStyle w:val="05Tabletext"/>
            </w:pPr>
            <w:r>
              <w:t>AE incidence</w:t>
            </w:r>
          </w:p>
        </w:tc>
        <w:tc>
          <w:tcPr>
            <w:tcW w:w="1422" w:type="pct"/>
            <w:shd w:val="clear" w:color="auto" w:fill="auto"/>
          </w:tcPr>
          <w:p w:rsidR="00035233" w:rsidRPr="00194011" w:rsidRDefault="00035233" w:rsidP="00035233">
            <w:pPr>
              <w:pStyle w:val="05Tabletext"/>
              <w:jc w:val="center"/>
            </w:pPr>
            <w:r>
              <w:t>29 (37.7)</w:t>
            </w:r>
          </w:p>
        </w:tc>
        <w:tc>
          <w:tcPr>
            <w:tcW w:w="1423" w:type="pct"/>
            <w:shd w:val="clear" w:color="auto" w:fill="auto"/>
          </w:tcPr>
          <w:p w:rsidR="00035233" w:rsidRPr="00194011" w:rsidRDefault="00035233" w:rsidP="00035233">
            <w:pPr>
              <w:pStyle w:val="05Tabletext"/>
              <w:jc w:val="center"/>
            </w:pPr>
            <w:r>
              <w:t>23 (27.7)</w:t>
            </w:r>
          </w:p>
        </w:tc>
        <w:tc>
          <w:tcPr>
            <w:tcW w:w="1423" w:type="pct"/>
          </w:tcPr>
          <w:p w:rsidR="00035233" w:rsidRPr="00194011" w:rsidRDefault="00035233" w:rsidP="00035233">
            <w:pPr>
              <w:pStyle w:val="05Tabletext"/>
              <w:jc w:val="center"/>
            </w:pPr>
            <w:r>
              <w:t>28 (36.4)</w:t>
            </w:r>
          </w:p>
        </w:tc>
      </w:tr>
      <w:tr w:rsidR="00035233" w:rsidRPr="00194011" w:rsidTr="00035233">
        <w:trPr>
          <w:cantSplit/>
        </w:trPr>
        <w:tc>
          <w:tcPr>
            <w:tcW w:w="732" w:type="pct"/>
            <w:shd w:val="clear" w:color="auto" w:fill="auto"/>
          </w:tcPr>
          <w:p w:rsidR="00035233" w:rsidRPr="00194011" w:rsidRDefault="00035233" w:rsidP="00035233">
            <w:pPr>
              <w:pStyle w:val="05Tabletext"/>
            </w:pPr>
            <w:r>
              <w:t>Severe AE</w:t>
            </w:r>
          </w:p>
        </w:tc>
        <w:tc>
          <w:tcPr>
            <w:tcW w:w="1422" w:type="pct"/>
            <w:shd w:val="clear" w:color="auto" w:fill="auto"/>
          </w:tcPr>
          <w:p w:rsidR="00035233" w:rsidRPr="00194011" w:rsidRDefault="00035233" w:rsidP="00035233">
            <w:pPr>
              <w:pStyle w:val="05Tabletext"/>
              <w:jc w:val="center"/>
            </w:pPr>
            <w:r>
              <w:t>1 (1.3)</w:t>
            </w:r>
          </w:p>
        </w:tc>
        <w:tc>
          <w:tcPr>
            <w:tcW w:w="1423" w:type="pct"/>
            <w:shd w:val="clear" w:color="auto" w:fill="auto"/>
          </w:tcPr>
          <w:p w:rsidR="00035233" w:rsidRPr="00194011" w:rsidRDefault="00035233" w:rsidP="00035233">
            <w:pPr>
              <w:pStyle w:val="05Tabletext"/>
              <w:jc w:val="center"/>
            </w:pPr>
            <w:r>
              <w:t>1 (1.2)</w:t>
            </w:r>
          </w:p>
        </w:tc>
        <w:tc>
          <w:tcPr>
            <w:tcW w:w="1423" w:type="pct"/>
          </w:tcPr>
          <w:p w:rsidR="00035233" w:rsidRPr="00194011" w:rsidRDefault="00035233" w:rsidP="00035233">
            <w:pPr>
              <w:pStyle w:val="05Tabletext"/>
              <w:jc w:val="center"/>
            </w:pPr>
            <w:r>
              <w:t>3 (3.9)</w:t>
            </w:r>
          </w:p>
        </w:tc>
      </w:tr>
      <w:tr w:rsidR="00035233" w:rsidRPr="00194011" w:rsidTr="00035233">
        <w:trPr>
          <w:cantSplit/>
        </w:trPr>
        <w:tc>
          <w:tcPr>
            <w:tcW w:w="732" w:type="pct"/>
            <w:shd w:val="clear" w:color="auto" w:fill="auto"/>
          </w:tcPr>
          <w:p w:rsidR="00035233" w:rsidRPr="006E27DA" w:rsidRDefault="00035233" w:rsidP="00035233">
            <w:pPr>
              <w:pStyle w:val="05Tabletext"/>
              <w:rPr>
                <w:vertAlign w:val="superscript"/>
              </w:rPr>
            </w:pPr>
            <w:r>
              <w:t>COPD worsening</w:t>
            </w:r>
            <w:r>
              <w:rPr>
                <w:vertAlign w:val="superscript"/>
              </w:rPr>
              <w:t>a</w:t>
            </w:r>
          </w:p>
        </w:tc>
        <w:tc>
          <w:tcPr>
            <w:tcW w:w="1422" w:type="pct"/>
            <w:shd w:val="clear" w:color="auto" w:fill="auto"/>
          </w:tcPr>
          <w:p w:rsidR="00035233" w:rsidRPr="00194011" w:rsidRDefault="00035233" w:rsidP="00035233">
            <w:pPr>
              <w:pStyle w:val="05Tabletext"/>
              <w:jc w:val="center"/>
            </w:pPr>
            <w:r>
              <w:t>7 (9.1)</w:t>
            </w:r>
          </w:p>
        </w:tc>
        <w:tc>
          <w:tcPr>
            <w:tcW w:w="1423" w:type="pct"/>
            <w:shd w:val="clear" w:color="auto" w:fill="auto"/>
          </w:tcPr>
          <w:p w:rsidR="00035233" w:rsidRPr="00194011" w:rsidRDefault="00035233" w:rsidP="00035233">
            <w:pPr>
              <w:pStyle w:val="05Tabletext"/>
              <w:jc w:val="center"/>
            </w:pPr>
            <w:r>
              <w:t>5 (6.0)</w:t>
            </w:r>
          </w:p>
        </w:tc>
        <w:tc>
          <w:tcPr>
            <w:tcW w:w="1423" w:type="pct"/>
          </w:tcPr>
          <w:p w:rsidR="00035233" w:rsidRPr="00194011" w:rsidRDefault="00035233" w:rsidP="00035233">
            <w:pPr>
              <w:pStyle w:val="05Tabletext"/>
              <w:jc w:val="center"/>
            </w:pPr>
            <w:r>
              <w:t>3 (3.9)</w:t>
            </w:r>
          </w:p>
        </w:tc>
      </w:tr>
    </w:tbl>
    <w:p w:rsidR="00035233" w:rsidRDefault="00035233" w:rsidP="00035233">
      <w:pPr>
        <w:pStyle w:val="10TableorFigurefootnote"/>
      </w:pPr>
      <w:r>
        <w:t>Source: Beeh (2014), Table 5.</w:t>
      </w:r>
    </w:p>
    <w:p w:rsidR="00035233" w:rsidRDefault="00035233" w:rsidP="00035233">
      <w:pPr>
        <w:pStyle w:val="10TableorFigurefootnote"/>
      </w:pPr>
      <w:r>
        <w:t>Abbreviations: AE, adverse event; COPD, chronic obstructive pulmonary disease; GLY, glycopyrronium; IND, indacaterol; PBO, placebo; TIO, tiotropium.</w:t>
      </w:r>
    </w:p>
    <w:p w:rsidR="00035233" w:rsidRDefault="00035233" w:rsidP="00035233">
      <w:pPr>
        <w:pStyle w:val="11TableorFigurefootnotenostick"/>
      </w:pPr>
      <w:proofErr w:type="gramStart"/>
      <w:r>
        <w:rPr>
          <w:b/>
        </w:rPr>
        <w:t>a</w:t>
      </w:r>
      <w:proofErr w:type="gramEnd"/>
      <w:r>
        <w:t xml:space="preserve"> Data on incidence of COPD exacerbations were combined with AE data and reported under the preferred term of “COPD worsening” together with all other events with the same preferred term.</w:t>
      </w:r>
    </w:p>
    <w:p w:rsidR="00035233" w:rsidRDefault="00035233" w:rsidP="00251CB8">
      <w:pPr>
        <w:pStyle w:val="Heading4"/>
        <w:keepNext w:val="0"/>
        <w:keepLines w:val="0"/>
        <w:numPr>
          <w:ilvl w:val="3"/>
          <w:numId w:val="11"/>
        </w:numPr>
      </w:pPr>
      <w:r>
        <w:t>Tiotropium/olodaterol versus tiotropium</w:t>
      </w:r>
    </w:p>
    <w:p w:rsidR="00035233" w:rsidRDefault="00035233" w:rsidP="00251CB8">
      <w:pPr>
        <w:pStyle w:val="Heading5"/>
        <w:keepNext w:val="0"/>
        <w:numPr>
          <w:ilvl w:val="4"/>
          <w:numId w:val="11"/>
        </w:numPr>
      </w:pPr>
      <w:r>
        <w:t>TONADO study</w:t>
      </w:r>
    </w:p>
    <w:p w:rsidR="00035233" w:rsidRDefault="00035233" w:rsidP="00827F86">
      <w:pPr>
        <w:pStyle w:val="BodyTextnospacebefore"/>
      </w:pPr>
      <w:r>
        <w:t>TONADO 1 and 2 were large, 52-week RCTs in patients with moderate to very severe COPD. The studie</w:t>
      </w:r>
      <w:r w:rsidR="00B85D87">
        <w:t>s demonstrated that tiotropium/</w:t>
      </w:r>
      <w:r>
        <w:t xml:space="preserve">olodaterol significantly improved lung function and symptoms compared with the individual components. The PBAC has previously considered overall efficacy and safety data from these studies (Buhl et al, 2015); however, a post hoc analysis, that examined the effects of prior LAMA or LABA treatment and initial </w:t>
      </w:r>
      <w:r>
        <w:lastRenderedPageBreak/>
        <w:t>disease severity on lung function, has not previously been considered by the PBAC and may provide useful information for this review.</w:t>
      </w:r>
    </w:p>
    <w:p w:rsidR="00035233" w:rsidRDefault="00035233" w:rsidP="00035233">
      <w:pPr>
        <w:pStyle w:val="BodyText"/>
      </w:pPr>
      <w:r>
        <w:t>Ferguson et al (2015) conducted several post hoc analyses of pooled data from TONADO 1 and 2, including analyses according to sex and age, as well as the following subgroups:</w:t>
      </w:r>
    </w:p>
    <w:p w:rsidR="00035233" w:rsidRDefault="00B411C6" w:rsidP="00035233">
      <w:pPr>
        <w:pStyle w:val="Bullettext"/>
      </w:pPr>
      <w:r>
        <w:t>p</w:t>
      </w:r>
      <w:r w:rsidR="00035233">
        <w:t>rior maintena</w:t>
      </w:r>
      <w:r>
        <w:t>nce treatment with LAMA or LABA</w:t>
      </w:r>
    </w:p>
    <w:p w:rsidR="00035233" w:rsidRDefault="00035233" w:rsidP="00035233">
      <w:pPr>
        <w:pStyle w:val="Bullettext"/>
      </w:pPr>
      <w:r>
        <w:t>GOLD 2 (predicted FEV</w:t>
      </w:r>
      <w:r>
        <w:rPr>
          <w:vertAlign w:val="subscript"/>
        </w:rPr>
        <w:t>1</w:t>
      </w:r>
      <w:r>
        <w:t xml:space="preserve"> 50% to &lt;80%), 3 (30% to &lt;50%) and 4</w:t>
      </w:r>
      <w:r w:rsidR="00B411C6">
        <w:t xml:space="preserve"> (&lt;30%)</w:t>
      </w:r>
    </w:p>
    <w:p w:rsidR="00035233" w:rsidRDefault="00B411C6" w:rsidP="00035233">
      <w:pPr>
        <w:pStyle w:val="Bullettext"/>
      </w:pPr>
      <w:proofErr w:type="gramStart"/>
      <w:r>
        <w:t>p</w:t>
      </w:r>
      <w:r w:rsidR="00035233">
        <w:t>rior</w:t>
      </w:r>
      <w:proofErr w:type="gramEnd"/>
      <w:r w:rsidR="00035233">
        <w:t xml:space="preserve"> use of ICS.</w:t>
      </w:r>
    </w:p>
    <w:p w:rsidR="00035233" w:rsidRDefault="00B85D87" w:rsidP="00B411C6">
      <w:pPr>
        <w:pStyle w:val="BodyText"/>
      </w:pPr>
      <w:r>
        <w:t>Table 3.3</w:t>
      </w:r>
      <w:r w:rsidR="00C542B6">
        <w:t>7</w:t>
      </w:r>
      <w:r w:rsidR="00035233">
        <w:t xml:space="preserve"> shows treatment differences in adjusted mean trough FEV</w:t>
      </w:r>
      <w:r w:rsidR="00035233">
        <w:rPr>
          <w:vertAlign w:val="subscript"/>
        </w:rPr>
        <w:t>1</w:t>
      </w:r>
      <w:r w:rsidR="00035233">
        <w:t xml:space="preserve"> after 24 weeks of treatment, according to treatment history and GOLD severity classification. Tiotropium/olodaterol once-daily improved lung function over tiotropium monotherapy in patients with GOLD 2 and 3-4 disease, and there were no notable differences in lung</w:t>
      </w:r>
      <w:r w:rsidR="00BD5577">
        <w:t xml:space="preserve"> </w:t>
      </w:r>
      <w:r w:rsidR="00035233">
        <w:t>function responses according to whether patients were naïve or experienced to LAMA or LABA therapy at baseline.</w:t>
      </w:r>
    </w:p>
    <w:p w:rsidR="00035233" w:rsidRPr="00EF1FE8" w:rsidRDefault="00B85D87" w:rsidP="00B411C6">
      <w:pPr>
        <w:pStyle w:val="ToR3Tableheader"/>
        <w:keepNext w:val="0"/>
      </w:pPr>
      <w:bookmarkStart w:id="256" w:name="_Toc468006272"/>
      <w:bookmarkStart w:id="257" w:name="_Toc468012317"/>
      <w:bookmarkStart w:id="258" w:name="_Toc468034473"/>
      <w:bookmarkStart w:id="259" w:name="_Toc471891028"/>
      <w:bookmarkStart w:id="260" w:name="_Toc486428216"/>
      <w:r>
        <w:t>Table 3.3</w:t>
      </w:r>
      <w:r w:rsidR="00C542B6">
        <w:t>7</w:t>
      </w:r>
      <w:r>
        <w:tab/>
      </w:r>
      <w:r w:rsidR="00035233">
        <w:t>Adjusted mean trough FEV</w:t>
      </w:r>
      <w:r w:rsidR="00035233">
        <w:rPr>
          <w:vertAlign w:val="subscript"/>
        </w:rPr>
        <w:t>1</w:t>
      </w:r>
      <w:r w:rsidR="00035233">
        <w:t xml:space="preserve"> after 24 weeks of treatment according to treatment history and GOLD classification – TIO/OLO vs TIO</w:t>
      </w:r>
      <w:bookmarkEnd w:id="256"/>
      <w:bookmarkEnd w:id="257"/>
      <w:bookmarkEnd w:id="258"/>
      <w:bookmarkEnd w:id="259"/>
      <w:bookmarkEnd w:id="2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Caption w:val="Adjusted mean trough FEV1 after 24 weeks of treatment according to treatment history and GOLD classification "/>
        <w:tblDescription w:val="TIO/OLO vs TIO"/>
      </w:tblPr>
      <w:tblGrid>
        <w:gridCol w:w="1990"/>
        <w:gridCol w:w="956"/>
        <w:gridCol w:w="957"/>
        <w:gridCol w:w="957"/>
        <w:gridCol w:w="957"/>
        <w:gridCol w:w="1702"/>
        <w:gridCol w:w="992"/>
        <w:gridCol w:w="1137"/>
      </w:tblGrid>
      <w:tr w:rsidR="00035233" w:rsidRPr="00194011" w:rsidTr="00035233">
        <w:trPr>
          <w:cantSplit/>
          <w:tblHeader/>
        </w:trPr>
        <w:tc>
          <w:tcPr>
            <w:tcW w:w="1031" w:type="pct"/>
            <w:shd w:val="clear" w:color="auto" w:fill="BFBFBF"/>
          </w:tcPr>
          <w:p w:rsidR="00035233" w:rsidRPr="00194011" w:rsidRDefault="00035233" w:rsidP="00B411C6">
            <w:pPr>
              <w:pStyle w:val="01TableHEADINGleftaligned"/>
              <w:keepNext w:val="0"/>
              <w:rPr>
                <w:i/>
              </w:rPr>
            </w:pPr>
          </w:p>
        </w:tc>
        <w:tc>
          <w:tcPr>
            <w:tcW w:w="495" w:type="pct"/>
            <w:tcBorders>
              <w:bottom w:val="single" w:sz="4" w:space="0" w:color="auto"/>
              <w:right w:val="nil"/>
            </w:tcBorders>
            <w:shd w:val="clear" w:color="auto" w:fill="BFBFBF"/>
          </w:tcPr>
          <w:p w:rsidR="00035233" w:rsidRPr="00815893" w:rsidRDefault="00035233" w:rsidP="00B411C6">
            <w:pPr>
              <w:pStyle w:val="01TableHEADINGleftaligned"/>
              <w:keepNext w:val="0"/>
              <w:ind w:right="0"/>
              <w:jc w:val="right"/>
            </w:pPr>
          </w:p>
        </w:tc>
        <w:tc>
          <w:tcPr>
            <w:tcW w:w="496" w:type="pct"/>
            <w:tcBorders>
              <w:left w:val="nil"/>
              <w:bottom w:val="single" w:sz="4" w:space="0" w:color="auto"/>
              <w:right w:val="nil"/>
            </w:tcBorders>
            <w:shd w:val="clear" w:color="auto" w:fill="BFBFBF"/>
          </w:tcPr>
          <w:p w:rsidR="00035233" w:rsidRPr="00815893" w:rsidRDefault="00035233" w:rsidP="00B411C6">
            <w:pPr>
              <w:pStyle w:val="01TableHEADINGleftaligned"/>
              <w:keepNext w:val="0"/>
              <w:ind w:right="0"/>
              <w:jc w:val="right"/>
            </w:pPr>
            <w:r>
              <w:t>Adjusted</w:t>
            </w:r>
            <w:r>
              <w:br/>
              <w:t xml:space="preserve"> FEV</w:t>
            </w:r>
            <w:r>
              <w:rPr>
                <w:vertAlign w:val="subscript"/>
              </w:rPr>
              <w:t>1</w:t>
            </w:r>
            <w:r>
              <w:t>,</w:t>
            </w:r>
          </w:p>
        </w:tc>
        <w:tc>
          <w:tcPr>
            <w:tcW w:w="496" w:type="pct"/>
            <w:tcBorders>
              <w:left w:val="nil"/>
              <w:bottom w:val="single" w:sz="4" w:space="0" w:color="auto"/>
              <w:right w:val="nil"/>
            </w:tcBorders>
            <w:shd w:val="clear" w:color="auto" w:fill="BFBFBF"/>
          </w:tcPr>
          <w:p w:rsidR="00035233" w:rsidRPr="00815893" w:rsidRDefault="00035233" w:rsidP="00B411C6">
            <w:pPr>
              <w:pStyle w:val="01TableHEADINGleftaligned"/>
              <w:keepNext w:val="0"/>
              <w:ind w:left="28"/>
            </w:pPr>
            <w:r>
              <w:t>mean (SE)</w:t>
            </w:r>
            <w:r>
              <w:br/>
              <w:t>mL</w:t>
            </w:r>
          </w:p>
        </w:tc>
        <w:tc>
          <w:tcPr>
            <w:tcW w:w="496" w:type="pct"/>
            <w:tcBorders>
              <w:left w:val="nil"/>
              <w:bottom w:val="single" w:sz="4" w:space="0" w:color="auto"/>
              <w:right w:val="single" w:sz="4" w:space="0" w:color="auto"/>
            </w:tcBorders>
            <w:shd w:val="clear" w:color="auto" w:fill="BFBFBF"/>
          </w:tcPr>
          <w:p w:rsidR="00035233" w:rsidRPr="00815893" w:rsidRDefault="00035233" w:rsidP="00B411C6">
            <w:pPr>
              <w:pStyle w:val="01TableHEADINGleftaligned"/>
              <w:keepNext w:val="0"/>
              <w:ind w:left="28"/>
            </w:pPr>
          </w:p>
        </w:tc>
        <w:tc>
          <w:tcPr>
            <w:tcW w:w="882" w:type="pct"/>
            <w:tcBorders>
              <w:left w:val="single" w:sz="4" w:space="0" w:color="auto"/>
              <w:bottom w:val="single" w:sz="4" w:space="0" w:color="auto"/>
              <w:right w:val="single" w:sz="4" w:space="0" w:color="auto"/>
            </w:tcBorders>
            <w:shd w:val="clear" w:color="auto" w:fill="BFBFBF"/>
          </w:tcPr>
          <w:p w:rsidR="00035233" w:rsidRPr="00F86301" w:rsidRDefault="00035233" w:rsidP="00B411C6">
            <w:pPr>
              <w:pStyle w:val="01TableHEADINGleftaligned"/>
              <w:keepNext w:val="0"/>
              <w:jc w:val="center"/>
            </w:pPr>
            <w:r>
              <w:t>Treatment difference, mL, (SE)</w:t>
            </w:r>
          </w:p>
        </w:tc>
        <w:tc>
          <w:tcPr>
            <w:tcW w:w="514" w:type="pct"/>
            <w:tcBorders>
              <w:left w:val="single" w:sz="4" w:space="0" w:color="auto"/>
              <w:bottom w:val="single" w:sz="4" w:space="0" w:color="auto"/>
              <w:right w:val="single" w:sz="4" w:space="0" w:color="auto"/>
            </w:tcBorders>
            <w:shd w:val="clear" w:color="auto" w:fill="BFBFBF"/>
          </w:tcPr>
          <w:p w:rsidR="00035233" w:rsidRDefault="00035233" w:rsidP="00B411C6">
            <w:pPr>
              <w:pStyle w:val="01TableHEADINGleftaligned"/>
              <w:keepNext w:val="0"/>
              <w:jc w:val="center"/>
            </w:pPr>
            <w:r>
              <w:t>95% CI</w:t>
            </w:r>
          </w:p>
        </w:tc>
        <w:tc>
          <w:tcPr>
            <w:tcW w:w="589" w:type="pct"/>
            <w:tcBorders>
              <w:left w:val="single" w:sz="4" w:space="0" w:color="auto"/>
              <w:bottom w:val="single" w:sz="4" w:space="0" w:color="auto"/>
            </w:tcBorders>
            <w:shd w:val="clear" w:color="auto" w:fill="BFBFBF"/>
          </w:tcPr>
          <w:p w:rsidR="00035233" w:rsidRPr="00194011" w:rsidRDefault="00035233" w:rsidP="00B411C6">
            <w:pPr>
              <w:pStyle w:val="01TableHEADINGleftaligned"/>
              <w:keepNext w:val="0"/>
              <w:jc w:val="center"/>
            </w:pPr>
            <w:r>
              <w:t>p-value</w:t>
            </w:r>
          </w:p>
        </w:tc>
      </w:tr>
      <w:tr w:rsidR="00035233" w:rsidRPr="00194011" w:rsidTr="00035233">
        <w:trPr>
          <w:cantSplit/>
        </w:trPr>
        <w:tc>
          <w:tcPr>
            <w:tcW w:w="1031" w:type="pct"/>
            <w:shd w:val="clear" w:color="auto" w:fill="000000"/>
          </w:tcPr>
          <w:p w:rsidR="00035233" w:rsidRPr="00194011" w:rsidRDefault="009828FD" w:rsidP="00B411C6">
            <w:pPr>
              <w:pStyle w:val="04Tablesubheading"/>
              <w:keepNext w:val="0"/>
            </w:pPr>
            <w:r>
              <w:t>Treatment-</w:t>
            </w:r>
            <w:r w:rsidR="00035233">
              <w:t>naïve</w:t>
            </w:r>
          </w:p>
        </w:tc>
        <w:tc>
          <w:tcPr>
            <w:tcW w:w="495" w:type="pct"/>
            <w:shd w:val="clear" w:color="auto" w:fill="000000"/>
          </w:tcPr>
          <w:p w:rsidR="00035233" w:rsidRPr="00194011" w:rsidRDefault="00035233" w:rsidP="00B411C6">
            <w:pPr>
              <w:pStyle w:val="04Tablesubheading"/>
              <w:keepNext w:val="0"/>
              <w:jc w:val="center"/>
            </w:pPr>
            <w:r>
              <w:t>n</w:t>
            </w:r>
          </w:p>
        </w:tc>
        <w:tc>
          <w:tcPr>
            <w:tcW w:w="496" w:type="pct"/>
            <w:shd w:val="clear" w:color="auto" w:fill="000000"/>
          </w:tcPr>
          <w:p w:rsidR="00035233" w:rsidRPr="00194011" w:rsidRDefault="00035233" w:rsidP="00B411C6">
            <w:pPr>
              <w:pStyle w:val="04Tablesubheading"/>
              <w:keepNext w:val="0"/>
              <w:jc w:val="center"/>
            </w:pPr>
            <w:r>
              <w:t>TIO/OLO</w:t>
            </w:r>
          </w:p>
        </w:tc>
        <w:tc>
          <w:tcPr>
            <w:tcW w:w="496" w:type="pct"/>
            <w:shd w:val="clear" w:color="auto" w:fill="000000"/>
          </w:tcPr>
          <w:p w:rsidR="00035233" w:rsidRPr="00194011" w:rsidRDefault="00035233" w:rsidP="00B411C6">
            <w:pPr>
              <w:pStyle w:val="04Tablesubheading"/>
              <w:keepNext w:val="0"/>
              <w:jc w:val="center"/>
            </w:pPr>
            <w:r>
              <w:t>n</w:t>
            </w:r>
          </w:p>
        </w:tc>
        <w:tc>
          <w:tcPr>
            <w:tcW w:w="496" w:type="pct"/>
            <w:shd w:val="clear" w:color="auto" w:fill="000000"/>
          </w:tcPr>
          <w:p w:rsidR="00035233" w:rsidRPr="00194011" w:rsidRDefault="00035233" w:rsidP="00B411C6">
            <w:pPr>
              <w:pStyle w:val="04Tablesubheading"/>
              <w:keepNext w:val="0"/>
              <w:jc w:val="center"/>
            </w:pPr>
            <w:r>
              <w:t>TIO</w:t>
            </w:r>
          </w:p>
        </w:tc>
        <w:tc>
          <w:tcPr>
            <w:tcW w:w="882" w:type="pct"/>
            <w:shd w:val="clear" w:color="auto" w:fill="000000"/>
          </w:tcPr>
          <w:p w:rsidR="00035233" w:rsidRPr="00194011" w:rsidRDefault="00035233" w:rsidP="00B411C6">
            <w:pPr>
              <w:pStyle w:val="04Tablesubheading"/>
              <w:keepNext w:val="0"/>
              <w:jc w:val="center"/>
            </w:pPr>
          </w:p>
        </w:tc>
        <w:tc>
          <w:tcPr>
            <w:tcW w:w="514" w:type="pct"/>
            <w:shd w:val="clear" w:color="auto" w:fill="000000"/>
          </w:tcPr>
          <w:p w:rsidR="00035233" w:rsidRPr="00194011" w:rsidRDefault="00035233" w:rsidP="00B411C6">
            <w:pPr>
              <w:pStyle w:val="04Tablesubheading"/>
              <w:keepNext w:val="0"/>
              <w:jc w:val="center"/>
            </w:pPr>
          </w:p>
        </w:tc>
        <w:tc>
          <w:tcPr>
            <w:tcW w:w="589" w:type="pct"/>
            <w:shd w:val="clear" w:color="auto" w:fill="000000"/>
          </w:tcPr>
          <w:p w:rsidR="00035233" w:rsidRPr="00194011" w:rsidRDefault="00035233" w:rsidP="00B411C6">
            <w:pPr>
              <w:pStyle w:val="04Tablesubheading"/>
              <w:keepNext w:val="0"/>
              <w:jc w:val="center"/>
            </w:pPr>
          </w:p>
        </w:tc>
      </w:tr>
      <w:tr w:rsidR="00035233" w:rsidRPr="00194011" w:rsidTr="00035233">
        <w:trPr>
          <w:cantSplit/>
        </w:trPr>
        <w:tc>
          <w:tcPr>
            <w:tcW w:w="1031" w:type="pct"/>
            <w:shd w:val="clear" w:color="auto" w:fill="auto"/>
          </w:tcPr>
          <w:p w:rsidR="00035233" w:rsidRDefault="00035233" w:rsidP="00B411C6">
            <w:pPr>
              <w:pStyle w:val="05Tabletext"/>
            </w:pPr>
            <w:r>
              <w:t>GOLD 2</w:t>
            </w:r>
          </w:p>
        </w:tc>
        <w:tc>
          <w:tcPr>
            <w:tcW w:w="495" w:type="pct"/>
            <w:shd w:val="clear" w:color="auto" w:fill="auto"/>
          </w:tcPr>
          <w:p w:rsidR="00035233" w:rsidRDefault="00035233" w:rsidP="00B411C6">
            <w:pPr>
              <w:pStyle w:val="05Tabletext"/>
              <w:jc w:val="center"/>
            </w:pPr>
            <w:r>
              <w:t>226</w:t>
            </w:r>
          </w:p>
        </w:tc>
        <w:tc>
          <w:tcPr>
            <w:tcW w:w="496" w:type="pct"/>
            <w:shd w:val="clear" w:color="auto" w:fill="auto"/>
          </w:tcPr>
          <w:p w:rsidR="00035233" w:rsidRDefault="00035233" w:rsidP="00B411C6">
            <w:pPr>
              <w:pStyle w:val="05Tabletext"/>
              <w:jc w:val="center"/>
            </w:pPr>
            <w:r>
              <w:t>146 (14)</w:t>
            </w:r>
          </w:p>
        </w:tc>
        <w:tc>
          <w:tcPr>
            <w:tcW w:w="496" w:type="pct"/>
            <w:shd w:val="clear" w:color="auto" w:fill="auto"/>
          </w:tcPr>
          <w:p w:rsidR="00035233" w:rsidRDefault="00035233" w:rsidP="00B411C6">
            <w:pPr>
              <w:pStyle w:val="05Tabletext"/>
              <w:jc w:val="center"/>
            </w:pPr>
            <w:r>
              <w:t>237</w:t>
            </w:r>
          </w:p>
        </w:tc>
        <w:tc>
          <w:tcPr>
            <w:tcW w:w="496" w:type="pct"/>
            <w:shd w:val="clear" w:color="auto" w:fill="auto"/>
          </w:tcPr>
          <w:p w:rsidR="00035233" w:rsidRDefault="00035233" w:rsidP="00B411C6">
            <w:pPr>
              <w:pStyle w:val="05Tabletext"/>
              <w:jc w:val="center"/>
            </w:pPr>
            <w:r>
              <w:t>68 (14)</w:t>
            </w:r>
          </w:p>
        </w:tc>
        <w:tc>
          <w:tcPr>
            <w:tcW w:w="882" w:type="pct"/>
            <w:shd w:val="clear" w:color="auto" w:fill="auto"/>
          </w:tcPr>
          <w:p w:rsidR="00035233" w:rsidRDefault="00035233" w:rsidP="00B411C6">
            <w:pPr>
              <w:pStyle w:val="05Tabletext"/>
              <w:jc w:val="center"/>
            </w:pPr>
            <w:r>
              <w:t>79 (20)</w:t>
            </w:r>
          </w:p>
        </w:tc>
        <w:tc>
          <w:tcPr>
            <w:tcW w:w="514" w:type="pct"/>
          </w:tcPr>
          <w:p w:rsidR="00035233" w:rsidRDefault="00035233" w:rsidP="00B411C6">
            <w:pPr>
              <w:pStyle w:val="05Tabletext"/>
              <w:jc w:val="center"/>
            </w:pPr>
            <w:r>
              <w:t>40, 118</w:t>
            </w:r>
          </w:p>
        </w:tc>
        <w:tc>
          <w:tcPr>
            <w:tcW w:w="589" w:type="pct"/>
          </w:tcPr>
          <w:p w:rsidR="00035233" w:rsidRDefault="00035233" w:rsidP="00B411C6">
            <w:pPr>
              <w:pStyle w:val="05Tabletext"/>
              <w:jc w:val="center"/>
            </w:pPr>
            <w:r>
              <w:t>&lt;0.0001</w:t>
            </w:r>
          </w:p>
        </w:tc>
      </w:tr>
      <w:tr w:rsidR="00035233" w:rsidRPr="00194011" w:rsidTr="00035233">
        <w:trPr>
          <w:cantSplit/>
        </w:trPr>
        <w:tc>
          <w:tcPr>
            <w:tcW w:w="1031" w:type="pct"/>
            <w:shd w:val="clear" w:color="auto" w:fill="auto"/>
          </w:tcPr>
          <w:p w:rsidR="00035233" w:rsidRDefault="00035233" w:rsidP="00B411C6">
            <w:pPr>
              <w:pStyle w:val="05Tabletext"/>
            </w:pPr>
            <w:r>
              <w:t>GOLD 3-4</w:t>
            </w:r>
          </w:p>
        </w:tc>
        <w:tc>
          <w:tcPr>
            <w:tcW w:w="495" w:type="pct"/>
            <w:shd w:val="clear" w:color="auto" w:fill="auto"/>
          </w:tcPr>
          <w:p w:rsidR="00035233" w:rsidRDefault="00035233" w:rsidP="00B411C6">
            <w:pPr>
              <w:pStyle w:val="05Tabletext"/>
              <w:jc w:val="center"/>
            </w:pPr>
            <w:r>
              <w:t>193</w:t>
            </w:r>
          </w:p>
        </w:tc>
        <w:tc>
          <w:tcPr>
            <w:tcW w:w="496" w:type="pct"/>
            <w:shd w:val="clear" w:color="auto" w:fill="auto"/>
          </w:tcPr>
          <w:p w:rsidR="00035233" w:rsidRDefault="00035233" w:rsidP="00B411C6">
            <w:pPr>
              <w:pStyle w:val="05Tabletext"/>
              <w:jc w:val="center"/>
            </w:pPr>
            <w:r>
              <w:t>148 (14)</w:t>
            </w:r>
          </w:p>
        </w:tc>
        <w:tc>
          <w:tcPr>
            <w:tcW w:w="496" w:type="pct"/>
            <w:shd w:val="clear" w:color="auto" w:fill="auto"/>
          </w:tcPr>
          <w:p w:rsidR="00035233" w:rsidRDefault="00035233" w:rsidP="00B411C6">
            <w:pPr>
              <w:pStyle w:val="05Tabletext"/>
              <w:jc w:val="center"/>
            </w:pPr>
            <w:r>
              <w:t>206</w:t>
            </w:r>
          </w:p>
        </w:tc>
        <w:tc>
          <w:tcPr>
            <w:tcW w:w="496" w:type="pct"/>
            <w:shd w:val="clear" w:color="auto" w:fill="auto"/>
          </w:tcPr>
          <w:p w:rsidR="00035233" w:rsidRDefault="00035233" w:rsidP="00B411C6">
            <w:pPr>
              <w:pStyle w:val="05Tabletext"/>
              <w:jc w:val="center"/>
            </w:pPr>
            <w:r>
              <w:t>79 (13)</w:t>
            </w:r>
          </w:p>
        </w:tc>
        <w:tc>
          <w:tcPr>
            <w:tcW w:w="882" w:type="pct"/>
            <w:shd w:val="clear" w:color="auto" w:fill="auto"/>
          </w:tcPr>
          <w:p w:rsidR="00035233" w:rsidRDefault="00035233" w:rsidP="00B411C6">
            <w:pPr>
              <w:pStyle w:val="05Tabletext"/>
              <w:jc w:val="center"/>
            </w:pPr>
            <w:r>
              <w:t>69 (19)</w:t>
            </w:r>
          </w:p>
        </w:tc>
        <w:tc>
          <w:tcPr>
            <w:tcW w:w="514" w:type="pct"/>
          </w:tcPr>
          <w:p w:rsidR="00035233" w:rsidRDefault="00035233" w:rsidP="00B411C6">
            <w:pPr>
              <w:pStyle w:val="05Tabletext"/>
              <w:jc w:val="center"/>
            </w:pPr>
            <w:r>
              <w:t>32, 106</w:t>
            </w:r>
          </w:p>
        </w:tc>
        <w:tc>
          <w:tcPr>
            <w:tcW w:w="589" w:type="pct"/>
          </w:tcPr>
          <w:p w:rsidR="00035233" w:rsidRDefault="00035233" w:rsidP="00B411C6">
            <w:pPr>
              <w:pStyle w:val="05Tabletext"/>
              <w:jc w:val="center"/>
            </w:pPr>
            <w:r>
              <w:t>0.0002</w:t>
            </w:r>
          </w:p>
        </w:tc>
      </w:tr>
      <w:tr w:rsidR="00035233" w:rsidRPr="00194011" w:rsidTr="00035233">
        <w:trPr>
          <w:cantSplit/>
        </w:trPr>
        <w:tc>
          <w:tcPr>
            <w:tcW w:w="1031" w:type="pct"/>
            <w:shd w:val="clear" w:color="auto" w:fill="000000"/>
          </w:tcPr>
          <w:p w:rsidR="00035233" w:rsidRDefault="00035233" w:rsidP="00B411C6">
            <w:pPr>
              <w:pStyle w:val="04Tablesubheading"/>
              <w:keepNext w:val="0"/>
            </w:pPr>
            <w:r>
              <w:t>Treatment</w:t>
            </w:r>
            <w:r w:rsidR="009828FD">
              <w:t>-</w:t>
            </w:r>
            <w:r>
              <w:t>experienced</w:t>
            </w:r>
          </w:p>
        </w:tc>
        <w:tc>
          <w:tcPr>
            <w:tcW w:w="495" w:type="pct"/>
            <w:shd w:val="clear" w:color="auto" w:fill="000000"/>
          </w:tcPr>
          <w:p w:rsidR="00035233" w:rsidRPr="00815893" w:rsidRDefault="00035233" w:rsidP="00B411C6">
            <w:pPr>
              <w:pStyle w:val="04Tablesubheading"/>
              <w:keepNext w:val="0"/>
              <w:jc w:val="center"/>
            </w:pPr>
            <w:r>
              <w:t>n</w:t>
            </w:r>
          </w:p>
        </w:tc>
        <w:tc>
          <w:tcPr>
            <w:tcW w:w="496" w:type="pct"/>
            <w:shd w:val="clear" w:color="auto" w:fill="000000"/>
          </w:tcPr>
          <w:p w:rsidR="00035233" w:rsidRPr="00815893" w:rsidRDefault="00035233" w:rsidP="00B411C6">
            <w:pPr>
              <w:pStyle w:val="04Tablesubheading"/>
              <w:keepNext w:val="0"/>
              <w:jc w:val="center"/>
            </w:pPr>
            <w:r>
              <w:t>TIO/OLO</w:t>
            </w:r>
          </w:p>
        </w:tc>
        <w:tc>
          <w:tcPr>
            <w:tcW w:w="496" w:type="pct"/>
            <w:shd w:val="clear" w:color="auto" w:fill="000000"/>
          </w:tcPr>
          <w:p w:rsidR="00035233" w:rsidRPr="00815893" w:rsidRDefault="00035233" w:rsidP="00B411C6">
            <w:pPr>
              <w:pStyle w:val="04Tablesubheading"/>
              <w:keepNext w:val="0"/>
              <w:jc w:val="center"/>
            </w:pPr>
            <w:r>
              <w:t>n</w:t>
            </w:r>
          </w:p>
        </w:tc>
        <w:tc>
          <w:tcPr>
            <w:tcW w:w="496" w:type="pct"/>
            <w:shd w:val="clear" w:color="auto" w:fill="000000"/>
          </w:tcPr>
          <w:p w:rsidR="00035233" w:rsidRPr="00815893" w:rsidRDefault="00035233" w:rsidP="00B411C6">
            <w:pPr>
              <w:pStyle w:val="04Tablesubheading"/>
              <w:keepNext w:val="0"/>
              <w:jc w:val="center"/>
            </w:pPr>
            <w:r>
              <w:t>TIO</w:t>
            </w:r>
          </w:p>
        </w:tc>
        <w:tc>
          <w:tcPr>
            <w:tcW w:w="882" w:type="pct"/>
            <w:shd w:val="clear" w:color="auto" w:fill="000000"/>
          </w:tcPr>
          <w:p w:rsidR="00035233" w:rsidRPr="00815893" w:rsidRDefault="00035233" w:rsidP="00B411C6">
            <w:pPr>
              <w:pStyle w:val="04Tablesubheading"/>
              <w:keepNext w:val="0"/>
            </w:pPr>
          </w:p>
        </w:tc>
        <w:tc>
          <w:tcPr>
            <w:tcW w:w="514" w:type="pct"/>
            <w:shd w:val="clear" w:color="auto" w:fill="000000"/>
          </w:tcPr>
          <w:p w:rsidR="00035233" w:rsidRPr="00815893" w:rsidRDefault="00035233" w:rsidP="00B411C6">
            <w:pPr>
              <w:pStyle w:val="04Tablesubheading"/>
              <w:keepNext w:val="0"/>
            </w:pPr>
          </w:p>
        </w:tc>
        <w:tc>
          <w:tcPr>
            <w:tcW w:w="589" w:type="pct"/>
            <w:shd w:val="clear" w:color="auto" w:fill="000000"/>
          </w:tcPr>
          <w:p w:rsidR="00035233" w:rsidRPr="00815893" w:rsidRDefault="00035233" w:rsidP="00B411C6">
            <w:pPr>
              <w:pStyle w:val="04Tablesubheading"/>
              <w:keepNext w:val="0"/>
            </w:pPr>
          </w:p>
        </w:tc>
      </w:tr>
      <w:tr w:rsidR="00035233" w:rsidRPr="00194011" w:rsidTr="00035233">
        <w:trPr>
          <w:cantSplit/>
        </w:trPr>
        <w:tc>
          <w:tcPr>
            <w:tcW w:w="1031" w:type="pct"/>
            <w:shd w:val="clear" w:color="auto" w:fill="auto"/>
          </w:tcPr>
          <w:p w:rsidR="00035233" w:rsidRPr="00A140AA" w:rsidRDefault="00035233" w:rsidP="00B411C6">
            <w:pPr>
              <w:pStyle w:val="05Tabletext"/>
            </w:pPr>
            <w:r>
              <w:t xml:space="preserve">GOLD 2 </w:t>
            </w:r>
          </w:p>
        </w:tc>
        <w:tc>
          <w:tcPr>
            <w:tcW w:w="495" w:type="pct"/>
            <w:shd w:val="clear" w:color="auto" w:fill="auto"/>
          </w:tcPr>
          <w:p w:rsidR="00035233" w:rsidRPr="00815893" w:rsidRDefault="00035233" w:rsidP="00B411C6">
            <w:pPr>
              <w:pStyle w:val="05Tabletext"/>
              <w:jc w:val="center"/>
            </w:pPr>
            <w:r>
              <w:t>270</w:t>
            </w:r>
          </w:p>
        </w:tc>
        <w:tc>
          <w:tcPr>
            <w:tcW w:w="496" w:type="pct"/>
            <w:shd w:val="clear" w:color="auto" w:fill="auto"/>
          </w:tcPr>
          <w:p w:rsidR="00035233" w:rsidRPr="00815893" w:rsidRDefault="00035233" w:rsidP="00B411C6">
            <w:pPr>
              <w:pStyle w:val="05Tabletext"/>
              <w:jc w:val="center"/>
            </w:pPr>
            <w:r>
              <w:t>156 (13)</w:t>
            </w:r>
          </w:p>
        </w:tc>
        <w:tc>
          <w:tcPr>
            <w:tcW w:w="496" w:type="pct"/>
            <w:shd w:val="clear" w:color="auto" w:fill="auto"/>
          </w:tcPr>
          <w:p w:rsidR="00035233" w:rsidRPr="00815893" w:rsidRDefault="00035233" w:rsidP="00B411C6">
            <w:pPr>
              <w:pStyle w:val="05Tabletext"/>
              <w:jc w:val="center"/>
            </w:pPr>
            <w:r>
              <w:t>275</w:t>
            </w:r>
          </w:p>
        </w:tc>
        <w:tc>
          <w:tcPr>
            <w:tcW w:w="496" w:type="pct"/>
            <w:shd w:val="clear" w:color="auto" w:fill="auto"/>
          </w:tcPr>
          <w:p w:rsidR="00035233" w:rsidRPr="00815893" w:rsidRDefault="00035233" w:rsidP="00B411C6">
            <w:pPr>
              <w:pStyle w:val="05Tabletext"/>
              <w:jc w:val="center"/>
            </w:pPr>
            <w:r>
              <w:t>95 (13)</w:t>
            </w:r>
          </w:p>
        </w:tc>
        <w:tc>
          <w:tcPr>
            <w:tcW w:w="882" w:type="pct"/>
            <w:shd w:val="clear" w:color="auto" w:fill="auto"/>
          </w:tcPr>
          <w:p w:rsidR="00035233" w:rsidRPr="00815893" w:rsidRDefault="00035233" w:rsidP="00B411C6">
            <w:pPr>
              <w:pStyle w:val="05Tabletext"/>
              <w:jc w:val="center"/>
            </w:pPr>
            <w:r>
              <w:t>61 (18)</w:t>
            </w:r>
          </w:p>
        </w:tc>
        <w:tc>
          <w:tcPr>
            <w:tcW w:w="514" w:type="pct"/>
          </w:tcPr>
          <w:p w:rsidR="00035233" w:rsidRDefault="00035233" w:rsidP="00B411C6">
            <w:pPr>
              <w:pStyle w:val="05Tabletext"/>
              <w:jc w:val="center"/>
            </w:pPr>
            <w:r>
              <w:t>26, 97</w:t>
            </w:r>
          </w:p>
        </w:tc>
        <w:tc>
          <w:tcPr>
            <w:tcW w:w="589" w:type="pct"/>
          </w:tcPr>
          <w:p w:rsidR="00035233" w:rsidRPr="00815893" w:rsidRDefault="00035233" w:rsidP="00B411C6">
            <w:pPr>
              <w:pStyle w:val="05Tabletext"/>
              <w:jc w:val="center"/>
            </w:pPr>
            <w:r>
              <w:t>0.0007</w:t>
            </w:r>
          </w:p>
        </w:tc>
      </w:tr>
      <w:tr w:rsidR="00035233" w:rsidRPr="00194011" w:rsidTr="00035233">
        <w:trPr>
          <w:cantSplit/>
        </w:trPr>
        <w:tc>
          <w:tcPr>
            <w:tcW w:w="1031" w:type="pct"/>
            <w:shd w:val="clear" w:color="auto" w:fill="auto"/>
          </w:tcPr>
          <w:p w:rsidR="00035233" w:rsidRDefault="00035233" w:rsidP="00B411C6">
            <w:pPr>
              <w:pStyle w:val="05Tabletext"/>
            </w:pPr>
            <w:r>
              <w:t xml:space="preserve">GOLD 3-4 </w:t>
            </w:r>
          </w:p>
        </w:tc>
        <w:tc>
          <w:tcPr>
            <w:tcW w:w="495" w:type="pct"/>
            <w:shd w:val="clear" w:color="auto" w:fill="auto"/>
          </w:tcPr>
          <w:p w:rsidR="00035233" w:rsidRPr="00815893" w:rsidRDefault="00035233" w:rsidP="00B411C6">
            <w:pPr>
              <w:pStyle w:val="05Tabletext"/>
              <w:jc w:val="center"/>
            </w:pPr>
            <w:r>
              <w:t>328</w:t>
            </w:r>
          </w:p>
        </w:tc>
        <w:tc>
          <w:tcPr>
            <w:tcW w:w="496" w:type="pct"/>
            <w:shd w:val="clear" w:color="auto" w:fill="auto"/>
          </w:tcPr>
          <w:p w:rsidR="00035233" w:rsidRPr="00815893" w:rsidRDefault="00035233" w:rsidP="00B411C6">
            <w:pPr>
              <w:pStyle w:val="05Tabletext"/>
              <w:jc w:val="center"/>
            </w:pPr>
            <w:r>
              <w:t>118 (9)</w:t>
            </w:r>
          </w:p>
        </w:tc>
        <w:tc>
          <w:tcPr>
            <w:tcW w:w="496" w:type="pct"/>
            <w:shd w:val="clear" w:color="auto" w:fill="auto"/>
          </w:tcPr>
          <w:p w:rsidR="00035233" w:rsidRPr="00815893" w:rsidRDefault="00035233" w:rsidP="00B411C6">
            <w:pPr>
              <w:pStyle w:val="05Tabletext"/>
              <w:jc w:val="center"/>
            </w:pPr>
            <w:r>
              <w:t>299</w:t>
            </w:r>
          </w:p>
        </w:tc>
        <w:tc>
          <w:tcPr>
            <w:tcW w:w="496" w:type="pct"/>
            <w:shd w:val="clear" w:color="auto" w:fill="auto"/>
          </w:tcPr>
          <w:p w:rsidR="00035233" w:rsidRPr="00815893" w:rsidRDefault="00035233" w:rsidP="00B411C6">
            <w:pPr>
              <w:pStyle w:val="05Tabletext"/>
              <w:jc w:val="center"/>
            </w:pPr>
            <w:r>
              <w:t>76 (10)</w:t>
            </w:r>
          </w:p>
        </w:tc>
        <w:tc>
          <w:tcPr>
            <w:tcW w:w="882" w:type="pct"/>
            <w:shd w:val="clear" w:color="auto" w:fill="auto"/>
          </w:tcPr>
          <w:p w:rsidR="00035233" w:rsidRPr="00815893" w:rsidRDefault="00035233" w:rsidP="00B411C6">
            <w:pPr>
              <w:pStyle w:val="05Tabletext"/>
              <w:jc w:val="center"/>
            </w:pPr>
            <w:r>
              <w:t>41 (14)</w:t>
            </w:r>
          </w:p>
        </w:tc>
        <w:tc>
          <w:tcPr>
            <w:tcW w:w="514" w:type="pct"/>
          </w:tcPr>
          <w:p w:rsidR="00035233" w:rsidRDefault="00035233" w:rsidP="00B411C6">
            <w:pPr>
              <w:pStyle w:val="05Tabletext"/>
              <w:jc w:val="center"/>
            </w:pPr>
            <w:r>
              <w:t>15, 68</w:t>
            </w:r>
          </w:p>
        </w:tc>
        <w:tc>
          <w:tcPr>
            <w:tcW w:w="589" w:type="pct"/>
          </w:tcPr>
          <w:p w:rsidR="00035233" w:rsidRPr="00815893" w:rsidRDefault="00035233" w:rsidP="00B411C6">
            <w:pPr>
              <w:pStyle w:val="05Tabletext"/>
              <w:jc w:val="center"/>
            </w:pPr>
            <w:r>
              <w:t>0.0023</w:t>
            </w:r>
          </w:p>
        </w:tc>
      </w:tr>
    </w:tbl>
    <w:p w:rsidR="00035233" w:rsidRDefault="00035233" w:rsidP="00B411C6">
      <w:pPr>
        <w:pStyle w:val="10TableorFigurefootnote"/>
        <w:keepNext w:val="0"/>
      </w:pPr>
      <w:r>
        <w:t>Source: Ferguson (2015), Tables 3 and 4; Table S1 and S2 in online supplementary materials.</w:t>
      </w:r>
    </w:p>
    <w:p w:rsidR="00035233" w:rsidRDefault="00035233" w:rsidP="00B411C6">
      <w:pPr>
        <w:pStyle w:val="10TableorFigurefootnote"/>
        <w:keepNext w:val="0"/>
      </w:pPr>
      <w:r>
        <w:t>Note: Adjusted mean (SE) obtained from fitting a mixed model for repeated measurements including fixed effects of treatment, planned test day, treatment-by-test-day interaction, baseline, and baseline-by-test-day interaction; patient as a random effect; spatial power covariance structure for within-patient errors and Kenward–Roger approximation of denominator degrees of freedom.</w:t>
      </w:r>
    </w:p>
    <w:p w:rsidR="00035233" w:rsidRDefault="00035233" w:rsidP="00B411C6">
      <w:pPr>
        <w:pStyle w:val="11TableorFigurefootnotenostick"/>
      </w:pPr>
      <w:r>
        <w:t>Abbreviations: CI, confidence interval; FEV</w:t>
      </w:r>
      <w:r>
        <w:rPr>
          <w:vertAlign w:val="subscript"/>
        </w:rPr>
        <w:t>1</w:t>
      </w:r>
      <w:r>
        <w:t>, forced expiratory volume in 1 second; GOLD, Global initiative for chronic Obstructive Lung Disease; OLO, olodaterol; SE, standard error; TIO, tiotropium.</w:t>
      </w:r>
    </w:p>
    <w:p w:rsidR="00035233" w:rsidRPr="00332B63" w:rsidRDefault="00035233" w:rsidP="00B411C6">
      <w:pPr>
        <w:pStyle w:val="BodyText"/>
      </w:pPr>
      <w:r>
        <w:t xml:space="preserve">The authors emphasised that despite the absence of </w:t>
      </w:r>
      <w:r w:rsidRPr="001648F1">
        <w:t xml:space="preserve">statistical comparisons </w:t>
      </w:r>
      <w:r>
        <w:t>b</w:t>
      </w:r>
      <w:r w:rsidRPr="001648F1">
        <w:t>etween subgroups, it was apparent that trough FEV</w:t>
      </w:r>
      <w:r w:rsidRPr="001648F1">
        <w:rPr>
          <w:vertAlign w:val="subscript"/>
        </w:rPr>
        <w:t>1</w:t>
      </w:r>
      <w:r w:rsidRPr="001648F1">
        <w:t xml:space="preserve"> responses </w:t>
      </w:r>
      <w:r>
        <w:t>w</w:t>
      </w:r>
      <w:r w:rsidRPr="001648F1">
        <w:t>ere, in general, greater in patients with less severe disease</w:t>
      </w:r>
      <w:r>
        <w:t xml:space="preserve"> (GOLD 2)</w:t>
      </w:r>
      <w:r w:rsidRPr="001648F1">
        <w:t>.</w:t>
      </w:r>
      <w:r>
        <w:t xml:space="preserve"> </w:t>
      </w:r>
      <w:r w:rsidR="00B411C6">
        <w:t>T</w:t>
      </w:r>
      <w:r>
        <w:t>hey concluded that these results add support for the use of combination bronchodilation earlier in the course of COPD.</w:t>
      </w:r>
    </w:p>
    <w:p w:rsidR="00035233" w:rsidRDefault="00035233" w:rsidP="00B411C6">
      <w:pPr>
        <w:pStyle w:val="BodyText"/>
        <w:widowControl w:val="0"/>
      </w:pPr>
      <w:r>
        <w:t>Importantly, the results are potentially confounded by the fact that patients were permitted to continue ICS use throughout the study; however, the proportion of patients in each GOLD category who were treated with ICS at baseline (and th</w:t>
      </w:r>
      <w:r w:rsidR="00B411C6">
        <w:t xml:space="preserve">roughout the study) is unknown. </w:t>
      </w:r>
      <w:r>
        <w:t>Therefore, in treatment-experienced patients, the comparison may often represent a comparison of dual</w:t>
      </w:r>
      <w:r w:rsidR="001A058C">
        <w:t xml:space="preserve"> </w:t>
      </w:r>
      <w:r>
        <w:t>the</w:t>
      </w:r>
      <w:r w:rsidR="001A058C">
        <w:t>rapy (ICS + LAMA) versus triple therapy, rather than single</w:t>
      </w:r>
      <w:r>
        <w:t xml:space="preserve"> versus dual</w:t>
      </w:r>
      <w:r w:rsidR="001A058C">
        <w:t xml:space="preserve"> </w:t>
      </w:r>
      <w:r>
        <w:t>(LAMA/LABA) therapy. This would more likely be the case in GOLD 3-4 than GOLD 2 patients. The original TONADO publication indicated that 466 (45.1%) of patients randomised to</w:t>
      </w:r>
      <w:r w:rsidR="00B411C6">
        <w:t xml:space="preserve"> </w:t>
      </w:r>
      <w:r w:rsidR="00827F86">
        <w:t>t</w:t>
      </w:r>
      <w:r>
        <w:t xml:space="preserve">iotropium and 506 (49.2%) of patients randomised to tiotropium/olodaterol were on ICS </w:t>
      </w:r>
      <w:r>
        <w:lastRenderedPageBreak/>
        <w:t>medication at baseline.</w:t>
      </w:r>
      <w:r>
        <w:rPr>
          <w:rStyle w:val="FootnoteReference"/>
        </w:rPr>
        <w:footnoteReference w:id="29"/>
      </w:r>
    </w:p>
    <w:p w:rsidR="00035233" w:rsidRDefault="00035233" w:rsidP="00B411C6">
      <w:pPr>
        <w:pStyle w:val="BodyText"/>
        <w:widowControl w:val="0"/>
        <w:rPr>
          <w:noProof/>
          <w:lang w:eastAsia="en-AU"/>
        </w:rPr>
      </w:pPr>
      <w:r>
        <w:rPr>
          <w:noProof/>
          <w:lang w:eastAsia="en-AU"/>
        </w:rPr>
        <w:t xml:space="preserve">The forest plot depicted in </w:t>
      </w:r>
      <w:r w:rsidR="00B85D87">
        <w:rPr>
          <w:noProof/>
          <w:lang w:eastAsia="en-AU"/>
        </w:rPr>
        <w:t xml:space="preserve">Figure 3.2 </w:t>
      </w:r>
      <w:r>
        <w:rPr>
          <w:noProof/>
          <w:lang w:eastAsia="en-AU"/>
        </w:rPr>
        <w:t>shows that, with respect to trough FEV</w:t>
      </w:r>
      <w:r>
        <w:rPr>
          <w:noProof/>
          <w:vertAlign w:val="subscript"/>
          <w:lang w:eastAsia="en-AU"/>
        </w:rPr>
        <w:t>1</w:t>
      </w:r>
      <w:r>
        <w:rPr>
          <w:noProof/>
          <w:lang w:eastAsia="en-AU"/>
        </w:rPr>
        <w:t>, dual therapy with tiotrop</w:t>
      </w:r>
      <w:r w:rsidR="00B85D87">
        <w:rPr>
          <w:noProof/>
          <w:lang w:eastAsia="en-AU"/>
        </w:rPr>
        <w:t>ium/</w:t>
      </w:r>
      <w:r>
        <w:rPr>
          <w:noProof/>
          <w:lang w:eastAsia="en-AU"/>
        </w:rPr>
        <w:t xml:space="preserve">olodaterol was more effective than tiotropium alone across all of the subgroups analysed, with the exception of one age group (patients aged 75-85 years). </w:t>
      </w:r>
      <w:r>
        <w:t>The results, while not shown by GOLD subgroups or long-acting bronchodilator treatment history, indicate that the magnitude of the difference between dual and monotherapy may be greater than triple to dual therapy.</w:t>
      </w:r>
    </w:p>
    <w:p w:rsidR="00035233" w:rsidRPr="007578CE" w:rsidRDefault="00B411C6" w:rsidP="00B411C6">
      <w:pPr>
        <w:pStyle w:val="Caption"/>
        <w:keepNext w:val="0"/>
        <w:rPr>
          <w:noProof/>
          <w:lang w:eastAsia="en-AU"/>
        </w:rPr>
      </w:pPr>
      <w:bookmarkStart w:id="261" w:name="_Toc486428265"/>
      <w:bookmarkStart w:id="262" w:name="_Toc468006273"/>
      <w:bookmarkStart w:id="263" w:name="_Toc468012318"/>
      <w:bookmarkStart w:id="264" w:name="_Toc468034474"/>
      <w:bookmarkStart w:id="265" w:name="_Toc471891132"/>
      <w:bookmarkStart w:id="266" w:name="_Toc480375159"/>
      <w:r>
        <w:rPr>
          <w:rStyle w:val="ToR3FigureheaderChar"/>
          <w:b/>
        </w:rPr>
        <w:t>Figure 3.2</w:t>
      </w:r>
      <w:r w:rsidR="00035233" w:rsidRPr="00B411C6">
        <w:rPr>
          <w:rStyle w:val="ToR3FigureheaderChar"/>
          <w:b/>
        </w:rPr>
        <w:tab/>
        <w:t>Forest plot for trough FEV1 response at 24 weeks – TIO/OLO vs TIO (Respimat</w:t>
      </w:r>
      <w:bookmarkEnd w:id="261"/>
      <w:r w:rsidR="00035233">
        <w:t>)</w:t>
      </w:r>
      <w:bookmarkEnd w:id="262"/>
      <w:bookmarkEnd w:id="263"/>
      <w:bookmarkEnd w:id="264"/>
      <w:bookmarkEnd w:id="265"/>
      <w:bookmarkEnd w:id="266"/>
    </w:p>
    <w:p w:rsidR="00035233" w:rsidRDefault="00035233" w:rsidP="00B411C6">
      <w:pPr>
        <w:pStyle w:val="Picturewithbox"/>
        <w:rPr>
          <w:noProof/>
          <w:lang w:eastAsia="en-AU"/>
        </w:rPr>
      </w:pPr>
      <w:r>
        <w:rPr>
          <w:noProof/>
          <w:lang w:eastAsia="en-AU"/>
        </w:rPr>
        <w:drawing>
          <wp:inline distT="0" distB="0" distL="0" distR="0" wp14:anchorId="67E7EFD4" wp14:editId="47E88C87">
            <wp:extent cx="5047615" cy="2239645"/>
            <wp:effectExtent l="0" t="0" r="635" b="8255"/>
            <wp:docPr id="3" name="Picture 3" descr="TIO/OLO vs TIO" title="Forest plot for trough FEV1 response at 24 week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erguson 6b"/>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047615" cy="2239645"/>
                    </a:xfrm>
                    <a:prstGeom prst="rect">
                      <a:avLst/>
                    </a:prstGeom>
                    <a:noFill/>
                    <a:ln>
                      <a:noFill/>
                    </a:ln>
                  </pic:spPr>
                </pic:pic>
              </a:graphicData>
            </a:graphic>
          </wp:inline>
        </w:drawing>
      </w:r>
    </w:p>
    <w:p w:rsidR="00035233" w:rsidRDefault="00035233" w:rsidP="00B411C6">
      <w:pPr>
        <w:pStyle w:val="10TableorFigurefootnote"/>
        <w:keepNext w:val="0"/>
        <w:rPr>
          <w:noProof/>
          <w:lang w:eastAsia="en-AU"/>
        </w:rPr>
      </w:pPr>
      <w:r>
        <w:rPr>
          <w:noProof/>
          <w:lang w:eastAsia="en-AU"/>
        </w:rPr>
        <w:t>Source: Ferguson et al (2015), Figure 6b.</w:t>
      </w:r>
    </w:p>
    <w:p w:rsidR="00035233" w:rsidRDefault="00035233" w:rsidP="00B411C6">
      <w:pPr>
        <w:pStyle w:val="11TableorFigurefootnotenostick"/>
        <w:rPr>
          <w:noProof/>
          <w:lang w:eastAsia="en-AU"/>
        </w:rPr>
      </w:pPr>
      <w:r>
        <w:rPr>
          <w:noProof/>
          <w:lang w:eastAsia="en-AU"/>
        </w:rPr>
        <w:t>Abbreviations: FEV</w:t>
      </w:r>
      <w:r>
        <w:rPr>
          <w:noProof/>
          <w:vertAlign w:val="subscript"/>
          <w:lang w:eastAsia="en-AU"/>
        </w:rPr>
        <w:t>1</w:t>
      </w:r>
      <w:r>
        <w:rPr>
          <w:noProof/>
          <w:lang w:eastAsia="en-AU"/>
        </w:rPr>
        <w:t>, forced expiratory volume in 1 second; ICS, inhaled corticosteroid; OLO, olodaterol; TIO, triotropium.</w:t>
      </w:r>
    </w:p>
    <w:p w:rsidR="00035233" w:rsidRDefault="00035233" w:rsidP="00B411C6">
      <w:pPr>
        <w:pStyle w:val="BodyText"/>
      </w:pPr>
      <w:r>
        <w:t>Overall, this post hoc analysi</w:t>
      </w:r>
      <w:r w:rsidR="00B85D87">
        <w:t>s demonstrated that tiotropium/</w:t>
      </w:r>
      <w:r>
        <w:t>olodaterol significantly improved trough FEV</w:t>
      </w:r>
      <w:r>
        <w:rPr>
          <w:vertAlign w:val="subscript"/>
        </w:rPr>
        <w:t>1</w:t>
      </w:r>
      <w:r>
        <w:t xml:space="preserve"> in all GOLD severity groups compared to tiotropium alone, irrespective of whether patients had received prior long-acting bronchodilators at baseline. Improvements from baseline in lung function were generally greater in patients with less severe disease.</w:t>
      </w:r>
    </w:p>
    <w:p w:rsidR="00035233" w:rsidRDefault="00035233" w:rsidP="00251CB8">
      <w:pPr>
        <w:pStyle w:val="Heading5"/>
        <w:numPr>
          <w:ilvl w:val="4"/>
          <w:numId w:val="11"/>
        </w:numPr>
      </w:pPr>
      <w:r>
        <w:t>OTEMTO study</w:t>
      </w:r>
    </w:p>
    <w:p w:rsidR="00E51DEA" w:rsidRDefault="00035233" w:rsidP="00E51DEA">
      <w:pPr>
        <w:pStyle w:val="BodyTextnospacebefore"/>
      </w:pPr>
      <w:r>
        <w:t>The OTEMTO study comprised two replicate RCTs (OTEMTO 1 and 2); however</w:t>
      </w:r>
      <w:r w:rsidR="00B411C6">
        <w:t>,</w:t>
      </w:r>
      <w:r>
        <w:t xml:space="preserve"> unlike TONADO, the OTEMTO study included a placebo arm, which was possible due to the shorter trial duration (12 weeks) and the exclusion of </w:t>
      </w:r>
      <w:r w:rsidR="00B411C6">
        <w:t xml:space="preserve">GOLD 4 </w:t>
      </w:r>
      <w:r>
        <w:t>patients. The placebo arm enabled the study to evaluate the effect of tiotropium/olodaterol on</w:t>
      </w:r>
      <w:r w:rsidR="00B411C6">
        <w:t xml:space="preserve"> PROs</w:t>
      </w:r>
      <w:r>
        <w:t>, where the MCIDs are generally set in the context of an active drug versus placebo comparison.</w:t>
      </w:r>
    </w:p>
    <w:p w:rsidR="00035233" w:rsidRPr="00252A61" w:rsidRDefault="00035233" w:rsidP="00E51DEA">
      <w:pPr>
        <w:pStyle w:val="BodyTextnospacebefore"/>
        <w:spacing w:before="240"/>
      </w:pPr>
      <w:r>
        <w:t>The study was designed and powered to test tiotropium/olodaterol versus placebo for all primary end points, which included SGRQ total score, FEV</w:t>
      </w:r>
      <w:r>
        <w:rPr>
          <w:vertAlign w:val="subscript"/>
        </w:rPr>
        <w:t>1</w:t>
      </w:r>
      <w:r>
        <w:t xml:space="preserve"> AUC from 0 to 3 hours (FEV</w:t>
      </w:r>
      <w:r>
        <w:rPr>
          <w:vertAlign w:val="subscript"/>
        </w:rPr>
        <w:t>1</w:t>
      </w:r>
      <w:r>
        <w:t xml:space="preserve"> AUC</w:t>
      </w:r>
      <w:r>
        <w:rPr>
          <w:vertAlign w:val="subscript"/>
        </w:rPr>
        <w:t>0-3</w:t>
      </w:r>
      <w:r>
        <w:t>), and trough FEV</w:t>
      </w:r>
      <w:r>
        <w:rPr>
          <w:vertAlign w:val="subscript"/>
        </w:rPr>
        <w:t>1</w:t>
      </w:r>
      <w:r w:rsidR="00B411C6">
        <w:t xml:space="preserve"> at Week 12. C</w:t>
      </w:r>
      <w:r>
        <w:t>omparisons of tiotropium/olodaterol and tiotropium (Respimat) were also presented.</w:t>
      </w:r>
    </w:p>
    <w:p w:rsidR="00035233" w:rsidRDefault="00035233" w:rsidP="00035233">
      <w:pPr>
        <w:pStyle w:val="BodyText"/>
      </w:pPr>
      <w:r>
        <w:t>Across all treatment arms and both OTEMTO studies, between 60% and 69% of participants were GOLD Grade II; between 34% and 42% of patients were on ICS medication at baseline; and between 29% and 40% of patients were on LAMA therapy at baseline.</w:t>
      </w:r>
    </w:p>
    <w:p w:rsidR="00035233" w:rsidRPr="00CC55DD" w:rsidRDefault="00035233" w:rsidP="00035233">
      <w:pPr>
        <w:pStyle w:val="BodyText"/>
      </w:pPr>
      <w:r>
        <w:lastRenderedPageBreak/>
        <w:t xml:space="preserve">As shown in </w:t>
      </w:r>
      <w:r w:rsidR="00B85D87">
        <w:t>Table 3.3</w:t>
      </w:r>
      <w:r w:rsidR="00C542B6">
        <w:t>8</w:t>
      </w:r>
      <w:r>
        <w:t>, combination therapy with tiotropium/olodaterol resulted in a better improvement in trough FEV</w:t>
      </w:r>
      <w:r>
        <w:rPr>
          <w:vertAlign w:val="subscript"/>
        </w:rPr>
        <w:t>1</w:t>
      </w:r>
      <w:r>
        <w:t xml:space="preserve"> at Week 12 than tiotropium in OTEMTO 2, but not OTEMTO 1.</w:t>
      </w:r>
    </w:p>
    <w:p w:rsidR="00035233" w:rsidRPr="004C2703" w:rsidRDefault="00B85D87" w:rsidP="00B411C6">
      <w:pPr>
        <w:pStyle w:val="ToR3Tableheader"/>
        <w:rPr>
          <w:vertAlign w:val="superscript"/>
        </w:rPr>
      </w:pPr>
      <w:bookmarkStart w:id="267" w:name="_Toc468006274"/>
      <w:bookmarkStart w:id="268" w:name="_Toc468012319"/>
      <w:bookmarkStart w:id="269" w:name="_Toc468034475"/>
      <w:bookmarkStart w:id="270" w:name="_Toc471891029"/>
      <w:bookmarkStart w:id="271" w:name="_Toc486428217"/>
      <w:r>
        <w:t>Table 3.3</w:t>
      </w:r>
      <w:r w:rsidR="00C542B6">
        <w:t>8</w:t>
      </w:r>
      <w:r w:rsidR="00035233">
        <w:tab/>
        <w:t>Trough FEV</w:t>
      </w:r>
      <w:r w:rsidR="00035233">
        <w:rPr>
          <w:vertAlign w:val="subscript"/>
        </w:rPr>
        <w:t>1</w:t>
      </w:r>
      <w:r w:rsidR="00035233">
        <w:t xml:space="preserve"> in OTEMTO 1 and 2 after 12 weeks – ITT on full analysis set</w:t>
      </w:r>
      <w:r w:rsidR="00035233">
        <w:rPr>
          <w:vertAlign w:val="superscript"/>
        </w:rPr>
        <w:t>a</w:t>
      </w:r>
      <w:bookmarkEnd w:id="267"/>
      <w:bookmarkEnd w:id="268"/>
      <w:bookmarkEnd w:id="269"/>
      <w:bookmarkEnd w:id="270"/>
      <w:bookmarkEnd w:id="27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Caption w:val="Trough FEV1 in OTEMTO 1 and 2 after 12 weeks "/>
        <w:tblDescription w:val="TIO/OLO vs TIO"/>
      </w:tblPr>
      <w:tblGrid>
        <w:gridCol w:w="2982"/>
        <w:gridCol w:w="2269"/>
        <w:gridCol w:w="2267"/>
        <w:gridCol w:w="2130"/>
      </w:tblGrid>
      <w:tr w:rsidR="00035233" w:rsidRPr="00194011" w:rsidTr="00035233">
        <w:trPr>
          <w:cantSplit/>
          <w:tblHeader/>
        </w:trPr>
        <w:tc>
          <w:tcPr>
            <w:tcW w:w="1545" w:type="pct"/>
            <w:shd w:val="clear" w:color="auto" w:fill="BFBFBF"/>
          </w:tcPr>
          <w:p w:rsidR="00035233" w:rsidRPr="00306479" w:rsidRDefault="00035233" w:rsidP="00035233">
            <w:pPr>
              <w:pStyle w:val="01TableHEADINGleftaligned"/>
            </w:pPr>
            <w:r>
              <w:t>Difference in trough FEV</w:t>
            </w:r>
            <w:r>
              <w:rPr>
                <w:vertAlign w:val="subscript"/>
              </w:rPr>
              <w:t>1</w:t>
            </w:r>
            <w:r>
              <w:t>, L</w:t>
            </w:r>
          </w:p>
        </w:tc>
        <w:tc>
          <w:tcPr>
            <w:tcW w:w="1176" w:type="pct"/>
            <w:tcBorders>
              <w:bottom w:val="single" w:sz="4" w:space="0" w:color="auto"/>
              <w:right w:val="single" w:sz="4" w:space="0" w:color="auto"/>
            </w:tcBorders>
            <w:shd w:val="clear" w:color="auto" w:fill="BFBFBF"/>
          </w:tcPr>
          <w:p w:rsidR="00035233" w:rsidRPr="00194011" w:rsidRDefault="00035233" w:rsidP="00035233">
            <w:pPr>
              <w:pStyle w:val="01TableHEADINGleftaligned"/>
              <w:jc w:val="center"/>
            </w:pPr>
            <w:r w:rsidRPr="00306479">
              <w:t>TIO/OLO vs TIO</w:t>
            </w:r>
          </w:p>
        </w:tc>
        <w:tc>
          <w:tcPr>
            <w:tcW w:w="1175" w:type="pct"/>
            <w:tcBorders>
              <w:left w:val="single" w:sz="4" w:space="0" w:color="auto"/>
              <w:bottom w:val="single" w:sz="4" w:space="0" w:color="auto"/>
              <w:right w:val="single" w:sz="4" w:space="0" w:color="auto"/>
            </w:tcBorders>
            <w:shd w:val="clear" w:color="auto" w:fill="BFBFBF"/>
          </w:tcPr>
          <w:p w:rsidR="00035233" w:rsidRPr="00F86301" w:rsidRDefault="00035233" w:rsidP="00035233">
            <w:pPr>
              <w:pStyle w:val="01TableHEADINGleftaligned"/>
              <w:jc w:val="center"/>
            </w:pPr>
            <w:r w:rsidRPr="00306479">
              <w:t>TIO/OLO vs PBO</w:t>
            </w:r>
          </w:p>
        </w:tc>
        <w:tc>
          <w:tcPr>
            <w:tcW w:w="1104" w:type="pct"/>
            <w:tcBorders>
              <w:left w:val="single" w:sz="4" w:space="0" w:color="auto"/>
              <w:bottom w:val="single" w:sz="4" w:space="0" w:color="auto"/>
            </w:tcBorders>
            <w:shd w:val="clear" w:color="auto" w:fill="BFBFBF"/>
          </w:tcPr>
          <w:p w:rsidR="00035233" w:rsidRPr="00194011" w:rsidRDefault="00035233" w:rsidP="00035233">
            <w:pPr>
              <w:pStyle w:val="01TableHEADINGleftaligned"/>
              <w:jc w:val="center"/>
            </w:pPr>
            <w:r w:rsidRPr="00306479">
              <w:t>TIO vs PBO</w:t>
            </w:r>
          </w:p>
        </w:tc>
      </w:tr>
      <w:tr w:rsidR="00035233" w:rsidRPr="00194011" w:rsidTr="00035233">
        <w:trPr>
          <w:cantSplit/>
        </w:trPr>
        <w:tc>
          <w:tcPr>
            <w:tcW w:w="1545" w:type="pct"/>
            <w:shd w:val="clear" w:color="auto" w:fill="000000"/>
          </w:tcPr>
          <w:p w:rsidR="00035233" w:rsidRPr="00194011" w:rsidRDefault="00035233" w:rsidP="00035233">
            <w:pPr>
              <w:pStyle w:val="04Tablesubheading"/>
            </w:pPr>
          </w:p>
        </w:tc>
        <w:tc>
          <w:tcPr>
            <w:tcW w:w="1176" w:type="pct"/>
            <w:shd w:val="clear" w:color="auto" w:fill="000000"/>
          </w:tcPr>
          <w:p w:rsidR="00035233" w:rsidRDefault="00035233" w:rsidP="00035233">
            <w:pPr>
              <w:pStyle w:val="04Tablesubheading"/>
              <w:jc w:val="center"/>
            </w:pPr>
            <w:r>
              <w:t>Mean (SE) [95% CI]</w:t>
            </w:r>
          </w:p>
        </w:tc>
        <w:tc>
          <w:tcPr>
            <w:tcW w:w="1175" w:type="pct"/>
            <w:shd w:val="clear" w:color="auto" w:fill="000000"/>
          </w:tcPr>
          <w:p w:rsidR="00035233" w:rsidRDefault="00035233" w:rsidP="00035233">
            <w:pPr>
              <w:pStyle w:val="04Tablesubheading"/>
              <w:jc w:val="center"/>
            </w:pPr>
            <w:r>
              <w:t>Mean (SE) [95% CI]</w:t>
            </w:r>
          </w:p>
        </w:tc>
        <w:tc>
          <w:tcPr>
            <w:tcW w:w="1104" w:type="pct"/>
            <w:shd w:val="clear" w:color="auto" w:fill="000000"/>
          </w:tcPr>
          <w:p w:rsidR="00035233" w:rsidRDefault="00035233" w:rsidP="00035233">
            <w:pPr>
              <w:pStyle w:val="04Tablesubheading"/>
              <w:jc w:val="center"/>
            </w:pPr>
            <w:r>
              <w:t>Mean (SE) [95% CI]</w:t>
            </w:r>
          </w:p>
        </w:tc>
      </w:tr>
      <w:tr w:rsidR="00035233" w:rsidRPr="00194011" w:rsidTr="00035233">
        <w:trPr>
          <w:cantSplit/>
        </w:trPr>
        <w:tc>
          <w:tcPr>
            <w:tcW w:w="1545" w:type="pct"/>
            <w:shd w:val="clear" w:color="auto" w:fill="auto"/>
          </w:tcPr>
          <w:p w:rsidR="00035233" w:rsidRPr="00194011" w:rsidRDefault="00035233" w:rsidP="00035233">
            <w:pPr>
              <w:pStyle w:val="05Tabletext"/>
            </w:pPr>
            <w:r>
              <w:t>OTEMTO 1</w:t>
            </w:r>
          </w:p>
        </w:tc>
        <w:tc>
          <w:tcPr>
            <w:tcW w:w="1176" w:type="pct"/>
            <w:shd w:val="clear" w:color="auto" w:fill="auto"/>
          </w:tcPr>
          <w:p w:rsidR="00035233" w:rsidRPr="00194011" w:rsidRDefault="00035233" w:rsidP="00035233">
            <w:pPr>
              <w:pStyle w:val="05Tabletext"/>
              <w:jc w:val="center"/>
            </w:pPr>
            <w:r>
              <w:t>0.028 (0.019) [–0.009, 0.066]</w:t>
            </w:r>
          </w:p>
        </w:tc>
        <w:tc>
          <w:tcPr>
            <w:tcW w:w="1175" w:type="pct"/>
            <w:shd w:val="clear" w:color="auto" w:fill="auto"/>
          </w:tcPr>
          <w:p w:rsidR="00035233" w:rsidRPr="0012128F" w:rsidRDefault="00035233" w:rsidP="00035233">
            <w:pPr>
              <w:pStyle w:val="05Tabletext"/>
              <w:jc w:val="center"/>
              <w:rPr>
                <w:vertAlign w:val="superscript"/>
              </w:rPr>
            </w:pPr>
            <w:r>
              <w:t>0.162 (0.019) [0.124, 0.200]</w:t>
            </w:r>
            <w:r>
              <w:rPr>
                <w:vertAlign w:val="superscript"/>
              </w:rPr>
              <w:t>b</w:t>
            </w:r>
          </w:p>
        </w:tc>
        <w:tc>
          <w:tcPr>
            <w:tcW w:w="1104" w:type="pct"/>
          </w:tcPr>
          <w:p w:rsidR="00035233" w:rsidRPr="0012128F" w:rsidRDefault="00035233" w:rsidP="00035233">
            <w:pPr>
              <w:pStyle w:val="05Tabletext"/>
              <w:jc w:val="center"/>
              <w:rPr>
                <w:vertAlign w:val="superscript"/>
              </w:rPr>
            </w:pPr>
            <w:r>
              <w:t>0.134 (0.019) [0.096, 0.172]</w:t>
            </w:r>
            <w:r>
              <w:rPr>
                <w:vertAlign w:val="superscript"/>
              </w:rPr>
              <w:t>b</w:t>
            </w:r>
          </w:p>
        </w:tc>
      </w:tr>
      <w:tr w:rsidR="00035233" w:rsidRPr="00194011" w:rsidTr="00035233">
        <w:trPr>
          <w:cantSplit/>
        </w:trPr>
        <w:tc>
          <w:tcPr>
            <w:tcW w:w="1545" w:type="pct"/>
            <w:shd w:val="clear" w:color="auto" w:fill="auto"/>
          </w:tcPr>
          <w:p w:rsidR="00035233" w:rsidRPr="00A140AA" w:rsidRDefault="00035233" w:rsidP="00035233">
            <w:pPr>
              <w:pStyle w:val="05Tabletext"/>
            </w:pPr>
            <w:r>
              <w:t>OTEMTO 2</w:t>
            </w:r>
          </w:p>
        </w:tc>
        <w:tc>
          <w:tcPr>
            <w:tcW w:w="1176" w:type="pct"/>
            <w:shd w:val="clear" w:color="auto" w:fill="auto"/>
          </w:tcPr>
          <w:p w:rsidR="00035233" w:rsidRPr="0012128F" w:rsidRDefault="00035233" w:rsidP="00035233">
            <w:pPr>
              <w:pStyle w:val="05Tabletext"/>
              <w:jc w:val="center"/>
              <w:rPr>
                <w:vertAlign w:val="superscript"/>
              </w:rPr>
            </w:pPr>
            <w:r>
              <w:t>0.039 (0.019) [0.002, 0.076]</w:t>
            </w:r>
            <w:r>
              <w:rPr>
                <w:vertAlign w:val="superscript"/>
              </w:rPr>
              <w:t>c</w:t>
            </w:r>
          </w:p>
        </w:tc>
        <w:tc>
          <w:tcPr>
            <w:tcW w:w="1175" w:type="pct"/>
            <w:shd w:val="clear" w:color="auto" w:fill="auto"/>
          </w:tcPr>
          <w:p w:rsidR="00035233" w:rsidRPr="0012128F" w:rsidRDefault="00035233" w:rsidP="00035233">
            <w:pPr>
              <w:pStyle w:val="05Tabletext"/>
              <w:jc w:val="center"/>
              <w:rPr>
                <w:vertAlign w:val="superscript"/>
              </w:rPr>
            </w:pPr>
            <w:r>
              <w:t>0.166 (0.019)</w:t>
            </w:r>
            <w:r>
              <w:rPr>
                <w:vertAlign w:val="superscript"/>
              </w:rPr>
              <w:t xml:space="preserve"> </w:t>
            </w:r>
            <w:r>
              <w:t>[0.129, 0.203]</w:t>
            </w:r>
            <w:r>
              <w:rPr>
                <w:vertAlign w:val="superscript"/>
              </w:rPr>
              <w:t>b</w:t>
            </w:r>
          </w:p>
        </w:tc>
        <w:tc>
          <w:tcPr>
            <w:tcW w:w="1104" w:type="pct"/>
          </w:tcPr>
          <w:p w:rsidR="00035233" w:rsidRPr="0012128F" w:rsidRDefault="00035233" w:rsidP="00035233">
            <w:pPr>
              <w:pStyle w:val="05Tabletext"/>
              <w:jc w:val="center"/>
              <w:rPr>
                <w:vertAlign w:val="superscript"/>
              </w:rPr>
            </w:pPr>
            <w:r>
              <w:t>0.127 (0.019) [0.090, 0.165]</w:t>
            </w:r>
            <w:r>
              <w:rPr>
                <w:vertAlign w:val="superscript"/>
              </w:rPr>
              <w:t>b</w:t>
            </w:r>
          </w:p>
        </w:tc>
      </w:tr>
    </w:tbl>
    <w:p w:rsidR="00035233" w:rsidRDefault="00035233" w:rsidP="00035233">
      <w:pPr>
        <w:pStyle w:val="10TableorFigurefootnote"/>
      </w:pPr>
      <w:r>
        <w:t>Source: Singh (2015</w:t>
      </w:r>
      <w:r w:rsidR="004B1AD2">
        <w:t>b</w:t>
      </w:r>
      <w:r>
        <w:t>), pg 1314 and Supplementary Table S2.</w:t>
      </w:r>
    </w:p>
    <w:p w:rsidR="00035233" w:rsidRDefault="00035233" w:rsidP="00035233">
      <w:pPr>
        <w:pStyle w:val="10TableorFigurefootnote"/>
        <w:rPr>
          <w:noProof/>
          <w:lang w:eastAsia="en-AU"/>
        </w:rPr>
      </w:pPr>
      <w:r>
        <w:rPr>
          <w:noProof/>
          <w:lang w:eastAsia="en-AU"/>
        </w:rPr>
        <w:t>Abbreviations: CI, confidence interval; FEV</w:t>
      </w:r>
      <w:r>
        <w:rPr>
          <w:noProof/>
          <w:vertAlign w:val="subscript"/>
          <w:lang w:eastAsia="en-AU"/>
        </w:rPr>
        <w:t>1</w:t>
      </w:r>
      <w:r>
        <w:rPr>
          <w:noProof/>
          <w:lang w:eastAsia="en-AU"/>
        </w:rPr>
        <w:t>, forced expiratory volume in 1 second; ITT, intention</w:t>
      </w:r>
      <w:r w:rsidR="00D1265E">
        <w:rPr>
          <w:noProof/>
          <w:lang w:eastAsia="en-AU"/>
        </w:rPr>
        <w:t>-</w:t>
      </w:r>
      <w:r>
        <w:rPr>
          <w:noProof/>
          <w:lang w:eastAsia="en-AU"/>
        </w:rPr>
        <w:t>to</w:t>
      </w:r>
      <w:r w:rsidR="00D1265E">
        <w:rPr>
          <w:noProof/>
          <w:lang w:eastAsia="en-AU"/>
        </w:rPr>
        <w:t>-</w:t>
      </w:r>
      <w:r>
        <w:rPr>
          <w:noProof/>
          <w:lang w:eastAsia="en-AU"/>
        </w:rPr>
        <w:t>treat; OLO, olodaterol; SE, standard error; TIO, triotropium.</w:t>
      </w:r>
    </w:p>
    <w:p w:rsidR="00035233" w:rsidRDefault="00035233" w:rsidP="00035233">
      <w:pPr>
        <w:pStyle w:val="10TableorFigurefootnote"/>
      </w:pPr>
      <w:r>
        <w:t>Note: OTEMTO 1: placebo n=198; TIO n=200; TIO/OLO n=200. OTEMTO 2: placebo n=193; TIO n=197; TIO/OLO n=199.</w:t>
      </w:r>
    </w:p>
    <w:p w:rsidR="00035233" w:rsidRDefault="00035233" w:rsidP="00035233">
      <w:pPr>
        <w:pStyle w:val="10TableorFigurefootnote"/>
      </w:pPr>
      <w:proofErr w:type="gramStart"/>
      <w:r>
        <w:rPr>
          <w:b/>
        </w:rPr>
        <w:t>a</w:t>
      </w:r>
      <w:proofErr w:type="gramEnd"/>
      <w:r>
        <w:t xml:space="preserve"> All patients who received at least one dose of study medication and had baseline and at least one post-baseline measurement for any of the primary endpoints.</w:t>
      </w:r>
    </w:p>
    <w:p w:rsidR="00035233" w:rsidRDefault="00035233" w:rsidP="00035233">
      <w:pPr>
        <w:pStyle w:val="10TableorFigurefootnote"/>
      </w:pPr>
      <w:proofErr w:type="gramStart"/>
      <w:r>
        <w:rPr>
          <w:b/>
        </w:rPr>
        <w:t>b</w:t>
      </w:r>
      <w:proofErr w:type="gramEnd"/>
      <w:r>
        <w:rPr>
          <w:b/>
        </w:rPr>
        <w:t xml:space="preserve"> </w:t>
      </w:r>
      <w:r>
        <w:t>p&lt;0.0001.</w:t>
      </w:r>
    </w:p>
    <w:p w:rsidR="00035233" w:rsidRDefault="00035233" w:rsidP="00035233">
      <w:pPr>
        <w:pStyle w:val="11TableorFigurefootnotenostick"/>
      </w:pPr>
      <w:proofErr w:type="gramStart"/>
      <w:r>
        <w:rPr>
          <w:b/>
        </w:rPr>
        <w:t>c</w:t>
      </w:r>
      <w:proofErr w:type="gramEnd"/>
      <w:r>
        <w:t xml:space="preserve"> p=0.0395.</w:t>
      </w:r>
    </w:p>
    <w:p w:rsidR="00035233" w:rsidRDefault="00035233" w:rsidP="00035233">
      <w:pPr>
        <w:pStyle w:val="BodyText"/>
      </w:pPr>
      <w:r>
        <w:t>The trough FEV</w:t>
      </w:r>
      <w:r>
        <w:rPr>
          <w:vertAlign w:val="subscript"/>
        </w:rPr>
        <w:t>1</w:t>
      </w:r>
      <w:r>
        <w:t xml:space="preserve"> results from the OTEMTO study do not provide convincing evidence to confirm the superiority of tiotropium/olodaterol over tiotropium. It should be acknowledged that not all outcomes assessed in the study were reported in this review. Based on the overall findings of the study, the authors concluded that treatment with tiotropium/olodaterol led to improvements in lung function over placebo and tiotropium that “were translated into clinically significant improvements in symptoms and health-related quality of life”.</w:t>
      </w:r>
    </w:p>
    <w:p w:rsidR="00035233" w:rsidRPr="0022423B" w:rsidRDefault="00035233" w:rsidP="00035233">
      <w:pPr>
        <w:pStyle w:val="BodyText"/>
      </w:pPr>
      <w:r>
        <w:t xml:space="preserve">As shown in </w:t>
      </w:r>
      <w:r w:rsidR="00B85D87">
        <w:t>Table 3.3</w:t>
      </w:r>
      <w:r w:rsidR="00C542B6">
        <w:t>9</w:t>
      </w:r>
      <w:r>
        <w:t>, overall incidence of adverse eve</w:t>
      </w:r>
      <w:r w:rsidR="00B85D87">
        <w:t>nts was similar for tiotropium/</w:t>
      </w:r>
      <w:r>
        <w:t xml:space="preserve">olodateral (43-44%) and tiotropium Respimat (44-45%). </w:t>
      </w:r>
    </w:p>
    <w:p w:rsidR="00035233" w:rsidRDefault="00B85D87" w:rsidP="00B411C6">
      <w:pPr>
        <w:pStyle w:val="ToR3Tableheader"/>
      </w:pPr>
      <w:bookmarkStart w:id="272" w:name="_Toc468006275"/>
      <w:bookmarkStart w:id="273" w:name="_Toc468012320"/>
      <w:bookmarkStart w:id="274" w:name="_Toc468034476"/>
      <w:bookmarkStart w:id="275" w:name="_Toc471891030"/>
      <w:bookmarkStart w:id="276" w:name="_Toc486428218"/>
      <w:r>
        <w:t>Table 3.3</w:t>
      </w:r>
      <w:r w:rsidR="00C542B6">
        <w:t>9</w:t>
      </w:r>
      <w:r w:rsidR="00035233">
        <w:tab/>
        <w:t>Safety outcomes relating to TIO/OLO vs TIO or PBO</w:t>
      </w:r>
      <w:bookmarkEnd w:id="272"/>
      <w:bookmarkEnd w:id="273"/>
      <w:bookmarkEnd w:id="274"/>
      <w:bookmarkEnd w:id="275"/>
      <w:bookmarkEnd w:id="27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Caption w:val="Safety outcomes"/>
        <w:tblDescription w:val="TIO/OLO vs TIO or PBO"/>
      </w:tblPr>
      <w:tblGrid>
        <w:gridCol w:w="2132"/>
        <w:gridCol w:w="2024"/>
        <w:gridCol w:w="2746"/>
        <w:gridCol w:w="2746"/>
      </w:tblGrid>
      <w:tr w:rsidR="00035233" w:rsidRPr="00194011" w:rsidTr="00B85D87">
        <w:trPr>
          <w:cantSplit/>
          <w:trHeight w:val="397"/>
          <w:tblHeader/>
        </w:trPr>
        <w:tc>
          <w:tcPr>
            <w:tcW w:w="1105" w:type="pct"/>
            <w:shd w:val="clear" w:color="auto" w:fill="BFBFBF"/>
          </w:tcPr>
          <w:p w:rsidR="00035233" w:rsidRPr="00194011" w:rsidRDefault="00035233" w:rsidP="00E51DEA">
            <w:pPr>
              <w:pStyle w:val="01TableHEADINGleftaligned"/>
              <w:keepLines/>
              <w:spacing w:before="0"/>
              <w:rPr>
                <w:i/>
              </w:rPr>
            </w:pPr>
            <w:r>
              <w:t>Safety outcome</w:t>
            </w:r>
          </w:p>
        </w:tc>
        <w:tc>
          <w:tcPr>
            <w:tcW w:w="1049" w:type="pct"/>
            <w:tcBorders>
              <w:bottom w:val="single" w:sz="4" w:space="0" w:color="auto"/>
            </w:tcBorders>
            <w:shd w:val="clear" w:color="auto" w:fill="BFBFBF"/>
          </w:tcPr>
          <w:p w:rsidR="00035233" w:rsidRDefault="00035233" w:rsidP="00E51DEA">
            <w:pPr>
              <w:pStyle w:val="01TableHEADINGleftaligned"/>
              <w:keepLines/>
              <w:spacing w:before="0"/>
              <w:jc w:val="center"/>
            </w:pPr>
            <w:r>
              <w:t>TIO/OLO 5/5</w:t>
            </w:r>
          </w:p>
          <w:p w:rsidR="00035233" w:rsidRPr="00194011" w:rsidRDefault="00035233" w:rsidP="00E51DEA">
            <w:pPr>
              <w:pStyle w:val="01TableHEADINGleftaligned"/>
              <w:keepLines/>
              <w:spacing w:before="0"/>
              <w:jc w:val="center"/>
            </w:pPr>
            <w:proofErr w:type="gramStart"/>
            <w:r>
              <w:t>n/N</w:t>
            </w:r>
            <w:proofErr w:type="gramEnd"/>
            <w:r>
              <w:t xml:space="preserve"> (%)</w:t>
            </w:r>
          </w:p>
        </w:tc>
        <w:tc>
          <w:tcPr>
            <w:tcW w:w="1423" w:type="pct"/>
            <w:tcBorders>
              <w:bottom w:val="single" w:sz="4" w:space="0" w:color="auto"/>
            </w:tcBorders>
            <w:shd w:val="clear" w:color="auto" w:fill="BFBFBF"/>
          </w:tcPr>
          <w:p w:rsidR="00035233" w:rsidRDefault="00035233" w:rsidP="00E51DEA">
            <w:pPr>
              <w:pStyle w:val="01TableHEADINGleftaligned"/>
              <w:keepLines/>
              <w:spacing w:before="0"/>
              <w:jc w:val="center"/>
            </w:pPr>
            <w:r>
              <w:t>TIO 5</w:t>
            </w:r>
          </w:p>
          <w:p w:rsidR="00035233" w:rsidRPr="00194011" w:rsidRDefault="00035233" w:rsidP="00E51DEA">
            <w:pPr>
              <w:pStyle w:val="01TableHEADINGleftaligned"/>
              <w:keepLines/>
              <w:spacing w:before="0"/>
              <w:jc w:val="center"/>
            </w:pPr>
            <w:proofErr w:type="gramStart"/>
            <w:r>
              <w:t>n/N</w:t>
            </w:r>
            <w:proofErr w:type="gramEnd"/>
            <w:r>
              <w:t xml:space="preserve"> (%)</w:t>
            </w:r>
          </w:p>
        </w:tc>
        <w:tc>
          <w:tcPr>
            <w:tcW w:w="1423" w:type="pct"/>
            <w:tcBorders>
              <w:bottom w:val="single" w:sz="4" w:space="0" w:color="auto"/>
            </w:tcBorders>
            <w:shd w:val="clear" w:color="auto" w:fill="BFBFBF"/>
          </w:tcPr>
          <w:p w:rsidR="00035233" w:rsidRDefault="00035233" w:rsidP="00E51DEA">
            <w:pPr>
              <w:pStyle w:val="01TableHEADINGleftaligned"/>
              <w:keepLines/>
              <w:spacing w:before="0"/>
              <w:jc w:val="center"/>
            </w:pPr>
            <w:r>
              <w:t>PBO</w:t>
            </w:r>
          </w:p>
          <w:p w:rsidR="00035233" w:rsidRDefault="00035233" w:rsidP="00E51DEA">
            <w:pPr>
              <w:pStyle w:val="01TableHEADINGleftaligned"/>
              <w:keepLines/>
              <w:spacing w:before="0"/>
              <w:jc w:val="center"/>
            </w:pPr>
            <w:proofErr w:type="gramStart"/>
            <w:r>
              <w:t>n/N</w:t>
            </w:r>
            <w:proofErr w:type="gramEnd"/>
            <w:r>
              <w:t xml:space="preserve"> (%)</w:t>
            </w:r>
          </w:p>
        </w:tc>
      </w:tr>
      <w:tr w:rsidR="00035233" w:rsidRPr="00194011" w:rsidTr="00035233">
        <w:trPr>
          <w:cantSplit/>
        </w:trPr>
        <w:tc>
          <w:tcPr>
            <w:tcW w:w="1105" w:type="pct"/>
            <w:shd w:val="clear" w:color="auto" w:fill="auto"/>
          </w:tcPr>
          <w:p w:rsidR="00035233" w:rsidRPr="00135220" w:rsidRDefault="00035233" w:rsidP="00E51DEA">
            <w:pPr>
              <w:pStyle w:val="05Tabletext"/>
              <w:keepNext/>
              <w:keepLines/>
              <w:spacing w:before="0"/>
            </w:pPr>
            <w:r w:rsidRPr="00135220">
              <w:t>All AEs</w:t>
            </w:r>
          </w:p>
          <w:p w:rsidR="00035233" w:rsidRPr="00B411C6" w:rsidRDefault="00035233" w:rsidP="00E51DEA">
            <w:pPr>
              <w:pStyle w:val="05Tabletext"/>
              <w:keepNext/>
              <w:keepLines/>
              <w:spacing w:before="0"/>
              <w:ind w:left="147"/>
            </w:pPr>
            <w:r w:rsidRPr="00B411C6">
              <w:t>OTEMTO 1</w:t>
            </w:r>
          </w:p>
          <w:p w:rsidR="00035233" w:rsidRPr="00135220" w:rsidRDefault="00035233" w:rsidP="00E51DEA">
            <w:pPr>
              <w:pStyle w:val="05Tabletext"/>
              <w:keepNext/>
              <w:keepLines/>
              <w:spacing w:before="0"/>
              <w:ind w:left="147"/>
            </w:pPr>
            <w:r w:rsidRPr="00B411C6">
              <w:t>OTEMTO 2</w:t>
            </w:r>
          </w:p>
        </w:tc>
        <w:tc>
          <w:tcPr>
            <w:tcW w:w="1049" w:type="pct"/>
            <w:shd w:val="clear" w:color="auto" w:fill="auto"/>
          </w:tcPr>
          <w:p w:rsidR="00035233" w:rsidRPr="00135220" w:rsidRDefault="00035233" w:rsidP="00E51DEA">
            <w:pPr>
              <w:pStyle w:val="05Tabletext"/>
              <w:keepNext/>
              <w:keepLines/>
              <w:spacing w:before="0"/>
              <w:jc w:val="center"/>
            </w:pPr>
            <w:r w:rsidRPr="00135220">
              <w:t>-</w:t>
            </w:r>
          </w:p>
          <w:p w:rsidR="00035233" w:rsidRPr="00135220" w:rsidRDefault="00035233" w:rsidP="00E51DEA">
            <w:pPr>
              <w:pStyle w:val="05Tabletext"/>
              <w:keepNext/>
              <w:keepLines/>
              <w:spacing w:before="0"/>
              <w:jc w:val="center"/>
            </w:pPr>
            <w:r w:rsidRPr="00135220">
              <w:t>91/203 (44.8)</w:t>
            </w:r>
          </w:p>
          <w:p w:rsidR="00035233" w:rsidRPr="00135220" w:rsidRDefault="00035233" w:rsidP="00E51DEA">
            <w:pPr>
              <w:pStyle w:val="05Tabletext"/>
              <w:keepNext/>
              <w:keepLines/>
              <w:spacing w:before="0"/>
              <w:jc w:val="center"/>
            </w:pPr>
            <w:r w:rsidRPr="00135220">
              <w:t>87/202 (43.1)</w:t>
            </w:r>
          </w:p>
        </w:tc>
        <w:tc>
          <w:tcPr>
            <w:tcW w:w="1423" w:type="pct"/>
            <w:shd w:val="clear" w:color="auto" w:fill="auto"/>
          </w:tcPr>
          <w:p w:rsidR="00035233" w:rsidRPr="00135220" w:rsidRDefault="00035233" w:rsidP="00E51DEA">
            <w:pPr>
              <w:pStyle w:val="05Tabletext"/>
              <w:keepNext/>
              <w:keepLines/>
              <w:spacing w:before="0"/>
              <w:jc w:val="center"/>
            </w:pPr>
            <w:r w:rsidRPr="00135220">
              <w:t>-</w:t>
            </w:r>
          </w:p>
          <w:p w:rsidR="00035233" w:rsidRPr="00135220" w:rsidRDefault="00035233" w:rsidP="00E51DEA">
            <w:pPr>
              <w:pStyle w:val="05Tabletext"/>
              <w:keepNext/>
              <w:keepLines/>
              <w:spacing w:before="0"/>
              <w:jc w:val="center"/>
            </w:pPr>
            <w:r w:rsidRPr="00135220">
              <w:t>90/203 (44.3)</w:t>
            </w:r>
          </w:p>
          <w:p w:rsidR="00035233" w:rsidRPr="00135220" w:rsidRDefault="00035233" w:rsidP="00E51DEA">
            <w:pPr>
              <w:pStyle w:val="05Tabletext"/>
              <w:keepNext/>
              <w:keepLines/>
              <w:spacing w:before="0"/>
              <w:jc w:val="center"/>
            </w:pPr>
            <w:r w:rsidRPr="00135220">
              <w:t>93/203 (45.8)</w:t>
            </w:r>
          </w:p>
        </w:tc>
        <w:tc>
          <w:tcPr>
            <w:tcW w:w="1423" w:type="pct"/>
          </w:tcPr>
          <w:p w:rsidR="00035233" w:rsidRPr="00135220" w:rsidRDefault="00035233" w:rsidP="00E51DEA">
            <w:pPr>
              <w:pStyle w:val="05Tabletext"/>
              <w:keepNext/>
              <w:keepLines/>
              <w:spacing w:before="0"/>
              <w:jc w:val="center"/>
            </w:pPr>
            <w:r w:rsidRPr="00135220">
              <w:t>-</w:t>
            </w:r>
          </w:p>
          <w:p w:rsidR="00035233" w:rsidRPr="00135220" w:rsidRDefault="00035233" w:rsidP="00E51DEA">
            <w:pPr>
              <w:pStyle w:val="05Tabletext"/>
              <w:keepNext/>
              <w:keepLines/>
              <w:spacing w:before="0"/>
              <w:jc w:val="center"/>
            </w:pPr>
            <w:r w:rsidRPr="00135220">
              <w:t>105/204 (51.5)</w:t>
            </w:r>
            <w:r w:rsidRPr="00135220">
              <w:br/>
              <w:t>93/202 (46.0)</w:t>
            </w:r>
          </w:p>
        </w:tc>
      </w:tr>
      <w:tr w:rsidR="00035233" w:rsidRPr="00194011" w:rsidTr="00035233">
        <w:trPr>
          <w:cantSplit/>
        </w:trPr>
        <w:tc>
          <w:tcPr>
            <w:tcW w:w="1105" w:type="pct"/>
            <w:shd w:val="clear" w:color="auto" w:fill="auto"/>
          </w:tcPr>
          <w:p w:rsidR="00035233" w:rsidRPr="00135220" w:rsidRDefault="00035233" w:rsidP="00E51DEA">
            <w:pPr>
              <w:pStyle w:val="05Tabletext"/>
              <w:keepNext/>
              <w:keepLines/>
              <w:spacing w:before="0"/>
            </w:pPr>
            <w:r w:rsidRPr="00135220">
              <w:t>Treatment-related</w:t>
            </w:r>
            <w:r w:rsidRPr="00135220">
              <w:rPr>
                <w:vertAlign w:val="superscript"/>
              </w:rPr>
              <w:t>a</w:t>
            </w:r>
            <w:r w:rsidRPr="00135220">
              <w:t xml:space="preserve"> AEs</w:t>
            </w:r>
          </w:p>
          <w:p w:rsidR="00035233" w:rsidRPr="00B411C6" w:rsidRDefault="00035233" w:rsidP="00E51DEA">
            <w:pPr>
              <w:pStyle w:val="05Tabletext"/>
              <w:keepNext/>
              <w:keepLines/>
              <w:spacing w:before="0"/>
              <w:ind w:left="147"/>
            </w:pPr>
            <w:r w:rsidRPr="00B411C6">
              <w:t>OTEMTO 1</w:t>
            </w:r>
          </w:p>
          <w:p w:rsidR="00035233" w:rsidRPr="00135220" w:rsidRDefault="00035233" w:rsidP="00E51DEA">
            <w:pPr>
              <w:pStyle w:val="05Tabletext"/>
              <w:keepNext/>
              <w:keepLines/>
              <w:spacing w:before="0"/>
              <w:ind w:left="147"/>
            </w:pPr>
            <w:r w:rsidRPr="00B411C6">
              <w:t>OTEMTO 2</w:t>
            </w:r>
          </w:p>
        </w:tc>
        <w:tc>
          <w:tcPr>
            <w:tcW w:w="1049" w:type="pct"/>
            <w:shd w:val="clear" w:color="auto" w:fill="auto"/>
          </w:tcPr>
          <w:p w:rsidR="00035233" w:rsidRPr="00135220" w:rsidRDefault="00035233" w:rsidP="00E51DEA">
            <w:pPr>
              <w:pStyle w:val="05Tabletext"/>
              <w:keepNext/>
              <w:keepLines/>
              <w:spacing w:before="0"/>
              <w:jc w:val="center"/>
            </w:pPr>
            <w:r w:rsidRPr="00135220">
              <w:t>-</w:t>
            </w:r>
          </w:p>
          <w:p w:rsidR="00035233" w:rsidRPr="00135220" w:rsidRDefault="00035233" w:rsidP="00E51DEA">
            <w:pPr>
              <w:pStyle w:val="05Tabletext"/>
              <w:keepNext/>
              <w:keepLines/>
              <w:spacing w:before="0"/>
              <w:jc w:val="center"/>
            </w:pPr>
            <w:r w:rsidRPr="00135220">
              <w:t>8/203 (3.9)</w:t>
            </w:r>
          </w:p>
          <w:p w:rsidR="00035233" w:rsidRPr="00135220" w:rsidRDefault="00035233" w:rsidP="00E51DEA">
            <w:pPr>
              <w:pStyle w:val="05Tabletext"/>
              <w:keepNext/>
              <w:keepLines/>
              <w:spacing w:before="0"/>
              <w:jc w:val="center"/>
            </w:pPr>
            <w:r w:rsidRPr="00135220">
              <w:t>10/202 (5.0)</w:t>
            </w:r>
          </w:p>
        </w:tc>
        <w:tc>
          <w:tcPr>
            <w:tcW w:w="1423" w:type="pct"/>
            <w:shd w:val="clear" w:color="auto" w:fill="auto"/>
          </w:tcPr>
          <w:p w:rsidR="00035233" w:rsidRPr="00135220" w:rsidRDefault="00035233" w:rsidP="00E51DEA">
            <w:pPr>
              <w:pStyle w:val="05Tabletext"/>
              <w:keepNext/>
              <w:keepLines/>
              <w:spacing w:before="0"/>
              <w:jc w:val="center"/>
            </w:pPr>
            <w:r w:rsidRPr="00135220">
              <w:t>-</w:t>
            </w:r>
          </w:p>
          <w:p w:rsidR="00035233" w:rsidRPr="00135220" w:rsidRDefault="00035233" w:rsidP="00E51DEA">
            <w:pPr>
              <w:pStyle w:val="05Tabletext"/>
              <w:keepNext/>
              <w:keepLines/>
              <w:spacing w:before="0"/>
              <w:jc w:val="center"/>
            </w:pPr>
            <w:r w:rsidRPr="00135220">
              <w:t>8/203 (3.9)</w:t>
            </w:r>
          </w:p>
          <w:p w:rsidR="00035233" w:rsidRPr="00135220" w:rsidRDefault="00035233" w:rsidP="00E51DEA">
            <w:pPr>
              <w:pStyle w:val="05Tabletext"/>
              <w:keepNext/>
              <w:keepLines/>
              <w:spacing w:before="0"/>
              <w:jc w:val="center"/>
            </w:pPr>
            <w:r w:rsidRPr="00135220">
              <w:t>5/202 (2.5)</w:t>
            </w:r>
          </w:p>
        </w:tc>
        <w:tc>
          <w:tcPr>
            <w:tcW w:w="1423" w:type="pct"/>
          </w:tcPr>
          <w:p w:rsidR="00035233" w:rsidRPr="00135220" w:rsidRDefault="00035233" w:rsidP="00E51DEA">
            <w:pPr>
              <w:pStyle w:val="05Tabletext"/>
              <w:keepNext/>
              <w:keepLines/>
              <w:spacing w:before="0"/>
              <w:jc w:val="center"/>
            </w:pPr>
            <w:r w:rsidRPr="00135220">
              <w:t>-</w:t>
            </w:r>
          </w:p>
          <w:p w:rsidR="00035233" w:rsidRPr="00135220" w:rsidRDefault="00035233" w:rsidP="00E51DEA">
            <w:pPr>
              <w:pStyle w:val="05Tabletext"/>
              <w:keepNext/>
              <w:keepLines/>
              <w:spacing w:before="0"/>
              <w:jc w:val="center"/>
            </w:pPr>
            <w:r w:rsidRPr="00135220">
              <w:t>12/203 (5.9)</w:t>
            </w:r>
          </w:p>
          <w:p w:rsidR="00035233" w:rsidRPr="00135220" w:rsidRDefault="00035233" w:rsidP="00E51DEA">
            <w:pPr>
              <w:pStyle w:val="05Tabletext"/>
              <w:keepNext/>
              <w:keepLines/>
              <w:spacing w:before="0"/>
              <w:jc w:val="center"/>
            </w:pPr>
            <w:r w:rsidRPr="00135220">
              <w:t>10/202 (5.0)</w:t>
            </w:r>
          </w:p>
        </w:tc>
      </w:tr>
      <w:tr w:rsidR="00035233" w:rsidRPr="00194011" w:rsidTr="00035233">
        <w:trPr>
          <w:cantSplit/>
        </w:trPr>
        <w:tc>
          <w:tcPr>
            <w:tcW w:w="1105" w:type="pct"/>
            <w:shd w:val="clear" w:color="auto" w:fill="auto"/>
          </w:tcPr>
          <w:p w:rsidR="00035233" w:rsidRPr="00135220" w:rsidRDefault="00035233" w:rsidP="00E51DEA">
            <w:pPr>
              <w:pStyle w:val="05Tabletext"/>
              <w:keepNext/>
              <w:keepLines/>
              <w:spacing w:before="0"/>
            </w:pPr>
            <w:r w:rsidRPr="00135220">
              <w:t>AEs leading to discontinuation</w:t>
            </w:r>
          </w:p>
          <w:p w:rsidR="00035233" w:rsidRPr="00B411C6" w:rsidRDefault="00035233" w:rsidP="00E51DEA">
            <w:pPr>
              <w:pStyle w:val="05Tabletext"/>
              <w:keepNext/>
              <w:keepLines/>
              <w:spacing w:before="0"/>
              <w:ind w:left="147"/>
            </w:pPr>
            <w:r w:rsidRPr="00B411C6">
              <w:t>OTEMTO 1</w:t>
            </w:r>
          </w:p>
          <w:p w:rsidR="00035233" w:rsidRPr="00135220" w:rsidRDefault="00035233" w:rsidP="00E51DEA">
            <w:pPr>
              <w:pStyle w:val="05Tabletext"/>
              <w:keepNext/>
              <w:keepLines/>
              <w:spacing w:before="0"/>
              <w:ind w:left="147"/>
              <w:rPr>
                <w:vertAlign w:val="superscript"/>
              </w:rPr>
            </w:pPr>
            <w:r w:rsidRPr="00B411C6">
              <w:t>OTEMTO 2</w:t>
            </w:r>
          </w:p>
        </w:tc>
        <w:tc>
          <w:tcPr>
            <w:tcW w:w="1049" w:type="pct"/>
            <w:shd w:val="clear" w:color="auto" w:fill="auto"/>
          </w:tcPr>
          <w:p w:rsidR="00035233" w:rsidRPr="00135220" w:rsidRDefault="00035233" w:rsidP="00E51DEA">
            <w:pPr>
              <w:pStyle w:val="05Tabletext"/>
              <w:keepNext/>
              <w:keepLines/>
              <w:spacing w:before="0"/>
              <w:jc w:val="center"/>
            </w:pPr>
            <w:r w:rsidRPr="00135220">
              <w:t>-</w:t>
            </w:r>
          </w:p>
          <w:p w:rsidR="00035233" w:rsidRPr="00135220" w:rsidRDefault="00035233" w:rsidP="00E51DEA">
            <w:pPr>
              <w:pStyle w:val="05Tabletext"/>
              <w:keepNext/>
              <w:keepLines/>
              <w:spacing w:before="0"/>
              <w:jc w:val="center"/>
            </w:pPr>
            <w:r w:rsidRPr="00135220">
              <w:t>3/203 (1.5)</w:t>
            </w:r>
          </w:p>
          <w:p w:rsidR="00035233" w:rsidRPr="00135220" w:rsidRDefault="00035233" w:rsidP="00E51DEA">
            <w:pPr>
              <w:pStyle w:val="05Tabletext"/>
              <w:keepNext/>
              <w:keepLines/>
              <w:spacing w:before="0"/>
              <w:jc w:val="center"/>
            </w:pPr>
            <w:r w:rsidRPr="00135220">
              <w:t>1/202 (0.5)</w:t>
            </w:r>
          </w:p>
        </w:tc>
        <w:tc>
          <w:tcPr>
            <w:tcW w:w="1423" w:type="pct"/>
            <w:shd w:val="clear" w:color="auto" w:fill="auto"/>
          </w:tcPr>
          <w:p w:rsidR="00035233" w:rsidRPr="00135220" w:rsidRDefault="00035233" w:rsidP="00E51DEA">
            <w:pPr>
              <w:pStyle w:val="05Tabletext"/>
              <w:keepNext/>
              <w:keepLines/>
              <w:spacing w:before="0"/>
              <w:jc w:val="center"/>
            </w:pPr>
            <w:r w:rsidRPr="00135220">
              <w:t>-</w:t>
            </w:r>
          </w:p>
          <w:p w:rsidR="00035233" w:rsidRPr="00135220" w:rsidRDefault="00035233" w:rsidP="00E51DEA">
            <w:pPr>
              <w:pStyle w:val="05Tabletext"/>
              <w:keepNext/>
              <w:keepLines/>
              <w:spacing w:before="0"/>
              <w:jc w:val="center"/>
            </w:pPr>
            <w:r w:rsidRPr="00135220">
              <w:t>3/203 (1.5)</w:t>
            </w:r>
          </w:p>
          <w:p w:rsidR="00035233" w:rsidRPr="00135220" w:rsidRDefault="00035233" w:rsidP="00E51DEA">
            <w:pPr>
              <w:pStyle w:val="05Tabletext"/>
              <w:keepNext/>
              <w:keepLines/>
              <w:spacing w:before="0"/>
              <w:jc w:val="center"/>
            </w:pPr>
            <w:r w:rsidRPr="00135220">
              <w:t>7/202 (3.4)</w:t>
            </w:r>
          </w:p>
        </w:tc>
        <w:tc>
          <w:tcPr>
            <w:tcW w:w="1423" w:type="pct"/>
          </w:tcPr>
          <w:p w:rsidR="00035233" w:rsidRPr="00135220" w:rsidRDefault="00035233" w:rsidP="00E51DEA">
            <w:pPr>
              <w:pStyle w:val="05Tabletext"/>
              <w:keepNext/>
              <w:keepLines/>
              <w:spacing w:before="0"/>
              <w:jc w:val="center"/>
            </w:pPr>
            <w:r w:rsidRPr="00135220">
              <w:t>-</w:t>
            </w:r>
          </w:p>
          <w:p w:rsidR="00035233" w:rsidRPr="00135220" w:rsidRDefault="00035233" w:rsidP="00E51DEA">
            <w:pPr>
              <w:pStyle w:val="05Tabletext"/>
              <w:keepNext/>
              <w:keepLines/>
              <w:spacing w:before="0"/>
              <w:jc w:val="center"/>
            </w:pPr>
            <w:r w:rsidRPr="00135220">
              <w:t>11/203 (5.4)</w:t>
            </w:r>
          </w:p>
          <w:p w:rsidR="00035233" w:rsidRPr="00135220" w:rsidRDefault="00035233" w:rsidP="00E51DEA">
            <w:pPr>
              <w:pStyle w:val="05Tabletext"/>
              <w:keepNext/>
              <w:keepLines/>
              <w:spacing w:before="0"/>
              <w:jc w:val="center"/>
            </w:pPr>
            <w:r w:rsidRPr="00135220">
              <w:t>10/202 (5.0)</w:t>
            </w:r>
          </w:p>
        </w:tc>
      </w:tr>
      <w:tr w:rsidR="00035233" w:rsidRPr="00194011" w:rsidTr="00035233">
        <w:trPr>
          <w:cantSplit/>
        </w:trPr>
        <w:tc>
          <w:tcPr>
            <w:tcW w:w="1105" w:type="pct"/>
            <w:shd w:val="clear" w:color="auto" w:fill="auto"/>
          </w:tcPr>
          <w:p w:rsidR="00035233" w:rsidRPr="00135220" w:rsidRDefault="00035233" w:rsidP="00E51DEA">
            <w:pPr>
              <w:pStyle w:val="05Tabletext"/>
              <w:keepNext/>
              <w:keepLines/>
              <w:spacing w:before="0"/>
            </w:pPr>
            <w:r w:rsidRPr="00135220">
              <w:t>SAEs</w:t>
            </w:r>
          </w:p>
          <w:p w:rsidR="00035233" w:rsidRPr="00B411C6" w:rsidRDefault="00035233" w:rsidP="00E51DEA">
            <w:pPr>
              <w:pStyle w:val="05Tabletext"/>
              <w:keepNext/>
              <w:keepLines/>
              <w:spacing w:before="0"/>
              <w:ind w:left="147"/>
            </w:pPr>
            <w:r w:rsidRPr="00B411C6">
              <w:t>OTEMTO 1</w:t>
            </w:r>
          </w:p>
          <w:p w:rsidR="00035233" w:rsidRPr="00135220" w:rsidRDefault="00035233" w:rsidP="00E51DEA">
            <w:pPr>
              <w:pStyle w:val="05Tabletext"/>
              <w:keepNext/>
              <w:keepLines/>
              <w:spacing w:before="0"/>
              <w:ind w:left="147"/>
              <w:rPr>
                <w:vertAlign w:val="superscript"/>
              </w:rPr>
            </w:pPr>
            <w:r w:rsidRPr="00B411C6">
              <w:t>OTEMTO 2</w:t>
            </w:r>
          </w:p>
        </w:tc>
        <w:tc>
          <w:tcPr>
            <w:tcW w:w="1049" w:type="pct"/>
            <w:shd w:val="clear" w:color="auto" w:fill="auto"/>
          </w:tcPr>
          <w:p w:rsidR="00035233" w:rsidRPr="00135220" w:rsidRDefault="00035233" w:rsidP="00E51DEA">
            <w:pPr>
              <w:pStyle w:val="05Tabletext"/>
              <w:keepNext/>
              <w:keepLines/>
              <w:spacing w:before="0"/>
              <w:jc w:val="center"/>
            </w:pPr>
            <w:r w:rsidRPr="00135220">
              <w:t>-</w:t>
            </w:r>
          </w:p>
          <w:p w:rsidR="00035233" w:rsidRPr="00135220" w:rsidRDefault="00035233" w:rsidP="00E51DEA">
            <w:pPr>
              <w:pStyle w:val="05Tabletext"/>
              <w:keepNext/>
              <w:keepLines/>
              <w:spacing w:before="0"/>
              <w:jc w:val="center"/>
            </w:pPr>
            <w:r w:rsidRPr="00135220">
              <w:t>10/203 (4.9)</w:t>
            </w:r>
          </w:p>
          <w:p w:rsidR="00035233" w:rsidRPr="00135220" w:rsidRDefault="00035233" w:rsidP="00E51DEA">
            <w:pPr>
              <w:pStyle w:val="05Tabletext"/>
              <w:keepNext/>
              <w:keepLines/>
              <w:spacing w:before="0"/>
              <w:jc w:val="center"/>
            </w:pPr>
            <w:r w:rsidRPr="00135220">
              <w:t>6/202 (3.0)</w:t>
            </w:r>
          </w:p>
        </w:tc>
        <w:tc>
          <w:tcPr>
            <w:tcW w:w="1423" w:type="pct"/>
            <w:shd w:val="clear" w:color="auto" w:fill="auto"/>
          </w:tcPr>
          <w:p w:rsidR="00035233" w:rsidRPr="00135220" w:rsidRDefault="00035233" w:rsidP="00E51DEA">
            <w:pPr>
              <w:pStyle w:val="05Tabletext"/>
              <w:keepNext/>
              <w:keepLines/>
              <w:spacing w:before="0"/>
              <w:jc w:val="center"/>
            </w:pPr>
            <w:r w:rsidRPr="00135220">
              <w:t>-</w:t>
            </w:r>
          </w:p>
          <w:p w:rsidR="00035233" w:rsidRPr="00135220" w:rsidRDefault="00035233" w:rsidP="00E51DEA">
            <w:pPr>
              <w:pStyle w:val="05Tabletext"/>
              <w:keepNext/>
              <w:keepLines/>
              <w:spacing w:before="0"/>
              <w:jc w:val="center"/>
            </w:pPr>
            <w:r w:rsidRPr="00135220">
              <w:t>6/203 (3.0)</w:t>
            </w:r>
          </w:p>
          <w:p w:rsidR="00035233" w:rsidRPr="00135220" w:rsidRDefault="00035233" w:rsidP="00E51DEA">
            <w:pPr>
              <w:pStyle w:val="05Tabletext"/>
              <w:keepNext/>
              <w:keepLines/>
              <w:spacing w:before="0"/>
              <w:jc w:val="center"/>
            </w:pPr>
            <w:r w:rsidRPr="00135220">
              <w:t>12/202 (5.9)</w:t>
            </w:r>
          </w:p>
        </w:tc>
        <w:tc>
          <w:tcPr>
            <w:tcW w:w="1423" w:type="pct"/>
          </w:tcPr>
          <w:p w:rsidR="00035233" w:rsidRPr="00135220" w:rsidRDefault="00035233" w:rsidP="00E51DEA">
            <w:pPr>
              <w:pStyle w:val="05Tabletext"/>
              <w:keepNext/>
              <w:keepLines/>
              <w:spacing w:before="0"/>
              <w:jc w:val="center"/>
            </w:pPr>
            <w:r w:rsidRPr="00135220">
              <w:t>-</w:t>
            </w:r>
          </w:p>
          <w:p w:rsidR="00035233" w:rsidRPr="00135220" w:rsidRDefault="00035233" w:rsidP="00E51DEA">
            <w:pPr>
              <w:pStyle w:val="05Tabletext"/>
              <w:keepNext/>
              <w:keepLines/>
              <w:spacing w:before="0"/>
              <w:jc w:val="center"/>
            </w:pPr>
            <w:r w:rsidRPr="00135220">
              <w:t>11/203 (5.4)</w:t>
            </w:r>
          </w:p>
          <w:p w:rsidR="00035233" w:rsidRPr="00135220" w:rsidRDefault="00035233" w:rsidP="00E51DEA">
            <w:pPr>
              <w:pStyle w:val="05Tabletext"/>
              <w:keepNext/>
              <w:keepLines/>
              <w:spacing w:before="0"/>
              <w:jc w:val="center"/>
            </w:pPr>
            <w:r w:rsidRPr="00135220">
              <w:t>4/202 (2.0)</w:t>
            </w:r>
          </w:p>
        </w:tc>
      </w:tr>
      <w:tr w:rsidR="00035233" w:rsidRPr="00194011" w:rsidTr="00035233">
        <w:trPr>
          <w:cantSplit/>
        </w:trPr>
        <w:tc>
          <w:tcPr>
            <w:tcW w:w="1105" w:type="pct"/>
            <w:shd w:val="clear" w:color="auto" w:fill="auto"/>
          </w:tcPr>
          <w:p w:rsidR="00035233" w:rsidRPr="00135220" w:rsidRDefault="00035233" w:rsidP="00E51DEA">
            <w:pPr>
              <w:pStyle w:val="05Tabletext"/>
              <w:keepNext/>
              <w:keepLines/>
              <w:spacing w:before="0"/>
            </w:pPr>
            <w:r w:rsidRPr="00135220">
              <w:t>Vascular disorders</w:t>
            </w:r>
          </w:p>
          <w:p w:rsidR="00035233" w:rsidRPr="00B411C6" w:rsidRDefault="00035233" w:rsidP="00E51DEA">
            <w:pPr>
              <w:pStyle w:val="05Tabletext"/>
              <w:keepNext/>
              <w:keepLines/>
              <w:spacing w:before="0"/>
              <w:ind w:left="147"/>
            </w:pPr>
            <w:r w:rsidRPr="00B411C6">
              <w:t>OTEMTO 1</w:t>
            </w:r>
          </w:p>
          <w:p w:rsidR="00035233" w:rsidRPr="00135220" w:rsidRDefault="00035233" w:rsidP="00E51DEA">
            <w:pPr>
              <w:pStyle w:val="05Tabletext"/>
              <w:keepNext/>
              <w:keepLines/>
              <w:spacing w:before="0"/>
              <w:ind w:left="147"/>
              <w:rPr>
                <w:vertAlign w:val="superscript"/>
              </w:rPr>
            </w:pPr>
            <w:r w:rsidRPr="00B411C6">
              <w:t>OTEMTO 2</w:t>
            </w:r>
          </w:p>
        </w:tc>
        <w:tc>
          <w:tcPr>
            <w:tcW w:w="1049" w:type="pct"/>
            <w:shd w:val="clear" w:color="auto" w:fill="auto"/>
          </w:tcPr>
          <w:p w:rsidR="00035233" w:rsidRPr="00135220" w:rsidRDefault="00035233" w:rsidP="00E51DEA">
            <w:pPr>
              <w:pStyle w:val="05Tabletext"/>
              <w:keepNext/>
              <w:keepLines/>
              <w:spacing w:before="0"/>
              <w:jc w:val="center"/>
            </w:pPr>
            <w:r w:rsidRPr="00135220">
              <w:t>-</w:t>
            </w:r>
          </w:p>
          <w:p w:rsidR="00035233" w:rsidRPr="00135220" w:rsidRDefault="00035233" w:rsidP="00E51DEA">
            <w:pPr>
              <w:pStyle w:val="05Tabletext"/>
              <w:keepNext/>
              <w:keepLines/>
              <w:spacing w:before="0"/>
              <w:jc w:val="center"/>
            </w:pPr>
            <w:r w:rsidRPr="00135220">
              <w:t>4 (2.0)</w:t>
            </w:r>
          </w:p>
          <w:p w:rsidR="00035233" w:rsidRPr="00135220" w:rsidRDefault="00035233" w:rsidP="00E51DEA">
            <w:pPr>
              <w:pStyle w:val="05Tabletext"/>
              <w:keepNext/>
              <w:keepLines/>
              <w:spacing w:before="0"/>
              <w:jc w:val="center"/>
            </w:pPr>
            <w:r w:rsidRPr="00135220">
              <w:t>6 (3.0)</w:t>
            </w:r>
          </w:p>
        </w:tc>
        <w:tc>
          <w:tcPr>
            <w:tcW w:w="1423" w:type="pct"/>
            <w:shd w:val="clear" w:color="auto" w:fill="auto"/>
          </w:tcPr>
          <w:p w:rsidR="00035233" w:rsidRPr="00135220" w:rsidRDefault="00035233" w:rsidP="00E51DEA">
            <w:pPr>
              <w:pStyle w:val="05Tabletext"/>
              <w:keepNext/>
              <w:keepLines/>
              <w:spacing w:before="0"/>
              <w:jc w:val="center"/>
            </w:pPr>
            <w:r w:rsidRPr="00135220">
              <w:t>-</w:t>
            </w:r>
          </w:p>
          <w:p w:rsidR="00035233" w:rsidRPr="00135220" w:rsidRDefault="00035233" w:rsidP="00E51DEA">
            <w:pPr>
              <w:pStyle w:val="05Tabletext"/>
              <w:keepNext/>
              <w:keepLines/>
              <w:spacing w:before="0"/>
              <w:jc w:val="center"/>
            </w:pPr>
            <w:r w:rsidRPr="00135220">
              <w:t>4 (2.0)</w:t>
            </w:r>
          </w:p>
          <w:p w:rsidR="00035233" w:rsidRPr="00135220" w:rsidRDefault="00035233" w:rsidP="00E51DEA">
            <w:pPr>
              <w:pStyle w:val="05Tabletext"/>
              <w:keepNext/>
              <w:keepLines/>
              <w:spacing w:before="0"/>
              <w:jc w:val="center"/>
            </w:pPr>
            <w:r w:rsidRPr="00135220">
              <w:t>6 (3.0)</w:t>
            </w:r>
          </w:p>
        </w:tc>
        <w:tc>
          <w:tcPr>
            <w:tcW w:w="1423" w:type="pct"/>
          </w:tcPr>
          <w:p w:rsidR="00035233" w:rsidRPr="00135220" w:rsidRDefault="00035233" w:rsidP="00E51DEA">
            <w:pPr>
              <w:pStyle w:val="05Tabletext"/>
              <w:keepNext/>
              <w:keepLines/>
              <w:spacing w:before="0"/>
              <w:jc w:val="center"/>
            </w:pPr>
            <w:r w:rsidRPr="00135220">
              <w:t>-</w:t>
            </w:r>
          </w:p>
          <w:p w:rsidR="00035233" w:rsidRPr="00135220" w:rsidRDefault="00035233" w:rsidP="00E51DEA">
            <w:pPr>
              <w:pStyle w:val="05Tabletext"/>
              <w:keepNext/>
              <w:keepLines/>
              <w:spacing w:before="0"/>
              <w:jc w:val="center"/>
            </w:pPr>
            <w:r w:rsidRPr="00135220">
              <w:t>11 (5.4)</w:t>
            </w:r>
          </w:p>
          <w:p w:rsidR="00035233" w:rsidRPr="00135220" w:rsidRDefault="00035233" w:rsidP="00E51DEA">
            <w:pPr>
              <w:pStyle w:val="06Tabletextspacebefore"/>
              <w:keepNext/>
              <w:keepLines/>
              <w:spacing w:before="0"/>
              <w:jc w:val="center"/>
            </w:pPr>
            <w:r w:rsidRPr="00135220">
              <w:t>5 (2.5)</w:t>
            </w:r>
          </w:p>
        </w:tc>
      </w:tr>
    </w:tbl>
    <w:p w:rsidR="00035233" w:rsidRDefault="00035233" w:rsidP="00E51DEA">
      <w:pPr>
        <w:pStyle w:val="10TableorFigurefootnote"/>
        <w:keepLines/>
      </w:pPr>
      <w:r>
        <w:t>Source: Singh (2015</w:t>
      </w:r>
      <w:r w:rsidR="004B1AD2">
        <w:t>b</w:t>
      </w:r>
      <w:r>
        <w:t>), Supplementary Table S6.</w:t>
      </w:r>
    </w:p>
    <w:p w:rsidR="00035233" w:rsidRDefault="00035233" w:rsidP="00E51DEA">
      <w:pPr>
        <w:pStyle w:val="10TableorFigurefootnote"/>
        <w:keepLines/>
      </w:pPr>
      <w:r>
        <w:t xml:space="preserve">Abbreviations: AE, adverse event; </w:t>
      </w:r>
      <w:r>
        <w:rPr>
          <w:noProof/>
          <w:lang w:eastAsia="en-AU"/>
        </w:rPr>
        <w:t xml:space="preserve">OLO, olodaterol; PBO, placebo; </w:t>
      </w:r>
      <w:r>
        <w:t xml:space="preserve">SAE, serious adverse event; </w:t>
      </w:r>
      <w:r>
        <w:rPr>
          <w:noProof/>
          <w:lang w:eastAsia="en-AU"/>
        </w:rPr>
        <w:t>TIO, triotropium</w:t>
      </w:r>
      <w:r>
        <w:t>.</w:t>
      </w:r>
    </w:p>
    <w:p w:rsidR="00035233" w:rsidRPr="00816720" w:rsidRDefault="00035233" w:rsidP="00E51DEA">
      <w:pPr>
        <w:pStyle w:val="11TableorFigurefootnotenostick"/>
        <w:keepNext/>
        <w:keepLines/>
      </w:pPr>
      <w:proofErr w:type="gramStart"/>
      <w:r>
        <w:rPr>
          <w:b/>
        </w:rPr>
        <w:t>a</w:t>
      </w:r>
      <w:proofErr w:type="gramEnd"/>
      <w:r>
        <w:t xml:space="preserve"> Investigator-defined</w:t>
      </w:r>
    </w:p>
    <w:p w:rsidR="00035233" w:rsidRDefault="00035233" w:rsidP="00035233">
      <w:pPr>
        <w:pStyle w:val="BodyText"/>
      </w:pPr>
      <w:r>
        <w:t>Singh et al (2016) undertook a post hoc analysis of the OTEMTO studies to evalu</w:t>
      </w:r>
      <w:r w:rsidR="00B85D87">
        <w:t>ate the efficacy of tiotropium/</w:t>
      </w:r>
      <w:r>
        <w:t xml:space="preserve">olodaterol compared to placebo and tiotropium in various subgroups of patients. Four main subgroup analyses were performed that compared GOLD 2 and GOLD 3 patients (see </w:t>
      </w:r>
      <w:r w:rsidR="00B85D87">
        <w:t>Figure 3.3</w:t>
      </w:r>
      <w:r>
        <w:t>); GOLD A-D patients</w:t>
      </w:r>
      <w:r>
        <w:rPr>
          <w:rStyle w:val="FootnoteReference"/>
        </w:rPr>
        <w:footnoteReference w:id="30"/>
      </w:r>
      <w:r>
        <w:t xml:space="preserve"> (see </w:t>
      </w:r>
      <w:r w:rsidR="00B85D87">
        <w:t>Figure 3.4</w:t>
      </w:r>
      <w:r>
        <w:t xml:space="preserve">); treatment history (see </w:t>
      </w:r>
      <w:r w:rsidR="00B85D87">
        <w:t>Figure 3.5</w:t>
      </w:r>
      <w:r>
        <w:t>) and baseline use of ICS (see</w:t>
      </w:r>
      <w:r w:rsidR="00B85D87" w:rsidRPr="00B85D87">
        <w:t xml:space="preserve"> </w:t>
      </w:r>
      <w:r w:rsidR="00B85D87">
        <w:t>Figure 3.6</w:t>
      </w:r>
      <w:r>
        <w:t>).</w:t>
      </w:r>
    </w:p>
    <w:p w:rsidR="00035233" w:rsidRPr="00C1662D" w:rsidRDefault="00B85D87" w:rsidP="00B411C6">
      <w:pPr>
        <w:pStyle w:val="ToR3Figureheader"/>
      </w:pPr>
      <w:bookmarkStart w:id="277" w:name="_Ref467843504"/>
      <w:bookmarkStart w:id="278" w:name="_Toc468006276"/>
      <w:bookmarkStart w:id="279" w:name="_Toc468012321"/>
      <w:bookmarkStart w:id="280" w:name="_Toc468034477"/>
      <w:bookmarkStart w:id="281" w:name="_Toc471891133"/>
      <w:bookmarkStart w:id="282" w:name="_Toc480375160"/>
      <w:bookmarkStart w:id="283" w:name="_Toc486428266"/>
      <w:r>
        <w:lastRenderedPageBreak/>
        <w:t>Figur</w:t>
      </w:r>
      <w:r w:rsidR="00B411C6">
        <w:t>e 3.3</w:t>
      </w:r>
      <w:r w:rsidR="00035233">
        <w:tab/>
        <w:t>Forest plot for trough FEV</w:t>
      </w:r>
      <w:r w:rsidR="00035233">
        <w:rPr>
          <w:vertAlign w:val="subscript"/>
        </w:rPr>
        <w:t>1</w:t>
      </w:r>
      <w:r w:rsidR="00035233">
        <w:t xml:space="preserve"> response in patients with GOLD 2 or 3 </w:t>
      </w:r>
      <w:proofErr w:type="gramStart"/>
      <w:r w:rsidR="00035233">
        <w:t>disease</w:t>
      </w:r>
      <w:proofErr w:type="gramEnd"/>
      <w:r w:rsidR="00035233">
        <w:t xml:space="preserve"> – TIO/OLO vs PBO and TIO/OLO vs TIO</w:t>
      </w:r>
      <w:bookmarkEnd w:id="277"/>
      <w:bookmarkEnd w:id="278"/>
      <w:bookmarkEnd w:id="279"/>
      <w:bookmarkEnd w:id="280"/>
      <w:bookmarkEnd w:id="281"/>
      <w:bookmarkEnd w:id="282"/>
      <w:bookmarkEnd w:id="283"/>
    </w:p>
    <w:p w:rsidR="00035233" w:rsidRDefault="00035233" w:rsidP="00035233">
      <w:pPr>
        <w:pStyle w:val="Picturewithbox"/>
      </w:pPr>
      <w:r>
        <w:rPr>
          <w:noProof/>
          <w:lang w:eastAsia="en-AU"/>
        </w:rPr>
        <w:drawing>
          <wp:inline distT="0" distB="0" distL="0" distR="0" wp14:anchorId="3F640231" wp14:editId="7AB4E1E5">
            <wp:extent cx="4394835" cy="2566035"/>
            <wp:effectExtent l="0" t="0" r="5715" b="5715"/>
            <wp:docPr id="4" name="Picture 4" descr="TIO/OLO vs PBO and TIO/OLO vs TIO" title="Forest plot for trough FEV1 response in patients with GOLD 2 or 3 disea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ngh 2016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394835" cy="2566035"/>
                    </a:xfrm>
                    <a:prstGeom prst="rect">
                      <a:avLst/>
                    </a:prstGeom>
                    <a:noFill/>
                    <a:ln>
                      <a:noFill/>
                    </a:ln>
                  </pic:spPr>
                </pic:pic>
              </a:graphicData>
            </a:graphic>
          </wp:inline>
        </w:drawing>
      </w:r>
    </w:p>
    <w:p w:rsidR="00035233" w:rsidRDefault="00035233" w:rsidP="00035233">
      <w:pPr>
        <w:pStyle w:val="10TableorFigurefootnote"/>
      </w:pPr>
      <w:r>
        <w:t>Source: Singh et al (2016), Figure 4a.</w:t>
      </w:r>
    </w:p>
    <w:p w:rsidR="00035233" w:rsidRDefault="00035233" w:rsidP="00035233">
      <w:pPr>
        <w:pStyle w:val="11TableorFigurefootnotenostick"/>
      </w:pPr>
      <w:r>
        <w:t xml:space="preserve">Abbreviations: CI, confidence interval; </w:t>
      </w:r>
      <w:r>
        <w:rPr>
          <w:noProof/>
          <w:lang w:eastAsia="en-AU"/>
        </w:rPr>
        <w:t>FEV</w:t>
      </w:r>
      <w:r>
        <w:rPr>
          <w:noProof/>
          <w:vertAlign w:val="subscript"/>
          <w:lang w:eastAsia="en-AU"/>
        </w:rPr>
        <w:t>1</w:t>
      </w:r>
      <w:r>
        <w:rPr>
          <w:noProof/>
          <w:lang w:eastAsia="en-AU"/>
        </w:rPr>
        <w:t xml:space="preserve">, forced expiratory volume in 1 second; </w:t>
      </w:r>
      <w:r>
        <w:t xml:space="preserve">GOLD, Global initiative for chronic Obstructive Lung Disease; </w:t>
      </w:r>
      <w:r>
        <w:rPr>
          <w:noProof/>
          <w:lang w:eastAsia="en-AU"/>
        </w:rPr>
        <w:t>O, olodaterol; OLO, olodaterol; PBO, placebo; T, tiotropium; TIO, triotropium</w:t>
      </w:r>
      <w:r>
        <w:t>.</w:t>
      </w:r>
    </w:p>
    <w:p w:rsidR="00035233" w:rsidRPr="000A22FF" w:rsidRDefault="00B411C6" w:rsidP="00B411C6">
      <w:pPr>
        <w:pStyle w:val="ToR3Figureheader"/>
      </w:pPr>
      <w:bookmarkStart w:id="284" w:name="_Toc468006277"/>
      <w:bookmarkStart w:id="285" w:name="_Toc468012322"/>
      <w:bookmarkStart w:id="286" w:name="_Toc468034478"/>
      <w:bookmarkStart w:id="287" w:name="_Toc471891134"/>
      <w:bookmarkStart w:id="288" w:name="_Toc480375161"/>
      <w:bookmarkStart w:id="289" w:name="_Toc486428267"/>
      <w:r>
        <w:t>Figure 3.4</w:t>
      </w:r>
      <w:r w:rsidR="00035233">
        <w:tab/>
        <w:t>Forest plot for trough FEV</w:t>
      </w:r>
      <w:r w:rsidR="00035233">
        <w:rPr>
          <w:vertAlign w:val="subscript"/>
        </w:rPr>
        <w:t>1</w:t>
      </w:r>
      <w:r w:rsidR="00035233">
        <w:t xml:space="preserve"> response in patients with GOLD A-D disease – TIO/OLO vs PBO and TIO/OLO vs TIO</w:t>
      </w:r>
      <w:bookmarkEnd w:id="284"/>
      <w:bookmarkEnd w:id="285"/>
      <w:bookmarkEnd w:id="286"/>
      <w:bookmarkEnd w:id="287"/>
      <w:bookmarkEnd w:id="288"/>
      <w:bookmarkEnd w:id="289"/>
    </w:p>
    <w:p w:rsidR="00035233" w:rsidRDefault="00035233" w:rsidP="00035233">
      <w:pPr>
        <w:pStyle w:val="Picturewithbox"/>
      </w:pPr>
      <w:r>
        <w:rPr>
          <w:noProof/>
          <w:lang w:eastAsia="en-AU"/>
        </w:rPr>
        <w:drawing>
          <wp:inline distT="0" distB="0" distL="0" distR="0" wp14:anchorId="084B1511" wp14:editId="4373DEDA">
            <wp:extent cx="4068445" cy="3013710"/>
            <wp:effectExtent l="0" t="0" r="8255" b="0"/>
            <wp:docPr id="5" name="Picture 5" descr="TIO/OLO vs PBO and TIO/OLO vs TIO" title="Forest plot for trough FEV1 response in patients with GOLD A-D disea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ngh 2016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068445" cy="3013710"/>
                    </a:xfrm>
                    <a:prstGeom prst="rect">
                      <a:avLst/>
                    </a:prstGeom>
                    <a:noFill/>
                    <a:ln>
                      <a:noFill/>
                    </a:ln>
                  </pic:spPr>
                </pic:pic>
              </a:graphicData>
            </a:graphic>
          </wp:inline>
        </w:drawing>
      </w:r>
    </w:p>
    <w:p w:rsidR="00035233" w:rsidRDefault="00035233" w:rsidP="00035233">
      <w:pPr>
        <w:pStyle w:val="10TableorFigurefootnote"/>
      </w:pPr>
      <w:r>
        <w:t>Source: Singh et al (2016), Figure 5a.</w:t>
      </w:r>
    </w:p>
    <w:p w:rsidR="00035233" w:rsidRDefault="00035233" w:rsidP="00035233">
      <w:pPr>
        <w:pStyle w:val="11TableorFigurefootnotenostick"/>
      </w:pPr>
      <w:bookmarkStart w:id="290" w:name="_Ref467843507"/>
      <w:bookmarkStart w:id="291" w:name="_Toc468006278"/>
      <w:bookmarkStart w:id="292" w:name="_Toc468012323"/>
      <w:r>
        <w:t xml:space="preserve">Abbreviations: CI, confidence interval; </w:t>
      </w:r>
      <w:r>
        <w:rPr>
          <w:noProof/>
          <w:lang w:eastAsia="en-AU"/>
        </w:rPr>
        <w:t>FEV</w:t>
      </w:r>
      <w:r>
        <w:rPr>
          <w:noProof/>
          <w:vertAlign w:val="subscript"/>
          <w:lang w:eastAsia="en-AU"/>
        </w:rPr>
        <w:t>1</w:t>
      </w:r>
      <w:r>
        <w:rPr>
          <w:noProof/>
          <w:lang w:eastAsia="en-AU"/>
        </w:rPr>
        <w:t xml:space="preserve">, forced expiratory volume in 1 second; </w:t>
      </w:r>
      <w:r>
        <w:t xml:space="preserve">GOLD, Global initiative for chronic Obstructive Lung Disease; </w:t>
      </w:r>
      <w:r>
        <w:rPr>
          <w:noProof/>
          <w:lang w:eastAsia="en-AU"/>
        </w:rPr>
        <w:t>O, olodaterol; OLO, olodaterol; PBO, placebo; T, tiotropium; TIO, triotropium</w:t>
      </w:r>
      <w:r>
        <w:t>.</w:t>
      </w:r>
    </w:p>
    <w:p w:rsidR="00035233" w:rsidRDefault="00B411C6" w:rsidP="00B411C6">
      <w:pPr>
        <w:pStyle w:val="ToR3Figureheader"/>
      </w:pPr>
      <w:bookmarkStart w:id="293" w:name="_Toc468034479"/>
      <w:bookmarkStart w:id="294" w:name="_Toc471891135"/>
      <w:bookmarkStart w:id="295" w:name="_Toc480375162"/>
      <w:bookmarkStart w:id="296" w:name="_Toc486428268"/>
      <w:bookmarkEnd w:id="290"/>
      <w:r>
        <w:lastRenderedPageBreak/>
        <w:t>Figure 3.5</w:t>
      </w:r>
      <w:r w:rsidR="00035233">
        <w:tab/>
        <w:t>Forest plot for trough FEV</w:t>
      </w:r>
      <w:r w:rsidR="00035233">
        <w:rPr>
          <w:vertAlign w:val="subscript"/>
        </w:rPr>
        <w:t>1</w:t>
      </w:r>
      <w:r w:rsidR="00035233">
        <w:t xml:space="preserve"> response in patients who were treatment naïve or experienced at baseline – TIO/OLO vs PBO and TIO/OLO vs TIO</w:t>
      </w:r>
      <w:bookmarkEnd w:id="291"/>
      <w:bookmarkEnd w:id="292"/>
      <w:bookmarkEnd w:id="293"/>
      <w:bookmarkEnd w:id="294"/>
      <w:bookmarkEnd w:id="295"/>
      <w:bookmarkEnd w:id="296"/>
    </w:p>
    <w:p w:rsidR="00035233" w:rsidRDefault="00035233" w:rsidP="00035233">
      <w:pPr>
        <w:pStyle w:val="Picturewithbox"/>
        <w:rPr>
          <w:noProof/>
          <w:lang w:eastAsia="en-AU"/>
        </w:rPr>
      </w:pPr>
      <w:r>
        <w:rPr>
          <w:noProof/>
          <w:lang w:eastAsia="en-AU"/>
        </w:rPr>
        <w:drawing>
          <wp:inline distT="0" distB="0" distL="0" distR="0" wp14:anchorId="4F393B71" wp14:editId="61AA4D9E">
            <wp:extent cx="4273550" cy="2621915"/>
            <wp:effectExtent l="0" t="0" r="0" b="6985"/>
            <wp:docPr id="6" name="Picture 6" descr="TIO/OLO vs PBO and TIO/OLO vs TIO" title="Forest plot for trough FEV1 response in patients who were treatment naïve or experienced at base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ngh 2016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273550" cy="2621915"/>
                    </a:xfrm>
                    <a:prstGeom prst="rect">
                      <a:avLst/>
                    </a:prstGeom>
                    <a:noFill/>
                    <a:ln>
                      <a:noFill/>
                    </a:ln>
                  </pic:spPr>
                </pic:pic>
              </a:graphicData>
            </a:graphic>
          </wp:inline>
        </w:drawing>
      </w:r>
    </w:p>
    <w:p w:rsidR="00035233" w:rsidRDefault="00035233" w:rsidP="00035233">
      <w:pPr>
        <w:pStyle w:val="10TableorFigurefootnote"/>
      </w:pPr>
      <w:r>
        <w:t>Source: Singh et al (2016), Figure 6a.</w:t>
      </w:r>
    </w:p>
    <w:p w:rsidR="00035233" w:rsidRDefault="00035233" w:rsidP="00035233">
      <w:pPr>
        <w:pStyle w:val="11TableorFigurefootnotenostick"/>
      </w:pPr>
      <w:bookmarkStart w:id="297" w:name="_Ref467843508"/>
      <w:bookmarkStart w:id="298" w:name="_Toc468006279"/>
      <w:bookmarkStart w:id="299" w:name="_Toc468012324"/>
      <w:r>
        <w:t xml:space="preserve">Abbreviations: CI, confidence interval; </w:t>
      </w:r>
      <w:r>
        <w:rPr>
          <w:noProof/>
          <w:lang w:eastAsia="en-AU"/>
        </w:rPr>
        <w:t>FEV</w:t>
      </w:r>
      <w:r>
        <w:rPr>
          <w:noProof/>
          <w:vertAlign w:val="subscript"/>
          <w:lang w:eastAsia="en-AU"/>
        </w:rPr>
        <w:t>1</w:t>
      </w:r>
      <w:r>
        <w:rPr>
          <w:noProof/>
          <w:lang w:eastAsia="en-AU"/>
        </w:rPr>
        <w:t>, forced expiratory volume in 1 second; O, olodaterol; OLO, olodaterol; PBO, placebo; T, tiotropium; TIO, triotropium</w:t>
      </w:r>
      <w:r>
        <w:t>.</w:t>
      </w:r>
    </w:p>
    <w:p w:rsidR="00035233" w:rsidRPr="001C4FAA" w:rsidRDefault="00B85D87" w:rsidP="00B411C6">
      <w:pPr>
        <w:pStyle w:val="ToR3Figureheader"/>
      </w:pPr>
      <w:bookmarkStart w:id="300" w:name="_Toc468034480"/>
      <w:bookmarkStart w:id="301" w:name="_Toc471891136"/>
      <w:bookmarkStart w:id="302" w:name="_Toc480375163"/>
      <w:bookmarkStart w:id="303" w:name="_Toc486428269"/>
      <w:bookmarkEnd w:id="297"/>
      <w:r>
        <w:t>Figure 3.6</w:t>
      </w:r>
      <w:r w:rsidR="00035233">
        <w:tab/>
        <w:t>Forest plot for trough FEV</w:t>
      </w:r>
      <w:r w:rsidR="00035233">
        <w:rPr>
          <w:vertAlign w:val="subscript"/>
        </w:rPr>
        <w:t>1</w:t>
      </w:r>
      <w:r w:rsidR="00035233">
        <w:t xml:space="preserve"> response in patients who were or were not taking ICS at baseline – TIO/OLO vs PBO and TIO/OLO vs TIO</w:t>
      </w:r>
      <w:bookmarkEnd w:id="298"/>
      <w:bookmarkEnd w:id="299"/>
      <w:bookmarkEnd w:id="300"/>
      <w:bookmarkEnd w:id="301"/>
      <w:bookmarkEnd w:id="302"/>
      <w:bookmarkEnd w:id="303"/>
    </w:p>
    <w:p w:rsidR="00035233" w:rsidRDefault="00035233" w:rsidP="00035233">
      <w:pPr>
        <w:pStyle w:val="Picturewithbox"/>
        <w:rPr>
          <w:noProof/>
          <w:lang w:eastAsia="en-AU"/>
        </w:rPr>
      </w:pPr>
      <w:r>
        <w:rPr>
          <w:noProof/>
          <w:lang w:eastAsia="en-AU"/>
        </w:rPr>
        <w:drawing>
          <wp:inline distT="0" distB="0" distL="0" distR="0" wp14:anchorId="5D7091FE" wp14:editId="429DB72F">
            <wp:extent cx="5365115" cy="2416810"/>
            <wp:effectExtent l="0" t="0" r="6985" b="2540"/>
            <wp:docPr id="7" name="Picture 7" descr="TIO/OLO vs PBO and TIO/OLO vs TIO" title="Forest plot for trough FEV1 response in patients who were or were not taking ICS at base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ngh 2016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365115" cy="2416810"/>
                    </a:xfrm>
                    <a:prstGeom prst="rect">
                      <a:avLst/>
                    </a:prstGeom>
                    <a:noFill/>
                    <a:ln>
                      <a:noFill/>
                    </a:ln>
                  </pic:spPr>
                </pic:pic>
              </a:graphicData>
            </a:graphic>
          </wp:inline>
        </w:drawing>
      </w:r>
    </w:p>
    <w:p w:rsidR="00035233" w:rsidRDefault="00035233" w:rsidP="00035233">
      <w:pPr>
        <w:pStyle w:val="10TableorFigurefootnote"/>
      </w:pPr>
      <w:r>
        <w:t>Source: Singh et al (2016), Figure 7a.</w:t>
      </w:r>
    </w:p>
    <w:p w:rsidR="00035233" w:rsidRDefault="00035233" w:rsidP="00035233">
      <w:pPr>
        <w:pStyle w:val="11TableorFigurefootnotenostick"/>
      </w:pPr>
      <w:r>
        <w:t xml:space="preserve">Abbreviations: CI, confidence interval; </w:t>
      </w:r>
      <w:r>
        <w:rPr>
          <w:noProof/>
          <w:lang w:eastAsia="en-AU"/>
        </w:rPr>
        <w:t>FEV</w:t>
      </w:r>
      <w:r>
        <w:rPr>
          <w:noProof/>
          <w:vertAlign w:val="subscript"/>
          <w:lang w:eastAsia="en-AU"/>
        </w:rPr>
        <w:t>1</w:t>
      </w:r>
      <w:r>
        <w:rPr>
          <w:noProof/>
          <w:lang w:eastAsia="en-AU"/>
        </w:rPr>
        <w:t>, forced expiratory volume in 1 second; ICS, inhaled corticosteroid; O, olodaterol; OLO, olodaterol; PBO, placebo; T, tiotropium; TIO, triotropium</w:t>
      </w:r>
      <w:r>
        <w:t>.</w:t>
      </w:r>
    </w:p>
    <w:p w:rsidR="00035233" w:rsidRDefault="00035233" w:rsidP="009B3FE7">
      <w:pPr>
        <w:pStyle w:val="BodyTextnospacebefore"/>
      </w:pPr>
      <w:r>
        <w:t>Across most subgroup analyses, treatment with tiotropium/olodaterol resulted in numerically better results than tiotropium monotherapy for trough FEV</w:t>
      </w:r>
      <w:r>
        <w:rPr>
          <w:vertAlign w:val="subscript"/>
        </w:rPr>
        <w:t>1</w:t>
      </w:r>
      <w:r>
        <w:t>, although in most cases the 95% CI crossed zero, indicating that the differences were not statistically significant. The exceptions were in patien</w:t>
      </w:r>
      <w:r w:rsidR="00B411C6">
        <w:t>ts classified as GOLD C;</w:t>
      </w:r>
      <w:r>
        <w:t xml:space="preserve"> patients who </w:t>
      </w:r>
      <w:r w:rsidR="003E6962">
        <w:t>had experience with</w:t>
      </w:r>
      <w:r>
        <w:t xml:space="preserve"> LA</w:t>
      </w:r>
      <w:r w:rsidR="00B411C6">
        <w:t>MA, LABA and/or ICS at baseline;</w:t>
      </w:r>
      <w:r>
        <w:t xml:space="preserve"> and patients who were receiving ICS at baseline</w:t>
      </w:r>
      <w:r w:rsidR="005A6466">
        <w:t>.</w:t>
      </w:r>
      <w:r>
        <w:t xml:space="preserve"> </w:t>
      </w:r>
      <w:r w:rsidR="005A6466">
        <w:t>H</w:t>
      </w:r>
      <w:r>
        <w:t>owever, the study was not sufficiently powered for statistical comparison between subgroups and the appa</w:t>
      </w:r>
      <w:r w:rsidR="00B85D87">
        <w:t>rent superiority of tiotropium/</w:t>
      </w:r>
      <w:r>
        <w:t>olodaterol over tiotropium in some subgroups may be an erroneous finding.</w:t>
      </w:r>
    </w:p>
    <w:p w:rsidR="003E6962" w:rsidRDefault="00035233" w:rsidP="00195FC1">
      <w:pPr>
        <w:pStyle w:val="BodyText"/>
      </w:pPr>
      <w:r>
        <w:lastRenderedPageBreak/>
        <w:t>The authors concluded that the added benefits of tiotropium/olodaterol compared to tiotropium monotherapy in treatment-naive patients suggest that tiotropium/olodaterol should be considered as an option for patients at the point where there is a need to initiate maintenance therapy (as well as in patients with more severe disease). However, the authors’ conclusions took into account a wider range of outcomes (including FEV</w:t>
      </w:r>
      <w:r>
        <w:rPr>
          <w:vertAlign w:val="subscript"/>
        </w:rPr>
        <w:t>1</w:t>
      </w:r>
      <w:r>
        <w:t xml:space="preserve"> AUC</w:t>
      </w:r>
      <w:r>
        <w:rPr>
          <w:vertAlign w:val="subscript"/>
        </w:rPr>
        <w:t>0-3</w:t>
      </w:r>
      <w:r>
        <w:t>, SGRQ, and TDI focal score) than those that are considered in this review of the evidence. Importantly, for trough FEV</w:t>
      </w:r>
      <w:r>
        <w:rPr>
          <w:vertAlign w:val="subscript"/>
        </w:rPr>
        <w:t>1</w:t>
      </w:r>
      <w:r>
        <w:t xml:space="preserve">, the 95% </w:t>
      </w:r>
      <w:r w:rsidR="00195FC1">
        <w:t>CI</w:t>
      </w:r>
      <w:r>
        <w:t xml:space="preserve"> crossed zero for the comparison of tiotropium/olodaterol and tiotropium in treatment-naïve individuals.</w:t>
      </w:r>
    </w:p>
    <w:p w:rsidR="00035233" w:rsidRDefault="00035233" w:rsidP="00195FC1">
      <w:pPr>
        <w:pStyle w:val="Heading4"/>
      </w:pPr>
      <w:r>
        <w:t>Umeclidinium/vilanterol versus tiotropium</w:t>
      </w:r>
    </w:p>
    <w:p w:rsidR="00035233" w:rsidRDefault="00035233" w:rsidP="00251CB8">
      <w:pPr>
        <w:pStyle w:val="Heading5"/>
        <w:numPr>
          <w:ilvl w:val="4"/>
          <w:numId w:val="11"/>
        </w:numPr>
      </w:pPr>
      <w:r>
        <w:t>Maleki-Yazdi (2014)</w:t>
      </w:r>
    </w:p>
    <w:p w:rsidR="00035233" w:rsidRPr="006658D3" w:rsidRDefault="00035233" w:rsidP="00035233">
      <w:pPr>
        <w:pStyle w:val="BodyTextnospacebefore"/>
      </w:pPr>
      <w:r>
        <w:t>This study was briefly mentioned in a minor re</w:t>
      </w:r>
      <w:r w:rsidR="009B3FE7">
        <w:t>submission</w:t>
      </w:r>
      <w:r w:rsidR="00B85D87">
        <w:t xml:space="preserve"> for umeclidinium/</w:t>
      </w:r>
      <w:r>
        <w:t>vilanterol (Anoro) in which, amongst other things, the manufacturer was clarifying the incremental benefit of the LAMA/LABA combination therapy versus monotherapy. The minor resubmission referred to the study as ZEP117115, but provided minimal information about the study and results. Therefore, it is included in this review of new evidence.</w:t>
      </w:r>
    </w:p>
    <w:p w:rsidR="00035233" w:rsidRPr="00E32D27" w:rsidRDefault="00035233" w:rsidP="00035233">
      <w:pPr>
        <w:pStyle w:val="BodyText"/>
      </w:pPr>
      <w:r>
        <w:t xml:space="preserve">The results for the primary outcome are shown in </w:t>
      </w:r>
      <w:r w:rsidR="00B85D87">
        <w:t>Table 3.</w:t>
      </w:r>
      <w:r w:rsidR="00C542B6">
        <w:t>40</w:t>
      </w:r>
      <w:r>
        <w:t>. The authors indicated that the observed improvement in trough FEV</w:t>
      </w:r>
      <w:r>
        <w:rPr>
          <w:vertAlign w:val="subscript"/>
        </w:rPr>
        <w:t>1</w:t>
      </w:r>
      <w:r>
        <w:t xml:space="preserve"> of 0.112 L </w:t>
      </w:r>
      <w:r w:rsidR="005A6466">
        <w:t xml:space="preserve">for umeclidinium/vilanterol compared to tiotropium </w:t>
      </w:r>
      <w:r>
        <w:t>was both statistically significant and clinically meaningful. Furthermore, the authors noted that the statistically significant improvement was observed early and maintained at other clinic visits throughout the treatment period.</w:t>
      </w:r>
    </w:p>
    <w:p w:rsidR="00035233" w:rsidRPr="00EF1FE8" w:rsidRDefault="00B85D87" w:rsidP="00B411C6">
      <w:pPr>
        <w:pStyle w:val="ToR3Tableheader"/>
      </w:pPr>
      <w:bookmarkStart w:id="304" w:name="_Toc468006280"/>
      <w:bookmarkStart w:id="305" w:name="_Toc468012325"/>
      <w:bookmarkStart w:id="306" w:name="_Toc468034481"/>
      <w:bookmarkStart w:id="307" w:name="_Toc471891031"/>
      <w:bookmarkStart w:id="308" w:name="_Toc486428219"/>
      <w:r>
        <w:t>Table 3.</w:t>
      </w:r>
      <w:r w:rsidR="00C542B6">
        <w:t>40</w:t>
      </w:r>
      <w:r w:rsidR="00035233">
        <w:tab/>
        <w:t>Treatment differences in least squares mean change from baseline – Trough FEV</w:t>
      </w:r>
      <w:r w:rsidR="00035233">
        <w:rPr>
          <w:vertAlign w:val="subscript"/>
        </w:rPr>
        <w:t>1</w:t>
      </w:r>
      <w:bookmarkEnd w:id="304"/>
      <w:bookmarkEnd w:id="305"/>
      <w:bookmarkEnd w:id="306"/>
      <w:bookmarkEnd w:id="307"/>
      <w:bookmarkEnd w:id="30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Caption w:val="Treatment differences in least squares mean change from baseline – Trough FEV1"/>
        <w:tblDescription w:val="UME/VIL vs TIO"/>
      </w:tblPr>
      <w:tblGrid>
        <w:gridCol w:w="1986"/>
        <w:gridCol w:w="1241"/>
        <w:gridCol w:w="1241"/>
        <w:gridCol w:w="1241"/>
        <w:gridCol w:w="1243"/>
        <w:gridCol w:w="1702"/>
        <w:gridCol w:w="994"/>
      </w:tblGrid>
      <w:tr w:rsidR="00035233" w:rsidRPr="00194011" w:rsidTr="00035233">
        <w:trPr>
          <w:cantSplit/>
          <w:tblHeader/>
        </w:trPr>
        <w:tc>
          <w:tcPr>
            <w:tcW w:w="1030" w:type="pct"/>
            <w:shd w:val="clear" w:color="auto" w:fill="BFBFBF"/>
          </w:tcPr>
          <w:p w:rsidR="00035233" w:rsidRPr="00424904" w:rsidRDefault="00035233" w:rsidP="00035233">
            <w:pPr>
              <w:pStyle w:val="01TableHEADINGleftaligned"/>
            </w:pPr>
            <w:r>
              <w:t>LS mean change from baseline</w:t>
            </w:r>
          </w:p>
        </w:tc>
        <w:tc>
          <w:tcPr>
            <w:tcW w:w="643" w:type="pct"/>
            <w:tcBorders>
              <w:bottom w:val="single" w:sz="4" w:space="0" w:color="auto"/>
              <w:right w:val="nil"/>
            </w:tcBorders>
            <w:shd w:val="clear" w:color="auto" w:fill="BFBFBF"/>
          </w:tcPr>
          <w:p w:rsidR="00035233" w:rsidRPr="00815893" w:rsidRDefault="00035233" w:rsidP="00035233">
            <w:pPr>
              <w:pStyle w:val="01TableHEADINGleftaligned"/>
              <w:ind w:right="0"/>
              <w:jc w:val="right"/>
            </w:pPr>
            <w:r>
              <w:t>UME/VIL</w:t>
            </w:r>
          </w:p>
        </w:tc>
        <w:tc>
          <w:tcPr>
            <w:tcW w:w="643" w:type="pct"/>
            <w:tcBorders>
              <w:left w:val="nil"/>
              <w:bottom w:val="single" w:sz="4" w:space="0" w:color="auto"/>
              <w:right w:val="single" w:sz="4" w:space="0" w:color="auto"/>
            </w:tcBorders>
            <w:shd w:val="clear" w:color="auto" w:fill="BFBFBF"/>
          </w:tcPr>
          <w:p w:rsidR="00035233" w:rsidRPr="00815893" w:rsidRDefault="00035233" w:rsidP="00035233">
            <w:pPr>
              <w:pStyle w:val="01TableHEADINGleftaligned"/>
              <w:ind w:left="28" w:right="0"/>
            </w:pPr>
            <w:r>
              <w:t>62.5/25</w:t>
            </w:r>
          </w:p>
        </w:tc>
        <w:tc>
          <w:tcPr>
            <w:tcW w:w="643" w:type="pct"/>
            <w:tcBorders>
              <w:left w:val="single" w:sz="4" w:space="0" w:color="auto"/>
              <w:bottom w:val="single" w:sz="4" w:space="0" w:color="auto"/>
              <w:right w:val="nil"/>
            </w:tcBorders>
            <w:shd w:val="clear" w:color="auto" w:fill="BFBFBF"/>
          </w:tcPr>
          <w:p w:rsidR="00035233" w:rsidRPr="00815893" w:rsidRDefault="00035233" w:rsidP="00035233">
            <w:pPr>
              <w:pStyle w:val="01TableHEADINGleftaligned"/>
              <w:ind w:left="28" w:right="0"/>
              <w:jc w:val="right"/>
            </w:pPr>
            <w:r>
              <w:t>TIO</w:t>
            </w:r>
          </w:p>
        </w:tc>
        <w:tc>
          <w:tcPr>
            <w:tcW w:w="644" w:type="pct"/>
            <w:tcBorders>
              <w:left w:val="nil"/>
              <w:bottom w:val="single" w:sz="4" w:space="0" w:color="auto"/>
              <w:right w:val="single" w:sz="4" w:space="0" w:color="auto"/>
            </w:tcBorders>
            <w:shd w:val="clear" w:color="auto" w:fill="BFBFBF"/>
          </w:tcPr>
          <w:p w:rsidR="00035233" w:rsidRPr="00815893" w:rsidRDefault="00035233" w:rsidP="00035233">
            <w:pPr>
              <w:pStyle w:val="01TableHEADINGleftaligned"/>
              <w:ind w:left="28"/>
            </w:pPr>
            <w:r>
              <w:t>18</w:t>
            </w:r>
          </w:p>
        </w:tc>
        <w:tc>
          <w:tcPr>
            <w:tcW w:w="882" w:type="pct"/>
            <w:tcBorders>
              <w:left w:val="single" w:sz="4" w:space="0" w:color="auto"/>
              <w:bottom w:val="single" w:sz="4" w:space="0" w:color="auto"/>
              <w:right w:val="single" w:sz="4" w:space="0" w:color="auto"/>
            </w:tcBorders>
            <w:shd w:val="clear" w:color="auto" w:fill="BFBFBF"/>
          </w:tcPr>
          <w:p w:rsidR="00035233" w:rsidRDefault="00035233" w:rsidP="00035233">
            <w:pPr>
              <w:pStyle w:val="01TableHEADINGleftaligned"/>
              <w:jc w:val="center"/>
            </w:pPr>
            <w:r>
              <w:t>Treatment difference, L, (95% CI)</w:t>
            </w:r>
          </w:p>
        </w:tc>
        <w:tc>
          <w:tcPr>
            <w:tcW w:w="515" w:type="pct"/>
            <w:tcBorders>
              <w:left w:val="single" w:sz="4" w:space="0" w:color="auto"/>
              <w:bottom w:val="single" w:sz="4" w:space="0" w:color="auto"/>
            </w:tcBorders>
            <w:shd w:val="clear" w:color="auto" w:fill="BFBFBF"/>
          </w:tcPr>
          <w:p w:rsidR="00035233" w:rsidRPr="00194011" w:rsidRDefault="00035233" w:rsidP="00035233">
            <w:pPr>
              <w:pStyle w:val="01TableHEADINGleftaligned"/>
              <w:jc w:val="center"/>
            </w:pPr>
            <w:r>
              <w:t>p-value</w:t>
            </w:r>
          </w:p>
        </w:tc>
      </w:tr>
      <w:tr w:rsidR="00035233" w:rsidRPr="00194011" w:rsidTr="00035233">
        <w:trPr>
          <w:cantSplit/>
        </w:trPr>
        <w:tc>
          <w:tcPr>
            <w:tcW w:w="1030" w:type="pct"/>
            <w:shd w:val="clear" w:color="auto" w:fill="000000"/>
          </w:tcPr>
          <w:p w:rsidR="00035233" w:rsidRPr="00194011" w:rsidRDefault="00035233" w:rsidP="00035233">
            <w:pPr>
              <w:pStyle w:val="04Tablesubheading"/>
            </w:pPr>
          </w:p>
        </w:tc>
        <w:tc>
          <w:tcPr>
            <w:tcW w:w="643" w:type="pct"/>
            <w:shd w:val="clear" w:color="auto" w:fill="000000"/>
          </w:tcPr>
          <w:p w:rsidR="00035233" w:rsidRPr="00194011" w:rsidRDefault="00035233" w:rsidP="00035233">
            <w:pPr>
              <w:pStyle w:val="04Tablesubheading"/>
              <w:jc w:val="center"/>
            </w:pPr>
            <w:r>
              <w:t>n</w:t>
            </w:r>
          </w:p>
        </w:tc>
        <w:tc>
          <w:tcPr>
            <w:tcW w:w="643" w:type="pct"/>
            <w:shd w:val="clear" w:color="auto" w:fill="000000"/>
          </w:tcPr>
          <w:p w:rsidR="00035233" w:rsidRPr="00194011" w:rsidRDefault="00035233" w:rsidP="00035233">
            <w:pPr>
              <w:pStyle w:val="04Tablesubheading"/>
              <w:jc w:val="center"/>
            </w:pPr>
            <w:r>
              <w:t>Mean (SE)</w:t>
            </w:r>
          </w:p>
        </w:tc>
        <w:tc>
          <w:tcPr>
            <w:tcW w:w="643" w:type="pct"/>
            <w:shd w:val="clear" w:color="auto" w:fill="000000"/>
          </w:tcPr>
          <w:p w:rsidR="00035233" w:rsidRPr="00194011" w:rsidRDefault="00035233" w:rsidP="00035233">
            <w:pPr>
              <w:pStyle w:val="04Tablesubheading"/>
              <w:jc w:val="center"/>
            </w:pPr>
            <w:r>
              <w:t>n</w:t>
            </w:r>
          </w:p>
        </w:tc>
        <w:tc>
          <w:tcPr>
            <w:tcW w:w="644" w:type="pct"/>
            <w:shd w:val="clear" w:color="auto" w:fill="000000"/>
          </w:tcPr>
          <w:p w:rsidR="00035233" w:rsidRPr="00194011" w:rsidRDefault="00035233" w:rsidP="00035233">
            <w:pPr>
              <w:pStyle w:val="04Tablesubheading"/>
              <w:jc w:val="center"/>
            </w:pPr>
            <w:r>
              <w:t>Mean (SE)</w:t>
            </w:r>
          </w:p>
        </w:tc>
        <w:tc>
          <w:tcPr>
            <w:tcW w:w="882" w:type="pct"/>
            <w:shd w:val="clear" w:color="auto" w:fill="000000"/>
          </w:tcPr>
          <w:p w:rsidR="00035233" w:rsidRPr="00194011" w:rsidRDefault="00035233" w:rsidP="00035233">
            <w:pPr>
              <w:pStyle w:val="04Tablesubheading"/>
              <w:jc w:val="center"/>
            </w:pPr>
          </w:p>
        </w:tc>
        <w:tc>
          <w:tcPr>
            <w:tcW w:w="515" w:type="pct"/>
            <w:shd w:val="clear" w:color="auto" w:fill="000000"/>
          </w:tcPr>
          <w:p w:rsidR="00035233" w:rsidRPr="00194011" w:rsidRDefault="00035233" w:rsidP="00035233">
            <w:pPr>
              <w:pStyle w:val="04Tablesubheading"/>
              <w:jc w:val="center"/>
            </w:pPr>
          </w:p>
        </w:tc>
      </w:tr>
      <w:tr w:rsidR="00035233" w:rsidRPr="00194011" w:rsidTr="00035233">
        <w:trPr>
          <w:cantSplit/>
        </w:trPr>
        <w:tc>
          <w:tcPr>
            <w:tcW w:w="1030" w:type="pct"/>
            <w:shd w:val="clear" w:color="auto" w:fill="auto"/>
          </w:tcPr>
          <w:p w:rsidR="00035233" w:rsidRPr="00C22F2F" w:rsidRDefault="00035233" w:rsidP="00035233">
            <w:pPr>
              <w:pStyle w:val="05Tabletext"/>
              <w:rPr>
                <w:vertAlign w:val="superscript"/>
              </w:rPr>
            </w:pPr>
            <w:r>
              <w:t>Trough FEV</w:t>
            </w:r>
            <w:r>
              <w:rPr>
                <w:vertAlign w:val="subscript"/>
              </w:rPr>
              <w:t>1</w:t>
            </w:r>
            <w:r w:rsidR="004B3085">
              <w:t xml:space="preserve"> at D</w:t>
            </w:r>
            <w:r>
              <w:t>ay 84, L</w:t>
            </w:r>
            <w:r>
              <w:rPr>
                <w:vertAlign w:val="superscript"/>
              </w:rPr>
              <w:t>a</w:t>
            </w:r>
          </w:p>
        </w:tc>
        <w:tc>
          <w:tcPr>
            <w:tcW w:w="643" w:type="pct"/>
            <w:shd w:val="clear" w:color="auto" w:fill="auto"/>
          </w:tcPr>
          <w:p w:rsidR="00035233" w:rsidRDefault="00035233" w:rsidP="00035233">
            <w:pPr>
              <w:pStyle w:val="05Tabletext"/>
              <w:jc w:val="center"/>
            </w:pPr>
            <w:r>
              <w:t>453</w:t>
            </w:r>
          </w:p>
        </w:tc>
        <w:tc>
          <w:tcPr>
            <w:tcW w:w="643" w:type="pct"/>
            <w:shd w:val="clear" w:color="auto" w:fill="auto"/>
          </w:tcPr>
          <w:p w:rsidR="00035233" w:rsidRDefault="00035233" w:rsidP="00035233">
            <w:pPr>
              <w:pStyle w:val="05Tabletext"/>
              <w:jc w:val="center"/>
            </w:pPr>
            <w:r>
              <w:t>0.189 (0.0111)</w:t>
            </w:r>
          </w:p>
        </w:tc>
        <w:tc>
          <w:tcPr>
            <w:tcW w:w="643" w:type="pct"/>
            <w:shd w:val="clear" w:color="auto" w:fill="auto"/>
          </w:tcPr>
          <w:p w:rsidR="00035233" w:rsidRDefault="00035233" w:rsidP="00035233">
            <w:pPr>
              <w:pStyle w:val="05Tabletext"/>
              <w:jc w:val="center"/>
            </w:pPr>
            <w:r>
              <w:t>449</w:t>
            </w:r>
          </w:p>
        </w:tc>
        <w:tc>
          <w:tcPr>
            <w:tcW w:w="644" w:type="pct"/>
            <w:shd w:val="clear" w:color="auto" w:fill="auto"/>
          </w:tcPr>
          <w:p w:rsidR="00035233" w:rsidRDefault="00035233" w:rsidP="00035233">
            <w:pPr>
              <w:pStyle w:val="05Tabletext"/>
              <w:jc w:val="center"/>
            </w:pPr>
            <w:r>
              <w:t>0.081 (0.0113)</w:t>
            </w:r>
          </w:p>
        </w:tc>
        <w:tc>
          <w:tcPr>
            <w:tcW w:w="882" w:type="pct"/>
            <w:shd w:val="clear" w:color="auto" w:fill="auto"/>
          </w:tcPr>
          <w:p w:rsidR="00035233" w:rsidRDefault="00035233" w:rsidP="00035233">
            <w:pPr>
              <w:pStyle w:val="05Tabletext"/>
              <w:jc w:val="center"/>
            </w:pPr>
            <w:r>
              <w:t>0.109 (0.078, 0.140)</w:t>
            </w:r>
          </w:p>
        </w:tc>
        <w:tc>
          <w:tcPr>
            <w:tcW w:w="515" w:type="pct"/>
          </w:tcPr>
          <w:p w:rsidR="00035233" w:rsidRDefault="00035233" w:rsidP="00035233">
            <w:pPr>
              <w:pStyle w:val="05Tabletext"/>
              <w:jc w:val="center"/>
            </w:pPr>
            <w:r>
              <w:t>&lt;0.001</w:t>
            </w:r>
          </w:p>
        </w:tc>
      </w:tr>
      <w:tr w:rsidR="00035233" w:rsidRPr="00194011" w:rsidTr="00035233">
        <w:trPr>
          <w:cantSplit/>
        </w:trPr>
        <w:tc>
          <w:tcPr>
            <w:tcW w:w="1030" w:type="pct"/>
            <w:shd w:val="clear" w:color="auto" w:fill="auto"/>
          </w:tcPr>
          <w:p w:rsidR="00035233" w:rsidRPr="00C22F2F" w:rsidRDefault="00035233" w:rsidP="00035233">
            <w:pPr>
              <w:pStyle w:val="05Tabletext"/>
              <w:rPr>
                <w:vertAlign w:val="superscript"/>
              </w:rPr>
            </w:pPr>
            <w:r>
              <w:t>Trough FEV</w:t>
            </w:r>
            <w:r>
              <w:rPr>
                <w:vertAlign w:val="subscript"/>
              </w:rPr>
              <w:t>1</w:t>
            </w:r>
            <w:r w:rsidR="004B3085">
              <w:t xml:space="preserve"> at D</w:t>
            </w:r>
            <w:r>
              <w:t>ay 169, L</w:t>
            </w:r>
            <w:r>
              <w:rPr>
                <w:vertAlign w:val="superscript"/>
              </w:rPr>
              <w:t>b</w:t>
            </w:r>
          </w:p>
        </w:tc>
        <w:tc>
          <w:tcPr>
            <w:tcW w:w="643" w:type="pct"/>
            <w:shd w:val="clear" w:color="auto" w:fill="auto"/>
          </w:tcPr>
          <w:p w:rsidR="00035233" w:rsidRDefault="00035233" w:rsidP="00035233">
            <w:pPr>
              <w:pStyle w:val="05Tabletext"/>
              <w:jc w:val="center"/>
            </w:pPr>
            <w:r>
              <w:t>454</w:t>
            </w:r>
          </w:p>
        </w:tc>
        <w:tc>
          <w:tcPr>
            <w:tcW w:w="643" w:type="pct"/>
            <w:shd w:val="clear" w:color="auto" w:fill="auto"/>
          </w:tcPr>
          <w:p w:rsidR="00035233" w:rsidRDefault="00035233" w:rsidP="00035233">
            <w:pPr>
              <w:pStyle w:val="05Tabletext"/>
              <w:jc w:val="center"/>
            </w:pPr>
            <w:r>
              <w:t>0.205 (0.0114)</w:t>
            </w:r>
          </w:p>
        </w:tc>
        <w:tc>
          <w:tcPr>
            <w:tcW w:w="643" w:type="pct"/>
            <w:shd w:val="clear" w:color="auto" w:fill="auto"/>
          </w:tcPr>
          <w:p w:rsidR="00035233" w:rsidRDefault="00035233" w:rsidP="00035233">
            <w:pPr>
              <w:pStyle w:val="05Tabletext"/>
              <w:jc w:val="center"/>
            </w:pPr>
            <w:r>
              <w:t>451</w:t>
            </w:r>
          </w:p>
        </w:tc>
        <w:tc>
          <w:tcPr>
            <w:tcW w:w="644" w:type="pct"/>
            <w:shd w:val="clear" w:color="auto" w:fill="auto"/>
          </w:tcPr>
          <w:p w:rsidR="00035233" w:rsidRDefault="00035233" w:rsidP="00035233">
            <w:pPr>
              <w:pStyle w:val="05Tabletext"/>
              <w:jc w:val="center"/>
            </w:pPr>
            <w:r>
              <w:t>0.093 (0.0115)</w:t>
            </w:r>
          </w:p>
        </w:tc>
        <w:tc>
          <w:tcPr>
            <w:tcW w:w="882" w:type="pct"/>
            <w:shd w:val="clear" w:color="auto" w:fill="auto"/>
          </w:tcPr>
          <w:p w:rsidR="00035233" w:rsidRDefault="00035233" w:rsidP="00035233">
            <w:pPr>
              <w:pStyle w:val="05Tabletext"/>
              <w:jc w:val="center"/>
            </w:pPr>
            <w:r>
              <w:t>0.112 (0.081, 0.144)</w:t>
            </w:r>
          </w:p>
        </w:tc>
        <w:tc>
          <w:tcPr>
            <w:tcW w:w="515" w:type="pct"/>
          </w:tcPr>
          <w:p w:rsidR="00035233" w:rsidRDefault="00035233" w:rsidP="00035233">
            <w:pPr>
              <w:pStyle w:val="05Tabletext"/>
              <w:jc w:val="center"/>
            </w:pPr>
            <w:r>
              <w:t>&lt;0.001</w:t>
            </w:r>
          </w:p>
        </w:tc>
      </w:tr>
    </w:tbl>
    <w:p w:rsidR="00035233" w:rsidRDefault="00035233" w:rsidP="00035233">
      <w:pPr>
        <w:pStyle w:val="10TableorFigurefootnote"/>
      </w:pPr>
      <w:r>
        <w:t>Source: Maleki-Yazdi (2014), Table 2 and Supplementary file 7.</w:t>
      </w:r>
    </w:p>
    <w:p w:rsidR="00035233" w:rsidRDefault="00035233" w:rsidP="00035233">
      <w:pPr>
        <w:pStyle w:val="10TableorFigurefootnote"/>
      </w:pPr>
      <w:r>
        <w:t xml:space="preserve">Note: </w:t>
      </w:r>
      <w:r w:rsidRPr="00C22F2F">
        <w:t xml:space="preserve">Analysis performed using a repeated measures model with covariates of treatment, baseline (mean of the two assessments made 30 and 5 min pre-dose on </w:t>
      </w:r>
      <w:r w:rsidR="004B3085">
        <w:t>D</w:t>
      </w:r>
      <w:r w:rsidRPr="00C22F2F">
        <w:t>ay 1), smoking status, center group, Day, Day by baseline, and Day by treatment interactions.</w:t>
      </w:r>
    </w:p>
    <w:p w:rsidR="00035233" w:rsidRDefault="00035233" w:rsidP="00035233">
      <w:pPr>
        <w:pStyle w:val="10TableorFigurefootnote"/>
      </w:pPr>
      <w:r>
        <w:t>Abbreviations: CI, confidence interval; FEV</w:t>
      </w:r>
      <w:r>
        <w:rPr>
          <w:vertAlign w:val="subscript"/>
        </w:rPr>
        <w:t>1</w:t>
      </w:r>
      <w:r>
        <w:t>, forced expiratory volume in one second; ITT, intention-to-treat; TIO, tiotropium; UME, umeclidinium; VIL, vilanterol.</w:t>
      </w:r>
    </w:p>
    <w:p w:rsidR="00035233" w:rsidRDefault="00035233" w:rsidP="00035233">
      <w:pPr>
        <w:pStyle w:val="10TableorFigurefootnote"/>
      </w:pPr>
      <w:proofErr w:type="gramStart"/>
      <w:r>
        <w:rPr>
          <w:b/>
        </w:rPr>
        <w:t>a</w:t>
      </w:r>
      <w:proofErr w:type="gramEnd"/>
      <w:r>
        <w:t xml:space="preserve"> Based on patients with analysable data for one or more visits.</w:t>
      </w:r>
    </w:p>
    <w:p w:rsidR="00035233" w:rsidRDefault="00035233" w:rsidP="00035233">
      <w:pPr>
        <w:pStyle w:val="11TableorFigurefootnotenostick"/>
      </w:pPr>
      <w:proofErr w:type="gramStart"/>
      <w:r>
        <w:rPr>
          <w:b/>
        </w:rPr>
        <w:t>b</w:t>
      </w:r>
      <w:proofErr w:type="gramEnd"/>
      <w:r>
        <w:rPr>
          <w:b/>
        </w:rPr>
        <w:t xml:space="preserve"> </w:t>
      </w:r>
      <w:r>
        <w:t>Primary outcome; ITT population.</w:t>
      </w:r>
    </w:p>
    <w:p w:rsidR="00035233" w:rsidRPr="00664AD4" w:rsidRDefault="00035233" w:rsidP="00035233">
      <w:pPr>
        <w:pStyle w:val="BodyText"/>
      </w:pPr>
      <w:r>
        <w:t>The study also demonstrated that after 24 weeks of treatment, a significantly higher proportion of patients treated with umeclidinium/vilanterol achieved an increase in trough FEV</w:t>
      </w:r>
      <w:r>
        <w:rPr>
          <w:vertAlign w:val="subscript"/>
        </w:rPr>
        <w:t>1</w:t>
      </w:r>
      <w:r>
        <w:t xml:space="preserve"> of ≥0.100 L above baseline than patients treated with tiotropium (see </w:t>
      </w:r>
      <w:r w:rsidR="00B85D87">
        <w:t>Table 3.4</w:t>
      </w:r>
      <w:r w:rsidR="00C542B6">
        <w:t>1</w:t>
      </w:r>
      <w:r>
        <w:t>).</w:t>
      </w:r>
    </w:p>
    <w:p w:rsidR="00035233" w:rsidRPr="00EF1FE8" w:rsidRDefault="00B85D87" w:rsidP="00B411C6">
      <w:pPr>
        <w:pStyle w:val="ToR3Tableheader"/>
      </w:pPr>
      <w:bookmarkStart w:id="309" w:name="_Toc468006281"/>
      <w:bookmarkStart w:id="310" w:name="_Toc468012326"/>
      <w:bookmarkStart w:id="311" w:name="_Toc468034482"/>
      <w:bookmarkStart w:id="312" w:name="_Toc471891032"/>
      <w:bookmarkStart w:id="313" w:name="_Toc486428220"/>
      <w:r>
        <w:t>Table 3.4</w:t>
      </w:r>
      <w:r w:rsidR="00C542B6">
        <w:t>1</w:t>
      </w:r>
      <w:r w:rsidR="00035233">
        <w:tab/>
        <w:t>Patients achieving an increase in trough FEV</w:t>
      </w:r>
      <w:r w:rsidR="00035233">
        <w:rPr>
          <w:vertAlign w:val="subscript"/>
        </w:rPr>
        <w:t>1</w:t>
      </w:r>
      <w:r w:rsidR="00035233">
        <w:t xml:space="preserve"> of </w:t>
      </w:r>
      <w:r w:rsidR="00035233">
        <w:rPr>
          <w:rFonts w:cs="Arial"/>
        </w:rPr>
        <w:t>≥</w:t>
      </w:r>
      <w:r w:rsidR="004B3085">
        <w:t>0.100L above baseline at D</w:t>
      </w:r>
      <w:r w:rsidR="00035233">
        <w:t>ay 169 – ITT population</w:t>
      </w:r>
      <w:bookmarkEnd w:id="309"/>
      <w:bookmarkEnd w:id="310"/>
      <w:bookmarkEnd w:id="311"/>
      <w:bookmarkEnd w:id="312"/>
      <w:bookmarkEnd w:id="3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Caption w:val="Patients achieving an increase in trough FEV1 of ≥0.100L above baseline at day 169"/>
        <w:tblDescription w:val="UME/VIL vs TIO"/>
      </w:tblPr>
      <w:tblGrid>
        <w:gridCol w:w="3548"/>
        <w:gridCol w:w="1702"/>
        <w:gridCol w:w="1704"/>
        <w:gridCol w:w="1704"/>
        <w:gridCol w:w="990"/>
      </w:tblGrid>
      <w:tr w:rsidR="00035233" w:rsidRPr="00194011" w:rsidTr="00035233">
        <w:trPr>
          <w:cantSplit/>
          <w:tblHeader/>
        </w:trPr>
        <w:tc>
          <w:tcPr>
            <w:tcW w:w="1839" w:type="pct"/>
            <w:shd w:val="clear" w:color="auto" w:fill="BFBFBF"/>
          </w:tcPr>
          <w:p w:rsidR="00035233" w:rsidRPr="00424904" w:rsidRDefault="00035233" w:rsidP="00035233">
            <w:pPr>
              <w:pStyle w:val="01TableHEADINGleftaligned"/>
            </w:pPr>
            <w:r w:rsidRPr="001E0882">
              <w:t>Trough FEV1 ≥0.100L above baseline</w:t>
            </w:r>
          </w:p>
        </w:tc>
        <w:tc>
          <w:tcPr>
            <w:tcW w:w="882" w:type="pct"/>
            <w:tcBorders>
              <w:bottom w:val="single" w:sz="4" w:space="0" w:color="auto"/>
              <w:right w:val="single" w:sz="4" w:space="0" w:color="auto"/>
            </w:tcBorders>
            <w:shd w:val="clear" w:color="auto" w:fill="BFBFBF"/>
          </w:tcPr>
          <w:p w:rsidR="00035233" w:rsidRPr="001E0882" w:rsidRDefault="00035233" w:rsidP="00035233">
            <w:pPr>
              <w:pStyle w:val="01TableHEADINGleftaligned"/>
              <w:ind w:right="0"/>
              <w:jc w:val="center"/>
              <w:rPr>
                <w:b w:val="0"/>
              </w:rPr>
            </w:pPr>
            <w:r>
              <w:t>UME/VIL (N=454)</w:t>
            </w:r>
          </w:p>
        </w:tc>
        <w:tc>
          <w:tcPr>
            <w:tcW w:w="883" w:type="pct"/>
            <w:tcBorders>
              <w:left w:val="single" w:sz="4" w:space="0" w:color="auto"/>
              <w:bottom w:val="single" w:sz="4" w:space="0" w:color="auto"/>
              <w:right w:val="single" w:sz="4" w:space="0" w:color="auto"/>
            </w:tcBorders>
            <w:shd w:val="clear" w:color="auto" w:fill="BFBFBF"/>
          </w:tcPr>
          <w:p w:rsidR="00035233" w:rsidRPr="001E0882" w:rsidRDefault="00035233" w:rsidP="00035233">
            <w:pPr>
              <w:pStyle w:val="01TableHEADINGleftaligned"/>
              <w:ind w:left="28"/>
              <w:jc w:val="center"/>
              <w:rPr>
                <w:b w:val="0"/>
              </w:rPr>
            </w:pPr>
            <w:r>
              <w:t>TIO (N=451)</w:t>
            </w:r>
          </w:p>
        </w:tc>
        <w:tc>
          <w:tcPr>
            <w:tcW w:w="883" w:type="pct"/>
            <w:tcBorders>
              <w:left w:val="single" w:sz="4" w:space="0" w:color="auto"/>
              <w:bottom w:val="single" w:sz="4" w:space="0" w:color="auto"/>
              <w:right w:val="single" w:sz="4" w:space="0" w:color="auto"/>
            </w:tcBorders>
            <w:shd w:val="clear" w:color="auto" w:fill="BFBFBF"/>
          </w:tcPr>
          <w:p w:rsidR="00035233" w:rsidRDefault="00035233" w:rsidP="00035233">
            <w:pPr>
              <w:pStyle w:val="01TableHEADINGleftaligned"/>
              <w:jc w:val="center"/>
            </w:pPr>
            <w:r>
              <w:t>OR (95% CI)</w:t>
            </w:r>
          </w:p>
        </w:tc>
        <w:tc>
          <w:tcPr>
            <w:tcW w:w="514" w:type="pct"/>
            <w:tcBorders>
              <w:left w:val="single" w:sz="4" w:space="0" w:color="auto"/>
              <w:bottom w:val="single" w:sz="4" w:space="0" w:color="auto"/>
            </w:tcBorders>
            <w:shd w:val="clear" w:color="auto" w:fill="BFBFBF"/>
          </w:tcPr>
          <w:p w:rsidR="00035233" w:rsidRPr="00194011" w:rsidRDefault="00035233" w:rsidP="00035233">
            <w:pPr>
              <w:pStyle w:val="01TableHEADINGleftaligned"/>
              <w:jc w:val="center"/>
            </w:pPr>
            <w:r>
              <w:t>p-value</w:t>
            </w:r>
          </w:p>
        </w:tc>
      </w:tr>
      <w:tr w:rsidR="00035233" w:rsidRPr="00194011" w:rsidTr="00035233">
        <w:trPr>
          <w:cantSplit/>
        </w:trPr>
        <w:tc>
          <w:tcPr>
            <w:tcW w:w="1839" w:type="pct"/>
            <w:shd w:val="clear" w:color="auto" w:fill="auto"/>
          </w:tcPr>
          <w:p w:rsidR="00035233" w:rsidRPr="00424904" w:rsidRDefault="004B3085" w:rsidP="00035233">
            <w:pPr>
              <w:pStyle w:val="05Tabletext"/>
            </w:pPr>
            <w:r>
              <w:t>Proportion of patients at D</w:t>
            </w:r>
            <w:r w:rsidR="00035233">
              <w:t>ay 169, n (%)</w:t>
            </w:r>
          </w:p>
        </w:tc>
        <w:tc>
          <w:tcPr>
            <w:tcW w:w="882" w:type="pct"/>
            <w:shd w:val="clear" w:color="auto" w:fill="auto"/>
          </w:tcPr>
          <w:p w:rsidR="00035233" w:rsidRDefault="00035233" w:rsidP="00035233">
            <w:pPr>
              <w:pStyle w:val="05Tabletext"/>
              <w:jc w:val="center"/>
            </w:pPr>
            <w:r>
              <w:t>275 (61)</w:t>
            </w:r>
          </w:p>
        </w:tc>
        <w:tc>
          <w:tcPr>
            <w:tcW w:w="883" w:type="pct"/>
            <w:shd w:val="clear" w:color="auto" w:fill="auto"/>
          </w:tcPr>
          <w:p w:rsidR="00035233" w:rsidRDefault="00035233" w:rsidP="00035233">
            <w:pPr>
              <w:pStyle w:val="05Tabletext"/>
              <w:jc w:val="center"/>
            </w:pPr>
            <w:r>
              <w:t>192 (43)</w:t>
            </w:r>
          </w:p>
        </w:tc>
        <w:tc>
          <w:tcPr>
            <w:tcW w:w="883" w:type="pct"/>
            <w:shd w:val="clear" w:color="auto" w:fill="auto"/>
          </w:tcPr>
          <w:p w:rsidR="00035233" w:rsidRDefault="00035233" w:rsidP="00035233">
            <w:pPr>
              <w:pStyle w:val="05Tabletext"/>
              <w:jc w:val="center"/>
            </w:pPr>
            <w:r>
              <w:t>2.1 (1.6, 2.7)</w:t>
            </w:r>
          </w:p>
        </w:tc>
        <w:tc>
          <w:tcPr>
            <w:tcW w:w="514" w:type="pct"/>
          </w:tcPr>
          <w:p w:rsidR="00035233" w:rsidRDefault="00035233" w:rsidP="00035233">
            <w:pPr>
              <w:pStyle w:val="05Tabletext"/>
              <w:jc w:val="center"/>
            </w:pPr>
            <w:r>
              <w:t>&lt;0.001</w:t>
            </w:r>
          </w:p>
        </w:tc>
      </w:tr>
    </w:tbl>
    <w:p w:rsidR="00035233" w:rsidRDefault="00035233" w:rsidP="00035233">
      <w:pPr>
        <w:pStyle w:val="10TableorFigurefootnote"/>
      </w:pPr>
      <w:r>
        <w:t xml:space="preserve">Source: Maleki-Yazdi (2014), Table 2. </w:t>
      </w:r>
    </w:p>
    <w:p w:rsidR="00035233" w:rsidRDefault="00035233" w:rsidP="00035233">
      <w:pPr>
        <w:pStyle w:val="11TableorFigurefootnotenostick"/>
      </w:pPr>
      <w:r>
        <w:t>Abbreviations: CI, confidence interval; FEV</w:t>
      </w:r>
      <w:r>
        <w:rPr>
          <w:vertAlign w:val="subscript"/>
        </w:rPr>
        <w:t>1</w:t>
      </w:r>
      <w:r>
        <w:t>, forced expiratory volume in one second; ITT, intention-to-treat; OR, odds ratio; TIO, tiotropium; UME, umeclidinium; VIL, vilanterol.</w:t>
      </w:r>
    </w:p>
    <w:p w:rsidR="00035233" w:rsidRPr="002E5409" w:rsidRDefault="00B85D87" w:rsidP="00035233">
      <w:pPr>
        <w:pStyle w:val="BodyText"/>
      </w:pPr>
      <w:r>
        <w:lastRenderedPageBreak/>
        <w:t>Table 3.4</w:t>
      </w:r>
      <w:r w:rsidR="00C542B6">
        <w:t>2</w:t>
      </w:r>
      <w:r>
        <w:t xml:space="preserve"> shows </w:t>
      </w:r>
      <w:r w:rsidR="00035233">
        <w:t xml:space="preserve">the time to first on-treatment exacerbation also favoured dual therapy; however, the difference between </w:t>
      </w:r>
      <w:r w:rsidR="00C90744">
        <w:t>dual-</w:t>
      </w:r>
      <w:r w:rsidR="00035233">
        <w:t xml:space="preserve"> and monotherapy was less pronounced for this outcome. </w:t>
      </w:r>
    </w:p>
    <w:p w:rsidR="00035233" w:rsidRPr="00EF1FE8" w:rsidRDefault="00AC7B51" w:rsidP="00C90744">
      <w:pPr>
        <w:pStyle w:val="ToR3Tableheader"/>
      </w:pPr>
      <w:bookmarkStart w:id="314" w:name="_Toc468006282"/>
      <w:bookmarkStart w:id="315" w:name="_Toc468012327"/>
      <w:bookmarkStart w:id="316" w:name="_Toc468034483"/>
      <w:bookmarkStart w:id="317" w:name="_Toc471891033"/>
      <w:bookmarkStart w:id="318" w:name="_Toc486428221"/>
      <w:r>
        <w:t>Table 3.4</w:t>
      </w:r>
      <w:r w:rsidR="00C90744">
        <w:t>2</w:t>
      </w:r>
      <w:r w:rsidR="00035233">
        <w:tab/>
        <w:t>On-treatment exacerbations – ITT population</w:t>
      </w:r>
      <w:bookmarkEnd w:id="314"/>
      <w:bookmarkEnd w:id="315"/>
      <w:bookmarkEnd w:id="316"/>
      <w:bookmarkEnd w:id="317"/>
      <w:bookmarkEnd w:id="3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Caption w:val="On-treatment exacerbations"/>
        <w:tblDescription w:val="UME/VIL vs TIO"/>
      </w:tblPr>
      <w:tblGrid>
        <w:gridCol w:w="4541"/>
        <w:gridCol w:w="1702"/>
        <w:gridCol w:w="1418"/>
        <w:gridCol w:w="1987"/>
      </w:tblGrid>
      <w:tr w:rsidR="00035233" w:rsidRPr="00194011" w:rsidTr="00035233">
        <w:trPr>
          <w:cantSplit/>
          <w:tblHeader/>
        </w:trPr>
        <w:tc>
          <w:tcPr>
            <w:tcW w:w="2353" w:type="pct"/>
            <w:shd w:val="clear" w:color="auto" w:fill="BFBFBF"/>
          </w:tcPr>
          <w:p w:rsidR="00035233" w:rsidRPr="00424904" w:rsidRDefault="00035233" w:rsidP="00035233">
            <w:pPr>
              <w:pStyle w:val="01TableHEADINGleftaligned"/>
            </w:pPr>
          </w:p>
        </w:tc>
        <w:tc>
          <w:tcPr>
            <w:tcW w:w="882" w:type="pct"/>
            <w:tcBorders>
              <w:bottom w:val="single" w:sz="4" w:space="0" w:color="auto"/>
              <w:right w:val="single" w:sz="4" w:space="0" w:color="auto"/>
            </w:tcBorders>
            <w:shd w:val="clear" w:color="auto" w:fill="BFBFBF"/>
          </w:tcPr>
          <w:p w:rsidR="00035233" w:rsidRPr="00815893" w:rsidRDefault="00035233" w:rsidP="00035233">
            <w:pPr>
              <w:pStyle w:val="01TableHEADINGleftaligned"/>
              <w:ind w:right="0"/>
              <w:jc w:val="center"/>
            </w:pPr>
            <w:r>
              <w:t>UME/VIL (N=454)</w:t>
            </w:r>
          </w:p>
        </w:tc>
        <w:tc>
          <w:tcPr>
            <w:tcW w:w="735" w:type="pct"/>
            <w:tcBorders>
              <w:left w:val="single" w:sz="4" w:space="0" w:color="auto"/>
              <w:bottom w:val="single" w:sz="4" w:space="0" w:color="auto"/>
              <w:right w:val="single" w:sz="4" w:space="0" w:color="auto"/>
            </w:tcBorders>
            <w:shd w:val="clear" w:color="auto" w:fill="BFBFBF"/>
          </w:tcPr>
          <w:p w:rsidR="00035233" w:rsidRPr="00815893" w:rsidRDefault="00035233" w:rsidP="00035233">
            <w:pPr>
              <w:pStyle w:val="01TableHEADINGleftaligned"/>
              <w:ind w:left="28"/>
              <w:jc w:val="center"/>
            </w:pPr>
            <w:r>
              <w:t>TIO (N=451)</w:t>
            </w:r>
          </w:p>
        </w:tc>
        <w:tc>
          <w:tcPr>
            <w:tcW w:w="1030" w:type="pct"/>
            <w:tcBorders>
              <w:left w:val="single" w:sz="4" w:space="0" w:color="auto"/>
              <w:bottom w:val="single" w:sz="4" w:space="0" w:color="auto"/>
            </w:tcBorders>
            <w:shd w:val="clear" w:color="auto" w:fill="BFBFBF"/>
          </w:tcPr>
          <w:p w:rsidR="00035233" w:rsidRPr="00194011" w:rsidRDefault="00035233" w:rsidP="00035233">
            <w:pPr>
              <w:pStyle w:val="01TableHEADINGleftaligned"/>
              <w:jc w:val="center"/>
            </w:pPr>
            <w:r>
              <w:t>Time to first on-treatment exacerbation, days</w:t>
            </w:r>
          </w:p>
        </w:tc>
      </w:tr>
      <w:tr w:rsidR="00035233" w:rsidRPr="00194011" w:rsidTr="00035233">
        <w:trPr>
          <w:cantSplit/>
        </w:trPr>
        <w:tc>
          <w:tcPr>
            <w:tcW w:w="2353" w:type="pct"/>
            <w:shd w:val="clear" w:color="auto" w:fill="auto"/>
          </w:tcPr>
          <w:p w:rsidR="00035233" w:rsidRPr="001E0938" w:rsidRDefault="00035233" w:rsidP="00035233">
            <w:pPr>
              <w:pStyle w:val="05Tabletext"/>
            </w:pPr>
            <w:r>
              <w:t>Subjects with on-treatment exacerbation, n (%)</w:t>
            </w:r>
          </w:p>
        </w:tc>
        <w:tc>
          <w:tcPr>
            <w:tcW w:w="882" w:type="pct"/>
            <w:shd w:val="clear" w:color="auto" w:fill="auto"/>
          </w:tcPr>
          <w:p w:rsidR="00035233" w:rsidRDefault="00035233" w:rsidP="00035233">
            <w:pPr>
              <w:pStyle w:val="05Tabletext"/>
              <w:jc w:val="center"/>
            </w:pPr>
            <w:r>
              <w:t>16 (4)</w:t>
            </w:r>
          </w:p>
        </w:tc>
        <w:tc>
          <w:tcPr>
            <w:tcW w:w="735" w:type="pct"/>
            <w:shd w:val="clear" w:color="auto" w:fill="auto"/>
          </w:tcPr>
          <w:p w:rsidR="00035233" w:rsidRDefault="00035233" w:rsidP="00035233">
            <w:pPr>
              <w:pStyle w:val="05Tabletext"/>
              <w:jc w:val="center"/>
            </w:pPr>
            <w:r>
              <w:t>29 (6)</w:t>
            </w:r>
          </w:p>
        </w:tc>
        <w:tc>
          <w:tcPr>
            <w:tcW w:w="1030" w:type="pct"/>
            <w:shd w:val="clear" w:color="auto" w:fill="auto"/>
          </w:tcPr>
          <w:p w:rsidR="00035233" w:rsidRDefault="00035233" w:rsidP="00035233">
            <w:pPr>
              <w:pStyle w:val="05Tabletext"/>
              <w:jc w:val="center"/>
            </w:pPr>
            <w:r>
              <w:t>-</w:t>
            </w:r>
          </w:p>
        </w:tc>
      </w:tr>
      <w:tr w:rsidR="00035233" w:rsidRPr="00194011" w:rsidTr="00035233">
        <w:trPr>
          <w:cantSplit/>
        </w:trPr>
        <w:tc>
          <w:tcPr>
            <w:tcW w:w="2353" w:type="pct"/>
            <w:shd w:val="clear" w:color="auto" w:fill="auto"/>
          </w:tcPr>
          <w:p w:rsidR="00035233" w:rsidRDefault="00035233" w:rsidP="00035233">
            <w:pPr>
              <w:pStyle w:val="05Tabletext"/>
            </w:pPr>
            <w:r>
              <w:t xml:space="preserve">Number </w:t>
            </w:r>
            <w:r w:rsidRPr="001E0938">
              <w:t>of these</w:t>
            </w:r>
            <w:r>
              <w:t xml:space="preserve"> subjects receiving ICS, n (%)</w:t>
            </w:r>
          </w:p>
        </w:tc>
        <w:tc>
          <w:tcPr>
            <w:tcW w:w="882" w:type="pct"/>
            <w:shd w:val="clear" w:color="auto" w:fill="auto"/>
          </w:tcPr>
          <w:p w:rsidR="00035233" w:rsidRDefault="00035233" w:rsidP="00035233">
            <w:pPr>
              <w:pStyle w:val="05Tabletext"/>
              <w:jc w:val="center"/>
            </w:pPr>
            <w:r>
              <w:t>12 (75)</w:t>
            </w:r>
          </w:p>
        </w:tc>
        <w:tc>
          <w:tcPr>
            <w:tcW w:w="735" w:type="pct"/>
            <w:shd w:val="clear" w:color="auto" w:fill="auto"/>
          </w:tcPr>
          <w:p w:rsidR="00035233" w:rsidRDefault="00035233" w:rsidP="00035233">
            <w:pPr>
              <w:pStyle w:val="05Tabletext"/>
              <w:jc w:val="center"/>
            </w:pPr>
            <w:r>
              <w:t>20 (69)</w:t>
            </w:r>
          </w:p>
        </w:tc>
        <w:tc>
          <w:tcPr>
            <w:tcW w:w="1030" w:type="pct"/>
            <w:shd w:val="clear" w:color="auto" w:fill="auto"/>
          </w:tcPr>
          <w:p w:rsidR="00035233" w:rsidRDefault="00035233" w:rsidP="00035233">
            <w:pPr>
              <w:pStyle w:val="05Tabletext"/>
              <w:jc w:val="center"/>
            </w:pPr>
            <w:r>
              <w:t>-</w:t>
            </w:r>
          </w:p>
        </w:tc>
      </w:tr>
      <w:tr w:rsidR="00035233" w:rsidRPr="00194011" w:rsidTr="00035233">
        <w:trPr>
          <w:cantSplit/>
        </w:trPr>
        <w:tc>
          <w:tcPr>
            <w:tcW w:w="2353" w:type="pct"/>
            <w:shd w:val="clear" w:color="auto" w:fill="auto"/>
          </w:tcPr>
          <w:p w:rsidR="00035233" w:rsidRDefault="00035233" w:rsidP="00035233">
            <w:pPr>
              <w:pStyle w:val="05Tabletext"/>
            </w:pPr>
            <w:r>
              <w:t>Time to first on-treatment exacerbation, HR (95% CI), p-value</w:t>
            </w:r>
          </w:p>
        </w:tc>
        <w:tc>
          <w:tcPr>
            <w:tcW w:w="882" w:type="pct"/>
            <w:shd w:val="clear" w:color="auto" w:fill="auto"/>
          </w:tcPr>
          <w:p w:rsidR="00035233" w:rsidRDefault="00035233" w:rsidP="00035233">
            <w:pPr>
              <w:pStyle w:val="05Tabletext"/>
              <w:jc w:val="center"/>
            </w:pPr>
            <w:r>
              <w:t>-</w:t>
            </w:r>
          </w:p>
        </w:tc>
        <w:tc>
          <w:tcPr>
            <w:tcW w:w="735" w:type="pct"/>
            <w:shd w:val="clear" w:color="auto" w:fill="auto"/>
          </w:tcPr>
          <w:p w:rsidR="00035233" w:rsidRDefault="00035233" w:rsidP="00035233">
            <w:pPr>
              <w:pStyle w:val="05Tabletext"/>
              <w:jc w:val="center"/>
            </w:pPr>
            <w:r>
              <w:t>-</w:t>
            </w:r>
          </w:p>
        </w:tc>
        <w:tc>
          <w:tcPr>
            <w:tcW w:w="1030" w:type="pct"/>
            <w:shd w:val="clear" w:color="auto" w:fill="auto"/>
          </w:tcPr>
          <w:p w:rsidR="00035233" w:rsidRDefault="00035233" w:rsidP="00035233">
            <w:pPr>
              <w:pStyle w:val="05Tabletext"/>
              <w:jc w:val="center"/>
            </w:pPr>
            <w:r>
              <w:t>0.5 (0.3, 1.0)</w:t>
            </w:r>
            <w:r>
              <w:br/>
              <w:t>0.044</w:t>
            </w:r>
          </w:p>
        </w:tc>
      </w:tr>
    </w:tbl>
    <w:p w:rsidR="00035233" w:rsidRDefault="00035233" w:rsidP="00035233">
      <w:pPr>
        <w:pStyle w:val="10TableorFigurefootnote"/>
      </w:pPr>
      <w:r>
        <w:t xml:space="preserve">Source: Maleki-Yazdi (2014), Supplementary </w:t>
      </w:r>
      <w:proofErr w:type="gramStart"/>
      <w:r>
        <w:t>file</w:t>
      </w:r>
      <w:proofErr w:type="gramEnd"/>
      <w:r>
        <w:t xml:space="preserve"> 11. </w:t>
      </w:r>
    </w:p>
    <w:p w:rsidR="00035233" w:rsidRDefault="00035233" w:rsidP="00035233">
      <w:pPr>
        <w:pStyle w:val="11TableorFigurefootnotenostick"/>
      </w:pPr>
      <w:r>
        <w:t>Abbreviations: CI, confidence interval; HR, hazard ratio; ICS, inhaled corticosteroid; ITT, intention-to-treat; OR, odds ratio; TIO, tiotropium; UME, umeclidinium; VIL, vilanterol.</w:t>
      </w:r>
    </w:p>
    <w:p w:rsidR="00035233" w:rsidRPr="008C1698" w:rsidRDefault="00035233" w:rsidP="00035233">
      <w:pPr>
        <w:pStyle w:val="BodyText"/>
      </w:pPr>
      <w:r>
        <w:t>The analysis of safety outcomes indicated that there were no major safety concerns, with an equal and relatively low proportion of SAEs and on-treatment fatalities in both treatment groups (see</w:t>
      </w:r>
      <w:r w:rsidR="00AC7B51" w:rsidRPr="00AC7B51">
        <w:t xml:space="preserve"> </w:t>
      </w:r>
      <w:r w:rsidR="00AC7B51">
        <w:t>Table 3.4</w:t>
      </w:r>
      <w:r w:rsidR="00C90744">
        <w:t>3</w:t>
      </w:r>
      <w:r>
        <w:t>).</w:t>
      </w:r>
    </w:p>
    <w:p w:rsidR="00035233" w:rsidRDefault="00AC7B51" w:rsidP="00C90744">
      <w:pPr>
        <w:pStyle w:val="ToR3Tableheader"/>
      </w:pPr>
      <w:bookmarkStart w:id="319" w:name="_Toc468006283"/>
      <w:bookmarkStart w:id="320" w:name="_Toc468012328"/>
      <w:bookmarkStart w:id="321" w:name="_Toc468034484"/>
      <w:bookmarkStart w:id="322" w:name="_Toc471891034"/>
      <w:bookmarkStart w:id="323" w:name="_Toc486428222"/>
      <w:r>
        <w:t>Table 3.4</w:t>
      </w:r>
      <w:r w:rsidR="00C90744">
        <w:t>3</w:t>
      </w:r>
      <w:r>
        <w:tab/>
      </w:r>
      <w:r w:rsidR="00035233">
        <w:t>Results for safety outcomes relating to UME/VIL vs TIO – ITT population</w:t>
      </w:r>
      <w:bookmarkEnd w:id="319"/>
      <w:bookmarkEnd w:id="320"/>
      <w:bookmarkEnd w:id="321"/>
      <w:bookmarkEnd w:id="322"/>
      <w:bookmarkEnd w:id="3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Caption w:val="Safety outcomes"/>
        <w:tblDescription w:val="UME/VIL vs TIO"/>
      </w:tblPr>
      <w:tblGrid>
        <w:gridCol w:w="3124"/>
        <w:gridCol w:w="3261"/>
        <w:gridCol w:w="3263"/>
      </w:tblGrid>
      <w:tr w:rsidR="00035233" w:rsidRPr="00194011" w:rsidTr="00035233">
        <w:trPr>
          <w:cantSplit/>
          <w:tblHeader/>
        </w:trPr>
        <w:tc>
          <w:tcPr>
            <w:tcW w:w="1619" w:type="pct"/>
            <w:shd w:val="clear" w:color="auto" w:fill="BFBFBF"/>
          </w:tcPr>
          <w:p w:rsidR="00035233" w:rsidRPr="00194011" w:rsidRDefault="00035233" w:rsidP="00035233">
            <w:pPr>
              <w:pStyle w:val="01TableHEADINGleftaligned"/>
              <w:rPr>
                <w:i/>
              </w:rPr>
            </w:pPr>
            <w:r>
              <w:t>Safety outcome</w:t>
            </w:r>
          </w:p>
        </w:tc>
        <w:tc>
          <w:tcPr>
            <w:tcW w:w="1690" w:type="pct"/>
            <w:tcBorders>
              <w:bottom w:val="single" w:sz="4" w:space="0" w:color="auto"/>
            </w:tcBorders>
            <w:shd w:val="clear" w:color="auto" w:fill="BFBFBF"/>
          </w:tcPr>
          <w:p w:rsidR="00035233" w:rsidRPr="00194011" w:rsidRDefault="00035233" w:rsidP="00035233">
            <w:pPr>
              <w:pStyle w:val="01TableHEADINGleftaligned"/>
              <w:jc w:val="center"/>
            </w:pPr>
            <w:r>
              <w:t>UME/VIL (N=454)</w:t>
            </w:r>
          </w:p>
        </w:tc>
        <w:tc>
          <w:tcPr>
            <w:tcW w:w="1691" w:type="pct"/>
            <w:tcBorders>
              <w:bottom w:val="single" w:sz="4" w:space="0" w:color="auto"/>
            </w:tcBorders>
            <w:shd w:val="clear" w:color="auto" w:fill="BFBFBF"/>
          </w:tcPr>
          <w:p w:rsidR="00035233" w:rsidRDefault="00035233" w:rsidP="00035233">
            <w:pPr>
              <w:pStyle w:val="01TableHEADINGleftaligned"/>
              <w:jc w:val="center"/>
            </w:pPr>
            <w:r>
              <w:t>TIO (N=451)</w:t>
            </w:r>
          </w:p>
        </w:tc>
      </w:tr>
      <w:tr w:rsidR="00035233" w:rsidRPr="00194011" w:rsidTr="00035233">
        <w:trPr>
          <w:cantSplit/>
        </w:trPr>
        <w:tc>
          <w:tcPr>
            <w:tcW w:w="1619" w:type="pct"/>
            <w:shd w:val="clear" w:color="auto" w:fill="auto"/>
          </w:tcPr>
          <w:p w:rsidR="00035233" w:rsidRPr="00194011" w:rsidRDefault="00035233" w:rsidP="00035233">
            <w:pPr>
              <w:pStyle w:val="05Tabletext"/>
            </w:pPr>
            <w:r>
              <w:t>Any AE, n (%)</w:t>
            </w:r>
          </w:p>
        </w:tc>
        <w:tc>
          <w:tcPr>
            <w:tcW w:w="1690" w:type="pct"/>
            <w:shd w:val="clear" w:color="auto" w:fill="auto"/>
          </w:tcPr>
          <w:p w:rsidR="00035233" w:rsidRPr="00194011" w:rsidRDefault="00035233" w:rsidP="00035233">
            <w:pPr>
              <w:pStyle w:val="05Tabletext"/>
              <w:jc w:val="center"/>
            </w:pPr>
            <w:r>
              <w:t>202 (44)</w:t>
            </w:r>
          </w:p>
        </w:tc>
        <w:tc>
          <w:tcPr>
            <w:tcW w:w="1691" w:type="pct"/>
            <w:shd w:val="clear" w:color="auto" w:fill="auto"/>
          </w:tcPr>
          <w:p w:rsidR="00035233" w:rsidRPr="00194011" w:rsidRDefault="00035233" w:rsidP="00035233">
            <w:pPr>
              <w:pStyle w:val="05Tabletext"/>
              <w:jc w:val="center"/>
            </w:pPr>
            <w:r>
              <w:t>190 (42)</w:t>
            </w:r>
          </w:p>
        </w:tc>
      </w:tr>
      <w:tr w:rsidR="00035233" w:rsidRPr="00194011" w:rsidTr="00035233">
        <w:trPr>
          <w:cantSplit/>
        </w:trPr>
        <w:tc>
          <w:tcPr>
            <w:tcW w:w="1619" w:type="pct"/>
            <w:shd w:val="clear" w:color="auto" w:fill="auto"/>
          </w:tcPr>
          <w:p w:rsidR="00035233" w:rsidRPr="00194011" w:rsidRDefault="00035233" w:rsidP="00035233">
            <w:pPr>
              <w:pStyle w:val="05Tabletext"/>
            </w:pPr>
            <w:r>
              <w:t>Any SAE, n (%)</w:t>
            </w:r>
          </w:p>
        </w:tc>
        <w:tc>
          <w:tcPr>
            <w:tcW w:w="1690" w:type="pct"/>
            <w:shd w:val="clear" w:color="auto" w:fill="auto"/>
          </w:tcPr>
          <w:p w:rsidR="00035233" w:rsidRPr="00194011" w:rsidRDefault="00035233" w:rsidP="00035233">
            <w:pPr>
              <w:pStyle w:val="05Tabletext"/>
              <w:jc w:val="center"/>
            </w:pPr>
            <w:r>
              <w:t>16 (4)</w:t>
            </w:r>
          </w:p>
        </w:tc>
        <w:tc>
          <w:tcPr>
            <w:tcW w:w="1691" w:type="pct"/>
            <w:shd w:val="clear" w:color="auto" w:fill="auto"/>
          </w:tcPr>
          <w:p w:rsidR="00035233" w:rsidRPr="00194011" w:rsidRDefault="00035233" w:rsidP="00035233">
            <w:pPr>
              <w:pStyle w:val="05Tabletext"/>
              <w:jc w:val="center"/>
            </w:pPr>
            <w:r>
              <w:t>17 (4)</w:t>
            </w:r>
          </w:p>
        </w:tc>
      </w:tr>
      <w:tr w:rsidR="00035233" w:rsidRPr="00194011" w:rsidTr="00035233">
        <w:trPr>
          <w:cantSplit/>
        </w:trPr>
        <w:tc>
          <w:tcPr>
            <w:tcW w:w="1619" w:type="pct"/>
            <w:shd w:val="clear" w:color="auto" w:fill="auto"/>
          </w:tcPr>
          <w:p w:rsidR="00035233" w:rsidRPr="006E27DA" w:rsidRDefault="00035233" w:rsidP="00035233">
            <w:pPr>
              <w:pStyle w:val="05Tabletext"/>
              <w:rPr>
                <w:vertAlign w:val="superscript"/>
              </w:rPr>
            </w:pPr>
            <w:r>
              <w:t>Drug-related AE, n (%)</w:t>
            </w:r>
          </w:p>
        </w:tc>
        <w:tc>
          <w:tcPr>
            <w:tcW w:w="1690" w:type="pct"/>
            <w:shd w:val="clear" w:color="auto" w:fill="auto"/>
          </w:tcPr>
          <w:p w:rsidR="00035233" w:rsidRPr="00194011" w:rsidRDefault="00035233" w:rsidP="00035233">
            <w:pPr>
              <w:pStyle w:val="05Tabletext"/>
              <w:jc w:val="center"/>
            </w:pPr>
            <w:r>
              <w:t>19 (4)</w:t>
            </w:r>
          </w:p>
        </w:tc>
        <w:tc>
          <w:tcPr>
            <w:tcW w:w="1691" w:type="pct"/>
            <w:shd w:val="clear" w:color="auto" w:fill="auto"/>
          </w:tcPr>
          <w:p w:rsidR="00035233" w:rsidRPr="00194011" w:rsidRDefault="00035233" w:rsidP="00035233">
            <w:pPr>
              <w:pStyle w:val="05Tabletext"/>
              <w:jc w:val="center"/>
            </w:pPr>
            <w:r>
              <w:t>17 (4)</w:t>
            </w:r>
          </w:p>
        </w:tc>
      </w:tr>
      <w:tr w:rsidR="00035233" w:rsidRPr="00194011" w:rsidTr="00035233">
        <w:trPr>
          <w:cantSplit/>
        </w:trPr>
        <w:tc>
          <w:tcPr>
            <w:tcW w:w="1619" w:type="pct"/>
            <w:shd w:val="clear" w:color="auto" w:fill="auto"/>
          </w:tcPr>
          <w:p w:rsidR="00035233" w:rsidRDefault="00035233" w:rsidP="00035233">
            <w:pPr>
              <w:pStyle w:val="05Tabletext"/>
            </w:pPr>
            <w:r>
              <w:t>AE-s leading to permanent discontinuation of medication or withdrawal, n (%)</w:t>
            </w:r>
          </w:p>
        </w:tc>
        <w:tc>
          <w:tcPr>
            <w:tcW w:w="1690" w:type="pct"/>
            <w:shd w:val="clear" w:color="auto" w:fill="auto"/>
          </w:tcPr>
          <w:p w:rsidR="00035233" w:rsidRPr="00194011" w:rsidRDefault="00035233" w:rsidP="00035233">
            <w:pPr>
              <w:pStyle w:val="05Tabletext"/>
              <w:jc w:val="center"/>
            </w:pPr>
            <w:r>
              <w:t>18 (4)</w:t>
            </w:r>
          </w:p>
        </w:tc>
        <w:tc>
          <w:tcPr>
            <w:tcW w:w="1691" w:type="pct"/>
            <w:shd w:val="clear" w:color="auto" w:fill="auto"/>
          </w:tcPr>
          <w:p w:rsidR="00035233" w:rsidRPr="00194011" w:rsidRDefault="00035233" w:rsidP="00035233">
            <w:pPr>
              <w:pStyle w:val="05Tabletext"/>
              <w:jc w:val="center"/>
            </w:pPr>
            <w:r>
              <w:t>14 (3)</w:t>
            </w:r>
          </w:p>
        </w:tc>
      </w:tr>
      <w:tr w:rsidR="00035233" w:rsidRPr="00194011" w:rsidTr="00035233">
        <w:trPr>
          <w:cantSplit/>
        </w:trPr>
        <w:tc>
          <w:tcPr>
            <w:tcW w:w="1619" w:type="pct"/>
            <w:shd w:val="clear" w:color="auto" w:fill="auto"/>
          </w:tcPr>
          <w:p w:rsidR="00035233" w:rsidRDefault="00035233" w:rsidP="00035233">
            <w:pPr>
              <w:pStyle w:val="05Tabletext"/>
            </w:pPr>
            <w:r>
              <w:t>Fatal AEs, n (%)</w:t>
            </w:r>
          </w:p>
          <w:p w:rsidR="00035233" w:rsidRDefault="00035233" w:rsidP="00035233">
            <w:pPr>
              <w:pStyle w:val="05Tabletext"/>
              <w:ind w:firstLine="232"/>
            </w:pPr>
            <w:r>
              <w:t>On-treatment</w:t>
            </w:r>
          </w:p>
          <w:p w:rsidR="00035233" w:rsidRPr="00770AB1" w:rsidRDefault="00035233" w:rsidP="00035233">
            <w:pPr>
              <w:pStyle w:val="05Tabletext"/>
              <w:ind w:firstLine="232"/>
            </w:pPr>
            <w:r>
              <w:t>Post-treatment</w:t>
            </w:r>
          </w:p>
        </w:tc>
        <w:tc>
          <w:tcPr>
            <w:tcW w:w="1690" w:type="pct"/>
            <w:shd w:val="clear" w:color="auto" w:fill="auto"/>
          </w:tcPr>
          <w:p w:rsidR="00035233" w:rsidRDefault="00035233" w:rsidP="00035233">
            <w:pPr>
              <w:pStyle w:val="05Tabletext"/>
              <w:jc w:val="center"/>
            </w:pPr>
            <w:r>
              <w:t>-</w:t>
            </w:r>
          </w:p>
          <w:p w:rsidR="00035233" w:rsidRDefault="00035233" w:rsidP="00035233">
            <w:pPr>
              <w:pStyle w:val="05Tabletext"/>
              <w:jc w:val="center"/>
            </w:pPr>
            <w:r>
              <w:t>2 (&lt;1)</w:t>
            </w:r>
          </w:p>
          <w:p w:rsidR="00035233" w:rsidRPr="00770AB1" w:rsidRDefault="00035233" w:rsidP="00035233">
            <w:pPr>
              <w:pStyle w:val="05Tabletext"/>
              <w:jc w:val="center"/>
            </w:pPr>
            <w:r>
              <w:t>0</w:t>
            </w:r>
          </w:p>
        </w:tc>
        <w:tc>
          <w:tcPr>
            <w:tcW w:w="1691" w:type="pct"/>
            <w:shd w:val="clear" w:color="auto" w:fill="auto"/>
          </w:tcPr>
          <w:p w:rsidR="00035233" w:rsidRDefault="00035233" w:rsidP="00035233">
            <w:pPr>
              <w:pStyle w:val="05Tabletext"/>
              <w:jc w:val="center"/>
            </w:pPr>
            <w:r>
              <w:t>-</w:t>
            </w:r>
          </w:p>
          <w:p w:rsidR="00035233" w:rsidRDefault="00035233" w:rsidP="00035233">
            <w:pPr>
              <w:pStyle w:val="05Tabletext"/>
              <w:jc w:val="center"/>
            </w:pPr>
            <w:r>
              <w:t>2 (&lt;1)</w:t>
            </w:r>
          </w:p>
          <w:p w:rsidR="00035233" w:rsidRPr="00770AB1" w:rsidRDefault="00035233" w:rsidP="00035233">
            <w:pPr>
              <w:pStyle w:val="05Tabletext"/>
              <w:jc w:val="center"/>
            </w:pPr>
            <w:r>
              <w:t>3 (&lt;1)</w:t>
            </w:r>
          </w:p>
        </w:tc>
      </w:tr>
      <w:tr w:rsidR="00035233" w:rsidRPr="00194011" w:rsidTr="00035233">
        <w:trPr>
          <w:cantSplit/>
        </w:trPr>
        <w:tc>
          <w:tcPr>
            <w:tcW w:w="1619" w:type="pct"/>
            <w:shd w:val="clear" w:color="auto" w:fill="auto"/>
          </w:tcPr>
          <w:p w:rsidR="00035233" w:rsidRDefault="00035233" w:rsidP="00035233">
            <w:pPr>
              <w:pStyle w:val="05Tabletext"/>
            </w:pPr>
            <w:r>
              <w:t>Cardiovascular AEs</w:t>
            </w:r>
          </w:p>
        </w:tc>
        <w:tc>
          <w:tcPr>
            <w:tcW w:w="1690" w:type="pct"/>
            <w:shd w:val="clear" w:color="auto" w:fill="auto"/>
          </w:tcPr>
          <w:p w:rsidR="00035233" w:rsidRPr="00194011" w:rsidRDefault="00035233" w:rsidP="00035233">
            <w:pPr>
              <w:pStyle w:val="05Tabletext"/>
              <w:jc w:val="center"/>
            </w:pPr>
            <w:r>
              <w:t>9 (2)</w:t>
            </w:r>
          </w:p>
        </w:tc>
        <w:tc>
          <w:tcPr>
            <w:tcW w:w="1691" w:type="pct"/>
            <w:shd w:val="clear" w:color="auto" w:fill="auto"/>
          </w:tcPr>
          <w:p w:rsidR="00035233" w:rsidRPr="00194011" w:rsidRDefault="00035233" w:rsidP="00035233">
            <w:pPr>
              <w:pStyle w:val="05Tabletext"/>
              <w:jc w:val="center"/>
            </w:pPr>
            <w:r>
              <w:t>7 (2)</w:t>
            </w:r>
          </w:p>
        </w:tc>
      </w:tr>
      <w:tr w:rsidR="00035233" w:rsidRPr="00194011" w:rsidTr="00035233">
        <w:trPr>
          <w:cantSplit/>
        </w:trPr>
        <w:tc>
          <w:tcPr>
            <w:tcW w:w="1619" w:type="pct"/>
            <w:shd w:val="clear" w:color="auto" w:fill="auto"/>
          </w:tcPr>
          <w:p w:rsidR="00035233" w:rsidRPr="00364207" w:rsidRDefault="00035233" w:rsidP="00035233">
            <w:pPr>
              <w:pStyle w:val="05Tabletext"/>
              <w:rPr>
                <w:vertAlign w:val="superscript"/>
              </w:rPr>
            </w:pPr>
            <w:r>
              <w:t>Pneumonia</w:t>
            </w:r>
            <w:r>
              <w:rPr>
                <w:vertAlign w:val="superscript"/>
              </w:rPr>
              <w:t>a</w:t>
            </w:r>
          </w:p>
        </w:tc>
        <w:tc>
          <w:tcPr>
            <w:tcW w:w="1690" w:type="pct"/>
            <w:shd w:val="clear" w:color="auto" w:fill="auto"/>
          </w:tcPr>
          <w:p w:rsidR="00035233" w:rsidRPr="00194011" w:rsidRDefault="00035233" w:rsidP="00035233">
            <w:pPr>
              <w:pStyle w:val="05Tabletext"/>
              <w:jc w:val="center"/>
            </w:pPr>
            <w:r>
              <w:t>1 (&lt;1)</w:t>
            </w:r>
          </w:p>
        </w:tc>
        <w:tc>
          <w:tcPr>
            <w:tcW w:w="1691" w:type="pct"/>
            <w:shd w:val="clear" w:color="auto" w:fill="auto"/>
          </w:tcPr>
          <w:p w:rsidR="00035233" w:rsidRPr="00194011" w:rsidRDefault="00035233" w:rsidP="00035233">
            <w:pPr>
              <w:pStyle w:val="05Tabletext"/>
              <w:jc w:val="center"/>
            </w:pPr>
            <w:r>
              <w:t>3 (&lt;1)</w:t>
            </w:r>
          </w:p>
        </w:tc>
      </w:tr>
    </w:tbl>
    <w:p w:rsidR="00035233" w:rsidRDefault="00035233" w:rsidP="00035233">
      <w:pPr>
        <w:pStyle w:val="10TableorFigurefootnote"/>
      </w:pPr>
      <w:r>
        <w:t>Source: Maleki-Yazdi (2014), Table 4.</w:t>
      </w:r>
    </w:p>
    <w:p w:rsidR="00035233" w:rsidRDefault="00035233" w:rsidP="00035233">
      <w:pPr>
        <w:pStyle w:val="10TableorFigurefootnote"/>
      </w:pPr>
      <w:r>
        <w:t>Abbreviations: AE, adverse event; ITT, intention-to-treat; SAE, serious adverse event; TIO, tiotropium; UME, umeclidinium; VIL, vilanterol.</w:t>
      </w:r>
    </w:p>
    <w:p w:rsidR="00035233" w:rsidRDefault="00035233" w:rsidP="00035233">
      <w:pPr>
        <w:pStyle w:val="11TableorFigurefootnotenostick"/>
      </w:pPr>
      <w:proofErr w:type="gramStart"/>
      <w:r>
        <w:rPr>
          <w:b/>
        </w:rPr>
        <w:t>a</w:t>
      </w:r>
      <w:proofErr w:type="gramEnd"/>
      <w:r>
        <w:t xml:space="preserve"> The subject in the UMEC/VI 62.5/25 group with an on-treatment pneumonia event had entered screening on an ICS. Of the three TIO subjects that had an on-treatment pneumonia event, one subject was receiving an ICS.</w:t>
      </w:r>
    </w:p>
    <w:p w:rsidR="00035233" w:rsidRPr="00054992" w:rsidRDefault="00035233" w:rsidP="00035233">
      <w:pPr>
        <w:pStyle w:val="BodyText"/>
      </w:pPr>
      <w:r>
        <w:t xml:space="preserve">It should be noted that at screening </w:t>
      </w:r>
      <w:r w:rsidRPr="00DD6F2F">
        <w:t xml:space="preserve">a comparable number of patients in each treatment arm were </w:t>
      </w:r>
      <w:r>
        <w:t xml:space="preserve">using </w:t>
      </w:r>
      <w:r w:rsidRPr="00DD6F2F">
        <w:t>ICS</w:t>
      </w:r>
      <w:r>
        <w:t xml:space="preserve"> therapies:</w:t>
      </w:r>
      <w:r w:rsidRPr="00DD6F2F">
        <w:t xml:space="preserve"> 247 (54%) and 237 (53%) patients in the umeclidinium/</w:t>
      </w:r>
      <w:r>
        <w:rPr>
          <w:rFonts w:hint="cs"/>
        </w:rPr>
        <w:t>‌</w:t>
      </w:r>
      <w:r w:rsidRPr="00DD6F2F">
        <w:t>vilanterol and tiotropium arms, respectively.</w:t>
      </w:r>
      <w:r>
        <w:t xml:space="preserve"> An exploratory analysis of the impact of ICS use on outcomes in this study demonstrated that it did not impact the treatment effect on trough FEV</w:t>
      </w:r>
      <w:r>
        <w:rPr>
          <w:vertAlign w:val="subscript"/>
        </w:rPr>
        <w:t>1</w:t>
      </w:r>
      <w:r>
        <w:t xml:space="preserve"> after 24 weeks; however, the authors acknowledged that the study was insufficiently powered to detect such interactions.</w:t>
      </w:r>
    </w:p>
    <w:p w:rsidR="00035233" w:rsidRDefault="00035233" w:rsidP="00251CB8">
      <w:pPr>
        <w:pStyle w:val="Heading4"/>
        <w:numPr>
          <w:ilvl w:val="3"/>
          <w:numId w:val="11"/>
        </w:numPr>
      </w:pPr>
      <w:r>
        <w:t>Umeclidinium/vilanterol versus umeclidinium</w:t>
      </w:r>
    </w:p>
    <w:p w:rsidR="00035233" w:rsidRDefault="00035233" w:rsidP="00251CB8">
      <w:pPr>
        <w:pStyle w:val="Heading5"/>
        <w:numPr>
          <w:ilvl w:val="4"/>
          <w:numId w:val="11"/>
        </w:numPr>
      </w:pPr>
      <w:r>
        <w:t>Maltais (2014)</w:t>
      </w:r>
    </w:p>
    <w:p w:rsidR="00035233" w:rsidRPr="008946C4" w:rsidRDefault="00035233" w:rsidP="00035233">
      <w:pPr>
        <w:pStyle w:val="BodyTextnospacebefore"/>
        <w:rPr>
          <w:vertAlign w:val="subscript"/>
        </w:rPr>
      </w:pPr>
      <w:r>
        <w:t>The publication by Maltais et al (2014) summarised results from two similar RCTs (referred to as Study 417 and 418) that were conducted by the same sponsor. While the major focus of the study was on exercise endurance, trough FEV</w:t>
      </w:r>
      <w:r>
        <w:rPr>
          <w:vertAlign w:val="subscript"/>
        </w:rPr>
        <w:t>1</w:t>
      </w:r>
      <w:r>
        <w:t xml:space="preserve"> was included as a co-primary outcome, enabling the assessment of umeclidinium/vilanterol with its mono</w:t>
      </w:r>
      <w:r w:rsidR="00CB2EED">
        <w:t>-components</w:t>
      </w:r>
      <w:r>
        <w:t xml:space="preserve">. As shown in </w:t>
      </w:r>
      <w:r w:rsidR="00C90744">
        <w:t>Table 3.34</w:t>
      </w:r>
      <w:r>
        <w:t xml:space="preserve">, the studies included six treatment arms, including a placebo arm; however, only </w:t>
      </w:r>
      <w:r>
        <w:lastRenderedPageBreak/>
        <w:t>two of the active arms were PBS-listed doses (umeclidinium/vilanterol 62.5/25 μg and umeclidinium 62.5 μg) and are therefore the sole focus of this summary.</w:t>
      </w:r>
    </w:p>
    <w:p w:rsidR="00035233" w:rsidRPr="00184BD7" w:rsidRDefault="00035233" w:rsidP="00035233">
      <w:pPr>
        <w:pStyle w:val="BodyText"/>
      </w:pPr>
      <w:r>
        <w:t xml:space="preserve">The analysis of the primary outcome is shown in </w:t>
      </w:r>
      <w:r w:rsidR="00AC7B51">
        <w:t>Table 3.4</w:t>
      </w:r>
      <w:r w:rsidR="00C542B6">
        <w:t>4</w:t>
      </w:r>
      <w:r>
        <w:t>. In Study 418, both umeclidinium/vilanterol and umeclidinium monotherapy were associated with significant improvements in trough FEV</w:t>
      </w:r>
      <w:r>
        <w:rPr>
          <w:vertAlign w:val="subscript"/>
        </w:rPr>
        <w:t>1</w:t>
      </w:r>
      <w:r>
        <w:t xml:space="preserve"> compared with placebo. In Study 417, while p-values were reported, the authors stated that statistical significance could not be inferred because the prior comparison in the testing hierarchy (exercise endurance time) failed to demonstrate significance. </w:t>
      </w:r>
    </w:p>
    <w:p w:rsidR="00035233" w:rsidRDefault="00035233" w:rsidP="00035233">
      <w:pPr>
        <w:pStyle w:val="BodyText"/>
      </w:pPr>
      <w:r>
        <w:t>Importantly, Maltais et al (2014) reported that umeclidinium/vilanterol demonstrated greater least squares mean changes from baseline in trough FEV</w:t>
      </w:r>
      <w:r>
        <w:rPr>
          <w:vertAlign w:val="subscript"/>
        </w:rPr>
        <w:t>1</w:t>
      </w:r>
      <w:r>
        <w:t xml:space="preserve"> compared with umeclidinium (see </w:t>
      </w:r>
      <w:r w:rsidR="00AC7B51">
        <w:t>Table 3.4</w:t>
      </w:r>
      <w:r w:rsidR="00C90744">
        <w:t>4)</w:t>
      </w:r>
      <w:r>
        <w:t>; however, no statistical comparisons of the groups were undertaken and the authors acknowledged that these studies were not powered to detect treatment differences between dual and monotherapy. It should be noted that 39% of patients in Study 418 were on ICS at baseline, as were 28% of patients in Study 417.</w:t>
      </w:r>
    </w:p>
    <w:p w:rsidR="00035233" w:rsidRPr="004C2703" w:rsidRDefault="00AC7B51" w:rsidP="00C90744">
      <w:pPr>
        <w:pStyle w:val="ToR3Tableheader"/>
        <w:rPr>
          <w:vertAlign w:val="superscript"/>
        </w:rPr>
      </w:pPr>
      <w:bookmarkStart w:id="324" w:name="_Toc468006284"/>
      <w:bookmarkStart w:id="325" w:name="_Toc468012329"/>
      <w:bookmarkStart w:id="326" w:name="_Toc468034485"/>
      <w:bookmarkStart w:id="327" w:name="_Toc471891035"/>
      <w:bookmarkStart w:id="328" w:name="_Toc486428223"/>
      <w:r>
        <w:t>Table 3.4</w:t>
      </w:r>
      <w:r w:rsidR="00C542B6">
        <w:t>4</w:t>
      </w:r>
      <w:r w:rsidR="00035233">
        <w:tab/>
        <w:t>Trough FEV</w:t>
      </w:r>
      <w:r w:rsidR="00035233">
        <w:rPr>
          <w:vertAlign w:val="subscript"/>
        </w:rPr>
        <w:t>1</w:t>
      </w:r>
      <w:r w:rsidR="00035233">
        <w:t xml:space="preserve"> change from baseline and difference from placebo – UME/VIL, UME monotherapy and PBO</w:t>
      </w:r>
      <w:bookmarkEnd w:id="324"/>
      <w:bookmarkEnd w:id="325"/>
      <w:bookmarkEnd w:id="326"/>
      <w:bookmarkEnd w:id="327"/>
      <w:bookmarkEnd w:id="3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Caption w:val="Trough FEV1 change from baseline and difference from placebo "/>
        <w:tblDescription w:val="UME/VIL vs UME monotherapy and placebo"/>
      </w:tblPr>
      <w:tblGrid>
        <w:gridCol w:w="2978"/>
        <w:gridCol w:w="716"/>
        <w:gridCol w:w="1557"/>
        <w:gridCol w:w="710"/>
        <w:gridCol w:w="1559"/>
        <w:gridCol w:w="708"/>
        <w:gridCol w:w="1420"/>
      </w:tblGrid>
      <w:tr w:rsidR="00035233" w:rsidRPr="00194011" w:rsidTr="00035233">
        <w:trPr>
          <w:cantSplit/>
          <w:tblHeader/>
        </w:trPr>
        <w:tc>
          <w:tcPr>
            <w:tcW w:w="1543" w:type="pct"/>
            <w:shd w:val="clear" w:color="auto" w:fill="BFBFBF"/>
          </w:tcPr>
          <w:p w:rsidR="00035233" w:rsidRPr="00306479" w:rsidRDefault="00035233" w:rsidP="00035233">
            <w:pPr>
              <w:pStyle w:val="01TableHEADINGleftaligned"/>
            </w:pPr>
            <w:r>
              <w:t>Trough FEV</w:t>
            </w:r>
            <w:r>
              <w:rPr>
                <w:vertAlign w:val="subscript"/>
              </w:rPr>
              <w:t>1</w:t>
            </w:r>
            <w:r>
              <w:t>, L</w:t>
            </w:r>
          </w:p>
        </w:tc>
        <w:tc>
          <w:tcPr>
            <w:tcW w:w="371" w:type="pct"/>
            <w:tcBorders>
              <w:bottom w:val="single" w:sz="4" w:space="0" w:color="auto"/>
              <w:right w:val="nil"/>
            </w:tcBorders>
            <w:shd w:val="clear" w:color="auto" w:fill="BFBFBF"/>
          </w:tcPr>
          <w:p w:rsidR="00035233" w:rsidRPr="00194011" w:rsidRDefault="00035233" w:rsidP="00035233">
            <w:pPr>
              <w:pStyle w:val="01TableHEADINGleftaligned"/>
              <w:ind w:right="0"/>
              <w:jc w:val="right"/>
            </w:pPr>
            <w:r>
              <w:t xml:space="preserve">UME </w:t>
            </w:r>
          </w:p>
        </w:tc>
        <w:tc>
          <w:tcPr>
            <w:tcW w:w="807" w:type="pct"/>
            <w:tcBorders>
              <w:left w:val="nil"/>
              <w:bottom w:val="single" w:sz="4" w:space="0" w:color="auto"/>
              <w:right w:val="single" w:sz="4" w:space="0" w:color="auto"/>
            </w:tcBorders>
            <w:shd w:val="clear" w:color="auto" w:fill="BFBFBF"/>
          </w:tcPr>
          <w:p w:rsidR="00035233" w:rsidRPr="00194011" w:rsidRDefault="00035233" w:rsidP="00035233">
            <w:pPr>
              <w:pStyle w:val="01TableHEADINGleftaligned"/>
              <w:ind w:left="0"/>
            </w:pPr>
            <w:r>
              <w:t>/VIL 62.5/25</w:t>
            </w:r>
          </w:p>
        </w:tc>
        <w:tc>
          <w:tcPr>
            <w:tcW w:w="368" w:type="pct"/>
            <w:tcBorders>
              <w:left w:val="single" w:sz="4" w:space="0" w:color="auto"/>
              <w:bottom w:val="single" w:sz="4" w:space="0" w:color="auto"/>
              <w:right w:val="nil"/>
            </w:tcBorders>
            <w:shd w:val="clear" w:color="auto" w:fill="BFBFBF"/>
          </w:tcPr>
          <w:p w:rsidR="00035233" w:rsidRPr="00F86301" w:rsidRDefault="00035233" w:rsidP="00035233">
            <w:pPr>
              <w:pStyle w:val="01TableHEADINGleftaligned"/>
              <w:ind w:right="0"/>
              <w:jc w:val="right"/>
            </w:pPr>
          </w:p>
        </w:tc>
        <w:tc>
          <w:tcPr>
            <w:tcW w:w="808" w:type="pct"/>
            <w:tcBorders>
              <w:left w:val="nil"/>
              <w:bottom w:val="single" w:sz="4" w:space="0" w:color="auto"/>
              <w:right w:val="single" w:sz="4" w:space="0" w:color="auto"/>
            </w:tcBorders>
            <w:shd w:val="clear" w:color="auto" w:fill="BFBFBF"/>
          </w:tcPr>
          <w:p w:rsidR="00035233" w:rsidRPr="00F86301" w:rsidRDefault="00035233" w:rsidP="00035233">
            <w:pPr>
              <w:pStyle w:val="01TableHEADINGleftaligned"/>
              <w:ind w:left="28"/>
            </w:pPr>
            <w:r>
              <w:t>UME 62.5</w:t>
            </w:r>
          </w:p>
        </w:tc>
        <w:tc>
          <w:tcPr>
            <w:tcW w:w="367" w:type="pct"/>
            <w:tcBorders>
              <w:left w:val="single" w:sz="4" w:space="0" w:color="auto"/>
              <w:bottom w:val="single" w:sz="4" w:space="0" w:color="auto"/>
              <w:right w:val="nil"/>
            </w:tcBorders>
            <w:shd w:val="clear" w:color="auto" w:fill="BFBFBF"/>
          </w:tcPr>
          <w:p w:rsidR="00035233" w:rsidRPr="00194011" w:rsidRDefault="00035233" w:rsidP="00035233">
            <w:pPr>
              <w:pStyle w:val="01TableHEADINGleftaligned"/>
              <w:ind w:right="0"/>
              <w:jc w:val="right"/>
            </w:pPr>
          </w:p>
        </w:tc>
        <w:tc>
          <w:tcPr>
            <w:tcW w:w="736" w:type="pct"/>
            <w:tcBorders>
              <w:left w:val="nil"/>
              <w:bottom w:val="single" w:sz="4" w:space="0" w:color="auto"/>
            </w:tcBorders>
            <w:shd w:val="clear" w:color="auto" w:fill="BFBFBF"/>
          </w:tcPr>
          <w:p w:rsidR="00035233" w:rsidRPr="00194011" w:rsidRDefault="00035233" w:rsidP="00035233">
            <w:pPr>
              <w:pStyle w:val="01TableHEADINGleftaligned"/>
            </w:pPr>
            <w:r>
              <w:t>PBO</w:t>
            </w:r>
          </w:p>
        </w:tc>
      </w:tr>
      <w:tr w:rsidR="00035233" w:rsidRPr="00194011" w:rsidTr="00035233">
        <w:trPr>
          <w:cantSplit/>
        </w:trPr>
        <w:tc>
          <w:tcPr>
            <w:tcW w:w="1543" w:type="pct"/>
            <w:shd w:val="clear" w:color="auto" w:fill="000000"/>
          </w:tcPr>
          <w:p w:rsidR="00035233" w:rsidRPr="00194011" w:rsidRDefault="00035233" w:rsidP="00035233">
            <w:pPr>
              <w:pStyle w:val="04Tablesubheading"/>
            </w:pPr>
            <w:r>
              <w:t>Study 417</w:t>
            </w:r>
          </w:p>
        </w:tc>
        <w:tc>
          <w:tcPr>
            <w:tcW w:w="371" w:type="pct"/>
            <w:shd w:val="clear" w:color="auto" w:fill="000000"/>
          </w:tcPr>
          <w:p w:rsidR="00035233" w:rsidRDefault="00035233" w:rsidP="00035233">
            <w:pPr>
              <w:pStyle w:val="04Tablesubheading"/>
              <w:jc w:val="center"/>
            </w:pPr>
            <w:r>
              <w:t>n</w:t>
            </w:r>
          </w:p>
        </w:tc>
        <w:tc>
          <w:tcPr>
            <w:tcW w:w="807" w:type="pct"/>
            <w:shd w:val="clear" w:color="auto" w:fill="000000"/>
          </w:tcPr>
          <w:p w:rsidR="00035233" w:rsidRDefault="00035233" w:rsidP="00035233">
            <w:pPr>
              <w:pStyle w:val="04Tablesubheading"/>
              <w:jc w:val="center"/>
            </w:pPr>
          </w:p>
        </w:tc>
        <w:tc>
          <w:tcPr>
            <w:tcW w:w="368" w:type="pct"/>
            <w:shd w:val="clear" w:color="auto" w:fill="000000"/>
          </w:tcPr>
          <w:p w:rsidR="00035233" w:rsidRDefault="00035233" w:rsidP="00035233">
            <w:pPr>
              <w:pStyle w:val="04Tablesubheading"/>
              <w:jc w:val="center"/>
            </w:pPr>
            <w:r>
              <w:t>n</w:t>
            </w:r>
          </w:p>
        </w:tc>
        <w:tc>
          <w:tcPr>
            <w:tcW w:w="808" w:type="pct"/>
            <w:shd w:val="clear" w:color="auto" w:fill="000000"/>
          </w:tcPr>
          <w:p w:rsidR="00035233" w:rsidRDefault="00035233" w:rsidP="00035233">
            <w:pPr>
              <w:pStyle w:val="04Tablesubheading"/>
              <w:jc w:val="center"/>
            </w:pPr>
          </w:p>
        </w:tc>
        <w:tc>
          <w:tcPr>
            <w:tcW w:w="367" w:type="pct"/>
            <w:shd w:val="clear" w:color="auto" w:fill="000000"/>
          </w:tcPr>
          <w:p w:rsidR="00035233" w:rsidRDefault="00035233" w:rsidP="00035233">
            <w:pPr>
              <w:pStyle w:val="04Tablesubheading"/>
              <w:jc w:val="center"/>
            </w:pPr>
            <w:r>
              <w:t>n</w:t>
            </w:r>
          </w:p>
        </w:tc>
        <w:tc>
          <w:tcPr>
            <w:tcW w:w="736" w:type="pct"/>
            <w:shd w:val="clear" w:color="auto" w:fill="000000"/>
          </w:tcPr>
          <w:p w:rsidR="00035233" w:rsidRDefault="00035233" w:rsidP="00035233">
            <w:pPr>
              <w:pStyle w:val="04Tablesubheading"/>
              <w:jc w:val="center"/>
            </w:pPr>
          </w:p>
        </w:tc>
      </w:tr>
      <w:tr w:rsidR="00035233" w:rsidRPr="00194011" w:rsidTr="00035233">
        <w:trPr>
          <w:cantSplit/>
        </w:trPr>
        <w:tc>
          <w:tcPr>
            <w:tcW w:w="1543" w:type="pct"/>
            <w:shd w:val="clear" w:color="auto" w:fill="auto"/>
          </w:tcPr>
          <w:p w:rsidR="00035233" w:rsidRPr="00194011" w:rsidRDefault="00035233" w:rsidP="00035233">
            <w:pPr>
              <w:pStyle w:val="05Tabletext"/>
            </w:pPr>
            <w:r>
              <w:t>LS mean (SE) change from baseline, L</w:t>
            </w:r>
          </w:p>
        </w:tc>
        <w:tc>
          <w:tcPr>
            <w:tcW w:w="371" w:type="pct"/>
            <w:shd w:val="clear" w:color="auto" w:fill="auto"/>
          </w:tcPr>
          <w:p w:rsidR="00035233" w:rsidRPr="00194011" w:rsidRDefault="00035233" w:rsidP="00035233">
            <w:pPr>
              <w:pStyle w:val="05Tabletext"/>
              <w:jc w:val="center"/>
            </w:pPr>
            <w:r>
              <w:t>130</w:t>
            </w:r>
          </w:p>
        </w:tc>
        <w:tc>
          <w:tcPr>
            <w:tcW w:w="807" w:type="pct"/>
            <w:shd w:val="clear" w:color="auto" w:fill="auto"/>
          </w:tcPr>
          <w:p w:rsidR="00035233" w:rsidRPr="00194011" w:rsidRDefault="00035233" w:rsidP="00035233">
            <w:pPr>
              <w:pStyle w:val="05Tabletext"/>
              <w:jc w:val="center"/>
            </w:pPr>
            <w:r>
              <w:t>0.178 (0.0156)</w:t>
            </w:r>
          </w:p>
        </w:tc>
        <w:tc>
          <w:tcPr>
            <w:tcW w:w="368" w:type="pct"/>
            <w:shd w:val="clear" w:color="auto" w:fill="auto"/>
          </w:tcPr>
          <w:p w:rsidR="00035233" w:rsidRPr="00455CED" w:rsidRDefault="00035233" w:rsidP="00035233">
            <w:pPr>
              <w:pStyle w:val="05Tabletext"/>
              <w:jc w:val="center"/>
            </w:pPr>
            <w:r>
              <w:t>43</w:t>
            </w:r>
          </w:p>
        </w:tc>
        <w:tc>
          <w:tcPr>
            <w:tcW w:w="808" w:type="pct"/>
            <w:shd w:val="clear" w:color="auto" w:fill="auto"/>
          </w:tcPr>
          <w:p w:rsidR="00035233" w:rsidRPr="00455CED" w:rsidRDefault="00035233" w:rsidP="00035233">
            <w:pPr>
              <w:pStyle w:val="05Tabletext"/>
              <w:jc w:val="center"/>
            </w:pPr>
            <w:r>
              <w:t>0.054 (0.0264)</w:t>
            </w:r>
          </w:p>
        </w:tc>
        <w:tc>
          <w:tcPr>
            <w:tcW w:w="367" w:type="pct"/>
          </w:tcPr>
          <w:p w:rsidR="00035233" w:rsidRPr="00455CED" w:rsidRDefault="00035233" w:rsidP="00035233">
            <w:pPr>
              <w:pStyle w:val="05Tabletext"/>
              <w:jc w:val="center"/>
            </w:pPr>
            <w:r>
              <w:t>148</w:t>
            </w:r>
          </w:p>
        </w:tc>
        <w:tc>
          <w:tcPr>
            <w:tcW w:w="736" w:type="pct"/>
          </w:tcPr>
          <w:p w:rsidR="00035233" w:rsidRPr="00455CED" w:rsidRDefault="00035233" w:rsidP="00035233">
            <w:pPr>
              <w:pStyle w:val="05Tabletext"/>
              <w:jc w:val="center"/>
            </w:pPr>
            <w:r>
              <w:t>–0.032 (0.0149)</w:t>
            </w:r>
          </w:p>
        </w:tc>
      </w:tr>
      <w:tr w:rsidR="00035233" w:rsidRPr="00194011" w:rsidTr="00035233">
        <w:trPr>
          <w:cantSplit/>
        </w:trPr>
        <w:tc>
          <w:tcPr>
            <w:tcW w:w="1543" w:type="pct"/>
            <w:shd w:val="clear" w:color="auto" w:fill="auto"/>
          </w:tcPr>
          <w:p w:rsidR="00035233" w:rsidRPr="00A140AA" w:rsidRDefault="00035233" w:rsidP="00035233">
            <w:pPr>
              <w:pStyle w:val="05Tabletext"/>
            </w:pPr>
            <w:r>
              <w:t>Difference from placebo (95% CI), L</w:t>
            </w:r>
          </w:p>
        </w:tc>
        <w:tc>
          <w:tcPr>
            <w:tcW w:w="371" w:type="pct"/>
            <w:shd w:val="clear" w:color="auto" w:fill="auto"/>
          </w:tcPr>
          <w:p w:rsidR="00035233" w:rsidRPr="00455CED" w:rsidRDefault="00035233" w:rsidP="00035233">
            <w:pPr>
              <w:pStyle w:val="05Tabletext"/>
              <w:jc w:val="center"/>
            </w:pPr>
            <w:r>
              <w:t>130</w:t>
            </w:r>
          </w:p>
        </w:tc>
        <w:tc>
          <w:tcPr>
            <w:tcW w:w="807" w:type="pct"/>
            <w:shd w:val="clear" w:color="auto" w:fill="auto"/>
          </w:tcPr>
          <w:p w:rsidR="00035233" w:rsidRPr="00455CED" w:rsidRDefault="00035233" w:rsidP="00035233">
            <w:pPr>
              <w:pStyle w:val="05Tabletext"/>
              <w:jc w:val="center"/>
            </w:pPr>
            <w:r>
              <w:t>0.211 (0.172, 0.249)</w:t>
            </w:r>
            <w:r>
              <w:br/>
              <w:t>p&lt;0.001</w:t>
            </w:r>
          </w:p>
        </w:tc>
        <w:tc>
          <w:tcPr>
            <w:tcW w:w="368" w:type="pct"/>
            <w:shd w:val="clear" w:color="auto" w:fill="auto"/>
          </w:tcPr>
          <w:p w:rsidR="00035233" w:rsidRPr="00455CED" w:rsidRDefault="00035233" w:rsidP="00035233">
            <w:pPr>
              <w:pStyle w:val="05Tabletext"/>
              <w:jc w:val="center"/>
            </w:pPr>
            <w:r>
              <w:t>43</w:t>
            </w:r>
          </w:p>
        </w:tc>
        <w:tc>
          <w:tcPr>
            <w:tcW w:w="808" w:type="pct"/>
            <w:shd w:val="clear" w:color="auto" w:fill="auto"/>
          </w:tcPr>
          <w:p w:rsidR="00035233" w:rsidRPr="00FA346E" w:rsidRDefault="00035233" w:rsidP="00035233">
            <w:pPr>
              <w:pStyle w:val="05Tabletext"/>
              <w:jc w:val="center"/>
            </w:pPr>
            <w:r>
              <w:t>0.087 (0.030, 0.143)</w:t>
            </w:r>
            <w:r>
              <w:br/>
              <w:t>p&lt;0.01</w:t>
            </w:r>
          </w:p>
        </w:tc>
        <w:tc>
          <w:tcPr>
            <w:tcW w:w="367" w:type="pct"/>
          </w:tcPr>
          <w:p w:rsidR="00035233" w:rsidRPr="00455CED" w:rsidRDefault="00035233" w:rsidP="00035233">
            <w:pPr>
              <w:pStyle w:val="05Tabletext"/>
              <w:jc w:val="center"/>
            </w:pPr>
            <w:r>
              <w:t>-</w:t>
            </w:r>
          </w:p>
        </w:tc>
        <w:tc>
          <w:tcPr>
            <w:tcW w:w="736" w:type="pct"/>
          </w:tcPr>
          <w:p w:rsidR="00035233" w:rsidRPr="00455CED" w:rsidRDefault="00035233" w:rsidP="00035233">
            <w:pPr>
              <w:pStyle w:val="05Tabletext"/>
              <w:jc w:val="center"/>
            </w:pPr>
            <w:r>
              <w:t>-</w:t>
            </w:r>
          </w:p>
        </w:tc>
      </w:tr>
      <w:tr w:rsidR="00035233" w:rsidRPr="00194011" w:rsidTr="00035233">
        <w:trPr>
          <w:cantSplit/>
        </w:trPr>
        <w:tc>
          <w:tcPr>
            <w:tcW w:w="1543" w:type="pct"/>
            <w:shd w:val="clear" w:color="auto" w:fill="000000"/>
          </w:tcPr>
          <w:p w:rsidR="00035233" w:rsidRDefault="00035233" w:rsidP="00035233">
            <w:pPr>
              <w:pStyle w:val="04Tablesubheading"/>
            </w:pPr>
            <w:r>
              <w:t>Study 418</w:t>
            </w:r>
          </w:p>
        </w:tc>
        <w:tc>
          <w:tcPr>
            <w:tcW w:w="371" w:type="pct"/>
            <w:shd w:val="clear" w:color="auto" w:fill="000000"/>
          </w:tcPr>
          <w:p w:rsidR="00035233" w:rsidRPr="00455CED" w:rsidRDefault="00035233" w:rsidP="00035233">
            <w:pPr>
              <w:pStyle w:val="04Tablesubheading"/>
            </w:pPr>
          </w:p>
        </w:tc>
        <w:tc>
          <w:tcPr>
            <w:tcW w:w="807" w:type="pct"/>
            <w:shd w:val="clear" w:color="auto" w:fill="000000"/>
          </w:tcPr>
          <w:p w:rsidR="00035233" w:rsidRPr="00455CED" w:rsidRDefault="00035233" w:rsidP="00035233">
            <w:pPr>
              <w:pStyle w:val="04Tablesubheading"/>
            </w:pPr>
          </w:p>
        </w:tc>
        <w:tc>
          <w:tcPr>
            <w:tcW w:w="368" w:type="pct"/>
            <w:shd w:val="clear" w:color="auto" w:fill="000000"/>
          </w:tcPr>
          <w:p w:rsidR="00035233" w:rsidRPr="00455CED" w:rsidRDefault="00035233" w:rsidP="00035233">
            <w:pPr>
              <w:pStyle w:val="04Tablesubheading"/>
            </w:pPr>
          </w:p>
        </w:tc>
        <w:tc>
          <w:tcPr>
            <w:tcW w:w="808" w:type="pct"/>
            <w:shd w:val="clear" w:color="auto" w:fill="000000"/>
          </w:tcPr>
          <w:p w:rsidR="00035233" w:rsidRPr="00455CED" w:rsidRDefault="00035233" w:rsidP="00035233">
            <w:pPr>
              <w:pStyle w:val="04Tablesubheading"/>
            </w:pPr>
          </w:p>
        </w:tc>
        <w:tc>
          <w:tcPr>
            <w:tcW w:w="367" w:type="pct"/>
            <w:shd w:val="clear" w:color="auto" w:fill="000000"/>
          </w:tcPr>
          <w:p w:rsidR="00035233" w:rsidRPr="00455CED" w:rsidRDefault="00035233" w:rsidP="00035233">
            <w:pPr>
              <w:pStyle w:val="04Tablesubheading"/>
            </w:pPr>
          </w:p>
        </w:tc>
        <w:tc>
          <w:tcPr>
            <w:tcW w:w="736" w:type="pct"/>
            <w:shd w:val="clear" w:color="auto" w:fill="000000"/>
          </w:tcPr>
          <w:p w:rsidR="00035233" w:rsidRPr="00455CED" w:rsidRDefault="00035233" w:rsidP="00035233">
            <w:pPr>
              <w:pStyle w:val="04Tablesubheading"/>
            </w:pPr>
          </w:p>
        </w:tc>
      </w:tr>
      <w:tr w:rsidR="00035233" w:rsidRPr="00194011" w:rsidTr="00035233">
        <w:trPr>
          <w:cantSplit/>
        </w:trPr>
        <w:tc>
          <w:tcPr>
            <w:tcW w:w="1543" w:type="pct"/>
            <w:shd w:val="clear" w:color="auto" w:fill="auto"/>
          </w:tcPr>
          <w:p w:rsidR="00035233" w:rsidRDefault="00035233" w:rsidP="00035233">
            <w:pPr>
              <w:pStyle w:val="05Tabletext"/>
            </w:pPr>
            <w:r>
              <w:t>LS mean (SE) change from baseline, L</w:t>
            </w:r>
          </w:p>
        </w:tc>
        <w:tc>
          <w:tcPr>
            <w:tcW w:w="371" w:type="pct"/>
            <w:shd w:val="clear" w:color="auto" w:fill="auto"/>
          </w:tcPr>
          <w:p w:rsidR="00035233" w:rsidRPr="00455CED" w:rsidRDefault="00035233" w:rsidP="00035233">
            <w:pPr>
              <w:pStyle w:val="05Tabletext"/>
              <w:jc w:val="center"/>
            </w:pPr>
            <w:r>
              <w:t>117</w:t>
            </w:r>
          </w:p>
        </w:tc>
        <w:tc>
          <w:tcPr>
            <w:tcW w:w="807" w:type="pct"/>
            <w:shd w:val="clear" w:color="auto" w:fill="auto"/>
          </w:tcPr>
          <w:p w:rsidR="00035233" w:rsidRPr="00455CED" w:rsidRDefault="00035233" w:rsidP="00035233">
            <w:pPr>
              <w:pStyle w:val="05Tabletext"/>
              <w:jc w:val="center"/>
            </w:pPr>
            <w:r>
              <w:t>0.200 (0.0156)</w:t>
            </w:r>
          </w:p>
        </w:tc>
        <w:tc>
          <w:tcPr>
            <w:tcW w:w="368" w:type="pct"/>
            <w:shd w:val="clear" w:color="auto" w:fill="auto"/>
          </w:tcPr>
          <w:p w:rsidR="00035233" w:rsidRPr="00455CED" w:rsidRDefault="00035233" w:rsidP="00035233">
            <w:pPr>
              <w:pStyle w:val="05Tabletext"/>
              <w:jc w:val="center"/>
            </w:pPr>
            <w:r>
              <w:t>38</w:t>
            </w:r>
          </w:p>
        </w:tc>
        <w:tc>
          <w:tcPr>
            <w:tcW w:w="808" w:type="pct"/>
            <w:shd w:val="clear" w:color="auto" w:fill="auto"/>
          </w:tcPr>
          <w:p w:rsidR="00035233" w:rsidRPr="00455CED" w:rsidRDefault="00035233" w:rsidP="00035233">
            <w:pPr>
              <w:pStyle w:val="05Tabletext"/>
              <w:jc w:val="center"/>
            </w:pPr>
            <w:r>
              <w:t>0.101 (0.0267)</w:t>
            </w:r>
          </w:p>
        </w:tc>
        <w:tc>
          <w:tcPr>
            <w:tcW w:w="367" w:type="pct"/>
          </w:tcPr>
          <w:p w:rsidR="00035233" w:rsidRPr="00455CED" w:rsidRDefault="00035233" w:rsidP="00035233">
            <w:pPr>
              <w:pStyle w:val="05Tabletext"/>
              <w:jc w:val="center"/>
            </w:pPr>
            <w:r>
              <w:t>119</w:t>
            </w:r>
          </w:p>
        </w:tc>
        <w:tc>
          <w:tcPr>
            <w:tcW w:w="736" w:type="pct"/>
          </w:tcPr>
          <w:p w:rsidR="00035233" w:rsidRPr="00455CED" w:rsidRDefault="00035233" w:rsidP="00035233">
            <w:pPr>
              <w:pStyle w:val="05Tabletext"/>
              <w:jc w:val="center"/>
            </w:pPr>
            <w:r>
              <w:t>–0.043 (0.0156)</w:t>
            </w:r>
          </w:p>
        </w:tc>
      </w:tr>
      <w:tr w:rsidR="00035233" w:rsidRPr="00194011" w:rsidTr="00035233">
        <w:trPr>
          <w:cantSplit/>
        </w:trPr>
        <w:tc>
          <w:tcPr>
            <w:tcW w:w="1543" w:type="pct"/>
            <w:shd w:val="clear" w:color="auto" w:fill="auto"/>
          </w:tcPr>
          <w:p w:rsidR="00035233" w:rsidRDefault="00035233" w:rsidP="00035233">
            <w:pPr>
              <w:pStyle w:val="05Tabletext"/>
            </w:pPr>
            <w:r>
              <w:t>Difference from placebo (95% CI), L</w:t>
            </w:r>
          </w:p>
        </w:tc>
        <w:tc>
          <w:tcPr>
            <w:tcW w:w="371" w:type="pct"/>
            <w:shd w:val="clear" w:color="auto" w:fill="auto"/>
          </w:tcPr>
          <w:p w:rsidR="00035233" w:rsidRPr="00455CED" w:rsidRDefault="00035233" w:rsidP="00035233">
            <w:pPr>
              <w:pStyle w:val="05Tabletext"/>
              <w:jc w:val="center"/>
            </w:pPr>
            <w:r>
              <w:t>117</w:t>
            </w:r>
          </w:p>
        </w:tc>
        <w:tc>
          <w:tcPr>
            <w:tcW w:w="807" w:type="pct"/>
            <w:shd w:val="clear" w:color="auto" w:fill="auto"/>
          </w:tcPr>
          <w:p w:rsidR="00035233" w:rsidRPr="00455CED" w:rsidRDefault="00035233" w:rsidP="00035233">
            <w:pPr>
              <w:pStyle w:val="05Tabletext"/>
              <w:jc w:val="center"/>
            </w:pPr>
            <w:r>
              <w:t>0.243 (0.202, 0.284)</w:t>
            </w:r>
            <w:r>
              <w:br/>
              <w:t>p&lt;0.001</w:t>
            </w:r>
          </w:p>
        </w:tc>
        <w:tc>
          <w:tcPr>
            <w:tcW w:w="368" w:type="pct"/>
            <w:shd w:val="clear" w:color="auto" w:fill="auto"/>
          </w:tcPr>
          <w:p w:rsidR="00035233" w:rsidRPr="00455CED" w:rsidRDefault="00035233" w:rsidP="00035233">
            <w:pPr>
              <w:pStyle w:val="05Tabletext"/>
              <w:jc w:val="center"/>
            </w:pPr>
            <w:r>
              <w:t>38</w:t>
            </w:r>
          </w:p>
        </w:tc>
        <w:tc>
          <w:tcPr>
            <w:tcW w:w="808" w:type="pct"/>
            <w:shd w:val="clear" w:color="auto" w:fill="auto"/>
          </w:tcPr>
          <w:p w:rsidR="00035233" w:rsidRPr="00455CED" w:rsidRDefault="00035233" w:rsidP="00035233">
            <w:pPr>
              <w:pStyle w:val="05Tabletext"/>
              <w:jc w:val="center"/>
            </w:pPr>
            <w:r>
              <w:t>0.144 (0.086, 0.203)</w:t>
            </w:r>
            <w:r>
              <w:br/>
              <w:t>p&lt;0.001</w:t>
            </w:r>
          </w:p>
        </w:tc>
        <w:tc>
          <w:tcPr>
            <w:tcW w:w="367" w:type="pct"/>
          </w:tcPr>
          <w:p w:rsidR="00035233" w:rsidRPr="00455CED" w:rsidRDefault="00035233" w:rsidP="00035233">
            <w:pPr>
              <w:pStyle w:val="05Tabletext"/>
              <w:jc w:val="center"/>
            </w:pPr>
            <w:r>
              <w:t>-</w:t>
            </w:r>
          </w:p>
        </w:tc>
        <w:tc>
          <w:tcPr>
            <w:tcW w:w="736" w:type="pct"/>
          </w:tcPr>
          <w:p w:rsidR="00035233" w:rsidRPr="00455CED" w:rsidRDefault="00035233" w:rsidP="00035233">
            <w:pPr>
              <w:pStyle w:val="05Tabletext"/>
              <w:jc w:val="center"/>
            </w:pPr>
            <w:r>
              <w:t>-</w:t>
            </w:r>
          </w:p>
        </w:tc>
      </w:tr>
      <w:tr w:rsidR="00035233" w:rsidRPr="00194011" w:rsidTr="00035233">
        <w:trPr>
          <w:cantSplit/>
        </w:trPr>
        <w:tc>
          <w:tcPr>
            <w:tcW w:w="1543" w:type="pct"/>
            <w:shd w:val="clear" w:color="auto" w:fill="000000"/>
          </w:tcPr>
          <w:p w:rsidR="00035233" w:rsidRDefault="00035233" w:rsidP="00035233">
            <w:pPr>
              <w:pStyle w:val="04Tablesubheading"/>
            </w:pPr>
            <w:r>
              <w:t>Post hoc combined</w:t>
            </w:r>
          </w:p>
        </w:tc>
        <w:tc>
          <w:tcPr>
            <w:tcW w:w="371" w:type="pct"/>
            <w:shd w:val="clear" w:color="auto" w:fill="000000"/>
          </w:tcPr>
          <w:p w:rsidR="00035233" w:rsidRPr="00455CED" w:rsidRDefault="00035233" w:rsidP="00035233">
            <w:pPr>
              <w:pStyle w:val="04Tablesubheading"/>
            </w:pPr>
          </w:p>
        </w:tc>
        <w:tc>
          <w:tcPr>
            <w:tcW w:w="807" w:type="pct"/>
            <w:shd w:val="clear" w:color="auto" w:fill="000000"/>
          </w:tcPr>
          <w:p w:rsidR="00035233" w:rsidRPr="00455CED" w:rsidRDefault="00035233" w:rsidP="00035233">
            <w:pPr>
              <w:pStyle w:val="04Tablesubheading"/>
            </w:pPr>
          </w:p>
        </w:tc>
        <w:tc>
          <w:tcPr>
            <w:tcW w:w="368" w:type="pct"/>
            <w:shd w:val="clear" w:color="auto" w:fill="000000"/>
          </w:tcPr>
          <w:p w:rsidR="00035233" w:rsidRDefault="00035233" w:rsidP="00035233">
            <w:pPr>
              <w:pStyle w:val="04Tablesubheading"/>
            </w:pPr>
          </w:p>
        </w:tc>
        <w:tc>
          <w:tcPr>
            <w:tcW w:w="808" w:type="pct"/>
            <w:shd w:val="clear" w:color="auto" w:fill="000000"/>
          </w:tcPr>
          <w:p w:rsidR="00035233" w:rsidRDefault="00035233" w:rsidP="00035233">
            <w:pPr>
              <w:pStyle w:val="04Tablesubheading"/>
            </w:pPr>
          </w:p>
        </w:tc>
        <w:tc>
          <w:tcPr>
            <w:tcW w:w="367" w:type="pct"/>
            <w:shd w:val="clear" w:color="auto" w:fill="000000"/>
          </w:tcPr>
          <w:p w:rsidR="00035233" w:rsidRDefault="00035233" w:rsidP="00035233">
            <w:pPr>
              <w:pStyle w:val="04Tablesubheading"/>
            </w:pPr>
          </w:p>
        </w:tc>
        <w:tc>
          <w:tcPr>
            <w:tcW w:w="736" w:type="pct"/>
            <w:shd w:val="clear" w:color="auto" w:fill="000000"/>
          </w:tcPr>
          <w:p w:rsidR="00035233" w:rsidRDefault="00035233" w:rsidP="00035233">
            <w:pPr>
              <w:pStyle w:val="04Tablesubheading"/>
            </w:pPr>
          </w:p>
        </w:tc>
      </w:tr>
      <w:tr w:rsidR="00035233" w:rsidRPr="00194011" w:rsidTr="00035233">
        <w:trPr>
          <w:cantSplit/>
        </w:trPr>
        <w:tc>
          <w:tcPr>
            <w:tcW w:w="1543" w:type="pct"/>
            <w:shd w:val="clear" w:color="auto" w:fill="auto"/>
          </w:tcPr>
          <w:p w:rsidR="00035233" w:rsidRDefault="00035233" w:rsidP="00035233">
            <w:pPr>
              <w:pStyle w:val="05Tabletext"/>
            </w:pPr>
            <w:r>
              <w:t>LS mean (SE) change from baseline, L</w:t>
            </w:r>
          </w:p>
        </w:tc>
        <w:tc>
          <w:tcPr>
            <w:tcW w:w="371" w:type="pct"/>
            <w:shd w:val="clear" w:color="auto" w:fill="auto"/>
          </w:tcPr>
          <w:p w:rsidR="00035233" w:rsidRPr="00455CED" w:rsidRDefault="00035233" w:rsidP="00035233">
            <w:pPr>
              <w:pStyle w:val="05Tabletext"/>
              <w:jc w:val="center"/>
            </w:pPr>
            <w:r>
              <w:t>247</w:t>
            </w:r>
          </w:p>
        </w:tc>
        <w:tc>
          <w:tcPr>
            <w:tcW w:w="807" w:type="pct"/>
            <w:shd w:val="clear" w:color="auto" w:fill="auto"/>
          </w:tcPr>
          <w:p w:rsidR="00035233" w:rsidRPr="00455CED" w:rsidRDefault="00035233" w:rsidP="00035233">
            <w:pPr>
              <w:pStyle w:val="05Tabletext"/>
              <w:jc w:val="center"/>
            </w:pPr>
            <w:r>
              <w:t>0.189 (0.0110)</w:t>
            </w:r>
          </w:p>
        </w:tc>
        <w:tc>
          <w:tcPr>
            <w:tcW w:w="368" w:type="pct"/>
            <w:shd w:val="clear" w:color="auto" w:fill="auto"/>
          </w:tcPr>
          <w:p w:rsidR="00035233" w:rsidRDefault="00035233" w:rsidP="00035233">
            <w:pPr>
              <w:pStyle w:val="05Tabletext"/>
              <w:jc w:val="center"/>
            </w:pPr>
            <w:r>
              <w:t>NR</w:t>
            </w:r>
          </w:p>
        </w:tc>
        <w:tc>
          <w:tcPr>
            <w:tcW w:w="808" w:type="pct"/>
            <w:shd w:val="clear" w:color="auto" w:fill="auto"/>
          </w:tcPr>
          <w:p w:rsidR="00035233" w:rsidRDefault="00035233" w:rsidP="00035233">
            <w:pPr>
              <w:pStyle w:val="05Tabletext"/>
              <w:jc w:val="center"/>
            </w:pPr>
            <w:r>
              <w:t>NR</w:t>
            </w:r>
          </w:p>
        </w:tc>
        <w:tc>
          <w:tcPr>
            <w:tcW w:w="367" w:type="pct"/>
          </w:tcPr>
          <w:p w:rsidR="00035233" w:rsidRDefault="00035233" w:rsidP="00035233">
            <w:pPr>
              <w:pStyle w:val="05Tabletext"/>
              <w:jc w:val="center"/>
            </w:pPr>
            <w:r>
              <w:t xml:space="preserve">267 </w:t>
            </w:r>
          </w:p>
        </w:tc>
        <w:tc>
          <w:tcPr>
            <w:tcW w:w="736" w:type="pct"/>
          </w:tcPr>
          <w:p w:rsidR="00035233" w:rsidRDefault="00035233" w:rsidP="00035233">
            <w:pPr>
              <w:pStyle w:val="05Tabletext"/>
              <w:jc w:val="center"/>
            </w:pPr>
            <w:r>
              <w:t>–0.035 (0.0108)</w:t>
            </w:r>
          </w:p>
        </w:tc>
      </w:tr>
      <w:tr w:rsidR="00035233" w:rsidRPr="00194011" w:rsidTr="00035233">
        <w:trPr>
          <w:cantSplit/>
        </w:trPr>
        <w:tc>
          <w:tcPr>
            <w:tcW w:w="1543" w:type="pct"/>
            <w:shd w:val="clear" w:color="auto" w:fill="auto"/>
          </w:tcPr>
          <w:p w:rsidR="00035233" w:rsidRDefault="00035233" w:rsidP="00035233">
            <w:pPr>
              <w:pStyle w:val="05Tabletext"/>
            </w:pPr>
            <w:r>
              <w:t>Difference from placebo (95% CI), L</w:t>
            </w:r>
          </w:p>
        </w:tc>
        <w:tc>
          <w:tcPr>
            <w:tcW w:w="371" w:type="pct"/>
            <w:shd w:val="clear" w:color="auto" w:fill="auto"/>
          </w:tcPr>
          <w:p w:rsidR="00035233" w:rsidRPr="00455CED" w:rsidRDefault="00035233" w:rsidP="00035233">
            <w:pPr>
              <w:pStyle w:val="05Tabletext"/>
              <w:jc w:val="center"/>
            </w:pPr>
            <w:r>
              <w:t>247</w:t>
            </w:r>
          </w:p>
        </w:tc>
        <w:tc>
          <w:tcPr>
            <w:tcW w:w="807" w:type="pct"/>
            <w:shd w:val="clear" w:color="auto" w:fill="auto"/>
          </w:tcPr>
          <w:p w:rsidR="00035233" w:rsidRPr="00455CED" w:rsidRDefault="00035233" w:rsidP="00035233">
            <w:pPr>
              <w:pStyle w:val="05Tabletext"/>
              <w:jc w:val="center"/>
            </w:pPr>
            <w:r>
              <w:t>0.224 (0.196, 0.252)</w:t>
            </w:r>
          </w:p>
        </w:tc>
        <w:tc>
          <w:tcPr>
            <w:tcW w:w="368" w:type="pct"/>
            <w:shd w:val="clear" w:color="auto" w:fill="auto"/>
          </w:tcPr>
          <w:p w:rsidR="00035233" w:rsidRDefault="00035233" w:rsidP="00035233">
            <w:pPr>
              <w:pStyle w:val="05Tabletext"/>
              <w:jc w:val="center"/>
            </w:pPr>
            <w:r>
              <w:t>NR</w:t>
            </w:r>
          </w:p>
        </w:tc>
        <w:tc>
          <w:tcPr>
            <w:tcW w:w="808" w:type="pct"/>
            <w:shd w:val="clear" w:color="auto" w:fill="auto"/>
          </w:tcPr>
          <w:p w:rsidR="00035233" w:rsidRDefault="00035233" w:rsidP="00035233">
            <w:pPr>
              <w:pStyle w:val="05Tabletext"/>
              <w:jc w:val="center"/>
            </w:pPr>
            <w:r>
              <w:t>NR</w:t>
            </w:r>
          </w:p>
        </w:tc>
        <w:tc>
          <w:tcPr>
            <w:tcW w:w="367" w:type="pct"/>
          </w:tcPr>
          <w:p w:rsidR="00035233" w:rsidRDefault="00035233" w:rsidP="00035233">
            <w:pPr>
              <w:pStyle w:val="05Tabletext"/>
              <w:jc w:val="center"/>
            </w:pPr>
            <w:r>
              <w:t>-</w:t>
            </w:r>
          </w:p>
        </w:tc>
        <w:tc>
          <w:tcPr>
            <w:tcW w:w="736" w:type="pct"/>
          </w:tcPr>
          <w:p w:rsidR="00035233" w:rsidRDefault="00035233" w:rsidP="00035233">
            <w:pPr>
              <w:pStyle w:val="05Tabletext"/>
              <w:jc w:val="center"/>
            </w:pPr>
            <w:r>
              <w:t>-</w:t>
            </w:r>
          </w:p>
        </w:tc>
      </w:tr>
    </w:tbl>
    <w:p w:rsidR="00035233" w:rsidRDefault="00035233" w:rsidP="00035233">
      <w:pPr>
        <w:pStyle w:val="10TableorFigurefootnote"/>
      </w:pPr>
      <w:r>
        <w:t>Source: Maltais et al (2014), Table 2 and Supplementary Table 2.</w:t>
      </w:r>
    </w:p>
    <w:p w:rsidR="00035233" w:rsidRDefault="00035233" w:rsidP="00035233">
      <w:pPr>
        <w:pStyle w:val="10TableorFigurefootnote"/>
      </w:pPr>
      <w:r>
        <w:t>Abbreviations: CI, confidence interval; FEV</w:t>
      </w:r>
      <w:r>
        <w:rPr>
          <w:vertAlign w:val="subscript"/>
        </w:rPr>
        <w:t>1</w:t>
      </w:r>
      <w:r>
        <w:t>, forced expiratory volume in one second; LS, least squares; NR, not reported; PBO, placebo; SAE, serious adverse event; SE, standard error; UME, umeclidinium; VIL, vilanterol.</w:t>
      </w:r>
    </w:p>
    <w:p w:rsidR="00035233" w:rsidRDefault="00035233" w:rsidP="00035233">
      <w:pPr>
        <w:pStyle w:val="10TableorFigurefootnote"/>
      </w:pPr>
      <w:r>
        <w:t>Note: n is the number of patients with analysable data at Week 12.</w:t>
      </w:r>
    </w:p>
    <w:p w:rsidR="00035233" w:rsidRDefault="00035233" w:rsidP="00035233">
      <w:pPr>
        <w:pStyle w:val="11TableorFigurefootnotenostick"/>
      </w:pPr>
      <w:r>
        <w:t>Analysis performed using a repeated measures model with covariates of period walking speed, mean walking speed, period, treatment, visit, smoking status, centre group, visit by period walking speed, visit by mean walking speed, and visit by treatment interactions. For FEV</w:t>
      </w:r>
      <w:r w:rsidRPr="00A9093A">
        <w:rPr>
          <w:vertAlign w:val="subscript"/>
        </w:rPr>
        <w:t>1</w:t>
      </w:r>
      <w:r>
        <w:t>, walking speed is replaced by baseline.</w:t>
      </w:r>
    </w:p>
    <w:p w:rsidR="00035233" w:rsidRPr="008946C4" w:rsidRDefault="00AC7B51" w:rsidP="00035233">
      <w:pPr>
        <w:pStyle w:val="BodyText"/>
      </w:pPr>
      <w:r>
        <w:t>Table 3.4</w:t>
      </w:r>
      <w:r w:rsidR="00C542B6">
        <w:t>5</w:t>
      </w:r>
      <w:r w:rsidR="00035233">
        <w:t xml:space="preserve"> shows the safety outcomes for Studies 417 and 418. In both studies, umeclidinium monotherapy was associated with a lower incidence of on-treatment adverse events. Nevertheless, no significant safety concerns were identified.</w:t>
      </w:r>
    </w:p>
    <w:p w:rsidR="00035233" w:rsidRDefault="00AC7B51" w:rsidP="00C90744">
      <w:pPr>
        <w:pStyle w:val="ToR3Tableheader"/>
      </w:pPr>
      <w:bookmarkStart w:id="329" w:name="_Toc468006285"/>
      <w:bookmarkStart w:id="330" w:name="_Toc468012330"/>
      <w:bookmarkStart w:id="331" w:name="_Toc468034486"/>
      <w:bookmarkStart w:id="332" w:name="_Toc471891036"/>
      <w:bookmarkStart w:id="333" w:name="_Toc486428224"/>
      <w:r>
        <w:t>Table 3.4</w:t>
      </w:r>
      <w:r w:rsidR="00C542B6">
        <w:t>5</w:t>
      </w:r>
      <w:r w:rsidR="00035233">
        <w:tab/>
        <w:t>Results for safety outcomes relating to UME/VIL, UME monotherapy</w:t>
      </w:r>
      <w:r w:rsidR="00035233">
        <w:rPr>
          <w:vertAlign w:val="superscript"/>
        </w:rPr>
        <w:t>a</w:t>
      </w:r>
      <w:r w:rsidR="00035233">
        <w:t xml:space="preserve"> and PBO</w:t>
      </w:r>
      <w:bookmarkEnd w:id="329"/>
      <w:bookmarkEnd w:id="330"/>
      <w:bookmarkEnd w:id="331"/>
      <w:bookmarkEnd w:id="332"/>
      <w:bookmarkEnd w:id="3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Caption w:val="Safety outcomes"/>
        <w:tblDescription w:val="UME/VIL vs UME monotherapy and placebo"/>
      </w:tblPr>
      <w:tblGrid>
        <w:gridCol w:w="3124"/>
        <w:gridCol w:w="2410"/>
        <w:gridCol w:w="2267"/>
        <w:gridCol w:w="1847"/>
      </w:tblGrid>
      <w:tr w:rsidR="00035233" w:rsidRPr="00194011" w:rsidTr="00035233">
        <w:trPr>
          <w:cantSplit/>
          <w:tblHeader/>
        </w:trPr>
        <w:tc>
          <w:tcPr>
            <w:tcW w:w="1619" w:type="pct"/>
            <w:shd w:val="clear" w:color="auto" w:fill="BFBFBF"/>
          </w:tcPr>
          <w:p w:rsidR="00035233" w:rsidRPr="00194011" w:rsidRDefault="00035233" w:rsidP="00035233">
            <w:pPr>
              <w:pStyle w:val="01TableHEADINGleftaligned"/>
              <w:rPr>
                <w:i/>
              </w:rPr>
            </w:pPr>
            <w:r>
              <w:t>Safety outcome</w:t>
            </w:r>
          </w:p>
        </w:tc>
        <w:tc>
          <w:tcPr>
            <w:tcW w:w="1249" w:type="pct"/>
            <w:tcBorders>
              <w:bottom w:val="single" w:sz="4" w:space="0" w:color="auto"/>
            </w:tcBorders>
            <w:shd w:val="clear" w:color="auto" w:fill="BFBFBF"/>
          </w:tcPr>
          <w:p w:rsidR="00035233" w:rsidRPr="00194011" w:rsidRDefault="00035233" w:rsidP="00035233">
            <w:pPr>
              <w:pStyle w:val="01TableHEADINGleftaligned"/>
              <w:jc w:val="center"/>
            </w:pPr>
            <w:r>
              <w:t>UME/VIL 62.5/25</w:t>
            </w:r>
          </w:p>
        </w:tc>
        <w:tc>
          <w:tcPr>
            <w:tcW w:w="1175" w:type="pct"/>
            <w:tcBorders>
              <w:bottom w:val="single" w:sz="4" w:space="0" w:color="auto"/>
            </w:tcBorders>
            <w:shd w:val="clear" w:color="auto" w:fill="BFBFBF"/>
          </w:tcPr>
          <w:p w:rsidR="00035233" w:rsidRDefault="00035233" w:rsidP="00035233">
            <w:pPr>
              <w:pStyle w:val="01TableHEADINGleftaligned"/>
              <w:jc w:val="center"/>
            </w:pPr>
            <w:r>
              <w:t>UME 62.5</w:t>
            </w:r>
          </w:p>
        </w:tc>
        <w:tc>
          <w:tcPr>
            <w:tcW w:w="957" w:type="pct"/>
            <w:tcBorders>
              <w:bottom w:val="single" w:sz="4" w:space="0" w:color="auto"/>
            </w:tcBorders>
            <w:shd w:val="clear" w:color="auto" w:fill="BFBFBF"/>
          </w:tcPr>
          <w:p w:rsidR="00035233" w:rsidRDefault="00035233" w:rsidP="00035233">
            <w:pPr>
              <w:pStyle w:val="01TableHEADINGleftaligned"/>
              <w:jc w:val="center"/>
            </w:pPr>
            <w:r>
              <w:t>PBO</w:t>
            </w:r>
          </w:p>
        </w:tc>
      </w:tr>
      <w:tr w:rsidR="00035233" w:rsidRPr="00194011" w:rsidTr="00035233">
        <w:trPr>
          <w:cantSplit/>
        </w:trPr>
        <w:tc>
          <w:tcPr>
            <w:tcW w:w="1619" w:type="pct"/>
            <w:tcBorders>
              <w:bottom w:val="single" w:sz="4" w:space="0" w:color="auto"/>
            </w:tcBorders>
            <w:shd w:val="clear" w:color="auto" w:fill="000000"/>
          </w:tcPr>
          <w:p w:rsidR="00035233" w:rsidRDefault="00035233" w:rsidP="00035233">
            <w:pPr>
              <w:pStyle w:val="04Tablesubheading"/>
            </w:pPr>
            <w:r>
              <w:t>Study 417</w:t>
            </w:r>
          </w:p>
        </w:tc>
        <w:tc>
          <w:tcPr>
            <w:tcW w:w="1249" w:type="pct"/>
            <w:tcBorders>
              <w:bottom w:val="single" w:sz="4" w:space="0" w:color="auto"/>
            </w:tcBorders>
            <w:shd w:val="clear" w:color="auto" w:fill="000000"/>
          </w:tcPr>
          <w:p w:rsidR="00035233" w:rsidRDefault="00035233" w:rsidP="00035233">
            <w:pPr>
              <w:pStyle w:val="04Tablesubheading"/>
              <w:jc w:val="center"/>
            </w:pPr>
            <w:r>
              <w:t>n=152</w:t>
            </w:r>
          </w:p>
        </w:tc>
        <w:tc>
          <w:tcPr>
            <w:tcW w:w="1175" w:type="pct"/>
            <w:tcBorders>
              <w:bottom w:val="single" w:sz="4" w:space="0" w:color="auto"/>
            </w:tcBorders>
            <w:shd w:val="clear" w:color="auto" w:fill="000000"/>
          </w:tcPr>
          <w:p w:rsidR="00035233" w:rsidRDefault="00035233" w:rsidP="00035233">
            <w:pPr>
              <w:pStyle w:val="04Tablesubheading"/>
              <w:jc w:val="center"/>
            </w:pPr>
            <w:r>
              <w:t>n=49</w:t>
            </w:r>
          </w:p>
        </w:tc>
        <w:tc>
          <w:tcPr>
            <w:tcW w:w="957" w:type="pct"/>
            <w:tcBorders>
              <w:bottom w:val="single" w:sz="4" w:space="0" w:color="auto"/>
            </w:tcBorders>
            <w:shd w:val="clear" w:color="auto" w:fill="000000"/>
          </w:tcPr>
          <w:p w:rsidR="00035233" w:rsidRDefault="00035233" w:rsidP="00035233">
            <w:pPr>
              <w:pStyle w:val="04Tablesubheading"/>
              <w:jc w:val="center"/>
            </w:pPr>
            <w:r>
              <w:t>n=170</w:t>
            </w:r>
          </w:p>
        </w:tc>
      </w:tr>
      <w:tr w:rsidR="00035233" w:rsidRPr="00194011" w:rsidTr="00035233">
        <w:trPr>
          <w:cantSplit/>
        </w:trPr>
        <w:tc>
          <w:tcPr>
            <w:tcW w:w="1619" w:type="pct"/>
            <w:tcBorders>
              <w:bottom w:val="nil"/>
            </w:tcBorders>
            <w:shd w:val="clear" w:color="auto" w:fill="auto"/>
          </w:tcPr>
          <w:p w:rsidR="00035233" w:rsidRPr="00194011" w:rsidRDefault="00035233" w:rsidP="00035233">
            <w:pPr>
              <w:pStyle w:val="05Tabletext"/>
            </w:pPr>
            <w:r>
              <w:t>Any AE, n (%)</w:t>
            </w:r>
          </w:p>
        </w:tc>
        <w:tc>
          <w:tcPr>
            <w:tcW w:w="1249" w:type="pct"/>
            <w:tcBorders>
              <w:bottom w:val="nil"/>
            </w:tcBorders>
            <w:shd w:val="clear" w:color="auto" w:fill="auto"/>
          </w:tcPr>
          <w:p w:rsidR="00035233" w:rsidRPr="00194011" w:rsidRDefault="00035233" w:rsidP="00035233">
            <w:pPr>
              <w:pStyle w:val="05Tabletext"/>
              <w:jc w:val="center"/>
            </w:pPr>
            <w:r>
              <w:t>-</w:t>
            </w:r>
          </w:p>
        </w:tc>
        <w:tc>
          <w:tcPr>
            <w:tcW w:w="1175" w:type="pct"/>
            <w:tcBorders>
              <w:bottom w:val="nil"/>
            </w:tcBorders>
            <w:shd w:val="clear" w:color="auto" w:fill="auto"/>
          </w:tcPr>
          <w:p w:rsidR="00035233" w:rsidRPr="00194011" w:rsidRDefault="00035233" w:rsidP="00035233">
            <w:pPr>
              <w:pStyle w:val="05Tabletext"/>
              <w:jc w:val="center"/>
            </w:pPr>
            <w:r>
              <w:t>-</w:t>
            </w:r>
          </w:p>
        </w:tc>
        <w:tc>
          <w:tcPr>
            <w:tcW w:w="957" w:type="pct"/>
            <w:tcBorders>
              <w:bottom w:val="nil"/>
            </w:tcBorders>
          </w:tcPr>
          <w:p w:rsidR="00035233" w:rsidRDefault="00035233" w:rsidP="00035233">
            <w:pPr>
              <w:pStyle w:val="05Tabletext"/>
              <w:jc w:val="center"/>
            </w:pPr>
            <w:r>
              <w:t>-</w:t>
            </w:r>
          </w:p>
        </w:tc>
      </w:tr>
      <w:tr w:rsidR="00035233" w:rsidRPr="00194011" w:rsidTr="00035233">
        <w:trPr>
          <w:cantSplit/>
        </w:trPr>
        <w:tc>
          <w:tcPr>
            <w:tcW w:w="1619" w:type="pct"/>
            <w:tcBorders>
              <w:top w:val="nil"/>
              <w:bottom w:val="nil"/>
            </w:tcBorders>
            <w:shd w:val="clear" w:color="auto" w:fill="auto"/>
          </w:tcPr>
          <w:p w:rsidR="00035233" w:rsidRDefault="00035233" w:rsidP="00035233">
            <w:pPr>
              <w:pStyle w:val="05Tabletext"/>
              <w:ind w:firstLine="232"/>
            </w:pPr>
            <w:r>
              <w:t>On</w:t>
            </w:r>
            <w:r w:rsidR="00B225A4">
              <w:t>-</w:t>
            </w:r>
            <w:r>
              <w:t>treatment</w:t>
            </w:r>
          </w:p>
        </w:tc>
        <w:tc>
          <w:tcPr>
            <w:tcW w:w="1249" w:type="pct"/>
            <w:tcBorders>
              <w:top w:val="nil"/>
              <w:bottom w:val="nil"/>
            </w:tcBorders>
            <w:shd w:val="clear" w:color="auto" w:fill="auto"/>
          </w:tcPr>
          <w:p w:rsidR="00035233" w:rsidRPr="00194011" w:rsidRDefault="00035233" w:rsidP="00035233">
            <w:pPr>
              <w:pStyle w:val="05Tabletext"/>
              <w:jc w:val="center"/>
            </w:pPr>
            <w:r>
              <w:t>35 (23)</w:t>
            </w:r>
          </w:p>
        </w:tc>
        <w:tc>
          <w:tcPr>
            <w:tcW w:w="1175" w:type="pct"/>
            <w:tcBorders>
              <w:top w:val="nil"/>
              <w:bottom w:val="nil"/>
            </w:tcBorders>
            <w:shd w:val="clear" w:color="auto" w:fill="auto"/>
          </w:tcPr>
          <w:p w:rsidR="00035233" w:rsidRPr="00194011" w:rsidRDefault="00035233" w:rsidP="00035233">
            <w:pPr>
              <w:pStyle w:val="05Tabletext"/>
              <w:jc w:val="center"/>
            </w:pPr>
            <w:r>
              <w:t>6 (12)</w:t>
            </w:r>
          </w:p>
        </w:tc>
        <w:tc>
          <w:tcPr>
            <w:tcW w:w="957" w:type="pct"/>
            <w:tcBorders>
              <w:top w:val="nil"/>
              <w:bottom w:val="nil"/>
            </w:tcBorders>
          </w:tcPr>
          <w:p w:rsidR="00035233" w:rsidRDefault="00035233" w:rsidP="00035233">
            <w:pPr>
              <w:pStyle w:val="05Tabletext"/>
              <w:jc w:val="center"/>
            </w:pPr>
            <w:r>
              <w:t>46 (27)</w:t>
            </w:r>
          </w:p>
        </w:tc>
      </w:tr>
      <w:tr w:rsidR="00035233" w:rsidRPr="00194011" w:rsidTr="00035233">
        <w:trPr>
          <w:cantSplit/>
        </w:trPr>
        <w:tc>
          <w:tcPr>
            <w:tcW w:w="1619" w:type="pct"/>
            <w:tcBorders>
              <w:top w:val="nil"/>
            </w:tcBorders>
            <w:shd w:val="clear" w:color="auto" w:fill="auto"/>
          </w:tcPr>
          <w:p w:rsidR="00035233" w:rsidRDefault="00035233" w:rsidP="00035233">
            <w:pPr>
              <w:pStyle w:val="05Tabletext"/>
              <w:ind w:firstLine="232"/>
            </w:pPr>
            <w:r>
              <w:t>Post-treatment</w:t>
            </w:r>
          </w:p>
        </w:tc>
        <w:tc>
          <w:tcPr>
            <w:tcW w:w="1249" w:type="pct"/>
            <w:tcBorders>
              <w:top w:val="nil"/>
            </w:tcBorders>
            <w:shd w:val="clear" w:color="auto" w:fill="auto"/>
          </w:tcPr>
          <w:p w:rsidR="00035233" w:rsidRPr="00194011" w:rsidRDefault="00035233" w:rsidP="00035233">
            <w:pPr>
              <w:pStyle w:val="05Tabletext"/>
              <w:jc w:val="center"/>
            </w:pPr>
            <w:r>
              <w:t>6 (4)</w:t>
            </w:r>
          </w:p>
        </w:tc>
        <w:tc>
          <w:tcPr>
            <w:tcW w:w="1175" w:type="pct"/>
            <w:tcBorders>
              <w:top w:val="nil"/>
            </w:tcBorders>
            <w:shd w:val="clear" w:color="auto" w:fill="auto"/>
          </w:tcPr>
          <w:p w:rsidR="00035233" w:rsidRPr="00194011" w:rsidRDefault="00035233" w:rsidP="00035233">
            <w:pPr>
              <w:pStyle w:val="05Tabletext"/>
              <w:jc w:val="center"/>
            </w:pPr>
            <w:r>
              <w:t>2 (4)</w:t>
            </w:r>
          </w:p>
        </w:tc>
        <w:tc>
          <w:tcPr>
            <w:tcW w:w="957" w:type="pct"/>
            <w:tcBorders>
              <w:top w:val="nil"/>
            </w:tcBorders>
          </w:tcPr>
          <w:p w:rsidR="00035233" w:rsidRDefault="00035233" w:rsidP="00035233">
            <w:pPr>
              <w:pStyle w:val="05Tabletext"/>
              <w:jc w:val="center"/>
            </w:pPr>
            <w:r>
              <w:t>10 (6)</w:t>
            </w:r>
          </w:p>
        </w:tc>
      </w:tr>
      <w:tr w:rsidR="00035233" w:rsidRPr="00194011" w:rsidTr="00035233">
        <w:trPr>
          <w:cantSplit/>
        </w:trPr>
        <w:tc>
          <w:tcPr>
            <w:tcW w:w="1619" w:type="pct"/>
            <w:shd w:val="clear" w:color="auto" w:fill="auto"/>
          </w:tcPr>
          <w:p w:rsidR="00035233" w:rsidRPr="006E27DA" w:rsidRDefault="00035233" w:rsidP="00035233">
            <w:pPr>
              <w:pStyle w:val="05Tabletext"/>
              <w:rPr>
                <w:vertAlign w:val="superscript"/>
              </w:rPr>
            </w:pPr>
            <w:r>
              <w:t>Drug-related AE, n (%)</w:t>
            </w:r>
          </w:p>
        </w:tc>
        <w:tc>
          <w:tcPr>
            <w:tcW w:w="1249" w:type="pct"/>
            <w:shd w:val="clear" w:color="auto" w:fill="auto"/>
          </w:tcPr>
          <w:p w:rsidR="00035233" w:rsidRPr="00194011" w:rsidRDefault="00035233" w:rsidP="00035233">
            <w:pPr>
              <w:pStyle w:val="05Tabletext"/>
              <w:jc w:val="center"/>
            </w:pPr>
            <w:r>
              <w:t>4 (3)</w:t>
            </w:r>
          </w:p>
        </w:tc>
        <w:tc>
          <w:tcPr>
            <w:tcW w:w="1175" w:type="pct"/>
            <w:shd w:val="clear" w:color="auto" w:fill="auto"/>
          </w:tcPr>
          <w:p w:rsidR="00035233" w:rsidRPr="00194011" w:rsidRDefault="00035233" w:rsidP="00035233">
            <w:pPr>
              <w:pStyle w:val="05Tabletext"/>
              <w:jc w:val="center"/>
            </w:pPr>
            <w:r>
              <w:t>0</w:t>
            </w:r>
          </w:p>
        </w:tc>
        <w:tc>
          <w:tcPr>
            <w:tcW w:w="957" w:type="pct"/>
          </w:tcPr>
          <w:p w:rsidR="00035233" w:rsidRDefault="00035233" w:rsidP="00035233">
            <w:pPr>
              <w:pStyle w:val="05Tabletext"/>
              <w:jc w:val="center"/>
            </w:pPr>
            <w:r>
              <w:t>7 (4)</w:t>
            </w:r>
          </w:p>
        </w:tc>
      </w:tr>
      <w:tr w:rsidR="00035233" w:rsidRPr="00194011" w:rsidTr="00035233">
        <w:trPr>
          <w:cantSplit/>
        </w:trPr>
        <w:tc>
          <w:tcPr>
            <w:tcW w:w="1619" w:type="pct"/>
            <w:tcBorders>
              <w:bottom w:val="single" w:sz="4" w:space="0" w:color="auto"/>
            </w:tcBorders>
            <w:shd w:val="clear" w:color="auto" w:fill="auto"/>
          </w:tcPr>
          <w:p w:rsidR="00035233" w:rsidRDefault="00035233" w:rsidP="00035233">
            <w:pPr>
              <w:pStyle w:val="05Tabletext"/>
            </w:pPr>
            <w:r>
              <w:lastRenderedPageBreak/>
              <w:t>AE-s leading to permanent discontinuation of study treatment, n (%)</w:t>
            </w:r>
          </w:p>
        </w:tc>
        <w:tc>
          <w:tcPr>
            <w:tcW w:w="1249" w:type="pct"/>
            <w:tcBorders>
              <w:bottom w:val="single" w:sz="4" w:space="0" w:color="auto"/>
            </w:tcBorders>
            <w:shd w:val="clear" w:color="auto" w:fill="auto"/>
          </w:tcPr>
          <w:p w:rsidR="00035233" w:rsidRPr="00194011" w:rsidRDefault="00035233" w:rsidP="00035233">
            <w:pPr>
              <w:pStyle w:val="05Tabletext"/>
              <w:jc w:val="center"/>
            </w:pPr>
            <w:r>
              <w:t>6 (4)</w:t>
            </w:r>
          </w:p>
        </w:tc>
        <w:tc>
          <w:tcPr>
            <w:tcW w:w="1175" w:type="pct"/>
            <w:tcBorders>
              <w:bottom w:val="single" w:sz="4" w:space="0" w:color="auto"/>
            </w:tcBorders>
            <w:shd w:val="clear" w:color="auto" w:fill="auto"/>
          </w:tcPr>
          <w:p w:rsidR="00035233" w:rsidRPr="00194011" w:rsidRDefault="00035233" w:rsidP="00035233">
            <w:pPr>
              <w:pStyle w:val="05Tabletext"/>
              <w:jc w:val="center"/>
            </w:pPr>
            <w:r>
              <w:t>2 (4)</w:t>
            </w:r>
          </w:p>
        </w:tc>
        <w:tc>
          <w:tcPr>
            <w:tcW w:w="957" w:type="pct"/>
            <w:tcBorders>
              <w:bottom w:val="single" w:sz="4" w:space="0" w:color="auto"/>
            </w:tcBorders>
          </w:tcPr>
          <w:p w:rsidR="00035233" w:rsidRDefault="00035233" w:rsidP="00035233">
            <w:pPr>
              <w:pStyle w:val="05Tabletext"/>
              <w:jc w:val="center"/>
            </w:pPr>
            <w:r>
              <w:t>9 (5)</w:t>
            </w:r>
          </w:p>
        </w:tc>
      </w:tr>
      <w:tr w:rsidR="00035233" w:rsidRPr="00194011" w:rsidTr="00035233">
        <w:trPr>
          <w:cantSplit/>
        </w:trPr>
        <w:tc>
          <w:tcPr>
            <w:tcW w:w="1619" w:type="pct"/>
            <w:tcBorders>
              <w:bottom w:val="nil"/>
            </w:tcBorders>
            <w:shd w:val="clear" w:color="auto" w:fill="auto"/>
          </w:tcPr>
          <w:p w:rsidR="00035233" w:rsidRPr="00194011" w:rsidRDefault="00035233" w:rsidP="00035233">
            <w:pPr>
              <w:pStyle w:val="05Tabletext"/>
            </w:pPr>
            <w:r>
              <w:t>Any SAE, n (%)</w:t>
            </w:r>
          </w:p>
        </w:tc>
        <w:tc>
          <w:tcPr>
            <w:tcW w:w="1249" w:type="pct"/>
            <w:tcBorders>
              <w:bottom w:val="nil"/>
            </w:tcBorders>
            <w:shd w:val="clear" w:color="auto" w:fill="auto"/>
          </w:tcPr>
          <w:p w:rsidR="00035233" w:rsidRPr="00194011" w:rsidRDefault="00035233" w:rsidP="00035233">
            <w:pPr>
              <w:pStyle w:val="05Tabletext"/>
              <w:jc w:val="center"/>
            </w:pPr>
            <w:r>
              <w:t>-</w:t>
            </w:r>
          </w:p>
        </w:tc>
        <w:tc>
          <w:tcPr>
            <w:tcW w:w="1175" w:type="pct"/>
            <w:tcBorders>
              <w:bottom w:val="nil"/>
            </w:tcBorders>
            <w:shd w:val="clear" w:color="auto" w:fill="auto"/>
          </w:tcPr>
          <w:p w:rsidR="00035233" w:rsidRPr="00194011" w:rsidRDefault="00035233" w:rsidP="00035233">
            <w:pPr>
              <w:pStyle w:val="05Tabletext"/>
              <w:jc w:val="center"/>
            </w:pPr>
            <w:r>
              <w:t>-</w:t>
            </w:r>
          </w:p>
        </w:tc>
        <w:tc>
          <w:tcPr>
            <w:tcW w:w="957" w:type="pct"/>
            <w:tcBorders>
              <w:bottom w:val="nil"/>
            </w:tcBorders>
          </w:tcPr>
          <w:p w:rsidR="00035233" w:rsidRDefault="00035233" w:rsidP="00035233">
            <w:pPr>
              <w:pStyle w:val="05Tabletext"/>
              <w:jc w:val="center"/>
            </w:pPr>
            <w:r>
              <w:t>-</w:t>
            </w:r>
          </w:p>
        </w:tc>
      </w:tr>
      <w:tr w:rsidR="00035233" w:rsidRPr="00194011" w:rsidTr="00035233">
        <w:trPr>
          <w:cantSplit/>
        </w:trPr>
        <w:tc>
          <w:tcPr>
            <w:tcW w:w="1619" w:type="pct"/>
            <w:tcBorders>
              <w:top w:val="nil"/>
              <w:bottom w:val="nil"/>
            </w:tcBorders>
            <w:shd w:val="clear" w:color="auto" w:fill="auto"/>
          </w:tcPr>
          <w:p w:rsidR="00035233" w:rsidRDefault="00035233" w:rsidP="00035233">
            <w:pPr>
              <w:pStyle w:val="05Tabletext"/>
              <w:ind w:firstLine="232"/>
            </w:pPr>
            <w:r>
              <w:t>On</w:t>
            </w:r>
            <w:r w:rsidR="00B225A4">
              <w:t>-</w:t>
            </w:r>
            <w:r>
              <w:t>treatment</w:t>
            </w:r>
          </w:p>
        </w:tc>
        <w:tc>
          <w:tcPr>
            <w:tcW w:w="1249" w:type="pct"/>
            <w:tcBorders>
              <w:top w:val="nil"/>
              <w:bottom w:val="nil"/>
            </w:tcBorders>
            <w:shd w:val="clear" w:color="auto" w:fill="auto"/>
          </w:tcPr>
          <w:p w:rsidR="00035233" w:rsidRPr="00194011" w:rsidRDefault="00035233" w:rsidP="00035233">
            <w:pPr>
              <w:pStyle w:val="05Tabletext"/>
              <w:jc w:val="center"/>
            </w:pPr>
            <w:r>
              <w:t>4 (3)</w:t>
            </w:r>
          </w:p>
        </w:tc>
        <w:tc>
          <w:tcPr>
            <w:tcW w:w="1175" w:type="pct"/>
            <w:tcBorders>
              <w:top w:val="nil"/>
              <w:bottom w:val="nil"/>
            </w:tcBorders>
            <w:shd w:val="clear" w:color="auto" w:fill="auto"/>
          </w:tcPr>
          <w:p w:rsidR="00035233" w:rsidRPr="00194011" w:rsidRDefault="00035233" w:rsidP="00035233">
            <w:pPr>
              <w:pStyle w:val="05Tabletext"/>
              <w:jc w:val="center"/>
            </w:pPr>
            <w:r>
              <w:t>0</w:t>
            </w:r>
          </w:p>
        </w:tc>
        <w:tc>
          <w:tcPr>
            <w:tcW w:w="957" w:type="pct"/>
            <w:tcBorders>
              <w:top w:val="nil"/>
              <w:bottom w:val="nil"/>
            </w:tcBorders>
          </w:tcPr>
          <w:p w:rsidR="00035233" w:rsidRDefault="00035233" w:rsidP="00035233">
            <w:pPr>
              <w:pStyle w:val="05Tabletext"/>
              <w:jc w:val="center"/>
            </w:pPr>
            <w:r>
              <w:t>6 (4)</w:t>
            </w:r>
          </w:p>
        </w:tc>
      </w:tr>
      <w:tr w:rsidR="00035233" w:rsidRPr="00194011" w:rsidTr="00035233">
        <w:trPr>
          <w:cantSplit/>
        </w:trPr>
        <w:tc>
          <w:tcPr>
            <w:tcW w:w="1619" w:type="pct"/>
            <w:tcBorders>
              <w:top w:val="nil"/>
            </w:tcBorders>
            <w:shd w:val="clear" w:color="auto" w:fill="auto"/>
          </w:tcPr>
          <w:p w:rsidR="00035233" w:rsidRDefault="00035233" w:rsidP="00035233">
            <w:pPr>
              <w:pStyle w:val="05Tabletext"/>
              <w:ind w:firstLine="232"/>
            </w:pPr>
            <w:r>
              <w:t>Post-treatment</w:t>
            </w:r>
          </w:p>
        </w:tc>
        <w:tc>
          <w:tcPr>
            <w:tcW w:w="1249" w:type="pct"/>
            <w:tcBorders>
              <w:top w:val="nil"/>
            </w:tcBorders>
            <w:shd w:val="clear" w:color="auto" w:fill="auto"/>
          </w:tcPr>
          <w:p w:rsidR="00035233" w:rsidRPr="00194011" w:rsidRDefault="00035233" w:rsidP="00035233">
            <w:pPr>
              <w:pStyle w:val="05Tabletext"/>
              <w:jc w:val="center"/>
            </w:pPr>
            <w:r>
              <w:t>1 (&lt;1)</w:t>
            </w:r>
          </w:p>
        </w:tc>
        <w:tc>
          <w:tcPr>
            <w:tcW w:w="1175" w:type="pct"/>
            <w:tcBorders>
              <w:top w:val="nil"/>
            </w:tcBorders>
            <w:shd w:val="clear" w:color="auto" w:fill="auto"/>
          </w:tcPr>
          <w:p w:rsidR="00035233" w:rsidRPr="00194011" w:rsidRDefault="00035233" w:rsidP="00035233">
            <w:pPr>
              <w:pStyle w:val="05Tabletext"/>
              <w:jc w:val="center"/>
            </w:pPr>
            <w:r>
              <w:t>0</w:t>
            </w:r>
          </w:p>
        </w:tc>
        <w:tc>
          <w:tcPr>
            <w:tcW w:w="957" w:type="pct"/>
            <w:tcBorders>
              <w:top w:val="nil"/>
            </w:tcBorders>
          </w:tcPr>
          <w:p w:rsidR="00035233" w:rsidRDefault="00035233" w:rsidP="00035233">
            <w:pPr>
              <w:pStyle w:val="05Tabletext"/>
              <w:jc w:val="center"/>
            </w:pPr>
            <w:r>
              <w:t>1 (&lt;1)</w:t>
            </w:r>
          </w:p>
        </w:tc>
      </w:tr>
      <w:tr w:rsidR="00035233" w:rsidRPr="00194011" w:rsidTr="00035233">
        <w:trPr>
          <w:cantSplit/>
        </w:trPr>
        <w:tc>
          <w:tcPr>
            <w:tcW w:w="1619" w:type="pct"/>
            <w:tcBorders>
              <w:bottom w:val="single" w:sz="4" w:space="0" w:color="auto"/>
            </w:tcBorders>
            <w:shd w:val="clear" w:color="auto" w:fill="auto"/>
          </w:tcPr>
          <w:p w:rsidR="00035233" w:rsidRDefault="00035233" w:rsidP="00035233">
            <w:pPr>
              <w:pStyle w:val="05Tabletext"/>
            </w:pPr>
            <w:r>
              <w:t>Drug-related SAE, n (%)</w:t>
            </w:r>
          </w:p>
        </w:tc>
        <w:tc>
          <w:tcPr>
            <w:tcW w:w="1249" w:type="pct"/>
            <w:tcBorders>
              <w:bottom w:val="single" w:sz="4" w:space="0" w:color="auto"/>
            </w:tcBorders>
            <w:shd w:val="clear" w:color="auto" w:fill="auto"/>
          </w:tcPr>
          <w:p w:rsidR="00035233" w:rsidRPr="00194011" w:rsidRDefault="00035233" w:rsidP="00035233">
            <w:pPr>
              <w:pStyle w:val="05Tabletext"/>
              <w:jc w:val="center"/>
            </w:pPr>
            <w:r>
              <w:t>0</w:t>
            </w:r>
          </w:p>
        </w:tc>
        <w:tc>
          <w:tcPr>
            <w:tcW w:w="1175" w:type="pct"/>
            <w:tcBorders>
              <w:bottom w:val="single" w:sz="4" w:space="0" w:color="auto"/>
            </w:tcBorders>
            <w:shd w:val="clear" w:color="auto" w:fill="auto"/>
          </w:tcPr>
          <w:p w:rsidR="00035233" w:rsidRPr="00194011" w:rsidRDefault="00035233" w:rsidP="00035233">
            <w:pPr>
              <w:pStyle w:val="05Tabletext"/>
              <w:jc w:val="center"/>
            </w:pPr>
            <w:r>
              <w:t>0</w:t>
            </w:r>
          </w:p>
        </w:tc>
        <w:tc>
          <w:tcPr>
            <w:tcW w:w="957" w:type="pct"/>
            <w:tcBorders>
              <w:bottom w:val="single" w:sz="4" w:space="0" w:color="auto"/>
            </w:tcBorders>
          </w:tcPr>
          <w:p w:rsidR="00035233" w:rsidRDefault="00035233" w:rsidP="00035233">
            <w:pPr>
              <w:pStyle w:val="05Tabletext"/>
              <w:jc w:val="center"/>
            </w:pPr>
            <w:r>
              <w:t>0</w:t>
            </w:r>
          </w:p>
        </w:tc>
      </w:tr>
      <w:tr w:rsidR="00035233" w:rsidRPr="00194011" w:rsidTr="00035233">
        <w:trPr>
          <w:cantSplit/>
        </w:trPr>
        <w:tc>
          <w:tcPr>
            <w:tcW w:w="1619" w:type="pct"/>
            <w:tcBorders>
              <w:bottom w:val="nil"/>
            </w:tcBorders>
            <w:shd w:val="clear" w:color="auto" w:fill="auto"/>
          </w:tcPr>
          <w:p w:rsidR="00035233" w:rsidRPr="00770AB1" w:rsidRDefault="00035233" w:rsidP="00035233">
            <w:pPr>
              <w:pStyle w:val="05Tabletext"/>
            </w:pPr>
            <w:r>
              <w:t>Fatal AEs, n (%)</w:t>
            </w:r>
          </w:p>
        </w:tc>
        <w:tc>
          <w:tcPr>
            <w:tcW w:w="1249" w:type="pct"/>
            <w:tcBorders>
              <w:bottom w:val="nil"/>
            </w:tcBorders>
            <w:shd w:val="clear" w:color="auto" w:fill="auto"/>
          </w:tcPr>
          <w:p w:rsidR="00035233" w:rsidRPr="00770AB1" w:rsidRDefault="00035233" w:rsidP="00035233">
            <w:pPr>
              <w:pStyle w:val="05Tabletext"/>
              <w:jc w:val="center"/>
            </w:pPr>
            <w:r>
              <w:t>-</w:t>
            </w:r>
          </w:p>
        </w:tc>
        <w:tc>
          <w:tcPr>
            <w:tcW w:w="1175" w:type="pct"/>
            <w:tcBorders>
              <w:bottom w:val="nil"/>
            </w:tcBorders>
            <w:shd w:val="clear" w:color="auto" w:fill="auto"/>
          </w:tcPr>
          <w:p w:rsidR="00035233" w:rsidRPr="00770AB1" w:rsidRDefault="00035233" w:rsidP="00035233">
            <w:pPr>
              <w:pStyle w:val="05Tabletext"/>
              <w:jc w:val="center"/>
            </w:pPr>
            <w:r>
              <w:t>-</w:t>
            </w:r>
          </w:p>
        </w:tc>
        <w:tc>
          <w:tcPr>
            <w:tcW w:w="957" w:type="pct"/>
            <w:tcBorders>
              <w:bottom w:val="nil"/>
            </w:tcBorders>
          </w:tcPr>
          <w:p w:rsidR="00035233" w:rsidRDefault="00035233" w:rsidP="00035233">
            <w:pPr>
              <w:pStyle w:val="05Tabletext"/>
              <w:jc w:val="center"/>
            </w:pPr>
            <w:r>
              <w:t>-</w:t>
            </w:r>
          </w:p>
        </w:tc>
      </w:tr>
      <w:tr w:rsidR="00035233" w:rsidRPr="00194011" w:rsidTr="00035233">
        <w:trPr>
          <w:cantSplit/>
        </w:trPr>
        <w:tc>
          <w:tcPr>
            <w:tcW w:w="1619" w:type="pct"/>
            <w:tcBorders>
              <w:top w:val="nil"/>
              <w:bottom w:val="nil"/>
            </w:tcBorders>
            <w:shd w:val="clear" w:color="auto" w:fill="auto"/>
          </w:tcPr>
          <w:p w:rsidR="00035233" w:rsidRDefault="00035233" w:rsidP="00035233">
            <w:pPr>
              <w:pStyle w:val="05Tabletext"/>
              <w:ind w:firstLine="232"/>
            </w:pPr>
            <w:r>
              <w:t>On</w:t>
            </w:r>
            <w:r w:rsidR="00B225A4">
              <w:t>-</w:t>
            </w:r>
            <w:r>
              <w:t>treatment</w:t>
            </w:r>
          </w:p>
        </w:tc>
        <w:tc>
          <w:tcPr>
            <w:tcW w:w="1249" w:type="pct"/>
            <w:tcBorders>
              <w:top w:val="nil"/>
              <w:bottom w:val="nil"/>
            </w:tcBorders>
            <w:shd w:val="clear" w:color="auto" w:fill="auto"/>
          </w:tcPr>
          <w:p w:rsidR="00035233" w:rsidRPr="00194011" w:rsidRDefault="00035233" w:rsidP="00035233">
            <w:pPr>
              <w:pStyle w:val="05Tabletext"/>
              <w:jc w:val="center"/>
            </w:pPr>
            <w:r>
              <w:t>0</w:t>
            </w:r>
          </w:p>
        </w:tc>
        <w:tc>
          <w:tcPr>
            <w:tcW w:w="1175" w:type="pct"/>
            <w:tcBorders>
              <w:top w:val="nil"/>
              <w:bottom w:val="nil"/>
            </w:tcBorders>
            <w:shd w:val="clear" w:color="auto" w:fill="auto"/>
          </w:tcPr>
          <w:p w:rsidR="00035233" w:rsidRPr="00194011" w:rsidRDefault="00035233" w:rsidP="00035233">
            <w:pPr>
              <w:pStyle w:val="05Tabletext"/>
              <w:jc w:val="center"/>
            </w:pPr>
            <w:r>
              <w:t>0</w:t>
            </w:r>
          </w:p>
        </w:tc>
        <w:tc>
          <w:tcPr>
            <w:tcW w:w="957" w:type="pct"/>
            <w:tcBorders>
              <w:top w:val="nil"/>
              <w:bottom w:val="nil"/>
            </w:tcBorders>
          </w:tcPr>
          <w:p w:rsidR="00035233" w:rsidRDefault="00035233" w:rsidP="00035233">
            <w:pPr>
              <w:pStyle w:val="05Tabletext"/>
              <w:jc w:val="center"/>
            </w:pPr>
            <w:r>
              <w:t>0</w:t>
            </w:r>
          </w:p>
        </w:tc>
      </w:tr>
      <w:tr w:rsidR="00035233" w:rsidRPr="00194011" w:rsidTr="00035233">
        <w:trPr>
          <w:cantSplit/>
        </w:trPr>
        <w:tc>
          <w:tcPr>
            <w:tcW w:w="1619" w:type="pct"/>
            <w:tcBorders>
              <w:top w:val="nil"/>
              <w:bottom w:val="single" w:sz="4" w:space="0" w:color="auto"/>
            </w:tcBorders>
            <w:shd w:val="clear" w:color="auto" w:fill="auto"/>
          </w:tcPr>
          <w:p w:rsidR="00035233" w:rsidRPr="00AF512F" w:rsidRDefault="00035233" w:rsidP="00035233">
            <w:pPr>
              <w:pStyle w:val="05Tabletext"/>
              <w:ind w:firstLine="232"/>
            </w:pPr>
            <w:r w:rsidRPr="00AF512F">
              <w:t>Post-treatment</w:t>
            </w:r>
          </w:p>
        </w:tc>
        <w:tc>
          <w:tcPr>
            <w:tcW w:w="1249" w:type="pct"/>
            <w:tcBorders>
              <w:top w:val="nil"/>
              <w:bottom w:val="single" w:sz="4" w:space="0" w:color="auto"/>
            </w:tcBorders>
            <w:shd w:val="clear" w:color="auto" w:fill="auto"/>
          </w:tcPr>
          <w:p w:rsidR="00035233" w:rsidRPr="00194011" w:rsidRDefault="00035233" w:rsidP="00035233">
            <w:pPr>
              <w:pStyle w:val="05Tabletext"/>
              <w:jc w:val="center"/>
            </w:pPr>
            <w:r>
              <w:t>0</w:t>
            </w:r>
          </w:p>
        </w:tc>
        <w:tc>
          <w:tcPr>
            <w:tcW w:w="1175" w:type="pct"/>
            <w:tcBorders>
              <w:top w:val="nil"/>
              <w:bottom w:val="single" w:sz="4" w:space="0" w:color="auto"/>
            </w:tcBorders>
            <w:shd w:val="clear" w:color="auto" w:fill="auto"/>
          </w:tcPr>
          <w:p w:rsidR="00035233" w:rsidRPr="00194011" w:rsidRDefault="00035233" w:rsidP="00035233">
            <w:pPr>
              <w:pStyle w:val="05Tabletext"/>
              <w:jc w:val="center"/>
            </w:pPr>
            <w:r>
              <w:t>0</w:t>
            </w:r>
          </w:p>
        </w:tc>
        <w:tc>
          <w:tcPr>
            <w:tcW w:w="957" w:type="pct"/>
            <w:tcBorders>
              <w:top w:val="nil"/>
              <w:bottom w:val="single" w:sz="4" w:space="0" w:color="auto"/>
            </w:tcBorders>
          </w:tcPr>
          <w:p w:rsidR="00035233" w:rsidRDefault="00035233" w:rsidP="00035233">
            <w:pPr>
              <w:pStyle w:val="05Tabletext"/>
              <w:jc w:val="center"/>
            </w:pPr>
            <w:r>
              <w:t>0</w:t>
            </w:r>
          </w:p>
        </w:tc>
      </w:tr>
      <w:tr w:rsidR="00035233" w:rsidRPr="00194011" w:rsidTr="00035233">
        <w:trPr>
          <w:cantSplit/>
        </w:trPr>
        <w:tc>
          <w:tcPr>
            <w:tcW w:w="1619" w:type="pct"/>
            <w:tcBorders>
              <w:top w:val="single" w:sz="4" w:space="0" w:color="auto"/>
              <w:bottom w:val="single" w:sz="4" w:space="0" w:color="auto"/>
            </w:tcBorders>
            <w:shd w:val="clear" w:color="auto" w:fill="000000"/>
          </w:tcPr>
          <w:p w:rsidR="00035233" w:rsidRPr="00AF512F" w:rsidRDefault="00E51DEA" w:rsidP="00035233">
            <w:pPr>
              <w:pStyle w:val="04Tablesubheading"/>
            </w:pPr>
            <w:r>
              <w:t>S</w:t>
            </w:r>
            <w:r w:rsidR="00035233">
              <w:t>tudy 418</w:t>
            </w:r>
          </w:p>
        </w:tc>
        <w:tc>
          <w:tcPr>
            <w:tcW w:w="1249" w:type="pct"/>
            <w:tcBorders>
              <w:top w:val="single" w:sz="4" w:space="0" w:color="auto"/>
              <w:bottom w:val="single" w:sz="4" w:space="0" w:color="auto"/>
            </w:tcBorders>
            <w:shd w:val="clear" w:color="auto" w:fill="000000"/>
          </w:tcPr>
          <w:p w:rsidR="00035233" w:rsidRPr="00194011" w:rsidRDefault="00035233" w:rsidP="00035233">
            <w:pPr>
              <w:pStyle w:val="04Tablesubheading"/>
              <w:jc w:val="center"/>
            </w:pPr>
            <w:r>
              <w:t>n=130</w:t>
            </w:r>
          </w:p>
        </w:tc>
        <w:tc>
          <w:tcPr>
            <w:tcW w:w="1175" w:type="pct"/>
            <w:tcBorders>
              <w:top w:val="single" w:sz="4" w:space="0" w:color="auto"/>
              <w:bottom w:val="single" w:sz="4" w:space="0" w:color="auto"/>
            </w:tcBorders>
            <w:shd w:val="clear" w:color="auto" w:fill="000000"/>
          </w:tcPr>
          <w:p w:rsidR="00035233" w:rsidRPr="00194011" w:rsidRDefault="00035233" w:rsidP="00035233">
            <w:pPr>
              <w:pStyle w:val="04Tablesubheading"/>
              <w:jc w:val="center"/>
            </w:pPr>
            <w:r>
              <w:t>n=40</w:t>
            </w:r>
          </w:p>
        </w:tc>
        <w:tc>
          <w:tcPr>
            <w:tcW w:w="957" w:type="pct"/>
            <w:tcBorders>
              <w:top w:val="single" w:sz="4" w:space="0" w:color="auto"/>
              <w:bottom w:val="single" w:sz="4" w:space="0" w:color="auto"/>
            </w:tcBorders>
            <w:shd w:val="clear" w:color="auto" w:fill="000000"/>
          </w:tcPr>
          <w:p w:rsidR="00035233" w:rsidRDefault="00035233" w:rsidP="00035233">
            <w:pPr>
              <w:pStyle w:val="04Tablesubheading"/>
              <w:jc w:val="center"/>
            </w:pPr>
            <w:r>
              <w:t>n=151</w:t>
            </w:r>
          </w:p>
        </w:tc>
      </w:tr>
      <w:tr w:rsidR="00035233" w:rsidRPr="00194011" w:rsidTr="00035233">
        <w:trPr>
          <w:cantSplit/>
        </w:trPr>
        <w:tc>
          <w:tcPr>
            <w:tcW w:w="1619" w:type="pct"/>
            <w:tcBorders>
              <w:top w:val="single" w:sz="4" w:space="0" w:color="auto"/>
              <w:bottom w:val="nil"/>
            </w:tcBorders>
            <w:shd w:val="clear" w:color="auto" w:fill="auto"/>
          </w:tcPr>
          <w:p w:rsidR="00035233" w:rsidRPr="00AF512F" w:rsidRDefault="00035233" w:rsidP="00035233">
            <w:pPr>
              <w:pStyle w:val="05Tabletext"/>
              <w:keepNext/>
            </w:pPr>
            <w:r w:rsidRPr="00C44B70">
              <w:t>Any</w:t>
            </w:r>
            <w:r>
              <w:t xml:space="preserve"> AE, n (%)</w:t>
            </w:r>
          </w:p>
        </w:tc>
        <w:tc>
          <w:tcPr>
            <w:tcW w:w="1249" w:type="pct"/>
            <w:tcBorders>
              <w:top w:val="single" w:sz="4" w:space="0" w:color="auto"/>
              <w:bottom w:val="nil"/>
            </w:tcBorders>
            <w:shd w:val="clear" w:color="auto" w:fill="auto"/>
          </w:tcPr>
          <w:p w:rsidR="00035233" w:rsidRPr="00194011" w:rsidRDefault="00035233" w:rsidP="00035233">
            <w:pPr>
              <w:pStyle w:val="05Tabletext"/>
              <w:keepNext/>
              <w:jc w:val="center"/>
            </w:pPr>
            <w:r>
              <w:t>-</w:t>
            </w:r>
          </w:p>
        </w:tc>
        <w:tc>
          <w:tcPr>
            <w:tcW w:w="1175" w:type="pct"/>
            <w:tcBorders>
              <w:top w:val="single" w:sz="4" w:space="0" w:color="auto"/>
              <w:bottom w:val="nil"/>
            </w:tcBorders>
            <w:shd w:val="clear" w:color="auto" w:fill="auto"/>
          </w:tcPr>
          <w:p w:rsidR="00035233" w:rsidRPr="00194011" w:rsidRDefault="00035233" w:rsidP="00035233">
            <w:pPr>
              <w:pStyle w:val="05Tabletext"/>
              <w:keepNext/>
              <w:jc w:val="center"/>
            </w:pPr>
            <w:r>
              <w:t>-</w:t>
            </w:r>
          </w:p>
        </w:tc>
        <w:tc>
          <w:tcPr>
            <w:tcW w:w="957" w:type="pct"/>
            <w:tcBorders>
              <w:top w:val="single" w:sz="4" w:space="0" w:color="auto"/>
              <w:bottom w:val="nil"/>
            </w:tcBorders>
          </w:tcPr>
          <w:p w:rsidR="00035233" w:rsidRDefault="00035233" w:rsidP="00035233">
            <w:pPr>
              <w:pStyle w:val="05Tabletext"/>
              <w:keepNext/>
              <w:jc w:val="center"/>
            </w:pPr>
            <w:r>
              <w:t>-</w:t>
            </w:r>
          </w:p>
        </w:tc>
      </w:tr>
      <w:tr w:rsidR="00035233" w:rsidRPr="00194011" w:rsidTr="00035233">
        <w:trPr>
          <w:cantSplit/>
        </w:trPr>
        <w:tc>
          <w:tcPr>
            <w:tcW w:w="1619" w:type="pct"/>
            <w:tcBorders>
              <w:top w:val="nil"/>
              <w:bottom w:val="nil"/>
            </w:tcBorders>
            <w:shd w:val="clear" w:color="auto" w:fill="auto"/>
          </w:tcPr>
          <w:p w:rsidR="00035233" w:rsidRPr="00AF512F" w:rsidRDefault="00035233" w:rsidP="00035233">
            <w:pPr>
              <w:pStyle w:val="05Tabletext"/>
              <w:keepNext/>
              <w:ind w:firstLine="232"/>
            </w:pPr>
            <w:r>
              <w:t>On</w:t>
            </w:r>
            <w:r w:rsidR="00B225A4">
              <w:t>-</w:t>
            </w:r>
            <w:r>
              <w:t>treatment</w:t>
            </w:r>
          </w:p>
        </w:tc>
        <w:tc>
          <w:tcPr>
            <w:tcW w:w="1249" w:type="pct"/>
            <w:tcBorders>
              <w:top w:val="nil"/>
              <w:bottom w:val="nil"/>
            </w:tcBorders>
            <w:shd w:val="clear" w:color="auto" w:fill="auto"/>
          </w:tcPr>
          <w:p w:rsidR="00035233" w:rsidRPr="00194011" w:rsidRDefault="00035233" w:rsidP="00035233">
            <w:pPr>
              <w:pStyle w:val="05Tabletext"/>
              <w:keepNext/>
              <w:jc w:val="center"/>
            </w:pPr>
            <w:r>
              <w:t>57 (44)</w:t>
            </w:r>
          </w:p>
        </w:tc>
        <w:tc>
          <w:tcPr>
            <w:tcW w:w="1175" w:type="pct"/>
            <w:tcBorders>
              <w:top w:val="nil"/>
              <w:bottom w:val="nil"/>
            </w:tcBorders>
            <w:shd w:val="clear" w:color="auto" w:fill="auto"/>
          </w:tcPr>
          <w:p w:rsidR="00035233" w:rsidRPr="00194011" w:rsidRDefault="00035233" w:rsidP="00035233">
            <w:pPr>
              <w:pStyle w:val="05Tabletext"/>
              <w:keepNext/>
              <w:jc w:val="center"/>
            </w:pPr>
            <w:r>
              <w:t>12 (30)</w:t>
            </w:r>
          </w:p>
        </w:tc>
        <w:tc>
          <w:tcPr>
            <w:tcW w:w="957" w:type="pct"/>
            <w:tcBorders>
              <w:top w:val="nil"/>
              <w:bottom w:val="nil"/>
            </w:tcBorders>
          </w:tcPr>
          <w:p w:rsidR="00035233" w:rsidRDefault="00035233" w:rsidP="00035233">
            <w:pPr>
              <w:pStyle w:val="05Tabletext"/>
              <w:keepNext/>
              <w:jc w:val="center"/>
            </w:pPr>
            <w:r>
              <w:t>59 (39)</w:t>
            </w:r>
          </w:p>
        </w:tc>
      </w:tr>
      <w:tr w:rsidR="00035233" w:rsidRPr="00194011" w:rsidTr="00035233">
        <w:trPr>
          <w:cantSplit/>
        </w:trPr>
        <w:tc>
          <w:tcPr>
            <w:tcW w:w="1619" w:type="pct"/>
            <w:tcBorders>
              <w:top w:val="nil"/>
              <w:bottom w:val="single" w:sz="4" w:space="0" w:color="auto"/>
            </w:tcBorders>
            <w:shd w:val="clear" w:color="auto" w:fill="auto"/>
          </w:tcPr>
          <w:p w:rsidR="00035233" w:rsidRPr="00AF512F" w:rsidRDefault="00035233" w:rsidP="00035233">
            <w:pPr>
              <w:pStyle w:val="05Tabletext"/>
              <w:keepNext/>
              <w:ind w:firstLine="232"/>
            </w:pPr>
            <w:r>
              <w:t>Post-treatment</w:t>
            </w:r>
          </w:p>
        </w:tc>
        <w:tc>
          <w:tcPr>
            <w:tcW w:w="1249" w:type="pct"/>
            <w:tcBorders>
              <w:top w:val="nil"/>
              <w:bottom w:val="single" w:sz="4" w:space="0" w:color="auto"/>
            </w:tcBorders>
            <w:shd w:val="clear" w:color="auto" w:fill="auto"/>
          </w:tcPr>
          <w:p w:rsidR="00035233" w:rsidRPr="00194011" w:rsidRDefault="00035233" w:rsidP="00035233">
            <w:pPr>
              <w:pStyle w:val="05Tabletext"/>
              <w:keepNext/>
              <w:jc w:val="center"/>
            </w:pPr>
            <w:r>
              <w:t>10 (8)</w:t>
            </w:r>
          </w:p>
        </w:tc>
        <w:tc>
          <w:tcPr>
            <w:tcW w:w="1175" w:type="pct"/>
            <w:tcBorders>
              <w:top w:val="nil"/>
              <w:bottom w:val="single" w:sz="4" w:space="0" w:color="auto"/>
            </w:tcBorders>
            <w:shd w:val="clear" w:color="auto" w:fill="auto"/>
          </w:tcPr>
          <w:p w:rsidR="00035233" w:rsidRPr="00194011" w:rsidRDefault="00035233" w:rsidP="00035233">
            <w:pPr>
              <w:pStyle w:val="05Tabletext"/>
              <w:keepNext/>
              <w:jc w:val="center"/>
            </w:pPr>
            <w:r>
              <w:t>2 (5)</w:t>
            </w:r>
          </w:p>
        </w:tc>
        <w:tc>
          <w:tcPr>
            <w:tcW w:w="957" w:type="pct"/>
            <w:tcBorders>
              <w:top w:val="nil"/>
              <w:bottom w:val="single" w:sz="4" w:space="0" w:color="auto"/>
            </w:tcBorders>
          </w:tcPr>
          <w:p w:rsidR="00035233" w:rsidRDefault="00035233" w:rsidP="00035233">
            <w:pPr>
              <w:pStyle w:val="05Tabletext"/>
              <w:keepNext/>
              <w:jc w:val="center"/>
            </w:pPr>
            <w:r>
              <w:t>7 (5)</w:t>
            </w:r>
          </w:p>
        </w:tc>
      </w:tr>
      <w:tr w:rsidR="00035233" w:rsidRPr="00194011" w:rsidTr="00035233">
        <w:trPr>
          <w:cantSplit/>
        </w:trPr>
        <w:tc>
          <w:tcPr>
            <w:tcW w:w="1619" w:type="pct"/>
            <w:tcBorders>
              <w:top w:val="single" w:sz="4" w:space="0" w:color="auto"/>
              <w:bottom w:val="single" w:sz="4" w:space="0" w:color="auto"/>
            </w:tcBorders>
            <w:shd w:val="clear" w:color="auto" w:fill="auto"/>
          </w:tcPr>
          <w:p w:rsidR="00035233" w:rsidRPr="00AF512F" w:rsidRDefault="00035233" w:rsidP="00035233">
            <w:pPr>
              <w:pStyle w:val="05Tabletext"/>
              <w:keepNext/>
            </w:pPr>
            <w:r>
              <w:t>Drug-related AE, n (%)</w:t>
            </w:r>
          </w:p>
        </w:tc>
        <w:tc>
          <w:tcPr>
            <w:tcW w:w="1249" w:type="pct"/>
            <w:tcBorders>
              <w:top w:val="single" w:sz="4" w:space="0" w:color="auto"/>
              <w:bottom w:val="single" w:sz="4" w:space="0" w:color="auto"/>
            </w:tcBorders>
            <w:shd w:val="clear" w:color="auto" w:fill="auto"/>
          </w:tcPr>
          <w:p w:rsidR="00035233" w:rsidRPr="00194011" w:rsidRDefault="00035233" w:rsidP="00035233">
            <w:pPr>
              <w:pStyle w:val="05Tabletext"/>
              <w:keepNext/>
              <w:jc w:val="center"/>
            </w:pPr>
            <w:r>
              <w:t>8 (6)</w:t>
            </w:r>
          </w:p>
        </w:tc>
        <w:tc>
          <w:tcPr>
            <w:tcW w:w="1175" w:type="pct"/>
            <w:tcBorders>
              <w:top w:val="single" w:sz="4" w:space="0" w:color="auto"/>
              <w:bottom w:val="single" w:sz="4" w:space="0" w:color="auto"/>
            </w:tcBorders>
            <w:shd w:val="clear" w:color="auto" w:fill="auto"/>
          </w:tcPr>
          <w:p w:rsidR="00035233" w:rsidRPr="00194011" w:rsidRDefault="00035233" w:rsidP="00035233">
            <w:pPr>
              <w:pStyle w:val="05Tabletext"/>
              <w:keepNext/>
              <w:jc w:val="center"/>
            </w:pPr>
            <w:r>
              <w:t>1 (3)</w:t>
            </w:r>
          </w:p>
        </w:tc>
        <w:tc>
          <w:tcPr>
            <w:tcW w:w="957" w:type="pct"/>
            <w:tcBorders>
              <w:top w:val="single" w:sz="4" w:space="0" w:color="auto"/>
              <w:bottom w:val="single" w:sz="4" w:space="0" w:color="auto"/>
            </w:tcBorders>
          </w:tcPr>
          <w:p w:rsidR="00035233" w:rsidRDefault="00035233" w:rsidP="00035233">
            <w:pPr>
              <w:pStyle w:val="05Tabletext"/>
              <w:keepNext/>
              <w:jc w:val="center"/>
            </w:pPr>
            <w:r>
              <w:t>7 (5)</w:t>
            </w:r>
          </w:p>
        </w:tc>
      </w:tr>
      <w:tr w:rsidR="00035233" w:rsidRPr="00194011" w:rsidTr="00035233">
        <w:trPr>
          <w:cantSplit/>
        </w:trPr>
        <w:tc>
          <w:tcPr>
            <w:tcW w:w="1619" w:type="pct"/>
            <w:tcBorders>
              <w:top w:val="single" w:sz="4" w:space="0" w:color="auto"/>
              <w:bottom w:val="single" w:sz="4" w:space="0" w:color="auto"/>
            </w:tcBorders>
            <w:shd w:val="clear" w:color="auto" w:fill="auto"/>
          </w:tcPr>
          <w:p w:rsidR="00035233" w:rsidRPr="00AF512F" w:rsidRDefault="00035233" w:rsidP="00035233">
            <w:pPr>
              <w:pStyle w:val="05Tabletext"/>
              <w:keepNext/>
            </w:pPr>
            <w:r>
              <w:t>AE-s leading to permanent discontinuation of study treatment, n (%)</w:t>
            </w:r>
          </w:p>
        </w:tc>
        <w:tc>
          <w:tcPr>
            <w:tcW w:w="1249" w:type="pct"/>
            <w:tcBorders>
              <w:top w:val="single" w:sz="4" w:space="0" w:color="auto"/>
              <w:bottom w:val="single" w:sz="4" w:space="0" w:color="auto"/>
            </w:tcBorders>
            <w:shd w:val="clear" w:color="auto" w:fill="auto"/>
          </w:tcPr>
          <w:p w:rsidR="00035233" w:rsidRPr="00194011" w:rsidRDefault="00035233" w:rsidP="00035233">
            <w:pPr>
              <w:pStyle w:val="05Tabletext"/>
              <w:keepNext/>
              <w:jc w:val="center"/>
            </w:pPr>
            <w:r>
              <w:t>5 (4)</w:t>
            </w:r>
          </w:p>
        </w:tc>
        <w:tc>
          <w:tcPr>
            <w:tcW w:w="1175" w:type="pct"/>
            <w:tcBorders>
              <w:top w:val="single" w:sz="4" w:space="0" w:color="auto"/>
              <w:bottom w:val="single" w:sz="4" w:space="0" w:color="auto"/>
            </w:tcBorders>
            <w:shd w:val="clear" w:color="auto" w:fill="auto"/>
          </w:tcPr>
          <w:p w:rsidR="00035233" w:rsidRPr="00194011" w:rsidRDefault="00035233" w:rsidP="00035233">
            <w:pPr>
              <w:pStyle w:val="05Tabletext"/>
              <w:keepNext/>
              <w:jc w:val="center"/>
            </w:pPr>
            <w:r>
              <w:t>1 (3)</w:t>
            </w:r>
          </w:p>
        </w:tc>
        <w:tc>
          <w:tcPr>
            <w:tcW w:w="957" w:type="pct"/>
            <w:tcBorders>
              <w:top w:val="single" w:sz="4" w:space="0" w:color="auto"/>
              <w:bottom w:val="single" w:sz="4" w:space="0" w:color="auto"/>
            </w:tcBorders>
          </w:tcPr>
          <w:p w:rsidR="00035233" w:rsidRDefault="00035233" w:rsidP="00035233">
            <w:pPr>
              <w:pStyle w:val="05Tabletext"/>
              <w:keepNext/>
              <w:jc w:val="center"/>
            </w:pPr>
            <w:r>
              <w:t>8 (5)</w:t>
            </w:r>
          </w:p>
        </w:tc>
      </w:tr>
      <w:tr w:rsidR="00035233" w:rsidRPr="00194011" w:rsidTr="00035233">
        <w:trPr>
          <w:cantSplit/>
        </w:trPr>
        <w:tc>
          <w:tcPr>
            <w:tcW w:w="1619" w:type="pct"/>
            <w:tcBorders>
              <w:top w:val="single" w:sz="4" w:space="0" w:color="auto"/>
              <w:bottom w:val="nil"/>
            </w:tcBorders>
            <w:shd w:val="clear" w:color="auto" w:fill="auto"/>
          </w:tcPr>
          <w:p w:rsidR="00035233" w:rsidRPr="00AF512F" w:rsidRDefault="00035233" w:rsidP="00035233">
            <w:pPr>
              <w:pStyle w:val="05Tabletext"/>
              <w:keepNext/>
            </w:pPr>
            <w:r w:rsidRPr="00C44B70">
              <w:t>Any</w:t>
            </w:r>
            <w:r>
              <w:t xml:space="preserve"> SAE, n (%)</w:t>
            </w:r>
          </w:p>
        </w:tc>
        <w:tc>
          <w:tcPr>
            <w:tcW w:w="1249" w:type="pct"/>
            <w:tcBorders>
              <w:top w:val="single" w:sz="4" w:space="0" w:color="auto"/>
              <w:bottom w:val="nil"/>
            </w:tcBorders>
            <w:shd w:val="clear" w:color="auto" w:fill="auto"/>
          </w:tcPr>
          <w:p w:rsidR="00035233" w:rsidRPr="00194011" w:rsidRDefault="00035233" w:rsidP="00035233">
            <w:pPr>
              <w:pStyle w:val="05Tabletext"/>
              <w:keepNext/>
              <w:jc w:val="center"/>
            </w:pPr>
            <w:r>
              <w:t>-</w:t>
            </w:r>
          </w:p>
        </w:tc>
        <w:tc>
          <w:tcPr>
            <w:tcW w:w="1175" w:type="pct"/>
            <w:tcBorders>
              <w:top w:val="single" w:sz="4" w:space="0" w:color="auto"/>
              <w:bottom w:val="nil"/>
            </w:tcBorders>
            <w:shd w:val="clear" w:color="auto" w:fill="auto"/>
          </w:tcPr>
          <w:p w:rsidR="00035233" w:rsidRPr="00194011" w:rsidRDefault="00035233" w:rsidP="00035233">
            <w:pPr>
              <w:pStyle w:val="05Tabletext"/>
              <w:keepNext/>
              <w:jc w:val="center"/>
            </w:pPr>
            <w:r>
              <w:t>-</w:t>
            </w:r>
          </w:p>
        </w:tc>
        <w:tc>
          <w:tcPr>
            <w:tcW w:w="957" w:type="pct"/>
            <w:tcBorders>
              <w:top w:val="single" w:sz="4" w:space="0" w:color="auto"/>
              <w:bottom w:val="nil"/>
            </w:tcBorders>
          </w:tcPr>
          <w:p w:rsidR="00035233" w:rsidRDefault="00035233" w:rsidP="00035233">
            <w:pPr>
              <w:pStyle w:val="05Tabletext"/>
              <w:keepNext/>
              <w:jc w:val="center"/>
            </w:pPr>
            <w:r>
              <w:t>-</w:t>
            </w:r>
          </w:p>
        </w:tc>
      </w:tr>
      <w:tr w:rsidR="00035233" w:rsidRPr="00194011" w:rsidTr="00035233">
        <w:trPr>
          <w:cantSplit/>
        </w:trPr>
        <w:tc>
          <w:tcPr>
            <w:tcW w:w="1619" w:type="pct"/>
            <w:tcBorders>
              <w:top w:val="nil"/>
              <w:bottom w:val="nil"/>
            </w:tcBorders>
            <w:shd w:val="clear" w:color="auto" w:fill="auto"/>
          </w:tcPr>
          <w:p w:rsidR="00035233" w:rsidRPr="00AF512F" w:rsidRDefault="00035233" w:rsidP="00035233">
            <w:pPr>
              <w:pStyle w:val="05Tabletext"/>
              <w:keepNext/>
              <w:ind w:firstLine="232"/>
            </w:pPr>
            <w:r>
              <w:t>On</w:t>
            </w:r>
            <w:r w:rsidR="00B225A4">
              <w:t>-</w:t>
            </w:r>
            <w:r>
              <w:t>treatment</w:t>
            </w:r>
          </w:p>
        </w:tc>
        <w:tc>
          <w:tcPr>
            <w:tcW w:w="1249" w:type="pct"/>
            <w:tcBorders>
              <w:top w:val="nil"/>
              <w:bottom w:val="nil"/>
            </w:tcBorders>
            <w:shd w:val="clear" w:color="auto" w:fill="auto"/>
          </w:tcPr>
          <w:p w:rsidR="00035233" w:rsidRPr="00194011" w:rsidRDefault="00035233" w:rsidP="00035233">
            <w:pPr>
              <w:pStyle w:val="05Tabletext"/>
              <w:keepNext/>
              <w:jc w:val="center"/>
            </w:pPr>
            <w:r>
              <w:t>3 (2)</w:t>
            </w:r>
          </w:p>
        </w:tc>
        <w:tc>
          <w:tcPr>
            <w:tcW w:w="1175" w:type="pct"/>
            <w:tcBorders>
              <w:top w:val="nil"/>
              <w:bottom w:val="nil"/>
            </w:tcBorders>
            <w:shd w:val="clear" w:color="auto" w:fill="auto"/>
          </w:tcPr>
          <w:p w:rsidR="00035233" w:rsidRPr="00194011" w:rsidRDefault="00035233" w:rsidP="00035233">
            <w:pPr>
              <w:pStyle w:val="05Tabletext"/>
              <w:keepNext/>
              <w:jc w:val="center"/>
            </w:pPr>
            <w:r>
              <w:t>1 (3)</w:t>
            </w:r>
          </w:p>
        </w:tc>
        <w:tc>
          <w:tcPr>
            <w:tcW w:w="957" w:type="pct"/>
            <w:tcBorders>
              <w:top w:val="nil"/>
              <w:bottom w:val="nil"/>
            </w:tcBorders>
          </w:tcPr>
          <w:p w:rsidR="00035233" w:rsidRDefault="00035233" w:rsidP="00035233">
            <w:pPr>
              <w:pStyle w:val="05Tabletext"/>
              <w:keepNext/>
              <w:jc w:val="center"/>
            </w:pPr>
            <w:r>
              <w:t>4 (3)</w:t>
            </w:r>
          </w:p>
        </w:tc>
      </w:tr>
      <w:tr w:rsidR="00035233" w:rsidRPr="00194011" w:rsidTr="00035233">
        <w:trPr>
          <w:cantSplit/>
        </w:trPr>
        <w:tc>
          <w:tcPr>
            <w:tcW w:w="1619" w:type="pct"/>
            <w:tcBorders>
              <w:top w:val="nil"/>
              <w:bottom w:val="single" w:sz="4" w:space="0" w:color="auto"/>
            </w:tcBorders>
            <w:shd w:val="clear" w:color="auto" w:fill="auto"/>
          </w:tcPr>
          <w:p w:rsidR="00035233" w:rsidRPr="00AF512F" w:rsidRDefault="00035233" w:rsidP="00035233">
            <w:pPr>
              <w:pStyle w:val="05Tabletext"/>
              <w:keepNext/>
              <w:ind w:firstLine="232"/>
            </w:pPr>
            <w:r>
              <w:t>Post-treatment</w:t>
            </w:r>
          </w:p>
        </w:tc>
        <w:tc>
          <w:tcPr>
            <w:tcW w:w="1249" w:type="pct"/>
            <w:tcBorders>
              <w:top w:val="nil"/>
              <w:bottom w:val="single" w:sz="4" w:space="0" w:color="auto"/>
            </w:tcBorders>
            <w:shd w:val="clear" w:color="auto" w:fill="auto"/>
          </w:tcPr>
          <w:p w:rsidR="00035233" w:rsidRPr="00194011" w:rsidRDefault="00035233" w:rsidP="00035233">
            <w:pPr>
              <w:pStyle w:val="05Tabletext"/>
              <w:keepNext/>
              <w:jc w:val="center"/>
            </w:pPr>
            <w:r>
              <w:t>0</w:t>
            </w:r>
          </w:p>
        </w:tc>
        <w:tc>
          <w:tcPr>
            <w:tcW w:w="1175" w:type="pct"/>
            <w:tcBorders>
              <w:top w:val="nil"/>
              <w:bottom w:val="single" w:sz="4" w:space="0" w:color="auto"/>
            </w:tcBorders>
            <w:shd w:val="clear" w:color="auto" w:fill="auto"/>
          </w:tcPr>
          <w:p w:rsidR="00035233" w:rsidRPr="00194011" w:rsidRDefault="00035233" w:rsidP="00035233">
            <w:pPr>
              <w:pStyle w:val="05Tabletext"/>
              <w:keepNext/>
              <w:jc w:val="center"/>
            </w:pPr>
            <w:r>
              <w:t>0</w:t>
            </w:r>
          </w:p>
        </w:tc>
        <w:tc>
          <w:tcPr>
            <w:tcW w:w="957" w:type="pct"/>
            <w:tcBorders>
              <w:top w:val="nil"/>
              <w:bottom w:val="single" w:sz="4" w:space="0" w:color="auto"/>
            </w:tcBorders>
          </w:tcPr>
          <w:p w:rsidR="00035233" w:rsidRDefault="00035233" w:rsidP="00035233">
            <w:pPr>
              <w:pStyle w:val="05Tabletext"/>
              <w:keepNext/>
              <w:jc w:val="center"/>
            </w:pPr>
            <w:r>
              <w:t>1 (&lt;1)</w:t>
            </w:r>
          </w:p>
        </w:tc>
      </w:tr>
      <w:tr w:rsidR="00035233" w:rsidRPr="00194011" w:rsidTr="00035233">
        <w:trPr>
          <w:cantSplit/>
        </w:trPr>
        <w:tc>
          <w:tcPr>
            <w:tcW w:w="1619" w:type="pct"/>
            <w:tcBorders>
              <w:top w:val="single" w:sz="4" w:space="0" w:color="auto"/>
              <w:bottom w:val="single" w:sz="4" w:space="0" w:color="auto"/>
            </w:tcBorders>
            <w:shd w:val="clear" w:color="auto" w:fill="auto"/>
          </w:tcPr>
          <w:p w:rsidR="00035233" w:rsidRPr="00AF512F" w:rsidRDefault="00035233" w:rsidP="00035233">
            <w:pPr>
              <w:pStyle w:val="05Tabletext"/>
              <w:keepNext/>
            </w:pPr>
            <w:r w:rsidRPr="00C44B70">
              <w:t>Drug</w:t>
            </w:r>
            <w:r>
              <w:t>-related SAE, n (%)</w:t>
            </w:r>
          </w:p>
        </w:tc>
        <w:tc>
          <w:tcPr>
            <w:tcW w:w="1249" w:type="pct"/>
            <w:tcBorders>
              <w:top w:val="single" w:sz="4" w:space="0" w:color="auto"/>
              <w:bottom w:val="single" w:sz="4" w:space="0" w:color="auto"/>
            </w:tcBorders>
            <w:shd w:val="clear" w:color="auto" w:fill="auto"/>
          </w:tcPr>
          <w:p w:rsidR="00035233" w:rsidRPr="00194011" w:rsidRDefault="00035233" w:rsidP="00035233">
            <w:pPr>
              <w:pStyle w:val="05Tabletext"/>
              <w:keepNext/>
              <w:jc w:val="center"/>
            </w:pPr>
            <w:r>
              <w:t>0</w:t>
            </w:r>
          </w:p>
        </w:tc>
        <w:tc>
          <w:tcPr>
            <w:tcW w:w="1175" w:type="pct"/>
            <w:tcBorders>
              <w:top w:val="single" w:sz="4" w:space="0" w:color="auto"/>
              <w:bottom w:val="single" w:sz="4" w:space="0" w:color="auto"/>
            </w:tcBorders>
            <w:shd w:val="clear" w:color="auto" w:fill="auto"/>
          </w:tcPr>
          <w:p w:rsidR="00035233" w:rsidRPr="00194011" w:rsidRDefault="00035233" w:rsidP="00035233">
            <w:pPr>
              <w:pStyle w:val="05Tabletext"/>
              <w:keepNext/>
              <w:jc w:val="center"/>
            </w:pPr>
            <w:r>
              <w:t>0</w:t>
            </w:r>
          </w:p>
        </w:tc>
        <w:tc>
          <w:tcPr>
            <w:tcW w:w="957" w:type="pct"/>
            <w:tcBorders>
              <w:top w:val="single" w:sz="4" w:space="0" w:color="auto"/>
              <w:bottom w:val="single" w:sz="4" w:space="0" w:color="auto"/>
            </w:tcBorders>
          </w:tcPr>
          <w:p w:rsidR="00035233" w:rsidRDefault="00035233" w:rsidP="00035233">
            <w:pPr>
              <w:pStyle w:val="05Tabletext"/>
              <w:keepNext/>
              <w:jc w:val="center"/>
            </w:pPr>
            <w:r>
              <w:t>0</w:t>
            </w:r>
          </w:p>
        </w:tc>
      </w:tr>
      <w:tr w:rsidR="00035233" w:rsidRPr="00194011" w:rsidTr="00035233">
        <w:trPr>
          <w:cantSplit/>
        </w:trPr>
        <w:tc>
          <w:tcPr>
            <w:tcW w:w="1619" w:type="pct"/>
            <w:tcBorders>
              <w:top w:val="single" w:sz="4" w:space="0" w:color="auto"/>
              <w:bottom w:val="nil"/>
            </w:tcBorders>
            <w:shd w:val="clear" w:color="auto" w:fill="auto"/>
          </w:tcPr>
          <w:p w:rsidR="00035233" w:rsidRPr="00AF512F" w:rsidRDefault="00035233" w:rsidP="00035233">
            <w:pPr>
              <w:pStyle w:val="05Tabletext"/>
              <w:keepNext/>
            </w:pPr>
            <w:r w:rsidRPr="00C44B70">
              <w:t>Fatal</w:t>
            </w:r>
            <w:r>
              <w:t xml:space="preserve"> AEs, n (%)</w:t>
            </w:r>
          </w:p>
        </w:tc>
        <w:tc>
          <w:tcPr>
            <w:tcW w:w="1249" w:type="pct"/>
            <w:tcBorders>
              <w:top w:val="single" w:sz="4" w:space="0" w:color="auto"/>
              <w:bottom w:val="nil"/>
            </w:tcBorders>
            <w:shd w:val="clear" w:color="auto" w:fill="auto"/>
          </w:tcPr>
          <w:p w:rsidR="00035233" w:rsidRPr="00194011" w:rsidRDefault="00035233" w:rsidP="00035233">
            <w:pPr>
              <w:pStyle w:val="05Tabletext"/>
              <w:keepNext/>
              <w:jc w:val="center"/>
            </w:pPr>
            <w:r>
              <w:t>-</w:t>
            </w:r>
          </w:p>
        </w:tc>
        <w:tc>
          <w:tcPr>
            <w:tcW w:w="1175" w:type="pct"/>
            <w:tcBorders>
              <w:top w:val="single" w:sz="4" w:space="0" w:color="auto"/>
              <w:bottom w:val="nil"/>
            </w:tcBorders>
            <w:shd w:val="clear" w:color="auto" w:fill="auto"/>
          </w:tcPr>
          <w:p w:rsidR="00035233" w:rsidRPr="00194011" w:rsidRDefault="00035233" w:rsidP="00035233">
            <w:pPr>
              <w:pStyle w:val="05Tabletext"/>
              <w:keepNext/>
              <w:jc w:val="center"/>
            </w:pPr>
            <w:r>
              <w:t>-</w:t>
            </w:r>
          </w:p>
        </w:tc>
        <w:tc>
          <w:tcPr>
            <w:tcW w:w="957" w:type="pct"/>
            <w:tcBorders>
              <w:top w:val="single" w:sz="4" w:space="0" w:color="auto"/>
              <w:bottom w:val="nil"/>
            </w:tcBorders>
          </w:tcPr>
          <w:p w:rsidR="00035233" w:rsidRDefault="00035233" w:rsidP="00035233">
            <w:pPr>
              <w:pStyle w:val="05Tabletext"/>
              <w:keepNext/>
              <w:jc w:val="center"/>
            </w:pPr>
            <w:r>
              <w:t>-</w:t>
            </w:r>
          </w:p>
        </w:tc>
      </w:tr>
      <w:tr w:rsidR="00035233" w:rsidRPr="00194011" w:rsidTr="00035233">
        <w:trPr>
          <w:cantSplit/>
        </w:trPr>
        <w:tc>
          <w:tcPr>
            <w:tcW w:w="1619" w:type="pct"/>
            <w:tcBorders>
              <w:top w:val="nil"/>
              <w:bottom w:val="nil"/>
            </w:tcBorders>
            <w:shd w:val="clear" w:color="auto" w:fill="auto"/>
          </w:tcPr>
          <w:p w:rsidR="00035233" w:rsidRPr="00AF512F" w:rsidRDefault="00035233" w:rsidP="00035233">
            <w:pPr>
              <w:pStyle w:val="05Tabletext"/>
              <w:keepNext/>
              <w:ind w:firstLine="232"/>
            </w:pPr>
            <w:r>
              <w:t>On</w:t>
            </w:r>
            <w:r w:rsidR="00B225A4">
              <w:t>-</w:t>
            </w:r>
            <w:r>
              <w:t>treatment</w:t>
            </w:r>
          </w:p>
        </w:tc>
        <w:tc>
          <w:tcPr>
            <w:tcW w:w="1249" w:type="pct"/>
            <w:tcBorders>
              <w:top w:val="nil"/>
              <w:bottom w:val="nil"/>
            </w:tcBorders>
            <w:shd w:val="clear" w:color="auto" w:fill="auto"/>
          </w:tcPr>
          <w:p w:rsidR="00035233" w:rsidRPr="00194011" w:rsidRDefault="00035233" w:rsidP="00035233">
            <w:pPr>
              <w:pStyle w:val="05Tabletext"/>
              <w:keepNext/>
              <w:jc w:val="center"/>
            </w:pPr>
            <w:r>
              <w:t>1 (&lt;1)</w:t>
            </w:r>
          </w:p>
        </w:tc>
        <w:tc>
          <w:tcPr>
            <w:tcW w:w="1175" w:type="pct"/>
            <w:tcBorders>
              <w:top w:val="nil"/>
              <w:bottom w:val="nil"/>
            </w:tcBorders>
            <w:shd w:val="clear" w:color="auto" w:fill="auto"/>
          </w:tcPr>
          <w:p w:rsidR="00035233" w:rsidRPr="00194011" w:rsidRDefault="00035233" w:rsidP="00035233">
            <w:pPr>
              <w:pStyle w:val="05Tabletext"/>
              <w:keepNext/>
              <w:jc w:val="center"/>
            </w:pPr>
            <w:r>
              <w:t>0</w:t>
            </w:r>
          </w:p>
        </w:tc>
        <w:tc>
          <w:tcPr>
            <w:tcW w:w="957" w:type="pct"/>
            <w:tcBorders>
              <w:top w:val="nil"/>
              <w:bottom w:val="nil"/>
            </w:tcBorders>
          </w:tcPr>
          <w:p w:rsidR="00035233" w:rsidRDefault="00035233" w:rsidP="00035233">
            <w:pPr>
              <w:pStyle w:val="05Tabletext"/>
              <w:keepNext/>
              <w:jc w:val="center"/>
            </w:pPr>
            <w:r>
              <w:t>0</w:t>
            </w:r>
          </w:p>
        </w:tc>
      </w:tr>
      <w:tr w:rsidR="00035233" w:rsidRPr="00194011" w:rsidTr="00035233">
        <w:trPr>
          <w:cantSplit/>
        </w:trPr>
        <w:tc>
          <w:tcPr>
            <w:tcW w:w="1619" w:type="pct"/>
            <w:tcBorders>
              <w:top w:val="nil"/>
            </w:tcBorders>
            <w:shd w:val="clear" w:color="auto" w:fill="auto"/>
          </w:tcPr>
          <w:p w:rsidR="00035233" w:rsidRPr="00AF512F" w:rsidRDefault="00035233" w:rsidP="00035233">
            <w:pPr>
              <w:pStyle w:val="05Tabletext"/>
              <w:keepNext/>
              <w:ind w:firstLine="232"/>
            </w:pPr>
            <w:r w:rsidRPr="00AF512F">
              <w:t>Post-treatment</w:t>
            </w:r>
          </w:p>
        </w:tc>
        <w:tc>
          <w:tcPr>
            <w:tcW w:w="1249" w:type="pct"/>
            <w:tcBorders>
              <w:top w:val="nil"/>
            </w:tcBorders>
            <w:shd w:val="clear" w:color="auto" w:fill="auto"/>
          </w:tcPr>
          <w:p w:rsidR="00035233" w:rsidRPr="00194011" w:rsidRDefault="00035233" w:rsidP="00035233">
            <w:pPr>
              <w:pStyle w:val="05Tabletext"/>
              <w:keepNext/>
              <w:jc w:val="center"/>
            </w:pPr>
            <w:r>
              <w:t>0</w:t>
            </w:r>
          </w:p>
        </w:tc>
        <w:tc>
          <w:tcPr>
            <w:tcW w:w="1175" w:type="pct"/>
            <w:tcBorders>
              <w:top w:val="nil"/>
            </w:tcBorders>
            <w:shd w:val="clear" w:color="auto" w:fill="auto"/>
          </w:tcPr>
          <w:p w:rsidR="00035233" w:rsidRPr="00194011" w:rsidRDefault="00035233" w:rsidP="00035233">
            <w:pPr>
              <w:pStyle w:val="05Tabletext"/>
              <w:keepNext/>
              <w:jc w:val="center"/>
            </w:pPr>
            <w:r>
              <w:t>0</w:t>
            </w:r>
          </w:p>
        </w:tc>
        <w:tc>
          <w:tcPr>
            <w:tcW w:w="957" w:type="pct"/>
            <w:tcBorders>
              <w:top w:val="nil"/>
            </w:tcBorders>
          </w:tcPr>
          <w:p w:rsidR="00035233" w:rsidRDefault="00035233" w:rsidP="00035233">
            <w:pPr>
              <w:pStyle w:val="05Tabletext"/>
              <w:keepNext/>
              <w:jc w:val="center"/>
            </w:pPr>
            <w:r>
              <w:t>0</w:t>
            </w:r>
          </w:p>
        </w:tc>
      </w:tr>
    </w:tbl>
    <w:p w:rsidR="00035233" w:rsidRDefault="00035233" w:rsidP="00035233">
      <w:pPr>
        <w:pStyle w:val="10TableorFigurefootnote"/>
      </w:pPr>
      <w:r>
        <w:t>Source: Maltais et al (2014).</w:t>
      </w:r>
    </w:p>
    <w:p w:rsidR="00035233" w:rsidRDefault="00035233" w:rsidP="00035233">
      <w:pPr>
        <w:pStyle w:val="10TableorFigurefootnote"/>
      </w:pPr>
      <w:r>
        <w:t>Abbreviations: AE, adverse event; PBO, placebo; SAE, serious adverse event; UME, umeclidinium; VIL, vilanterol.</w:t>
      </w:r>
    </w:p>
    <w:p w:rsidR="00035233" w:rsidRPr="003239AC" w:rsidRDefault="00035233" w:rsidP="00035233">
      <w:pPr>
        <w:pStyle w:val="11TableorFigurefootnotenostick"/>
      </w:pPr>
      <w:proofErr w:type="gramStart"/>
      <w:r>
        <w:rPr>
          <w:b/>
        </w:rPr>
        <w:t>a</w:t>
      </w:r>
      <w:proofErr w:type="gramEnd"/>
      <w:r>
        <w:t xml:space="preserve"> </w:t>
      </w:r>
      <w:r w:rsidRPr="003239AC">
        <w:t>Patients were allowed to remain on ICS so there is a chance some of these people were effectively on dual therapy and the others were on triple.</w:t>
      </w:r>
    </w:p>
    <w:p w:rsidR="00035233" w:rsidRDefault="00035233" w:rsidP="00251CB8">
      <w:pPr>
        <w:pStyle w:val="Heading4"/>
        <w:numPr>
          <w:ilvl w:val="3"/>
          <w:numId w:val="11"/>
        </w:numPr>
      </w:pPr>
      <w:r>
        <w:t>Summary of findings</w:t>
      </w:r>
    </w:p>
    <w:p w:rsidR="005A6466" w:rsidRPr="004B1AD2" w:rsidRDefault="005A6466" w:rsidP="005A6466">
      <w:pPr>
        <w:pStyle w:val="Bullettext"/>
      </w:pPr>
      <w:r>
        <w:t xml:space="preserve">Overall, there </w:t>
      </w:r>
      <w:r w:rsidRPr="00570223">
        <w:t xml:space="preserve">is evidence of modest benefit of moving from LAMA </w:t>
      </w:r>
      <w:proofErr w:type="gramStart"/>
      <w:r w:rsidRPr="00570223">
        <w:t>monotherapy</w:t>
      </w:r>
      <w:proofErr w:type="gramEnd"/>
      <w:r w:rsidRPr="00570223">
        <w:t xml:space="preserve"> to LAMA/LABA dual therapy</w:t>
      </w:r>
      <w:r>
        <w:t>. All dual therapies were well tolerated.</w:t>
      </w:r>
    </w:p>
    <w:p w:rsidR="00035233" w:rsidRDefault="00EB11AA" w:rsidP="00035233">
      <w:pPr>
        <w:pStyle w:val="Bullettext"/>
      </w:pPr>
      <w:r>
        <w:t>The BRIGHT study (</w:t>
      </w:r>
      <w:r w:rsidR="00C90744">
        <w:t xml:space="preserve">2014; </w:t>
      </w:r>
      <w:r>
        <w:t>fair quality) was a cross</w:t>
      </w:r>
      <w:r w:rsidR="00CB2EED">
        <w:t>-over</w:t>
      </w:r>
      <w:r>
        <w:t xml:space="preserve"> study that </w:t>
      </w:r>
      <w:r w:rsidR="00AD52AC">
        <w:t>assessed</w:t>
      </w:r>
      <w:r>
        <w:t xml:space="preserve"> the efficacy </w:t>
      </w:r>
      <w:r w:rsidR="00AD52AC">
        <w:t xml:space="preserve">and safety </w:t>
      </w:r>
      <w:r>
        <w:t>of</w:t>
      </w:r>
      <w:r w:rsidR="00AD52AC">
        <w:t xml:space="preserve"> glycopyrronium/indacaterol versus</w:t>
      </w:r>
      <w:r>
        <w:t xml:space="preserve"> tiotropium</w:t>
      </w:r>
      <w:r w:rsidR="00AD52AC">
        <w:t xml:space="preserve"> monotherapy</w:t>
      </w:r>
      <w:r>
        <w:t xml:space="preserve">. After three weeks of treatment, </w:t>
      </w:r>
      <w:r w:rsidR="007903D1">
        <w:t>the least squares mean difference in trough FEV</w:t>
      </w:r>
      <w:r w:rsidR="007903D1">
        <w:rPr>
          <w:vertAlign w:val="subscript"/>
        </w:rPr>
        <w:t>1</w:t>
      </w:r>
      <w:r w:rsidR="00AD52AC">
        <w:t xml:space="preserve"> favoured dual therapy over monotherapy with a treatment difference of 100 mL. H</w:t>
      </w:r>
      <w:r w:rsidR="00035233">
        <w:t xml:space="preserve">owever, the results </w:t>
      </w:r>
      <w:r w:rsidR="00E240AC">
        <w:t xml:space="preserve">should be interpreted with caution, given that the study was </w:t>
      </w:r>
      <w:r w:rsidR="00035233">
        <w:t>only powered to detect a difference between glycopyrronium/indacaterol and placebo.</w:t>
      </w:r>
    </w:p>
    <w:p w:rsidR="00035233" w:rsidRDefault="00B23368" w:rsidP="00140C48">
      <w:pPr>
        <w:pStyle w:val="Bullettext"/>
      </w:pPr>
      <w:r>
        <w:t xml:space="preserve">Results from the TONADO study (fair quality) </w:t>
      </w:r>
      <w:r w:rsidR="00C90744">
        <w:t>w</w:t>
      </w:r>
      <w:r w:rsidR="00BC2370">
        <w:t>ere</w:t>
      </w:r>
      <w:r w:rsidR="00B06704">
        <w:t xml:space="preserve"> considered at the July 2015 PBAC meeting; however</w:t>
      </w:r>
      <w:r w:rsidR="00BC2370">
        <w:t>,</w:t>
      </w:r>
      <w:r w:rsidR="00B06704">
        <w:t xml:space="preserve"> subsequent post hoc analyses of the </w:t>
      </w:r>
      <w:r w:rsidR="00140C48">
        <w:t xml:space="preserve">TONADO </w:t>
      </w:r>
      <w:r w:rsidR="00B06704">
        <w:t xml:space="preserve">study </w:t>
      </w:r>
      <w:r w:rsidR="00140C48">
        <w:t xml:space="preserve">based on </w:t>
      </w:r>
      <w:r w:rsidR="00B06704">
        <w:t>treatment h</w:t>
      </w:r>
      <w:r w:rsidR="00140C48">
        <w:t xml:space="preserve">istory and severity of COPD may also be of interest to the PBAC. The </w:t>
      </w:r>
      <w:r w:rsidR="00035233">
        <w:t xml:space="preserve">52-week study </w:t>
      </w:r>
      <w:r w:rsidR="00035233" w:rsidRPr="007F4A63">
        <w:t xml:space="preserve">demonstrated that tiotropium/olodaterol </w:t>
      </w:r>
      <w:r w:rsidR="005A6466">
        <w:t xml:space="preserve">treatment resulted in a </w:t>
      </w:r>
      <w:r w:rsidR="00035233">
        <w:t xml:space="preserve">statistically </w:t>
      </w:r>
      <w:r w:rsidR="00035233" w:rsidRPr="007F4A63">
        <w:t>significantly improve</w:t>
      </w:r>
      <w:r w:rsidR="005A6466">
        <w:t>ment in</w:t>
      </w:r>
      <w:r w:rsidR="00035233" w:rsidRPr="007F4A63">
        <w:t xml:space="preserve"> trough FEV</w:t>
      </w:r>
      <w:r w:rsidR="00035233" w:rsidRPr="00140C48">
        <w:rPr>
          <w:vertAlign w:val="subscript"/>
        </w:rPr>
        <w:t>1</w:t>
      </w:r>
      <w:r w:rsidR="00035233" w:rsidRPr="007F4A63">
        <w:t xml:space="preserve"> in all GOLD severity groups compared to tiotropium alone, irrespective of whether patients had received prior long-acting bronchodilators at baseline</w:t>
      </w:r>
      <w:r w:rsidR="00140C48">
        <w:t>. The magnitude of the treatment difference between monotherapy and dual therapy ranged from 41 mL in GOLD 3-4</w:t>
      </w:r>
      <w:r w:rsidR="00E240AC">
        <w:t>, treatment-experienced patients</w:t>
      </w:r>
      <w:r w:rsidR="00BC2370">
        <w:t>,</w:t>
      </w:r>
      <w:r w:rsidR="00E240AC">
        <w:t xml:space="preserve"> to 79</w:t>
      </w:r>
      <w:r>
        <w:t xml:space="preserve"> mL in GOLD 2, treatment-naïve patients</w:t>
      </w:r>
      <w:r w:rsidR="00C62CA7">
        <w:t>. The results i</w:t>
      </w:r>
      <w:r>
        <w:t>ndicat</w:t>
      </w:r>
      <w:r w:rsidR="00C62CA7">
        <w:t>e</w:t>
      </w:r>
      <w:r>
        <w:t xml:space="preserve"> that t</w:t>
      </w:r>
      <w:r w:rsidR="00035233">
        <w:t xml:space="preserve">he magnitude of </w:t>
      </w:r>
      <w:r>
        <w:t xml:space="preserve">the </w:t>
      </w:r>
      <w:r w:rsidR="00035233">
        <w:t>treatment difference</w:t>
      </w:r>
      <w:r>
        <w:t xml:space="preserve"> </w:t>
      </w:r>
      <w:r w:rsidR="00035233">
        <w:t xml:space="preserve">may be more pronounced in </w:t>
      </w:r>
      <w:r w:rsidR="00035233">
        <w:lastRenderedPageBreak/>
        <w:t>patients with less severe disease (GOLD 2),</w:t>
      </w:r>
      <w:r w:rsidR="00C62CA7">
        <w:t xml:space="preserve"> and provide</w:t>
      </w:r>
      <w:r w:rsidR="00035233">
        <w:t xml:space="preserve"> support for the adoption of dual therapy early in COPD.</w:t>
      </w:r>
    </w:p>
    <w:p w:rsidR="00035233" w:rsidRDefault="00754189" w:rsidP="00035233">
      <w:pPr>
        <w:pStyle w:val="Bullettext"/>
      </w:pPr>
      <w:r w:rsidRPr="004E1B5A">
        <w:t>The OTEMTO studies</w:t>
      </w:r>
      <w:r w:rsidR="001071DA" w:rsidRPr="004E1B5A">
        <w:t xml:space="preserve"> (fair quality) </w:t>
      </w:r>
      <w:r w:rsidRPr="004E1B5A">
        <w:t>were two shorter-term RCT</w:t>
      </w:r>
      <w:r w:rsidR="005A6466">
        <w:t>s</w:t>
      </w:r>
      <w:r w:rsidRPr="004E1B5A">
        <w:t xml:space="preserve"> that also assessed the comparative effectiveness of tiotropium/olodaterol</w:t>
      </w:r>
      <w:r w:rsidR="00405B82" w:rsidRPr="004E1B5A">
        <w:t xml:space="preserve"> versus tiotropium. </w:t>
      </w:r>
      <w:r w:rsidR="00C62CA7">
        <w:t>A</w:t>
      </w:r>
      <w:r w:rsidR="00405B82" w:rsidRPr="004E1B5A">
        <w:t>t 12 weeks</w:t>
      </w:r>
      <w:r w:rsidR="00C62CA7">
        <w:t>, the results favoured tiotropium/olodaterol over tiotropium, with treatment differences of 28 mL and 39 mL in OTEMTO 1 and 2, respectively. The difference was statistically significant in OTEMTO 2, but overall the OTEMTO studies</w:t>
      </w:r>
      <w:r w:rsidR="00405B82" w:rsidRPr="004E1B5A">
        <w:t xml:space="preserve"> did not provide convincing evidence to confirm the superiority of dual </w:t>
      </w:r>
      <w:r w:rsidR="004E1B5A" w:rsidRPr="004E1B5A">
        <w:t xml:space="preserve">therapy </w:t>
      </w:r>
      <w:r w:rsidR="00405B82" w:rsidRPr="004E1B5A">
        <w:t xml:space="preserve">over </w:t>
      </w:r>
      <w:r w:rsidR="00C62CA7">
        <w:t>monotherapy.</w:t>
      </w:r>
    </w:p>
    <w:p w:rsidR="00035233" w:rsidRPr="004B1AD2" w:rsidRDefault="004E1B5A" w:rsidP="00EB7149">
      <w:pPr>
        <w:pStyle w:val="Bullettext"/>
      </w:pPr>
      <w:r w:rsidRPr="004E1B5A">
        <w:t>An RCT by Maleki-Yazdi (2014; good quality) examined treatment differences between umeclidinium/vilanterol and tiotropium</w:t>
      </w:r>
      <w:r>
        <w:t xml:space="preserve">. The study was </w:t>
      </w:r>
      <w:r w:rsidRPr="004E1B5A">
        <w:t>briefly dicussed in the minor resubmission for</w:t>
      </w:r>
      <w:r>
        <w:t xml:space="preserve"> umeclindium/vilanterol (Anoro)</w:t>
      </w:r>
      <w:r w:rsidR="005A6466">
        <w:t>,</w:t>
      </w:r>
      <w:r>
        <w:t xml:space="preserve"> but the results were not taken into account in the meta-analysis that was used to determine the relative pricing of dual therapy and monotherapy (discussed below). Umeclidinium/vilanterol demonstrated statistically significant and clinically meaningful improvements in trough FEV</w:t>
      </w:r>
      <w:r>
        <w:rPr>
          <w:vertAlign w:val="subscript"/>
        </w:rPr>
        <w:t>1</w:t>
      </w:r>
      <w:r>
        <w:t xml:space="preserve"> over tiotropium monotherapy, with a treatment difference of </w:t>
      </w:r>
      <w:r w:rsidR="00EB7149">
        <w:t>112 mL at 24 weeks, and a</w:t>
      </w:r>
      <w:r w:rsidR="00035233">
        <w:t xml:space="preserve"> </w:t>
      </w:r>
      <w:r w:rsidR="00035233" w:rsidRPr="004B1AD2">
        <w:t>difference in on-treatment exacerbations that favoured umeclidinium/vilanterol.</w:t>
      </w:r>
    </w:p>
    <w:p w:rsidR="0065262D" w:rsidRDefault="00EB7149" w:rsidP="0065262D">
      <w:pPr>
        <w:pStyle w:val="Bullettext"/>
      </w:pPr>
      <w:r w:rsidRPr="004B1AD2">
        <w:t xml:space="preserve">A publication by Maltais et al (2014; </w:t>
      </w:r>
      <w:r w:rsidR="00434ED4" w:rsidRPr="004B1AD2">
        <w:t>fair quality</w:t>
      </w:r>
      <w:r w:rsidRPr="004B1AD2">
        <w:t>) reported results from t</w:t>
      </w:r>
      <w:r w:rsidR="00035233" w:rsidRPr="004B1AD2">
        <w:t xml:space="preserve">wo incomplete block, cross-over studies </w:t>
      </w:r>
      <w:r w:rsidRPr="004B1AD2">
        <w:t xml:space="preserve">that </w:t>
      </w:r>
      <w:r w:rsidR="00035233" w:rsidRPr="004B1AD2">
        <w:t>compared the efficacy and safety of umeclidinium/vilanterol with placebo, vilanterol, and umeclidinium. In terms of the change from baseline in trough FEV</w:t>
      </w:r>
      <w:r w:rsidR="00035233" w:rsidRPr="004B1AD2">
        <w:rPr>
          <w:vertAlign w:val="subscript"/>
        </w:rPr>
        <w:t>1,</w:t>
      </w:r>
      <w:r w:rsidR="00035233" w:rsidRPr="004B1AD2">
        <w:t xml:space="preserve"> the results numerically favoured the umeclidinium/vilanterol group over umeclidinium monotherapy</w:t>
      </w:r>
      <w:r w:rsidR="004B1AD2" w:rsidRPr="004B1AD2">
        <w:t>, with</w:t>
      </w:r>
      <w:r w:rsidRPr="004B1AD2">
        <w:t xml:space="preserve"> treatment difference</w:t>
      </w:r>
      <w:r w:rsidR="00434ED4" w:rsidRPr="004B1AD2">
        <w:t>s</w:t>
      </w:r>
      <w:r w:rsidRPr="004B1AD2">
        <w:t xml:space="preserve"> of</w:t>
      </w:r>
      <w:r w:rsidR="00434ED4" w:rsidRPr="004B1AD2">
        <w:t xml:space="preserve"> 243</w:t>
      </w:r>
      <w:r w:rsidRPr="004B1AD2">
        <w:t xml:space="preserve"> mL</w:t>
      </w:r>
      <w:r w:rsidR="00434ED4" w:rsidRPr="004B1AD2">
        <w:t xml:space="preserve"> and 144</w:t>
      </w:r>
      <w:r w:rsidR="005A6466">
        <w:t> </w:t>
      </w:r>
      <w:r w:rsidR="00434ED4" w:rsidRPr="004B1AD2">
        <w:t xml:space="preserve">mL </w:t>
      </w:r>
      <w:r w:rsidR="004B1AD2" w:rsidRPr="004B1AD2">
        <w:t>versus</w:t>
      </w:r>
      <w:r w:rsidR="00434ED4" w:rsidRPr="004B1AD2">
        <w:t xml:space="preserve"> placebo, respectively</w:t>
      </w:r>
      <w:r w:rsidRPr="004B1AD2">
        <w:t>. H</w:t>
      </w:r>
      <w:r w:rsidR="00035233" w:rsidRPr="004B1AD2">
        <w:t>owever</w:t>
      </w:r>
      <w:r w:rsidRPr="004B1AD2">
        <w:t>,</w:t>
      </w:r>
      <w:r w:rsidR="00035233" w:rsidRPr="004B1AD2">
        <w:t xml:space="preserve"> the studies were not powered for that treatment comparison and should therefo</w:t>
      </w:r>
      <w:r w:rsidR="0065262D" w:rsidRPr="004B1AD2">
        <w:t>re be interpreted with caution.</w:t>
      </w:r>
    </w:p>
    <w:p w:rsidR="00BC2370" w:rsidRPr="00744026" w:rsidRDefault="00AD52AC" w:rsidP="00BC2370">
      <w:pPr>
        <w:pStyle w:val="BodyText"/>
      </w:pPr>
      <w:r w:rsidRPr="00041A7E">
        <w:t>The</w:t>
      </w:r>
      <w:r w:rsidR="0065262D" w:rsidRPr="00041A7E">
        <w:t xml:space="preserve"> </w:t>
      </w:r>
      <w:r w:rsidR="00FA22D4" w:rsidRPr="00041A7E">
        <w:t xml:space="preserve">recent </w:t>
      </w:r>
      <w:r w:rsidR="0065262D" w:rsidRPr="00041A7E">
        <w:t xml:space="preserve">study findings outlined </w:t>
      </w:r>
      <w:r w:rsidRPr="00041A7E">
        <w:t>above should be interpreted in the co</w:t>
      </w:r>
      <w:r w:rsidR="00BC2370">
        <w:t xml:space="preserve">ntext of previous PBAC decision </w:t>
      </w:r>
      <w:r w:rsidRPr="00041A7E">
        <w:t xml:space="preserve">making with respect to monotherapy versus dual therapy. </w:t>
      </w:r>
      <w:r w:rsidR="0065262D" w:rsidRPr="00041A7E">
        <w:t xml:space="preserve">The major submission for umeclidinium/vilanterol (Anoro), considered at the March 2014 PBAC meeting, </w:t>
      </w:r>
      <w:r w:rsidR="0065262D" w:rsidRPr="00E7795C">
        <w:t>included a meta-analysis of two pivotal studies (DB2113360 and DB2113374) that compared umeclindium/vilanterol and tiotropium.</w:t>
      </w:r>
      <w:r w:rsidR="00FA22D4" w:rsidRPr="00E7795C">
        <w:t xml:space="preserve"> </w:t>
      </w:r>
      <w:r w:rsidR="00744026">
        <w:rPr>
          <w:noProof/>
          <w:color w:val="000000"/>
          <w:highlight w:val="black"/>
        </w:rPr>
        <w:t>''''''' '''''''''''''''''''''''' ''''''''''''''''' '''''''' ''''''''''''' '''''''''' ''''''''' ''''' '''''' '''''''''''''' ''''' '''''''''' '''''''''''''' ''''''''' ''''''''''''''''''''''''''''''''''''''''''''''''' '''''''''''''''''''' '''''''' ''''''''' ''''''''''''' '''''''' ''''''''''''''''''''</w:t>
      </w:r>
    </w:p>
    <w:p w:rsidR="00BC2370" w:rsidRPr="00744026" w:rsidRDefault="002B15F2" w:rsidP="00BC2370">
      <w:pPr>
        <w:spacing w:after="120"/>
      </w:pPr>
      <w:r w:rsidRPr="00041A7E">
        <w:t xml:space="preserve">To determine the relative pricing of the two products, </w:t>
      </w:r>
      <w:r w:rsidR="00744026">
        <w:rPr>
          <w:noProof/>
          <w:color w:val="000000"/>
          <w:highlight w:val="black"/>
        </w:rPr>
        <w:t>'' ''''''''''''''''''''''''''' '''' ''''' ''''''''''''''''''' '''''''''''' ''''''''''''' '''''''''''' '''''''' '''''''''''''' '''''''''''' '''''''''' '''''''' '''' '''''''''' ''''' '''''''' '''''''''''''''''''' '''''''''' ''''' ''''''' '''''''''''''''''''' ''''''''' ''' '''''''''''' ''''''''' ''' '''''''''' ''''' ''''' '''''''''''''''''' '''''''''''' '''''''''''''''' ''''''''''''' ''''''''' '''''''' ''''''' '''''''''''' ''' ''''''''''''''''''''' '''' '''''' '''''''' '''''''''''''''' ''' '''''''''' '''''' '''''' '''''''''''''''''''''''''' '''' ''''''''' '''' '''''''''''''''' ''''''' ''''''''''''''''''</w:t>
      </w:r>
    </w:p>
    <w:p w:rsidR="00035233" w:rsidRDefault="00035233" w:rsidP="00251CB8">
      <w:pPr>
        <w:pStyle w:val="Heading3"/>
        <w:numPr>
          <w:ilvl w:val="2"/>
          <w:numId w:val="11"/>
        </w:numPr>
      </w:pPr>
      <w:bookmarkStart w:id="334" w:name="_Toc471890924"/>
      <w:bookmarkStart w:id="335" w:name="_Toc482185952"/>
      <w:bookmarkStart w:id="336" w:name="_Toc486428086"/>
      <w:bookmarkStart w:id="337" w:name="_Toc468012276"/>
      <w:bookmarkStart w:id="338" w:name="_Ref468015844"/>
      <w:r>
        <w:t>LAMA/LABA versus LABA monotherapy</w:t>
      </w:r>
      <w:bookmarkEnd w:id="334"/>
      <w:bookmarkEnd w:id="335"/>
      <w:bookmarkEnd w:id="336"/>
    </w:p>
    <w:p w:rsidR="00035233" w:rsidRDefault="00035233" w:rsidP="00035233">
      <w:pPr>
        <w:pStyle w:val="BodyText"/>
      </w:pPr>
      <w:r>
        <w:t>No studies were identified that compared a LAMA/LABA FDC with a PBS-listed LABA monotherapy (i.e. indacaterol).</w:t>
      </w:r>
    </w:p>
    <w:p w:rsidR="00035233" w:rsidRDefault="00035233" w:rsidP="00251CB8">
      <w:pPr>
        <w:pStyle w:val="Heading3"/>
        <w:numPr>
          <w:ilvl w:val="2"/>
          <w:numId w:val="11"/>
        </w:numPr>
      </w:pPr>
      <w:bookmarkStart w:id="339" w:name="_Toc471890925"/>
      <w:bookmarkStart w:id="340" w:name="_Toc482185953"/>
      <w:bookmarkStart w:id="341" w:name="_Toc486428087"/>
      <w:r>
        <w:lastRenderedPageBreak/>
        <w:t>LAMA/LABA versus ICS/LABA</w:t>
      </w:r>
      <w:bookmarkEnd w:id="337"/>
      <w:bookmarkEnd w:id="338"/>
      <w:bookmarkEnd w:id="339"/>
      <w:bookmarkEnd w:id="340"/>
      <w:bookmarkEnd w:id="341"/>
    </w:p>
    <w:p w:rsidR="00035233" w:rsidRDefault="00035233" w:rsidP="00035233">
      <w:pPr>
        <w:pStyle w:val="BodyText"/>
      </w:pPr>
      <w:r>
        <w:t>As outlined in Section 2, treatment with ICS/LABA combinations is recommended specifically in COPD patients who are at an increased risk of exacerbations, as these patients are generally thought to receive the greatest benefit from ICS therapy.</w:t>
      </w:r>
      <w:r w:rsidR="002B7B0F">
        <w:t xml:space="preserve"> </w:t>
      </w:r>
      <w:r>
        <w:t>However, several recent pub</w:t>
      </w:r>
      <w:r w:rsidR="002B7B0F">
        <w:t>lications</w:t>
      </w:r>
      <w:r>
        <w:t xml:space="preserve"> indicate that combination therapies containing an ICS are often prescribed earlier in the course of disease to less severe COPD patients. According to Beeh et al (2016), ICS/LABA combinations are commonly prescribed as maintenance treatment for individuals with low exacerbation risk who have less severe COPD, despite the fact that LAMA/LABA combinations may have a better risk-benefit profile in that patient population. In addition, for patient populations in which ICS</w:t>
      </w:r>
      <w:r w:rsidR="005A6466">
        <w:t>/LABA</w:t>
      </w:r>
      <w:r>
        <w:t xml:space="preserve"> medicines are currently indicated, there is interest in determining the comparative efficacy of LAMA/LABA combination therapies, due to ICS-related safety concerns.</w:t>
      </w:r>
    </w:p>
    <w:p w:rsidR="00035233" w:rsidRDefault="00035233" w:rsidP="00035233">
      <w:pPr>
        <w:pStyle w:val="BodyText"/>
      </w:pPr>
      <w:r w:rsidRPr="00622E4B">
        <w:t>The five studies listed in</w:t>
      </w:r>
      <w:r>
        <w:t xml:space="preserve"> </w:t>
      </w:r>
      <w:r w:rsidR="00AC7B51">
        <w:t>Table 3.4</w:t>
      </w:r>
      <w:r w:rsidR="00C542B6">
        <w:t>6</w:t>
      </w:r>
      <w:r w:rsidRPr="00622E4B">
        <w:t xml:space="preserve"> contribute towards the evidence base for this question and are discussed in detail throughout this section.</w:t>
      </w:r>
    </w:p>
    <w:p w:rsidR="00035233" w:rsidRDefault="00AC7B51" w:rsidP="002B7B0F">
      <w:pPr>
        <w:pStyle w:val="ToR3Tableheader"/>
      </w:pPr>
      <w:bookmarkStart w:id="342" w:name="_Toc468006286"/>
      <w:bookmarkStart w:id="343" w:name="_Toc468012331"/>
      <w:bookmarkStart w:id="344" w:name="_Toc468034487"/>
      <w:bookmarkStart w:id="345" w:name="_Toc471891037"/>
      <w:bookmarkStart w:id="346" w:name="_Toc486428225"/>
      <w:r>
        <w:t>Table 3.4</w:t>
      </w:r>
      <w:r w:rsidR="00C542B6">
        <w:t>6</w:t>
      </w:r>
      <w:r w:rsidR="00035233">
        <w:tab/>
        <w:t>List of RCTs comparing dual LAMA/LABA therapy with dual ICS/LABA therapy</w:t>
      </w:r>
      <w:bookmarkEnd w:id="342"/>
      <w:bookmarkEnd w:id="343"/>
      <w:bookmarkEnd w:id="344"/>
      <w:bookmarkEnd w:id="345"/>
      <w:bookmarkEnd w:id="3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List of RCTs"/>
        <w:tblDescription w:val="List of RCTs comparing dual LAMA/LABA therapy with dual ICS/LABA therapy"/>
      </w:tblPr>
      <w:tblGrid>
        <w:gridCol w:w="1565"/>
        <w:gridCol w:w="6377"/>
        <w:gridCol w:w="1706"/>
      </w:tblGrid>
      <w:tr w:rsidR="00035233" w:rsidRPr="00F01736" w:rsidTr="00035233">
        <w:trPr>
          <w:cantSplit/>
          <w:tblHeader/>
        </w:trPr>
        <w:tc>
          <w:tcPr>
            <w:tcW w:w="811" w:type="pct"/>
            <w:shd w:val="clear" w:color="auto" w:fill="BFBFBF"/>
          </w:tcPr>
          <w:p w:rsidR="00035233" w:rsidRPr="00F01736" w:rsidRDefault="00035233" w:rsidP="00035233">
            <w:pPr>
              <w:pStyle w:val="01TableHEADINGleftaligned"/>
            </w:pPr>
            <w:r>
              <w:t>Trial ID</w:t>
            </w:r>
          </w:p>
        </w:tc>
        <w:tc>
          <w:tcPr>
            <w:tcW w:w="3305" w:type="pct"/>
            <w:shd w:val="clear" w:color="auto" w:fill="BFBFBF"/>
          </w:tcPr>
          <w:p w:rsidR="00035233" w:rsidRPr="00F01736" w:rsidRDefault="00035233" w:rsidP="00035233">
            <w:pPr>
              <w:pStyle w:val="01TableHEADINGleftaligned"/>
              <w:jc w:val="center"/>
            </w:pPr>
            <w:r>
              <w:t>Citation</w:t>
            </w:r>
          </w:p>
        </w:tc>
        <w:tc>
          <w:tcPr>
            <w:tcW w:w="884" w:type="pct"/>
            <w:shd w:val="clear" w:color="auto" w:fill="BFBFBF"/>
          </w:tcPr>
          <w:p w:rsidR="00035233" w:rsidRPr="00F01736" w:rsidRDefault="00035233" w:rsidP="00035233">
            <w:pPr>
              <w:pStyle w:val="01TableHEADINGleftaligned"/>
              <w:jc w:val="center"/>
            </w:pPr>
            <w:r>
              <w:t>Description</w:t>
            </w:r>
          </w:p>
        </w:tc>
      </w:tr>
      <w:tr w:rsidR="00035233" w:rsidRPr="00194011" w:rsidTr="00035233">
        <w:trPr>
          <w:cantSplit/>
        </w:trPr>
        <w:tc>
          <w:tcPr>
            <w:tcW w:w="811" w:type="pct"/>
            <w:shd w:val="clear" w:color="auto" w:fill="auto"/>
          </w:tcPr>
          <w:p w:rsidR="00035233" w:rsidRDefault="00035233" w:rsidP="00035233">
            <w:pPr>
              <w:pStyle w:val="05Tabletext"/>
            </w:pPr>
            <w:r>
              <w:t>ENERGITO</w:t>
            </w:r>
          </w:p>
        </w:tc>
        <w:tc>
          <w:tcPr>
            <w:tcW w:w="3305" w:type="pct"/>
            <w:shd w:val="clear" w:color="auto" w:fill="auto"/>
          </w:tcPr>
          <w:p w:rsidR="00035233" w:rsidRPr="00744D69" w:rsidRDefault="00035233" w:rsidP="00035233">
            <w:pPr>
              <w:pStyle w:val="05Tabletext"/>
            </w:pPr>
            <w:r w:rsidRPr="00B827EA">
              <w:t>Beeh KM, Derom E, Echave-Sustaeta J, Gronke L, Hamilton A, Zhai D, et al (2016). The lung function profile of once-daily tiotropium and olodaterol via respimat&lt;sup&gt;&lt;/sup&gt; is superior to that of twice-daily salmeterol and fluticasone propionate via a accuhaler&lt;sup&gt;&lt;/sup&gt; (Energito&lt;sup&gt;&lt;/sup&gt; study). International Journal of C</w:t>
            </w:r>
            <w:r w:rsidR="001A2E31">
              <w:t>OPD</w:t>
            </w:r>
            <w:r w:rsidRPr="00B827EA">
              <w:t xml:space="preserve"> 11:193-205.</w:t>
            </w:r>
          </w:p>
        </w:tc>
        <w:tc>
          <w:tcPr>
            <w:tcW w:w="884" w:type="pct"/>
            <w:shd w:val="clear" w:color="auto" w:fill="auto"/>
          </w:tcPr>
          <w:p w:rsidR="00035233" w:rsidRDefault="00035233" w:rsidP="00035233">
            <w:pPr>
              <w:pStyle w:val="05Tabletext"/>
            </w:pPr>
            <w:r>
              <w:t>Key publication</w:t>
            </w:r>
          </w:p>
        </w:tc>
      </w:tr>
      <w:tr w:rsidR="00035233" w:rsidRPr="00194011" w:rsidTr="00035233">
        <w:trPr>
          <w:cantSplit/>
        </w:trPr>
        <w:tc>
          <w:tcPr>
            <w:tcW w:w="811" w:type="pct"/>
            <w:shd w:val="clear" w:color="auto" w:fill="auto"/>
          </w:tcPr>
          <w:p w:rsidR="00035233" w:rsidRDefault="00035233" w:rsidP="00035233">
            <w:pPr>
              <w:pStyle w:val="05Tabletext"/>
            </w:pPr>
            <w:r>
              <w:t>FLAME</w:t>
            </w:r>
          </w:p>
        </w:tc>
        <w:tc>
          <w:tcPr>
            <w:tcW w:w="3305" w:type="pct"/>
            <w:shd w:val="clear" w:color="auto" w:fill="auto"/>
          </w:tcPr>
          <w:p w:rsidR="00035233" w:rsidRPr="00744D69" w:rsidRDefault="00035233" w:rsidP="00035233">
            <w:pPr>
              <w:pStyle w:val="05Tabletext"/>
            </w:pPr>
            <w:r w:rsidRPr="00684CAA">
              <w:t>Wedzicha JA, Banerji D, Chapman KR, Vestbo J, Roche N, Ayers RT, et al (2016). Indacaterol-Glycopyrronium versus Salmeterol-Fluticasone for COPD. The New England journal of medicine 374 (23):2222-2234.</w:t>
            </w:r>
          </w:p>
        </w:tc>
        <w:tc>
          <w:tcPr>
            <w:tcW w:w="884" w:type="pct"/>
            <w:shd w:val="clear" w:color="auto" w:fill="auto"/>
          </w:tcPr>
          <w:p w:rsidR="00035233" w:rsidRDefault="00035233" w:rsidP="00035233">
            <w:pPr>
              <w:pStyle w:val="05Tabletext"/>
            </w:pPr>
            <w:r>
              <w:t>Key publication</w:t>
            </w:r>
          </w:p>
        </w:tc>
      </w:tr>
      <w:tr w:rsidR="00035233" w:rsidRPr="00194011" w:rsidTr="00035233">
        <w:trPr>
          <w:cantSplit/>
        </w:trPr>
        <w:tc>
          <w:tcPr>
            <w:tcW w:w="811" w:type="pct"/>
            <w:shd w:val="clear" w:color="auto" w:fill="auto"/>
          </w:tcPr>
          <w:p w:rsidR="00035233" w:rsidRDefault="00035233" w:rsidP="00035233">
            <w:pPr>
              <w:pStyle w:val="05Tabletext"/>
            </w:pPr>
            <w:r>
              <w:t>ILLUMINATE</w:t>
            </w:r>
          </w:p>
        </w:tc>
        <w:tc>
          <w:tcPr>
            <w:tcW w:w="3305" w:type="pct"/>
            <w:shd w:val="clear" w:color="auto" w:fill="auto"/>
          </w:tcPr>
          <w:p w:rsidR="00035233" w:rsidRPr="00684CAA" w:rsidRDefault="00035233" w:rsidP="00035233">
            <w:pPr>
              <w:pStyle w:val="05Tabletext"/>
            </w:pPr>
            <w:r w:rsidRPr="007276F6">
              <w:t>Vogelmeier CF, Bateman ED, Pallante J, Alagappan VKT, D'Andrea P, Chen H, et al (2013). Efficacy and safety of once-daily QVA149 compared with twice-daily salmeterol-fluticasone in patients with chronic obstructive pulmonary disease (ILLUMINATE): A randomised, double-blind, parallel group study. The Lancet Respiratory Medicine 1 (1):51-60.</w:t>
            </w:r>
          </w:p>
        </w:tc>
        <w:tc>
          <w:tcPr>
            <w:tcW w:w="884" w:type="pct"/>
            <w:shd w:val="clear" w:color="auto" w:fill="auto"/>
          </w:tcPr>
          <w:p w:rsidR="00035233" w:rsidRDefault="00035233" w:rsidP="00035233">
            <w:pPr>
              <w:pStyle w:val="05Tabletext"/>
            </w:pPr>
            <w:r>
              <w:t>Key publication</w:t>
            </w:r>
          </w:p>
        </w:tc>
      </w:tr>
      <w:tr w:rsidR="00035233" w:rsidRPr="00194011" w:rsidTr="00035233">
        <w:trPr>
          <w:cantSplit/>
        </w:trPr>
        <w:tc>
          <w:tcPr>
            <w:tcW w:w="811" w:type="pct"/>
            <w:shd w:val="clear" w:color="auto" w:fill="auto"/>
          </w:tcPr>
          <w:p w:rsidR="00035233" w:rsidRDefault="00035233" w:rsidP="00035233">
            <w:pPr>
              <w:pStyle w:val="05Tabletext"/>
            </w:pPr>
            <w:r>
              <w:t>LANTERN</w:t>
            </w:r>
          </w:p>
        </w:tc>
        <w:tc>
          <w:tcPr>
            <w:tcW w:w="3305" w:type="pct"/>
            <w:shd w:val="clear" w:color="auto" w:fill="auto"/>
          </w:tcPr>
          <w:p w:rsidR="00035233" w:rsidRPr="00EC5BA6" w:rsidRDefault="00035233" w:rsidP="00035233">
            <w:pPr>
              <w:pStyle w:val="05Tabletext"/>
            </w:pPr>
            <w:r w:rsidRPr="00744D69">
              <w:t>Zhong N, Wang C, Zhou X, Zhang N, Humphries M, Wang L, et al (2015). LANTERN: A randomized study of QVA149 versus salmeterol/fluticasone combination in patients with COPD. International Journal of C</w:t>
            </w:r>
            <w:r w:rsidR="001A2E31">
              <w:t>OPD</w:t>
            </w:r>
            <w:r w:rsidRPr="00744D69">
              <w:t xml:space="preserve"> 10:1015-1026.</w:t>
            </w:r>
          </w:p>
        </w:tc>
        <w:tc>
          <w:tcPr>
            <w:tcW w:w="884" w:type="pct"/>
            <w:shd w:val="clear" w:color="auto" w:fill="auto"/>
          </w:tcPr>
          <w:p w:rsidR="00035233" w:rsidRDefault="00035233" w:rsidP="00035233">
            <w:pPr>
              <w:pStyle w:val="05Tabletext"/>
            </w:pPr>
            <w:r>
              <w:t>Key publication</w:t>
            </w:r>
          </w:p>
        </w:tc>
      </w:tr>
      <w:tr w:rsidR="00035233" w:rsidRPr="00194011" w:rsidTr="00035233">
        <w:trPr>
          <w:cantSplit/>
        </w:trPr>
        <w:tc>
          <w:tcPr>
            <w:tcW w:w="811" w:type="pct"/>
            <w:shd w:val="clear" w:color="auto" w:fill="auto"/>
          </w:tcPr>
          <w:p w:rsidR="00035233" w:rsidRDefault="00035233" w:rsidP="004059B1">
            <w:pPr>
              <w:pStyle w:val="05Tabletext"/>
            </w:pPr>
            <w:r>
              <w:t>Singh (2015</w:t>
            </w:r>
            <w:r w:rsidR="004059B1">
              <w:t>a</w:t>
            </w:r>
            <w:r>
              <w:t>)</w:t>
            </w:r>
          </w:p>
        </w:tc>
        <w:tc>
          <w:tcPr>
            <w:tcW w:w="3305" w:type="pct"/>
            <w:shd w:val="clear" w:color="auto" w:fill="auto"/>
          </w:tcPr>
          <w:p w:rsidR="00035233" w:rsidRPr="00EC5BA6" w:rsidRDefault="00035233" w:rsidP="004059B1">
            <w:pPr>
              <w:pStyle w:val="05Tabletext"/>
            </w:pPr>
            <w:r w:rsidRPr="00744D69">
              <w:t>Singh D, Worsley S, Zhu CQ, Hardaker L and Church A (2015</w:t>
            </w:r>
            <w:r w:rsidR="004059B1">
              <w:t>a</w:t>
            </w:r>
            <w:r w:rsidRPr="00744D69">
              <w:t>). Umeclidinium/vilanterol versus fluticasone propionate/salmeterol in COPD: A randomised trial. BMC Pulmonary Medicine 15 (1) (no pagination</w:t>
            </w:r>
            <w:proofErr w:type="gramStart"/>
            <w:r w:rsidRPr="00744D69">
              <w:t>)(</w:t>
            </w:r>
            <w:proofErr w:type="gramEnd"/>
            <w:r w:rsidRPr="00744D69">
              <w:t>91).</w:t>
            </w:r>
          </w:p>
        </w:tc>
        <w:tc>
          <w:tcPr>
            <w:tcW w:w="884" w:type="pct"/>
            <w:shd w:val="clear" w:color="auto" w:fill="auto"/>
          </w:tcPr>
          <w:p w:rsidR="00035233" w:rsidRDefault="00035233" w:rsidP="00035233">
            <w:pPr>
              <w:pStyle w:val="05Tabletext"/>
            </w:pPr>
            <w:r>
              <w:t>Key publication</w:t>
            </w:r>
          </w:p>
        </w:tc>
      </w:tr>
    </w:tbl>
    <w:p w:rsidR="00035233" w:rsidRDefault="00035233" w:rsidP="00035233">
      <w:pPr>
        <w:pStyle w:val="11TableorFigurefootnotenostick"/>
      </w:pPr>
      <w:r w:rsidRPr="00422C78">
        <w:t xml:space="preserve">Abbreviations: </w:t>
      </w:r>
      <w:r>
        <w:t xml:space="preserve">ICS, inhaled corticosteroid; </w:t>
      </w:r>
      <w:r w:rsidRPr="00422C78">
        <w:t>LABA</w:t>
      </w:r>
      <w:r>
        <w:t>, long-acting beta-agonist; LAMA, long-acting muscarinic antagonist; RCT, randomised controlled trial.</w:t>
      </w:r>
    </w:p>
    <w:p w:rsidR="00035233" w:rsidRDefault="00035233" w:rsidP="00035233">
      <w:pPr>
        <w:pStyle w:val="BodyText"/>
      </w:pPr>
      <w:r w:rsidRPr="00445409">
        <w:t xml:space="preserve">The </w:t>
      </w:r>
      <w:r>
        <w:t>study characteristics of the five relevant studies, such as the patient eligibility criteria, length of follow</w:t>
      </w:r>
      <w:r w:rsidR="004B2947">
        <w:t xml:space="preserve"> </w:t>
      </w:r>
      <w:r>
        <w:t xml:space="preserve">up and outcomes assessed, are </w:t>
      </w:r>
      <w:r w:rsidRPr="00445409">
        <w:t xml:space="preserve">summarised in </w:t>
      </w:r>
      <w:r w:rsidR="00AC7B51">
        <w:t>Table 3.4</w:t>
      </w:r>
      <w:r w:rsidR="00C542B6">
        <w:t>7</w:t>
      </w:r>
      <w:r>
        <w:t>.</w:t>
      </w:r>
    </w:p>
    <w:p w:rsidR="00570223" w:rsidRDefault="00570223" w:rsidP="00035233">
      <w:pPr>
        <w:pStyle w:val="BodyText"/>
      </w:pPr>
    </w:p>
    <w:p w:rsidR="00035233" w:rsidRDefault="00035233" w:rsidP="00035233">
      <w:pPr>
        <w:pStyle w:val="BodyText"/>
        <w:sectPr w:rsidR="00035233" w:rsidSect="00270A37">
          <w:footerReference w:type="default" r:id="rId40"/>
          <w:pgSz w:w="11906" w:h="16838"/>
          <w:pgMar w:top="1134" w:right="1134" w:bottom="1134" w:left="1134" w:header="709" w:footer="709" w:gutter="0"/>
          <w:cols w:space="708"/>
          <w:docGrid w:linePitch="360"/>
        </w:sectPr>
      </w:pPr>
    </w:p>
    <w:p w:rsidR="00035233" w:rsidRDefault="00AC7B51" w:rsidP="002B7B0F">
      <w:pPr>
        <w:pStyle w:val="ToR3Tableheader"/>
      </w:pPr>
      <w:bookmarkStart w:id="347" w:name="_Toc468006287"/>
      <w:bookmarkStart w:id="348" w:name="_Toc468012332"/>
      <w:bookmarkStart w:id="349" w:name="_Toc468034488"/>
      <w:bookmarkStart w:id="350" w:name="_Toc471891038"/>
      <w:bookmarkStart w:id="351" w:name="_Toc486428226"/>
      <w:r>
        <w:lastRenderedPageBreak/>
        <w:t>Table 3.4</w:t>
      </w:r>
      <w:r w:rsidR="00C542B6">
        <w:t>7</w:t>
      </w:r>
      <w:r w:rsidR="00035233">
        <w:tab/>
        <w:t>Details of RCTs comparing dual therapy with LABA/LAMA versus ICS/LABA in patients with COPD</w:t>
      </w:r>
      <w:bookmarkEnd w:id="347"/>
      <w:bookmarkEnd w:id="348"/>
      <w:bookmarkEnd w:id="349"/>
      <w:bookmarkEnd w:id="350"/>
      <w:bookmarkEnd w:id="3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Caption w:val="Study characteristics"/>
        <w:tblDescription w:val="Details of RCTs comparing dual therapy with LABA/LAMA versus ICS/LABA in patients with COPD"/>
      </w:tblPr>
      <w:tblGrid>
        <w:gridCol w:w="1772"/>
        <w:gridCol w:w="621"/>
        <w:gridCol w:w="1053"/>
        <w:gridCol w:w="1662"/>
        <w:gridCol w:w="6357"/>
        <w:gridCol w:w="954"/>
        <w:gridCol w:w="2161"/>
      </w:tblGrid>
      <w:tr w:rsidR="00035233" w:rsidRPr="00194011" w:rsidTr="00035233">
        <w:trPr>
          <w:cantSplit/>
          <w:trHeight w:val="735"/>
          <w:tblHeader/>
        </w:trPr>
        <w:tc>
          <w:tcPr>
            <w:tcW w:w="608" w:type="pct"/>
            <w:shd w:val="clear" w:color="auto" w:fill="BFBFBF"/>
          </w:tcPr>
          <w:p w:rsidR="00035233" w:rsidRPr="00194011" w:rsidRDefault="00035233" w:rsidP="00035233">
            <w:pPr>
              <w:pStyle w:val="01TableHEADINGleftaligned"/>
            </w:pPr>
            <w:r w:rsidRPr="00194011">
              <w:t>Trial ID</w:t>
            </w:r>
          </w:p>
          <w:p w:rsidR="00035233" w:rsidRPr="00AC28D5" w:rsidRDefault="00035233" w:rsidP="00035233">
            <w:pPr>
              <w:pStyle w:val="01TableHEADINGleftaligned"/>
              <w:spacing w:before="0"/>
            </w:pPr>
            <w:r w:rsidRPr="00F24C36">
              <w:t xml:space="preserve">1. </w:t>
            </w:r>
            <w:r>
              <w:t>Related p</w:t>
            </w:r>
            <w:r w:rsidRPr="00F24C36">
              <w:t>ublications</w:t>
            </w:r>
            <w:r w:rsidRPr="00F24C36">
              <w:br/>
              <w:t>2. Study quality</w:t>
            </w:r>
            <w:r>
              <w:br/>
            </w:r>
            <w:r w:rsidRPr="00F24C36">
              <w:t>3. Country</w:t>
            </w:r>
            <w:r w:rsidRPr="00F24C36">
              <w:br/>
              <w:t>4. Sponsor</w:t>
            </w:r>
          </w:p>
        </w:tc>
        <w:tc>
          <w:tcPr>
            <w:tcW w:w="213" w:type="pct"/>
            <w:shd w:val="clear" w:color="auto" w:fill="BFBFBF"/>
          </w:tcPr>
          <w:p w:rsidR="00035233" w:rsidRPr="00194011" w:rsidRDefault="00035233" w:rsidP="00035233">
            <w:pPr>
              <w:pStyle w:val="02TableHEADINGcentred"/>
            </w:pPr>
            <w:r w:rsidRPr="00194011">
              <w:t>N</w:t>
            </w:r>
          </w:p>
        </w:tc>
        <w:tc>
          <w:tcPr>
            <w:tcW w:w="361" w:type="pct"/>
            <w:shd w:val="clear" w:color="auto" w:fill="BFBFBF"/>
          </w:tcPr>
          <w:p w:rsidR="00035233" w:rsidRPr="00194011" w:rsidRDefault="00035233" w:rsidP="00035233">
            <w:pPr>
              <w:pStyle w:val="02TableHEADINGcentred"/>
            </w:pPr>
            <w:r w:rsidRPr="00194011">
              <w:t>Study design</w:t>
            </w:r>
          </w:p>
        </w:tc>
        <w:tc>
          <w:tcPr>
            <w:tcW w:w="570" w:type="pct"/>
            <w:shd w:val="clear" w:color="auto" w:fill="BFBFBF"/>
          </w:tcPr>
          <w:p w:rsidR="00035233" w:rsidRPr="00194011" w:rsidRDefault="00035233" w:rsidP="00035233">
            <w:pPr>
              <w:pStyle w:val="01TableHEADINGleftaligned"/>
              <w:jc w:val="center"/>
            </w:pPr>
            <w:r w:rsidRPr="00194011">
              <w:t>Tx (n)</w:t>
            </w:r>
          </w:p>
        </w:tc>
        <w:tc>
          <w:tcPr>
            <w:tcW w:w="2180" w:type="pct"/>
            <w:shd w:val="clear" w:color="auto" w:fill="BFBFBF"/>
          </w:tcPr>
          <w:p w:rsidR="00035233" w:rsidRPr="00194011" w:rsidRDefault="00035233" w:rsidP="00035233">
            <w:pPr>
              <w:pStyle w:val="01TableHEADINGleftaligned"/>
              <w:jc w:val="center"/>
            </w:pPr>
            <w:r w:rsidRPr="00194011">
              <w:t>Eligibility criteria</w:t>
            </w:r>
          </w:p>
        </w:tc>
        <w:tc>
          <w:tcPr>
            <w:tcW w:w="327" w:type="pct"/>
            <w:shd w:val="clear" w:color="auto" w:fill="BFBFBF"/>
          </w:tcPr>
          <w:p w:rsidR="00035233" w:rsidRPr="00194011" w:rsidRDefault="00035233" w:rsidP="00035233">
            <w:pPr>
              <w:pStyle w:val="01TableHEADINGleftaligned"/>
              <w:jc w:val="center"/>
            </w:pPr>
            <w:r>
              <w:t>Treatment period</w:t>
            </w:r>
          </w:p>
        </w:tc>
        <w:tc>
          <w:tcPr>
            <w:tcW w:w="742" w:type="pct"/>
            <w:shd w:val="clear" w:color="auto" w:fill="BFBFBF"/>
          </w:tcPr>
          <w:p w:rsidR="00035233" w:rsidRPr="00194011" w:rsidRDefault="00035233" w:rsidP="00035233">
            <w:pPr>
              <w:pStyle w:val="01TableHEADINGleftaligned"/>
              <w:jc w:val="center"/>
            </w:pPr>
            <w:r w:rsidRPr="00194011">
              <w:t>Outcomes reported</w:t>
            </w:r>
          </w:p>
        </w:tc>
      </w:tr>
      <w:tr w:rsidR="00035233" w:rsidRPr="00194011" w:rsidTr="00035233">
        <w:trPr>
          <w:cantSplit/>
        </w:trPr>
        <w:tc>
          <w:tcPr>
            <w:tcW w:w="608" w:type="pct"/>
            <w:shd w:val="clear" w:color="auto" w:fill="000000"/>
          </w:tcPr>
          <w:p w:rsidR="00035233" w:rsidRDefault="00035233" w:rsidP="00035233">
            <w:pPr>
              <w:pStyle w:val="04Tablesubheading"/>
            </w:pPr>
            <w:r>
              <w:t>TIO/OLO vs FLU/SAL</w:t>
            </w:r>
          </w:p>
        </w:tc>
        <w:tc>
          <w:tcPr>
            <w:tcW w:w="213" w:type="pct"/>
            <w:shd w:val="clear" w:color="auto" w:fill="000000"/>
          </w:tcPr>
          <w:p w:rsidR="00035233" w:rsidRDefault="00035233" w:rsidP="00035233">
            <w:pPr>
              <w:pStyle w:val="04Tablesubheading"/>
            </w:pPr>
          </w:p>
        </w:tc>
        <w:tc>
          <w:tcPr>
            <w:tcW w:w="361" w:type="pct"/>
            <w:shd w:val="clear" w:color="auto" w:fill="000000"/>
          </w:tcPr>
          <w:p w:rsidR="00035233" w:rsidRDefault="00035233" w:rsidP="00035233">
            <w:pPr>
              <w:pStyle w:val="04Tablesubheading"/>
            </w:pPr>
          </w:p>
        </w:tc>
        <w:tc>
          <w:tcPr>
            <w:tcW w:w="570" w:type="pct"/>
            <w:shd w:val="clear" w:color="auto" w:fill="000000"/>
          </w:tcPr>
          <w:p w:rsidR="00035233" w:rsidRDefault="00035233" w:rsidP="00035233">
            <w:pPr>
              <w:pStyle w:val="04Tablesubheading"/>
            </w:pPr>
          </w:p>
        </w:tc>
        <w:tc>
          <w:tcPr>
            <w:tcW w:w="2180" w:type="pct"/>
            <w:shd w:val="clear" w:color="auto" w:fill="000000"/>
          </w:tcPr>
          <w:p w:rsidR="00035233" w:rsidRDefault="00035233" w:rsidP="00035233">
            <w:pPr>
              <w:pStyle w:val="04Tablesubheading"/>
              <w:rPr>
                <w:u w:val="single"/>
              </w:rPr>
            </w:pPr>
          </w:p>
        </w:tc>
        <w:tc>
          <w:tcPr>
            <w:tcW w:w="327" w:type="pct"/>
            <w:shd w:val="clear" w:color="auto" w:fill="000000"/>
          </w:tcPr>
          <w:p w:rsidR="00035233" w:rsidRDefault="00035233" w:rsidP="00035233">
            <w:pPr>
              <w:pStyle w:val="04Tablesubheading"/>
            </w:pPr>
          </w:p>
        </w:tc>
        <w:tc>
          <w:tcPr>
            <w:tcW w:w="742" w:type="pct"/>
            <w:shd w:val="clear" w:color="auto" w:fill="000000"/>
          </w:tcPr>
          <w:p w:rsidR="00035233" w:rsidRDefault="00035233" w:rsidP="00035233">
            <w:pPr>
              <w:pStyle w:val="04Tablesubheading"/>
              <w:rPr>
                <w:u w:val="single"/>
              </w:rPr>
            </w:pPr>
          </w:p>
        </w:tc>
      </w:tr>
      <w:tr w:rsidR="00035233" w:rsidRPr="00194011" w:rsidTr="00035233">
        <w:trPr>
          <w:cantSplit/>
        </w:trPr>
        <w:tc>
          <w:tcPr>
            <w:tcW w:w="608" w:type="pct"/>
            <w:shd w:val="clear" w:color="auto" w:fill="auto"/>
          </w:tcPr>
          <w:p w:rsidR="00035233" w:rsidRDefault="00035233" w:rsidP="00035233">
            <w:pPr>
              <w:pStyle w:val="05Tabletext"/>
            </w:pPr>
            <w:r>
              <w:t>ENERGITO</w:t>
            </w:r>
          </w:p>
          <w:p w:rsidR="00035233" w:rsidRDefault="00035233" w:rsidP="00251CB8">
            <w:pPr>
              <w:pStyle w:val="06Tabletextspacebefore"/>
              <w:numPr>
                <w:ilvl w:val="0"/>
                <w:numId w:val="28"/>
              </w:numPr>
            </w:pPr>
            <w:r>
              <w:t>Beeh (2016)</w:t>
            </w:r>
          </w:p>
          <w:p w:rsidR="00035233" w:rsidRDefault="00035233" w:rsidP="00251CB8">
            <w:pPr>
              <w:pStyle w:val="06Tabletextspacebefore"/>
              <w:numPr>
                <w:ilvl w:val="0"/>
                <w:numId w:val="28"/>
              </w:numPr>
            </w:pPr>
            <w:r>
              <w:t>Fair quality</w:t>
            </w:r>
          </w:p>
          <w:p w:rsidR="00035233" w:rsidRDefault="00035233" w:rsidP="00251CB8">
            <w:pPr>
              <w:pStyle w:val="06Tabletextspacebefore"/>
              <w:numPr>
                <w:ilvl w:val="0"/>
                <w:numId w:val="28"/>
              </w:numPr>
            </w:pPr>
            <w:r>
              <w:t>Belgium, Czech Republic, Denmark, Germany, Hungary, Netherlands, Spain, Sweden</w:t>
            </w:r>
          </w:p>
          <w:p w:rsidR="00035233" w:rsidRPr="004229B3" w:rsidRDefault="00035233" w:rsidP="00251CB8">
            <w:pPr>
              <w:pStyle w:val="06Tabletextspacebefore"/>
              <w:numPr>
                <w:ilvl w:val="0"/>
                <w:numId w:val="28"/>
              </w:numPr>
            </w:pPr>
            <w:r>
              <w:t>Boehringer Ingelheim</w:t>
            </w:r>
          </w:p>
        </w:tc>
        <w:tc>
          <w:tcPr>
            <w:tcW w:w="213" w:type="pct"/>
            <w:shd w:val="clear" w:color="auto" w:fill="auto"/>
          </w:tcPr>
          <w:p w:rsidR="00035233" w:rsidRDefault="00035233" w:rsidP="00035233">
            <w:pPr>
              <w:pStyle w:val="05Tabletext"/>
              <w:jc w:val="center"/>
            </w:pPr>
            <w:r>
              <w:t>229</w:t>
            </w:r>
          </w:p>
        </w:tc>
        <w:tc>
          <w:tcPr>
            <w:tcW w:w="361" w:type="pct"/>
            <w:shd w:val="clear" w:color="auto" w:fill="auto"/>
          </w:tcPr>
          <w:p w:rsidR="00035233" w:rsidRDefault="00035233" w:rsidP="00035233">
            <w:pPr>
              <w:pStyle w:val="05Tabletext"/>
            </w:pPr>
            <w:r>
              <w:t>Superiority. Double-blind, double-dummy, cross-over.</w:t>
            </w:r>
          </w:p>
        </w:tc>
        <w:tc>
          <w:tcPr>
            <w:tcW w:w="570" w:type="pct"/>
            <w:shd w:val="clear" w:color="auto" w:fill="auto"/>
          </w:tcPr>
          <w:p w:rsidR="00035233" w:rsidRDefault="00035233" w:rsidP="00035233">
            <w:pPr>
              <w:pStyle w:val="05Tabletext"/>
            </w:pPr>
            <w:r>
              <w:t>TIO/OLO 5/5 μg qd (n=221)</w:t>
            </w:r>
          </w:p>
          <w:p w:rsidR="00035233" w:rsidRPr="009E7CEF" w:rsidRDefault="00035233" w:rsidP="00035233">
            <w:pPr>
              <w:pStyle w:val="06Tabletextspacebefore"/>
            </w:pPr>
            <w:r>
              <w:t>TIO/OLO 2.5/5 μg qd (n=215)</w:t>
            </w:r>
            <w:bookmarkStart w:id="352" w:name="_Ref467139148"/>
            <w:r>
              <w:rPr>
                <w:rStyle w:val="FootnoteReference"/>
              </w:rPr>
              <w:footnoteReference w:id="31"/>
            </w:r>
            <w:bookmarkEnd w:id="352"/>
          </w:p>
          <w:p w:rsidR="00035233" w:rsidRDefault="00035233" w:rsidP="00035233">
            <w:pPr>
              <w:pStyle w:val="06Tabletextspacebefore"/>
            </w:pPr>
            <w:r>
              <w:t>FLU/SAL 500/50 μg bid (n=219)</w:t>
            </w:r>
          </w:p>
          <w:p w:rsidR="00035233" w:rsidRPr="009E7CEF" w:rsidRDefault="00035233" w:rsidP="00035233">
            <w:pPr>
              <w:pStyle w:val="06Tabletextspacebefore"/>
            </w:pPr>
            <w:r>
              <w:t>FLU/SAL 250/50 μg bid (n=212)</w:t>
            </w:r>
            <w:r w:rsidR="009309BE">
              <w:rPr>
                <w:vertAlign w:val="superscript"/>
              </w:rPr>
              <w:t>32</w:t>
            </w:r>
          </w:p>
        </w:tc>
        <w:tc>
          <w:tcPr>
            <w:tcW w:w="2180" w:type="pct"/>
            <w:shd w:val="clear" w:color="auto" w:fill="auto"/>
          </w:tcPr>
          <w:p w:rsidR="00035233" w:rsidRDefault="00035233" w:rsidP="00035233">
            <w:pPr>
              <w:pStyle w:val="05Tabletext"/>
              <w:rPr>
                <w:u w:val="single"/>
              </w:rPr>
            </w:pPr>
            <w:r>
              <w:rPr>
                <w:u w:val="single"/>
              </w:rPr>
              <w:t>Inclusion</w:t>
            </w:r>
          </w:p>
          <w:p w:rsidR="00035233" w:rsidRPr="00B303FB" w:rsidRDefault="00035233" w:rsidP="00035233">
            <w:pPr>
              <w:pStyle w:val="05Tabletext"/>
            </w:pPr>
            <w:r>
              <w:t>(1) Age ≥40 years, (2) moderate to severe COPD (GOLD 2 or 3 – 2010 version), (3) post-bronchodilator FEV</w:t>
            </w:r>
            <w:r>
              <w:rPr>
                <w:vertAlign w:val="subscript"/>
              </w:rPr>
              <w:t>1</w:t>
            </w:r>
            <w:r>
              <w:t xml:space="preserve"> ≥30% and &lt;80% predicted normal, (4) post-bronchodilator FEV</w:t>
            </w:r>
            <w:r>
              <w:rPr>
                <w:vertAlign w:val="subscript"/>
              </w:rPr>
              <w:t>1</w:t>
            </w:r>
            <w:r>
              <w:t>/FVC &lt;70% at screening visit.</w:t>
            </w:r>
          </w:p>
          <w:p w:rsidR="00035233" w:rsidRDefault="00035233" w:rsidP="00035233">
            <w:pPr>
              <w:pStyle w:val="06Tabletextspacebefore"/>
              <w:rPr>
                <w:u w:val="single"/>
              </w:rPr>
            </w:pPr>
            <w:r>
              <w:rPr>
                <w:u w:val="single"/>
              </w:rPr>
              <w:t>Exclusion</w:t>
            </w:r>
          </w:p>
          <w:p w:rsidR="00035233" w:rsidRDefault="00035233" w:rsidP="00035233">
            <w:pPr>
              <w:pStyle w:val="05Tabletext"/>
            </w:pPr>
            <w:r>
              <w:t>(1) Significant disease other than COPD including asthma, (2) any COPD exacerbation requiring treatment with antibiotics, systemic steroids, or hospitalisation in the past 3 months, (3) abnormal laboratory tests according to the investigator.</w:t>
            </w:r>
          </w:p>
          <w:p w:rsidR="00035233" w:rsidRDefault="00035233" w:rsidP="00035233">
            <w:pPr>
              <w:pStyle w:val="06Tabletextspacebefore"/>
            </w:pPr>
            <w:r>
              <w:rPr>
                <w:u w:val="single"/>
              </w:rPr>
              <w:t>Other</w:t>
            </w:r>
          </w:p>
          <w:p w:rsidR="00035233" w:rsidRPr="00B23285" w:rsidRDefault="00035233" w:rsidP="00035233">
            <w:pPr>
              <w:pStyle w:val="05Tabletext"/>
            </w:pPr>
            <w:r>
              <w:t>(1) Patients entered a 4-week screening period during which inhaled and oral corticosteroids, β-adrenergics, and LAMAs were discontinued, (2) open-label salbutamol was provided for use during the screening and washout periods.</w:t>
            </w:r>
          </w:p>
        </w:tc>
        <w:tc>
          <w:tcPr>
            <w:tcW w:w="327" w:type="pct"/>
            <w:shd w:val="clear" w:color="auto" w:fill="auto"/>
          </w:tcPr>
          <w:p w:rsidR="00035233" w:rsidRDefault="00035233" w:rsidP="00035233">
            <w:pPr>
              <w:pStyle w:val="05Tabletext"/>
              <w:jc w:val="center"/>
            </w:pPr>
            <w:r>
              <w:t>6 weeks per treatment arm. Treatment periods were separated by a 21-day washout.</w:t>
            </w:r>
          </w:p>
        </w:tc>
        <w:tc>
          <w:tcPr>
            <w:tcW w:w="742" w:type="pct"/>
            <w:shd w:val="clear" w:color="auto" w:fill="auto"/>
          </w:tcPr>
          <w:p w:rsidR="00035233" w:rsidRDefault="00035233" w:rsidP="00035233">
            <w:pPr>
              <w:pStyle w:val="05Tabletext"/>
            </w:pPr>
            <w:r>
              <w:rPr>
                <w:u w:val="single"/>
              </w:rPr>
              <w:t>Primary</w:t>
            </w:r>
          </w:p>
          <w:p w:rsidR="00035233" w:rsidRPr="00CE6059" w:rsidRDefault="00035233" w:rsidP="00035233">
            <w:pPr>
              <w:pStyle w:val="05Tabletext"/>
            </w:pPr>
            <w:r>
              <w:t>Change from baseline in FEV</w:t>
            </w:r>
            <w:r w:rsidRPr="00AF7A03">
              <w:rPr>
                <w:vertAlign w:val="subscript"/>
              </w:rPr>
              <w:t>1</w:t>
            </w:r>
            <w:r>
              <w:rPr>
                <w:vertAlign w:val="subscript"/>
              </w:rPr>
              <w:t xml:space="preserve"> </w:t>
            </w:r>
            <w:r>
              <w:t>AUC from 0-12 hrs at 6 weeks.</w:t>
            </w:r>
          </w:p>
          <w:p w:rsidR="00035233" w:rsidRDefault="00035233" w:rsidP="00035233">
            <w:pPr>
              <w:pStyle w:val="06Tabletextspacebefore"/>
            </w:pPr>
            <w:r>
              <w:rPr>
                <w:u w:val="single"/>
              </w:rPr>
              <w:t>Secondary</w:t>
            </w:r>
          </w:p>
          <w:p w:rsidR="00035233" w:rsidRPr="00CE6059" w:rsidRDefault="00035233" w:rsidP="00035233">
            <w:pPr>
              <w:pStyle w:val="05Tabletext"/>
            </w:pPr>
            <w:r>
              <w:t>Change from baseline in FEV</w:t>
            </w:r>
            <w:r w:rsidRPr="00AF7A03">
              <w:rPr>
                <w:vertAlign w:val="subscript"/>
              </w:rPr>
              <w:t>1</w:t>
            </w:r>
            <w:r>
              <w:rPr>
                <w:vertAlign w:val="subscript"/>
              </w:rPr>
              <w:t xml:space="preserve"> </w:t>
            </w:r>
            <w:r>
              <w:t>AUC from 0-24 hrs and 12-24 hrs; peak FEV</w:t>
            </w:r>
            <w:r w:rsidRPr="00AF7A03">
              <w:rPr>
                <w:vertAlign w:val="subscript"/>
              </w:rPr>
              <w:t>1</w:t>
            </w:r>
            <w:r>
              <w:rPr>
                <w:vertAlign w:val="subscript"/>
              </w:rPr>
              <w:t xml:space="preserve"> </w:t>
            </w:r>
            <w:r>
              <w:t>from 0-3 hrs; trough FEV</w:t>
            </w:r>
            <w:r w:rsidRPr="00AF7A03">
              <w:rPr>
                <w:vertAlign w:val="subscript"/>
              </w:rPr>
              <w:t>1</w:t>
            </w:r>
            <w:r>
              <w:rPr>
                <w:vertAlign w:val="subscript"/>
              </w:rPr>
              <w:t xml:space="preserve"> </w:t>
            </w:r>
            <w:r>
              <w:t xml:space="preserve">response; trough FVC; peak FVC; safety (AEs). </w:t>
            </w:r>
          </w:p>
          <w:p w:rsidR="00035233" w:rsidRPr="006E48DA" w:rsidRDefault="00035233" w:rsidP="00035233">
            <w:pPr>
              <w:pStyle w:val="05Tabletext"/>
            </w:pPr>
          </w:p>
        </w:tc>
      </w:tr>
      <w:tr w:rsidR="00035233" w:rsidRPr="00194011" w:rsidTr="00035233">
        <w:trPr>
          <w:cantSplit/>
        </w:trPr>
        <w:tc>
          <w:tcPr>
            <w:tcW w:w="608" w:type="pct"/>
            <w:shd w:val="clear" w:color="auto" w:fill="000000"/>
          </w:tcPr>
          <w:p w:rsidR="00035233" w:rsidRDefault="00035233" w:rsidP="00035233">
            <w:pPr>
              <w:pStyle w:val="04Tablesubheading"/>
            </w:pPr>
            <w:r>
              <w:t>UME/VIL vs FLU/SAL</w:t>
            </w:r>
          </w:p>
        </w:tc>
        <w:tc>
          <w:tcPr>
            <w:tcW w:w="213" w:type="pct"/>
            <w:shd w:val="clear" w:color="auto" w:fill="000000"/>
          </w:tcPr>
          <w:p w:rsidR="00035233" w:rsidRDefault="00035233" w:rsidP="00035233">
            <w:pPr>
              <w:pStyle w:val="04Tablesubheading"/>
            </w:pPr>
          </w:p>
        </w:tc>
        <w:tc>
          <w:tcPr>
            <w:tcW w:w="361" w:type="pct"/>
            <w:shd w:val="clear" w:color="auto" w:fill="000000"/>
          </w:tcPr>
          <w:p w:rsidR="00035233" w:rsidRDefault="00035233" w:rsidP="00035233">
            <w:pPr>
              <w:pStyle w:val="04Tablesubheading"/>
            </w:pPr>
          </w:p>
        </w:tc>
        <w:tc>
          <w:tcPr>
            <w:tcW w:w="570" w:type="pct"/>
            <w:shd w:val="clear" w:color="auto" w:fill="000000"/>
          </w:tcPr>
          <w:p w:rsidR="00035233" w:rsidRDefault="00035233" w:rsidP="00035233">
            <w:pPr>
              <w:pStyle w:val="04Tablesubheading"/>
            </w:pPr>
          </w:p>
        </w:tc>
        <w:tc>
          <w:tcPr>
            <w:tcW w:w="2180" w:type="pct"/>
            <w:shd w:val="clear" w:color="auto" w:fill="000000"/>
          </w:tcPr>
          <w:p w:rsidR="00035233" w:rsidRDefault="00035233" w:rsidP="00035233">
            <w:pPr>
              <w:pStyle w:val="04Tablesubheading"/>
              <w:rPr>
                <w:u w:val="single"/>
              </w:rPr>
            </w:pPr>
          </w:p>
        </w:tc>
        <w:tc>
          <w:tcPr>
            <w:tcW w:w="327" w:type="pct"/>
            <w:shd w:val="clear" w:color="auto" w:fill="000000"/>
          </w:tcPr>
          <w:p w:rsidR="00035233" w:rsidRDefault="00035233" w:rsidP="00035233">
            <w:pPr>
              <w:pStyle w:val="04Tablesubheading"/>
            </w:pPr>
          </w:p>
        </w:tc>
        <w:tc>
          <w:tcPr>
            <w:tcW w:w="742" w:type="pct"/>
            <w:shd w:val="clear" w:color="auto" w:fill="000000"/>
          </w:tcPr>
          <w:p w:rsidR="00035233" w:rsidRDefault="00035233" w:rsidP="00035233">
            <w:pPr>
              <w:pStyle w:val="04Tablesubheading"/>
              <w:rPr>
                <w:u w:val="single"/>
              </w:rPr>
            </w:pPr>
          </w:p>
        </w:tc>
      </w:tr>
      <w:tr w:rsidR="00035233" w:rsidRPr="00194011" w:rsidTr="00035233">
        <w:trPr>
          <w:cantSplit/>
        </w:trPr>
        <w:tc>
          <w:tcPr>
            <w:tcW w:w="608" w:type="pct"/>
            <w:shd w:val="clear" w:color="auto" w:fill="auto"/>
          </w:tcPr>
          <w:p w:rsidR="00035233" w:rsidRDefault="00035233" w:rsidP="00035233">
            <w:pPr>
              <w:pStyle w:val="05Tabletext"/>
            </w:pPr>
            <w:r>
              <w:t>Singh (2015</w:t>
            </w:r>
            <w:r w:rsidR="004059B1">
              <w:t>a</w:t>
            </w:r>
            <w:r>
              <w:t>)</w:t>
            </w:r>
          </w:p>
          <w:p w:rsidR="00035233" w:rsidRDefault="00035233" w:rsidP="00251CB8">
            <w:pPr>
              <w:pStyle w:val="06Tabletextspacebefore"/>
              <w:numPr>
                <w:ilvl w:val="0"/>
                <w:numId w:val="23"/>
              </w:numPr>
            </w:pPr>
            <w:r>
              <w:t>N/A</w:t>
            </w:r>
          </w:p>
          <w:p w:rsidR="00035233" w:rsidRDefault="00035233" w:rsidP="00251CB8">
            <w:pPr>
              <w:pStyle w:val="06Tabletextspacebefore"/>
              <w:numPr>
                <w:ilvl w:val="0"/>
                <w:numId w:val="23"/>
              </w:numPr>
            </w:pPr>
            <w:r>
              <w:t>Good quality</w:t>
            </w:r>
          </w:p>
          <w:p w:rsidR="00035233" w:rsidRDefault="00035233" w:rsidP="00251CB8">
            <w:pPr>
              <w:pStyle w:val="06Tabletextspacebefore"/>
              <w:numPr>
                <w:ilvl w:val="0"/>
                <w:numId w:val="23"/>
              </w:numPr>
            </w:pPr>
            <w:r>
              <w:t>Czech Republic, Denmark, Germany, Hungary, The Netherlands, Poland, Russia, Spain</w:t>
            </w:r>
          </w:p>
          <w:p w:rsidR="00035233" w:rsidRPr="00E124B0" w:rsidRDefault="00035233" w:rsidP="00251CB8">
            <w:pPr>
              <w:pStyle w:val="06Tabletextspacebefore"/>
              <w:numPr>
                <w:ilvl w:val="0"/>
                <w:numId w:val="23"/>
              </w:numPr>
            </w:pPr>
            <w:r>
              <w:t>GlaxoSmithKline</w:t>
            </w:r>
          </w:p>
        </w:tc>
        <w:tc>
          <w:tcPr>
            <w:tcW w:w="213" w:type="pct"/>
            <w:shd w:val="clear" w:color="auto" w:fill="auto"/>
          </w:tcPr>
          <w:p w:rsidR="00035233" w:rsidRDefault="00035233" w:rsidP="00035233">
            <w:pPr>
              <w:pStyle w:val="05Tabletext"/>
              <w:jc w:val="center"/>
            </w:pPr>
            <w:r>
              <w:t>716</w:t>
            </w:r>
          </w:p>
        </w:tc>
        <w:tc>
          <w:tcPr>
            <w:tcW w:w="361" w:type="pct"/>
            <w:shd w:val="clear" w:color="auto" w:fill="auto"/>
          </w:tcPr>
          <w:p w:rsidR="00035233" w:rsidRDefault="00035233" w:rsidP="00035233">
            <w:pPr>
              <w:pStyle w:val="05Tabletext"/>
            </w:pPr>
            <w:r>
              <w:t>Superiority. Double-blind, double-dummy.</w:t>
            </w:r>
          </w:p>
        </w:tc>
        <w:tc>
          <w:tcPr>
            <w:tcW w:w="570" w:type="pct"/>
            <w:shd w:val="clear" w:color="auto" w:fill="auto"/>
          </w:tcPr>
          <w:p w:rsidR="00035233" w:rsidRDefault="00035233" w:rsidP="00035233">
            <w:pPr>
              <w:pStyle w:val="05Tabletext"/>
            </w:pPr>
            <w:r>
              <w:t>UME/VIL 62.5/25 μg qd (n=358)</w:t>
            </w:r>
          </w:p>
          <w:p w:rsidR="00035233" w:rsidRDefault="00035233" w:rsidP="00035233">
            <w:pPr>
              <w:pStyle w:val="06Tabletextspacebefore"/>
            </w:pPr>
            <w:r>
              <w:t>FLU/SAL 500/50 μg bid (n=358)</w:t>
            </w:r>
          </w:p>
        </w:tc>
        <w:tc>
          <w:tcPr>
            <w:tcW w:w="2180" w:type="pct"/>
            <w:shd w:val="clear" w:color="auto" w:fill="auto"/>
          </w:tcPr>
          <w:p w:rsidR="00035233" w:rsidRDefault="00035233" w:rsidP="00035233">
            <w:pPr>
              <w:pStyle w:val="05Tabletext"/>
            </w:pPr>
            <w:r>
              <w:rPr>
                <w:u w:val="single"/>
              </w:rPr>
              <w:t>Inclusion</w:t>
            </w:r>
          </w:p>
          <w:p w:rsidR="00035233" w:rsidRDefault="00035233" w:rsidP="00035233">
            <w:pPr>
              <w:pStyle w:val="05Tabletext"/>
            </w:pPr>
            <w:r>
              <w:t>(1) Age ≥40 years, (2) established COPD clinical history (patients classified as GOLD Stage B or D only); (3) post-salbutamol FEV</w:t>
            </w:r>
            <w:r>
              <w:rPr>
                <w:vertAlign w:val="subscript"/>
              </w:rPr>
              <w:t>1</w:t>
            </w:r>
            <w:r>
              <w:t>/FVC ratio &lt;0.70 and a post-salbutamol FEV</w:t>
            </w:r>
            <w:r>
              <w:rPr>
                <w:vertAlign w:val="subscript"/>
              </w:rPr>
              <w:t>1</w:t>
            </w:r>
            <w:r>
              <w:t xml:space="preserve"> of ≥30% and ≤70% of predicted normal values, (4) dyspnoea score of ≥2 on mMRC.</w:t>
            </w:r>
          </w:p>
          <w:p w:rsidR="00035233" w:rsidRDefault="00035233" w:rsidP="00035233">
            <w:pPr>
              <w:pStyle w:val="06Tabletextspacebefore"/>
            </w:pPr>
            <w:r>
              <w:rPr>
                <w:u w:val="single"/>
              </w:rPr>
              <w:t>Exclusion</w:t>
            </w:r>
          </w:p>
          <w:p w:rsidR="00035233" w:rsidRDefault="00035233" w:rsidP="00035233">
            <w:pPr>
              <w:pStyle w:val="05Tabletext"/>
            </w:pPr>
            <w:r>
              <w:t>(1) Asthma or other respiratory disorders, (2) a documented history of ≥1 COPD exacerbation requiring oral corticosteroids, antibiotics and/or hospitalisation in the 12 months prior to screening, (3) hospitalisation for pneumonia within 12 weeks of screening.</w:t>
            </w:r>
          </w:p>
          <w:p w:rsidR="00035233" w:rsidRDefault="00035233" w:rsidP="00035233">
            <w:pPr>
              <w:pStyle w:val="06Tabletextspacebefore"/>
            </w:pPr>
            <w:r>
              <w:rPr>
                <w:u w:val="single"/>
              </w:rPr>
              <w:t>Other</w:t>
            </w:r>
          </w:p>
          <w:p w:rsidR="00035233" w:rsidRPr="003D0C50" w:rsidRDefault="00035233" w:rsidP="00035233">
            <w:pPr>
              <w:pStyle w:val="05Tabletext"/>
            </w:pPr>
            <w:r>
              <w:t>(1) Salbutamol was permitted for as-needed symptom relief throughout the study, except 4 hrs prior to spirometry testing, (2) patients were permitted to use mucolytics such as acetylcysteine throughout the study, and oxygen for intermittent use or as-needed therapy ≤12 hrs per day, (3) patients were not permitted to use depot corticosteroids; systemic, oral or parenteral corticosteroids; antibiotics; cytochrome P450 SA4 strong inhibitors; inhaled LABA, LAMA, ICS or ICS/LABA combination products; PDE4 inhibitors; or xanthines.</w:t>
            </w:r>
          </w:p>
        </w:tc>
        <w:tc>
          <w:tcPr>
            <w:tcW w:w="327" w:type="pct"/>
            <w:shd w:val="clear" w:color="auto" w:fill="auto"/>
          </w:tcPr>
          <w:p w:rsidR="00035233" w:rsidRDefault="00035233" w:rsidP="00035233">
            <w:pPr>
              <w:pStyle w:val="05Tabletext"/>
              <w:jc w:val="center"/>
            </w:pPr>
            <w:r>
              <w:t>12 weeks</w:t>
            </w:r>
          </w:p>
        </w:tc>
        <w:tc>
          <w:tcPr>
            <w:tcW w:w="742" w:type="pct"/>
            <w:shd w:val="clear" w:color="auto" w:fill="auto"/>
          </w:tcPr>
          <w:p w:rsidR="00035233" w:rsidRDefault="00035233" w:rsidP="00035233">
            <w:pPr>
              <w:pStyle w:val="05Tabletext"/>
            </w:pPr>
            <w:r>
              <w:rPr>
                <w:u w:val="single"/>
              </w:rPr>
              <w:t>Primary</w:t>
            </w:r>
          </w:p>
          <w:p w:rsidR="00035233" w:rsidRDefault="00035233" w:rsidP="00035233">
            <w:pPr>
              <w:pStyle w:val="05Tabletext"/>
            </w:pPr>
            <w:r>
              <w:t>Change from baseline in weighted mean FEV</w:t>
            </w:r>
            <w:r>
              <w:rPr>
                <w:vertAlign w:val="subscript"/>
              </w:rPr>
              <w:t>1</w:t>
            </w:r>
            <w:r>
              <w:t xml:space="preserve"> over 0-24</w:t>
            </w:r>
            <w:r w:rsidR="004B3085">
              <w:t xml:space="preserve"> hrs on D</w:t>
            </w:r>
            <w:r>
              <w:t>ay 84.</w:t>
            </w:r>
            <w:r>
              <w:rPr>
                <w:rStyle w:val="FootnoteReference"/>
              </w:rPr>
              <w:footnoteReference w:id="32"/>
            </w:r>
          </w:p>
          <w:p w:rsidR="00035233" w:rsidRPr="00952116" w:rsidRDefault="00035233" w:rsidP="00035233">
            <w:pPr>
              <w:pStyle w:val="06Tabletextspacebefore"/>
              <w:rPr>
                <w:u w:val="single"/>
              </w:rPr>
            </w:pPr>
            <w:r>
              <w:rPr>
                <w:u w:val="single"/>
              </w:rPr>
              <w:t>Secondary</w:t>
            </w:r>
          </w:p>
          <w:p w:rsidR="00035233" w:rsidRPr="00BF31D2" w:rsidRDefault="00035233" w:rsidP="00035233">
            <w:pPr>
              <w:pStyle w:val="05Tabletext"/>
            </w:pPr>
            <w:r>
              <w:t>Trough FEV</w:t>
            </w:r>
            <w:r>
              <w:rPr>
                <w:vertAlign w:val="subscript"/>
              </w:rPr>
              <w:t>1</w:t>
            </w:r>
            <w:r w:rsidR="004B3085">
              <w:t xml:space="preserve"> on D</w:t>
            </w:r>
            <w:r>
              <w:t>ay 85;</w:t>
            </w:r>
            <w:r>
              <w:rPr>
                <w:rStyle w:val="FootnoteReference"/>
              </w:rPr>
              <w:footnoteReference w:id="33"/>
            </w:r>
            <w:r>
              <w:t xml:space="preserve"> peak FEV</w:t>
            </w:r>
            <w:r>
              <w:rPr>
                <w:vertAlign w:val="subscript"/>
              </w:rPr>
              <w:t>1</w:t>
            </w:r>
            <w:r>
              <w:t xml:space="preserve"> over 0-6 hrs post-dose (days 1 and 84); time to onset; increase in FEV</w:t>
            </w:r>
            <w:r>
              <w:rPr>
                <w:vertAlign w:val="subscript"/>
              </w:rPr>
              <w:t>1</w:t>
            </w:r>
            <w:r>
              <w:t xml:space="preserve"> ≥12% and ≥0.200L above baseline at any </w:t>
            </w:r>
            <w:r w:rsidR="00460E94">
              <w:t>time during 0-6 hrs post-dose (D</w:t>
            </w:r>
            <w:r>
              <w:t>ay 1); weighted mean FVC 0-24 hrs; trough FVC; resc</w:t>
            </w:r>
            <w:r w:rsidR="004B3085">
              <w:t>ue medication use; BDI; TDI on D</w:t>
            </w:r>
            <w:r>
              <w:t>ays 28, 56 and 84; SGRQ; EQ-5D; CAT score; safety (AEs, vital signs).</w:t>
            </w:r>
          </w:p>
        </w:tc>
      </w:tr>
      <w:tr w:rsidR="00035233" w:rsidRPr="00194011" w:rsidTr="00035233">
        <w:trPr>
          <w:cantSplit/>
        </w:trPr>
        <w:tc>
          <w:tcPr>
            <w:tcW w:w="608" w:type="pct"/>
            <w:shd w:val="clear" w:color="auto" w:fill="000000"/>
          </w:tcPr>
          <w:p w:rsidR="00035233" w:rsidRDefault="00035233" w:rsidP="00035233">
            <w:pPr>
              <w:pStyle w:val="04Tablesubheading"/>
            </w:pPr>
            <w:r>
              <w:lastRenderedPageBreak/>
              <w:t>GLY/IND vs FLU/SAL</w:t>
            </w:r>
          </w:p>
        </w:tc>
        <w:tc>
          <w:tcPr>
            <w:tcW w:w="213" w:type="pct"/>
            <w:shd w:val="clear" w:color="auto" w:fill="000000"/>
          </w:tcPr>
          <w:p w:rsidR="00035233" w:rsidRDefault="00035233" w:rsidP="00035233">
            <w:pPr>
              <w:pStyle w:val="04Tablesubheading"/>
            </w:pPr>
          </w:p>
        </w:tc>
        <w:tc>
          <w:tcPr>
            <w:tcW w:w="361" w:type="pct"/>
            <w:shd w:val="clear" w:color="auto" w:fill="000000"/>
          </w:tcPr>
          <w:p w:rsidR="00035233" w:rsidRDefault="00035233" w:rsidP="00035233">
            <w:pPr>
              <w:pStyle w:val="04Tablesubheading"/>
            </w:pPr>
          </w:p>
        </w:tc>
        <w:tc>
          <w:tcPr>
            <w:tcW w:w="570" w:type="pct"/>
            <w:shd w:val="clear" w:color="auto" w:fill="000000"/>
          </w:tcPr>
          <w:p w:rsidR="00035233" w:rsidRDefault="00035233" w:rsidP="00035233">
            <w:pPr>
              <w:pStyle w:val="04Tablesubheading"/>
            </w:pPr>
          </w:p>
        </w:tc>
        <w:tc>
          <w:tcPr>
            <w:tcW w:w="2180" w:type="pct"/>
            <w:shd w:val="clear" w:color="auto" w:fill="000000"/>
          </w:tcPr>
          <w:p w:rsidR="00035233" w:rsidRDefault="00035233" w:rsidP="00035233">
            <w:pPr>
              <w:pStyle w:val="04Tablesubheading"/>
              <w:rPr>
                <w:u w:val="single"/>
              </w:rPr>
            </w:pPr>
          </w:p>
        </w:tc>
        <w:tc>
          <w:tcPr>
            <w:tcW w:w="327" w:type="pct"/>
            <w:shd w:val="clear" w:color="auto" w:fill="000000"/>
          </w:tcPr>
          <w:p w:rsidR="00035233" w:rsidRDefault="00035233" w:rsidP="00035233">
            <w:pPr>
              <w:pStyle w:val="04Tablesubheading"/>
            </w:pPr>
          </w:p>
        </w:tc>
        <w:tc>
          <w:tcPr>
            <w:tcW w:w="742" w:type="pct"/>
            <w:shd w:val="clear" w:color="auto" w:fill="000000"/>
          </w:tcPr>
          <w:p w:rsidR="00035233" w:rsidRDefault="00035233" w:rsidP="00035233">
            <w:pPr>
              <w:pStyle w:val="04Tablesubheading"/>
              <w:rPr>
                <w:u w:val="single"/>
              </w:rPr>
            </w:pPr>
          </w:p>
        </w:tc>
      </w:tr>
      <w:tr w:rsidR="00035233" w:rsidRPr="00194011" w:rsidTr="00035233">
        <w:trPr>
          <w:cantSplit/>
        </w:trPr>
        <w:tc>
          <w:tcPr>
            <w:tcW w:w="608" w:type="pct"/>
            <w:shd w:val="clear" w:color="auto" w:fill="auto"/>
          </w:tcPr>
          <w:p w:rsidR="00035233" w:rsidRDefault="00035233" w:rsidP="00035233">
            <w:pPr>
              <w:pStyle w:val="05Tabletext"/>
            </w:pPr>
            <w:r>
              <w:t>ILLUMINATE</w:t>
            </w:r>
          </w:p>
          <w:p w:rsidR="00035233" w:rsidRDefault="00035233" w:rsidP="00251CB8">
            <w:pPr>
              <w:pStyle w:val="06Tabletextspacebefore"/>
              <w:numPr>
                <w:ilvl w:val="0"/>
                <w:numId w:val="30"/>
              </w:numPr>
            </w:pPr>
            <w:r>
              <w:t>Vogelmeier (2013)</w:t>
            </w:r>
          </w:p>
          <w:p w:rsidR="00035233" w:rsidRDefault="00035233" w:rsidP="00251CB8">
            <w:pPr>
              <w:pStyle w:val="06Tabletextspacebefore"/>
              <w:numPr>
                <w:ilvl w:val="0"/>
                <w:numId w:val="30"/>
              </w:numPr>
            </w:pPr>
            <w:r>
              <w:t>Good quality</w:t>
            </w:r>
          </w:p>
          <w:p w:rsidR="00035233" w:rsidRDefault="00035233" w:rsidP="00251CB8">
            <w:pPr>
              <w:pStyle w:val="06Tabletextspacebefore"/>
              <w:numPr>
                <w:ilvl w:val="0"/>
                <w:numId w:val="30"/>
              </w:numPr>
            </w:pPr>
            <w:r>
              <w:t>Belgium, Czech Republic, Estonia, Germany, Hungary, Republic of Korea, Lithuania, Norway, Spain</w:t>
            </w:r>
          </w:p>
          <w:p w:rsidR="00035233" w:rsidRPr="007276F6" w:rsidRDefault="00035233" w:rsidP="00251CB8">
            <w:pPr>
              <w:pStyle w:val="06Tabletextspacebefore"/>
              <w:numPr>
                <w:ilvl w:val="0"/>
                <w:numId w:val="30"/>
              </w:numPr>
            </w:pPr>
            <w:r>
              <w:t>Novartis</w:t>
            </w:r>
          </w:p>
        </w:tc>
        <w:tc>
          <w:tcPr>
            <w:tcW w:w="213" w:type="pct"/>
            <w:shd w:val="clear" w:color="auto" w:fill="auto"/>
          </w:tcPr>
          <w:p w:rsidR="00035233" w:rsidRDefault="00035233" w:rsidP="00035233">
            <w:pPr>
              <w:pStyle w:val="05Tabletext"/>
              <w:jc w:val="center"/>
            </w:pPr>
            <w:r>
              <w:t>523</w:t>
            </w:r>
          </w:p>
        </w:tc>
        <w:tc>
          <w:tcPr>
            <w:tcW w:w="361" w:type="pct"/>
            <w:shd w:val="clear" w:color="auto" w:fill="auto"/>
          </w:tcPr>
          <w:p w:rsidR="00035233" w:rsidRDefault="00035233" w:rsidP="00035233">
            <w:pPr>
              <w:pStyle w:val="05Tabletext"/>
            </w:pPr>
            <w:r>
              <w:t>Superiority. Double-blind, double-dummy.</w:t>
            </w:r>
          </w:p>
          <w:p w:rsidR="00035233" w:rsidRPr="000B3780" w:rsidRDefault="00035233" w:rsidP="00035233">
            <w:pPr>
              <w:pStyle w:val="06Tabletextspacebefore"/>
            </w:pPr>
            <w:r>
              <w:t>Subjects were stratified at randomisation for smoking status.</w:t>
            </w:r>
          </w:p>
        </w:tc>
        <w:tc>
          <w:tcPr>
            <w:tcW w:w="570" w:type="pct"/>
            <w:shd w:val="clear" w:color="auto" w:fill="auto"/>
          </w:tcPr>
          <w:p w:rsidR="00035233" w:rsidRDefault="00035233" w:rsidP="00035233">
            <w:pPr>
              <w:pStyle w:val="05Tabletext"/>
            </w:pPr>
            <w:r>
              <w:t>GLY/IND 50/110 μg qd (n=258)</w:t>
            </w:r>
            <w:r>
              <w:rPr>
                <w:rStyle w:val="FootnoteReference"/>
              </w:rPr>
              <w:footnoteReference w:id="34"/>
            </w:r>
          </w:p>
          <w:p w:rsidR="00035233" w:rsidRDefault="00035233" w:rsidP="00035233">
            <w:pPr>
              <w:pStyle w:val="06Tabletextspacebefore"/>
            </w:pPr>
            <w:r>
              <w:t>FLU/SAL 500/50 μg bid (n=264)</w:t>
            </w:r>
          </w:p>
        </w:tc>
        <w:tc>
          <w:tcPr>
            <w:tcW w:w="2180" w:type="pct"/>
            <w:shd w:val="clear" w:color="auto" w:fill="auto"/>
          </w:tcPr>
          <w:p w:rsidR="00035233" w:rsidRDefault="00035233" w:rsidP="00035233">
            <w:pPr>
              <w:pStyle w:val="05Tabletext"/>
            </w:pPr>
            <w:r>
              <w:rPr>
                <w:u w:val="single"/>
              </w:rPr>
              <w:t>Inclusion</w:t>
            </w:r>
          </w:p>
          <w:p w:rsidR="00035233" w:rsidRDefault="00035233" w:rsidP="00035233">
            <w:pPr>
              <w:pStyle w:val="05Tabletext"/>
            </w:pPr>
            <w:r>
              <w:t>(1) Age ≥40 years, (2) moderate-to-severe COPD (GOLD stages II and III), (3) no exacerbations in previous year, (4) post-bronchodilator FEV</w:t>
            </w:r>
            <w:r>
              <w:rPr>
                <w:vertAlign w:val="subscript"/>
              </w:rPr>
              <w:t>1</w:t>
            </w:r>
            <w:r>
              <w:t xml:space="preserve"> between 40% and 80% of predicted value, and post-bronchodilator FEV</w:t>
            </w:r>
            <w:r>
              <w:rPr>
                <w:vertAlign w:val="subscript"/>
              </w:rPr>
              <w:t>1</w:t>
            </w:r>
            <w:r>
              <w:t>/FVC ratio &lt;0.70, (5) symptomatic patients, according to daily electronic diary data betw</w:t>
            </w:r>
            <w:r w:rsidR="004B3085">
              <w:t>een visit 2 (–14) and visit 3 (D</w:t>
            </w:r>
            <w:r>
              <w:t>ay 1), with a total score of 1 or more on at least 4 of the last 7 days.</w:t>
            </w:r>
          </w:p>
          <w:p w:rsidR="00035233" w:rsidRDefault="00035233" w:rsidP="00035233">
            <w:pPr>
              <w:pStyle w:val="06Tabletextspacebefore"/>
            </w:pPr>
            <w:r>
              <w:rPr>
                <w:u w:val="single"/>
              </w:rPr>
              <w:t>Exclusion</w:t>
            </w:r>
          </w:p>
          <w:p w:rsidR="00035233" w:rsidRDefault="00035233" w:rsidP="00035233">
            <w:pPr>
              <w:pStyle w:val="05Tabletext"/>
            </w:pPr>
            <w:r>
              <w:t>(1) Any history of asthma or onset of symptoms prior to 40 years, (2) COPD exacerbation that required treatment with antibiotics, systemic steroids or hospitalisation in the last year up to and including visit 3, (3) respiratory tract infection with 4 weeks prior to visit 1, (4) concomitant pulmonary disease, (5) long-term oxygen therapy on a daily basis.</w:t>
            </w:r>
          </w:p>
          <w:p w:rsidR="00035233" w:rsidRDefault="00035233" w:rsidP="00035233">
            <w:pPr>
              <w:pStyle w:val="06Tabletextspacebefore"/>
            </w:pPr>
            <w:r>
              <w:rPr>
                <w:u w:val="single"/>
              </w:rPr>
              <w:t>Other</w:t>
            </w:r>
          </w:p>
          <w:p w:rsidR="00035233" w:rsidRPr="00DA4936" w:rsidRDefault="00035233" w:rsidP="00035233">
            <w:pPr>
              <w:pStyle w:val="05Tabletext"/>
            </w:pPr>
            <w:r>
              <w:t>(1) Patients discontinued their long-acting COPD ma</w:t>
            </w:r>
            <w:r w:rsidR="00460E94">
              <w:t>intenance therapy before the 14-</w:t>
            </w:r>
            <w:r>
              <w:t>day run-in period for at least 7 days prior for LAMAs and the LABA indacaterol, and for 48 hrs for other LABAs and ICS/LABA combinations, (2) during run-in patients were provided with ipratropium bromide (SAMA) four times a day and salbutamol (SABA) as needed, (3) Salbutamol was permotted for use as rescue medication throughout the study.</w:t>
            </w:r>
          </w:p>
        </w:tc>
        <w:tc>
          <w:tcPr>
            <w:tcW w:w="327" w:type="pct"/>
            <w:shd w:val="clear" w:color="auto" w:fill="auto"/>
          </w:tcPr>
          <w:p w:rsidR="00035233" w:rsidRDefault="00035233" w:rsidP="00035233">
            <w:pPr>
              <w:pStyle w:val="05Tabletext"/>
              <w:jc w:val="center"/>
            </w:pPr>
            <w:r>
              <w:t>26 weeks; final follow</w:t>
            </w:r>
            <w:r w:rsidR="004B2947">
              <w:t xml:space="preserve"> </w:t>
            </w:r>
            <w:r>
              <w:t>up 30 days post-treatment.</w:t>
            </w:r>
          </w:p>
        </w:tc>
        <w:tc>
          <w:tcPr>
            <w:tcW w:w="742" w:type="pct"/>
            <w:shd w:val="clear" w:color="auto" w:fill="auto"/>
          </w:tcPr>
          <w:p w:rsidR="00035233" w:rsidRDefault="00035233" w:rsidP="00035233">
            <w:pPr>
              <w:pStyle w:val="05Tabletext"/>
            </w:pPr>
            <w:r>
              <w:rPr>
                <w:u w:val="single"/>
              </w:rPr>
              <w:t>Primary</w:t>
            </w:r>
          </w:p>
          <w:p w:rsidR="00035233" w:rsidRDefault="00035233" w:rsidP="00035233">
            <w:pPr>
              <w:pStyle w:val="05Tabletext"/>
            </w:pPr>
            <w:r>
              <w:t>Standardised AUC from 0 to 12 hrs post-dose for FEV</w:t>
            </w:r>
            <w:r>
              <w:rPr>
                <w:vertAlign w:val="subscript"/>
              </w:rPr>
              <w:t>1</w:t>
            </w:r>
            <w:r>
              <w:t xml:space="preserve"> at 26 weeks.</w:t>
            </w:r>
          </w:p>
          <w:p w:rsidR="00035233" w:rsidRDefault="00035233" w:rsidP="00035233">
            <w:pPr>
              <w:pStyle w:val="06Tabletextspacebefore"/>
            </w:pPr>
            <w:r>
              <w:rPr>
                <w:u w:val="single"/>
              </w:rPr>
              <w:t>Secondary</w:t>
            </w:r>
          </w:p>
          <w:p w:rsidR="00035233" w:rsidRPr="002D2EE2" w:rsidRDefault="00035233" w:rsidP="00035233">
            <w:pPr>
              <w:pStyle w:val="05Tabletext"/>
            </w:pPr>
            <w:r>
              <w:t>Trough FEV</w:t>
            </w:r>
            <w:r>
              <w:rPr>
                <w:vertAlign w:val="subscript"/>
              </w:rPr>
              <w:t>1</w:t>
            </w:r>
            <w:r>
              <w:t>;</w:t>
            </w:r>
            <w:r>
              <w:rPr>
                <w:rStyle w:val="FootnoteReference"/>
              </w:rPr>
              <w:footnoteReference w:id="35"/>
            </w:r>
            <w:r>
              <w:t xml:space="preserve"> peak FEV</w:t>
            </w:r>
            <w:r>
              <w:rPr>
                <w:vertAlign w:val="subscript"/>
              </w:rPr>
              <w:t>1</w:t>
            </w:r>
            <w:r>
              <w:t>; trough FVC; serial spirometry; TDI focal scores; SGRQ total scores; rescue medication use; daily patient-reported clinical symptoms (recorded morning and evening with an electronic diary); safety (AEs, vital signs, laboratory analyses).</w:t>
            </w:r>
          </w:p>
        </w:tc>
      </w:tr>
      <w:tr w:rsidR="00035233" w:rsidRPr="00194011" w:rsidTr="00035233">
        <w:trPr>
          <w:cantSplit/>
        </w:trPr>
        <w:tc>
          <w:tcPr>
            <w:tcW w:w="608" w:type="pct"/>
            <w:shd w:val="clear" w:color="auto" w:fill="auto"/>
          </w:tcPr>
          <w:p w:rsidR="00035233" w:rsidRDefault="00035233" w:rsidP="00035233">
            <w:pPr>
              <w:pStyle w:val="05Tabletext"/>
            </w:pPr>
            <w:r>
              <w:lastRenderedPageBreak/>
              <w:t>LANTERN</w:t>
            </w:r>
          </w:p>
          <w:p w:rsidR="00035233" w:rsidRDefault="00035233" w:rsidP="00251CB8">
            <w:pPr>
              <w:pStyle w:val="06Tabletextspacebefore"/>
              <w:numPr>
                <w:ilvl w:val="0"/>
                <w:numId w:val="22"/>
              </w:numPr>
            </w:pPr>
            <w:r>
              <w:t>Zhong (2015)</w:t>
            </w:r>
          </w:p>
          <w:p w:rsidR="00035233" w:rsidRDefault="00035233" w:rsidP="00251CB8">
            <w:pPr>
              <w:pStyle w:val="06Tabletextspacebefore"/>
              <w:numPr>
                <w:ilvl w:val="0"/>
                <w:numId w:val="22"/>
              </w:numPr>
            </w:pPr>
            <w:r>
              <w:t>Good quality</w:t>
            </w:r>
          </w:p>
          <w:p w:rsidR="00035233" w:rsidRDefault="00035233" w:rsidP="00251CB8">
            <w:pPr>
              <w:pStyle w:val="06Tabletextspacebefore"/>
              <w:numPr>
                <w:ilvl w:val="0"/>
                <w:numId w:val="22"/>
              </w:numPr>
            </w:pPr>
            <w:r>
              <w:t>China, Taiwan, Argentina, Chile</w:t>
            </w:r>
          </w:p>
          <w:p w:rsidR="00035233" w:rsidRPr="00145B3B" w:rsidRDefault="00035233" w:rsidP="00251CB8">
            <w:pPr>
              <w:pStyle w:val="06Tabletextspacebefore"/>
              <w:numPr>
                <w:ilvl w:val="0"/>
                <w:numId w:val="22"/>
              </w:numPr>
            </w:pPr>
            <w:r>
              <w:t>Novartis</w:t>
            </w:r>
          </w:p>
        </w:tc>
        <w:tc>
          <w:tcPr>
            <w:tcW w:w="213" w:type="pct"/>
            <w:shd w:val="clear" w:color="auto" w:fill="auto"/>
          </w:tcPr>
          <w:p w:rsidR="00035233" w:rsidRDefault="00035233" w:rsidP="00035233">
            <w:pPr>
              <w:pStyle w:val="05Tabletext"/>
              <w:jc w:val="center"/>
            </w:pPr>
            <w:r>
              <w:t>744</w:t>
            </w:r>
          </w:p>
        </w:tc>
        <w:tc>
          <w:tcPr>
            <w:tcW w:w="361" w:type="pct"/>
            <w:shd w:val="clear" w:color="auto" w:fill="auto"/>
          </w:tcPr>
          <w:p w:rsidR="00035233" w:rsidRDefault="00035233" w:rsidP="00035233">
            <w:pPr>
              <w:pStyle w:val="05Tabletext"/>
            </w:pPr>
            <w:r>
              <w:t>Non-inferiority. Double-blind, double-dummy.</w:t>
            </w:r>
          </w:p>
        </w:tc>
        <w:tc>
          <w:tcPr>
            <w:tcW w:w="570" w:type="pct"/>
            <w:shd w:val="clear" w:color="auto" w:fill="auto"/>
          </w:tcPr>
          <w:p w:rsidR="00035233" w:rsidRDefault="00035233" w:rsidP="00035233">
            <w:pPr>
              <w:pStyle w:val="05Tabletext"/>
            </w:pPr>
            <w:r>
              <w:t>GLY/IND 50/110 μg qd (n=372)</w:t>
            </w:r>
          </w:p>
          <w:p w:rsidR="00035233" w:rsidRPr="004E5341" w:rsidRDefault="00035233" w:rsidP="00035233">
            <w:pPr>
              <w:pStyle w:val="06Tabletextspacebefore"/>
            </w:pPr>
            <w:r>
              <w:t>FLU/SAL 500/50 μg bid (n=372)</w:t>
            </w:r>
          </w:p>
        </w:tc>
        <w:tc>
          <w:tcPr>
            <w:tcW w:w="2180" w:type="pct"/>
            <w:shd w:val="clear" w:color="auto" w:fill="auto"/>
          </w:tcPr>
          <w:p w:rsidR="00035233" w:rsidRDefault="00035233" w:rsidP="00035233">
            <w:pPr>
              <w:pStyle w:val="05Tabletext"/>
            </w:pPr>
            <w:r>
              <w:rPr>
                <w:u w:val="single"/>
              </w:rPr>
              <w:t>Inclusion</w:t>
            </w:r>
          </w:p>
          <w:p w:rsidR="00035233" w:rsidRPr="00427703" w:rsidRDefault="00035233" w:rsidP="00035233">
            <w:pPr>
              <w:pStyle w:val="05Tabletext"/>
            </w:pPr>
            <w:r>
              <w:t>(1) Age ≥40 years, (2) moderate-to-severe COPD (GOLD (2010) stages II and III), (3) mMRC ≥2 at screening, (4) post-bronchodilator FEV</w:t>
            </w:r>
            <w:r>
              <w:rPr>
                <w:vertAlign w:val="subscript"/>
              </w:rPr>
              <w:t>1</w:t>
            </w:r>
            <w:r>
              <w:t xml:space="preserve"> ≥30% and &lt;80% of predicted normal, (5) post-bronchodilator FEV</w:t>
            </w:r>
            <w:r>
              <w:rPr>
                <w:vertAlign w:val="subscript"/>
              </w:rPr>
              <w:t>1</w:t>
            </w:r>
            <w:r>
              <w:t>/FVC &lt;0.7 at Visit 2.</w:t>
            </w:r>
          </w:p>
          <w:p w:rsidR="00035233" w:rsidRDefault="00035233" w:rsidP="00035233">
            <w:pPr>
              <w:pStyle w:val="06Tabletextspacebefore"/>
            </w:pPr>
            <w:r>
              <w:rPr>
                <w:u w:val="single"/>
              </w:rPr>
              <w:t>Exclusion</w:t>
            </w:r>
          </w:p>
          <w:p w:rsidR="00035233" w:rsidRDefault="00035233" w:rsidP="00035233">
            <w:pPr>
              <w:pStyle w:val="05Tabletext"/>
            </w:pPr>
            <w:r>
              <w:t>(1) ≥1 COPD exacerbation (requiring antibiotics and/or oral corticosteroids and/or hospitalisation) in the year before screening, (2) any history of asthma or onset of respiratory symptoms prior to the age 40 years, (3) long-term oxygen therapy, (4) patients who experience FEV</w:t>
            </w:r>
            <w:r>
              <w:rPr>
                <w:vertAlign w:val="subscript"/>
              </w:rPr>
              <w:t>1</w:t>
            </w:r>
            <w:r>
              <w:t xml:space="preserve"> decrease ≥20% between the run-in period and randomisation visit, (5) patients with concomitant pulmonary disease (e.g. lung fibrosis, primary bronchiectasis, pulmonary hypertension).</w:t>
            </w:r>
          </w:p>
          <w:p w:rsidR="00035233" w:rsidRDefault="00035233" w:rsidP="00035233">
            <w:pPr>
              <w:pStyle w:val="06Tabletextspacebefore"/>
            </w:pPr>
            <w:r>
              <w:rPr>
                <w:u w:val="single"/>
              </w:rPr>
              <w:t>Other</w:t>
            </w:r>
          </w:p>
          <w:p w:rsidR="00035233" w:rsidRPr="001D20E4" w:rsidRDefault="00035233" w:rsidP="00035233">
            <w:pPr>
              <w:pStyle w:val="05Tabletext"/>
            </w:pPr>
            <w:r>
              <w:t>(1) Study population was predominantly Chinese patients (80%), (2) patients were permitted to use selective serotonin reuptake inhibitors, intra-nasal corticosteroids, or H1-antagonists alongside study medication, (</w:t>
            </w:r>
            <w:r w:rsidRPr="00972462">
              <w:t>3) only 16.4% of GLY/IND and 25.2% of FLU/SAL patients had a history of exacerbation in the past year.</w:t>
            </w:r>
          </w:p>
        </w:tc>
        <w:tc>
          <w:tcPr>
            <w:tcW w:w="327" w:type="pct"/>
            <w:shd w:val="clear" w:color="auto" w:fill="auto"/>
          </w:tcPr>
          <w:p w:rsidR="00035233" w:rsidRDefault="00035233" w:rsidP="00035233">
            <w:pPr>
              <w:pStyle w:val="05Tabletext"/>
              <w:jc w:val="center"/>
            </w:pPr>
            <w:r>
              <w:t>26 weeks; final follow</w:t>
            </w:r>
            <w:r w:rsidR="004B2947">
              <w:t xml:space="preserve"> </w:t>
            </w:r>
            <w:r>
              <w:t>up 30 days post-treatment.</w:t>
            </w:r>
          </w:p>
        </w:tc>
        <w:tc>
          <w:tcPr>
            <w:tcW w:w="742" w:type="pct"/>
            <w:shd w:val="clear" w:color="auto" w:fill="auto"/>
          </w:tcPr>
          <w:p w:rsidR="00035233" w:rsidRPr="005272F8" w:rsidRDefault="00035233" w:rsidP="00035233">
            <w:pPr>
              <w:pStyle w:val="05Tabletext"/>
            </w:pPr>
            <w:r>
              <w:rPr>
                <w:u w:val="single"/>
              </w:rPr>
              <w:t>Primary</w:t>
            </w:r>
            <w:r>
              <w:rPr>
                <w:rStyle w:val="FootnoteReference"/>
                <w:u w:val="single"/>
              </w:rPr>
              <w:footnoteReference w:id="36"/>
            </w:r>
          </w:p>
          <w:p w:rsidR="00035233" w:rsidRDefault="00035233" w:rsidP="00035233">
            <w:pPr>
              <w:pStyle w:val="05Tabletext"/>
            </w:pPr>
            <w:r>
              <w:t>Trough FEV</w:t>
            </w:r>
            <w:r>
              <w:rPr>
                <w:vertAlign w:val="subscript"/>
              </w:rPr>
              <w:t>1</w:t>
            </w:r>
            <w:r w:rsidR="00460E94">
              <w:t xml:space="preserve"> at W</w:t>
            </w:r>
            <w:r>
              <w:t>eek 26.</w:t>
            </w:r>
          </w:p>
          <w:p w:rsidR="00035233" w:rsidRDefault="00035233" w:rsidP="00035233">
            <w:pPr>
              <w:pStyle w:val="06Tabletextspacebefore"/>
            </w:pPr>
            <w:r>
              <w:rPr>
                <w:u w:val="single"/>
              </w:rPr>
              <w:t>Secondary</w:t>
            </w:r>
            <w:r>
              <w:rPr>
                <w:rStyle w:val="FootnoteReference"/>
                <w:u w:val="single"/>
              </w:rPr>
              <w:footnoteReference w:id="37"/>
            </w:r>
          </w:p>
          <w:p w:rsidR="00035233" w:rsidRPr="00FD5FF9" w:rsidRDefault="00035233" w:rsidP="00035233">
            <w:pPr>
              <w:pStyle w:val="05Tabletext"/>
            </w:pPr>
            <w:r>
              <w:t>FEV</w:t>
            </w:r>
            <w:r>
              <w:rPr>
                <w:vertAlign w:val="subscript"/>
              </w:rPr>
              <w:t>1</w:t>
            </w:r>
            <w:r>
              <w:t xml:space="preserve"> AUC from 0 to 4 hours post</w:t>
            </w:r>
            <w:r w:rsidR="000A6E36">
              <w:t>-dose</w:t>
            </w:r>
            <w:r w:rsidR="00460E94">
              <w:t xml:space="preserve"> at W</w:t>
            </w:r>
            <w:r>
              <w:t>eek 26; peak FEV</w:t>
            </w:r>
            <w:r>
              <w:rPr>
                <w:vertAlign w:val="subscript"/>
              </w:rPr>
              <w:t>1</w:t>
            </w:r>
            <w:r>
              <w:t xml:space="preserve"> and FVC; trough</w:t>
            </w:r>
            <w:r w:rsidR="00460E94">
              <w:t xml:space="preserve"> FVC; TDI focal score; SGRQ at W</w:t>
            </w:r>
            <w:r>
              <w:t>eek 12 and 26; use of rescue medication, exacerbations</w:t>
            </w:r>
            <w:r>
              <w:rPr>
                <w:rStyle w:val="FootnoteReference"/>
              </w:rPr>
              <w:footnoteReference w:id="38"/>
            </w:r>
            <w:r>
              <w:t>, and other symptoms recorded in patient e-diaries; CAT score; safety (AEs, vital signs, laboratory analyses).</w:t>
            </w:r>
          </w:p>
        </w:tc>
      </w:tr>
      <w:tr w:rsidR="00035233" w:rsidRPr="00194011" w:rsidTr="00035233">
        <w:trPr>
          <w:cantSplit/>
        </w:trPr>
        <w:tc>
          <w:tcPr>
            <w:tcW w:w="608" w:type="pct"/>
            <w:shd w:val="clear" w:color="auto" w:fill="auto"/>
          </w:tcPr>
          <w:p w:rsidR="00035233" w:rsidRDefault="00035233" w:rsidP="00035233">
            <w:pPr>
              <w:pStyle w:val="05Tabletext"/>
            </w:pPr>
            <w:r>
              <w:lastRenderedPageBreak/>
              <w:t>FLAME</w:t>
            </w:r>
          </w:p>
          <w:p w:rsidR="00035233" w:rsidRDefault="00035233" w:rsidP="00251CB8">
            <w:pPr>
              <w:pStyle w:val="06Tabletextspacebefore"/>
              <w:numPr>
                <w:ilvl w:val="0"/>
                <w:numId w:val="29"/>
              </w:numPr>
            </w:pPr>
            <w:r>
              <w:t>Wedzicha (2016)</w:t>
            </w:r>
          </w:p>
          <w:p w:rsidR="00035233" w:rsidRDefault="00035233" w:rsidP="00251CB8">
            <w:pPr>
              <w:pStyle w:val="06Tabletextspacebefore"/>
              <w:numPr>
                <w:ilvl w:val="0"/>
                <w:numId w:val="29"/>
              </w:numPr>
            </w:pPr>
            <w:r>
              <w:t>Good quality</w:t>
            </w:r>
          </w:p>
          <w:p w:rsidR="00035233" w:rsidRDefault="00035233" w:rsidP="00251CB8">
            <w:pPr>
              <w:pStyle w:val="06Tabletextspacebefore"/>
              <w:numPr>
                <w:ilvl w:val="0"/>
                <w:numId w:val="29"/>
              </w:numPr>
            </w:pPr>
            <w:r>
              <w:t>356 sites in 43 countries (no Australian sites)</w:t>
            </w:r>
          </w:p>
          <w:p w:rsidR="00035233" w:rsidRPr="00E8591C" w:rsidRDefault="00035233" w:rsidP="00251CB8">
            <w:pPr>
              <w:pStyle w:val="06Tabletextspacebefore"/>
              <w:numPr>
                <w:ilvl w:val="0"/>
                <w:numId w:val="29"/>
              </w:numPr>
            </w:pPr>
            <w:r>
              <w:t>Novartis</w:t>
            </w:r>
          </w:p>
        </w:tc>
        <w:tc>
          <w:tcPr>
            <w:tcW w:w="213" w:type="pct"/>
            <w:shd w:val="clear" w:color="auto" w:fill="auto"/>
          </w:tcPr>
          <w:p w:rsidR="00035233" w:rsidRPr="00EB70C0" w:rsidRDefault="00035233" w:rsidP="00035233">
            <w:pPr>
              <w:pStyle w:val="05Tabletext"/>
              <w:jc w:val="center"/>
            </w:pPr>
            <w:r>
              <w:t>3,362</w:t>
            </w:r>
          </w:p>
        </w:tc>
        <w:tc>
          <w:tcPr>
            <w:tcW w:w="361" w:type="pct"/>
            <w:shd w:val="clear" w:color="auto" w:fill="auto"/>
          </w:tcPr>
          <w:p w:rsidR="00035233" w:rsidRDefault="00035233" w:rsidP="00035233">
            <w:pPr>
              <w:pStyle w:val="05Tabletext"/>
            </w:pPr>
            <w:r>
              <w:t>Non-inferiority. Double-blind, double-dummy.</w:t>
            </w:r>
          </w:p>
        </w:tc>
        <w:tc>
          <w:tcPr>
            <w:tcW w:w="570" w:type="pct"/>
            <w:shd w:val="clear" w:color="auto" w:fill="auto"/>
          </w:tcPr>
          <w:p w:rsidR="00035233" w:rsidRDefault="00035233" w:rsidP="00035233">
            <w:pPr>
              <w:pStyle w:val="05Tabletext"/>
            </w:pPr>
            <w:r>
              <w:t>GLY/IND 50/110 μg qd (n=1,680)</w:t>
            </w:r>
          </w:p>
          <w:p w:rsidR="00035233" w:rsidRDefault="00035233" w:rsidP="00035233">
            <w:pPr>
              <w:pStyle w:val="06Tabletextspacebefore"/>
            </w:pPr>
            <w:r>
              <w:t>FLU/SAL 500/50 μg bid (n=1,682)</w:t>
            </w:r>
          </w:p>
        </w:tc>
        <w:tc>
          <w:tcPr>
            <w:tcW w:w="2180" w:type="pct"/>
            <w:shd w:val="clear" w:color="auto" w:fill="auto"/>
          </w:tcPr>
          <w:p w:rsidR="00035233" w:rsidRDefault="00035233" w:rsidP="00035233">
            <w:pPr>
              <w:pStyle w:val="05Tabletext"/>
            </w:pPr>
            <w:r>
              <w:rPr>
                <w:u w:val="single"/>
              </w:rPr>
              <w:t>Inclusion</w:t>
            </w:r>
          </w:p>
          <w:p w:rsidR="00035233" w:rsidRPr="00E1399F" w:rsidRDefault="00035233" w:rsidP="00035233">
            <w:pPr>
              <w:pStyle w:val="05Tabletext"/>
            </w:pPr>
            <w:r>
              <w:t>(1) Age ≥40 years, (2) COPD with a documented history of ≥1 exacerbation during the previous year for which they received treatment with systemic glucocorticoids, antibiotics, or both, (3) COPD grade of 2 or higher on the mMRC scale, (4) post-bronchodilator FEV</w:t>
            </w:r>
            <w:r>
              <w:rPr>
                <w:vertAlign w:val="subscript"/>
              </w:rPr>
              <w:t>1</w:t>
            </w:r>
            <w:r>
              <w:t xml:space="preserve"> ≥25% and &lt;60% of the predicted value and a post-bronchodilator FEV</w:t>
            </w:r>
            <w:r>
              <w:rPr>
                <w:vertAlign w:val="subscript"/>
              </w:rPr>
              <w:t>1</w:t>
            </w:r>
            <w:r>
              <w:t xml:space="preserve">/FVC ratio &lt;0.70. </w:t>
            </w:r>
          </w:p>
          <w:p w:rsidR="00035233" w:rsidRDefault="00035233" w:rsidP="00035233">
            <w:pPr>
              <w:pStyle w:val="06Tabletextspacebefore"/>
            </w:pPr>
            <w:r>
              <w:rPr>
                <w:u w:val="single"/>
              </w:rPr>
              <w:t>Exclusion</w:t>
            </w:r>
          </w:p>
          <w:p w:rsidR="00035233" w:rsidRDefault="00035233" w:rsidP="00035233">
            <w:pPr>
              <w:pStyle w:val="05Tabletext"/>
            </w:pPr>
            <w:r>
              <w:t>(1) History of asthma, (2) onset of respiratory symptoms, including a COPD diagnosis prior to age 40 years, (3) clinically significant renal, cardiovascular, arrhythmia, neurological, endocrine, immunological, psychiatric, gastrointestinal, hepatic, or h</w:t>
            </w:r>
            <w:r w:rsidR="006B5DF1">
              <w:t>aematological</w:t>
            </w:r>
            <w:r>
              <w:t xml:space="preserve"> abnormalities, (4) COPD exacerbation that resulted in treatment with antibiotics and/or systemic corticosteroids and/or hospitalisation in the 6 weeks prior to Visit 1, (5) long-term oxygen therapy (&gt;12 hrs per day).</w:t>
            </w:r>
          </w:p>
          <w:p w:rsidR="00035233" w:rsidRDefault="00035233" w:rsidP="00035233">
            <w:pPr>
              <w:pStyle w:val="06Tabletextspacebefore"/>
            </w:pPr>
            <w:r>
              <w:rPr>
                <w:u w:val="single"/>
              </w:rPr>
              <w:t>Other</w:t>
            </w:r>
          </w:p>
          <w:p w:rsidR="00035233" w:rsidRPr="0096277E" w:rsidRDefault="00035233" w:rsidP="00035233">
            <w:pPr>
              <w:pStyle w:val="05Tabletext"/>
            </w:pPr>
            <w:r>
              <w:t>(1) Patients were treated w</w:t>
            </w:r>
            <w:r w:rsidR="00460E94">
              <w:t>ith tiotropium 18 μg qd for a 4-</w:t>
            </w:r>
            <w:r>
              <w:t>week run-in period, after which tiotropium was discontinued, (2) open-label salbutamol was provided as rescue medication, (3) pre-existing LABA, LAMA, ICS and ICS/LABA therapies were discontinued prior to run-in and, apart from study medications, were not permitted throughout the treatment periods.</w:t>
            </w:r>
          </w:p>
        </w:tc>
        <w:tc>
          <w:tcPr>
            <w:tcW w:w="327" w:type="pct"/>
            <w:shd w:val="clear" w:color="auto" w:fill="auto"/>
          </w:tcPr>
          <w:p w:rsidR="00035233" w:rsidRPr="00EB70C0" w:rsidRDefault="00035233" w:rsidP="00035233">
            <w:pPr>
              <w:pStyle w:val="05Tabletext"/>
              <w:jc w:val="center"/>
            </w:pPr>
            <w:r>
              <w:t>52 weeks; final follow</w:t>
            </w:r>
            <w:r w:rsidR="004B2947">
              <w:t xml:space="preserve"> </w:t>
            </w:r>
            <w:r>
              <w:t>up 30 days post-treatment.</w:t>
            </w:r>
          </w:p>
        </w:tc>
        <w:tc>
          <w:tcPr>
            <w:tcW w:w="742" w:type="pct"/>
            <w:shd w:val="clear" w:color="auto" w:fill="auto"/>
          </w:tcPr>
          <w:p w:rsidR="00035233" w:rsidRDefault="00035233" w:rsidP="00035233">
            <w:pPr>
              <w:pStyle w:val="05Tabletext"/>
            </w:pPr>
            <w:r>
              <w:rPr>
                <w:u w:val="single"/>
              </w:rPr>
              <w:t>Primary</w:t>
            </w:r>
          </w:p>
          <w:p w:rsidR="00035233" w:rsidRDefault="00035233" w:rsidP="00035233">
            <w:pPr>
              <w:pStyle w:val="05Tabletext"/>
            </w:pPr>
            <w:r>
              <w:t>Annual rate of all COPD exacerbations (mild, moderate, severe).</w:t>
            </w:r>
            <w:r>
              <w:rPr>
                <w:rStyle w:val="FootnoteReference"/>
              </w:rPr>
              <w:footnoteReference w:id="39"/>
            </w:r>
          </w:p>
          <w:p w:rsidR="00035233" w:rsidRDefault="00035233" w:rsidP="00035233">
            <w:pPr>
              <w:pStyle w:val="06Tabletextspacebefore"/>
            </w:pPr>
            <w:r>
              <w:rPr>
                <w:u w:val="single"/>
              </w:rPr>
              <w:t>Secondary</w:t>
            </w:r>
          </w:p>
          <w:p w:rsidR="00035233" w:rsidRPr="008811B9" w:rsidRDefault="00035233" w:rsidP="00035233">
            <w:pPr>
              <w:pStyle w:val="05Tabletext"/>
            </w:pPr>
            <w:r>
              <w:t>Time to first exacerbation of any severity; time to first moderate or severe exacerbation; time to first severe exacerbation; annual rates of moderate or severe exacerbations and of severe exacerbations; trough FEV</w:t>
            </w:r>
            <w:r w:rsidRPr="008811B9">
              <w:rPr>
                <w:vertAlign w:val="subscript"/>
              </w:rPr>
              <w:t>1</w:t>
            </w:r>
            <w:r>
              <w:t>; standardised AUC for FEV</w:t>
            </w:r>
            <w:r w:rsidRPr="00863C0B">
              <w:rPr>
                <w:vertAlign w:val="subscript"/>
              </w:rPr>
              <w:t>1</w:t>
            </w:r>
            <w:r>
              <w:t xml:space="preserve"> from 0-12 hours; SGRQ total score; use of rescue medication; safety (AE, SAE).</w:t>
            </w:r>
          </w:p>
        </w:tc>
      </w:tr>
    </w:tbl>
    <w:p w:rsidR="00035233" w:rsidRDefault="00035233" w:rsidP="00035233">
      <w:pPr>
        <w:pStyle w:val="10TableorFigurefootnote"/>
      </w:pPr>
      <w:r w:rsidRPr="00745648">
        <w:t>Note: N refers to number randomised unless otherwise specified.</w:t>
      </w:r>
    </w:p>
    <w:p w:rsidR="00035233" w:rsidRPr="000A14D1" w:rsidRDefault="00035233" w:rsidP="00035233">
      <w:pPr>
        <w:pStyle w:val="10TableorFigurefootnote"/>
        <w:sectPr w:rsidR="00035233" w:rsidRPr="000A14D1" w:rsidSect="00270A37">
          <w:footerReference w:type="default" r:id="rId41"/>
          <w:pgSz w:w="16838" w:h="11906" w:orient="landscape"/>
          <w:pgMar w:top="1134" w:right="1134" w:bottom="1134" w:left="1134" w:header="709" w:footer="709" w:gutter="0"/>
          <w:cols w:space="708"/>
          <w:docGrid w:linePitch="360"/>
        </w:sectPr>
      </w:pPr>
      <w:r>
        <w:t>Abbreviations: AE, adverse event; AUC, area under the curve; BDI, Baseline Dyspnea Index; CAT, COPD Assessment Test; COPD, chronic obstructive pulmonary disease; FEV</w:t>
      </w:r>
      <w:r>
        <w:rPr>
          <w:vertAlign w:val="subscript"/>
        </w:rPr>
        <w:t>1</w:t>
      </w:r>
      <w:r>
        <w:t>, forced expiratory volume in one second; FLU, fluticasone; FVC, forced vital capacity; GLY, glycopyrronium; GOLD, Global initiative for chronic Obstructive Lung Disease; IC, inspiratory capacity; ICS, inhaled corticosteroid; IND, indacaterol; LABA, long-acting beta-agonist; mMRC, modified Medical Research Council; OLO, olodaterol; PBO, placebo; qd, once daily; SAE, serious adverse event; SAL, salmeterol; SGRQ, St George’s Respiratory Questionnaire; SMETT, sub-maximal constant-load cycle ergometry exercise tolerance test; TDI, Transition Dyspnea Index; TIO, tiotropium; UME, umeclidinium; VIL, vilanterol</w:t>
      </w:r>
      <w:r w:rsidR="001B2E1A">
        <w:t>; FLU/SAL fluticasone propionate/salmeterol; FLU/VIL, fluticasone furoate/vilanterol.</w:t>
      </w:r>
    </w:p>
    <w:p w:rsidR="00035233" w:rsidRDefault="00035233" w:rsidP="00251CB8">
      <w:pPr>
        <w:pStyle w:val="Heading4"/>
        <w:numPr>
          <w:ilvl w:val="3"/>
          <w:numId w:val="11"/>
        </w:numPr>
      </w:pPr>
      <w:r>
        <w:lastRenderedPageBreak/>
        <w:t>Tiotropium/olodaterol versus fluticasone/salmeterol</w:t>
      </w:r>
    </w:p>
    <w:p w:rsidR="00035233" w:rsidRDefault="00035233" w:rsidP="00251CB8">
      <w:pPr>
        <w:pStyle w:val="Heading5"/>
        <w:numPr>
          <w:ilvl w:val="4"/>
          <w:numId w:val="11"/>
        </w:numPr>
      </w:pPr>
      <w:r w:rsidRPr="00402650">
        <w:t>ENERGITO</w:t>
      </w:r>
      <w:r>
        <w:t xml:space="preserve"> study</w:t>
      </w:r>
    </w:p>
    <w:p w:rsidR="00035233" w:rsidRDefault="00035233" w:rsidP="00035233">
      <w:pPr>
        <w:pStyle w:val="BodyTextnospacebefore"/>
      </w:pPr>
      <w:r>
        <w:t>This cross-over study assessed the short-term effect on lung function of tiotropium/olodaterol and fluticasone/salmeterol in COPD patients classified as GOLD 2 (72%) or 3 (28%). A large proportion of patients were treatment-experienced at baseline, with 54% on LAMAs, 38% on ICS therapies, and 53% taking short-acting β-agonists.</w:t>
      </w:r>
    </w:p>
    <w:p w:rsidR="00035233" w:rsidRPr="009C729D" w:rsidRDefault="00035233" w:rsidP="00035233">
      <w:pPr>
        <w:pStyle w:val="BodyText"/>
      </w:pPr>
      <w:r>
        <w:t>Although the primary outcome was change from baseline in FEV</w:t>
      </w:r>
      <w:r>
        <w:rPr>
          <w:vertAlign w:val="subscript"/>
        </w:rPr>
        <w:t>1</w:t>
      </w:r>
      <w:r>
        <w:t xml:space="preserve"> AUC from 0 to 12 hours (FEV</w:t>
      </w:r>
      <w:r>
        <w:rPr>
          <w:vertAlign w:val="subscript"/>
        </w:rPr>
        <w:t>1</w:t>
      </w:r>
      <w:r>
        <w:t xml:space="preserve"> AUC</w:t>
      </w:r>
      <w:r>
        <w:rPr>
          <w:vertAlign w:val="subscript"/>
        </w:rPr>
        <w:t>0-12</w:t>
      </w:r>
      <w:r>
        <w:t>), the comparative efficacy was also assessed via trough FEV</w:t>
      </w:r>
      <w:r>
        <w:rPr>
          <w:vertAlign w:val="subscript"/>
        </w:rPr>
        <w:t>1</w:t>
      </w:r>
      <w:r>
        <w:t xml:space="preserve"> at 6 weeks. The adjusted mean difference between the treatments in terms of trough FEV</w:t>
      </w:r>
      <w:r>
        <w:rPr>
          <w:vertAlign w:val="subscript"/>
        </w:rPr>
        <w:t>1</w:t>
      </w:r>
      <w:r>
        <w:t xml:space="preserve"> is shown in </w:t>
      </w:r>
      <w:r w:rsidR="00AC7B51">
        <w:t>Table 3.4</w:t>
      </w:r>
      <w:r w:rsidR="00C542B6">
        <w:t>8</w:t>
      </w:r>
      <w:r>
        <w:t>. Tiotropium/olodaterol was associated with improvements over fluticasone</w:t>
      </w:r>
      <w:r w:rsidR="00924560">
        <w:t xml:space="preserve"> propionate</w:t>
      </w:r>
      <w:r>
        <w:t>/salmeterol that reached statistical significance for this outcome, as well as other lung function outcomes including FEV</w:t>
      </w:r>
      <w:r>
        <w:rPr>
          <w:vertAlign w:val="subscript"/>
        </w:rPr>
        <w:t>1</w:t>
      </w:r>
      <w:r>
        <w:t xml:space="preserve"> AUC</w:t>
      </w:r>
      <w:r>
        <w:rPr>
          <w:vertAlign w:val="subscript"/>
        </w:rPr>
        <w:t>0-12</w:t>
      </w:r>
      <w:r>
        <w:t>, FEV</w:t>
      </w:r>
      <w:r>
        <w:rPr>
          <w:vertAlign w:val="subscript"/>
        </w:rPr>
        <w:t>1</w:t>
      </w:r>
      <w:r>
        <w:t xml:space="preserve"> AUC</w:t>
      </w:r>
      <w:r>
        <w:rPr>
          <w:vertAlign w:val="subscript"/>
        </w:rPr>
        <w:t>0-24</w:t>
      </w:r>
      <w:r>
        <w:t>, and FEV</w:t>
      </w:r>
      <w:r>
        <w:rPr>
          <w:vertAlign w:val="subscript"/>
        </w:rPr>
        <w:t>1</w:t>
      </w:r>
      <w:r>
        <w:t xml:space="preserve"> AUC</w:t>
      </w:r>
      <w:r>
        <w:rPr>
          <w:vertAlign w:val="subscript"/>
        </w:rPr>
        <w:t>12-24</w:t>
      </w:r>
      <w:r>
        <w:t xml:space="preserve"> (data not shown).</w:t>
      </w:r>
    </w:p>
    <w:p w:rsidR="00035233" w:rsidRPr="00EF1FE8" w:rsidRDefault="00AC7B51" w:rsidP="002B7B0F">
      <w:pPr>
        <w:pStyle w:val="ToR3Tableheader"/>
      </w:pPr>
      <w:bookmarkStart w:id="353" w:name="_Toc468006288"/>
      <w:bookmarkStart w:id="354" w:name="_Toc468012333"/>
      <w:bookmarkStart w:id="355" w:name="_Toc468034489"/>
      <w:bookmarkStart w:id="356" w:name="_Toc471891039"/>
      <w:bookmarkStart w:id="357" w:name="_Toc486428227"/>
      <w:r>
        <w:t>Table 3.4</w:t>
      </w:r>
      <w:r w:rsidR="00C542B6">
        <w:t>8</w:t>
      </w:r>
      <w:r w:rsidR="00035233">
        <w:tab/>
        <w:t>Difference between treatments at 6 weeks, full analysis set – TIO/OLO versus FLU/SAL</w:t>
      </w:r>
      <w:bookmarkEnd w:id="353"/>
      <w:bookmarkEnd w:id="354"/>
      <w:bookmarkEnd w:id="355"/>
      <w:bookmarkEnd w:id="356"/>
      <w:bookmarkEnd w:id="35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Caption w:val="Difference between treatments at 6 weeks"/>
        <w:tblDescription w:val="TIO/OLO vs FLU/SAL"/>
      </w:tblPr>
      <w:tblGrid>
        <w:gridCol w:w="2557"/>
        <w:gridCol w:w="4396"/>
        <w:gridCol w:w="1557"/>
        <w:gridCol w:w="1138"/>
      </w:tblGrid>
      <w:tr w:rsidR="00035233" w:rsidRPr="00194011" w:rsidTr="00035233">
        <w:trPr>
          <w:cantSplit/>
          <w:tblHeader/>
        </w:trPr>
        <w:tc>
          <w:tcPr>
            <w:tcW w:w="1325" w:type="pct"/>
            <w:shd w:val="clear" w:color="auto" w:fill="BFBFBF"/>
          </w:tcPr>
          <w:p w:rsidR="00035233" w:rsidRPr="001D56AE" w:rsidRDefault="00035233" w:rsidP="00035233">
            <w:pPr>
              <w:pStyle w:val="01TableHEADINGleftaligned"/>
            </w:pPr>
            <w:r>
              <w:t>Trough FEV</w:t>
            </w:r>
            <w:r>
              <w:rPr>
                <w:vertAlign w:val="subscript"/>
              </w:rPr>
              <w:t xml:space="preserve">1 </w:t>
            </w:r>
            <w:r>
              <w:t>(mL)</w:t>
            </w:r>
          </w:p>
        </w:tc>
        <w:tc>
          <w:tcPr>
            <w:tcW w:w="2278" w:type="pct"/>
            <w:tcBorders>
              <w:bottom w:val="single" w:sz="4" w:space="0" w:color="auto"/>
              <w:right w:val="single" w:sz="4" w:space="0" w:color="auto"/>
            </w:tcBorders>
            <w:shd w:val="clear" w:color="auto" w:fill="BFBFBF"/>
          </w:tcPr>
          <w:p w:rsidR="00035233" w:rsidRPr="00815893" w:rsidRDefault="00035233" w:rsidP="00035233">
            <w:pPr>
              <w:pStyle w:val="01TableHEADINGleftaligned"/>
              <w:ind w:left="28"/>
              <w:jc w:val="center"/>
            </w:pPr>
            <w:r>
              <w:t>Treatment difference – TIO/OLO (n=221) vs FLU/SAL (n=219)</w:t>
            </w:r>
          </w:p>
        </w:tc>
        <w:tc>
          <w:tcPr>
            <w:tcW w:w="807" w:type="pct"/>
            <w:tcBorders>
              <w:left w:val="single" w:sz="4" w:space="0" w:color="auto"/>
              <w:bottom w:val="single" w:sz="4" w:space="0" w:color="auto"/>
              <w:right w:val="single" w:sz="4" w:space="0" w:color="auto"/>
            </w:tcBorders>
            <w:shd w:val="clear" w:color="auto" w:fill="BFBFBF"/>
          </w:tcPr>
          <w:p w:rsidR="00035233" w:rsidRDefault="00035233" w:rsidP="00035233">
            <w:pPr>
              <w:pStyle w:val="01TableHEADINGleftaligned"/>
              <w:jc w:val="center"/>
            </w:pPr>
            <w:r>
              <w:t>95% CI</w:t>
            </w:r>
          </w:p>
        </w:tc>
        <w:tc>
          <w:tcPr>
            <w:tcW w:w="590" w:type="pct"/>
            <w:tcBorders>
              <w:left w:val="single" w:sz="4" w:space="0" w:color="auto"/>
              <w:bottom w:val="single" w:sz="4" w:space="0" w:color="auto"/>
            </w:tcBorders>
            <w:shd w:val="clear" w:color="auto" w:fill="BFBFBF"/>
          </w:tcPr>
          <w:p w:rsidR="00035233" w:rsidRPr="00194011" w:rsidRDefault="00035233" w:rsidP="00035233">
            <w:pPr>
              <w:pStyle w:val="01TableHEADINGleftaligned"/>
              <w:jc w:val="center"/>
            </w:pPr>
            <w:r>
              <w:t>p-value</w:t>
            </w:r>
          </w:p>
        </w:tc>
      </w:tr>
      <w:tr w:rsidR="00035233" w:rsidRPr="00194011" w:rsidTr="00035233">
        <w:trPr>
          <w:cantSplit/>
        </w:trPr>
        <w:tc>
          <w:tcPr>
            <w:tcW w:w="1325" w:type="pct"/>
            <w:tcBorders>
              <w:bottom w:val="single" w:sz="4" w:space="0" w:color="auto"/>
            </w:tcBorders>
            <w:shd w:val="clear" w:color="auto" w:fill="auto"/>
          </w:tcPr>
          <w:p w:rsidR="00035233" w:rsidRDefault="00035233" w:rsidP="00035233">
            <w:pPr>
              <w:pStyle w:val="05Tabletext"/>
            </w:pPr>
            <w:r>
              <w:t>Adjusted mean (SE)</w:t>
            </w:r>
          </w:p>
        </w:tc>
        <w:tc>
          <w:tcPr>
            <w:tcW w:w="2278" w:type="pct"/>
            <w:tcBorders>
              <w:bottom w:val="single" w:sz="4" w:space="0" w:color="auto"/>
            </w:tcBorders>
            <w:shd w:val="clear" w:color="auto" w:fill="auto"/>
          </w:tcPr>
          <w:p w:rsidR="00035233" w:rsidRDefault="00035233" w:rsidP="00035233">
            <w:pPr>
              <w:pStyle w:val="05Tabletext"/>
              <w:jc w:val="center"/>
            </w:pPr>
            <w:r>
              <w:t>58 (12)</w:t>
            </w:r>
          </w:p>
        </w:tc>
        <w:tc>
          <w:tcPr>
            <w:tcW w:w="807" w:type="pct"/>
            <w:tcBorders>
              <w:bottom w:val="single" w:sz="4" w:space="0" w:color="auto"/>
            </w:tcBorders>
            <w:shd w:val="clear" w:color="auto" w:fill="auto"/>
          </w:tcPr>
          <w:p w:rsidR="00035233" w:rsidRDefault="00035233" w:rsidP="00035233">
            <w:pPr>
              <w:pStyle w:val="05Tabletext"/>
              <w:jc w:val="center"/>
            </w:pPr>
            <w:r>
              <w:t>34, 82</w:t>
            </w:r>
          </w:p>
        </w:tc>
        <w:tc>
          <w:tcPr>
            <w:tcW w:w="590" w:type="pct"/>
            <w:tcBorders>
              <w:bottom w:val="single" w:sz="4" w:space="0" w:color="auto"/>
            </w:tcBorders>
          </w:tcPr>
          <w:p w:rsidR="00035233" w:rsidRDefault="00035233" w:rsidP="00035233">
            <w:pPr>
              <w:pStyle w:val="05Tabletext"/>
              <w:jc w:val="center"/>
            </w:pPr>
            <w:r>
              <w:t>&lt;0.0001</w:t>
            </w:r>
          </w:p>
        </w:tc>
      </w:tr>
    </w:tbl>
    <w:p w:rsidR="00035233" w:rsidRDefault="00035233" w:rsidP="00035233">
      <w:pPr>
        <w:pStyle w:val="10TableorFigurefootnote"/>
      </w:pPr>
      <w:r>
        <w:t>Source: Beeh et al (2016), Table 5.</w:t>
      </w:r>
    </w:p>
    <w:p w:rsidR="00035233" w:rsidRDefault="00035233" w:rsidP="00035233">
      <w:pPr>
        <w:pStyle w:val="10TableorFigurefootnote"/>
      </w:pPr>
      <w:r>
        <w:t>Abbreviations: CI, confidence interval; FEV</w:t>
      </w:r>
      <w:r>
        <w:rPr>
          <w:vertAlign w:val="subscript"/>
        </w:rPr>
        <w:t>1</w:t>
      </w:r>
      <w:r>
        <w:t>, forced expiratory volume in one second; FLU, fluticasone</w:t>
      </w:r>
      <w:r w:rsidR="00924560">
        <w:t xml:space="preserve"> propionate</w:t>
      </w:r>
      <w:r>
        <w:t>; OLO, olodaterol; SAL, salmeterol; SE, standard error; TIO, tiotropium.</w:t>
      </w:r>
    </w:p>
    <w:p w:rsidR="00035233" w:rsidRDefault="00035233" w:rsidP="00035233">
      <w:pPr>
        <w:pStyle w:val="11TableorFigurefootnotenostick"/>
      </w:pPr>
      <w:r>
        <w:t xml:space="preserve">Note: Based on the full analysis set: </w:t>
      </w:r>
      <w:r w:rsidRPr="008F03FC">
        <w:t>all participants who received at least one dose of trial medication and had both baseline and post</w:t>
      </w:r>
      <w:r>
        <w:t>-</w:t>
      </w:r>
      <w:r w:rsidRPr="008F03FC">
        <w:t>baseline measurements for the primary end point</w:t>
      </w:r>
      <w:r>
        <w:t>. Results were not reported by treatment period.</w:t>
      </w:r>
    </w:p>
    <w:p w:rsidR="00035233" w:rsidRDefault="00035233" w:rsidP="00035233">
      <w:pPr>
        <w:pStyle w:val="BodyText"/>
      </w:pPr>
      <w:r>
        <w:t>There were no unexpected safety findings in either treatment group and both dual therapies were generally well tolerated (see</w:t>
      </w:r>
      <w:r w:rsidR="00AC7B51" w:rsidRPr="00AC7B51">
        <w:t xml:space="preserve"> </w:t>
      </w:r>
      <w:r w:rsidR="00AC7B51">
        <w:t>Table 3.4</w:t>
      </w:r>
      <w:r w:rsidR="00C542B6">
        <w:t>9</w:t>
      </w:r>
      <w:r>
        <w:t>).</w:t>
      </w:r>
    </w:p>
    <w:p w:rsidR="00035233" w:rsidRDefault="00AC7B51" w:rsidP="002B7B0F">
      <w:pPr>
        <w:pStyle w:val="ToR3Tableheader"/>
      </w:pPr>
      <w:bookmarkStart w:id="358" w:name="_Toc468006289"/>
      <w:bookmarkStart w:id="359" w:name="_Toc468012334"/>
      <w:bookmarkStart w:id="360" w:name="_Toc468034490"/>
      <w:bookmarkStart w:id="361" w:name="_Toc471891040"/>
      <w:bookmarkStart w:id="362" w:name="_Toc486428228"/>
      <w:r>
        <w:t>Table 3.4</w:t>
      </w:r>
      <w:r w:rsidR="00C542B6">
        <w:t>9</w:t>
      </w:r>
      <w:r w:rsidR="00035233">
        <w:tab/>
        <w:t>Results for safety outcomes relating to TIO/OLO vs FLU/SAL – Treated population</w:t>
      </w:r>
      <w:bookmarkEnd w:id="358"/>
      <w:bookmarkEnd w:id="359"/>
      <w:bookmarkEnd w:id="360"/>
      <w:bookmarkEnd w:id="361"/>
      <w:bookmarkEnd w:id="36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Caption w:val="Safety outcomes"/>
        <w:tblDescription w:val="TIO/OLO vs FLU/SAL"/>
      </w:tblPr>
      <w:tblGrid>
        <w:gridCol w:w="3124"/>
        <w:gridCol w:w="3261"/>
        <w:gridCol w:w="3263"/>
      </w:tblGrid>
      <w:tr w:rsidR="00035233" w:rsidRPr="00194011" w:rsidTr="00035233">
        <w:trPr>
          <w:cantSplit/>
          <w:tblHeader/>
        </w:trPr>
        <w:tc>
          <w:tcPr>
            <w:tcW w:w="1619" w:type="pct"/>
            <w:tcBorders>
              <w:bottom w:val="single" w:sz="4" w:space="0" w:color="auto"/>
            </w:tcBorders>
            <w:shd w:val="clear" w:color="auto" w:fill="BFBFBF"/>
          </w:tcPr>
          <w:p w:rsidR="00035233" w:rsidRPr="00194011" w:rsidRDefault="00035233" w:rsidP="00035233">
            <w:pPr>
              <w:pStyle w:val="01TableHEADINGleftaligned"/>
              <w:rPr>
                <w:i/>
              </w:rPr>
            </w:pPr>
            <w:r>
              <w:t>Safety outcome</w:t>
            </w:r>
          </w:p>
        </w:tc>
        <w:tc>
          <w:tcPr>
            <w:tcW w:w="1690" w:type="pct"/>
            <w:tcBorders>
              <w:bottom w:val="single" w:sz="4" w:space="0" w:color="auto"/>
            </w:tcBorders>
            <w:shd w:val="clear" w:color="auto" w:fill="BFBFBF"/>
          </w:tcPr>
          <w:p w:rsidR="00035233" w:rsidRPr="00194011" w:rsidRDefault="00035233" w:rsidP="00035233">
            <w:pPr>
              <w:pStyle w:val="01TableHEADINGleftaligned"/>
              <w:jc w:val="center"/>
            </w:pPr>
            <w:r>
              <w:t>TIO/OLO (N=221)</w:t>
            </w:r>
          </w:p>
        </w:tc>
        <w:tc>
          <w:tcPr>
            <w:tcW w:w="1691" w:type="pct"/>
            <w:tcBorders>
              <w:bottom w:val="single" w:sz="4" w:space="0" w:color="auto"/>
            </w:tcBorders>
            <w:shd w:val="clear" w:color="auto" w:fill="BFBFBF"/>
          </w:tcPr>
          <w:p w:rsidR="00035233" w:rsidRDefault="00035233" w:rsidP="00035233">
            <w:pPr>
              <w:pStyle w:val="01TableHEADINGleftaligned"/>
              <w:jc w:val="center"/>
            </w:pPr>
            <w:r>
              <w:t>FLU/SAL (N=219)</w:t>
            </w:r>
          </w:p>
        </w:tc>
      </w:tr>
      <w:tr w:rsidR="00035233" w:rsidRPr="00194011" w:rsidTr="00035233">
        <w:trPr>
          <w:cantSplit/>
        </w:trPr>
        <w:tc>
          <w:tcPr>
            <w:tcW w:w="1619" w:type="pct"/>
            <w:tcBorders>
              <w:bottom w:val="nil"/>
            </w:tcBorders>
            <w:shd w:val="clear" w:color="auto" w:fill="auto"/>
          </w:tcPr>
          <w:p w:rsidR="00035233" w:rsidRPr="00194011" w:rsidRDefault="00035233" w:rsidP="00035233">
            <w:pPr>
              <w:pStyle w:val="05Tabletext"/>
            </w:pPr>
            <w:r>
              <w:t>Any AE, n (%)</w:t>
            </w:r>
          </w:p>
        </w:tc>
        <w:tc>
          <w:tcPr>
            <w:tcW w:w="1690" w:type="pct"/>
            <w:tcBorders>
              <w:bottom w:val="nil"/>
            </w:tcBorders>
            <w:shd w:val="clear" w:color="auto" w:fill="auto"/>
          </w:tcPr>
          <w:p w:rsidR="00035233" w:rsidRPr="00194011" w:rsidRDefault="00035233" w:rsidP="00035233">
            <w:pPr>
              <w:pStyle w:val="05Tabletext"/>
              <w:jc w:val="center"/>
            </w:pPr>
            <w:r>
              <w:t>75 (33.9)</w:t>
            </w:r>
          </w:p>
        </w:tc>
        <w:tc>
          <w:tcPr>
            <w:tcW w:w="1691" w:type="pct"/>
            <w:tcBorders>
              <w:bottom w:val="nil"/>
            </w:tcBorders>
            <w:shd w:val="clear" w:color="auto" w:fill="auto"/>
          </w:tcPr>
          <w:p w:rsidR="00035233" w:rsidRPr="00194011" w:rsidRDefault="00035233" w:rsidP="00035233">
            <w:pPr>
              <w:pStyle w:val="05Tabletext"/>
              <w:jc w:val="center"/>
            </w:pPr>
            <w:r>
              <w:t>81 (37.0)</w:t>
            </w:r>
          </w:p>
        </w:tc>
      </w:tr>
      <w:tr w:rsidR="00035233" w:rsidRPr="00194011" w:rsidTr="00035233">
        <w:trPr>
          <w:cantSplit/>
        </w:trPr>
        <w:tc>
          <w:tcPr>
            <w:tcW w:w="1619" w:type="pct"/>
            <w:tcBorders>
              <w:top w:val="nil"/>
              <w:bottom w:val="nil"/>
            </w:tcBorders>
            <w:shd w:val="clear" w:color="auto" w:fill="auto"/>
          </w:tcPr>
          <w:p w:rsidR="00035233" w:rsidRDefault="00035233" w:rsidP="00035233">
            <w:pPr>
              <w:pStyle w:val="05Tabletext"/>
              <w:ind w:firstLine="232"/>
            </w:pPr>
            <w:r>
              <w:t>COPD worsening</w:t>
            </w:r>
          </w:p>
        </w:tc>
        <w:tc>
          <w:tcPr>
            <w:tcW w:w="1690" w:type="pct"/>
            <w:tcBorders>
              <w:top w:val="nil"/>
              <w:bottom w:val="nil"/>
            </w:tcBorders>
            <w:shd w:val="clear" w:color="auto" w:fill="auto"/>
          </w:tcPr>
          <w:p w:rsidR="00035233" w:rsidRDefault="00035233" w:rsidP="00035233">
            <w:pPr>
              <w:pStyle w:val="05Tabletext"/>
              <w:jc w:val="center"/>
            </w:pPr>
            <w:r>
              <w:t>20 (9.0)</w:t>
            </w:r>
          </w:p>
        </w:tc>
        <w:tc>
          <w:tcPr>
            <w:tcW w:w="1691" w:type="pct"/>
            <w:tcBorders>
              <w:top w:val="nil"/>
              <w:bottom w:val="nil"/>
            </w:tcBorders>
            <w:shd w:val="clear" w:color="auto" w:fill="auto"/>
          </w:tcPr>
          <w:p w:rsidR="00035233" w:rsidRDefault="00035233" w:rsidP="00035233">
            <w:pPr>
              <w:pStyle w:val="05Tabletext"/>
              <w:jc w:val="center"/>
            </w:pPr>
            <w:r>
              <w:t>19 (8.7)</w:t>
            </w:r>
          </w:p>
        </w:tc>
      </w:tr>
      <w:tr w:rsidR="00035233" w:rsidRPr="00194011" w:rsidTr="00035233">
        <w:trPr>
          <w:cantSplit/>
        </w:trPr>
        <w:tc>
          <w:tcPr>
            <w:tcW w:w="1619" w:type="pct"/>
            <w:tcBorders>
              <w:top w:val="nil"/>
              <w:bottom w:val="single" w:sz="4" w:space="0" w:color="auto"/>
            </w:tcBorders>
            <w:shd w:val="clear" w:color="auto" w:fill="auto"/>
          </w:tcPr>
          <w:p w:rsidR="00035233" w:rsidRPr="00364207" w:rsidRDefault="00035233" w:rsidP="00035233">
            <w:pPr>
              <w:pStyle w:val="05Tabletext"/>
              <w:ind w:firstLine="232"/>
              <w:rPr>
                <w:vertAlign w:val="superscript"/>
              </w:rPr>
            </w:pPr>
            <w:r>
              <w:t>Pneumonia</w:t>
            </w:r>
          </w:p>
        </w:tc>
        <w:tc>
          <w:tcPr>
            <w:tcW w:w="1690" w:type="pct"/>
            <w:tcBorders>
              <w:top w:val="nil"/>
              <w:bottom w:val="single" w:sz="4" w:space="0" w:color="auto"/>
            </w:tcBorders>
            <w:shd w:val="clear" w:color="auto" w:fill="auto"/>
          </w:tcPr>
          <w:p w:rsidR="00035233" w:rsidRPr="00194011" w:rsidRDefault="00035233" w:rsidP="00035233">
            <w:pPr>
              <w:pStyle w:val="05Tabletext"/>
              <w:jc w:val="center"/>
            </w:pPr>
            <w:r>
              <w:t>1 (0.5)</w:t>
            </w:r>
          </w:p>
        </w:tc>
        <w:tc>
          <w:tcPr>
            <w:tcW w:w="1691" w:type="pct"/>
            <w:tcBorders>
              <w:top w:val="nil"/>
              <w:bottom w:val="single" w:sz="4" w:space="0" w:color="auto"/>
            </w:tcBorders>
            <w:shd w:val="clear" w:color="auto" w:fill="auto"/>
          </w:tcPr>
          <w:p w:rsidR="00035233" w:rsidRPr="00194011" w:rsidRDefault="00035233" w:rsidP="00035233">
            <w:pPr>
              <w:pStyle w:val="05Tabletext"/>
              <w:jc w:val="center"/>
            </w:pPr>
            <w:r>
              <w:t>1 (0.5)</w:t>
            </w:r>
          </w:p>
        </w:tc>
      </w:tr>
      <w:tr w:rsidR="00035233" w:rsidRPr="00194011" w:rsidTr="00035233">
        <w:trPr>
          <w:cantSplit/>
        </w:trPr>
        <w:tc>
          <w:tcPr>
            <w:tcW w:w="1619" w:type="pct"/>
            <w:shd w:val="clear" w:color="auto" w:fill="auto"/>
          </w:tcPr>
          <w:p w:rsidR="00035233" w:rsidRPr="006E27DA" w:rsidRDefault="00035233" w:rsidP="00035233">
            <w:pPr>
              <w:pStyle w:val="05Tabletext"/>
              <w:rPr>
                <w:vertAlign w:val="superscript"/>
              </w:rPr>
            </w:pPr>
            <w:r>
              <w:t>Drug-related AE, n (%)</w:t>
            </w:r>
          </w:p>
        </w:tc>
        <w:tc>
          <w:tcPr>
            <w:tcW w:w="1690" w:type="pct"/>
            <w:shd w:val="clear" w:color="auto" w:fill="auto"/>
          </w:tcPr>
          <w:p w:rsidR="00035233" w:rsidRPr="00194011" w:rsidRDefault="00035233" w:rsidP="00035233">
            <w:pPr>
              <w:pStyle w:val="05Tabletext"/>
              <w:jc w:val="center"/>
            </w:pPr>
            <w:r>
              <w:t>6 (2.7)</w:t>
            </w:r>
          </w:p>
        </w:tc>
        <w:tc>
          <w:tcPr>
            <w:tcW w:w="1691" w:type="pct"/>
            <w:shd w:val="clear" w:color="auto" w:fill="auto"/>
          </w:tcPr>
          <w:p w:rsidR="00035233" w:rsidRPr="00194011" w:rsidRDefault="00035233" w:rsidP="00035233">
            <w:pPr>
              <w:pStyle w:val="05Tabletext"/>
              <w:jc w:val="center"/>
            </w:pPr>
            <w:r>
              <w:t>9 (4.1)</w:t>
            </w:r>
          </w:p>
        </w:tc>
      </w:tr>
      <w:tr w:rsidR="00035233" w:rsidRPr="00194011" w:rsidTr="00035233">
        <w:trPr>
          <w:cantSplit/>
        </w:trPr>
        <w:tc>
          <w:tcPr>
            <w:tcW w:w="1619" w:type="pct"/>
            <w:shd w:val="clear" w:color="auto" w:fill="auto"/>
          </w:tcPr>
          <w:p w:rsidR="00035233" w:rsidRDefault="00035233" w:rsidP="00035233">
            <w:pPr>
              <w:pStyle w:val="05Tabletext"/>
            </w:pPr>
            <w:r>
              <w:t>Severe AEs</w:t>
            </w:r>
          </w:p>
        </w:tc>
        <w:tc>
          <w:tcPr>
            <w:tcW w:w="1690" w:type="pct"/>
            <w:shd w:val="clear" w:color="auto" w:fill="auto"/>
          </w:tcPr>
          <w:p w:rsidR="00035233" w:rsidRPr="00194011" w:rsidRDefault="00035233" w:rsidP="00035233">
            <w:pPr>
              <w:pStyle w:val="05Tabletext"/>
              <w:jc w:val="center"/>
            </w:pPr>
            <w:r>
              <w:t>6 (2.7)</w:t>
            </w:r>
          </w:p>
        </w:tc>
        <w:tc>
          <w:tcPr>
            <w:tcW w:w="1691" w:type="pct"/>
            <w:shd w:val="clear" w:color="auto" w:fill="auto"/>
          </w:tcPr>
          <w:p w:rsidR="00035233" w:rsidRPr="00194011" w:rsidRDefault="00035233" w:rsidP="00035233">
            <w:pPr>
              <w:pStyle w:val="05Tabletext"/>
              <w:jc w:val="center"/>
            </w:pPr>
            <w:r>
              <w:t>11 (5.0)</w:t>
            </w:r>
          </w:p>
        </w:tc>
      </w:tr>
      <w:tr w:rsidR="00035233" w:rsidRPr="00194011" w:rsidTr="00035233">
        <w:trPr>
          <w:cantSplit/>
        </w:trPr>
        <w:tc>
          <w:tcPr>
            <w:tcW w:w="1619" w:type="pct"/>
            <w:shd w:val="clear" w:color="auto" w:fill="auto"/>
          </w:tcPr>
          <w:p w:rsidR="00035233" w:rsidRDefault="00035233" w:rsidP="00035233">
            <w:pPr>
              <w:pStyle w:val="05Tabletext"/>
            </w:pPr>
            <w:r>
              <w:t>AEs leading to discontinuation, n (%)</w:t>
            </w:r>
          </w:p>
        </w:tc>
        <w:tc>
          <w:tcPr>
            <w:tcW w:w="1690" w:type="pct"/>
            <w:shd w:val="clear" w:color="auto" w:fill="auto"/>
          </w:tcPr>
          <w:p w:rsidR="00035233" w:rsidRPr="00194011" w:rsidRDefault="00035233" w:rsidP="00035233">
            <w:pPr>
              <w:pStyle w:val="05Tabletext"/>
              <w:jc w:val="center"/>
            </w:pPr>
            <w:r>
              <w:t>6 (2.7)</w:t>
            </w:r>
          </w:p>
        </w:tc>
        <w:tc>
          <w:tcPr>
            <w:tcW w:w="1691" w:type="pct"/>
            <w:shd w:val="clear" w:color="auto" w:fill="auto"/>
          </w:tcPr>
          <w:p w:rsidR="00035233" w:rsidRPr="00194011" w:rsidRDefault="00035233" w:rsidP="00035233">
            <w:pPr>
              <w:pStyle w:val="05Tabletext"/>
              <w:jc w:val="center"/>
            </w:pPr>
            <w:r>
              <w:t>3 (1.4)</w:t>
            </w:r>
          </w:p>
        </w:tc>
      </w:tr>
      <w:tr w:rsidR="00035233" w:rsidRPr="00194011" w:rsidTr="00035233">
        <w:trPr>
          <w:cantSplit/>
        </w:trPr>
        <w:tc>
          <w:tcPr>
            <w:tcW w:w="1619" w:type="pct"/>
            <w:tcBorders>
              <w:bottom w:val="nil"/>
            </w:tcBorders>
            <w:shd w:val="clear" w:color="auto" w:fill="auto"/>
          </w:tcPr>
          <w:p w:rsidR="00035233" w:rsidRPr="00194011" w:rsidRDefault="00035233" w:rsidP="00035233">
            <w:pPr>
              <w:pStyle w:val="05Tabletext"/>
            </w:pPr>
            <w:r>
              <w:t>Any SAE, n (%)</w:t>
            </w:r>
          </w:p>
        </w:tc>
        <w:tc>
          <w:tcPr>
            <w:tcW w:w="1690" w:type="pct"/>
            <w:tcBorders>
              <w:bottom w:val="nil"/>
            </w:tcBorders>
            <w:shd w:val="clear" w:color="auto" w:fill="auto"/>
          </w:tcPr>
          <w:p w:rsidR="00035233" w:rsidRPr="00194011" w:rsidRDefault="00035233" w:rsidP="00035233">
            <w:pPr>
              <w:pStyle w:val="05Tabletext"/>
              <w:jc w:val="center"/>
            </w:pPr>
            <w:r>
              <w:t>7 (3.2)</w:t>
            </w:r>
          </w:p>
        </w:tc>
        <w:tc>
          <w:tcPr>
            <w:tcW w:w="1691" w:type="pct"/>
            <w:tcBorders>
              <w:bottom w:val="nil"/>
            </w:tcBorders>
            <w:shd w:val="clear" w:color="auto" w:fill="auto"/>
          </w:tcPr>
          <w:p w:rsidR="00035233" w:rsidRPr="00194011" w:rsidRDefault="00035233" w:rsidP="00035233">
            <w:pPr>
              <w:pStyle w:val="05Tabletext"/>
              <w:jc w:val="center"/>
            </w:pPr>
            <w:r>
              <w:t>9 (4.1)</w:t>
            </w:r>
          </w:p>
        </w:tc>
      </w:tr>
      <w:tr w:rsidR="00035233" w:rsidRPr="00194011" w:rsidTr="00035233">
        <w:trPr>
          <w:cantSplit/>
        </w:trPr>
        <w:tc>
          <w:tcPr>
            <w:tcW w:w="1619" w:type="pct"/>
            <w:tcBorders>
              <w:top w:val="nil"/>
              <w:bottom w:val="nil"/>
            </w:tcBorders>
            <w:shd w:val="clear" w:color="auto" w:fill="auto"/>
          </w:tcPr>
          <w:p w:rsidR="00035233" w:rsidRDefault="00035233" w:rsidP="00035233">
            <w:pPr>
              <w:pStyle w:val="05Tabletext"/>
              <w:ind w:firstLine="232"/>
            </w:pPr>
            <w:r>
              <w:t>Requiring hospitalisation</w:t>
            </w:r>
          </w:p>
        </w:tc>
        <w:tc>
          <w:tcPr>
            <w:tcW w:w="1690" w:type="pct"/>
            <w:tcBorders>
              <w:top w:val="nil"/>
              <w:bottom w:val="nil"/>
            </w:tcBorders>
            <w:shd w:val="clear" w:color="auto" w:fill="auto"/>
          </w:tcPr>
          <w:p w:rsidR="00035233" w:rsidRPr="00194011" w:rsidRDefault="00035233" w:rsidP="00035233">
            <w:pPr>
              <w:pStyle w:val="05Tabletext"/>
              <w:jc w:val="center"/>
            </w:pPr>
            <w:r>
              <w:t>5 (2.3)</w:t>
            </w:r>
          </w:p>
        </w:tc>
        <w:tc>
          <w:tcPr>
            <w:tcW w:w="1691" w:type="pct"/>
            <w:tcBorders>
              <w:top w:val="nil"/>
              <w:bottom w:val="nil"/>
            </w:tcBorders>
            <w:shd w:val="clear" w:color="auto" w:fill="auto"/>
          </w:tcPr>
          <w:p w:rsidR="00035233" w:rsidRPr="00194011" w:rsidRDefault="00035233" w:rsidP="00035233">
            <w:pPr>
              <w:pStyle w:val="05Tabletext"/>
              <w:jc w:val="center"/>
            </w:pPr>
            <w:r>
              <w:t>9 (4.1)</w:t>
            </w:r>
          </w:p>
        </w:tc>
      </w:tr>
      <w:tr w:rsidR="00035233" w:rsidRPr="00194011" w:rsidTr="00035233">
        <w:trPr>
          <w:cantSplit/>
        </w:trPr>
        <w:tc>
          <w:tcPr>
            <w:tcW w:w="1619" w:type="pct"/>
            <w:tcBorders>
              <w:top w:val="nil"/>
            </w:tcBorders>
            <w:shd w:val="clear" w:color="auto" w:fill="auto"/>
          </w:tcPr>
          <w:p w:rsidR="00035233" w:rsidRPr="00770AB1" w:rsidRDefault="00035233" w:rsidP="00035233">
            <w:pPr>
              <w:pStyle w:val="05Tabletext"/>
              <w:ind w:firstLine="232"/>
            </w:pPr>
            <w:r>
              <w:t>Fatal AEs, n (%)</w:t>
            </w:r>
          </w:p>
        </w:tc>
        <w:tc>
          <w:tcPr>
            <w:tcW w:w="1690" w:type="pct"/>
            <w:tcBorders>
              <w:top w:val="nil"/>
            </w:tcBorders>
            <w:shd w:val="clear" w:color="auto" w:fill="auto"/>
          </w:tcPr>
          <w:p w:rsidR="00035233" w:rsidRPr="006C2FA7" w:rsidRDefault="00035233" w:rsidP="00035233">
            <w:pPr>
              <w:pStyle w:val="05Tabletext"/>
              <w:jc w:val="center"/>
              <w:rPr>
                <w:vertAlign w:val="superscript"/>
              </w:rPr>
            </w:pPr>
            <w:r>
              <w:t>2 (0.9)</w:t>
            </w:r>
            <w:r>
              <w:rPr>
                <w:vertAlign w:val="superscript"/>
              </w:rPr>
              <w:t>a</w:t>
            </w:r>
          </w:p>
        </w:tc>
        <w:tc>
          <w:tcPr>
            <w:tcW w:w="1691" w:type="pct"/>
            <w:tcBorders>
              <w:top w:val="nil"/>
            </w:tcBorders>
            <w:shd w:val="clear" w:color="auto" w:fill="auto"/>
          </w:tcPr>
          <w:p w:rsidR="00035233" w:rsidRPr="00770AB1" w:rsidRDefault="00035233" w:rsidP="00035233">
            <w:pPr>
              <w:pStyle w:val="05Tabletext"/>
              <w:jc w:val="center"/>
            </w:pPr>
            <w:r>
              <w:t>0</w:t>
            </w:r>
          </w:p>
        </w:tc>
      </w:tr>
    </w:tbl>
    <w:p w:rsidR="00035233" w:rsidRDefault="00035233" w:rsidP="00035233">
      <w:pPr>
        <w:pStyle w:val="10TableorFigurefootnote"/>
      </w:pPr>
      <w:r>
        <w:t>Source: Beeh et al (2016), Table 6.</w:t>
      </w:r>
    </w:p>
    <w:p w:rsidR="00035233" w:rsidRDefault="00035233" w:rsidP="00035233">
      <w:pPr>
        <w:pStyle w:val="10TableorFigurefootnote"/>
      </w:pPr>
      <w:r>
        <w:t>Abbreviations: AE, adverse event; COPD, chronic obstructive pulmonary disease; FLU, fluticasone</w:t>
      </w:r>
      <w:r w:rsidR="00924560">
        <w:t xml:space="preserve"> propionate</w:t>
      </w:r>
      <w:r>
        <w:t>; OLO, olodaterol; SAE, serious adverse event; SAL, salmeterol; TIO, tiotropium.</w:t>
      </w:r>
    </w:p>
    <w:p w:rsidR="00035233" w:rsidRPr="006C2FA7" w:rsidRDefault="00035233" w:rsidP="00035233">
      <w:pPr>
        <w:pStyle w:val="11TableorFigurefootnotenostick"/>
      </w:pPr>
      <w:proofErr w:type="gramStart"/>
      <w:r>
        <w:rPr>
          <w:b/>
        </w:rPr>
        <w:t>a</w:t>
      </w:r>
      <w:proofErr w:type="gramEnd"/>
      <w:r>
        <w:t xml:space="preserve"> One </w:t>
      </w:r>
      <w:r w:rsidRPr="006C2FA7">
        <w:t>was cerebral haemorrhage in a predisposed patient and the other occurred 19 days after the last dose of study treatment, with unknown cause.</w:t>
      </w:r>
    </w:p>
    <w:p w:rsidR="00035233" w:rsidRPr="00223B7A" w:rsidRDefault="00035233" w:rsidP="00035233">
      <w:pPr>
        <w:pStyle w:val="BodyText"/>
      </w:pPr>
      <w:r>
        <w:t>The authors acknowledged that recent change</w:t>
      </w:r>
      <w:r w:rsidR="00C42C2C">
        <w:t>s</w:t>
      </w:r>
      <w:r w:rsidR="007F448B">
        <w:t xml:space="preserve"> in GOLD patient groups have</w:t>
      </w:r>
      <w:r>
        <w:t xml:space="preserve"> limited the generalisability of these study results. Namely, the inclusion criteria for the ENERGITO study was based on an earlier version of GOLD, where patients were categorised as GOLD 2 or 3, based on spirometric assessment. In recent years, GOLD have adopted broader definitions to </w:t>
      </w:r>
      <w:r>
        <w:lastRenderedPageBreak/>
        <w:t>categorise COPD patients (GOLD Groups A-D) that take into account airflow limitation, exacerbation risk, symptoms and breathlessness.</w:t>
      </w:r>
    </w:p>
    <w:p w:rsidR="00035233" w:rsidRDefault="00035233" w:rsidP="00251CB8">
      <w:pPr>
        <w:pStyle w:val="Heading4"/>
        <w:numPr>
          <w:ilvl w:val="3"/>
          <w:numId w:val="11"/>
        </w:numPr>
      </w:pPr>
      <w:r>
        <w:t>Umeclidinium/vilanterol versus fluticasone</w:t>
      </w:r>
      <w:r w:rsidR="00EB7B21">
        <w:t xml:space="preserve"> propionate</w:t>
      </w:r>
      <w:r>
        <w:t>/salmeterol</w:t>
      </w:r>
    </w:p>
    <w:p w:rsidR="00035233" w:rsidRPr="00D04116" w:rsidRDefault="00035233" w:rsidP="00251CB8">
      <w:pPr>
        <w:pStyle w:val="Heading5"/>
        <w:numPr>
          <w:ilvl w:val="4"/>
          <w:numId w:val="11"/>
        </w:numPr>
      </w:pPr>
      <w:r w:rsidRPr="00D04116">
        <w:t>Singh (2015</w:t>
      </w:r>
      <w:r w:rsidR="004059B1">
        <w:t>a</w:t>
      </w:r>
      <w:r w:rsidRPr="00D04116">
        <w:t>)</w:t>
      </w:r>
    </w:p>
    <w:p w:rsidR="00035233" w:rsidRDefault="00035233" w:rsidP="00035233">
      <w:pPr>
        <w:pStyle w:val="BodyTextnospacebefore"/>
      </w:pPr>
      <w:r>
        <w:t>As discussed earlier, ICS and ICS/LABA combination therapies are generally indicated in COPD patients with moderate-to-severe airflow limitation and a history of exacerbations (i.e. GOLD C and D patients). However, in clinical practice, patients without a history of exacerbations are often taking ICS combination therapies despite a paucity of evidence for the risk-benefit profile of corticosteroids in these patients. Singh et al (2015</w:t>
      </w:r>
      <w:r w:rsidR="004059B1">
        <w:t>a</w:t>
      </w:r>
      <w:r>
        <w:t>) conducted an RCT in patients with no history of COPD exacerbations that required oral corticosteroids, antibiotics and/or hospitalisation in the previous year with the aim of determining the comparative efficacy and safety of a LAMA/LABA versus ICS/LAMA combination therapy in this lower risk population.</w:t>
      </w:r>
    </w:p>
    <w:p w:rsidR="00035233" w:rsidRDefault="00035233" w:rsidP="00035233">
      <w:pPr>
        <w:pStyle w:val="BodyText"/>
      </w:pPr>
      <w:r>
        <w:t xml:space="preserve">As shown in </w:t>
      </w:r>
      <w:r w:rsidR="00AC7B51">
        <w:t>Table 3.</w:t>
      </w:r>
      <w:r w:rsidR="00C542B6">
        <w:t>50</w:t>
      </w:r>
      <w:r>
        <w:t>, 12 weeks of treatment with umeclidinium/vilanterol resulted in a statistically significantly greater improvement in trough FEV</w:t>
      </w:r>
      <w:r>
        <w:rPr>
          <w:vertAlign w:val="subscript"/>
        </w:rPr>
        <w:t>1</w:t>
      </w:r>
      <w:r>
        <w:t xml:space="preserve"> from baseline, compared with fluticasone</w:t>
      </w:r>
      <w:r w:rsidR="00EB7B21">
        <w:t xml:space="preserve"> propionate</w:t>
      </w:r>
      <w:r>
        <w:t>/salmeterol. The magnitude of the between-group treatment difference was similar in GOLD Group B and D patients; however, statistical analyses of these subgroup comparisons were not undertaken.</w:t>
      </w:r>
    </w:p>
    <w:p w:rsidR="00035233" w:rsidRPr="00EF1FE8" w:rsidRDefault="00AC7B51" w:rsidP="007F448B">
      <w:pPr>
        <w:pStyle w:val="ToR3Tableheader"/>
      </w:pPr>
      <w:bookmarkStart w:id="363" w:name="_Toc468006290"/>
      <w:bookmarkStart w:id="364" w:name="_Toc468012335"/>
      <w:bookmarkStart w:id="365" w:name="_Toc468034491"/>
      <w:bookmarkStart w:id="366" w:name="_Toc471891041"/>
      <w:bookmarkStart w:id="367" w:name="_Toc486428229"/>
      <w:r>
        <w:t>Table 3.</w:t>
      </w:r>
      <w:r w:rsidR="00C542B6">
        <w:t>50</w:t>
      </w:r>
      <w:r>
        <w:tab/>
      </w:r>
      <w:r w:rsidR="00035233">
        <w:t>Treatment differences in least squares mean – Trough FEV</w:t>
      </w:r>
      <w:r w:rsidR="00035233">
        <w:rPr>
          <w:vertAlign w:val="subscript"/>
        </w:rPr>
        <w:t>1</w:t>
      </w:r>
      <w:bookmarkEnd w:id="363"/>
      <w:bookmarkEnd w:id="364"/>
      <w:bookmarkEnd w:id="365"/>
      <w:bookmarkEnd w:id="366"/>
      <w:bookmarkEnd w:id="36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Caption w:val="Treatment differences in least squares mean for trough FEV1"/>
        <w:tblDescription w:val="UME/VIL vs FLU/SAL"/>
      </w:tblPr>
      <w:tblGrid>
        <w:gridCol w:w="1988"/>
        <w:gridCol w:w="2483"/>
        <w:gridCol w:w="2481"/>
        <w:gridCol w:w="1702"/>
        <w:gridCol w:w="994"/>
      </w:tblGrid>
      <w:tr w:rsidR="00035233" w:rsidRPr="00194011" w:rsidTr="00035233">
        <w:trPr>
          <w:cantSplit/>
          <w:tblHeader/>
        </w:trPr>
        <w:tc>
          <w:tcPr>
            <w:tcW w:w="1030" w:type="pct"/>
            <w:shd w:val="clear" w:color="auto" w:fill="BFBFBF"/>
          </w:tcPr>
          <w:p w:rsidR="00035233" w:rsidRPr="00424904" w:rsidRDefault="00035233" w:rsidP="00035233">
            <w:pPr>
              <w:pStyle w:val="01TableHEADINGleftaligned"/>
            </w:pPr>
            <w:r>
              <w:t>Trough FEV</w:t>
            </w:r>
            <w:r>
              <w:rPr>
                <w:vertAlign w:val="subscript"/>
              </w:rPr>
              <w:t>1</w:t>
            </w:r>
          </w:p>
        </w:tc>
        <w:tc>
          <w:tcPr>
            <w:tcW w:w="1287" w:type="pct"/>
            <w:tcBorders>
              <w:bottom w:val="single" w:sz="4" w:space="0" w:color="auto"/>
              <w:right w:val="single" w:sz="4" w:space="0" w:color="auto"/>
            </w:tcBorders>
            <w:shd w:val="clear" w:color="auto" w:fill="BFBFBF"/>
          </w:tcPr>
          <w:p w:rsidR="00035233" w:rsidRPr="00815893" w:rsidRDefault="00035233" w:rsidP="00035233">
            <w:pPr>
              <w:pStyle w:val="01TableHEADINGleftaligned"/>
              <w:ind w:right="0"/>
              <w:jc w:val="center"/>
            </w:pPr>
            <w:r>
              <w:t>UME/VIL (n=333)</w:t>
            </w:r>
          </w:p>
        </w:tc>
        <w:tc>
          <w:tcPr>
            <w:tcW w:w="1286" w:type="pct"/>
            <w:tcBorders>
              <w:left w:val="single" w:sz="4" w:space="0" w:color="auto"/>
              <w:bottom w:val="single" w:sz="4" w:space="0" w:color="auto"/>
              <w:right w:val="single" w:sz="4" w:space="0" w:color="auto"/>
            </w:tcBorders>
            <w:shd w:val="clear" w:color="auto" w:fill="BFBFBF"/>
          </w:tcPr>
          <w:p w:rsidR="00035233" w:rsidRPr="00815893" w:rsidRDefault="00035233" w:rsidP="00035233">
            <w:pPr>
              <w:pStyle w:val="01TableHEADINGleftaligned"/>
              <w:ind w:left="28"/>
              <w:jc w:val="center"/>
            </w:pPr>
            <w:r>
              <w:t>FLU/SAL (n=338)</w:t>
            </w:r>
          </w:p>
        </w:tc>
        <w:tc>
          <w:tcPr>
            <w:tcW w:w="882" w:type="pct"/>
            <w:tcBorders>
              <w:left w:val="single" w:sz="4" w:space="0" w:color="auto"/>
              <w:bottom w:val="single" w:sz="4" w:space="0" w:color="auto"/>
              <w:right w:val="single" w:sz="4" w:space="0" w:color="auto"/>
            </w:tcBorders>
            <w:shd w:val="clear" w:color="auto" w:fill="BFBFBF"/>
          </w:tcPr>
          <w:p w:rsidR="00035233" w:rsidRDefault="00035233" w:rsidP="00035233">
            <w:pPr>
              <w:pStyle w:val="01TableHEADINGleftaligned"/>
              <w:jc w:val="center"/>
            </w:pPr>
            <w:r>
              <w:t>Treatment difference, L, (95% CI)</w:t>
            </w:r>
          </w:p>
        </w:tc>
        <w:tc>
          <w:tcPr>
            <w:tcW w:w="515" w:type="pct"/>
            <w:tcBorders>
              <w:left w:val="single" w:sz="4" w:space="0" w:color="auto"/>
              <w:bottom w:val="single" w:sz="4" w:space="0" w:color="auto"/>
            </w:tcBorders>
            <w:shd w:val="clear" w:color="auto" w:fill="BFBFBF"/>
          </w:tcPr>
          <w:p w:rsidR="00035233" w:rsidRPr="00194011" w:rsidRDefault="00035233" w:rsidP="00035233">
            <w:pPr>
              <w:pStyle w:val="01TableHEADINGleftaligned"/>
              <w:jc w:val="center"/>
            </w:pPr>
            <w:r>
              <w:t>p-value</w:t>
            </w:r>
          </w:p>
        </w:tc>
      </w:tr>
      <w:tr w:rsidR="00035233" w:rsidRPr="00194011" w:rsidTr="00035233">
        <w:trPr>
          <w:cantSplit/>
        </w:trPr>
        <w:tc>
          <w:tcPr>
            <w:tcW w:w="1030" w:type="pct"/>
            <w:shd w:val="clear" w:color="auto" w:fill="000000"/>
          </w:tcPr>
          <w:p w:rsidR="00035233" w:rsidRPr="00E5486D" w:rsidRDefault="00035233" w:rsidP="00035233">
            <w:pPr>
              <w:pStyle w:val="04Tablesubheading"/>
            </w:pPr>
          </w:p>
        </w:tc>
        <w:tc>
          <w:tcPr>
            <w:tcW w:w="1287" w:type="pct"/>
            <w:shd w:val="clear" w:color="auto" w:fill="000000"/>
          </w:tcPr>
          <w:p w:rsidR="00035233" w:rsidRDefault="00035233" w:rsidP="00035233">
            <w:pPr>
              <w:pStyle w:val="04Tablesubheading"/>
              <w:ind w:right="0"/>
              <w:jc w:val="right"/>
            </w:pPr>
            <w:r>
              <w:t xml:space="preserve">Least squares </w:t>
            </w:r>
          </w:p>
        </w:tc>
        <w:tc>
          <w:tcPr>
            <w:tcW w:w="1286" w:type="pct"/>
            <w:shd w:val="clear" w:color="auto" w:fill="000000"/>
          </w:tcPr>
          <w:p w:rsidR="00035233" w:rsidRDefault="00035233" w:rsidP="00035233">
            <w:pPr>
              <w:pStyle w:val="04Tablesubheading"/>
            </w:pPr>
            <w:r>
              <w:t>mean (SE)</w:t>
            </w:r>
          </w:p>
        </w:tc>
        <w:tc>
          <w:tcPr>
            <w:tcW w:w="882" w:type="pct"/>
            <w:tcBorders>
              <w:bottom w:val="single" w:sz="4" w:space="0" w:color="auto"/>
            </w:tcBorders>
            <w:shd w:val="clear" w:color="auto" w:fill="000000"/>
          </w:tcPr>
          <w:p w:rsidR="00035233" w:rsidRPr="00194011" w:rsidRDefault="00035233" w:rsidP="00035233">
            <w:pPr>
              <w:pStyle w:val="04Tablesubheading"/>
              <w:jc w:val="center"/>
            </w:pPr>
          </w:p>
        </w:tc>
        <w:tc>
          <w:tcPr>
            <w:tcW w:w="515" w:type="pct"/>
            <w:tcBorders>
              <w:bottom w:val="single" w:sz="4" w:space="0" w:color="auto"/>
            </w:tcBorders>
            <w:shd w:val="clear" w:color="auto" w:fill="000000"/>
          </w:tcPr>
          <w:p w:rsidR="00035233" w:rsidRPr="00194011" w:rsidRDefault="00035233" w:rsidP="00035233">
            <w:pPr>
              <w:pStyle w:val="04Tablesubheading"/>
              <w:jc w:val="center"/>
            </w:pPr>
          </w:p>
        </w:tc>
      </w:tr>
      <w:tr w:rsidR="00035233" w:rsidRPr="00194011" w:rsidTr="00035233">
        <w:trPr>
          <w:cantSplit/>
        </w:trPr>
        <w:tc>
          <w:tcPr>
            <w:tcW w:w="1030" w:type="pct"/>
            <w:shd w:val="clear" w:color="auto" w:fill="auto"/>
          </w:tcPr>
          <w:p w:rsidR="00035233" w:rsidRDefault="00035233" w:rsidP="00035233">
            <w:pPr>
              <w:pStyle w:val="05Tabletext"/>
            </w:pPr>
            <w:r>
              <w:t>n</w:t>
            </w:r>
          </w:p>
        </w:tc>
        <w:tc>
          <w:tcPr>
            <w:tcW w:w="1287" w:type="pct"/>
            <w:shd w:val="clear" w:color="auto" w:fill="auto"/>
          </w:tcPr>
          <w:p w:rsidR="00035233" w:rsidRDefault="00035233" w:rsidP="00035233">
            <w:pPr>
              <w:pStyle w:val="05Tabletext"/>
              <w:jc w:val="center"/>
            </w:pPr>
            <w:r>
              <w:t>333</w:t>
            </w:r>
          </w:p>
        </w:tc>
        <w:tc>
          <w:tcPr>
            <w:tcW w:w="1286" w:type="pct"/>
            <w:shd w:val="clear" w:color="auto" w:fill="auto"/>
          </w:tcPr>
          <w:p w:rsidR="00035233" w:rsidRDefault="00035233" w:rsidP="00035233">
            <w:pPr>
              <w:pStyle w:val="05Tabletext"/>
              <w:jc w:val="center"/>
            </w:pPr>
            <w:r>
              <w:t>338</w:t>
            </w:r>
          </w:p>
        </w:tc>
        <w:tc>
          <w:tcPr>
            <w:tcW w:w="882" w:type="pct"/>
            <w:tcBorders>
              <w:bottom w:val="nil"/>
            </w:tcBorders>
            <w:shd w:val="clear" w:color="auto" w:fill="auto"/>
          </w:tcPr>
          <w:p w:rsidR="00035233" w:rsidRDefault="00035233" w:rsidP="00035233">
            <w:pPr>
              <w:pStyle w:val="05Tabletext"/>
              <w:jc w:val="center"/>
            </w:pPr>
          </w:p>
        </w:tc>
        <w:tc>
          <w:tcPr>
            <w:tcW w:w="515" w:type="pct"/>
            <w:tcBorders>
              <w:bottom w:val="nil"/>
            </w:tcBorders>
          </w:tcPr>
          <w:p w:rsidR="00035233" w:rsidRDefault="00035233" w:rsidP="00035233">
            <w:pPr>
              <w:pStyle w:val="05Tabletext"/>
              <w:jc w:val="center"/>
            </w:pPr>
          </w:p>
        </w:tc>
      </w:tr>
      <w:tr w:rsidR="00035233" w:rsidRPr="00194011" w:rsidTr="00035233">
        <w:trPr>
          <w:cantSplit/>
        </w:trPr>
        <w:tc>
          <w:tcPr>
            <w:tcW w:w="1030" w:type="pct"/>
            <w:shd w:val="clear" w:color="auto" w:fill="auto"/>
          </w:tcPr>
          <w:p w:rsidR="00035233" w:rsidRPr="00C22F2F" w:rsidRDefault="00035233" w:rsidP="00035233">
            <w:pPr>
              <w:pStyle w:val="05Tabletext"/>
              <w:rPr>
                <w:vertAlign w:val="superscript"/>
              </w:rPr>
            </w:pPr>
            <w:r>
              <w:t>Day 85, L</w:t>
            </w:r>
          </w:p>
        </w:tc>
        <w:tc>
          <w:tcPr>
            <w:tcW w:w="1287" w:type="pct"/>
            <w:shd w:val="clear" w:color="auto" w:fill="auto"/>
          </w:tcPr>
          <w:p w:rsidR="00035233" w:rsidRDefault="00035233" w:rsidP="00035233">
            <w:pPr>
              <w:pStyle w:val="05Tabletext"/>
              <w:jc w:val="center"/>
            </w:pPr>
            <w:r>
              <w:t>1.600 (0.0126)</w:t>
            </w:r>
          </w:p>
        </w:tc>
        <w:tc>
          <w:tcPr>
            <w:tcW w:w="1286" w:type="pct"/>
            <w:shd w:val="clear" w:color="auto" w:fill="auto"/>
          </w:tcPr>
          <w:p w:rsidR="00035233" w:rsidRDefault="00035233" w:rsidP="00035233">
            <w:pPr>
              <w:pStyle w:val="05Tabletext"/>
              <w:jc w:val="center"/>
            </w:pPr>
            <w:r>
              <w:t>1.511 (0.0125)</w:t>
            </w:r>
          </w:p>
        </w:tc>
        <w:tc>
          <w:tcPr>
            <w:tcW w:w="882" w:type="pct"/>
            <w:tcBorders>
              <w:top w:val="nil"/>
              <w:bottom w:val="nil"/>
            </w:tcBorders>
            <w:shd w:val="clear" w:color="auto" w:fill="auto"/>
          </w:tcPr>
          <w:p w:rsidR="00035233" w:rsidRDefault="00035233" w:rsidP="00035233">
            <w:pPr>
              <w:pStyle w:val="05Tabletext"/>
              <w:jc w:val="center"/>
            </w:pPr>
            <w:r>
              <w:t>0.090 (0.055, 0.125)</w:t>
            </w:r>
          </w:p>
        </w:tc>
        <w:tc>
          <w:tcPr>
            <w:tcW w:w="515" w:type="pct"/>
            <w:tcBorders>
              <w:top w:val="nil"/>
              <w:bottom w:val="nil"/>
            </w:tcBorders>
          </w:tcPr>
          <w:p w:rsidR="00035233" w:rsidRDefault="00035233" w:rsidP="00035233">
            <w:pPr>
              <w:pStyle w:val="05Tabletext"/>
              <w:jc w:val="center"/>
            </w:pPr>
            <w:r>
              <w:t>&lt;0.001</w:t>
            </w:r>
          </w:p>
        </w:tc>
      </w:tr>
      <w:tr w:rsidR="00035233" w:rsidRPr="00194011" w:rsidTr="00035233">
        <w:trPr>
          <w:cantSplit/>
        </w:trPr>
        <w:tc>
          <w:tcPr>
            <w:tcW w:w="1030" w:type="pct"/>
            <w:shd w:val="clear" w:color="auto" w:fill="auto"/>
          </w:tcPr>
          <w:p w:rsidR="00035233" w:rsidRPr="00C22F2F" w:rsidRDefault="00035233" w:rsidP="00035233">
            <w:pPr>
              <w:pStyle w:val="05Tabletext"/>
              <w:rPr>
                <w:vertAlign w:val="superscript"/>
              </w:rPr>
            </w:pPr>
            <w:r>
              <w:t>Change from baseline, L</w:t>
            </w:r>
          </w:p>
        </w:tc>
        <w:tc>
          <w:tcPr>
            <w:tcW w:w="1287" w:type="pct"/>
            <w:shd w:val="clear" w:color="auto" w:fill="auto"/>
          </w:tcPr>
          <w:p w:rsidR="00035233" w:rsidRDefault="00035233" w:rsidP="00035233">
            <w:pPr>
              <w:pStyle w:val="05Tabletext"/>
              <w:jc w:val="center"/>
            </w:pPr>
            <w:r>
              <w:t>0.151 (0.0126)</w:t>
            </w:r>
          </w:p>
        </w:tc>
        <w:tc>
          <w:tcPr>
            <w:tcW w:w="1286" w:type="pct"/>
            <w:shd w:val="clear" w:color="auto" w:fill="auto"/>
          </w:tcPr>
          <w:p w:rsidR="00035233" w:rsidRDefault="00035233" w:rsidP="00035233">
            <w:pPr>
              <w:pStyle w:val="05Tabletext"/>
              <w:jc w:val="center"/>
            </w:pPr>
            <w:r>
              <w:t>0.062 (0.0125)</w:t>
            </w:r>
          </w:p>
        </w:tc>
        <w:tc>
          <w:tcPr>
            <w:tcW w:w="882" w:type="pct"/>
            <w:tcBorders>
              <w:top w:val="nil"/>
              <w:bottom w:val="nil"/>
            </w:tcBorders>
            <w:shd w:val="clear" w:color="auto" w:fill="auto"/>
          </w:tcPr>
          <w:p w:rsidR="00035233" w:rsidRDefault="00035233" w:rsidP="00035233">
            <w:pPr>
              <w:pStyle w:val="05Tabletext"/>
              <w:jc w:val="center"/>
            </w:pPr>
          </w:p>
        </w:tc>
        <w:tc>
          <w:tcPr>
            <w:tcW w:w="515" w:type="pct"/>
            <w:tcBorders>
              <w:top w:val="nil"/>
              <w:bottom w:val="nil"/>
            </w:tcBorders>
          </w:tcPr>
          <w:p w:rsidR="00035233" w:rsidRDefault="00035233" w:rsidP="00035233">
            <w:pPr>
              <w:pStyle w:val="05Tabletext"/>
              <w:jc w:val="center"/>
            </w:pPr>
          </w:p>
        </w:tc>
      </w:tr>
      <w:tr w:rsidR="00035233" w:rsidRPr="00194011" w:rsidTr="00035233">
        <w:trPr>
          <w:cantSplit/>
        </w:trPr>
        <w:tc>
          <w:tcPr>
            <w:tcW w:w="1030" w:type="pct"/>
            <w:shd w:val="clear" w:color="auto" w:fill="000000"/>
          </w:tcPr>
          <w:p w:rsidR="00035233" w:rsidRPr="0052442C" w:rsidRDefault="00035233" w:rsidP="00035233">
            <w:pPr>
              <w:pStyle w:val="04Tablesubheading"/>
              <w:rPr>
                <w:vertAlign w:val="superscript"/>
              </w:rPr>
            </w:pPr>
            <w:r>
              <w:t>GOLD B subgroup</w:t>
            </w:r>
            <w:r>
              <w:rPr>
                <w:vertAlign w:val="superscript"/>
              </w:rPr>
              <w:t>a</w:t>
            </w:r>
          </w:p>
        </w:tc>
        <w:tc>
          <w:tcPr>
            <w:tcW w:w="1287" w:type="pct"/>
            <w:shd w:val="clear" w:color="auto" w:fill="000000"/>
          </w:tcPr>
          <w:p w:rsidR="00035233" w:rsidRDefault="00035233" w:rsidP="00035233">
            <w:pPr>
              <w:pStyle w:val="04Tablesubheading"/>
              <w:ind w:right="0"/>
              <w:jc w:val="right"/>
            </w:pPr>
            <w:r>
              <w:t>Mean</w:t>
            </w:r>
          </w:p>
        </w:tc>
        <w:tc>
          <w:tcPr>
            <w:tcW w:w="1286" w:type="pct"/>
            <w:shd w:val="clear" w:color="auto" w:fill="000000"/>
          </w:tcPr>
          <w:p w:rsidR="00035233" w:rsidRDefault="00035233" w:rsidP="00035233">
            <w:pPr>
              <w:pStyle w:val="04Tablesubheading"/>
            </w:pPr>
            <w:r>
              <w:t>(SD)</w:t>
            </w:r>
          </w:p>
        </w:tc>
        <w:tc>
          <w:tcPr>
            <w:tcW w:w="882" w:type="pct"/>
            <w:tcBorders>
              <w:top w:val="nil"/>
              <w:bottom w:val="nil"/>
            </w:tcBorders>
            <w:shd w:val="clear" w:color="auto" w:fill="000000"/>
          </w:tcPr>
          <w:p w:rsidR="00035233" w:rsidRDefault="00035233" w:rsidP="00035233">
            <w:pPr>
              <w:pStyle w:val="04Tablesubheading"/>
            </w:pPr>
          </w:p>
        </w:tc>
        <w:tc>
          <w:tcPr>
            <w:tcW w:w="515" w:type="pct"/>
            <w:tcBorders>
              <w:top w:val="nil"/>
              <w:bottom w:val="nil"/>
            </w:tcBorders>
            <w:shd w:val="clear" w:color="auto" w:fill="000000"/>
          </w:tcPr>
          <w:p w:rsidR="00035233" w:rsidRDefault="00035233" w:rsidP="00035233">
            <w:pPr>
              <w:pStyle w:val="04Tablesubheading"/>
            </w:pPr>
          </w:p>
        </w:tc>
      </w:tr>
      <w:tr w:rsidR="00035233" w:rsidRPr="00194011" w:rsidTr="00035233">
        <w:trPr>
          <w:cantSplit/>
        </w:trPr>
        <w:tc>
          <w:tcPr>
            <w:tcW w:w="1030" w:type="pct"/>
            <w:shd w:val="clear" w:color="auto" w:fill="FFFFFF"/>
          </w:tcPr>
          <w:p w:rsidR="00035233" w:rsidRDefault="00035233" w:rsidP="00035233">
            <w:pPr>
              <w:pStyle w:val="05Tabletext"/>
            </w:pPr>
            <w:r>
              <w:t>n</w:t>
            </w:r>
          </w:p>
        </w:tc>
        <w:tc>
          <w:tcPr>
            <w:tcW w:w="1287" w:type="pct"/>
            <w:shd w:val="clear" w:color="auto" w:fill="FFFFFF"/>
          </w:tcPr>
          <w:p w:rsidR="00035233" w:rsidRDefault="00035233" w:rsidP="00035233">
            <w:pPr>
              <w:pStyle w:val="05Tabletext"/>
              <w:jc w:val="center"/>
            </w:pPr>
            <w:r>
              <w:t>185</w:t>
            </w:r>
          </w:p>
        </w:tc>
        <w:tc>
          <w:tcPr>
            <w:tcW w:w="1286" w:type="pct"/>
            <w:shd w:val="clear" w:color="auto" w:fill="FFFFFF"/>
          </w:tcPr>
          <w:p w:rsidR="00035233" w:rsidRDefault="00035233" w:rsidP="00035233">
            <w:pPr>
              <w:pStyle w:val="05Tabletext"/>
              <w:jc w:val="center"/>
            </w:pPr>
            <w:r>
              <w:t>189</w:t>
            </w:r>
          </w:p>
        </w:tc>
        <w:tc>
          <w:tcPr>
            <w:tcW w:w="882" w:type="pct"/>
            <w:tcBorders>
              <w:top w:val="nil"/>
              <w:bottom w:val="nil"/>
            </w:tcBorders>
            <w:shd w:val="clear" w:color="auto" w:fill="FFFFFF"/>
          </w:tcPr>
          <w:p w:rsidR="00035233" w:rsidRDefault="00035233" w:rsidP="00035233">
            <w:pPr>
              <w:pStyle w:val="05Tabletext"/>
              <w:jc w:val="center"/>
            </w:pPr>
            <w:r>
              <w:t>NR</w:t>
            </w:r>
          </w:p>
        </w:tc>
        <w:tc>
          <w:tcPr>
            <w:tcW w:w="515" w:type="pct"/>
            <w:tcBorders>
              <w:top w:val="nil"/>
              <w:bottom w:val="nil"/>
            </w:tcBorders>
            <w:shd w:val="clear" w:color="auto" w:fill="FFFFFF"/>
          </w:tcPr>
          <w:p w:rsidR="00035233" w:rsidRDefault="00035233" w:rsidP="00035233">
            <w:pPr>
              <w:pStyle w:val="05Tabletext"/>
              <w:jc w:val="center"/>
            </w:pPr>
            <w:r>
              <w:t>NR</w:t>
            </w:r>
          </w:p>
        </w:tc>
      </w:tr>
      <w:tr w:rsidR="00035233" w:rsidRPr="00194011" w:rsidTr="00035233">
        <w:trPr>
          <w:cantSplit/>
        </w:trPr>
        <w:tc>
          <w:tcPr>
            <w:tcW w:w="1030" w:type="pct"/>
            <w:shd w:val="clear" w:color="auto" w:fill="FFFFFF"/>
          </w:tcPr>
          <w:p w:rsidR="00035233" w:rsidRDefault="00035233" w:rsidP="00035233">
            <w:pPr>
              <w:pStyle w:val="05Tabletext"/>
            </w:pPr>
            <w:r>
              <w:t>Change from baseline, L</w:t>
            </w:r>
          </w:p>
        </w:tc>
        <w:tc>
          <w:tcPr>
            <w:tcW w:w="1287" w:type="pct"/>
            <w:shd w:val="clear" w:color="auto" w:fill="FFFFFF"/>
          </w:tcPr>
          <w:p w:rsidR="00035233" w:rsidRDefault="00035233" w:rsidP="00035233">
            <w:pPr>
              <w:pStyle w:val="05Tabletext"/>
              <w:jc w:val="center"/>
            </w:pPr>
            <w:r>
              <w:t>0.162 (0.2661)</w:t>
            </w:r>
          </w:p>
        </w:tc>
        <w:tc>
          <w:tcPr>
            <w:tcW w:w="1286" w:type="pct"/>
            <w:shd w:val="clear" w:color="auto" w:fill="FFFFFF"/>
          </w:tcPr>
          <w:p w:rsidR="00035233" w:rsidRDefault="00035233" w:rsidP="00035233">
            <w:pPr>
              <w:pStyle w:val="05Tabletext"/>
              <w:jc w:val="center"/>
            </w:pPr>
            <w:r>
              <w:t>0.070 (0.2340)</w:t>
            </w:r>
          </w:p>
        </w:tc>
        <w:tc>
          <w:tcPr>
            <w:tcW w:w="882" w:type="pct"/>
            <w:tcBorders>
              <w:top w:val="nil"/>
              <w:bottom w:val="single" w:sz="4" w:space="0" w:color="auto"/>
            </w:tcBorders>
            <w:shd w:val="clear" w:color="auto" w:fill="FFFFFF"/>
          </w:tcPr>
          <w:p w:rsidR="00035233" w:rsidRDefault="00035233" w:rsidP="00035233">
            <w:pPr>
              <w:pStyle w:val="05Tabletext"/>
            </w:pPr>
          </w:p>
        </w:tc>
        <w:tc>
          <w:tcPr>
            <w:tcW w:w="515" w:type="pct"/>
            <w:tcBorders>
              <w:top w:val="nil"/>
              <w:bottom w:val="single" w:sz="4" w:space="0" w:color="auto"/>
            </w:tcBorders>
            <w:shd w:val="clear" w:color="auto" w:fill="FFFFFF"/>
          </w:tcPr>
          <w:p w:rsidR="00035233" w:rsidRDefault="00035233" w:rsidP="00035233">
            <w:pPr>
              <w:pStyle w:val="05Tabletext"/>
            </w:pPr>
          </w:p>
        </w:tc>
      </w:tr>
      <w:tr w:rsidR="00035233" w:rsidRPr="00194011" w:rsidTr="00035233">
        <w:trPr>
          <w:cantSplit/>
        </w:trPr>
        <w:tc>
          <w:tcPr>
            <w:tcW w:w="1030" w:type="pct"/>
            <w:shd w:val="clear" w:color="auto" w:fill="000000"/>
          </w:tcPr>
          <w:p w:rsidR="00035233" w:rsidRPr="0052442C" w:rsidRDefault="00035233" w:rsidP="00035233">
            <w:pPr>
              <w:pStyle w:val="04Tablesubheading"/>
            </w:pPr>
            <w:r>
              <w:t>GOLD D subgroup</w:t>
            </w:r>
            <w:r>
              <w:rPr>
                <w:vertAlign w:val="superscript"/>
              </w:rPr>
              <w:t>b</w:t>
            </w:r>
          </w:p>
        </w:tc>
        <w:tc>
          <w:tcPr>
            <w:tcW w:w="1287" w:type="pct"/>
            <w:shd w:val="clear" w:color="auto" w:fill="000000"/>
          </w:tcPr>
          <w:p w:rsidR="00035233" w:rsidRDefault="00035233" w:rsidP="00035233">
            <w:pPr>
              <w:pStyle w:val="04Tablesubheading"/>
              <w:ind w:right="0"/>
              <w:jc w:val="right"/>
            </w:pPr>
            <w:r>
              <w:t>Mean</w:t>
            </w:r>
          </w:p>
        </w:tc>
        <w:tc>
          <w:tcPr>
            <w:tcW w:w="1286" w:type="pct"/>
            <w:shd w:val="clear" w:color="auto" w:fill="000000"/>
          </w:tcPr>
          <w:p w:rsidR="00035233" w:rsidRDefault="00035233" w:rsidP="00035233">
            <w:pPr>
              <w:pStyle w:val="04Tablesubheading"/>
            </w:pPr>
            <w:r>
              <w:t>(SD)</w:t>
            </w:r>
          </w:p>
        </w:tc>
        <w:tc>
          <w:tcPr>
            <w:tcW w:w="882" w:type="pct"/>
            <w:tcBorders>
              <w:top w:val="single" w:sz="4" w:space="0" w:color="auto"/>
              <w:bottom w:val="single" w:sz="4" w:space="0" w:color="auto"/>
            </w:tcBorders>
            <w:shd w:val="clear" w:color="auto" w:fill="000000"/>
          </w:tcPr>
          <w:p w:rsidR="00035233" w:rsidRDefault="00035233" w:rsidP="00035233">
            <w:pPr>
              <w:pStyle w:val="04Tablesubheading"/>
            </w:pPr>
          </w:p>
        </w:tc>
        <w:tc>
          <w:tcPr>
            <w:tcW w:w="515" w:type="pct"/>
            <w:tcBorders>
              <w:top w:val="single" w:sz="4" w:space="0" w:color="auto"/>
              <w:bottom w:val="single" w:sz="4" w:space="0" w:color="auto"/>
            </w:tcBorders>
            <w:shd w:val="clear" w:color="auto" w:fill="000000"/>
          </w:tcPr>
          <w:p w:rsidR="00035233" w:rsidRDefault="00035233" w:rsidP="00035233">
            <w:pPr>
              <w:pStyle w:val="04Tablesubheading"/>
            </w:pPr>
          </w:p>
        </w:tc>
      </w:tr>
      <w:tr w:rsidR="00035233" w:rsidRPr="00194011" w:rsidTr="00035233">
        <w:trPr>
          <w:cantSplit/>
        </w:trPr>
        <w:tc>
          <w:tcPr>
            <w:tcW w:w="1030" w:type="pct"/>
            <w:shd w:val="clear" w:color="auto" w:fill="FFFFFF"/>
          </w:tcPr>
          <w:p w:rsidR="00035233" w:rsidRDefault="00035233" w:rsidP="00035233">
            <w:pPr>
              <w:pStyle w:val="05Tabletext"/>
            </w:pPr>
            <w:r>
              <w:t>n</w:t>
            </w:r>
          </w:p>
        </w:tc>
        <w:tc>
          <w:tcPr>
            <w:tcW w:w="1287" w:type="pct"/>
            <w:shd w:val="clear" w:color="auto" w:fill="FFFFFF"/>
          </w:tcPr>
          <w:p w:rsidR="00035233" w:rsidRDefault="00035233" w:rsidP="00035233">
            <w:pPr>
              <w:pStyle w:val="05Tabletext"/>
              <w:jc w:val="center"/>
            </w:pPr>
            <w:r>
              <w:t>148</w:t>
            </w:r>
          </w:p>
        </w:tc>
        <w:tc>
          <w:tcPr>
            <w:tcW w:w="1286" w:type="pct"/>
            <w:shd w:val="clear" w:color="auto" w:fill="FFFFFF"/>
          </w:tcPr>
          <w:p w:rsidR="00035233" w:rsidRDefault="00035233" w:rsidP="00035233">
            <w:pPr>
              <w:pStyle w:val="05Tabletext"/>
              <w:jc w:val="center"/>
            </w:pPr>
            <w:r>
              <w:t>149</w:t>
            </w:r>
          </w:p>
        </w:tc>
        <w:tc>
          <w:tcPr>
            <w:tcW w:w="882" w:type="pct"/>
            <w:tcBorders>
              <w:top w:val="single" w:sz="4" w:space="0" w:color="auto"/>
              <w:bottom w:val="nil"/>
            </w:tcBorders>
            <w:shd w:val="clear" w:color="auto" w:fill="FFFFFF"/>
          </w:tcPr>
          <w:p w:rsidR="00035233" w:rsidRDefault="00035233" w:rsidP="00035233">
            <w:pPr>
              <w:pStyle w:val="05Tabletext"/>
              <w:jc w:val="center"/>
            </w:pPr>
            <w:r>
              <w:t>NR</w:t>
            </w:r>
          </w:p>
        </w:tc>
        <w:tc>
          <w:tcPr>
            <w:tcW w:w="515" w:type="pct"/>
            <w:tcBorders>
              <w:top w:val="single" w:sz="4" w:space="0" w:color="auto"/>
              <w:bottom w:val="nil"/>
            </w:tcBorders>
            <w:shd w:val="clear" w:color="auto" w:fill="FFFFFF"/>
          </w:tcPr>
          <w:p w:rsidR="00035233" w:rsidRDefault="00035233" w:rsidP="00035233">
            <w:pPr>
              <w:pStyle w:val="05Tabletext"/>
              <w:jc w:val="center"/>
            </w:pPr>
            <w:r>
              <w:t>NR</w:t>
            </w:r>
          </w:p>
        </w:tc>
      </w:tr>
      <w:tr w:rsidR="00035233" w:rsidRPr="00194011" w:rsidTr="00035233">
        <w:trPr>
          <w:cantSplit/>
        </w:trPr>
        <w:tc>
          <w:tcPr>
            <w:tcW w:w="1030" w:type="pct"/>
            <w:shd w:val="clear" w:color="auto" w:fill="FFFFFF"/>
          </w:tcPr>
          <w:p w:rsidR="00035233" w:rsidRDefault="00035233" w:rsidP="00035233">
            <w:pPr>
              <w:pStyle w:val="05Tabletext"/>
            </w:pPr>
            <w:r>
              <w:t>Change from baseline, L</w:t>
            </w:r>
          </w:p>
        </w:tc>
        <w:tc>
          <w:tcPr>
            <w:tcW w:w="1287" w:type="pct"/>
            <w:shd w:val="clear" w:color="auto" w:fill="FFFFFF"/>
          </w:tcPr>
          <w:p w:rsidR="00035233" w:rsidRDefault="00035233" w:rsidP="00035233">
            <w:pPr>
              <w:pStyle w:val="05Tabletext"/>
              <w:jc w:val="center"/>
            </w:pPr>
            <w:r>
              <w:t>0.143 (0.2067)</w:t>
            </w:r>
          </w:p>
        </w:tc>
        <w:tc>
          <w:tcPr>
            <w:tcW w:w="1286" w:type="pct"/>
            <w:shd w:val="clear" w:color="auto" w:fill="FFFFFF"/>
          </w:tcPr>
          <w:p w:rsidR="00035233" w:rsidRDefault="00035233" w:rsidP="00035233">
            <w:pPr>
              <w:pStyle w:val="05Tabletext"/>
              <w:jc w:val="center"/>
            </w:pPr>
            <w:r>
              <w:t>0.049 (0.2160)</w:t>
            </w:r>
          </w:p>
        </w:tc>
        <w:tc>
          <w:tcPr>
            <w:tcW w:w="882" w:type="pct"/>
            <w:tcBorders>
              <w:top w:val="nil"/>
            </w:tcBorders>
            <w:shd w:val="clear" w:color="auto" w:fill="FFFFFF"/>
          </w:tcPr>
          <w:p w:rsidR="00035233" w:rsidRDefault="00035233" w:rsidP="00035233">
            <w:pPr>
              <w:pStyle w:val="05Tabletext"/>
            </w:pPr>
          </w:p>
        </w:tc>
        <w:tc>
          <w:tcPr>
            <w:tcW w:w="515" w:type="pct"/>
            <w:tcBorders>
              <w:top w:val="nil"/>
            </w:tcBorders>
            <w:shd w:val="clear" w:color="auto" w:fill="FFFFFF"/>
          </w:tcPr>
          <w:p w:rsidR="00035233" w:rsidRDefault="00035233" w:rsidP="00035233">
            <w:pPr>
              <w:pStyle w:val="05Tabletext"/>
            </w:pPr>
          </w:p>
        </w:tc>
      </w:tr>
    </w:tbl>
    <w:p w:rsidR="00035233" w:rsidRDefault="00035233" w:rsidP="00035233">
      <w:pPr>
        <w:pStyle w:val="10TableorFigurefootnote"/>
      </w:pPr>
      <w:r>
        <w:t>Source: Singh (2015</w:t>
      </w:r>
      <w:r w:rsidR="004059B1">
        <w:t>a</w:t>
      </w:r>
      <w:r>
        <w:t>), Table 2.</w:t>
      </w:r>
    </w:p>
    <w:p w:rsidR="00035233" w:rsidRDefault="00035233" w:rsidP="00035233">
      <w:pPr>
        <w:pStyle w:val="10TableorFigurefootnote"/>
      </w:pPr>
      <w:r>
        <w:t>Note: Results based on number of patients with analysable data at th</w:t>
      </w:r>
      <w:r w:rsidR="004B3085">
        <w:t>e time point of interest (i.e. D</w:t>
      </w:r>
      <w:r>
        <w:t xml:space="preserve">ay 85) </w:t>
      </w:r>
    </w:p>
    <w:p w:rsidR="00035233" w:rsidRDefault="00035233" w:rsidP="00035233">
      <w:pPr>
        <w:pStyle w:val="10TableorFigurefootnote"/>
      </w:pPr>
      <w:r>
        <w:t xml:space="preserve">Abbreviations: </w:t>
      </w:r>
      <w:r w:rsidRPr="00747393">
        <w:t>CI, confidence interval; FEV</w:t>
      </w:r>
      <w:r w:rsidRPr="00747393">
        <w:rPr>
          <w:vertAlign w:val="subscript"/>
        </w:rPr>
        <w:t>1</w:t>
      </w:r>
      <w:r w:rsidRPr="00747393">
        <w:t>, forced expiratory volume in 1 second</w:t>
      </w:r>
      <w:r>
        <w:t>; FLU, fluticasone</w:t>
      </w:r>
      <w:r w:rsidR="00EB7B21">
        <w:t xml:space="preserve"> propionate</w:t>
      </w:r>
      <w:r>
        <w:t>; GOLD, Global initiative for chronic Obstructive Lung Disease; NR, not reported; SAL, salmeterol; SD, standard deviation; SE, standard error; UME, umeclidinium; VIL, vilanterol.</w:t>
      </w:r>
    </w:p>
    <w:p w:rsidR="00035233" w:rsidRDefault="00035233" w:rsidP="00035233">
      <w:pPr>
        <w:pStyle w:val="10TableorFigurefootnote"/>
      </w:pPr>
      <w:proofErr w:type="gramStart"/>
      <w:r w:rsidRPr="0052442C">
        <w:rPr>
          <w:b/>
        </w:rPr>
        <w:t>a</w:t>
      </w:r>
      <w:proofErr w:type="gramEnd"/>
      <w:r w:rsidRPr="0052442C">
        <w:rPr>
          <w:b/>
        </w:rPr>
        <w:t xml:space="preserve"> </w:t>
      </w:r>
      <w:r>
        <w:t>FEV</w:t>
      </w:r>
      <w:r>
        <w:rPr>
          <w:vertAlign w:val="subscript"/>
        </w:rPr>
        <w:t>1</w:t>
      </w:r>
      <w:r>
        <w:t xml:space="preserve"> ≥50% to &lt;80% predicted.</w:t>
      </w:r>
    </w:p>
    <w:p w:rsidR="00035233" w:rsidRPr="0052442C" w:rsidRDefault="00035233" w:rsidP="00035233">
      <w:pPr>
        <w:pStyle w:val="11TableorFigurefootnotenostick"/>
      </w:pPr>
      <w:proofErr w:type="gramStart"/>
      <w:r>
        <w:rPr>
          <w:b/>
        </w:rPr>
        <w:t>b</w:t>
      </w:r>
      <w:proofErr w:type="gramEnd"/>
      <w:r>
        <w:rPr>
          <w:b/>
        </w:rPr>
        <w:t xml:space="preserve"> </w:t>
      </w:r>
      <w:r>
        <w:t>FEV</w:t>
      </w:r>
      <w:r>
        <w:rPr>
          <w:vertAlign w:val="subscript"/>
        </w:rPr>
        <w:t>1</w:t>
      </w:r>
      <w:r>
        <w:t xml:space="preserve"> ≥30% to &lt;50% predicted. </w:t>
      </w:r>
    </w:p>
    <w:p w:rsidR="00035233" w:rsidRPr="00513ED4" w:rsidRDefault="00035233" w:rsidP="00035233">
      <w:pPr>
        <w:pStyle w:val="BodyText"/>
      </w:pPr>
      <w:r>
        <w:t>Furthermore, patients treated with umeclidinium/vilanterol had statistically significantly greater odds than patients treated with fluticasone</w:t>
      </w:r>
      <w:r w:rsidR="00933213">
        <w:t xml:space="preserve"> propionate</w:t>
      </w:r>
      <w:r>
        <w:t>/salmeterol of achieving an increase from baseline in trough FEV</w:t>
      </w:r>
      <w:r>
        <w:rPr>
          <w:vertAlign w:val="subscript"/>
        </w:rPr>
        <w:t>1</w:t>
      </w:r>
      <w:r>
        <w:t xml:space="preserve"> ≥0.100</w:t>
      </w:r>
      <w:r w:rsidR="007F448B">
        <w:t xml:space="preserve"> </w:t>
      </w:r>
      <w:r>
        <w:t xml:space="preserve">L on </w:t>
      </w:r>
      <w:r w:rsidR="004B3085">
        <w:t>D</w:t>
      </w:r>
      <w:r w:rsidR="007F448B">
        <w:t>ay 85 (</w:t>
      </w:r>
      <w:r>
        <w:t xml:space="preserve">see </w:t>
      </w:r>
      <w:r w:rsidR="00AC7B51">
        <w:t>Table 3.5</w:t>
      </w:r>
      <w:r w:rsidR="00967B39">
        <w:t>1</w:t>
      </w:r>
      <w:r w:rsidR="007F448B">
        <w:t>)</w:t>
      </w:r>
      <w:r>
        <w:t>.</w:t>
      </w:r>
    </w:p>
    <w:p w:rsidR="00035233" w:rsidRPr="00EF1FE8" w:rsidRDefault="00AC7B51" w:rsidP="007F448B">
      <w:pPr>
        <w:pStyle w:val="ToR3Tableheader"/>
      </w:pPr>
      <w:bookmarkStart w:id="368" w:name="_Toc468006291"/>
      <w:bookmarkStart w:id="369" w:name="_Toc468012336"/>
      <w:bookmarkStart w:id="370" w:name="_Toc468034492"/>
      <w:bookmarkStart w:id="371" w:name="_Toc471891042"/>
      <w:bookmarkStart w:id="372" w:name="_Toc486428230"/>
      <w:r>
        <w:lastRenderedPageBreak/>
        <w:t>Table 3.5</w:t>
      </w:r>
      <w:r w:rsidR="00967B39">
        <w:t>1</w:t>
      </w:r>
      <w:r w:rsidR="00035233">
        <w:tab/>
        <w:t>Proportion of patients achieving lung function improvements on Day 85 – UME/VIL vs FLU/SAL</w:t>
      </w:r>
      <w:bookmarkEnd w:id="368"/>
      <w:bookmarkEnd w:id="369"/>
      <w:bookmarkEnd w:id="370"/>
      <w:bookmarkEnd w:id="371"/>
      <w:bookmarkEnd w:id="37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Caption w:val="Proportion of patients achieving lung function improvements on Day 85 "/>
        <w:tblDescription w:val="UME/VIL vs FLU/SAL"/>
      </w:tblPr>
      <w:tblGrid>
        <w:gridCol w:w="1988"/>
        <w:gridCol w:w="2483"/>
        <w:gridCol w:w="2481"/>
        <w:gridCol w:w="1702"/>
        <w:gridCol w:w="994"/>
      </w:tblGrid>
      <w:tr w:rsidR="00035233" w:rsidRPr="00194011" w:rsidTr="00035233">
        <w:trPr>
          <w:cantSplit/>
          <w:tblHeader/>
        </w:trPr>
        <w:tc>
          <w:tcPr>
            <w:tcW w:w="1030" w:type="pct"/>
            <w:shd w:val="clear" w:color="auto" w:fill="BFBFBF"/>
          </w:tcPr>
          <w:p w:rsidR="00035233" w:rsidRPr="006B7790" w:rsidRDefault="00035233" w:rsidP="00035233">
            <w:pPr>
              <w:pStyle w:val="01TableHEADINGleftaligned"/>
            </w:pPr>
            <w:r>
              <w:t>Increase in trough FEV</w:t>
            </w:r>
            <w:r>
              <w:rPr>
                <w:vertAlign w:val="subscript"/>
              </w:rPr>
              <w:t>1</w:t>
            </w:r>
            <w:r>
              <w:t xml:space="preserve"> ≥0.100L above baseline</w:t>
            </w:r>
          </w:p>
        </w:tc>
        <w:tc>
          <w:tcPr>
            <w:tcW w:w="1287" w:type="pct"/>
            <w:tcBorders>
              <w:bottom w:val="single" w:sz="4" w:space="0" w:color="auto"/>
              <w:right w:val="single" w:sz="4" w:space="0" w:color="auto"/>
            </w:tcBorders>
            <w:shd w:val="clear" w:color="auto" w:fill="BFBFBF"/>
          </w:tcPr>
          <w:p w:rsidR="00035233" w:rsidRPr="00815893" w:rsidRDefault="00035233" w:rsidP="00035233">
            <w:pPr>
              <w:pStyle w:val="01TableHEADINGleftaligned"/>
              <w:ind w:right="0"/>
              <w:jc w:val="center"/>
            </w:pPr>
            <w:r>
              <w:t>UME/VIL (n=333)</w:t>
            </w:r>
          </w:p>
        </w:tc>
        <w:tc>
          <w:tcPr>
            <w:tcW w:w="1286" w:type="pct"/>
            <w:tcBorders>
              <w:left w:val="single" w:sz="4" w:space="0" w:color="auto"/>
              <w:bottom w:val="single" w:sz="4" w:space="0" w:color="auto"/>
              <w:right w:val="single" w:sz="4" w:space="0" w:color="auto"/>
            </w:tcBorders>
            <w:shd w:val="clear" w:color="auto" w:fill="BFBFBF"/>
          </w:tcPr>
          <w:p w:rsidR="00035233" w:rsidRPr="00815893" w:rsidRDefault="00035233" w:rsidP="00035233">
            <w:pPr>
              <w:pStyle w:val="01TableHEADINGleftaligned"/>
              <w:ind w:left="28"/>
              <w:jc w:val="center"/>
            </w:pPr>
            <w:r>
              <w:t>FLU/SAL (n=338)</w:t>
            </w:r>
          </w:p>
        </w:tc>
        <w:tc>
          <w:tcPr>
            <w:tcW w:w="882" w:type="pct"/>
            <w:tcBorders>
              <w:left w:val="single" w:sz="4" w:space="0" w:color="auto"/>
              <w:bottom w:val="single" w:sz="4" w:space="0" w:color="auto"/>
              <w:right w:val="single" w:sz="4" w:space="0" w:color="auto"/>
            </w:tcBorders>
            <w:shd w:val="clear" w:color="auto" w:fill="BFBFBF"/>
          </w:tcPr>
          <w:p w:rsidR="00035233" w:rsidRDefault="00035233" w:rsidP="00035233">
            <w:pPr>
              <w:pStyle w:val="01TableHEADINGleftaligned"/>
              <w:jc w:val="center"/>
            </w:pPr>
            <w:r>
              <w:t>OR (95% CI)</w:t>
            </w:r>
          </w:p>
        </w:tc>
        <w:tc>
          <w:tcPr>
            <w:tcW w:w="515" w:type="pct"/>
            <w:tcBorders>
              <w:left w:val="single" w:sz="4" w:space="0" w:color="auto"/>
              <w:bottom w:val="single" w:sz="4" w:space="0" w:color="auto"/>
            </w:tcBorders>
            <w:shd w:val="clear" w:color="auto" w:fill="BFBFBF"/>
          </w:tcPr>
          <w:p w:rsidR="00035233" w:rsidRPr="00194011" w:rsidRDefault="00035233" w:rsidP="00035233">
            <w:pPr>
              <w:pStyle w:val="01TableHEADINGleftaligned"/>
              <w:jc w:val="center"/>
            </w:pPr>
            <w:r>
              <w:t>p-value</w:t>
            </w:r>
          </w:p>
        </w:tc>
      </w:tr>
      <w:tr w:rsidR="00035233" w:rsidRPr="00194011" w:rsidTr="00035233">
        <w:trPr>
          <w:cantSplit/>
        </w:trPr>
        <w:tc>
          <w:tcPr>
            <w:tcW w:w="1030" w:type="pct"/>
            <w:shd w:val="clear" w:color="auto" w:fill="auto"/>
          </w:tcPr>
          <w:p w:rsidR="00035233" w:rsidRPr="009C74E6" w:rsidRDefault="00035233" w:rsidP="00035233">
            <w:pPr>
              <w:pStyle w:val="05Tabletext"/>
              <w:keepNext/>
            </w:pPr>
            <w:r>
              <w:t>Increase, n (%)</w:t>
            </w:r>
          </w:p>
        </w:tc>
        <w:tc>
          <w:tcPr>
            <w:tcW w:w="1287" w:type="pct"/>
            <w:shd w:val="clear" w:color="auto" w:fill="auto"/>
          </w:tcPr>
          <w:p w:rsidR="00035233" w:rsidRDefault="00035233" w:rsidP="00035233">
            <w:pPr>
              <w:pStyle w:val="05Tabletext"/>
              <w:keepNext/>
              <w:jc w:val="center"/>
            </w:pPr>
            <w:r>
              <w:t>192 (58)</w:t>
            </w:r>
          </w:p>
        </w:tc>
        <w:tc>
          <w:tcPr>
            <w:tcW w:w="1286" w:type="pct"/>
            <w:shd w:val="clear" w:color="auto" w:fill="auto"/>
          </w:tcPr>
          <w:p w:rsidR="00035233" w:rsidRDefault="00035233" w:rsidP="00035233">
            <w:pPr>
              <w:pStyle w:val="05Tabletext"/>
              <w:keepNext/>
              <w:jc w:val="center"/>
            </w:pPr>
            <w:r>
              <w:t>139 (41)</w:t>
            </w:r>
          </w:p>
        </w:tc>
        <w:tc>
          <w:tcPr>
            <w:tcW w:w="882" w:type="pct"/>
            <w:tcBorders>
              <w:bottom w:val="nil"/>
            </w:tcBorders>
            <w:shd w:val="clear" w:color="auto" w:fill="auto"/>
          </w:tcPr>
          <w:p w:rsidR="00035233" w:rsidRDefault="00035233" w:rsidP="00035233">
            <w:pPr>
              <w:pStyle w:val="05Tabletext"/>
              <w:keepNext/>
              <w:jc w:val="center"/>
            </w:pPr>
            <w:r>
              <w:t>1.94 (1.42, 2.64)</w:t>
            </w:r>
          </w:p>
        </w:tc>
        <w:tc>
          <w:tcPr>
            <w:tcW w:w="515" w:type="pct"/>
            <w:tcBorders>
              <w:bottom w:val="nil"/>
            </w:tcBorders>
          </w:tcPr>
          <w:p w:rsidR="00035233" w:rsidRDefault="00035233" w:rsidP="00035233">
            <w:pPr>
              <w:pStyle w:val="05Tabletext"/>
              <w:keepNext/>
              <w:jc w:val="center"/>
            </w:pPr>
            <w:r>
              <w:t>&lt;0.001</w:t>
            </w:r>
          </w:p>
        </w:tc>
      </w:tr>
      <w:tr w:rsidR="00035233" w:rsidRPr="00194011" w:rsidTr="00035233">
        <w:trPr>
          <w:cantSplit/>
        </w:trPr>
        <w:tc>
          <w:tcPr>
            <w:tcW w:w="1030" w:type="pct"/>
            <w:shd w:val="clear" w:color="auto" w:fill="auto"/>
          </w:tcPr>
          <w:p w:rsidR="00035233" w:rsidRPr="009C74E6" w:rsidRDefault="00035233" w:rsidP="00035233">
            <w:pPr>
              <w:pStyle w:val="05Tabletext"/>
              <w:keepNext/>
            </w:pPr>
            <w:r w:rsidRPr="009C74E6">
              <w:t>No increase, n (%)</w:t>
            </w:r>
          </w:p>
        </w:tc>
        <w:tc>
          <w:tcPr>
            <w:tcW w:w="1287" w:type="pct"/>
            <w:shd w:val="clear" w:color="auto" w:fill="auto"/>
          </w:tcPr>
          <w:p w:rsidR="00035233" w:rsidRDefault="00035233" w:rsidP="00035233">
            <w:pPr>
              <w:pStyle w:val="05Tabletext"/>
              <w:keepNext/>
              <w:jc w:val="center"/>
            </w:pPr>
            <w:r>
              <w:t>141 (42)</w:t>
            </w:r>
          </w:p>
        </w:tc>
        <w:tc>
          <w:tcPr>
            <w:tcW w:w="1286" w:type="pct"/>
            <w:shd w:val="clear" w:color="auto" w:fill="auto"/>
          </w:tcPr>
          <w:p w:rsidR="00035233" w:rsidRDefault="00035233" w:rsidP="00035233">
            <w:pPr>
              <w:pStyle w:val="05Tabletext"/>
              <w:keepNext/>
              <w:jc w:val="center"/>
            </w:pPr>
            <w:r>
              <w:t>199 (59)</w:t>
            </w:r>
          </w:p>
        </w:tc>
        <w:tc>
          <w:tcPr>
            <w:tcW w:w="882" w:type="pct"/>
            <w:tcBorders>
              <w:top w:val="nil"/>
            </w:tcBorders>
            <w:shd w:val="clear" w:color="auto" w:fill="auto"/>
          </w:tcPr>
          <w:p w:rsidR="00035233" w:rsidRDefault="00035233" w:rsidP="00035233">
            <w:pPr>
              <w:pStyle w:val="05Tabletext"/>
              <w:keepNext/>
              <w:jc w:val="center"/>
            </w:pPr>
          </w:p>
        </w:tc>
        <w:tc>
          <w:tcPr>
            <w:tcW w:w="515" w:type="pct"/>
            <w:tcBorders>
              <w:top w:val="nil"/>
            </w:tcBorders>
          </w:tcPr>
          <w:p w:rsidR="00035233" w:rsidRDefault="00035233" w:rsidP="00035233">
            <w:pPr>
              <w:pStyle w:val="05Tabletext"/>
              <w:keepNext/>
              <w:jc w:val="center"/>
            </w:pPr>
          </w:p>
        </w:tc>
      </w:tr>
    </w:tbl>
    <w:p w:rsidR="00035233" w:rsidRDefault="004059B1" w:rsidP="00035233">
      <w:pPr>
        <w:pStyle w:val="10TableorFigurefootnote"/>
      </w:pPr>
      <w:r>
        <w:t>Source: Singh (2015a</w:t>
      </w:r>
      <w:r w:rsidR="00035233">
        <w:t>), Additional file 5.</w:t>
      </w:r>
    </w:p>
    <w:p w:rsidR="00035233" w:rsidRDefault="00035233" w:rsidP="00035233">
      <w:pPr>
        <w:pStyle w:val="10TableorFigurefootnote"/>
      </w:pPr>
      <w:r>
        <w:t>Note (1): Results based on number of patients with analysable data at the time point of interest (i.e. Day 85).</w:t>
      </w:r>
    </w:p>
    <w:p w:rsidR="00035233" w:rsidRDefault="00035233" w:rsidP="00035233">
      <w:pPr>
        <w:pStyle w:val="10TableorFigurefootnote"/>
      </w:pPr>
      <w:r>
        <w:t xml:space="preserve">Note (2): </w:t>
      </w:r>
      <w:r w:rsidRPr="00D97E4A">
        <w:t>The odd</w:t>
      </w:r>
      <w:r>
        <w:t>s</w:t>
      </w:r>
      <w:r w:rsidRPr="00D97E4A">
        <w:t xml:space="preserve"> ratio was recalculated for the ITT population, assuming that none of the dropouts experienced a trough </w:t>
      </w:r>
      <w:r>
        <w:t xml:space="preserve">FEV1 ≥0.100L above baseline on </w:t>
      </w:r>
      <w:r w:rsidR="004B3085">
        <w:t>D</w:t>
      </w:r>
      <w:r w:rsidRPr="00D97E4A">
        <w:t xml:space="preserve">ay 85. The result remained significant </w:t>
      </w:r>
      <w:r>
        <w:t>(OR</w:t>
      </w:r>
      <w:r w:rsidRPr="00D97E4A">
        <w:t xml:space="preserve"> 1.82; 95% CI: 1.35, 2.45; p=0.0001) using this more conservative approach.</w:t>
      </w:r>
    </w:p>
    <w:p w:rsidR="00035233" w:rsidRDefault="00035233" w:rsidP="00035233">
      <w:pPr>
        <w:pStyle w:val="11TableorFigurefootnotenostick"/>
      </w:pPr>
      <w:r>
        <w:t xml:space="preserve">Abbreviations: </w:t>
      </w:r>
      <w:r w:rsidRPr="00747393">
        <w:t>CI, confidence interval; FEV</w:t>
      </w:r>
      <w:r w:rsidRPr="00747393">
        <w:rPr>
          <w:vertAlign w:val="subscript"/>
        </w:rPr>
        <w:t>1</w:t>
      </w:r>
      <w:r w:rsidRPr="00747393">
        <w:t>, forced expiratory volume in 1 second</w:t>
      </w:r>
      <w:r>
        <w:t>; FLU, fluticasone</w:t>
      </w:r>
      <w:r w:rsidR="00933213">
        <w:t xml:space="preserve"> propionate</w:t>
      </w:r>
      <w:r>
        <w:t>; OR, odds ratio; SAL, salmeterol; UME, umeclidinium; VIL, vilanterol.</w:t>
      </w:r>
    </w:p>
    <w:p w:rsidR="00035233" w:rsidRPr="009F347F" w:rsidRDefault="00035233" w:rsidP="00035233">
      <w:pPr>
        <w:pStyle w:val="BodyText"/>
      </w:pPr>
      <w:r>
        <w:t>Despite the significant differences demonstrated across various lung function outcomes, the trial did not demonstrate any differences between the treatment groups in relation to symptomatic and quality of life outcomes. The authors suggested that the study may have been too short to detect between-group differences in</w:t>
      </w:r>
      <w:r w:rsidR="007F448B">
        <w:t xml:space="preserve"> PROs</w:t>
      </w:r>
      <w:r>
        <w:t>, or the study may have been too small.</w:t>
      </w:r>
    </w:p>
    <w:p w:rsidR="00035233" w:rsidRPr="00D97E4A" w:rsidRDefault="00035233" w:rsidP="00035233">
      <w:pPr>
        <w:pStyle w:val="BodyText"/>
      </w:pPr>
      <w:r>
        <w:t>Overall, the frequency of AEs was similar between the treatment groups and no tolerability issues were identified (see</w:t>
      </w:r>
      <w:r w:rsidR="00AC7B51" w:rsidRPr="00AC7B51">
        <w:t xml:space="preserve"> </w:t>
      </w:r>
      <w:r w:rsidR="00AC7B51">
        <w:t>Table 3.5</w:t>
      </w:r>
      <w:r w:rsidR="00967B39">
        <w:t>2</w:t>
      </w:r>
      <w:r>
        <w:t>). Interestingly, there were numerically fewer COPD exacerbations in the fluticasone</w:t>
      </w:r>
      <w:r w:rsidR="001B7A56">
        <w:t xml:space="preserve"> propionate</w:t>
      </w:r>
      <w:r>
        <w:t>/salmeterol group; however, the statistical and clinical significance of this finding is unclear.</w:t>
      </w:r>
    </w:p>
    <w:p w:rsidR="00035233" w:rsidRDefault="00AC7B51" w:rsidP="007F448B">
      <w:pPr>
        <w:pStyle w:val="ToR3Tableheader"/>
      </w:pPr>
      <w:bookmarkStart w:id="373" w:name="_Toc468006292"/>
      <w:bookmarkStart w:id="374" w:name="_Toc468012337"/>
      <w:bookmarkStart w:id="375" w:name="_Toc468034493"/>
      <w:bookmarkStart w:id="376" w:name="_Toc471891043"/>
      <w:bookmarkStart w:id="377" w:name="_Toc486428231"/>
      <w:r>
        <w:t>Table 3.5</w:t>
      </w:r>
      <w:r w:rsidR="00967B39">
        <w:t>2</w:t>
      </w:r>
      <w:r w:rsidR="00035233">
        <w:tab/>
        <w:t>Safety outcomes in the ITT population – UME/VIL vs FLU/SAL</w:t>
      </w:r>
      <w:bookmarkEnd w:id="373"/>
      <w:bookmarkEnd w:id="374"/>
      <w:bookmarkEnd w:id="375"/>
      <w:bookmarkEnd w:id="376"/>
      <w:bookmarkEnd w:id="37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Caption w:val="Safety outcomes"/>
        <w:tblDescription w:val="UME/VIL vs FLU/SAL"/>
      </w:tblPr>
      <w:tblGrid>
        <w:gridCol w:w="3124"/>
        <w:gridCol w:w="3261"/>
        <w:gridCol w:w="3263"/>
      </w:tblGrid>
      <w:tr w:rsidR="00035233" w:rsidRPr="00194011" w:rsidTr="00035233">
        <w:trPr>
          <w:cantSplit/>
          <w:tblHeader/>
        </w:trPr>
        <w:tc>
          <w:tcPr>
            <w:tcW w:w="1619" w:type="pct"/>
            <w:tcBorders>
              <w:bottom w:val="single" w:sz="4" w:space="0" w:color="auto"/>
            </w:tcBorders>
            <w:shd w:val="clear" w:color="auto" w:fill="BFBFBF"/>
          </w:tcPr>
          <w:p w:rsidR="00035233" w:rsidRPr="00194011" w:rsidRDefault="00035233" w:rsidP="00035233">
            <w:pPr>
              <w:pStyle w:val="01TableHEADINGleftaligned"/>
              <w:rPr>
                <w:i/>
              </w:rPr>
            </w:pPr>
            <w:r>
              <w:t>Safety outcome</w:t>
            </w:r>
          </w:p>
        </w:tc>
        <w:tc>
          <w:tcPr>
            <w:tcW w:w="1690" w:type="pct"/>
            <w:tcBorders>
              <w:bottom w:val="single" w:sz="4" w:space="0" w:color="auto"/>
            </w:tcBorders>
            <w:shd w:val="clear" w:color="auto" w:fill="BFBFBF"/>
          </w:tcPr>
          <w:p w:rsidR="00035233" w:rsidRPr="00194011" w:rsidRDefault="00035233" w:rsidP="00035233">
            <w:pPr>
              <w:pStyle w:val="01TableHEADINGleftaligned"/>
              <w:jc w:val="center"/>
            </w:pPr>
            <w:r>
              <w:t>UME/VIL (N=358)</w:t>
            </w:r>
          </w:p>
        </w:tc>
        <w:tc>
          <w:tcPr>
            <w:tcW w:w="1691" w:type="pct"/>
            <w:tcBorders>
              <w:bottom w:val="single" w:sz="4" w:space="0" w:color="auto"/>
            </w:tcBorders>
            <w:shd w:val="clear" w:color="auto" w:fill="BFBFBF"/>
          </w:tcPr>
          <w:p w:rsidR="00035233" w:rsidRDefault="00035233" w:rsidP="00035233">
            <w:pPr>
              <w:pStyle w:val="01TableHEADINGleftaligned"/>
              <w:jc w:val="center"/>
            </w:pPr>
            <w:r>
              <w:t>FLU/SAL (N=358)</w:t>
            </w:r>
          </w:p>
        </w:tc>
      </w:tr>
      <w:tr w:rsidR="00035233" w:rsidRPr="00194011" w:rsidTr="00035233">
        <w:trPr>
          <w:cantSplit/>
        </w:trPr>
        <w:tc>
          <w:tcPr>
            <w:tcW w:w="1619" w:type="pct"/>
            <w:tcBorders>
              <w:bottom w:val="nil"/>
            </w:tcBorders>
            <w:shd w:val="clear" w:color="auto" w:fill="auto"/>
          </w:tcPr>
          <w:p w:rsidR="00035233" w:rsidRPr="00194011" w:rsidRDefault="00035233" w:rsidP="00035233">
            <w:pPr>
              <w:pStyle w:val="05Tabletext"/>
            </w:pPr>
            <w:r>
              <w:t>Any AE, n (%)</w:t>
            </w:r>
          </w:p>
        </w:tc>
        <w:tc>
          <w:tcPr>
            <w:tcW w:w="1690" w:type="pct"/>
            <w:tcBorders>
              <w:bottom w:val="nil"/>
            </w:tcBorders>
            <w:shd w:val="clear" w:color="auto" w:fill="auto"/>
          </w:tcPr>
          <w:p w:rsidR="00035233" w:rsidRPr="00194011" w:rsidRDefault="00035233" w:rsidP="00035233">
            <w:pPr>
              <w:pStyle w:val="05Tabletext"/>
              <w:jc w:val="center"/>
            </w:pPr>
            <w:r>
              <w:t>99 (28)</w:t>
            </w:r>
          </w:p>
        </w:tc>
        <w:tc>
          <w:tcPr>
            <w:tcW w:w="1691" w:type="pct"/>
            <w:tcBorders>
              <w:bottom w:val="nil"/>
            </w:tcBorders>
            <w:shd w:val="clear" w:color="auto" w:fill="auto"/>
          </w:tcPr>
          <w:p w:rsidR="00035233" w:rsidRPr="00194011" w:rsidRDefault="00035233" w:rsidP="00035233">
            <w:pPr>
              <w:pStyle w:val="05Tabletext"/>
              <w:jc w:val="center"/>
            </w:pPr>
            <w:r>
              <w:t>105 (29)</w:t>
            </w:r>
          </w:p>
        </w:tc>
      </w:tr>
      <w:tr w:rsidR="00035233" w:rsidRPr="00194011" w:rsidTr="00035233">
        <w:trPr>
          <w:cantSplit/>
        </w:trPr>
        <w:tc>
          <w:tcPr>
            <w:tcW w:w="1619" w:type="pct"/>
            <w:tcBorders>
              <w:top w:val="nil"/>
              <w:bottom w:val="nil"/>
            </w:tcBorders>
            <w:shd w:val="clear" w:color="auto" w:fill="auto"/>
          </w:tcPr>
          <w:p w:rsidR="00035233" w:rsidRDefault="00035233" w:rsidP="00035233">
            <w:pPr>
              <w:pStyle w:val="05Tabletext"/>
              <w:ind w:firstLine="232"/>
            </w:pPr>
            <w:r>
              <w:t>COPD exacerbations</w:t>
            </w:r>
          </w:p>
        </w:tc>
        <w:tc>
          <w:tcPr>
            <w:tcW w:w="1690" w:type="pct"/>
            <w:tcBorders>
              <w:top w:val="nil"/>
              <w:bottom w:val="nil"/>
            </w:tcBorders>
            <w:shd w:val="clear" w:color="auto" w:fill="auto"/>
          </w:tcPr>
          <w:p w:rsidR="00035233" w:rsidRDefault="00035233" w:rsidP="00035233">
            <w:pPr>
              <w:pStyle w:val="05Tabletext"/>
              <w:jc w:val="center"/>
            </w:pPr>
            <w:r>
              <w:t>8 (2)</w:t>
            </w:r>
          </w:p>
        </w:tc>
        <w:tc>
          <w:tcPr>
            <w:tcW w:w="1691" w:type="pct"/>
            <w:tcBorders>
              <w:top w:val="nil"/>
              <w:bottom w:val="nil"/>
            </w:tcBorders>
            <w:shd w:val="clear" w:color="auto" w:fill="auto"/>
          </w:tcPr>
          <w:p w:rsidR="00035233" w:rsidRDefault="00035233" w:rsidP="00035233">
            <w:pPr>
              <w:pStyle w:val="05Tabletext"/>
              <w:jc w:val="center"/>
            </w:pPr>
            <w:r>
              <w:t>3 (&lt;1)</w:t>
            </w:r>
          </w:p>
        </w:tc>
      </w:tr>
      <w:tr w:rsidR="00035233" w:rsidRPr="00194011" w:rsidTr="00035233">
        <w:trPr>
          <w:cantSplit/>
        </w:trPr>
        <w:tc>
          <w:tcPr>
            <w:tcW w:w="1619" w:type="pct"/>
            <w:tcBorders>
              <w:top w:val="nil"/>
              <w:bottom w:val="nil"/>
            </w:tcBorders>
            <w:shd w:val="clear" w:color="auto" w:fill="auto"/>
          </w:tcPr>
          <w:p w:rsidR="00035233" w:rsidRDefault="00035233" w:rsidP="00035233">
            <w:pPr>
              <w:pStyle w:val="05Tabletext"/>
              <w:ind w:firstLine="232"/>
            </w:pPr>
            <w:r>
              <w:t>Cardiac ischaemia</w:t>
            </w:r>
          </w:p>
        </w:tc>
        <w:tc>
          <w:tcPr>
            <w:tcW w:w="1690" w:type="pct"/>
            <w:tcBorders>
              <w:top w:val="nil"/>
              <w:bottom w:val="nil"/>
            </w:tcBorders>
            <w:shd w:val="clear" w:color="auto" w:fill="auto"/>
          </w:tcPr>
          <w:p w:rsidR="00035233" w:rsidRPr="00194011" w:rsidRDefault="00035233" w:rsidP="00035233">
            <w:pPr>
              <w:pStyle w:val="05Tabletext"/>
              <w:jc w:val="center"/>
            </w:pPr>
            <w:r>
              <w:t>3 (&lt;1)</w:t>
            </w:r>
          </w:p>
        </w:tc>
        <w:tc>
          <w:tcPr>
            <w:tcW w:w="1691" w:type="pct"/>
            <w:tcBorders>
              <w:top w:val="nil"/>
              <w:bottom w:val="nil"/>
            </w:tcBorders>
            <w:shd w:val="clear" w:color="auto" w:fill="auto"/>
          </w:tcPr>
          <w:p w:rsidR="00035233" w:rsidRPr="00194011" w:rsidRDefault="00035233" w:rsidP="00035233">
            <w:pPr>
              <w:pStyle w:val="05Tabletext"/>
              <w:jc w:val="center"/>
            </w:pPr>
            <w:r>
              <w:t>0</w:t>
            </w:r>
          </w:p>
        </w:tc>
      </w:tr>
      <w:tr w:rsidR="00035233" w:rsidRPr="00194011" w:rsidTr="00035233">
        <w:trPr>
          <w:cantSplit/>
        </w:trPr>
        <w:tc>
          <w:tcPr>
            <w:tcW w:w="1619" w:type="pct"/>
            <w:tcBorders>
              <w:top w:val="nil"/>
              <w:bottom w:val="nil"/>
            </w:tcBorders>
            <w:shd w:val="clear" w:color="auto" w:fill="auto"/>
          </w:tcPr>
          <w:p w:rsidR="00035233" w:rsidRDefault="00035233" w:rsidP="00035233">
            <w:pPr>
              <w:pStyle w:val="05Tabletext"/>
              <w:ind w:firstLine="232"/>
            </w:pPr>
            <w:r>
              <w:t>Cardiac arrhythmias</w:t>
            </w:r>
          </w:p>
        </w:tc>
        <w:tc>
          <w:tcPr>
            <w:tcW w:w="1690" w:type="pct"/>
            <w:tcBorders>
              <w:top w:val="nil"/>
              <w:bottom w:val="nil"/>
            </w:tcBorders>
            <w:shd w:val="clear" w:color="auto" w:fill="auto"/>
          </w:tcPr>
          <w:p w:rsidR="00035233" w:rsidRPr="00194011" w:rsidRDefault="00035233" w:rsidP="00035233">
            <w:pPr>
              <w:pStyle w:val="05Tabletext"/>
              <w:jc w:val="center"/>
            </w:pPr>
            <w:r>
              <w:t>3 (&lt;1)</w:t>
            </w:r>
          </w:p>
        </w:tc>
        <w:tc>
          <w:tcPr>
            <w:tcW w:w="1691" w:type="pct"/>
            <w:tcBorders>
              <w:top w:val="nil"/>
              <w:bottom w:val="nil"/>
            </w:tcBorders>
            <w:shd w:val="clear" w:color="auto" w:fill="auto"/>
          </w:tcPr>
          <w:p w:rsidR="00035233" w:rsidRPr="00194011" w:rsidRDefault="00035233" w:rsidP="00035233">
            <w:pPr>
              <w:pStyle w:val="05Tabletext"/>
              <w:jc w:val="center"/>
            </w:pPr>
            <w:r>
              <w:t>2 (&lt;1)</w:t>
            </w:r>
          </w:p>
        </w:tc>
      </w:tr>
      <w:tr w:rsidR="00035233" w:rsidRPr="00194011" w:rsidTr="007F448B">
        <w:trPr>
          <w:cantSplit/>
          <w:trHeight w:val="52"/>
        </w:trPr>
        <w:tc>
          <w:tcPr>
            <w:tcW w:w="1619" w:type="pct"/>
            <w:tcBorders>
              <w:top w:val="nil"/>
              <w:bottom w:val="nil"/>
            </w:tcBorders>
            <w:shd w:val="clear" w:color="auto" w:fill="auto"/>
          </w:tcPr>
          <w:p w:rsidR="00035233" w:rsidRPr="00364207" w:rsidRDefault="00035233" w:rsidP="00035233">
            <w:pPr>
              <w:pStyle w:val="05Tabletext"/>
              <w:ind w:firstLine="232"/>
              <w:rPr>
                <w:vertAlign w:val="superscript"/>
              </w:rPr>
            </w:pPr>
            <w:r>
              <w:t>Pneumonia</w:t>
            </w:r>
          </w:p>
        </w:tc>
        <w:tc>
          <w:tcPr>
            <w:tcW w:w="1690" w:type="pct"/>
            <w:tcBorders>
              <w:top w:val="nil"/>
              <w:bottom w:val="nil"/>
            </w:tcBorders>
            <w:shd w:val="clear" w:color="auto" w:fill="auto"/>
          </w:tcPr>
          <w:p w:rsidR="00035233" w:rsidRPr="00194011" w:rsidRDefault="00035233" w:rsidP="00035233">
            <w:pPr>
              <w:pStyle w:val="05Tabletext"/>
              <w:jc w:val="center"/>
            </w:pPr>
            <w:r>
              <w:t>0</w:t>
            </w:r>
          </w:p>
        </w:tc>
        <w:tc>
          <w:tcPr>
            <w:tcW w:w="1691" w:type="pct"/>
            <w:tcBorders>
              <w:top w:val="nil"/>
              <w:bottom w:val="nil"/>
            </w:tcBorders>
            <w:shd w:val="clear" w:color="auto" w:fill="auto"/>
          </w:tcPr>
          <w:p w:rsidR="00035233" w:rsidRPr="00194011" w:rsidRDefault="00035233" w:rsidP="00035233">
            <w:pPr>
              <w:pStyle w:val="05Tabletext"/>
              <w:jc w:val="center"/>
            </w:pPr>
            <w:r>
              <w:t>1 (&lt;1)</w:t>
            </w:r>
          </w:p>
        </w:tc>
      </w:tr>
      <w:tr w:rsidR="00035233" w:rsidRPr="00194011" w:rsidTr="00035233">
        <w:trPr>
          <w:cantSplit/>
        </w:trPr>
        <w:tc>
          <w:tcPr>
            <w:tcW w:w="1619" w:type="pct"/>
            <w:tcBorders>
              <w:top w:val="nil"/>
            </w:tcBorders>
            <w:shd w:val="clear" w:color="auto" w:fill="auto"/>
          </w:tcPr>
          <w:p w:rsidR="00035233" w:rsidRDefault="00035233" w:rsidP="00035233">
            <w:pPr>
              <w:pStyle w:val="05Tabletext"/>
              <w:ind w:firstLine="232"/>
            </w:pPr>
            <w:r>
              <w:t>LRTI (excluding pneumonia)</w:t>
            </w:r>
          </w:p>
        </w:tc>
        <w:tc>
          <w:tcPr>
            <w:tcW w:w="1690" w:type="pct"/>
            <w:tcBorders>
              <w:top w:val="nil"/>
            </w:tcBorders>
            <w:shd w:val="clear" w:color="auto" w:fill="auto"/>
          </w:tcPr>
          <w:p w:rsidR="00035233" w:rsidRPr="00194011" w:rsidRDefault="00035233" w:rsidP="00035233">
            <w:pPr>
              <w:pStyle w:val="05Tabletext"/>
              <w:jc w:val="center"/>
            </w:pPr>
            <w:r>
              <w:t>1 (&lt;1)</w:t>
            </w:r>
          </w:p>
        </w:tc>
        <w:tc>
          <w:tcPr>
            <w:tcW w:w="1691" w:type="pct"/>
            <w:tcBorders>
              <w:top w:val="nil"/>
            </w:tcBorders>
            <w:shd w:val="clear" w:color="auto" w:fill="auto"/>
          </w:tcPr>
          <w:p w:rsidR="00035233" w:rsidRPr="00194011" w:rsidRDefault="00035233" w:rsidP="00035233">
            <w:pPr>
              <w:pStyle w:val="05Tabletext"/>
              <w:jc w:val="center"/>
            </w:pPr>
            <w:r>
              <w:t>0</w:t>
            </w:r>
          </w:p>
        </w:tc>
      </w:tr>
      <w:tr w:rsidR="00035233" w:rsidRPr="00194011" w:rsidTr="00035233">
        <w:trPr>
          <w:cantSplit/>
        </w:trPr>
        <w:tc>
          <w:tcPr>
            <w:tcW w:w="1619" w:type="pct"/>
            <w:shd w:val="clear" w:color="auto" w:fill="auto"/>
          </w:tcPr>
          <w:p w:rsidR="00035233" w:rsidRPr="00194011" w:rsidRDefault="00035233" w:rsidP="00035233">
            <w:pPr>
              <w:pStyle w:val="05Tabletext"/>
            </w:pPr>
            <w:r>
              <w:t>Any SAE, n (%)</w:t>
            </w:r>
          </w:p>
        </w:tc>
        <w:tc>
          <w:tcPr>
            <w:tcW w:w="1690" w:type="pct"/>
            <w:shd w:val="clear" w:color="auto" w:fill="auto"/>
          </w:tcPr>
          <w:p w:rsidR="00035233" w:rsidRPr="00194011" w:rsidRDefault="00035233" w:rsidP="00035233">
            <w:pPr>
              <w:pStyle w:val="05Tabletext"/>
              <w:jc w:val="center"/>
            </w:pPr>
            <w:r>
              <w:t>7 (2)</w:t>
            </w:r>
          </w:p>
        </w:tc>
        <w:tc>
          <w:tcPr>
            <w:tcW w:w="1691" w:type="pct"/>
            <w:shd w:val="clear" w:color="auto" w:fill="auto"/>
          </w:tcPr>
          <w:p w:rsidR="00035233" w:rsidRPr="00194011" w:rsidRDefault="00035233" w:rsidP="00035233">
            <w:pPr>
              <w:pStyle w:val="05Tabletext"/>
              <w:jc w:val="center"/>
            </w:pPr>
            <w:r>
              <w:t>2 (&lt;1)</w:t>
            </w:r>
          </w:p>
        </w:tc>
      </w:tr>
      <w:tr w:rsidR="00035233" w:rsidRPr="00194011" w:rsidTr="00035233">
        <w:trPr>
          <w:cantSplit/>
        </w:trPr>
        <w:tc>
          <w:tcPr>
            <w:tcW w:w="1619" w:type="pct"/>
            <w:shd w:val="clear" w:color="auto" w:fill="auto"/>
          </w:tcPr>
          <w:p w:rsidR="00035233" w:rsidRPr="006E27DA" w:rsidRDefault="00035233" w:rsidP="00035233">
            <w:pPr>
              <w:pStyle w:val="05Tabletext"/>
              <w:rPr>
                <w:vertAlign w:val="superscript"/>
              </w:rPr>
            </w:pPr>
            <w:r>
              <w:t>Treatment-related AE, n (%)</w:t>
            </w:r>
          </w:p>
        </w:tc>
        <w:tc>
          <w:tcPr>
            <w:tcW w:w="1690" w:type="pct"/>
            <w:shd w:val="clear" w:color="auto" w:fill="auto"/>
          </w:tcPr>
          <w:p w:rsidR="00035233" w:rsidRPr="00194011" w:rsidRDefault="00035233" w:rsidP="00035233">
            <w:pPr>
              <w:pStyle w:val="05Tabletext"/>
              <w:jc w:val="center"/>
            </w:pPr>
            <w:r>
              <w:t>7 (2)</w:t>
            </w:r>
          </w:p>
        </w:tc>
        <w:tc>
          <w:tcPr>
            <w:tcW w:w="1691" w:type="pct"/>
            <w:shd w:val="clear" w:color="auto" w:fill="auto"/>
          </w:tcPr>
          <w:p w:rsidR="00035233" w:rsidRPr="00194011" w:rsidRDefault="00035233" w:rsidP="00035233">
            <w:pPr>
              <w:pStyle w:val="05Tabletext"/>
              <w:jc w:val="center"/>
            </w:pPr>
            <w:r>
              <w:t>14 (4)</w:t>
            </w:r>
          </w:p>
        </w:tc>
      </w:tr>
      <w:tr w:rsidR="00035233" w:rsidRPr="00194011" w:rsidTr="00035233">
        <w:trPr>
          <w:cantSplit/>
        </w:trPr>
        <w:tc>
          <w:tcPr>
            <w:tcW w:w="1619" w:type="pct"/>
            <w:shd w:val="clear" w:color="auto" w:fill="auto"/>
          </w:tcPr>
          <w:p w:rsidR="00035233" w:rsidRDefault="00035233" w:rsidP="00035233">
            <w:pPr>
              <w:pStyle w:val="05Tabletext"/>
            </w:pPr>
            <w:r>
              <w:t>AEs leading to permanent discontinuation or withdrawal, n (%)</w:t>
            </w:r>
          </w:p>
        </w:tc>
        <w:tc>
          <w:tcPr>
            <w:tcW w:w="1690" w:type="pct"/>
            <w:shd w:val="clear" w:color="auto" w:fill="auto"/>
          </w:tcPr>
          <w:p w:rsidR="00035233" w:rsidRPr="00194011" w:rsidRDefault="00035233" w:rsidP="00035233">
            <w:pPr>
              <w:pStyle w:val="05Tabletext"/>
              <w:jc w:val="center"/>
            </w:pPr>
            <w:r>
              <w:t>6 (2)</w:t>
            </w:r>
          </w:p>
        </w:tc>
        <w:tc>
          <w:tcPr>
            <w:tcW w:w="1691" w:type="pct"/>
            <w:shd w:val="clear" w:color="auto" w:fill="auto"/>
          </w:tcPr>
          <w:p w:rsidR="00035233" w:rsidRPr="00194011" w:rsidRDefault="00035233" w:rsidP="00035233">
            <w:pPr>
              <w:pStyle w:val="05Tabletext"/>
              <w:jc w:val="center"/>
            </w:pPr>
            <w:r>
              <w:t>5 (1)</w:t>
            </w:r>
          </w:p>
        </w:tc>
      </w:tr>
      <w:tr w:rsidR="00035233" w:rsidRPr="00194011" w:rsidTr="00035233">
        <w:trPr>
          <w:cantSplit/>
        </w:trPr>
        <w:tc>
          <w:tcPr>
            <w:tcW w:w="1619" w:type="pct"/>
            <w:shd w:val="clear" w:color="auto" w:fill="auto"/>
          </w:tcPr>
          <w:p w:rsidR="00035233" w:rsidRPr="00770AB1" w:rsidRDefault="00035233" w:rsidP="00035233">
            <w:pPr>
              <w:pStyle w:val="05Tabletext"/>
            </w:pPr>
            <w:r>
              <w:t>Fatal AEs, n (%)</w:t>
            </w:r>
          </w:p>
        </w:tc>
        <w:tc>
          <w:tcPr>
            <w:tcW w:w="1690" w:type="pct"/>
            <w:shd w:val="clear" w:color="auto" w:fill="auto"/>
          </w:tcPr>
          <w:p w:rsidR="00035233" w:rsidRPr="00770AB1" w:rsidRDefault="00035233" w:rsidP="00035233">
            <w:pPr>
              <w:pStyle w:val="05Tabletext"/>
              <w:jc w:val="center"/>
            </w:pPr>
            <w:r>
              <w:t>1 (&lt;1)</w:t>
            </w:r>
          </w:p>
        </w:tc>
        <w:tc>
          <w:tcPr>
            <w:tcW w:w="1691" w:type="pct"/>
            <w:shd w:val="clear" w:color="auto" w:fill="auto"/>
          </w:tcPr>
          <w:p w:rsidR="00035233" w:rsidRPr="00770AB1" w:rsidRDefault="00035233" w:rsidP="00035233">
            <w:pPr>
              <w:pStyle w:val="05Tabletext"/>
              <w:jc w:val="center"/>
            </w:pPr>
            <w:r>
              <w:t>0</w:t>
            </w:r>
          </w:p>
        </w:tc>
      </w:tr>
    </w:tbl>
    <w:p w:rsidR="00035233" w:rsidRDefault="00035233" w:rsidP="00035233">
      <w:pPr>
        <w:pStyle w:val="10TableorFigurefootnote"/>
      </w:pPr>
      <w:r>
        <w:t>Source: Singh (2015</w:t>
      </w:r>
      <w:r w:rsidR="004059B1">
        <w:t>a</w:t>
      </w:r>
      <w:r>
        <w:t>), Table 4.</w:t>
      </w:r>
    </w:p>
    <w:p w:rsidR="00035233" w:rsidRDefault="00035233" w:rsidP="00035233">
      <w:pPr>
        <w:pStyle w:val="11TableorFigurefootnotenostick"/>
      </w:pPr>
      <w:r>
        <w:t>Abbreviations: AE, adverse event; COPD, chronic obstructive pulmonary disease; FLU, fluticasone</w:t>
      </w:r>
      <w:r w:rsidR="00DE288F">
        <w:t xml:space="preserve"> propionate</w:t>
      </w:r>
      <w:r>
        <w:t>; ITT, intention</w:t>
      </w:r>
      <w:r w:rsidR="00D1265E">
        <w:t>-</w:t>
      </w:r>
      <w:r>
        <w:t>to</w:t>
      </w:r>
      <w:r w:rsidR="00D1265E">
        <w:t>-</w:t>
      </w:r>
      <w:r>
        <w:t>treat; LRTI, lower respiratory tract infection; SAE, serious adverse event; SAL, salmeterol; UME, umeclidinium; VIL, vilanterol.</w:t>
      </w:r>
    </w:p>
    <w:p w:rsidR="00E7795C" w:rsidRDefault="00035233" w:rsidP="00E7795C">
      <w:pPr>
        <w:pStyle w:val="BodyText"/>
      </w:pPr>
      <w:r>
        <w:t xml:space="preserve">A potential limitation is that patient recruitment was restricted to GOLD </w:t>
      </w:r>
      <w:r w:rsidR="00CF608D">
        <w:t>B</w:t>
      </w:r>
      <w:r>
        <w:t xml:space="preserve"> and </w:t>
      </w:r>
      <w:r w:rsidR="00CF608D">
        <w:t>D</w:t>
      </w:r>
      <w:r>
        <w:t xml:space="preserve"> patients, so that potential benefits of umeclidinium/vilanterol compared with fluticasone</w:t>
      </w:r>
      <w:r w:rsidR="00DE288F">
        <w:t xml:space="preserve"> propionate</w:t>
      </w:r>
      <w:r>
        <w:t>/salmeterol are unknown in very severe COPD.</w:t>
      </w:r>
    </w:p>
    <w:p w:rsidR="00135220" w:rsidRDefault="00135220">
      <w:pPr>
        <w:spacing w:before="0" w:line="240" w:lineRule="auto"/>
        <w:jc w:val="left"/>
        <w:rPr>
          <w:rFonts w:eastAsia="Times New Roman"/>
          <w:b/>
          <w:iCs/>
        </w:rPr>
      </w:pPr>
    </w:p>
    <w:p w:rsidR="00035233" w:rsidRDefault="00035233" w:rsidP="00E7795C">
      <w:pPr>
        <w:pStyle w:val="Heading4"/>
      </w:pPr>
      <w:r>
        <w:t>Glycopyrronium/indacaterol versus fluticasone</w:t>
      </w:r>
      <w:r w:rsidR="00DE288F">
        <w:t xml:space="preserve"> propionate</w:t>
      </w:r>
      <w:r>
        <w:t>/salmeterol</w:t>
      </w:r>
    </w:p>
    <w:p w:rsidR="00035233" w:rsidRDefault="00035233" w:rsidP="00251CB8">
      <w:pPr>
        <w:pStyle w:val="Heading5"/>
        <w:numPr>
          <w:ilvl w:val="4"/>
          <w:numId w:val="11"/>
        </w:numPr>
      </w:pPr>
      <w:r w:rsidRPr="001A34AE">
        <w:t>ILLUMINATE</w:t>
      </w:r>
      <w:r>
        <w:t xml:space="preserve"> study</w:t>
      </w:r>
    </w:p>
    <w:p w:rsidR="00035233" w:rsidRDefault="00035233" w:rsidP="00035233">
      <w:pPr>
        <w:pStyle w:val="BodyTextnospacebefore"/>
      </w:pPr>
      <w:r>
        <w:t>ILLUMINATE was an earlier study with a similar purpose to the study by Singh et al (2015</w:t>
      </w:r>
      <w:r w:rsidR="004059B1">
        <w:t>a</w:t>
      </w:r>
      <w:r>
        <w:t xml:space="preserve">); that is, to investigate the comparative benefits and safety of maintenance treatment with </w:t>
      </w:r>
      <w:r>
        <w:lastRenderedPageBreak/>
        <w:t>combined LAMA/LABA therapies versus ICS/LABA therapy in low</w:t>
      </w:r>
      <w:r w:rsidR="0050164C">
        <w:t xml:space="preserve"> </w:t>
      </w:r>
      <w:r>
        <w:t>risk COPD patients who are symptomatic but have not experienced an exacerbation requiring treatment with antibiotics, systemic corticosteroids, or hospitalisation in the previous year.</w:t>
      </w:r>
      <w:r>
        <w:rPr>
          <w:rStyle w:val="FootnoteReference"/>
        </w:rPr>
        <w:footnoteReference w:id="40"/>
      </w:r>
    </w:p>
    <w:p w:rsidR="00035233" w:rsidRPr="00CC325A" w:rsidRDefault="00035233" w:rsidP="00035233">
      <w:pPr>
        <w:pStyle w:val="BodyText"/>
      </w:pPr>
      <w:r>
        <w:t>Despite the low</w:t>
      </w:r>
      <w:r w:rsidR="0050164C">
        <w:t xml:space="preserve"> </w:t>
      </w:r>
      <w:r>
        <w:t>risk, non-exacerbati</w:t>
      </w:r>
      <w:r w:rsidR="00C42C2C">
        <w:t>on</w:t>
      </w:r>
      <w:r>
        <w:t xml:space="preserve"> population that was recruited in this study, approximately a third of patients were on ICS at baseline. Interestingly, the authors noted that neither patients who were not on ICS therapy at baseline, nor those who were, experienced a clinically meaningful deterioration in </w:t>
      </w:r>
      <w:r w:rsidRPr="00C841DA">
        <w:t>mean pre-bronchodilator FEV</w:t>
      </w:r>
      <w:r w:rsidRPr="00C841DA">
        <w:rPr>
          <w:vertAlign w:val="subscript"/>
        </w:rPr>
        <w:t>1</w:t>
      </w:r>
      <w:r>
        <w:t xml:space="preserve"> during the run-in period, when ICS</w:t>
      </w:r>
      <w:r w:rsidR="00C42C2C">
        <w:t>s</w:t>
      </w:r>
      <w:r>
        <w:t xml:space="preserve"> were not permitted (–33 mL versus –35 mL, respectively).</w:t>
      </w:r>
    </w:p>
    <w:p w:rsidR="00035233" w:rsidRDefault="00035233" w:rsidP="00035233">
      <w:pPr>
        <w:pStyle w:val="BodyText"/>
      </w:pPr>
      <w:r>
        <w:t>The results for trough FEV</w:t>
      </w:r>
      <w:r>
        <w:rPr>
          <w:vertAlign w:val="subscript"/>
        </w:rPr>
        <w:t>1</w:t>
      </w:r>
      <w:r>
        <w:t xml:space="preserve"> are shown in </w:t>
      </w:r>
      <w:r w:rsidR="00AC7B51">
        <w:t>Table 3.5</w:t>
      </w:r>
      <w:r w:rsidR="00967B39">
        <w:t>3</w:t>
      </w:r>
      <w:r>
        <w:t xml:space="preserve"> and demonstrate that glycopyrronium/indacaterol provided significantly better and clinically relevant improvement</w:t>
      </w:r>
      <w:r>
        <w:rPr>
          <w:rStyle w:val="FootnoteReference"/>
        </w:rPr>
        <w:footnoteReference w:id="41"/>
      </w:r>
      <w:r>
        <w:t xml:space="preserve"> in lung function compared with fluticasone</w:t>
      </w:r>
      <w:r w:rsidR="008136DE">
        <w:t xml:space="preserve"> propionate</w:t>
      </w:r>
      <w:r>
        <w:t xml:space="preserve">/salmeterol by the end of the 26-week treatment period. It also provided improvements in important </w:t>
      </w:r>
      <w:r w:rsidR="00C42C2C">
        <w:t xml:space="preserve">PROs </w:t>
      </w:r>
      <w:r>
        <w:t>such as dyspnoea and rescue medication use compared with fluticasone</w:t>
      </w:r>
      <w:r w:rsidR="008136DE">
        <w:t xml:space="preserve"> propionate</w:t>
      </w:r>
      <w:r>
        <w:t>/salmeterol.</w:t>
      </w:r>
    </w:p>
    <w:p w:rsidR="00035233" w:rsidRPr="002309B9" w:rsidRDefault="00AC7B51" w:rsidP="007F448B">
      <w:pPr>
        <w:pStyle w:val="ToR3Tableheader"/>
      </w:pPr>
      <w:bookmarkStart w:id="378" w:name="_Toc468006293"/>
      <w:bookmarkStart w:id="379" w:name="_Toc468012338"/>
      <w:bookmarkStart w:id="380" w:name="_Toc468034494"/>
      <w:bookmarkStart w:id="381" w:name="_Toc471891044"/>
      <w:bookmarkStart w:id="382" w:name="_Toc486428232"/>
      <w:r>
        <w:t>Table 3.5</w:t>
      </w:r>
      <w:r w:rsidR="00967B39">
        <w:t>3</w:t>
      </w:r>
      <w:r w:rsidR="00035233">
        <w:tab/>
        <w:t>Result for trough FEV</w:t>
      </w:r>
      <w:r w:rsidR="00035233">
        <w:rPr>
          <w:vertAlign w:val="subscript"/>
        </w:rPr>
        <w:t>1</w:t>
      </w:r>
      <w:r w:rsidR="00035233">
        <w:t xml:space="preserve"> at Weeks 12 and 26 – GLY/IND vs FLU/SAL</w:t>
      </w:r>
      <w:bookmarkEnd w:id="378"/>
      <w:bookmarkEnd w:id="379"/>
      <w:bookmarkEnd w:id="380"/>
      <w:bookmarkEnd w:id="381"/>
      <w:bookmarkEnd w:id="38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Caption w:val="Result for trough FEV1 at Weeks 12 and 26 "/>
        <w:tblDescription w:val="GLY/IND vs FLU/SAL"/>
      </w:tblPr>
      <w:tblGrid>
        <w:gridCol w:w="2417"/>
        <w:gridCol w:w="2032"/>
        <w:gridCol w:w="2032"/>
        <w:gridCol w:w="2032"/>
        <w:gridCol w:w="1135"/>
      </w:tblGrid>
      <w:tr w:rsidR="00035233" w:rsidRPr="00194011" w:rsidTr="00035233">
        <w:trPr>
          <w:cantSplit/>
          <w:tblHeader/>
        </w:trPr>
        <w:tc>
          <w:tcPr>
            <w:tcW w:w="1253" w:type="pct"/>
            <w:shd w:val="clear" w:color="auto" w:fill="BFBFBF"/>
          </w:tcPr>
          <w:p w:rsidR="00035233" w:rsidRPr="00424904" w:rsidRDefault="00035233" w:rsidP="00035233">
            <w:pPr>
              <w:pStyle w:val="01TableHEADINGleftaligned"/>
            </w:pPr>
            <w:r>
              <w:t>Trough FEV</w:t>
            </w:r>
            <w:r>
              <w:rPr>
                <w:vertAlign w:val="subscript"/>
              </w:rPr>
              <w:t>1</w:t>
            </w:r>
          </w:p>
        </w:tc>
        <w:tc>
          <w:tcPr>
            <w:tcW w:w="1053" w:type="pct"/>
            <w:tcBorders>
              <w:bottom w:val="single" w:sz="4" w:space="0" w:color="auto"/>
              <w:right w:val="single" w:sz="4" w:space="0" w:color="auto"/>
            </w:tcBorders>
            <w:shd w:val="clear" w:color="auto" w:fill="BFBFBF"/>
          </w:tcPr>
          <w:p w:rsidR="00035233" w:rsidRPr="00815893" w:rsidRDefault="00035233" w:rsidP="00035233">
            <w:pPr>
              <w:pStyle w:val="01TableHEADINGleftaligned"/>
              <w:ind w:right="0"/>
              <w:jc w:val="center"/>
            </w:pPr>
            <w:r>
              <w:t>GLY/IND (n=258)</w:t>
            </w:r>
            <w:r>
              <w:br/>
              <w:t>Mean (SE)</w:t>
            </w:r>
          </w:p>
        </w:tc>
        <w:tc>
          <w:tcPr>
            <w:tcW w:w="1053" w:type="pct"/>
            <w:tcBorders>
              <w:left w:val="single" w:sz="4" w:space="0" w:color="auto"/>
              <w:bottom w:val="single" w:sz="4" w:space="0" w:color="auto"/>
              <w:right w:val="single" w:sz="4" w:space="0" w:color="auto"/>
            </w:tcBorders>
            <w:shd w:val="clear" w:color="auto" w:fill="BFBFBF"/>
          </w:tcPr>
          <w:p w:rsidR="00035233" w:rsidRPr="00815893" w:rsidRDefault="00035233" w:rsidP="00035233">
            <w:pPr>
              <w:pStyle w:val="01TableHEADINGleftaligned"/>
              <w:ind w:left="28"/>
              <w:jc w:val="center"/>
            </w:pPr>
            <w:r>
              <w:t>FLU/SAL (n=264)</w:t>
            </w:r>
            <w:r>
              <w:br/>
              <w:t>Mean (SE)</w:t>
            </w:r>
          </w:p>
        </w:tc>
        <w:tc>
          <w:tcPr>
            <w:tcW w:w="1053" w:type="pct"/>
            <w:tcBorders>
              <w:left w:val="single" w:sz="4" w:space="0" w:color="auto"/>
              <w:bottom w:val="single" w:sz="4" w:space="0" w:color="auto"/>
              <w:right w:val="single" w:sz="4" w:space="0" w:color="auto"/>
            </w:tcBorders>
            <w:shd w:val="clear" w:color="auto" w:fill="BFBFBF"/>
          </w:tcPr>
          <w:p w:rsidR="00035233" w:rsidRDefault="00035233" w:rsidP="00035233">
            <w:pPr>
              <w:pStyle w:val="01TableHEADINGleftaligned"/>
              <w:jc w:val="center"/>
            </w:pPr>
            <w:r>
              <w:t>Treatment difference, L, (95% CI)</w:t>
            </w:r>
          </w:p>
        </w:tc>
        <w:tc>
          <w:tcPr>
            <w:tcW w:w="589" w:type="pct"/>
            <w:tcBorders>
              <w:left w:val="single" w:sz="4" w:space="0" w:color="auto"/>
              <w:bottom w:val="single" w:sz="4" w:space="0" w:color="auto"/>
            </w:tcBorders>
            <w:shd w:val="clear" w:color="auto" w:fill="BFBFBF"/>
          </w:tcPr>
          <w:p w:rsidR="00035233" w:rsidRPr="00194011" w:rsidRDefault="00035233" w:rsidP="00035233">
            <w:pPr>
              <w:pStyle w:val="01TableHEADINGleftaligned"/>
              <w:jc w:val="center"/>
            </w:pPr>
            <w:r>
              <w:t>p-value</w:t>
            </w:r>
          </w:p>
        </w:tc>
      </w:tr>
      <w:tr w:rsidR="00035233" w:rsidRPr="00194011" w:rsidTr="00035233">
        <w:trPr>
          <w:cantSplit/>
        </w:trPr>
        <w:tc>
          <w:tcPr>
            <w:tcW w:w="1253" w:type="pct"/>
            <w:shd w:val="clear" w:color="auto" w:fill="auto"/>
          </w:tcPr>
          <w:p w:rsidR="00035233" w:rsidRDefault="00035233" w:rsidP="00035233">
            <w:pPr>
              <w:pStyle w:val="05Tabletext"/>
            </w:pPr>
            <w:r>
              <w:t>Trough FEV</w:t>
            </w:r>
            <w:r>
              <w:rPr>
                <w:vertAlign w:val="subscript"/>
              </w:rPr>
              <w:t>1</w:t>
            </w:r>
            <w:r w:rsidR="00460E94">
              <w:t xml:space="preserve"> at W</w:t>
            </w:r>
            <w:r>
              <w:t>eek 12, L</w:t>
            </w:r>
          </w:p>
        </w:tc>
        <w:tc>
          <w:tcPr>
            <w:tcW w:w="1053" w:type="pct"/>
            <w:shd w:val="clear" w:color="auto" w:fill="auto"/>
          </w:tcPr>
          <w:p w:rsidR="00035233" w:rsidRDefault="00035233" w:rsidP="00035233">
            <w:pPr>
              <w:pStyle w:val="05Tabletext"/>
              <w:jc w:val="center"/>
            </w:pPr>
            <w:r>
              <w:t>1.612 (0.023)</w:t>
            </w:r>
          </w:p>
        </w:tc>
        <w:tc>
          <w:tcPr>
            <w:tcW w:w="1053" w:type="pct"/>
            <w:shd w:val="clear" w:color="auto" w:fill="auto"/>
          </w:tcPr>
          <w:p w:rsidR="00035233" w:rsidRDefault="00035233" w:rsidP="00035233">
            <w:pPr>
              <w:pStyle w:val="05Tabletext"/>
              <w:jc w:val="center"/>
            </w:pPr>
            <w:r>
              <w:t>1.520 (0.022)</w:t>
            </w:r>
          </w:p>
        </w:tc>
        <w:tc>
          <w:tcPr>
            <w:tcW w:w="1053" w:type="pct"/>
            <w:shd w:val="clear" w:color="auto" w:fill="auto"/>
          </w:tcPr>
          <w:p w:rsidR="00035233" w:rsidRDefault="00035233" w:rsidP="00035233">
            <w:pPr>
              <w:pStyle w:val="05Tabletext"/>
              <w:jc w:val="center"/>
            </w:pPr>
            <w:r>
              <w:t>0.092 (0.059, 0.125)</w:t>
            </w:r>
          </w:p>
        </w:tc>
        <w:tc>
          <w:tcPr>
            <w:tcW w:w="589" w:type="pct"/>
          </w:tcPr>
          <w:p w:rsidR="00035233" w:rsidRDefault="00035233" w:rsidP="00035233">
            <w:pPr>
              <w:pStyle w:val="05Tabletext"/>
              <w:jc w:val="center"/>
            </w:pPr>
            <w:r>
              <w:t>&lt;0.0001</w:t>
            </w:r>
          </w:p>
        </w:tc>
      </w:tr>
      <w:tr w:rsidR="00035233" w:rsidRPr="00194011" w:rsidTr="00035233">
        <w:trPr>
          <w:cantSplit/>
        </w:trPr>
        <w:tc>
          <w:tcPr>
            <w:tcW w:w="1253" w:type="pct"/>
            <w:shd w:val="clear" w:color="auto" w:fill="auto"/>
          </w:tcPr>
          <w:p w:rsidR="00035233" w:rsidRDefault="00035233" w:rsidP="00035233">
            <w:pPr>
              <w:pStyle w:val="05Tabletext"/>
            </w:pPr>
            <w:r>
              <w:t>Trough FEV</w:t>
            </w:r>
            <w:r>
              <w:rPr>
                <w:vertAlign w:val="subscript"/>
              </w:rPr>
              <w:t>1</w:t>
            </w:r>
            <w:r w:rsidR="00460E94">
              <w:t xml:space="preserve"> at W</w:t>
            </w:r>
            <w:r>
              <w:t>eek 26, L</w:t>
            </w:r>
          </w:p>
        </w:tc>
        <w:tc>
          <w:tcPr>
            <w:tcW w:w="1053" w:type="pct"/>
            <w:shd w:val="clear" w:color="auto" w:fill="auto"/>
          </w:tcPr>
          <w:p w:rsidR="00035233" w:rsidRDefault="00035233" w:rsidP="00035233">
            <w:pPr>
              <w:pStyle w:val="05Tabletext"/>
              <w:jc w:val="center"/>
            </w:pPr>
            <w:r>
              <w:t>1.601 (0.027)</w:t>
            </w:r>
          </w:p>
        </w:tc>
        <w:tc>
          <w:tcPr>
            <w:tcW w:w="1053" w:type="pct"/>
            <w:tcBorders>
              <w:bottom w:val="single" w:sz="4" w:space="0" w:color="auto"/>
            </w:tcBorders>
            <w:shd w:val="clear" w:color="auto" w:fill="auto"/>
          </w:tcPr>
          <w:p w:rsidR="00035233" w:rsidRDefault="00035233" w:rsidP="00035233">
            <w:pPr>
              <w:pStyle w:val="05Tabletext"/>
              <w:jc w:val="center"/>
            </w:pPr>
            <w:r>
              <w:t>1.498 (0.025)</w:t>
            </w:r>
          </w:p>
        </w:tc>
        <w:tc>
          <w:tcPr>
            <w:tcW w:w="1053" w:type="pct"/>
            <w:tcBorders>
              <w:bottom w:val="single" w:sz="4" w:space="0" w:color="auto"/>
            </w:tcBorders>
            <w:shd w:val="clear" w:color="auto" w:fill="auto"/>
          </w:tcPr>
          <w:p w:rsidR="00035233" w:rsidRDefault="00035233" w:rsidP="00035233">
            <w:pPr>
              <w:pStyle w:val="05Tabletext"/>
              <w:jc w:val="center"/>
            </w:pPr>
            <w:r>
              <w:t>0.103 (0.065, 0.141)</w:t>
            </w:r>
          </w:p>
        </w:tc>
        <w:tc>
          <w:tcPr>
            <w:tcW w:w="589" w:type="pct"/>
            <w:tcBorders>
              <w:bottom w:val="single" w:sz="4" w:space="0" w:color="auto"/>
            </w:tcBorders>
          </w:tcPr>
          <w:p w:rsidR="00035233" w:rsidRDefault="00035233" w:rsidP="00035233">
            <w:pPr>
              <w:pStyle w:val="05Tabletext"/>
              <w:jc w:val="center"/>
            </w:pPr>
            <w:r>
              <w:t>&lt;0.0001</w:t>
            </w:r>
          </w:p>
        </w:tc>
      </w:tr>
    </w:tbl>
    <w:p w:rsidR="00035233" w:rsidRDefault="00035233" w:rsidP="00035233">
      <w:pPr>
        <w:pStyle w:val="10TableorFigurefootnote"/>
      </w:pPr>
      <w:r>
        <w:t>Source: Vogelmeier et al (2013), Table 2 and page 55 (in text0.</w:t>
      </w:r>
    </w:p>
    <w:p w:rsidR="00035233" w:rsidRDefault="00035233" w:rsidP="00035233">
      <w:pPr>
        <w:pStyle w:val="10TableorFigurefootnote"/>
      </w:pPr>
      <w:r>
        <w:t>Note: Based on full analysis set; ITT.</w:t>
      </w:r>
    </w:p>
    <w:p w:rsidR="00035233" w:rsidRDefault="00035233" w:rsidP="00035233">
      <w:pPr>
        <w:pStyle w:val="11TableorFigurefootnotenostick"/>
      </w:pPr>
      <w:r>
        <w:t>Abbreviations: CI, confidence interval; FEV</w:t>
      </w:r>
      <w:r w:rsidRPr="00FD7E32">
        <w:rPr>
          <w:vertAlign w:val="subscript"/>
        </w:rPr>
        <w:t>1</w:t>
      </w:r>
      <w:r>
        <w:t>, forced expiratory volume in 1 second; FLU, fluticasone</w:t>
      </w:r>
      <w:r w:rsidR="008136DE">
        <w:t xml:space="preserve"> propionate</w:t>
      </w:r>
      <w:r>
        <w:t>; IND, indacaterol; GLY, glycopyrronium; SAL, salmeterol; SE, standard error.</w:t>
      </w:r>
    </w:p>
    <w:p w:rsidR="00C42C2C" w:rsidRDefault="00035233" w:rsidP="00C42C2C">
      <w:pPr>
        <w:pStyle w:val="BodyText"/>
      </w:pPr>
      <w:r>
        <w:t xml:space="preserve">There were numerically fewer </w:t>
      </w:r>
      <w:r w:rsidR="007F448B">
        <w:t>AE</w:t>
      </w:r>
      <w:r>
        <w:t>s in the glycopyrronium/</w:t>
      </w:r>
      <w:r>
        <w:rPr>
          <w:rFonts w:hint="cs"/>
        </w:rPr>
        <w:t>indacaterol group compared with the fluticasone</w:t>
      </w:r>
      <w:r w:rsidR="0090454A">
        <w:t xml:space="preserve"> propionate</w:t>
      </w:r>
      <w:r>
        <w:rPr>
          <w:rFonts w:hint="cs"/>
        </w:rPr>
        <w:t>/salmeterol group, as well as fewer patients who experienced a worsening of COPD</w:t>
      </w:r>
      <w:r>
        <w:t xml:space="preserve"> (see </w:t>
      </w:r>
      <w:r w:rsidR="00AC7B51">
        <w:t>Table 3.5</w:t>
      </w:r>
      <w:r w:rsidR="00967B39">
        <w:t>4</w:t>
      </w:r>
      <w:r>
        <w:t>)</w:t>
      </w:r>
      <w:r w:rsidR="00C42C2C">
        <w:t>, although</w:t>
      </w:r>
      <w:r>
        <w:rPr>
          <w:rFonts w:hint="cs"/>
        </w:rPr>
        <w:t xml:space="preserve"> it is unlikely that these differences were statistically significant.</w:t>
      </w:r>
      <w:r w:rsidR="00C42C2C">
        <w:t xml:space="preserve"> The authors concluded that switching from ICS/LABA to dual bronchodilation with glycopyrronium/indacaterol would not result in deterioration in quality of life.</w:t>
      </w:r>
    </w:p>
    <w:p w:rsidR="00C42C2C" w:rsidRDefault="00C42C2C" w:rsidP="00C42C2C">
      <w:pPr>
        <w:pStyle w:val="BodyText"/>
      </w:pPr>
      <w:r>
        <w:t>While this study demonstrated that treatment with two long-acting bronchodilators in patients at low risk of exacerbations may optimise lung function and symptom benefit, further studies are needed to assess LAMA/LABA FDCs in more severe, exacerbating patients where ICS are currently recommended.</w:t>
      </w:r>
    </w:p>
    <w:p w:rsidR="00035233" w:rsidRPr="00CC7947" w:rsidRDefault="00AC7B51" w:rsidP="007F448B">
      <w:pPr>
        <w:pStyle w:val="ToR3Tableheader"/>
        <w:rPr>
          <w:vertAlign w:val="superscript"/>
        </w:rPr>
      </w:pPr>
      <w:bookmarkStart w:id="383" w:name="_Toc468006294"/>
      <w:bookmarkStart w:id="384" w:name="_Toc468012339"/>
      <w:bookmarkStart w:id="385" w:name="_Toc468034495"/>
      <w:bookmarkStart w:id="386" w:name="_Toc471891045"/>
      <w:bookmarkStart w:id="387" w:name="_Toc486428233"/>
      <w:r>
        <w:t>Table 3.5</w:t>
      </w:r>
      <w:r w:rsidR="00967B39">
        <w:t>4</w:t>
      </w:r>
      <w:r w:rsidR="00035233">
        <w:tab/>
        <w:t>Results for safety outcomes relating to GLY/IND vs FLU/SAL – Safety population</w:t>
      </w:r>
      <w:r w:rsidR="00035233">
        <w:rPr>
          <w:vertAlign w:val="superscript"/>
        </w:rPr>
        <w:t>a</w:t>
      </w:r>
      <w:bookmarkEnd w:id="383"/>
      <w:bookmarkEnd w:id="384"/>
      <w:bookmarkEnd w:id="385"/>
      <w:bookmarkEnd w:id="386"/>
      <w:bookmarkEnd w:id="38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Caption w:val="Safety outcomes"/>
        <w:tblDescription w:val="GLY/IND vs FLU/SAL"/>
      </w:tblPr>
      <w:tblGrid>
        <w:gridCol w:w="3974"/>
        <w:gridCol w:w="2976"/>
        <w:gridCol w:w="2698"/>
      </w:tblGrid>
      <w:tr w:rsidR="00035233" w:rsidRPr="00194011" w:rsidTr="00035233">
        <w:trPr>
          <w:cantSplit/>
          <w:tblHeader/>
        </w:trPr>
        <w:tc>
          <w:tcPr>
            <w:tcW w:w="2059" w:type="pct"/>
            <w:tcBorders>
              <w:bottom w:val="single" w:sz="4" w:space="0" w:color="auto"/>
            </w:tcBorders>
            <w:shd w:val="clear" w:color="auto" w:fill="BFBFBF"/>
          </w:tcPr>
          <w:p w:rsidR="00035233" w:rsidRPr="00194011" w:rsidRDefault="00035233" w:rsidP="00035233">
            <w:pPr>
              <w:pStyle w:val="01TableHEADINGleftaligned"/>
              <w:rPr>
                <w:i/>
              </w:rPr>
            </w:pPr>
            <w:r>
              <w:t>Safety outcome</w:t>
            </w:r>
          </w:p>
        </w:tc>
        <w:tc>
          <w:tcPr>
            <w:tcW w:w="1542" w:type="pct"/>
            <w:tcBorders>
              <w:bottom w:val="single" w:sz="4" w:space="0" w:color="auto"/>
            </w:tcBorders>
            <w:shd w:val="clear" w:color="auto" w:fill="BFBFBF"/>
          </w:tcPr>
          <w:p w:rsidR="00035233" w:rsidRPr="00194011" w:rsidRDefault="00035233" w:rsidP="00035233">
            <w:pPr>
              <w:pStyle w:val="01TableHEADINGleftaligned"/>
              <w:jc w:val="center"/>
            </w:pPr>
            <w:r>
              <w:t>GLY/IND (N=258)</w:t>
            </w:r>
          </w:p>
        </w:tc>
        <w:tc>
          <w:tcPr>
            <w:tcW w:w="1398" w:type="pct"/>
            <w:tcBorders>
              <w:bottom w:val="single" w:sz="4" w:space="0" w:color="auto"/>
            </w:tcBorders>
            <w:shd w:val="clear" w:color="auto" w:fill="BFBFBF"/>
          </w:tcPr>
          <w:p w:rsidR="00035233" w:rsidRDefault="00035233" w:rsidP="00035233">
            <w:pPr>
              <w:pStyle w:val="01TableHEADINGleftaligned"/>
              <w:jc w:val="center"/>
            </w:pPr>
            <w:r>
              <w:t>FLU/SAL (N=264)</w:t>
            </w:r>
          </w:p>
        </w:tc>
      </w:tr>
      <w:tr w:rsidR="00035233" w:rsidRPr="00194011" w:rsidTr="00035233">
        <w:trPr>
          <w:cantSplit/>
        </w:trPr>
        <w:tc>
          <w:tcPr>
            <w:tcW w:w="2059" w:type="pct"/>
            <w:tcBorders>
              <w:bottom w:val="nil"/>
            </w:tcBorders>
            <w:shd w:val="clear" w:color="auto" w:fill="auto"/>
          </w:tcPr>
          <w:p w:rsidR="00035233" w:rsidRPr="00194011" w:rsidRDefault="00035233" w:rsidP="00035233">
            <w:pPr>
              <w:pStyle w:val="05Tabletext"/>
            </w:pPr>
            <w:r>
              <w:t>Any AE, n (%)</w:t>
            </w:r>
          </w:p>
        </w:tc>
        <w:tc>
          <w:tcPr>
            <w:tcW w:w="1542" w:type="pct"/>
            <w:tcBorders>
              <w:bottom w:val="nil"/>
            </w:tcBorders>
            <w:shd w:val="clear" w:color="auto" w:fill="auto"/>
          </w:tcPr>
          <w:p w:rsidR="00035233" w:rsidRPr="00194011" w:rsidRDefault="00035233" w:rsidP="00035233">
            <w:pPr>
              <w:pStyle w:val="05Tabletext"/>
              <w:jc w:val="center"/>
            </w:pPr>
            <w:r>
              <w:t>143 (55.4)</w:t>
            </w:r>
          </w:p>
        </w:tc>
        <w:tc>
          <w:tcPr>
            <w:tcW w:w="1398" w:type="pct"/>
            <w:tcBorders>
              <w:bottom w:val="nil"/>
            </w:tcBorders>
            <w:shd w:val="clear" w:color="auto" w:fill="auto"/>
          </w:tcPr>
          <w:p w:rsidR="00035233" w:rsidRPr="00194011" w:rsidRDefault="00035233" w:rsidP="00035233">
            <w:pPr>
              <w:pStyle w:val="05Tabletext"/>
              <w:jc w:val="center"/>
            </w:pPr>
            <w:r>
              <w:t>159 (60.2)</w:t>
            </w:r>
          </w:p>
        </w:tc>
      </w:tr>
      <w:tr w:rsidR="00035233" w:rsidRPr="00194011" w:rsidTr="00035233">
        <w:trPr>
          <w:cantSplit/>
        </w:trPr>
        <w:tc>
          <w:tcPr>
            <w:tcW w:w="2059" w:type="pct"/>
            <w:tcBorders>
              <w:top w:val="nil"/>
              <w:bottom w:val="nil"/>
            </w:tcBorders>
            <w:shd w:val="clear" w:color="auto" w:fill="auto"/>
          </w:tcPr>
          <w:p w:rsidR="00035233" w:rsidRPr="001839B5" w:rsidRDefault="00035233" w:rsidP="00035233">
            <w:pPr>
              <w:pStyle w:val="05Tabletext"/>
              <w:ind w:firstLine="232"/>
              <w:rPr>
                <w:vertAlign w:val="superscript"/>
              </w:rPr>
            </w:pPr>
            <w:r>
              <w:t xml:space="preserve">COPD </w:t>
            </w:r>
            <w:r w:rsidRPr="00601870">
              <w:t>worsening, including COPD exacerbations</w:t>
            </w:r>
            <w:r>
              <w:rPr>
                <w:vertAlign w:val="superscript"/>
              </w:rPr>
              <w:t>b</w:t>
            </w:r>
          </w:p>
        </w:tc>
        <w:tc>
          <w:tcPr>
            <w:tcW w:w="1542" w:type="pct"/>
            <w:tcBorders>
              <w:top w:val="nil"/>
              <w:bottom w:val="nil"/>
            </w:tcBorders>
            <w:shd w:val="clear" w:color="auto" w:fill="auto"/>
          </w:tcPr>
          <w:p w:rsidR="00035233" w:rsidRDefault="00035233" w:rsidP="00035233">
            <w:pPr>
              <w:pStyle w:val="05Tabletext"/>
              <w:jc w:val="center"/>
            </w:pPr>
            <w:r>
              <w:t>44 (17.1)</w:t>
            </w:r>
          </w:p>
        </w:tc>
        <w:tc>
          <w:tcPr>
            <w:tcW w:w="1398" w:type="pct"/>
            <w:tcBorders>
              <w:top w:val="nil"/>
              <w:bottom w:val="nil"/>
            </w:tcBorders>
            <w:shd w:val="clear" w:color="auto" w:fill="auto"/>
          </w:tcPr>
          <w:p w:rsidR="00035233" w:rsidRDefault="00035233" w:rsidP="00035233">
            <w:pPr>
              <w:pStyle w:val="05Tabletext"/>
              <w:jc w:val="center"/>
            </w:pPr>
            <w:r>
              <w:t>62 (23.5)</w:t>
            </w:r>
          </w:p>
        </w:tc>
      </w:tr>
      <w:tr w:rsidR="00035233" w:rsidRPr="00194011" w:rsidTr="00035233">
        <w:trPr>
          <w:cantSplit/>
        </w:trPr>
        <w:tc>
          <w:tcPr>
            <w:tcW w:w="2059" w:type="pct"/>
            <w:tcBorders>
              <w:top w:val="nil"/>
              <w:bottom w:val="nil"/>
            </w:tcBorders>
            <w:shd w:val="clear" w:color="auto" w:fill="auto"/>
          </w:tcPr>
          <w:p w:rsidR="00035233" w:rsidRPr="00364207" w:rsidRDefault="00035233" w:rsidP="00035233">
            <w:pPr>
              <w:pStyle w:val="05Tabletext"/>
              <w:ind w:firstLine="232"/>
              <w:rPr>
                <w:vertAlign w:val="superscript"/>
              </w:rPr>
            </w:pPr>
            <w:r>
              <w:t>Pneumonia</w:t>
            </w:r>
          </w:p>
        </w:tc>
        <w:tc>
          <w:tcPr>
            <w:tcW w:w="1542" w:type="pct"/>
            <w:tcBorders>
              <w:top w:val="nil"/>
              <w:bottom w:val="nil"/>
            </w:tcBorders>
            <w:shd w:val="clear" w:color="auto" w:fill="auto"/>
          </w:tcPr>
          <w:p w:rsidR="00035233" w:rsidRPr="00194011" w:rsidRDefault="00035233" w:rsidP="00035233">
            <w:pPr>
              <w:pStyle w:val="05Tabletext"/>
              <w:jc w:val="center"/>
            </w:pPr>
            <w:r>
              <w:t>0</w:t>
            </w:r>
          </w:p>
        </w:tc>
        <w:tc>
          <w:tcPr>
            <w:tcW w:w="1398" w:type="pct"/>
            <w:tcBorders>
              <w:top w:val="nil"/>
              <w:bottom w:val="nil"/>
            </w:tcBorders>
            <w:shd w:val="clear" w:color="auto" w:fill="auto"/>
          </w:tcPr>
          <w:p w:rsidR="00035233" w:rsidRPr="00194011" w:rsidRDefault="00035233" w:rsidP="00035233">
            <w:pPr>
              <w:pStyle w:val="05Tabletext"/>
              <w:jc w:val="center"/>
            </w:pPr>
            <w:r>
              <w:t>4 (1.5)</w:t>
            </w:r>
          </w:p>
        </w:tc>
      </w:tr>
      <w:tr w:rsidR="00035233" w:rsidRPr="00194011" w:rsidTr="00035233">
        <w:trPr>
          <w:cantSplit/>
        </w:trPr>
        <w:tc>
          <w:tcPr>
            <w:tcW w:w="2059" w:type="pct"/>
            <w:tcBorders>
              <w:top w:val="nil"/>
              <w:bottom w:val="nil"/>
            </w:tcBorders>
            <w:shd w:val="clear" w:color="auto" w:fill="auto"/>
          </w:tcPr>
          <w:p w:rsidR="00035233" w:rsidRDefault="00035233" w:rsidP="00035233">
            <w:pPr>
              <w:pStyle w:val="05Tabletext"/>
              <w:ind w:firstLine="232"/>
            </w:pPr>
            <w:r>
              <w:t>LRTI</w:t>
            </w:r>
          </w:p>
        </w:tc>
        <w:tc>
          <w:tcPr>
            <w:tcW w:w="1542" w:type="pct"/>
            <w:tcBorders>
              <w:top w:val="nil"/>
              <w:bottom w:val="nil"/>
            </w:tcBorders>
            <w:shd w:val="clear" w:color="auto" w:fill="auto"/>
          </w:tcPr>
          <w:p w:rsidR="00035233" w:rsidRDefault="00035233" w:rsidP="00035233">
            <w:pPr>
              <w:pStyle w:val="05Tabletext"/>
              <w:jc w:val="center"/>
            </w:pPr>
            <w:r>
              <w:t>1 (0.4)</w:t>
            </w:r>
          </w:p>
        </w:tc>
        <w:tc>
          <w:tcPr>
            <w:tcW w:w="1398" w:type="pct"/>
            <w:tcBorders>
              <w:top w:val="nil"/>
              <w:bottom w:val="nil"/>
            </w:tcBorders>
            <w:shd w:val="clear" w:color="auto" w:fill="auto"/>
          </w:tcPr>
          <w:p w:rsidR="00035233" w:rsidRDefault="00035233" w:rsidP="00035233">
            <w:pPr>
              <w:pStyle w:val="05Tabletext"/>
              <w:jc w:val="center"/>
            </w:pPr>
            <w:r>
              <w:t>0</w:t>
            </w:r>
          </w:p>
        </w:tc>
      </w:tr>
      <w:tr w:rsidR="00035233" w:rsidRPr="00194011" w:rsidTr="00035233">
        <w:trPr>
          <w:cantSplit/>
        </w:trPr>
        <w:tc>
          <w:tcPr>
            <w:tcW w:w="2059" w:type="pct"/>
            <w:tcBorders>
              <w:top w:val="nil"/>
              <w:bottom w:val="nil"/>
            </w:tcBorders>
            <w:shd w:val="clear" w:color="auto" w:fill="auto"/>
          </w:tcPr>
          <w:p w:rsidR="00035233" w:rsidRDefault="00035233" w:rsidP="00035233">
            <w:pPr>
              <w:pStyle w:val="05Tabletext"/>
              <w:ind w:firstLine="232"/>
            </w:pPr>
            <w:r>
              <w:lastRenderedPageBreak/>
              <w:t>Cardiac disorders</w:t>
            </w:r>
          </w:p>
        </w:tc>
        <w:tc>
          <w:tcPr>
            <w:tcW w:w="1542" w:type="pct"/>
            <w:tcBorders>
              <w:top w:val="nil"/>
              <w:bottom w:val="nil"/>
            </w:tcBorders>
            <w:shd w:val="clear" w:color="auto" w:fill="auto"/>
          </w:tcPr>
          <w:p w:rsidR="00035233" w:rsidRDefault="00035233" w:rsidP="00035233">
            <w:pPr>
              <w:pStyle w:val="05Tabletext"/>
              <w:jc w:val="center"/>
            </w:pPr>
            <w:r>
              <w:t>2 (0.8)</w:t>
            </w:r>
          </w:p>
        </w:tc>
        <w:tc>
          <w:tcPr>
            <w:tcW w:w="1398" w:type="pct"/>
            <w:tcBorders>
              <w:top w:val="nil"/>
              <w:bottom w:val="nil"/>
            </w:tcBorders>
            <w:shd w:val="clear" w:color="auto" w:fill="auto"/>
          </w:tcPr>
          <w:p w:rsidR="00035233" w:rsidRDefault="00035233" w:rsidP="00035233">
            <w:pPr>
              <w:pStyle w:val="05Tabletext"/>
              <w:jc w:val="center"/>
            </w:pPr>
            <w:r>
              <w:t>2 (0.8)</w:t>
            </w:r>
          </w:p>
        </w:tc>
      </w:tr>
      <w:tr w:rsidR="00035233" w:rsidRPr="00194011" w:rsidTr="00035233">
        <w:trPr>
          <w:cantSplit/>
        </w:trPr>
        <w:tc>
          <w:tcPr>
            <w:tcW w:w="2059" w:type="pct"/>
            <w:tcBorders>
              <w:top w:val="nil"/>
            </w:tcBorders>
            <w:shd w:val="clear" w:color="auto" w:fill="auto"/>
          </w:tcPr>
          <w:p w:rsidR="00035233" w:rsidRDefault="00035233" w:rsidP="00035233">
            <w:pPr>
              <w:pStyle w:val="05Tabletext"/>
              <w:ind w:firstLine="232"/>
            </w:pPr>
            <w:r>
              <w:t>Respiratory thoracic, and mediastinal disorders</w:t>
            </w:r>
          </w:p>
        </w:tc>
        <w:tc>
          <w:tcPr>
            <w:tcW w:w="1542" w:type="pct"/>
            <w:tcBorders>
              <w:top w:val="nil"/>
            </w:tcBorders>
            <w:shd w:val="clear" w:color="auto" w:fill="auto"/>
          </w:tcPr>
          <w:p w:rsidR="00035233" w:rsidRDefault="00035233" w:rsidP="00035233">
            <w:pPr>
              <w:pStyle w:val="05Tabletext"/>
              <w:jc w:val="center"/>
            </w:pPr>
            <w:r>
              <w:t>19 (7.4)</w:t>
            </w:r>
          </w:p>
        </w:tc>
        <w:tc>
          <w:tcPr>
            <w:tcW w:w="1398" w:type="pct"/>
            <w:tcBorders>
              <w:top w:val="nil"/>
            </w:tcBorders>
            <w:shd w:val="clear" w:color="auto" w:fill="auto"/>
          </w:tcPr>
          <w:p w:rsidR="00035233" w:rsidRDefault="00035233" w:rsidP="00035233">
            <w:pPr>
              <w:pStyle w:val="05Tabletext"/>
              <w:jc w:val="center"/>
            </w:pPr>
            <w:r>
              <w:t>20 (7.6)</w:t>
            </w:r>
          </w:p>
        </w:tc>
      </w:tr>
      <w:tr w:rsidR="00035233" w:rsidRPr="00194011" w:rsidTr="00035233">
        <w:trPr>
          <w:cantSplit/>
        </w:trPr>
        <w:tc>
          <w:tcPr>
            <w:tcW w:w="2059" w:type="pct"/>
            <w:tcBorders>
              <w:bottom w:val="single" w:sz="4" w:space="0" w:color="auto"/>
            </w:tcBorders>
            <w:shd w:val="clear" w:color="auto" w:fill="auto"/>
          </w:tcPr>
          <w:p w:rsidR="00035233" w:rsidRDefault="00035233" w:rsidP="00035233">
            <w:pPr>
              <w:pStyle w:val="05Tabletext"/>
            </w:pPr>
            <w:r>
              <w:t>AEs leading to discontinuation, n (%)</w:t>
            </w:r>
          </w:p>
        </w:tc>
        <w:tc>
          <w:tcPr>
            <w:tcW w:w="1542" w:type="pct"/>
            <w:tcBorders>
              <w:bottom w:val="single" w:sz="4" w:space="0" w:color="auto"/>
            </w:tcBorders>
            <w:shd w:val="clear" w:color="auto" w:fill="auto"/>
          </w:tcPr>
          <w:p w:rsidR="00035233" w:rsidRPr="00194011" w:rsidRDefault="00035233" w:rsidP="00035233">
            <w:pPr>
              <w:pStyle w:val="05Tabletext"/>
              <w:jc w:val="center"/>
            </w:pPr>
            <w:r>
              <w:t>22 (8.5)</w:t>
            </w:r>
          </w:p>
        </w:tc>
        <w:tc>
          <w:tcPr>
            <w:tcW w:w="1398" w:type="pct"/>
            <w:tcBorders>
              <w:bottom w:val="single" w:sz="4" w:space="0" w:color="auto"/>
            </w:tcBorders>
            <w:shd w:val="clear" w:color="auto" w:fill="auto"/>
          </w:tcPr>
          <w:p w:rsidR="00035233" w:rsidRPr="00194011" w:rsidRDefault="00035233" w:rsidP="00035233">
            <w:pPr>
              <w:pStyle w:val="05Tabletext"/>
              <w:jc w:val="center"/>
            </w:pPr>
            <w:r>
              <w:t>27 (10.2)</w:t>
            </w:r>
          </w:p>
        </w:tc>
      </w:tr>
      <w:tr w:rsidR="00035233" w:rsidRPr="00194011" w:rsidTr="00035233">
        <w:trPr>
          <w:cantSplit/>
        </w:trPr>
        <w:tc>
          <w:tcPr>
            <w:tcW w:w="2059" w:type="pct"/>
            <w:tcBorders>
              <w:bottom w:val="nil"/>
            </w:tcBorders>
            <w:shd w:val="clear" w:color="auto" w:fill="auto"/>
          </w:tcPr>
          <w:p w:rsidR="00035233" w:rsidRPr="00194011" w:rsidRDefault="00035233" w:rsidP="00035233">
            <w:pPr>
              <w:pStyle w:val="05Tabletext"/>
            </w:pPr>
            <w:r>
              <w:t>Any SAE, n (%)</w:t>
            </w:r>
          </w:p>
        </w:tc>
        <w:tc>
          <w:tcPr>
            <w:tcW w:w="1542" w:type="pct"/>
            <w:tcBorders>
              <w:bottom w:val="nil"/>
            </w:tcBorders>
            <w:shd w:val="clear" w:color="auto" w:fill="auto"/>
          </w:tcPr>
          <w:p w:rsidR="00035233" w:rsidRPr="00194011" w:rsidRDefault="00035233" w:rsidP="00035233">
            <w:pPr>
              <w:pStyle w:val="05Tabletext"/>
              <w:jc w:val="center"/>
            </w:pPr>
            <w:r>
              <w:t>13 (5.0)</w:t>
            </w:r>
          </w:p>
        </w:tc>
        <w:tc>
          <w:tcPr>
            <w:tcW w:w="1398" w:type="pct"/>
            <w:tcBorders>
              <w:bottom w:val="nil"/>
            </w:tcBorders>
            <w:shd w:val="clear" w:color="auto" w:fill="auto"/>
          </w:tcPr>
          <w:p w:rsidR="00035233" w:rsidRPr="00194011" w:rsidRDefault="00035233" w:rsidP="00035233">
            <w:pPr>
              <w:pStyle w:val="05Tabletext"/>
              <w:jc w:val="center"/>
            </w:pPr>
            <w:r>
              <w:t>14 (5.3)</w:t>
            </w:r>
          </w:p>
        </w:tc>
      </w:tr>
      <w:tr w:rsidR="00035233" w:rsidRPr="00194011" w:rsidTr="00035233">
        <w:trPr>
          <w:cantSplit/>
        </w:trPr>
        <w:tc>
          <w:tcPr>
            <w:tcW w:w="2059" w:type="pct"/>
            <w:tcBorders>
              <w:top w:val="nil"/>
              <w:bottom w:val="nil"/>
            </w:tcBorders>
            <w:shd w:val="clear" w:color="auto" w:fill="auto"/>
          </w:tcPr>
          <w:p w:rsidR="00035233" w:rsidRDefault="00035233" w:rsidP="00035233">
            <w:pPr>
              <w:pStyle w:val="05Tabletext"/>
              <w:ind w:firstLine="232"/>
            </w:pPr>
            <w:r>
              <w:t>Cardiac disorders</w:t>
            </w:r>
          </w:p>
        </w:tc>
        <w:tc>
          <w:tcPr>
            <w:tcW w:w="1542" w:type="pct"/>
            <w:tcBorders>
              <w:top w:val="nil"/>
              <w:bottom w:val="nil"/>
            </w:tcBorders>
            <w:shd w:val="clear" w:color="auto" w:fill="auto"/>
          </w:tcPr>
          <w:p w:rsidR="00035233" w:rsidRDefault="00035233" w:rsidP="00035233">
            <w:pPr>
              <w:pStyle w:val="05Tabletext"/>
              <w:jc w:val="center"/>
            </w:pPr>
            <w:r>
              <w:t>2 (0.8)</w:t>
            </w:r>
          </w:p>
        </w:tc>
        <w:tc>
          <w:tcPr>
            <w:tcW w:w="1398" w:type="pct"/>
            <w:tcBorders>
              <w:top w:val="nil"/>
              <w:bottom w:val="nil"/>
            </w:tcBorders>
            <w:shd w:val="clear" w:color="auto" w:fill="auto"/>
          </w:tcPr>
          <w:p w:rsidR="00035233" w:rsidRDefault="00035233" w:rsidP="00035233">
            <w:pPr>
              <w:pStyle w:val="05Tabletext"/>
              <w:jc w:val="center"/>
            </w:pPr>
            <w:r>
              <w:t>1 (0.4)</w:t>
            </w:r>
          </w:p>
        </w:tc>
      </w:tr>
      <w:tr w:rsidR="00035233" w:rsidRPr="00194011" w:rsidTr="00035233">
        <w:trPr>
          <w:cantSplit/>
        </w:trPr>
        <w:tc>
          <w:tcPr>
            <w:tcW w:w="2059" w:type="pct"/>
            <w:tcBorders>
              <w:top w:val="nil"/>
            </w:tcBorders>
            <w:shd w:val="clear" w:color="auto" w:fill="auto"/>
          </w:tcPr>
          <w:p w:rsidR="00035233" w:rsidRDefault="00035233" w:rsidP="00035233">
            <w:pPr>
              <w:pStyle w:val="05Tabletext"/>
              <w:ind w:firstLine="232"/>
            </w:pPr>
            <w:r>
              <w:t xml:space="preserve">Respiratory, thoracic, and mediastinal disorders </w:t>
            </w:r>
          </w:p>
        </w:tc>
        <w:tc>
          <w:tcPr>
            <w:tcW w:w="1542" w:type="pct"/>
            <w:tcBorders>
              <w:top w:val="nil"/>
            </w:tcBorders>
            <w:shd w:val="clear" w:color="auto" w:fill="auto"/>
          </w:tcPr>
          <w:p w:rsidR="00035233" w:rsidRDefault="00035233" w:rsidP="00035233">
            <w:pPr>
              <w:pStyle w:val="05Tabletext"/>
              <w:jc w:val="center"/>
            </w:pPr>
            <w:r>
              <w:t>3 (1.2)</w:t>
            </w:r>
          </w:p>
        </w:tc>
        <w:tc>
          <w:tcPr>
            <w:tcW w:w="1398" w:type="pct"/>
            <w:tcBorders>
              <w:top w:val="nil"/>
            </w:tcBorders>
            <w:shd w:val="clear" w:color="auto" w:fill="auto"/>
          </w:tcPr>
          <w:p w:rsidR="00035233" w:rsidRDefault="00035233" w:rsidP="00035233">
            <w:pPr>
              <w:pStyle w:val="05Tabletext"/>
              <w:jc w:val="center"/>
            </w:pPr>
            <w:r>
              <w:t>4 (1.5)</w:t>
            </w:r>
          </w:p>
        </w:tc>
      </w:tr>
      <w:tr w:rsidR="00035233" w:rsidRPr="00194011" w:rsidTr="00035233">
        <w:trPr>
          <w:cantSplit/>
        </w:trPr>
        <w:tc>
          <w:tcPr>
            <w:tcW w:w="2059" w:type="pct"/>
            <w:shd w:val="clear" w:color="auto" w:fill="auto"/>
          </w:tcPr>
          <w:p w:rsidR="00035233" w:rsidRPr="006E27DA" w:rsidRDefault="00035233" w:rsidP="00035233">
            <w:pPr>
              <w:pStyle w:val="05Tabletext"/>
              <w:rPr>
                <w:vertAlign w:val="superscript"/>
              </w:rPr>
            </w:pPr>
            <w:r>
              <w:t>SAE leading to discontinuation, n (%)</w:t>
            </w:r>
          </w:p>
        </w:tc>
        <w:tc>
          <w:tcPr>
            <w:tcW w:w="1542" w:type="pct"/>
            <w:shd w:val="clear" w:color="auto" w:fill="auto"/>
          </w:tcPr>
          <w:p w:rsidR="00035233" w:rsidRPr="00194011" w:rsidRDefault="00035233" w:rsidP="00035233">
            <w:pPr>
              <w:pStyle w:val="05Tabletext"/>
              <w:jc w:val="center"/>
            </w:pPr>
            <w:r>
              <w:t>5 (1.9)</w:t>
            </w:r>
          </w:p>
        </w:tc>
        <w:tc>
          <w:tcPr>
            <w:tcW w:w="1398" w:type="pct"/>
            <w:shd w:val="clear" w:color="auto" w:fill="auto"/>
          </w:tcPr>
          <w:p w:rsidR="00035233" w:rsidRPr="00194011" w:rsidRDefault="00035233" w:rsidP="00035233">
            <w:pPr>
              <w:pStyle w:val="05Tabletext"/>
              <w:jc w:val="center"/>
            </w:pPr>
            <w:r>
              <w:t>9 (3.4)</w:t>
            </w:r>
          </w:p>
        </w:tc>
      </w:tr>
      <w:tr w:rsidR="00035233" w:rsidRPr="00194011" w:rsidTr="00035233">
        <w:trPr>
          <w:cantSplit/>
        </w:trPr>
        <w:tc>
          <w:tcPr>
            <w:tcW w:w="2059" w:type="pct"/>
            <w:shd w:val="clear" w:color="auto" w:fill="auto"/>
          </w:tcPr>
          <w:p w:rsidR="00035233" w:rsidRPr="00770AB1" w:rsidRDefault="00035233" w:rsidP="00035233">
            <w:pPr>
              <w:pStyle w:val="05Tabletext"/>
            </w:pPr>
            <w:r>
              <w:t>Deaths, n (%)</w:t>
            </w:r>
          </w:p>
        </w:tc>
        <w:tc>
          <w:tcPr>
            <w:tcW w:w="1542" w:type="pct"/>
            <w:shd w:val="clear" w:color="auto" w:fill="auto"/>
          </w:tcPr>
          <w:p w:rsidR="00035233" w:rsidRPr="00770AB1" w:rsidRDefault="00035233" w:rsidP="00035233">
            <w:pPr>
              <w:pStyle w:val="05Tabletext"/>
              <w:jc w:val="center"/>
            </w:pPr>
            <w:r>
              <w:t>0</w:t>
            </w:r>
          </w:p>
        </w:tc>
        <w:tc>
          <w:tcPr>
            <w:tcW w:w="1398" w:type="pct"/>
            <w:shd w:val="clear" w:color="auto" w:fill="auto"/>
          </w:tcPr>
          <w:p w:rsidR="00035233" w:rsidRPr="00770AB1" w:rsidRDefault="00035233" w:rsidP="00035233">
            <w:pPr>
              <w:pStyle w:val="05Tabletext"/>
              <w:jc w:val="center"/>
            </w:pPr>
            <w:r>
              <w:t>1 (0.4)</w:t>
            </w:r>
          </w:p>
        </w:tc>
      </w:tr>
    </w:tbl>
    <w:p w:rsidR="00035233" w:rsidRDefault="00035233" w:rsidP="00035233">
      <w:pPr>
        <w:pStyle w:val="10TableorFigurefootnote"/>
      </w:pPr>
      <w:r>
        <w:t>Source: Vogelmeier et al (2013), Table 4 and Table 5.</w:t>
      </w:r>
    </w:p>
    <w:p w:rsidR="00035233" w:rsidRDefault="00035233" w:rsidP="00035233">
      <w:pPr>
        <w:pStyle w:val="10TableorFigurefootnote"/>
      </w:pPr>
      <w:r>
        <w:t>Abbreviations: AE, adverse event; COPD, chronic obstructive pulmonary disease; FLU, fluticasone</w:t>
      </w:r>
      <w:r w:rsidR="0090454A">
        <w:t xml:space="preserve"> propionate</w:t>
      </w:r>
      <w:r>
        <w:t>; IND, indacaterol; GLY, glycopyrronium; LRTI, lower respiratory tract infection; SAE, serious adverse event; SAL, salmeterol.</w:t>
      </w:r>
    </w:p>
    <w:p w:rsidR="00035233" w:rsidRDefault="00035233" w:rsidP="00035233">
      <w:pPr>
        <w:pStyle w:val="10TableorFigurefootnote"/>
      </w:pPr>
      <w:proofErr w:type="gramStart"/>
      <w:r>
        <w:rPr>
          <w:b/>
        </w:rPr>
        <w:t>a</w:t>
      </w:r>
      <w:proofErr w:type="gramEnd"/>
      <w:r>
        <w:t xml:space="preserve"> All patients that received at least one dose of study drug.</w:t>
      </w:r>
    </w:p>
    <w:p w:rsidR="00035233" w:rsidRPr="001839B5" w:rsidRDefault="00035233" w:rsidP="00035233">
      <w:pPr>
        <w:pStyle w:val="11TableorFigurefootnotenostick"/>
        <w:rPr>
          <w:b/>
        </w:rPr>
      </w:pPr>
      <w:proofErr w:type="gramStart"/>
      <w:r>
        <w:rPr>
          <w:b/>
        </w:rPr>
        <w:t>b</w:t>
      </w:r>
      <w:proofErr w:type="gramEnd"/>
      <w:r>
        <w:rPr>
          <w:b/>
        </w:rPr>
        <w:t xml:space="preserve"> </w:t>
      </w:r>
      <w:r w:rsidRPr="000102D2">
        <w:t>Exacerbations were considered to be moderate severity if they required treatment with systemic corticosteroids and/or antibiotic without leading to hospitalisation; and severe if they also required hospitalisation.</w:t>
      </w:r>
    </w:p>
    <w:p w:rsidR="00035233" w:rsidRDefault="00035233" w:rsidP="00251CB8">
      <w:pPr>
        <w:pStyle w:val="Heading5"/>
        <w:numPr>
          <w:ilvl w:val="4"/>
          <w:numId w:val="11"/>
        </w:numPr>
      </w:pPr>
      <w:r>
        <w:t>LANTERN study</w:t>
      </w:r>
    </w:p>
    <w:p w:rsidR="00035233" w:rsidRDefault="00035233" w:rsidP="00035233">
      <w:pPr>
        <w:pStyle w:val="BodyTextnospacebefore"/>
      </w:pPr>
      <w:r>
        <w:t>Like several previously discussed studies, the LANTERN study compared the efficacy of glycopyrronium/</w:t>
      </w:r>
      <w:r w:rsidR="00AC7B51">
        <w:t>indacaterol and fluticasone</w:t>
      </w:r>
      <w:r w:rsidR="0090454A">
        <w:t xml:space="preserve"> propionate</w:t>
      </w:r>
      <w:r w:rsidR="00AC7B51">
        <w:t>/</w:t>
      </w:r>
      <w:r>
        <w:t>salmeterol in symptomatic patients with low exacerbation risk, where the use of ICS may be inappropriate or premature. The comparison was undertaken in the context of non-inferiority (of the LAMA/LABA to the ICS/LABA) based on trough FEV</w:t>
      </w:r>
      <w:r>
        <w:rPr>
          <w:vertAlign w:val="subscript"/>
        </w:rPr>
        <w:t>1</w:t>
      </w:r>
      <w:r>
        <w:t xml:space="preserve"> at Week 26, with the non-inferiority margin defined as –60 mL.</w:t>
      </w:r>
      <w:r>
        <w:rPr>
          <w:rStyle w:val="FootnoteReference"/>
        </w:rPr>
        <w:footnoteReference w:id="42"/>
      </w:r>
    </w:p>
    <w:p w:rsidR="00035233" w:rsidRDefault="00035233" w:rsidP="00035233">
      <w:pPr>
        <w:pStyle w:val="BodyText"/>
      </w:pPr>
      <w:r>
        <w:t>Approximately 55% and 54% of patients were using ICS as baseline in the glycopyrronium/indacaterol and fluticasone</w:t>
      </w:r>
      <w:r w:rsidR="0090454A">
        <w:t xml:space="preserve"> propionate</w:t>
      </w:r>
      <w:r>
        <w:t>/salmeterol treatment arms, respectively.</w:t>
      </w:r>
    </w:p>
    <w:p w:rsidR="00035233" w:rsidRDefault="00035233" w:rsidP="00035233">
      <w:pPr>
        <w:pStyle w:val="BodyText"/>
      </w:pPr>
      <w:r>
        <w:t>Glycopyrronium/indacaterol was deemed to be non-inferior to fluticasone</w:t>
      </w:r>
      <w:r w:rsidR="0090454A">
        <w:t xml:space="preserve"> propionate</w:t>
      </w:r>
      <w:r>
        <w:t>/salmeterol by meeting the predefined non-inferiority margin of –60 mL in trough FEV</w:t>
      </w:r>
      <w:r>
        <w:rPr>
          <w:vertAlign w:val="subscript"/>
        </w:rPr>
        <w:t>1</w:t>
      </w:r>
      <w:r>
        <w:t xml:space="preserve"> for the per protocol set. </w:t>
      </w:r>
      <w:r w:rsidR="007F448B">
        <w:t>T</w:t>
      </w:r>
      <w:r>
        <w:t>he LAMA/LABA FDC demonstrated statistically significant superiority to the ICS/LABA combination for trough FEV</w:t>
      </w:r>
      <w:r>
        <w:rPr>
          <w:vertAlign w:val="subscript"/>
        </w:rPr>
        <w:t>1</w:t>
      </w:r>
      <w:r>
        <w:t xml:space="preserve"> for the full analysis set, see </w:t>
      </w:r>
      <w:r w:rsidR="007F448B">
        <w:t>Table 3.55</w:t>
      </w:r>
      <w:r>
        <w:t>. Various subgroup analyses are also presented, including ICS use at baseline, severity of COPD</w:t>
      </w:r>
      <w:r w:rsidR="00C42C2C">
        <w:t>,</w:t>
      </w:r>
      <w:r>
        <w:t xml:space="preserve"> and exacerbation history with all comparisons favouring glycopyrronium/indacaterol over fluticasone</w:t>
      </w:r>
      <w:r w:rsidR="0090454A">
        <w:t xml:space="preserve"> propionate</w:t>
      </w:r>
      <w:r>
        <w:t>/salmeterol.</w:t>
      </w:r>
    </w:p>
    <w:p w:rsidR="007F448B" w:rsidRPr="00A52136" w:rsidRDefault="007F448B" w:rsidP="007F448B">
      <w:pPr>
        <w:pStyle w:val="BodyText"/>
      </w:pPr>
      <w:r>
        <w:t>A greater proportion of patients in the glycopyrronium/indacaterol group achieved an improvement of ≥100 mL or ≥200 mL in trough FEV</w:t>
      </w:r>
      <w:r>
        <w:rPr>
          <w:vertAlign w:val="subscript"/>
        </w:rPr>
        <w:t>1</w:t>
      </w:r>
      <w:r>
        <w:t xml:space="preserve"> from baseline to Week 26 compared with fluticasone propionate/salmeterol (see Table 3.56).</w:t>
      </w:r>
    </w:p>
    <w:p w:rsidR="007F448B" w:rsidRDefault="007F448B" w:rsidP="007F448B">
      <w:pPr>
        <w:pStyle w:val="BodyText"/>
      </w:pPr>
      <w:r>
        <w:t>In addition to lung function outcomes, the LANTERN study also reported the total number of exacerbations per patient and rate of exacerbations per year. The results are shown in Table 3.57, according to exacerbation severity.</w:t>
      </w:r>
    </w:p>
    <w:p w:rsidR="00035233" w:rsidRDefault="00AC7B51" w:rsidP="007F448B">
      <w:pPr>
        <w:pStyle w:val="ToR3Tableheader"/>
      </w:pPr>
      <w:bookmarkStart w:id="388" w:name="_Toc468006295"/>
      <w:bookmarkStart w:id="389" w:name="_Toc468012340"/>
      <w:bookmarkStart w:id="390" w:name="_Toc468034496"/>
      <w:bookmarkStart w:id="391" w:name="_Toc471891046"/>
      <w:bookmarkStart w:id="392" w:name="_Toc486428234"/>
      <w:r>
        <w:lastRenderedPageBreak/>
        <w:t>Table 3.5</w:t>
      </w:r>
      <w:r w:rsidR="00967B39">
        <w:t>5</w:t>
      </w:r>
      <w:r w:rsidR="00035233">
        <w:tab/>
        <w:t>Change from baseline for trough FEV</w:t>
      </w:r>
      <w:r w:rsidR="00035233">
        <w:rPr>
          <w:vertAlign w:val="subscript"/>
        </w:rPr>
        <w:t>1</w:t>
      </w:r>
      <w:r w:rsidR="00035233">
        <w:t xml:space="preserve"> (LOCF) – GLY/IND vs FLU/SAL</w:t>
      </w:r>
      <w:bookmarkEnd w:id="388"/>
      <w:bookmarkEnd w:id="389"/>
      <w:bookmarkEnd w:id="390"/>
      <w:bookmarkEnd w:id="391"/>
      <w:bookmarkEnd w:id="39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Change from baseline for trough FEV1 "/>
        <w:tblDescription w:val="GLY/IND vs FLU/SAL"/>
      </w:tblPr>
      <w:tblGrid>
        <w:gridCol w:w="2556"/>
        <w:gridCol w:w="1098"/>
        <w:gridCol w:w="1100"/>
        <w:gridCol w:w="1098"/>
        <w:gridCol w:w="1100"/>
        <w:gridCol w:w="1702"/>
        <w:gridCol w:w="994"/>
      </w:tblGrid>
      <w:tr w:rsidR="00035233" w:rsidRPr="00F01736" w:rsidTr="00035233">
        <w:trPr>
          <w:cantSplit/>
          <w:tblHeader/>
        </w:trPr>
        <w:tc>
          <w:tcPr>
            <w:tcW w:w="1325" w:type="pct"/>
            <w:shd w:val="clear" w:color="auto" w:fill="BFBFBF"/>
          </w:tcPr>
          <w:p w:rsidR="00035233" w:rsidRPr="00F01736" w:rsidRDefault="00035233" w:rsidP="00035233">
            <w:pPr>
              <w:pStyle w:val="01TableHEADINGleftaligned"/>
            </w:pPr>
            <w:r>
              <w:t>LS mean difference from baseline</w:t>
            </w:r>
          </w:p>
        </w:tc>
        <w:tc>
          <w:tcPr>
            <w:tcW w:w="569" w:type="pct"/>
            <w:tcBorders>
              <w:right w:val="nil"/>
            </w:tcBorders>
            <w:shd w:val="clear" w:color="auto" w:fill="BFBFBF"/>
          </w:tcPr>
          <w:p w:rsidR="00035233" w:rsidRPr="00F01736" w:rsidRDefault="00035233" w:rsidP="00035233">
            <w:pPr>
              <w:pStyle w:val="01TableHEADINGleftaligned"/>
              <w:ind w:right="0"/>
              <w:jc w:val="right"/>
            </w:pPr>
            <w:r>
              <w:t>GLY/IND</w:t>
            </w:r>
          </w:p>
        </w:tc>
        <w:tc>
          <w:tcPr>
            <w:tcW w:w="570" w:type="pct"/>
            <w:tcBorders>
              <w:left w:val="nil"/>
              <w:right w:val="single" w:sz="4" w:space="0" w:color="auto"/>
            </w:tcBorders>
            <w:shd w:val="clear" w:color="auto" w:fill="BFBFBF"/>
          </w:tcPr>
          <w:p w:rsidR="00035233" w:rsidRPr="00F01736" w:rsidRDefault="00035233" w:rsidP="00035233">
            <w:pPr>
              <w:pStyle w:val="01TableHEADINGleftaligned"/>
              <w:ind w:left="0" w:right="0"/>
            </w:pPr>
            <w:r>
              <w:t xml:space="preserve"> 50/110</w:t>
            </w:r>
          </w:p>
        </w:tc>
        <w:tc>
          <w:tcPr>
            <w:tcW w:w="569" w:type="pct"/>
            <w:tcBorders>
              <w:left w:val="single" w:sz="4" w:space="0" w:color="auto"/>
              <w:right w:val="nil"/>
            </w:tcBorders>
            <w:shd w:val="clear" w:color="auto" w:fill="BFBFBF"/>
          </w:tcPr>
          <w:p w:rsidR="00035233" w:rsidRPr="00F01736" w:rsidRDefault="00035233" w:rsidP="00035233">
            <w:pPr>
              <w:pStyle w:val="01TableHEADINGleftaligned"/>
              <w:ind w:right="0"/>
              <w:jc w:val="right"/>
            </w:pPr>
            <w:r>
              <w:t>FLU/SAL</w:t>
            </w:r>
          </w:p>
        </w:tc>
        <w:tc>
          <w:tcPr>
            <w:tcW w:w="570" w:type="pct"/>
            <w:tcBorders>
              <w:left w:val="nil"/>
            </w:tcBorders>
            <w:shd w:val="clear" w:color="auto" w:fill="BFBFBF"/>
          </w:tcPr>
          <w:p w:rsidR="00035233" w:rsidRPr="00F01736" w:rsidRDefault="00035233" w:rsidP="00035233">
            <w:pPr>
              <w:pStyle w:val="01TableHEADINGleftaligned"/>
              <w:ind w:left="0"/>
            </w:pPr>
            <w:r>
              <w:t xml:space="preserve"> 500/50</w:t>
            </w:r>
          </w:p>
        </w:tc>
        <w:tc>
          <w:tcPr>
            <w:tcW w:w="882" w:type="pct"/>
            <w:shd w:val="clear" w:color="auto" w:fill="BFBFBF"/>
          </w:tcPr>
          <w:p w:rsidR="00035233" w:rsidRPr="00F01736" w:rsidRDefault="00035233" w:rsidP="00035233">
            <w:pPr>
              <w:pStyle w:val="01TableHEADINGleftaligned"/>
              <w:jc w:val="center"/>
            </w:pPr>
            <w:r>
              <w:t>Treatment difference</w:t>
            </w:r>
          </w:p>
        </w:tc>
        <w:tc>
          <w:tcPr>
            <w:tcW w:w="515" w:type="pct"/>
            <w:shd w:val="clear" w:color="auto" w:fill="BFBFBF"/>
          </w:tcPr>
          <w:p w:rsidR="00035233" w:rsidRDefault="00035233" w:rsidP="00035233">
            <w:pPr>
              <w:pStyle w:val="01TableHEADINGleftaligned"/>
              <w:jc w:val="center"/>
            </w:pPr>
            <w:r>
              <w:t>p-value</w:t>
            </w:r>
          </w:p>
        </w:tc>
      </w:tr>
      <w:tr w:rsidR="00035233" w:rsidRPr="00194011" w:rsidTr="00035233">
        <w:trPr>
          <w:cantSplit/>
        </w:trPr>
        <w:tc>
          <w:tcPr>
            <w:tcW w:w="1325" w:type="pct"/>
            <w:shd w:val="clear" w:color="auto" w:fill="000000"/>
          </w:tcPr>
          <w:p w:rsidR="00035233" w:rsidRPr="00194011" w:rsidRDefault="00035233" w:rsidP="00035233">
            <w:pPr>
              <w:pStyle w:val="04Tablesubheading"/>
            </w:pPr>
            <w:r>
              <w:t>Primary analysis</w:t>
            </w:r>
          </w:p>
        </w:tc>
        <w:tc>
          <w:tcPr>
            <w:tcW w:w="569" w:type="pct"/>
            <w:shd w:val="clear" w:color="auto" w:fill="000000"/>
          </w:tcPr>
          <w:p w:rsidR="00035233" w:rsidRPr="00C34E40" w:rsidRDefault="00035233" w:rsidP="00035233">
            <w:pPr>
              <w:pStyle w:val="04Tablesubheading"/>
              <w:jc w:val="center"/>
            </w:pPr>
            <w:r>
              <w:t>n</w:t>
            </w:r>
          </w:p>
        </w:tc>
        <w:tc>
          <w:tcPr>
            <w:tcW w:w="570" w:type="pct"/>
            <w:shd w:val="clear" w:color="auto" w:fill="000000"/>
          </w:tcPr>
          <w:p w:rsidR="00035233" w:rsidRPr="00C34E40" w:rsidRDefault="00035233" w:rsidP="00035233">
            <w:pPr>
              <w:pStyle w:val="04Tablesubheading"/>
              <w:jc w:val="center"/>
            </w:pPr>
            <w:r>
              <w:t>Mean</w:t>
            </w:r>
            <w:r w:rsidRPr="00C34E40">
              <w:t xml:space="preserve"> </w:t>
            </w:r>
            <w:r>
              <w:t>±SE</w:t>
            </w:r>
          </w:p>
        </w:tc>
        <w:tc>
          <w:tcPr>
            <w:tcW w:w="569" w:type="pct"/>
            <w:shd w:val="clear" w:color="auto" w:fill="000000"/>
          </w:tcPr>
          <w:p w:rsidR="00035233" w:rsidRPr="00C34E40" w:rsidRDefault="00035233" w:rsidP="00035233">
            <w:pPr>
              <w:pStyle w:val="04Tablesubheading"/>
              <w:jc w:val="center"/>
            </w:pPr>
            <w:r>
              <w:t>n</w:t>
            </w:r>
          </w:p>
        </w:tc>
        <w:tc>
          <w:tcPr>
            <w:tcW w:w="570" w:type="pct"/>
            <w:shd w:val="clear" w:color="auto" w:fill="000000"/>
          </w:tcPr>
          <w:p w:rsidR="00035233" w:rsidRPr="00C34E40" w:rsidRDefault="00035233" w:rsidP="00035233">
            <w:pPr>
              <w:pStyle w:val="04Tablesubheading"/>
              <w:jc w:val="center"/>
            </w:pPr>
            <w:r>
              <w:t>Mean ±SE</w:t>
            </w:r>
          </w:p>
        </w:tc>
        <w:tc>
          <w:tcPr>
            <w:tcW w:w="882" w:type="pct"/>
            <w:shd w:val="clear" w:color="auto" w:fill="000000"/>
          </w:tcPr>
          <w:p w:rsidR="00035233" w:rsidRPr="00194011" w:rsidRDefault="00035233" w:rsidP="00035233">
            <w:pPr>
              <w:pStyle w:val="04Tablesubheading"/>
              <w:jc w:val="center"/>
            </w:pPr>
            <w:r>
              <w:t>Δ</w:t>
            </w:r>
            <w:r w:rsidRPr="00C34E40">
              <w:t xml:space="preserve"> (95% CI)</w:t>
            </w:r>
          </w:p>
        </w:tc>
        <w:tc>
          <w:tcPr>
            <w:tcW w:w="515" w:type="pct"/>
            <w:shd w:val="clear" w:color="auto" w:fill="000000"/>
          </w:tcPr>
          <w:p w:rsidR="00035233" w:rsidRDefault="00035233" w:rsidP="00035233">
            <w:pPr>
              <w:pStyle w:val="04Tablesubheading"/>
              <w:jc w:val="center"/>
            </w:pPr>
          </w:p>
        </w:tc>
      </w:tr>
      <w:tr w:rsidR="00035233" w:rsidRPr="00194011" w:rsidTr="00035233">
        <w:trPr>
          <w:cantSplit/>
        </w:trPr>
        <w:tc>
          <w:tcPr>
            <w:tcW w:w="1325" w:type="pct"/>
            <w:shd w:val="clear" w:color="auto" w:fill="auto"/>
          </w:tcPr>
          <w:p w:rsidR="00035233" w:rsidRDefault="00035233" w:rsidP="00035233">
            <w:pPr>
              <w:pStyle w:val="05Tabletext"/>
              <w:keepNext/>
            </w:pPr>
            <w:r>
              <w:t>Trough FEV</w:t>
            </w:r>
            <w:r>
              <w:rPr>
                <w:vertAlign w:val="subscript"/>
              </w:rPr>
              <w:t>1</w:t>
            </w:r>
            <w:r w:rsidR="00460E94">
              <w:t xml:space="preserve"> at W</w:t>
            </w:r>
            <w:r>
              <w:t>eek 26, L</w:t>
            </w:r>
          </w:p>
          <w:p w:rsidR="00035233" w:rsidRPr="008346BA" w:rsidRDefault="00035233" w:rsidP="00035233">
            <w:pPr>
              <w:pStyle w:val="05Tabletext"/>
              <w:keepNext/>
              <w:rPr>
                <w:i/>
                <w:vertAlign w:val="superscript"/>
              </w:rPr>
            </w:pPr>
            <w:r>
              <w:rPr>
                <w:i/>
              </w:rPr>
              <w:t>Per protocol analysis</w:t>
            </w:r>
            <w:r>
              <w:rPr>
                <w:i/>
                <w:vertAlign w:val="superscript"/>
              </w:rPr>
              <w:t>a</w:t>
            </w:r>
          </w:p>
        </w:tc>
        <w:tc>
          <w:tcPr>
            <w:tcW w:w="569" w:type="pct"/>
            <w:shd w:val="clear" w:color="auto" w:fill="auto"/>
          </w:tcPr>
          <w:p w:rsidR="00035233" w:rsidRPr="00194011" w:rsidRDefault="00035233" w:rsidP="00035233">
            <w:pPr>
              <w:pStyle w:val="05Tabletext"/>
              <w:keepNext/>
              <w:jc w:val="center"/>
            </w:pPr>
            <w:r>
              <w:t>NR</w:t>
            </w:r>
          </w:p>
        </w:tc>
        <w:tc>
          <w:tcPr>
            <w:tcW w:w="570" w:type="pct"/>
            <w:shd w:val="clear" w:color="auto" w:fill="auto"/>
          </w:tcPr>
          <w:p w:rsidR="00035233" w:rsidRPr="003E664B" w:rsidRDefault="00035233" w:rsidP="00035233">
            <w:pPr>
              <w:pStyle w:val="05Tabletext"/>
              <w:keepNext/>
              <w:jc w:val="center"/>
            </w:pPr>
            <w:r>
              <w:t>NR</w:t>
            </w:r>
          </w:p>
        </w:tc>
        <w:tc>
          <w:tcPr>
            <w:tcW w:w="569" w:type="pct"/>
            <w:shd w:val="clear" w:color="auto" w:fill="auto"/>
          </w:tcPr>
          <w:p w:rsidR="00035233" w:rsidRPr="00194011" w:rsidRDefault="00035233" w:rsidP="00035233">
            <w:pPr>
              <w:pStyle w:val="05Tabletext"/>
              <w:keepNext/>
              <w:jc w:val="center"/>
            </w:pPr>
            <w:r>
              <w:t>NR</w:t>
            </w:r>
          </w:p>
        </w:tc>
        <w:tc>
          <w:tcPr>
            <w:tcW w:w="570" w:type="pct"/>
            <w:shd w:val="clear" w:color="auto" w:fill="auto"/>
          </w:tcPr>
          <w:p w:rsidR="00035233" w:rsidRPr="004F2A17" w:rsidRDefault="00035233" w:rsidP="00035233">
            <w:pPr>
              <w:pStyle w:val="05Tabletext"/>
              <w:keepNext/>
              <w:jc w:val="center"/>
            </w:pPr>
            <w:r w:rsidRPr="004F2A17">
              <w:t>NR</w:t>
            </w:r>
          </w:p>
        </w:tc>
        <w:tc>
          <w:tcPr>
            <w:tcW w:w="882" w:type="pct"/>
            <w:shd w:val="clear" w:color="auto" w:fill="auto"/>
          </w:tcPr>
          <w:p w:rsidR="00035233" w:rsidRPr="00194011" w:rsidRDefault="00035233" w:rsidP="00035233">
            <w:pPr>
              <w:pStyle w:val="05Tabletext"/>
              <w:keepNext/>
              <w:jc w:val="center"/>
            </w:pPr>
            <w:r>
              <w:t>0.072 (0.040, 0.104)</w:t>
            </w:r>
          </w:p>
        </w:tc>
        <w:tc>
          <w:tcPr>
            <w:tcW w:w="515" w:type="pct"/>
          </w:tcPr>
          <w:p w:rsidR="00035233" w:rsidRPr="00194011" w:rsidRDefault="00035233" w:rsidP="00035233">
            <w:pPr>
              <w:pStyle w:val="05Tabletext"/>
              <w:keepNext/>
              <w:jc w:val="center"/>
            </w:pPr>
            <w:r>
              <w:t>NR</w:t>
            </w:r>
          </w:p>
        </w:tc>
      </w:tr>
      <w:tr w:rsidR="00035233" w:rsidRPr="00194011" w:rsidTr="00035233">
        <w:trPr>
          <w:cantSplit/>
        </w:trPr>
        <w:tc>
          <w:tcPr>
            <w:tcW w:w="1325" w:type="pct"/>
            <w:shd w:val="clear" w:color="auto" w:fill="auto"/>
          </w:tcPr>
          <w:p w:rsidR="00035233" w:rsidRPr="00A31CF6" w:rsidRDefault="00035233" w:rsidP="00035233">
            <w:pPr>
              <w:pStyle w:val="05Tabletext"/>
              <w:keepNext/>
            </w:pPr>
            <w:r>
              <w:t>Trough FEV</w:t>
            </w:r>
            <w:r>
              <w:rPr>
                <w:vertAlign w:val="subscript"/>
              </w:rPr>
              <w:t>1</w:t>
            </w:r>
            <w:r w:rsidR="00460E94">
              <w:t xml:space="preserve"> at W</w:t>
            </w:r>
            <w:r>
              <w:t>eek 26, L</w:t>
            </w:r>
          </w:p>
        </w:tc>
        <w:tc>
          <w:tcPr>
            <w:tcW w:w="569" w:type="pct"/>
            <w:shd w:val="clear" w:color="auto" w:fill="auto"/>
          </w:tcPr>
          <w:p w:rsidR="00035233" w:rsidRPr="00194011" w:rsidRDefault="00035233" w:rsidP="00035233">
            <w:pPr>
              <w:pStyle w:val="05Tabletext"/>
              <w:keepNext/>
              <w:jc w:val="center"/>
            </w:pPr>
            <w:r>
              <w:t>352</w:t>
            </w:r>
          </w:p>
        </w:tc>
        <w:tc>
          <w:tcPr>
            <w:tcW w:w="570" w:type="pct"/>
            <w:shd w:val="clear" w:color="auto" w:fill="auto"/>
          </w:tcPr>
          <w:p w:rsidR="00035233" w:rsidRPr="00F36856" w:rsidRDefault="00035233" w:rsidP="00035233">
            <w:pPr>
              <w:pStyle w:val="05Tabletext"/>
              <w:keepNext/>
              <w:jc w:val="center"/>
            </w:pPr>
            <w:r w:rsidRPr="00F36856">
              <w:t>1.259</w:t>
            </w:r>
            <w:r>
              <w:t xml:space="preserve"> ±0.017</w:t>
            </w:r>
          </w:p>
        </w:tc>
        <w:tc>
          <w:tcPr>
            <w:tcW w:w="569" w:type="pct"/>
            <w:shd w:val="clear" w:color="auto" w:fill="auto"/>
          </w:tcPr>
          <w:p w:rsidR="00035233" w:rsidRPr="00194011" w:rsidRDefault="00035233" w:rsidP="00035233">
            <w:pPr>
              <w:pStyle w:val="05Tabletext"/>
              <w:keepNext/>
              <w:jc w:val="center"/>
            </w:pPr>
            <w:r>
              <w:t>340</w:t>
            </w:r>
          </w:p>
        </w:tc>
        <w:tc>
          <w:tcPr>
            <w:tcW w:w="570" w:type="pct"/>
            <w:shd w:val="clear" w:color="auto" w:fill="auto"/>
          </w:tcPr>
          <w:p w:rsidR="00035233" w:rsidRPr="00F36856" w:rsidRDefault="00035233" w:rsidP="00035233">
            <w:pPr>
              <w:pStyle w:val="05Tabletext"/>
              <w:keepNext/>
              <w:jc w:val="center"/>
            </w:pPr>
            <w:r>
              <w:t xml:space="preserve">1.183 </w:t>
            </w:r>
            <w:r w:rsidRPr="00F36856">
              <w:t>±</w:t>
            </w:r>
            <w:r>
              <w:t>0.017</w:t>
            </w:r>
          </w:p>
        </w:tc>
        <w:tc>
          <w:tcPr>
            <w:tcW w:w="882" w:type="pct"/>
            <w:shd w:val="clear" w:color="auto" w:fill="auto"/>
          </w:tcPr>
          <w:p w:rsidR="00035233" w:rsidRPr="00194011" w:rsidRDefault="00035233" w:rsidP="00035233">
            <w:pPr>
              <w:pStyle w:val="05Tabletext"/>
              <w:keepNext/>
              <w:jc w:val="center"/>
            </w:pPr>
            <w:r>
              <w:t>0.075 (0.044, 0.107)</w:t>
            </w:r>
          </w:p>
        </w:tc>
        <w:tc>
          <w:tcPr>
            <w:tcW w:w="515" w:type="pct"/>
          </w:tcPr>
          <w:p w:rsidR="00035233" w:rsidRDefault="00035233" w:rsidP="00035233">
            <w:pPr>
              <w:pStyle w:val="05Tabletext"/>
              <w:keepNext/>
              <w:jc w:val="center"/>
            </w:pPr>
            <w:r>
              <w:t>&lt;0.001</w:t>
            </w:r>
          </w:p>
        </w:tc>
      </w:tr>
      <w:tr w:rsidR="00035233" w:rsidRPr="00194011" w:rsidTr="00035233">
        <w:trPr>
          <w:cantSplit/>
        </w:trPr>
        <w:tc>
          <w:tcPr>
            <w:tcW w:w="1325" w:type="pct"/>
            <w:shd w:val="clear" w:color="auto" w:fill="000000"/>
          </w:tcPr>
          <w:p w:rsidR="00035233" w:rsidRDefault="00035233" w:rsidP="00035233">
            <w:pPr>
              <w:pStyle w:val="04Tablesubheading"/>
            </w:pPr>
            <w:r>
              <w:t>Subgroup – COPD severity</w:t>
            </w:r>
          </w:p>
        </w:tc>
        <w:tc>
          <w:tcPr>
            <w:tcW w:w="569" w:type="pct"/>
            <w:shd w:val="clear" w:color="auto" w:fill="000000"/>
          </w:tcPr>
          <w:p w:rsidR="00035233" w:rsidRDefault="00035233" w:rsidP="00035233">
            <w:pPr>
              <w:pStyle w:val="04Tablesubheading"/>
            </w:pPr>
          </w:p>
        </w:tc>
        <w:tc>
          <w:tcPr>
            <w:tcW w:w="570" w:type="pct"/>
            <w:shd w:val="clear" w:color="auto" w:fill="000000"/>
          </w:tcPr>
          <w:p w:rsidR="00035233" w:rsidRPr="00F36856" w:rsidRDefault="00035233" w:rsidP="00035233">
            <w:pPr>
              <w:pStyle w:val="04Tablesubheading"/>
            </w:pPr>
          </w:p>
        </w:tc>
        <w:tc>
          <w:tcPr>
            <w:tcW w:w="569" w:type="pct"/>
            <w:shd w:val="clear" w:color="auto" w:fill="000000"/>
          </w:tcPr>
          <w:p w:rsidR="00035233" w:rsidRDefault="00035233" w:rsidP="00035233">
            <w:pPr>
              <w:pStyle w:val="04Tablesubheading"/>
            </w:pPr>
          </w:p>
        </w:tc>
        <w:tc>
          <w:tcPr>
            <w:tcW w:w="570" w:type="pct"/>
            <w:shd w:val="clear" w:color="auto" w:fill="000000"/>
          </w:tcPr>
          <w:p w:rsidR="00035233" w:rsidRDefault="00035233" w:rsidP="00035233">
            <w:pPr>
              <w:pStyle w:val="04Tablesubheading"/>
            </w:pPr>
          </w:p>
        </w:tc>
        <w:tc>
          <w:tcPr>
            <w:tcW w:w="882" w:type="pct"/>
            <w:shd w:val="clear" w:color="auto" w:fill="000000"/>
          </w:tcPr>
          <w:p w:rsidR="00035233" w:rsidRDefault="00035233" w:rsidP="00035233">
            <w:pPr>
              <w:pStyle w:val="04Tablesubheading"/>
            </w:pPr>
          </w:p>
        </w:tc>
        <w:tc>
          <w:tcPr>
            <w:tcW w:w="515" w:type="pct"/>
            <w:shd w:val="clear" w:color="auto" w:fill="000000"/>
          </w:tcPr>
          <w:p w:rsidR="00035233" w:rsidRDefault="00035233" w:rsidP="00035233">
            <w:pPr>
              <w:pStyle w:val="04Tablesubheading"/>
            </w:pPr>
          </w:p>
        </w:tc>
      </w:tr>
      <w:tr w:rsidR="00035233" w:rsidRPr="00194011" w:rsidTr="00035233">
        <w:trPr>
          <w:cantSplit/>
        </w:trPr>
        <w:tc>
          <w:tcPr>
            <w:tcW w:w="1325" w:type="pct"/>
            <w:shd w:val="clear" w:color="auto" w:fill="auto"/>
          </w:tcPr>
          <w:p w:rsidR="00035233" w:rsidRDefault="00035233" w:rsidP="00035233">
            <w:pPr>
              <w:pStyle w:val="05Tabletext"/>
              <w:keepNext/>
            </w:pPr>
            <w:r>
              <w:t>Mild/moderate</w:t>
            </w:r>
          </w:p>
        </w:tc>
        <w:tc>
          <w:tcPr>
            <w:tcW w:w="569" w:type="pct"/>
            <w:shd w:val="clear" w:color="auto" w:fill="auto"/>
          </w:tcPr>
          <w:p w:rsidR="00035233" w:rsidRDefault="00035233" w:rsidP="00035233">
            <w:pPr>
              <w:pStyle w:val="05Tabletext"/>
              <w:keepNext/>
              <w:jc w:val="center"/>
            </w:pPr>
            <w:r>
              <w:t>184</w:t>
            </w:r>
          </w:p>
        </w:tc>
        <w:tc>
          <w:tcPr>
            <w:tcW w:w="570" w:type="pct"/>
            <w:shd w:val="clear" w:color="auto" w:fill="auto"/>
          </w:tcPr>
          <w:p w:rsidR="00035233" w:rsidRPr="00F36856" w:rsidRDefault="00035233" w:rsidP="00035233">
            <w:pPr>
              <w:pStyle w:val="05Tabletext"/>
              <w:keepNext/>
              <w:jc w:val="center"/>
            </w:pPr>
            <w:r>
              <w:t>NR</w:t>
            </w:r>
          </w:p>
        </w:tc>
        <w:tc>
          <w:tcPr>
            <w:tcW w:w="569" w:type="pct"/>
            <w:shd w:val="clear" w:color="auto" w:fill="auto"/>
          </w:tcPr>
          <w:p w:rsidR="00035233" w:rsidRDefault="00035233" w:rsidP="00035233">
            <w:pPr>
              <w:pStyle w:val="05Tabletext"/>
              <w:keepNext/>
              <w:jc w:val="center"/>
            </w:pPr>
            <w:r>
              <w:t>184</w:t>
            </w:r>
          </w:p>
        </w:tc>
        <w:tc>
          <w:tcPr>
            <w:tcW w:w="570" w:type="pct"/>
            <w:shd w:val="clear" w:color="auto" w:fill="auto"/>
          </w:tcPr>
          <w:p w:rsidR="00035233" w:rsidRDefault="00035233" w:rsidP="00035233">
            <w:pPr>
              <w:pStyle w:val="05Tabletext"/>
              <w:keepNext/>
              <w:jc w:val="center"/>
            </w:pPr>
            <w:r>
              <w:t>NR</w:t>
            </w:r>
          </w:p>
        </w:tc>
        <w:tc>
          <w:tcPr>
            <w:tcW w:w="882" w:type="pct"/>
            <w:shd w:val="clear" w:color="auto" w:fill="auto"/>
          </w:tcPr>
          <w:p w:rsidR="00035233" w:rsidRDefault="00035233" w:rsidP="00035233">
            <w:pPr>
              <w:pStyle w:val="05Tabletext"/>
              <w:keepNext/>
              <w:jc w:val="center"/>
            </w:pPr>
            <w:r>
              <w:t>0.079 (0.036, 0.122)</w:t>
            </w:r>
          </w:p>
        </w:tc>
        <w:tc>
          <w:tcPr>
            <w:tcW w:w="515" w:type="pct"/>
          </w:tcPr>
          <w:p w:rsidR="00035233" w:rsidRDefault="00035233" w:rsidP="00035233">
            <w:pPr>
              <w:pStyle w:val="05Tabletext"/>
              <w:keepNext/>
              <w:jc w:val="center"/>
            </w:pPr>
            <w:r>
              <w:t>NR</w:t>
            </w:r>
          </w:p>
        </w:tc>
      </w:tr>
      <w:tr w:rsidR="00035233" w:rsidRPr="00194011" w:rsidTr="00035233">
        <w:trPr>
          <w:cantSplit/>
        </w:trPr>
        <w:tc>
          <w:tcPr>
            <w:tcW w:w="1325" w:type="pct"/>
            <w:shd w:val="clear" w:color="auto" w:fill="auto"/>
          </w:tcPr>
          <w:p w:rsidR="00035233" w:rsidRDefault="00035233" w:rsidP="00035233">
            <w:pPr>
              <w:pStyle w:val="05Tabletext"/>
              <w:keepNext/>
            </w:pPr>
            <w:r>
              <w:t>Severe/very severe</w:t>
            </w:r>
          </w:p>
        </w:tc>
        <w:tc>
          <w:tcPr>
            <w:tcW w:w="569" w:type="pct"/>
            <w:shd w:val="clear" w:color="auto" w:fill="auto"/>
          </w:tcPr>
          <w:p w:rsidR="00035233" w:rsidRDefault="00035233" w:rsidP="00035233">
            <w:pPr>
              <w:pStyle w:val="05Tabletext"/>
              <w:keepNext/>
              <w:jc w:val="center"/>
            </w:pPr>
            <w:r>
              <w:t>168</w:t>
            </w:r>
          </w:p>
        </w:tc>
        <w:tc>
          <w:tcPr>
            <w:tcW w:w="570" w:type="pct"/>
            <w:shd w:val="clear" w:color="auto" w:fill="auto"/>
          </w:tcPr>
          <w:p w:rsidR="00035233" w:rsidRPr="00F36856" w:rsidRDefault="00035233" w:rsidP="00035233">
            <w:pPr>
              <w:pStyle w:val="05Tabletext"/>
              <w:keepNext/>
              <w:jc w:val="center"/>
            </w:pPr>
            <w:r>
              <w:t>NR</w:t>
            </w:r>
          </w:p>
        </w:tc>
        <w:tc>
          <w:tcPr>
            <w:tcW w:w="569" w:type="pct"/>
            <w:shd w:val="clear" w:color="auto" w:fill="auto"/>
          </w:tcPr>
          <w:p w:rsidR="00035233" w:rsidRDefault="00035233" w:rsidP="00035233">
            <w:pPr>
              <w:pStyle w:val="05Tabletext"/>
              <w:keepNext/>
              <w:jc w:val="center"/>
            </w:pPr>
            <w:r>
              <w:t>156</w:t>
            </w:r>
          </w:p>
        </w:tc>
        <w:tc>
          <w:tcPr>
            <w:tcW w:w="570" w:type="pct"/>
            <w:shd w:val="clear" w:color="auto" w:fill="auto"/>
          </w:tcPr>
          <w:p w:rsidR="00035233" w:rsidRDefault="00035233" w:rsidP="00035233">
            <w:pPr>
              <w:pStyle w:val="05Tabletext"/>
              <w:keepNext/>
              <w:jc w:val="center"/>
            </w:pPr>
            <w:r>
              <w:t>NR</w:t>
            </w:r>
          </w:p>
        </w:tc>
        <w:tc>
          <w:tcPr>
            <w:tcW w:w="882" w:type="pct"/>
            <w:shd w:val="clear" w:color="auto" w:fill="auto"/>
          </w:tcPr>
          <w:p w:rsidR="00035233" w:rsidRDefault="00035233" w:rsidP="00035233">
            <w:pPr>
              <w:pStyle w:val="05Tabletext"/>
              <w:keepNext/>
              <w:jc w:val="center"/>
            </w:pPr>
            <w:r>
              <w:t>0.071 (0.025, 0.117)</w:t>
            </w:r>
          </w:p>
        </w:tc>
        <w:tc>
          <w:tcPr>
            <w:tcW w:w="515" w:type="pct"/>
          </w:tcPr>
          <w:p w:rsidR="00035233" w:rsidRDefault="00035233" w:rsidP="00035233">
            <w:pPr>
              <w:pStyle w:val="05Tabletext"/>
              <w:keepNext/>
              <w:jc w:val="center"/>
            </w:pPr>
            <w:r>
              <w:t>NR</w:t>
            </w:r>
          </w:p>
        </w:tc>
      </w:tr>
      <w:tr w:rsidR="00035233" w:rsidRPr="00194011" w:rsidTr="00035233">
        <w:trPr>
          <w:cantSplit/>
        </w:trPr>
        <w:tc>
          <w:tcPr>
            <w:tcW w:w="1325" w:type="pct"/>
            <w:shd w:val="clear" w:color="auto" w:fill="000000"/>
          </w:tcPr>
          <w:p w:rsidR="00035233" w:rsidRDefault="00035233" w:rsidP="00035233">
            <w:pPr>
              <w:pStyle w:val="04Tablesubheading"/>
            </w:pPr>
            <w:r>
              <w:t>Subgroup – baseline ICS use</w:t>
            </w:r>
          </w:p>
        </w:tc>
        <w:tc>
          <w:tcPr>
            <w:tcW w:w="569" w:type="pct"/>
            <w:shd w:val="clear" w:color="auto" w:fill="000000"/>
          </w:tcPr>
          <w:p w:rsidR="00035233" w:rsidRDefault="00035233" w:rsidP="00035233">
            <w:pPr>
              <w:pStyle w:val="04Tablesubheading"/>
            </w:pPr>
          </w:p>
        </w:tc>
        <w:tc>
          <w:tcPr>
            <w:tcW w:w="570" w:type="pct"/>
            <w:shd w:val="clear" w:color="auto" w:fill="000000"/>
          </w:tcPr>
          <w:p w:rsidR="00035233" w:rsidRPr="00F36856" w:rsidRDefault="00035233" w:rsidP="00035233">
            <w:pPr>
              <w:pStyle w:val="04Tablesubheading"/>
            </w:pPr>
          </w:p>
        </w:tc>
        <w:tc>
          <w:tcPr>
            <w:tcW w:w="569" w:type="pct"/>
            <w:shd w:val="clear" w:color="auto" w:fill="000000"/>
          </w:tcPr>
          <w:p w:rsidR="00035233" w:rsidRDefault="00035233" w:rsidP="00035233">
            <w:pPr>
              <w:pStyle w:val="04Tablesubheading"/>
            </w:pPr>
          </w:p>
        </w:tc>
        <w:tc>
          <w:tcPr>
            <w:tcW w:w="570" w:type="pct"/>
            <w:shd w:val="clear" w:color="auto" w:fill="000000"/>
          </w:tcPr>
          <w:p w:rsidR="00035233" w:rsidRDefault="00035233" w:rsidP="00035233">
            <w:pPr>
              <w:pStyle w:val="04Tablesubheading"/>
            </w:pPr>
          </w:p>
        </w:tc>
        <w:tc>
          <w:tcPr>
            <w:tcW w:w="882" w:type="pct"/>
            <w:shd w:val="clear" w:color="auto" w:fill="000000"/>
          </w:tcPr>
          <w:p w:rsidR="00035233" w:rsidRDefault="00035233" w:rsidP="00035233">
            <w:pPr>
              <w:pStyle w:val="04Tablesubheading"/>
            </w:pPr>
          </w:p>
        </w:tc>
        <w:tc>
          <w:tcPr>
            <w:tcW w:w="515" w:type="pct"/>
            <w:shd w:val="clear" w:color="auto" w:fill="000000"/>
          </w:tcPr>
          <w:p w:rsidR="00035233" w:rsidRDefault="00035233" w:rsidP="00035233">
            <w:pPr>
              <w:pStyle w:val="04Tablesubheading"/>
            </w:pPr>
          </w:p>
        </w:tc>
      </w:tr>
      <w:tr w:rsidR="00035233" w:rsidRPr="00194011" w:rsidTr="00035233">
        <w:trPr>
          <w:cantSplit/>
        </w:trPr>
        <w:tc>
          <w:tcPr>
            <w:tcW w:w="1325" w:type="pct"/>
            <w:shd w:val="clear" w:color="auto" w:fill="auto"/>
          </w:tcPr>
          <w:p w:rsidR="00035233" w:rsidRDefault="00035233" w:rsidP="00035233">
            <w:pPr>
              <w:pStyle w:val="05Tabletext"/>
              <w:keepNext/>
            </w:pPr>
            <w:r>
              <w:t>Yes</w:t>
            </w:r>
          </w:p>
        </w:tc>
        <w:tc>
          <w:tcPr>
            <w:tcW w:w="569" w:type="pct"/>
            <w:shd w:val="clear" w:color="auto" w:fill="auto"/>
          </w:tcPr>
          <w:p w:rsidR="00035233" w:rsidRDefault="00035233" w:rsidP="00035233">
            <w:pPr>
              <w:pStyle w:val="05Tabletext"/>
              <w:keepNext/>
              <w:jc w:val="center"/>
            </w:pPr>
            <w:r>
              <w:t>196</w:t>
            </w:r>
          </w:p>
        </w:tc>
        <w:tc>
          <w:tcPr>
            <w:tcW w:w="570" w:type="pct"/>
            <w:shd w:val="clear" w:color="auto" w:fill="auto"/>
          </w:tcPr>
          <w:p w:rsidR="00035233" w:rsidRPr="00F36856" w:rsidRDefault="00035233" w:rsidP="00035233">
            <w:pPr>
              <w:pStyle w:val="05Tabletext"/>
              <w:keepNext/>
              <w:jc w:val="center"/>
            </w:pPr>
            <w:r>
              <w:t>NR</w:t>
            </w:r>
          </w:p>
        </w:tc>
        <w:tc>
          <w:tcPr>
            <w:tcW w:w="569" w:type="pct"/>
            <w:shd w:val="clear" w:color="auto" w:fill="auto"/>
          </w:tcPr>
          <w:p w:rsidR="00035233" w:rsidRDefault="00035233" w:rsidP="00035233">
            <w:pPr>
              <w:pStyle w:val="05Tabletext"/>
              <w:keepNext/>
              <w:jc w:val="center"/>
            </w:pPr>
            <w:r>
              <w:t>184</w:t>
            </w:r>
          </w:p>
        </w:tc>
        <w:tc>
          <w:tcPr>
            <w:tcW w:w="570" w:type="pct"/>
            <w:shd w:val="clear" w:color="auto" w:fill="auto"/>
          </w:tcPr>
          <w:p w:rsidR="00035233" w:rsidRDefault="00035233" w:rsidP="00035233">
            <w:pPr>
              <w:pStyle w:val="05Tabletext"/>
              <w:keepNext/>
              <w:jc w:val="center"/>
            </w:pPr>
            <w:r>
              <w:t>NR</w:t>
            </w:r>
          </w:p>
        </w:tc>
        <w:tc>
          <w:tcPr>
            <w:tcW w:w="882" w:type="pct"/>
            <w:shd w:val="clear" w:color="auto" w:fill="auto"/>
          </w:tcPr>
          <w:p w:rsidR="00035233" w:rsidRDefault="00035233" w:rsidP="00035233">
            <w:pPr>
              <w:pStyle w:val="05Tabletext"/>
              <w:keepNext/>
              <w:jc w:val="center"/>
            </w:pPr>
            <w:r>
              <w:t>0.062 (0.019, 0.104)</w:t>
            </w:r>
          </w:p>
        </w:tc>
        <w:tc>
          <w:tcPr>
            <w:tcW w:w="515" w:type="pct"/>
          </w:tcPr>
          <w:p w:rsidR="00035233" w:rsidRDefault="00035233" w:rsidP="00035233">
            <w:pPr>
              <w:pStyle w:val="05Tabletext"/>
              <w:keepNext/>
              <w:jc w:val="center"/>
            </w:pPr>
            <w:r>
              <w:t>NR</w:t>
            </w:r>
          </w:p>
        </w:tc>
      </w:tr>
      <w:tr w:rsidR="00035233" w:rsidRPr="00194011" w:rsidTr="00035233">
        <w:trPr>
          <w:cantSplit/>
        </w:trPr>
        <w:tc>
          <w:tcPr>
            <w:tcW w:w="1325" w:type="pct"/>
            <w:shd w:val="clear" w:color="auto" w:fill="auto"/>
          </w:tcPr>
          <w:p w:rsidR="00035233" w:rsidRDefault="00035233" w:rsidP="00035233">
            <w:pPr>
              <w:pStyle w:val="05Tabletext"/>
              <w:keepNext/>
            </w:pPr>
            <w:r>
              <w:t>No</w:t>
            </w:r>
          </w:p>
        </w:tc>
        <w:tc>
          <w:tcPr>
            <w:tcW w:w="569" w:type="pct"/>
            <w:shd w:val="clear" w:color="auto" w:fill="auto"/>
          </w:tcPr>
          <w:p w:rsidR="00035233" w:rsidRDefault="00035233" w:rsidP="00035233">
            <w:pPr>
              <w:pStyle w:val="05Tabletext"/>
              <w:keepNext/>
              <w:jc w:val="center"/>
            </w:pPr>
            <w:r>
              <w:t>156</w:t>
            </w:r>
          </w:p>
        </w:tc>
        <w:tc>
          <w:tcPr>
            <w:tcW w:w="570" w:type="pct"/>
            <w:shd w:val="clear" w:color="auto" w:fill="auto"/>
          </w:tcPr>
          <w:p w:rsidR="00035233" w:rsidRPr="00F36856" w:rsidRDefault="00035233" w:rsidP="00035233">
            <w:pPr>
              <w:pStyle w:val="05Tabletext"/>
              <w:keepNext/>
              <w:jc w:val="center"/>
            </w:pPr>
            <w:r>
              <w:t>NR</w:t>
            </w:r>
          </w:p>
        </w:tc>
        <w:tc>
          <w:tcPr>
            <w:tcW w:w="569" w:type="pct"/>
            <w:shd w:val="clear" w:color="auto" w:fill="auto"/>
          </w:tcPr>
          <w:p w:rsidR="00035233" w:rsidRDefault="00035233" w:rsidP="00035233">
            <w:pPr>
              <w:pStyle w:val="05Tabletext"/>
              <w:keepNext/>
              <w:jc w:val="center"/>
            </w:pPr>
            <w:r>
              <w:t>156</w:t>
            </w:r>
          </w:p>
        </w:tc>
        <w:tc>
          <w:tcPr>
            <w:tcW w:w="570" w:type="pct"/>
            <w:shd w:val="clear" w:color="auto" w:fill="auto"/>
          </w:tcPr>
          <w:p w:rsidR="00035233" w:rsidRDefault="00035233" w:rsidP="00035233">
            <w:pPr>
              <w:pStyle w:val="05Tabletext"/>
              <w:keepNext/>
              <w:jc w:val="center"/>
            </w:pPr>
            <w:r>
              <w:t>NR</w:t>
            </w:r>
          </w:p>
        </w:tc>
        <w:tc>
          <w:tcPr>
            <w:tcW w:w="882" w:type="pct"/>
            <w:shd w:val="clear" w:color="auto" w:fill="auto"/>
          </w:tcPr>
          <w:p w:rsidR="00035233" w:rsidRDefault="00035233" w:rsidP="00035233">
            <w:pPr>
              <w:pStyle w:val="05Tabletext"/>
              <w:keepNext/>
              <w:jc w:val="center"/>
            </w:pPr>
            <w:r>
              <w:t>0.092 (0.044, 0.139)</w:t>
            </w:r>
          </w:p>
        </w:tc>
        <w:tc>
          <w:tcPr>
            <w:tcW w:w="515" w:type="pct"/>
          </w:tcPr>
          <w:p w:rsidR="00035233" w:rsidRDefault="00035233" w:rsidP="00035233">
            <w:pPr>
              <w:pStyle w:val="05Tabletext"/>
              <w:keepNext/>
              <w:jc w:val="center"/>
            </w:pPr>
            <w:r>
              <w:t>NR</w:t>
            </w:r>
          </w:p>
        </w:tc>
      </w:tr>
      <w:tr w:rsidR="00035233" w:rsidRPr="00194011" w:rsidTr="00035233">
        <w:trPr>
          <w:cantSplit/>
        </w:trPr>
        <w:tc>
          <w:tcPr>
            <w:tcW w:w="1325" w:type="pct"/>
            <w:shd w:val="clear" w:color="auto" w:fill="000000"/>
          </w:tcPr>
          <w:p w:rsidR="00035233" w:rsidRDefault="00035233" w:rsidP="00035233">
            <w:pPr>
              <w:pStyle w:val="04Tablesubheading"/>
            </w:pPr>
            <w:r>
              <w:t>Subgroup – COPD exacerbation</w:t>
            </w:r>
          </w:p>
        </w:tc>
        <w:tc>
          <w:tcPr>
            <w:tcW w:w="569" w:type="pct"/>
            <w:shd w:val="clear" w:color="auto" w:fill="000000"/>
          </w:tcPr>
          <w:p w:rsidR="00035233" w:rsidRDefault="00035233" w:rsidP="00035233">
            <w:pPr>
              <w:pStyle w:val="04Tablesubheading"/>
            </w:pPr>
          </w:p>
        </w:tc>
        <w:tc>
          <w:tcPr>
            <w:tcW w:w="570" w:type="pct"/>
            <w:shd w:val="clear" w:color="auto" w:fill="000000"/>
          </w:tcPr>
          <w:p w:rsidR="00035233" w:rsidRPr="00F36856" w:rsidRDefault="00035233" w:rsidP="00035233">
            <w:pPr>
              <w:pStyle w:val="04Tablesubheading"/>
            </w:pPr>
          </w:p>
        </w:tc>
        <w:tc>
          <w:tcPr>
            <w:tcW w:w="569" w:type="pct"/>
            <w:shd w:val="clear" w:color="auto" w:fill="000000"/>
          </w:tcPr>
          <w:p w:rsidR="00035233" w:rsidRDefault="00035233" w:rsidP="00035233">
            <w:pPr>
              <w:pStyle w:val="04Tablesubheading"/>
            </w:pPr>
          </w:p>
        </w:tc>
        <w:tc>
          <w:tcPr>
            <w:tcW w:w="570" w:type="pct"/>
            <w:shd w:val="clear" w:color="auto" w:fill="000000"/>
          </w:tcPr>
          <w:p w:rsidR="00035233" w:rsidRDefault="00035233" w:rsidP="00035233">
            <w:pPr>
              <w:pStyle w:val="04Tablesubheading"/>
            </w:pPr>
          </w:p>
        </w:tc>
        <w:tc>
          <w:tcPr>
            <w:tcW w:w="882" w:type="pct"/>
            <w:shd w:val="clear" w:color="auto" w:fill="000000"/>
          </w:tcPr>
          <w:p w:rsidR="00035233" w:rsidRDefault="00035233" w:rsidP="00035233">
            <w:pPr>
              <w:pStyle w:val="04Tablesubheading"/>
            </w:pPr>
          </w:p>
        </w:tc>
        <w:tc>
          <w:tcPr>
            <w:tcW w:w="515" w:type="pct"/>
            <w:shd w:val="clear" w:color="auto" w:fill="000000"/>
          </w:tcPr>
          <w:p w:rsidR="00035233" w:rsidRDefault="00035233" w:rsidP="00035233">
            <w:pPr>
              <w:pStyle w:val="04Tablesubheading"/>
            </w:pPr>
          </w:p>
        </w:tc>
      </w:tr>
      <w:tr w:rsidR="00035233" w:rsidRPr="00194011" w:rsidTr="00035233">
        <w:trPr>
          <w:cantSplit/>
        </w:trPr>
        <w:tc>
          <w:tcPr>
            <w:tcW w:w="1325" w:type="pct"/>
            <w:shd w:val="clear" w:color="auto" w:fill="auto"/>
          </w:tcPr>
          <w:p w:rsidR="00035233" w:rsidRDefault="00035233" w:rsidP="00035233">
            <w:pPr>
              <w:pStyle w:val="05Tabletext"/>
              <w:keepNext/>
            </w:pPr>
            <w:r>
              <w:t>Yes</w:t>
            </w:r>
          </w:p>
        </w:tc>
        <w:tc>
          <w:tcPr>
            <w:tcW w:w="569" w:type="pct"/>
            <w:shd w:val="clear" w:color="auto" w:fill="auto"/>
          </w:tcPr>
          <w:p w:rsidR="00035233" w:rsidRDefault="00035233" w:rsidP="00035233">
            <w:pPr>
              <w:pStyle w:val="05Tabletext"/>
              <w:keepNext/>
              <w:jc w:val="center"/>
            </w:pPr>
            <w:r>
              <w:t>58</w:t>
            </w:r>
          </w:p>
        </w:tc>
        <w:tc>
          <w:tcPr>
            <w:tcW w:w="570" w:type="pct"/>
            <w:shd w:val="clear" w:color="auto" w:fill="auto"/>
          </w:tcPr>
          <w:p w:rsidR="00035233" w:rsidRPr="00F36856" w:rsidRDefault="00035233" w:rsidP="00035233">
            <w:pPr>
              <w:pStyle w:val="05Tabletext"/>
              <w:keepNext/>
              <w:jc w:val="center"/>
            </w:pPr>
            <w:r>
              <w:t>NR</w:t>
            </w:r>
          </w:p>
        </w:tc>
        <w:tc>
          <w:tcPr>
            <w:tcW w:w="569" w:type="pct"/>
            <w:shd w:val="clear" w:color="auto" w:fill="auto"/>
          </w:tcPr>
          <w:p w:rsidR="00035233" w:rsidRDefault="00035233" w:rsidP="00035233">
            <w:pPr>
              <w:pStyle w:val="05Tabletext"/>
              <w:keepNext/>
              <w:jc w:val="center"/>
            </w:pPr>
            <w:r>
              <w:t>80</w:t>
            </w:r>
          </w:p>
        </w:tc>
        <w:tc>
          <w:tcPr>
            <w:tcW w:w="570" w:type="pct"/>
            <w:shd w:val="clear" w:color="auto" w:fill="auto"/>
          </w:tcPr>
          <w:p w:rsidR="00035233" w:rsidRDefault="00035233" w:rsidP="00035233">
            <w:pPr>
              <w:pStyle w:val="05Tabletext"/>
              <w:keepNext/>
              <w:jc w:val="center"/>
            </w:pPr>
            <w:r>
              <w:t>NR</w:t>
            </w:r>
          </w:p>
        </w:tc>
        <w:tc>
          <w:tcPr>
            <w:tcW w:w="882" w:type="pct"/>
            <w:shd w:val="clear" w:color="auto" w:fill="auto"/>
          </w:tcPr>
          <w:p w:rsidR="00035233" w:rsidRDefault="00035233" w:rsidP="00035233">
            <w:pPr>
              <w:pStyle w:val="05Tabletext"/>
              <w:keepNext/>
              <w:jc w:val="center"/>
            </w:pPr>
            <w:r>
              <w:t>0.062 (–0.009, 0.134)</w:t>
            </w:r>
          </w:p>
        </w:tc>
        <w:tc>
          <w:tcPr>
            <w:tcW w:w="515" w:type="pct"/>
          </w:tcPr>
          <w:p w:rsidR="00035233" w:rsidRDefault="00035233" w:rsidP="00035233">
            <w:pPr>
              <w:pStyle w:val="05Tabletext"/>
              <w:keepNext/>
              <w:jc w:val="center"/>
            </w:pPr>
            <w:r>
              <w:t>NR</w:t>
            </w:r>
          </w:p>
        </w:tc>
      </w:tr>
      <w:tr w:rsidR="00035233" w:rsidRPr="00194011" w:rsidTr="00035233">
        <w:trPr>
          <w:cantSplit/>
        </w:trPr>
        <w:tc>
          <w:tcPr>
            <w:tcW w:w="1325" w:type="pct"/>
            <w:shd w:val="clear" w:color="auto" w:fill="auto"/>
          </w:tcPr>
          <w:p w:rsidR="00035233" w:rsidRDefault="00035233" w:rsidP="00035233">
            <w:pPr>
              <w:pStyle w:val="05Tabletext"/>
              <w:keepNext/>
            </w:pPr>
            <w:r>
              <w:t>No</w:t>
            </w:r>
          </w:p>
        </w:tc>
        <w:tc>
          <w:tcPr>
            <w:tcW w:w="569" w:type="pct"/>
            <w:shd w:val="clear" w:color="auto" w:fill="auto"/>
          </w:tcPr>
          <w:p w:rsidR="00035233" w:rsidRDefault="00035233" w:rsidP="00035233">
            <w:pPr>
              <w:pStyle w:val="05Tabletext"/>
              <w:keepNext/>
              <w:jc w:val="center"/>
            </w:pPr>
            <w:r>
              <w:t>294</w:t>
            </w:r>
          </w:p>
        </w:tc>
        <w:tc>
          <w:tcPr>
            <w:tcW w:w="570" w:type="pct"/>
            <w:shd w:val="clear" w:color="auto" w:fill="auto"/>
          </w:tcPr>
          <w:p w:rsidR="00035233" w:rsidRPr="00F36856" w:rsidRDefault="00035233" w:rsidP="00035233">
            <w:pPr>
              <w:pStyle w:val="05Tabletext"/>
              <w:keepNext/>
              <w:jc w:val="center"/>
            </w:pPr>
            <w:r>
              <w:t>NR</w:t>
            </w:r>
          </w:p>
        </w:tc>
        <w:tc>
          <w:tcPr>
            <w:tcW w:w="569" w:type="pct"/>
            <w:shd w:val="clear" w:color="auto" w:fill="auto"/>
          </w:tcPr>
          <w:p w:rsidR="00035233" w:rsidRDefault="00035233" w:rsidP="00035233">
            <w:pPr>
              <w:pStyle w:val="05Tabletext"/>
              <w:keepNext/>
              <w:jc w:val="center"/>
            </w:pPr>
            <w:r>
              <w:t>260</w:t>
            </w:r>
          </w:p>
        </w:tc>
        <w:tc>
          <w:tcPr>
            <w:tcW w:w="570" w:type="pct"/>
            <w:shd w:val="clear" w:color="auto" w:fill="auto"/>
          </w:tcPr>
          <w:p w:rsidR="00035233" w:rsidRDefault="00035233" w:rsidP="00035233">
            <w:pPr>
              <w:pStyle w:val="05Tabletext"/>
              <w:keepNext/>
              <w:jc w:val="center"/>
            </w:pPr>
            <w:r>
              <w:t>NR</w:t>
            </w:r>
          </w:p>
        </w:tc>
        <w:tc>
          <w:tcPr>
            <w:tcW w:w="882" w:type="pct"/>
            <w:shd w:val="clear" w:color="auto" w:fill="auto"/>
          </w:tcPr>
          <w:p w:rsidR="00035233" w:rsidRDefault="00035233" w:rsidP="00035233">
            <w:pPr>
              <w:pStyle w:val="05Tabletext"/>
              <w:keepNext/>
              <w:jc w:val="center"/>
            </w:pPr>
            <w:r>
              <w:t>0.078 (0.043, 0.114)</w:t>
            </w:r>
          </w:p>
        </w:tc>
        <w:tc>
          <w:tcPr>
            <w:tcW w:w="515" w:type="pct"/>
          </w:tcPr>
          <w:p w:rsidR="00035233" w:rsidRDefault="00035233" w:rsidP="00035233">
            <w:pPr>
              <w:pStyle w:val="05Tabletext"/>
              <w:keepNext/>
              <w:jc w:val="center"/>
            </w:pPr>
            <w:r>
              <w:t>NR</w:t>
            </w:r>
          </w:p>
        </w:tc>
      </w:tr>
    </w:tbl>
    <w:p w:rsidR="00035233" w:rsidRDefault="00035233" w:rsidP="00035233">
      <w:pPr>
        <w:pStyle w:val="10TableorFigurefootnote"/>
      </w:pPr>
      <w:r>
        <w:t>Source: Zhong et al (2015), pg 1018; Figure 3; Table 2; Figure 4.</w:t>
      </w:r>
    </w:p>
    <w:p w:rsidR="00035233" w:rsidRDefault="00035233" w:rsidP="00035233">
      <w:pPr>
        <w:pStyle w:val="10TableorFigurefootnote"/>
      </w:pPr>
      <w:r>
        <w:t>Note: Results based on the full analysis set (all randomised patients who received at least one dose of study drug), unless otherwise specified.</w:t>
      </w:r>
    </w:p>
    <w:p w:rsidR="00035233" w:rsidRDefault="00035233" w:rsidP="00035233">
      <w:pPr>
        <w:pStyle w:val="10TableorFigurefootnote"/>
      </w:pPr>
      <w:r>
        <w:t>Abbreviations: CI, confidence interval; COPD, chronic obstructive pulmonary disease; FEV</w:t>
      </w:r>
      <w:r w:rsidRPr="00FD7E32">
        <w:rPr>
          <w:vertAlign w:val="subscript"/>
        </w:rPr>
        <w:t>1</w:t>
      </w:r>
      <w:r>
        <w:t>, forced expiratory volume in 1 second;  FLU, fluticasone; GLY, glycopyrronium; ICS, inhaled corticosteroid; IND, indacaterol; LOCF, last observation carried forward; LS, least squares; NR, not reported; SAL, salmeterol; SE, standard error.</w:t>
      </w:r>
    </w:p>
    <w:p w:rsidR="00035233" w:rsidRPr="008346BA" w:rsidRDefault="00035233" w:rsidP="00035233">
      <w:pPr>
        <w:pStyle w:val="11TableorFigurefootnotenostick"/>
      </w:pPr>
      <w:proofErr w:type="gramStart"/>
      <w:r>
        <w:rPr>
          <w:b/>
        </w:rPr>
        <w:t>a</w:t>
      </w:r>
      <w:proofErr w:type="gramEnd"/>
      <w:r>
        <w:t xml:space="preserve"> All patients in the full analysis set</w:t>
      </w:r>
      <w:r w:rsidRPr="008346BA">
        <w:t xml:space="preserve"> without any major protocol deviations.</w:t>
      </w:r>
    </w:p>
    <w:p w:rsidR="00035233" w:rsidRPr="00552A9C" w:rsidRDefault="00AC7B51" w:rsidP="007F448B">
      <w:pPr>
        <w:pStyle w:val="ToR3Tableheader"/>
      </w:pPr>
      <w:bookmarkStart w:id="393" w:name="_Toc468006296"/>
      <w:bookmarkStart w:id="394" w:name="_Toc468012341"/>
      <w:bookmarkStart w:id="395" w:name="_Toc468034497"/>
      <w:bookmarkStart w:id="396" w:name="_Toc471891047"/>
      <w:bookmarkStart w:id="397" w:name="_Toc486428235"/>
      <w:r>
        <w:t>Table 3.5</w:t>
      </w:r>
      <w:r w:rsidR="00967B39">
        <w:t>6</w:t>
      </w:r>
      <w:r>
        <w:tab/>
      </w:r>
      <w:r w:rsidR="00035233">
        <w:t>Analysis of responders of post-dose trough FEV</w:t>
      </w:r>
      <w:r w:rsidR="00035233" w:rsidRPr="00A52136">
        <w:rPr>
          <w:vertAlign w:val="subscript"/>
        </w:rPr>
        <w:t>1</w:t>
      </w:r>
      <w:r w:rsidR="00035233">
        <w:t xml:space="preserve"> after 26 weeks of treatment</w:t>
      </w:r>
      <w:bookmarkEnd w:id="393"/>
      <w:bookmarkEnd w:id="394"/>
      <w:bookmarkEnd w:id="395"/>
      <w:bookmarkEnd w:id="396"/>
      <w:bookmarkEnd w:id="39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Caption w:val="Analysis of responders of post-dose trough FEV1 after 26 weeks of treatment"/>
        <w:tblDescription w:val="GLY/IND vs FLU/SAL"/>
      </w:tblPr>
      <w:tblGrid>
        <w:gridCol w:w="2273"/>
        <w:gridCol w:w="2198"/>
        <w:gridCol w:w="2481"/>
        <w:gridCol w:w="1702"/>
        <w:gridCol w:w="994"/>
      </w:tblGrid>
      <w:tr w:rsidR="00035233" w:rsidRPr="00552A9C" w:rsidTr="00035233">
        <w:trPr>
          <w:cantSplit/>
          <w:tblHeader/>
        </w:trPr>
        <w:tc>
          <w:tcPr>
            <w:tcW w:w="1178" w:type="pct"/>
            <w:shd w:val="clear" w:color="auto" w:fill="BFBFBF"/>
          </w:tcPr>
          <w:p w:rsidR="00035233" w:rsidRPr="00552A9C" w:rsidRDefault="00035233" w:rsidP="00035233">
            <w:pPr>
              <w:pStyle w:val="01TableHEADINGleftaligned"/>
            </w:pPr>
          </w:p>
        </w:tc>
        <w:tc>
          <w:tcPr>
            <w:tcW w:w="1139" w:type="pct"/>
            <w:tcBorders>
              <w:bottom w:val="single" w:sz="4" w:space="0" w:color="auto"/>
              <w:right w:val="single" w:sz="4" w:space="0" w:color="auto"/>
            </w:tcBorders>
            <w:shd w:val="clear" w:color="auto" w:fill="BFBFBF"/>
          </w:tcPr>
          <w:p w:rsidR="00035233" w:rsidRPr="00552A9C" w:rsidRDefault="00035233" w:rsidP="00035233">
            <w:pPr>
              <w:pStyle w:val="01TableHEADINGleftaligned"/>
              <w:ind w:right="0"/>
              <w:jc w:val="center"/>
            </w:pPr>
            <w:r>
              <w:t>GLY/IND 50/110 (N=372)</w:t>
            </w:r>
          </w:p>
        </w:tc>
        <w:tc>
          <w:tcPr>
            <w:tcW w:w="1286" w:type="pct"/>
            <w:tcBorders>
              <w:left w:val="single" w:sz="4" w:space="0" w:color="auto"/>
              <w:bottom w:val="single" w:sz="4" w:space="0" w:color="auto"/>
              <w:right w:val="single" w:sz="4" w:space="0" w:color="auto"/>
            </w:tcBorders>
            <w:shd w:val="clear" w:color="auto" w:fill="BFBFBF"/>
          </w:tcPr>
          <w:p w:rsidR="00035233" w:rsidRPr="00552A9C" w:rsidRDefault="00035233" w:rsidP="00035233">
            <w:pPr>
              <w:pStyle w:val="01TableHEADINGleftaligned"/>
              <w:ind w:left="28"/>
              <w:jc w:val="center"/>
            </w:pPr>
            <w:r>
              <w:t>FLU/SAL 500/50 (N=369)</w:t>
            </w:r>
          </w:p>
        </w:tc>
        <w:tc>
          <w:tcPr>
            <w:tcW w:w="882" w:type="pct"/>
            <w:tcBorders>
              <w:left w:val="single" w:sz="4" w:space="0" w:color="auto"/>
              <w:bottom w:val="single" w:sz="4" w:space="0" w:color="auto"/>
              <w:right w:val="single" w:sz="4" w:space="0" w:color="auto"/>
            </w:tcBorders>
            <w:shd w:val="clear" w:color="auto" w:fill="BFBFBF"/>
          </w:tcPr>
          <w:p w:rsidR="00035233" w:rsidRPr="00552A9C" w:rsidRDefault="00035233" w:rsidP="00035233">
            <w:pPr>
              <w:pStyle w:val="01TableHEADINGleftaligned"/>
              <w:jc w:val="center"/>
            </w:pPr>
            <w:r w:rsidRPr="00552A9C">
              <w:t>OR (95% CI)</w:t>
            </w:r>
          </w:p>
        </w:tc>
        <w:tc>
          <w:tcPr>
            <w:tcW w:w="515" w:type="pct"/>
            <w:tcBorders>
              <w:left w:val="single" w:sz="4" w:space="0" w:color="auto"/>
              <w:bottom w:val="single" w:sz="4" w:space="0" w:color="auto"/>
            </w:tcBorders>
            <w:shd w:val="clear" w:color="auto" w:fill="BFBFBF"/>
          </w:tcPr>
          <w:p w:rsidR="00035233" w:rsidRPr="00552A9C" w:rsidRDefault="00035233" w:rsidP="00035233">
            <w:pPr>
              <w:pStyle w:val="01TableHEADINGleftaligned"/>
              <w:jc w:val="center"/>
            </w:pPr>
            <w:r w:rsidRPr="00552A9C">
              <w:t>p-value</w:t>
            </w:r>
          </w:p>
        </w:tc>
      </w:tr>
      <w:tr w:rsidR="00035233" w:rsidRPr="00552A9C" w:rsidTr="00035233">
        <w:trPr>
          <w:cantSplit/>
        </w:trPr>
        <w:tc>
          <w:tcPr>
            <w:tcW w:w="1178" w:type="pct"/>
            <w:shd w:val="clear" w:color="auto" w:fill="auto"/>
          </w:tcPr>
          <w:p w:rsidR="00035233" w:rsidRPr="00552A9C" w:rsidRDefault="00035233" w:rsidP="00035233">
            <w:pPr>
              <w:pStyle w:val="05Tabletext"/>
            </w:pPr>
            <w:r>
              <w:t>≥100 mL improvement, n/N</w:t>
            </w:r>
            <w:r>
              <w:rPr>
                <w:vertAlign w:val="superscript"/>
              </w:rPr>
              <w:t>a</w:t>
            </w:r>
            <w:r>
              <w:t xml:space="preserve"> (%)</w:t>
            </w:r>
          </w:p>
        </w:tc>
        <w:tc>
          <w:tcPr>
            <w:tcW w:w="1139" w:type="pct"/>
            <w:shd w:val="clear" w:color="auto" w:fill="auto"/>
          </w:tcPr>
          <w:p w:rsidR="00035233" w:rsidRPr="00552A9C" w:rsidRDefault="00035233" w:rsidP="00035233">
            <w:pPr>
              <w:pStyle w:val="05Tabletext"/>
              <w:jc w:val="center"/>
            </w:pPr>
            <w:r w:rsidRPr="00A369F5">
              <w:t>215/336 (60.6)</w:t>
            </w:r>
          </w:p>
        </w:tc>
        <w:tc>
          <w:tcPr>
            <w:tcW w:w="1286" w:type="pct"/>
            <w:shd w:val="clear" w:color="auto" w:fill="auto"/>
          </w:tcPr>
          <w:p w:rsidR="00035233" w:rsidRPr="00552A9C" w:rsidRDefault="00035233" w:rsidP="00035233">
            <w:pPr>
              <w:pStyle w:val="05Tabletext"/>
              <w:jc w:val="center"/>
            </w:pPr>
            <w:r w:rsidRPr="00A369F5">
              <w:t>152/344 (44.2)</w:t>
            </w:r>
          </w:p>
        </w:tc>
        <w:tc>
          <w:tcPr>
            <w:tcW w:w="882" w:type="pct"/>
            <w:tcBorders>
              <w:bottom w:val="single" w:sz="4" w:space="0" w:color="auto"/>
            </w:tcBorders>
            <w:shd w:val="clear" w:color="auto" w:fill="auto"/>
          </w:tcPr>
          <w:p w:rsidR="00035233" w:rsidRPr="00552A9C" w:rsidRDefault="00035233" w:rsidP="00035233">
            <w:pPr>
              <w:pStyle w:val="05Tabletext"/>
              <w:jc w:val="center"/>
            </w:pPr>
            <w:r>
              <w:t>1.88 (1.38, 2.56)</w:t>
            </w:r>
          </w:p>
        </w:tc>
        <w:tc>
          <w:tcPr>
            <w:tcW w:w="515" w:type="pct"/>
            <w:tcBorders>
              <w:bottom w:val="single" w:sz="4" w:space="0" w:color="auto"/>
            </w:tcBorders>
          </w:tcPr>
          <w:p w:rsidR="00035233" w:rsidRPr="00552A9C" w:rsidRDefault="00035233" w:rsidP="00035233">
            <w:pPr>
              <w:pStyle w:val="05Tabletext"/>
              <w:jc w:val="center"/>
            </w:pPr>
            <w:r>
              <w:t>&lt;0.001</w:t>
            </w:r>
          </w:p>
        </w:tc>
      </w:tr>
      <w:tr w:rsidR="00035233" w:rsidRPr="00552A9C" w:rsidTr="00035233">
        <w:trPr>
          <w:cantSplit/>
        </w:trPr>
        <w:tc>
          <w:tcPr>
            <w:tcW w:w="1178" w:type="pct"/>
            <w:shd w:val="clear" w:color="auto" w:fill="auto"/>
          </w:tcPr>
          <w:p w:rsidR="00035233" w:rsidRPr="00552A9C" w:rsidRDefault="00035233" w:rsidP="00035233">
            <w:pPr>
              <w:pStyle w:val="05Tabletext"/>
            </w:pPr>
            <w:r>
              <w:t>≥200 mL improvement, n/N</w:t>
            </w:r>
            <w:r>
              <w:rPr>
                <w:vertAlign w:val="superscript"/>
              </w:rPr>
              <w:t>a</w:t>
            </w:r>
            <w:r>
              <w:t xml:space="preserve"> (%)</w:t>
            </w:r>
          </w:p>
        </w:tc>
        <w:tc>
          <w:tcPr>
            <w:tcW w:w="1139" w:type="pct"/>
            <w:shd w:val="clear" w:color="auto" w:fill="auto"/>
          </w:tcPr>
          <w:p w:rsidR="00035233" w:rsidRPr="00552A9C" w:rsidRDefault="00035233" w:rsidP="00035233">
            <w:pPr>
              <w:pStyle w:val="05Tabletext"/>
              <w:jc w:val="center"/>
            </w:pPr>
            <w:r w:rsidRPr="00A369F5">
              <w:t>155/355 (43.7)</w:t>
            </w:r>
          </w:p>
        </w:tc>
        <w:tc>
          <w:tcPr>
            <w:tcW w:w="1286" w:type="pct"/>
            <w:shd w:val="clear" w:color="auto" w:fill="auto"/>
          </w:tcPr>
          <w:p w:rsidR="00035233" w:rsidRPr="00552A9C" w:rsidRDefault="00035233" w:rsidP="00035233">
            <w:pPr>
              <w:pStyle w:val="05Tabletext"/>
              <w:jc w:val="center"/>
            </w:pPr>
            <w:r w:rsidRPr="00A369F5">
              <w:t>85/344 (24.7)</w:t>
            </w:r>
          </w:p>
        </w:tc>
        <w:tc>
          <w:tcPr>
            <w:tcW w:w="882" w:type="pct"/>
            <w:tcBorders>
              <w:top w:val="single" w:sz="4" w:space="0" w:color="auto"/>
            </w:tcBorders>
            <w:shd w:val="clear" w:color="auto" w:fill="auto"/>
          </w:tcPr>
          <w:p w:rsidR="00035233" w:rsidRPr="00552A9C" w:rsidRDefault="00035233" w:rsidP="00035233">
            <w:pPr>
              <w:pStyle w:val="05Tabletext"/>
              <w:jc w:val="center"/>
            </w:pPr>
            <w:r w:rsidRPr="007050C0">
              <w:t>2.38 (1.70, 3.33)</w:t>
            </w:r>
          </w:p>
        </w:tc>
        <w:tc>
          <w:tcPr>
            <w:tcW w:w="515" w:type="pct"/>
            <w:tcBorders>
              <w:top w:val="single" w:sz="4" w:space="0" w:color="auto"/>
            </w:tcBorders>
          </w:tcPr>
          <w:p w:rsidR="00035233" w:rsidRPr="00552A9C" w:rsidRDefault="00035233" w:rsidP="00035233">
            <w:pPr>
              <w:pStyle w:val="05Tabletext"/>
              <w:jc w:val="center"/>
            </w:pPr>
            <w:r>
              <w:t>&lt;0.001</w:t>
            </w:r>
          </w:p>
        </w:tc>
      </w:tr>
    </w:tbl>
    <w:p w:rsidR="00035233" w:rsidRDefault="00035233" w:rsidP="00035233">
      <w:pPr>
        <w:pStyle w:val="10TableorFigurefootnote"/>
      </w:pPr>
      <w:r w:rsidRPr="00552A9C">
        <w:t xml:space="preserve">Source: </w:t>
      </w:r>
      <w:r>
        <w:t>Zhong et al</w:t>
      </w:r>
      <w:r w:rsidRPr="00552A9C">
        <w:t xml:space="preserve"> (2015), </w:t>
      </w:r>
      <w:r>
        <w:t>Table S3 (Supplementary material).</w:t>
      </w:r>
    </w:p>
    <w:p w:rsidR="00035233" w:rsidRDefault="00035233" w:rsidP="00035233">
      <w:pPr>
        <w:pStyle w:val="10TableorFigurefootnote"/>
      </w:pPr>
      <w:r>
        <w:t>Abbreviations: CI, confidence interval; FEV</w:t>
      </w:r>
      <w:r w:rsidRPr="00FD7E32">
        <w:rPr>
          <w:vertAlign w:val="subscript"/>
        </w:rPr>
        <w:t>1</w:t>
      </w:r>
      <w:r>
        <w:t>, forced expiratory volume in 1 second;  FLU, fluticasone</w:t>
      </w:r>
      <w:r w:rsidR="00C73ABC">
        <w:t xml:space="preserve"> propionate</w:t>
      </w:r>
      <w:r>
        <w:t>; GLY, glycopyrronium; IND, indacaterol; OR, odds ratio; SAL, salmeterol.</w:t>
      </w:r>
    </w:p>
    <w:p w:rsidR="00035233" w:rsidRDefault="00035233" w:rsidP="00035233">
      <w:pPr>
        <w:pStyle w:val="10TableorFigurefootnote"/>
      </w:pPr>
      <w:r>
        <w:t xml:space="preserve">Note: Odds ratio, 95% CI, and p-value are from a logistic regression model: </w:t>
      </w:r>
      <w:proofErr w:type="gramStart"/>
      <w:r>
        <w:t>Logit(</w:t>
      </w:r>
      <w:proofErr w:type="gramEnd"/>
      <w:r>
        <w:t>proportion)=treatment + baseline FEV</w:t>
      </w:r>
      <w:r w:rsidRPr="0038300C">
        <w:rPr>
          <w:vertAlign w:val="subscript"/>
        </w:rPr>
        <w:t>1</w:t>
      </w:r>
      <w:r>
        <w:t xml:space="preserve"> + baseline ICS + FEV</w:t>
      </w:r>
      <w:r w:rsidRPr="0038300C">
        <w:rPr>
          <w:vertAlign w:val="subscript"/>
        </w:rPr>
        <w:t>1</w:t>
      </w:r>
      <w:r>
        <w:t xml:space="preserve"> reversibility components + smoking status + COPD exacerbation history + region + centre (region). Centre is included as a random effect nested within region.</w:t>
      </w:r>
    </w:p>
    <w:p w:rsidR="00035233" w:rsidRDefault="00035233" w:rsidP="00035233">
      <w:pPr>
        <w:pStyle w:val="10TableorFigurefootnote"/>
      </w:pPr>
      <w:proofErr w:type="gramStart"/>
      <w:r>
        <w:rPr>
          <w:b/>
        </w:rPr>
        <w:t>a</w:t>
      </w:r>
      <w:proofErr w:type="gramEnd"/>
      <w:r>
        <w:rPr>
          <w:b/>
        </w:rPr>
        <w:t xml:space="preserve"> </w:t>
      </w:r>
      <w:r>
        <w:t>n=</w:t>
      </w:r>
      <w:r w:rsidRPr="0074188A">
        <w:t xml:space="preserve"> </w:t>
      </w:r>
      <w:r>
        <w:t>number of patients who achieved a clinically important improvement of change from baseline on trough FEV</w:t>
      </w:r>
      <w:r w:rsidRPr="0074188A">
        <w:rPr>
          <w:vertAlign w:val="subscript"/>
        </w:rPr>
        <w:t>1</w:t>
      </w:r>
      <w:r>
        <w:t>; N=</w:t>
      </w:r>
      <w:r w:rsidRPr="0074188A">
        <w:t xml:space="preserve"> </w:t>
      </w:r>
      <w:r>
        <w:t>number of patients with a trough FEV</w:t>
      </w:r>
      <w:r w:rsidRPr="0074188A">
        <w:rPr>
          <w:vertAlign w:val="subscript"/>
        </w:rPr>
        <w:t>1</w:t>
      </w:r>
      <w:r>
        <w:t xml:space="preserve"> value at</w:t>
      </w:r>
    </w:p>
    <w:p w:rsidR="00035233" w:rsidRDefault="00035233" w:rsidP="00035233">
      <w:pPr>
        <w:pStyle w:val="11TableorFigurefootnotenostick"/>
      </w:pPr>
      <w:proofErr w:type="gramStart"/>
      <w:r>
        <w:t>both</w:t>
      </w:r>
      <w:proofErr w:type="gramEnd"/>
      <w:r>
        <w:t xml:space="preserve"> baseline and post-baseline (included in the analysis).</w:t>
      </w:r>
    </w:p>
    <w:p w:rsidR="00035233" w:rsidRDefault="00AC7B51" w:rsidP="007F448B">
      <w:pPr>
        <w:pStyle w:val="ToR3Tableheader"/>
      </w:pPr>
      <w:bookmarkStart w:id="398" w:name="_Toc468006297"/>
      <w:bookmarkStart w:id="399" w:name="_Toc468012342"/>
      <w:bookmarkStart w:id="400" w:name="_Toc468034498"/>
      <w:bookmarkStart w:id="401" w:name="_Toc471891048"/>
      <w:bookmarkStart w:id="402" w:name="_Toc486428236"/>
      <w:r>
        <w:t>Table 3.5</w:t>
      </w:r>
      <w:r w:rsidR="00967B39">
        <w:t>7</w:t>
      </w:r>
      <w:r w:rsidR="00035233">
        <w:tab/>
        <w:t>Total number and rate of exacerbations – GLY/IND vs FLU/SAL</w:t>
      </w:r>
      <w:bookmarkEnd w:id="398"/>
      <w:bookmarkEnd w:id="399"/>
      <w:bookmarkEnd w:id="400"/>
      <w:bookmarkEnd w:id="401"/>
      <w:bookmarkEnd w:id="40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otal number and rate of exacerbations "/>
        <w:tblDescription w:val="GLY/IND vs FLU/SAL"/>
      </w:tblPr>
      <w:tblGrid>
        <w:gridCol w:w="2700"/>
        <w:gridCol w:w="3473"/>
        <w:gridCol w:w="3475"/>
      </w:tblGrid>
      <w:tr w:rsidR="00035233" w:rsidRPr="00F01736" w:rsidTr="00035233">
        <w:trPr>
          <w:cantSplit/>
          <w:tblHeader/>
        </w:trPr>
        <w:tc>
          <w:tcPr>
            <w:tcW w:w="1399" w:type="pct"/>
            <w:tcBorders>
              <w:bottom w:val="single" w:sz="4" w:space="0" w:color="auto"/>
            </w:tcBorders>
            <w:shd w:val="clear" w:color="auto" w:fill="BFBFBF"/>
          </w:tcPr>
          <w:p w:rsidR="00035233" w:rsidRPr="00F01736" w:rsidRDefault="00035233" w:rsidP="00035233">
            <w:pPr>
              <w:pStyle w:val="01TableHEADINGleftaligned"/>
            </w:pPr>
            <w:r>
              <w:t>Moderate or severe exacerbations</w:t>
            </w:r>
          </w:p>
        </w:tc>
        <w:tc>
          <w:tcPr>
            <w:tcW w:w="1800" w:type="pct"/>
            <w:tcBorders>
              <w:bottom w:val="single" w:sz="4" w:space="0" w:color="auto"/>
              <w:right w:val="single" w:sz="4" w:space="0" w:color="auto"/>
            </w:tcBorders>
            <w:shd w:val="clear" w:color="auto" w:fill="BFBFBF"/>
          </w:tcPr>
          <w:p w:rsidR="00035233" w:rsidRPr="00F01736" w:rsidRDefault="00035233" w:rsidP="00035233">
            <w:pPr>
              <w:pStyle w:val="01TableHEADINGleftaligned"/>
              <w:jc w:val="center"/>
            </w:pPr>
            <w:r>
              <w:t>GLY/IND 50/110 (n=372)</w:t>
            </w:r>
          </w:p>
        </w:tc>
        <w:tc>
          <w:tcPr>
            <w:tcW w:w="1801" w:type="pct"/>
            <w:tcBorders>
              <w:left w:val="single" w:sz="4" w:space="0" w:color="auto"/>
              <w:bottom w:val="single" w:sz="4" w:space="0" w:color="auto"/>
            </w:tcBorders>
            <w:shd w:val="clear" w:color="auto" w:fill="BFBFBF"/>
          </w:tcPr>
          <w:p w:rsidR="00035233" w:rsidRPr="00F01736" w:rsidRDefault="00035233" w:rsidP="00035233">
            <w:pPr>
              <w:pStyle w:val="01TableHEADINGleftaligned"/>
              <w:jc w:val="center"/>
            </w:pPr>
            <w:r>
              <w:t>FLU/SAL 500/50 (n=369)</w:t>
            </w:r>
          </w:p>
        </w:tc>
      </w:tr>
      <w:tr w:rsidR="00035233" w:rsidRPr="00194011" w:rsidTr="00035233">
        <w:trPr>
          <w:cantSplit/>
        </w:trPr>
        <w:tc>
          <w:tcPr>
            <w:tcW w:w="1399" w:type="pct"/>
            <w:tcBorders>
              <w:bottom w:val="single" w:sz="4" w:space="0" w:color="auto"/>
            </w:tcBorders>
            <w:shd w:val="clear" w:color="auto" w:fill="000000"/>
          </w:tcPr>
          <w:p w:rsidR="00035233" w:rsidRDefault="00035233" w:rsidP="00035233">
            <w:pPr>
              <w:pStyle w:val="04Tablesubheading"/>
            </w:pPr>
            <w:r>
              <w:t>All COPD exacerbations</w:t>
            </w:r>
          </w:p>
        </w:tc>
        <w:tc>
          <w:tcPr>
            <w:tcW w:w="1800" w:type="pct"/>
            <w:tcBorders>
              <w:bottom w:val="single" w:sz="4" w:space="0" w:color="auto"/>
            </w:tcBorders>
            <w:shd w:val="clear" w:color="auto" w:fill="000000"/>
          </w:tcPr>
          <w:p w:rsidR="00035233" w:rsidRDefault="00035233" w:rsidP="00035233">
            <w:pPr>
              <w:pStyle w:val="04Tablesubheading"/>
            </w:pPr>
          </w:p>
        </w:tc>
        <w:tc>
          <w:tcPr>
            <w:tcW w:w="1801" w:type="pct"/>
            <w:tcBorders>
              <w:bottom w:val="single" w:sz="4" w:space="0" w:color="auto"/>
            </w:tcBorders>
            <w:shd w:val="clear" w:color="auto" w:fill="000000"/>
          </w:tcPr>
          <w:p w:rsidR="00035233" w:rsidRDefault="00035233" w:rsidP="00035233">
            <w:pPr>
              <w:pStyle w:val="04Tablesubheading"/>
            </w:pPr>
          </w:p>
        </w:tc>
      </w:tr>
      <w:tr w:rsidR="00035233" w:rsidRPr="00194011" w:rsidTr="00035233">
        <w:trPr>
          <w:cantSplit/>
        </w:trPr>
        <w:tc>
          <w:tcPr>
            <w:tcW w:w="1399" w:type="pct"/>
            <w:tcBorders>
              <w:bottom w:val="nil"/>
            </w:tcBorders>
            <w:shd w:val="clear" w:color="auto" w:fill="auto"/>
          </w:tcPr>
          <w:p w:rsidR="00035233" w:rsidRDefault="00035233" w:rsidP="00035233">
            <w:pPr>
              <w:pStyle w:val="05Tabletext"/>
              <w:keepNext/>
            </w:pPr>
            <w:r>
              <w:t>Exacerbations per patient, n (%)</w:t>
            </w:r>
          </w:p>
        </w:tc>
        <w:tc>
          <w:tcPr>
            <w:tcW w:w="1800" w:type="pct"/>
            <w:tcBorders>
              <w:bottom w:val="nil"/>
            </w:tcBorders>
            <w:shd w:val="clear" w:color="auto" w:fill="auto"/>
          </w:tcPr>
          <w:p w:rsidR="00035233" w:rsidRDefault="00035233" w:rsidP="00035233">
            <w:pPr>
              <w:pStyle w:val="05Tabletext"/>
              <w:keepNext/>
              <w:jc w:val="center"/>
            </w:pPr>
            <w:r>
              <w:t>-</w:t>
            </w:r>
          </w:p>
        </w:tc>
        <w:tc>
          <w:tcPr>
            <w:tcW w:w="1801" w:type="pct"/>
            <w:tcBorders>
              <w:bottom w:val="nil"/>
            </w:tcBorders>
            <w:shd w:val="clear" w:color="auto" w:fill="auto"/>
          </w:tcPr>
          <w:p w:rsidR="00035233" w:rsidRDefault="00035233" w:rsidP="00035233">
            <w:pPr>
              <w:pStyle w:val="05Tabletext"/>
              <w:keepNext/>
              <w:jc w:val="center"/>
            </w:pPr>
            <w:r>
              <w:t>-</w:t>
            </w:r>
          </w:p>
        </w:tc>
      </w:tr>
      <w:tr w:rsidR="00035233" w:rsidRPr="00194011" w:rsidTr="00035233">
        <w:trPr>
          <w:cantSplit/>
        </w:trPr>
        <w:tc>
          <w:tcPr>
            <w:tcW w:w="1399" w:type="pct"/>
            <w:tcBorders>
              <w:top w:val="nil"/>
              <w:bottom w:val="nil"/>
            </w:tcBorders>
            <w:shd w:val="clear" w:color="auto" w:fill="auto"/>
          </w:tcPr>
          <w:p w:rsidR="00035233" w:rsidRDefault="00035233" w:rsidP="00035233">
            <w:pPr>
              <w:pStyle w:val="05Tabletext"/>
              <w:keepNext/>
            </w:pPr>
            <w:r>
              <w:t>0</w:t>
            </w:r>
          </w:p>
        </w:tc>
        <w:tc>
          <w:tcPr>
            <w:tcW w:w="1800" w:type="pct"/>
            <w:tcBorders>
              <w:top w:val="nil"/>
              <w:bottom w:val="nil"/>
            </w:tcBorders>
            <w:shd w:val="clear" w:color="auto" w:fill="auto"/>
          </w:tcPr>
          <w:p w:rsidR="00035233" w:rsidRDefault="00035233" w:rsidP="00035233">
            <w:pPr>
              <w:pStyle w:val="05Tabletext"/>
              <w:keepNext/>
              <w:jc w:val="center"/>
            </w:pPr>
            <w:r>
              <w:t>297 (79.8)</w:t>
            </w:r>
          </w:p>
        </w:tc>
        <w:tc>
          <w:tcPr>
            <w:tcW w:w="1801" w:type="pct"/>
            <w:tcBorders>
              <w:top w:val="nil"/>
              <w:bottom w:val="nil"/>
            </w:tcBorders>
            <w:shd w:val="clear" w:color="auto" w:fill="auto"/>
          </w:tcPr>
          <w:p w:rsidR="00035233" w:rsidRDefault="00035233" w:rsidP="00035233">
            <w:pPr>
              <w:pStyle w:val="05Tabletext"/>
              <w:keepNext/>
              <w:jc w:val="center"/>
            </w:pPr>
            <w:r>
              <w:t>272 (73.7)</w:t>
            </w:r>
          </w:p>
        </w:tc>
      </w:tr>
      <w:tr w:rsidR="00035233" w:rsidRPr="00194011" w:rsidTr="00035233">
        <w:trPr>
          <w:cantSplit/>
        </w:trPr>
        <w:tc>
          <w:tcPr>
            <w:tcW w:w="1399" w:type="pct"/>
            <w:tcBorders>
              <w:top w:val="nil"/>
              <w:bottom w:val="nil"/>
            </w:tcBorders>
            <w:shd w:val="clear" w:color="auto" w:fill="auto"/>
          </w:tcPr>
          <w:p w:rsidR="00035233" w:rsidRDefault="00035233" w:rsidP="00035233">
            <w:pPr>
              <w:pStyle w:val="05Tabletext"/>
              <w:keepNext/>
            </w:pPr>
            <w:r>
              <w:t>1</w:t>
            </w:r>
          </w:p>
        </w:tc>
        <w:tc>
          <w:tcPr>
            <w:tcW w:w="1800" w:type="pct"/>
            <w:tcBorders>
              <w:top w:val="nil"/>
              <w:bottom w:val="nil"/>
            </w:tcBorders>
            <w:shd w:val="clear" w:color="auto" w:fill="auto"/>
          </w:tcPr>
          <w:p w:rsidR="00035233" w:rsidRDefault="00035233" w:rsidP="00035233">
            <w:pPr>
              <w:pStyle w:val="05Tabletext"/>
              <w:keepNext/>
              <w:jc w:val="center"/>
            </w:pPr>
            <w:r>
              <w:t>53 (14.2)</w:t>
            </w:r>
          </w:p>
        </w:tc>
        <w:tc>
          <w:tcPr>
            <w:tcW w:w="1801" w:type="pct"/>
            <w:tcBorders>
              <w:top w:val="nil"/>
              <w:bottom w:val="nil"/>
            </w:tcBorders>
            <w:shd w:val="clear" w:color="auto" w:fill="auto"/>
          </w:tcPr>
          <w:p w:rsidR="00035233" w:rsidRDefault="00035233" w:rsidP="00035233">
            <w:pPr>
              <w:pStyle w:val="05Tabletext"/>
              <w:keepNext/>
              <w:jc w:val="center"/>
            </w:pPr>
            <w:r>
              <w:t>73 (19.8)</w:t>
            </w:r>
          </w:p>
        </w:tc>
      </w:tr>
      <w:tr w:rsidR="00035233" w:rsidRPr="00194011" w:rsidTr="00035233">
        <w:trPr>
          <w:cantSplit/>
        </w:trPr>
        <w:tc>
          <w:tcPr>
            <w:tcW w:w="1399" w:type="pct"/>
            <w:tcBorders>
              <w:top w:val="nil"/>
              <w:bottom w:val="nil"/>
            </w:tcBorders>
            <w:shd w:val="clear" w:color="auto" w:fill="auto"/>
          </w:tcPr>
          <w:p w:rsidR="00035233" w:rsidRDefault="00035233" w:rsidP="00035233">
            <w:pPr>
              <w:pStyle w:val="05Tabletext"/>
              <w:keepNext/>
            </w:pPr>
            <w:r>
              <w:t>2</w:t>
            </w:r>
          </w:p>
        </w:tc>
        <w:tc>
          <w:tcPr>
            <w:tcW w:w="1800" w:type="pct"/>
            <w:tcBorders>
              <w:top w:val="nil"/>
              <w:bottom w:val="nil"/>
            </w:tcBorders>
            <w:shd w:val="clear" w:color="auto" w:fill="auto"/>
          </w:tcPr>
          <w:p w:rsidR="00035233" w:rsidRDefault="00035233" w:rsidP="00035233">
            <w:pPr>
              <w:pStyle w:val="05Tabletext"/>
              <w:keepNext/>
              <w:jc w:val="center"/>
            </w:pPr>
            <w:r>
              <w:t>17 (4.6)</w:t>
            </w:r>
          </w:p>
        </w:tc>
        <w:tc>
          <w:tcPr>
            <w:tcW w:w="1801" w:type="pct"/>
            <w:tcBorders>
              <w:top w:val="nil"/>
              <w:bottom w:val="nil"/>
            </w:tcBorders>
            <w:shd w:val="clear" w:color="auto" w:fill="auto"/>
          </w:tcPr>
          <w:p w:rsidR="00035233" w:rsidRDefault="00035233" w:rsidP="00035233">
            <w:pPr>
              <w:pStyle w:val="05Tabletext"/>
              <w:keepNext/>
              <w:jc w:val="center"/>
            </w:pPr>
            <w:r>
              <w:t>18 (4.9)</w:t>
            </w:r>
          </w:p>
        </w:tc>
      </w:tr>
      <w:tr w:rsidR="00035233" w:rsidRPr="00194011" w:rsidTr="00035233">
        <w:trPr>
          <w:cantSplit/>
        </w:trPr>
        <w:tc>
          <w:tcPr>
            <w:tcW w:w="1399" w:type="pct"/>
            <w:tcBorders>
              <w:top w:val="nil"/>
              <w:bottom w:val="nil"/>
            </w:tcBorders>
            <w:shd w:val="clear" w:color="auto" w:fill="auto"/>
          </w:tcPr>
          <w:p w:rsidR="00035233" w:rsidRDefault="00035233" w:rsidP="00035233">
            <w:pPr>
              <w:pStyle w:val="05Tabletext"/>
              <w:keepNext/>
            </w:pPr>
            <w:r>
              <w:t>3</w:t>
            </w:r>
          </w:p>
        </w:tc>
        <w:tc>
          <w:tcPr>
            <w:tcW w:w="1800" w:type="pct"/>
            <w:tcBorders>
              <w:top w:val="nil"/>
              <w:bottom w:val="nil"/>
            </w:tcBorders>
            <w:shd w:val="clear" w:color="auto" w:fill="auto"/>
          </w:tcPr>
          <w:p w:rsidR="00035233" w:rsidRDefault="00035233" w:rsidP="00035233">
            <w:pPr>
              <w:pStyle w:val="05Tabletext"/>
              <w:keepNext/>
              <w:jc w:val="center"/>
            </w:pPr>
            <w:r>
              <w:t>3 (0.8)</w:t>
            </w:r>
          </w:p>
        </w:tc>
        <w:tc>
          <w:tcPr>
            <w:tcW w:w="1801" w:type="pct"/>
            <w:tcBorders>
              <w:top w:val="nil"/>
              <w:bottom w:val="nil"/>
            </w:tcBorders>
            <w:shd w:val="clear" w:color="auto" w:fill="auto"/>
          </w:tcPr>
          <w:p w:rsidR="00035233" w:rsidRDefault="00035233" w:rsidP="00035233">
            <w:pPr>
              <w:pStyle w:val="05Tabletext"/>
              <w:keepNext/>
              <w:jc w:val="center"/>
            </w:pPr>
            <w:r>
              <w:t>3 (0.8)</w:t>
            </w:r>
          </w:p>
        </w:tc>
      </w:tr>
      <w:tr w:rsidR="00035233" w:rsidRPr="00194011" w:rsidTr="00035233">
        <w:trPr>
          <w:cantSplit/>
        </w:trPr>
        <w:tc>
          <w:tcPr>
            <w:tcW w:w="1399" w:type="pct"/>
            <w:tcBorders>
              <w:top w:val="nil"/>
              <w:bottom w:val="single" w:sz="4" w:space="0" w:color="auto"/>
            </w:tcBorders>
            <w:shd w:val="clear" w:color="auto" w:fill="auto"/>
          </w:tcPr>
          <w:p w:rsidR="00035233" w:rsidRDefault="00035233" w:rsidP="00035233">
            <w:pPr>
              <w:pStyle w:val="05Tabletext"/>
              <w:keepNext/>
            </w:pPr>
            <w:r>
              <w:t>≥4</w:t>
            </w:r>
          </w:p>
        </w:tc>
        <w:tc>
          <w:tcPr>
            <w:tcW w:w="1800" w:type="pct"/>
            <w:tcBorders>
              <w:top w:val="nil"/>
              <w:bottom w:val="single" w:sz="4" w:space="0" w:color="auto"/>
            </w:tcBorders>
            <w:shd w:val="clear" w:color="auto" w:fill="auto"/>
          </w:tcPr>
          <w:p w:rsidR="00035233" w:rsidRDefault="00035233" w:rsidP="00035233">
            <w:pPr>
              <w:pStyle w:val="05Tabletext"/>
              <w:keepNext/>
              <w:jc w:val="center"/>
            </w:pPr>
            <w:r>
              <w:t>2 (0.5)</w:t>
            </w:r>
          </w:p>
        </w:tc>
        <w:tc>
          <w:tcPr>
            <w:tcW w:w="1801" w:type="pct"/>
            <w:tcBorders>
              <w:top w:val="nil"/>
              <w:bottom w:val="single" w:sz="4" w:space="0" w:color="auto"/>
            </w:tcBorders>
            <w:shd w:val="clear" w:color="auto" w:fill="auto"/>
          </w:tcPr>
          <w:p w:rsidR="00035233" w:rsidRDefault="00035233" w:rsidP="00035233">
            <w:pPr>
              <w:pStyle w:val="05Tabletext"/>
              <w:keepNext/>
              <w:jc w:val="center"/>
            </w:pPr>
            <w:r>
              <w:t>3 (0.8)</w:t>
            </w:r>
          </w:p>
        </w:tc>
      </w:tr>
      <w:tr w:rsidR="00035233" w:rsidRPr="00194011" w:rsidTr="00035233">
        <w:trPr>
          <w:cantSplit/>
        </w:trPr>
        <w:tc>
          <w:tcPr>
            <w:tcW w:w="1399" w:type="pct"/>
            <w:tcBorders>
              <w:top w:val="single" w:sz="4" w:space="0" w:color="auto"/>
              <w:bottom w:val="nil"/>
            </w:tcBorders>
            <w:shd w:val="clear" w:color="auto" w:fill="auto"/>
          </w:tcPr>
          <w:p w:rsidR="00035233" w:rsidRDefault="00035233" w:rsidP="00035233">
            <w:pPr>
              <w:pStyle w:val="05Tabletext"/>
              <w:keepNext/>
            </w:pPr>
            <w:r>
              <w:t>Total number of exacerbations</w:t>
            </w:r>
          </w:p>
        </w:tc>
        <w:tc>
          <w:tcPr>
            <w:tcW w:w="1800" w:type="pct"/>
            <w:tcBorders>
              <w:top w:val="single" w:sz="4" w:space="0" w:color="auto"/>
              <w:bottom w:val="nil"/>
            </w:tcBorders>
            <w:shd w:val="clear" w:color="auto" w:fill="auto"/>
          </w:tcPr>
          <w:p w:rsidR="00035233" w:rsidRDefault="00035233" w:rsidP="00035233">
            <w:pPr>
              <w:pStyle w:val="05Tabletext"/>
              <w:keepNext/>
              <w:jc w:val="center"/>
            </w:pPr>
            <w:r>
              <w:t>105</w:t>
            </w:r>
          </w:p>
        </w:tc>
        <w:tc>
          <w:tcPr>
            <w:tcW w:w="1801" w:type="pct"/>
            <w:tcBorders>
              <w:top w:val="single" w:sz="4" w:space="0" w:color="auto"/>
              <w:bottom w:val="nil"/>
            </w:tcBorders>
            <w:shd w:val="clear" w:color="auto" w:fill="auto"/>
          </w:tcPr>
          <w:p w:rsidR="00035233" w:rsidRDefault="00035233" w:rsidP="00035233">
            <w:pPr>
              <w:pStyle w:val="05Tabletext"/>
              <w:keepNext/>
              <w:jc w:val="center"/>
            </w:pPr>
            <w:r>
              <w:t>131</w:t>
            </w:r>
          </w:p>
        </w:tc>
      </w:tr>
      <w:tr w:rsidR="00035233" w:rsidRPr="00194011" w:rsidTr="00035233">
        <w:trPr>
          <w:cantSplit/>
        </w:trPr>
        <w:tc>
          <w:tcPr>
            <w:tcW w:w="1399" w:type="pct"/>
            <w:tcBorders>
              <w:bottom w:val="nil"/>
            </w:tcBorders>
            <w:shd w:val="clear" w:color="auto" w:fill="auto"/>
          </w:tcPr>
          <w:p w:rsidR="00035233" w:rsidRDefault="00035233" w:rsidP="00035233">
            <w:pPr>
              <w:pStyle w:val="05Tabletext"/>
              <w:keepNext/>
            </w:pPr>
            <w:r>
              <w:t>Total number of treatment years</w:t>
            </w:r>
          </w:p>
        </w:tc>
        <w:tc>
          <w:tcPr>
            <w:tcW w:w="1800" w:type="pct"/>
            <w:tcBorders>
              <w:bottom w:val="nil"/>
            </w:tcBorders>
            <w:shd w:val="clear" w:color="auto" w:fill="auto"/>
          </w:tcPr>
          <w:p w:rsidR="00035233" w:rsidRDefault="00035233" w:rsidP="00035233">
            <w:pPr>
              <w:pStyle w:val="05Tabletext"/>
              <w:keepNext/>
              <w:jc w:val="center"/>
            </w:pPr>
            <w:r>
              <w:t>179.2</w:t>
            </w:r>
          </w:p>
        </w:tc>
        <w:tc>
          <w:tcPr>
            <w:tcW w:w="1801" w:type="pct"/>
            <w:tcBorders>
              <w:bottom w:val="nil"/>
            </w:tcBorders>
            <w:shd w:val="clear" w:color="auto" w:fill="auto"/>
          </w:tcPr>
          <w:p w:rsidR="00035233" w:rsidRDefault="00035233" w:rsidP="00035233">
            <w:pPr>
              <w:pStyle w:val="05Tabletext"/>
              <w:keepNext/>
              <w:jc w:val="center"/>
            </w:pPr>
            <w:r>
              <w:t>174.9</w:t>
            </w:r>
          </w:p>
        </w:tc>
      </w:tr>
      <w:tr w:rsidR="00035233" w:rsidRPr="00194011" w:rsidTr="00035233">
        <w:trPr>
          <w:cantSplit/>
        </w:trPr>
        <w:tc>
          <w:tcPr>
            <w:tcW w:w="1399" w:type="pct"/>
            <w:tcBorders>
              <w:bottom w:val="nil"/>
            </w:tcBorders>
            <w:shd w:val="clear" w:color="auto" w:fill="auto"/>
          </w:tcPr>
          <w:p w:rsidR="00035233" w:rsidRDefault="00035233" w:rsidP="00035233">
            <w:pPr>
              <w:pStyle w:val="05Tabletext"/>
              <w:keepNext/>
            </w:pPr>
            <w:r>
              <w:t>Rate of exacerbations per year</w:t>
            </w:r>
          </w:p>
        </w:tc>
        <w:tc>
          <w:tcPr>
            <w:tcW w:w="1800" w:type="pct"/>
            <w:tcBorders>
              <w:bottom w:val="nil"/>
            </w:tcBorders>
            <w:shd w:val="clear" w:color="auto" w:fill="auto"/>
          </w:tcPr>
          <w:p w:rsidR="00035233" w:rsidRDefault="00035233" w:rsidP="00035233">
            <w:pPr>
              <w:pStyle w:val="05Tabletext"/>
              <w:keepNext/>
              <w:jc w:val="center"/>
            </w:pPr>
            <w:r>
              <w:t>0.59</w:t>
            </w:r>
          </w:p>
        </w:tc>
        <w:tc>
          <w:tcPr>
            <w:tcW w:w="1801" w:type="pct"/>
            <w:tcBorders>
              <w:bottom w:val="nil"/>
            </w:tcBorders>
            <w:shd w:val="clear" w:color="auto" w:fill="auto"/>
          </w:tcPr>
          <w:p w:rsidR="00035233" w:rsidRDefault="00035233" w:rsidP="00035233">
            <w:pPr>
              <w:pStyle w:val="05Tabletext"/>
              <w:keepNext/>
              <w:jc w:val="center"/>
            </w:pPr>
            <w:r>
              <w:t>0.75</w:t>
            </w:r>
          </w:p>
        </w:tc>
      </w:tr>
      <w:tr w:rsidR="00035233" w:rsidRPr="00194011" w:rsidTr="00035233">
        <w:trPr>
          <w:cantSplit/>
        </w:trPr>
        <w:tc>
          <w:tcPr>
            <w:tcW w:w="1399" w:type="pct"/>
            <w:tcBorders>
              <w:bottom w:val="nil"/>
            </w:tcBorders>
            <w:shd w:val="clear" w:color="auto" w:fill="000000"/>
          </w:tcPr>
          <w:p w:rsidR="00035233" w:rsidRDefault="00035233" w:rsidP="00035233">
            <w:pPr>
              <w:pStyle w:val="04Tablesubheading"/>
            </w:pPr>
            <w:r>
              <w:t>Moderate or severe exacerbations</w:t>
            </w:r>
          </w:p>
        </w:tc>
        <w:tc>
          <w:tcPr>
            <w:tcW w:w="1800" w:type="pct"/>
            <w:tcBorders>
              <w:bottom w:val="nil"/>
            </w:tcBorders>
            <w:shd w:val="clear" w:color="auto" w:fill="000000"/>
          </w:tcPr>
          <w:p w:rsidR="00035233" w:rsidRDefault="00035233" w:rsidP="00035233">
            <w:pPr>
              <w:pStyle w:val="04Tablesubheading"/>
            </w:pPr>
          </w:p>
        </w:tc>
        <w:tc>
          <w:tcPr>
            <w:tcW w:w="1801" w:type="pct"/>
            <w:tcBorders>
              <w:bottom w:val="nil"/>
            </w:tcBorders>
            <w:shd w:val="clear" w:color="auto" w:fill="000000"/>
          </w:tcPr>
          <w:p w:rsidR="00035233" w:rsidRDefault="00035233" w:rsidP="00035233">
            <w:pPr>
              <w:pStyle w:val="04Tablesubheading"/>
            </w:pPr>
          </w:p>
        </w:tc>
      </w:tr>
      <w:tr w:rsidR="00035233" w:rsidRPr="00194011" w:rsidTr="00035233">
        <w:trPr>
          <w:cantSplit/>
        </w:trPr>
        <w:tc>
          <w:tcPr>
            <w:tcW w:w="1399" w:type="pct"/>
            <w:tcBorders>
              <w:bottom w:val="nil"/>
            </w:tcBorders>
            <w:shd w:val="clear" w:color="auto" w:fill="auto"/>
          </w:tcPr>
          <w:p w:rsidR="00035233" w:rsidRPr="00BF243A" w:rsidRDefault="00035233" w:rsidP="00035233">
            <w:pPr>
              <w:pStyle w:val="05Tabletext"/>
              <w:keepNext/>
            </w:pPr>
            <w:r>
              <w:t>Exacerbations per patient, n (%)</w:t>
            </w:r>
          </w:p>
        </w:tc>
        <w:tc>
          <w:tcPr>
            <w:tcW w:w="1800" w:type="pct"/>
            <w:tcBorders>
              <w:bottom w:val="nil"/>
            </w:tcBorders>
            <w:shd w:val="clear" w:color="auto" w:fill="auto"/>
          </w:tcPr>
          <w:p w:rsidR="00035233" w:rsidRPr="00194011" w:rsidRDefault="00035233" w:rsidP="00035233">
            <w:pPr>
              <w:pStyle w:val="05Tabletext"/>
              <w:keepNext/>
              <w:jc w:val="center"/>
            </w:pPr>
            <w:r>
              <w:t>-</w:t>
            </w:r>
          </w:p>
        </w:tc>
        <w:tc>
          <w:tcPr>
            <w:tcW w:w="1801" w:type="pct"/>
            <w:tcBorders>
              <w:bottom w:val="nil"/>
            </w:tcBorders>
            <w:shd w:val="clear" w:color="auto" w:fill="auto"/>
          </w:tcPr>
          <w:p w:rsidR="00035233" w:rsidRPr="00194011" w:rsidRDefault="00035233" w:rsidP="00035233">
            <w:pPr>
              <w:pStyle w:val="05Tabletext"/>
              <w:keepNext/>
              <w:jc w:val="center"/>
            </w:pPr>
            <w:r>
              <w:t>-</w:t>
            </w:r>
          </w:p>
        </w:tc>
      </w:tr>
      <w:tr w:rsidR="00035233" w:rsidRPr="00194011" w:rsidTr="00035233">
        <w:trPr>
          <w:cantSplit/>
        </w:trPr>
        <w:tc>
          <w:tcPr>
            <w:tcW w:w="1399" w:type="pct"/>
            <w:tcBorders>
              <w:top w:val="nil"/>
              <w:bottom w:val="nil"/>
            </w:tcBorders>
            <w:shd w:val="clear" w:color="auto" w:fill="auto"/>
          </w:tcPr>
          <w:p w:rsidR="00035233" w:rsidRDefault="00035233" w:rsidP="00035233">
            <w:pPr>
              <w:pStyle w:val="05Tabletext"/>
              <w:keepNext/>
            </w:pPr>
            <w:r>
              <w:t>0</w:t>
            </w:r>
          </w:p>
        </w:tc>
        <w:tc>
          <w:tcPr>
            <w:tcW w:w="1800" w:type="pct"/>
            <w:tcBorders>
              <w:top w:val="nil"/>
              <w:bottom w:val="nil"/>
            </w:tcBorders>
            <w:shd w:val="clear" w:color="auto" w:fill="auto"/>
          </w:tcPr>
          <w:p w:rsidR="00035233" w:rsidRPr="00464F6D" w:rsidRDefault="00035233" w:rsidP="00035233">
            <w:pPr>
              <w:pStyle w:val="05Tabletext"/>
              <w:keepNext/>
              <w:jc w:val="center"/>
            </w:pPr>
            <w:r>
              <w:t>328 (88.2)</w:t>
            </w:r>
          </w:p>
        </w:tc>
        <w:tc>
          <w:tcPr>
            <w:tcW w:w="1801" w:type="pct"/>
            <w:tcBorders>
              <w:top w:val="nil"/>
              <w:bottom w:val="nil"/>
            </w:tcBorders>
            <w:shd w:val="clear" w:color="auto" w:fill="auto"/>
          </w:tcPr>
          <w:p w:rsidR="00035233" w:rsidRPr="00464F6D" w:rsidRDefault="00035233" w:rsidP="00035233">
            <w:pPr>
              <w:pStyle w:val="05Tabletext"/>
              <w:keepNext/>
              <w:jc w:val="center"/>
            </w:pPr>
            <w:r>
              <w:t>301 (81.6)</w:t>
            </w:r>
          </w:p>
        </w:tc>
      </w:tr>
      <w:tr w:rsidR="00035233" w:rsidRPr="00194011" w:rsidTr="00035233">
        <w:trPr>
          <w:cantSplit/>
        </w:trPr>
        <w:tc>
          <w:tcPr>
            <w:tcW w:w="1399" w:type="pct"/>
            <w:tcBorders>
              <w:top w:val="nil"/>
              <w:bottom w:val="nil"/>
            </w:tcBorders>
            <w:shd w:val="clear" w:color="auto" w:fill="auto"/>
          </w:tcPr>
          <w:p w:rsidR="00035233" w:rsidRDefault="00035233" w:rsidP="00035233">
            <w:pPr>
              <w:pStyle w:val="05Tabletext"/>
              <w:keepNext/>
            </w:pPr>
            <w:r>
              <w:t>1</w:t>
            </w:r>
          </w:p>
        </w:tc>
        <w:tc>
          <w:tcPr>
            <w:tcW w:w="1800" w:type="pct"/>
            <w:tcBorders>
              <w:top w:val="nil"/>
              <w:bottom w:val="nil"/>
            </w:tcBorders>
            <w:shd w:val="clear" w:color="auto" w:fill="auto"/>
          </w:tcPr>
          <w:p w:rsidR="00035233" w:rsidRPr="00464F6D" w:rsidRDefault="00035233" w:rsidP="00035233">
            <w:pPr>
              <w:pStyle w:val="05Tabletext"/>
              <w:keepNext/>
              <w:jc w:val="center"/>
            </w:pPr>
            <w:r>
              <w:t>35 (9.4)</w:t>
            </w:r>
          </w:p>
        </w:tc>
        <w:tc>
          <w:tcPr>
            <w:tcW w:w="1801" w:type="pct"/>
            <w:tcBorders>
              <w:top w:val="nil"/>
              <w:bottom w:val="nil"/>
            </w:tcBorders>
            <w:shd w:val="clear" w:color="auto" w:fill="auto"/>
          </w:tcPr>
          <w:p w:rsidR="00035233" w:rsidRPr="00464F6D" w:rsidRDefault="00035233" w:rsidP="00035233">
            <w:pPr>
              <w:pStyle w:val="05Tabletext"/>
              <w:keepNext/>
              <w:jc w:val="center"/>
            </w:pPr>
            <w:r>
              <w:t>55 (14.9)</w:t>
            </w:r>
          </w:p>
        </w:tc>
      </w:tr>
      <w:tr w:rsidR="00035233" w:rsidRPr="00194011" w:rsidTr="00035233">
        <w:trPr>
          <w:cantSplit/>
        </w:trPr>
        <w:tc>
          <w:tcPr>
            <w:tcW w:w="1399" w:type="pct"/>
            <w:tcBorders>
              <w:top w:val="nil"/>
              <w:bottom w:val="nil"/>
            </w:tcBorders>
            <w:shd w:val="clear" w:color="auto" w:fill="auto"/>
          </w:tcPr>
          <w:p w:rsidR="00035233" w:rsidRDefault="00035233" w:rsidP="00035233">
            <w:pPr>
              <w:pStyle w:val="05Tabletext"/>
              <w:keepNext/>
            </w:pPr>
            <w:r>
              <w:t>2</w:t>
            </w:r>
          </w:p>
        </w:tc>
        <w:tc>
          <w:tcPr>
            <w:tcW w:w="1800" w:type="pct"/>
            <w:tcBorders>
              <w:top w:val="nil"/>
              <w:bottom w:val="nil"/>
            </w:tcBorders>
            <w:shd w:val="clear" w:color="auto" w:fill="auto"/>
          </w:tcPr>
          <w:p w:rsidR="00035233" w:rsidRPr="00464F6D" w:rsidRDefault="00035233" w:rsidP="00035233">
            <w:pPr>
              <w:pStyle w:val="05Tabletext"/>
              <w:keepNext/>
              <w:jc w:val="center"/>
            </w:pPr>
            <w:r>
              <w:t>9 (2.4)</w:t>
            </w:r>
          </w:p>
        </w:tc>
        <w:tc>
          <w:tcPr>
            <w:tcW w:w="1801" w:type="pct"/>
            <w:tcBorders>
              <w:top w:val="nil"/>
              <w:bottom w:val="nil"/>
            </w:tcBorders>
            <w:shd w:val="clear" w:color="auto" w:fill="auto"/>
          </w:tcPr>
          <w:p w:rsidR="00035233" w:rsidRPr="00464F6D" w:rsidRDefault="00035233" w:rsidP="00035233">
            <w:pPr>
              <w:pStyle w:val="05Tabletext"/>
              <w:keepNext/>
              <w:jc w:val="center"/>
            </w:pPr>
            <w:r>
              <w:t>13 (3.5)</w:t>
            </w:r>
          </w:p>
        </w:tc>
      </w:tr>
      <w:tr w:rsidR="00035233" w:rsidRPr="00194011" w:rsidTr="00035233">
        <w:trPr>
          <w:cantSplit/>
        </w:trPr>
        <w:tc>
          <w:tcPr>
            <w:tcW w:w="1399" w:type="pct"/>
            <w:tcBorders>
              <w:top w:val="nil"/>
              <w:bottom w:val="nil"/>
            </w:tcBorders>
            <w:shd w:val="clear" w:color="auto" w:fill="auto"/>
          </w:tcPr>
          <w:p w:rsidR="00035233" w:rsidRDefault="00035233" w:rsidP="00035233">
            <w:pPr>
              <w:pStyle w:val="05Tabletext"/>
              <w:keepNext/>
            </w:pPr>
            <w:r>
              <w:t>3</w:t>
            </w:r>
          </w:p>
        </w:tc>
        <w:tc>
          <w:tcPr>
            <w:tcW w:w="1800" w:type="pct"/>
            <w:tcBorders>
              <w:top w:val="nil"/>
              <w:bottom w:val="nil"/>
            </w:tcBorders>
            <w:shd w:val="clear" w:color="auto" w:fill="auto"/>
          </w:tcPr>
          <w:p w:rsidR="00035233" w:rsidRPr="00464F6D" w:rsidRDefault="00035233" w:rsidP="00035233">
            <w:pPr>
              <w:pStyle w:val="05Tabletext"/>
              <w:keepNext/>
              <w:jc w:val="center"/>
            </w:pPr>
            <w:r>
              <w:t>0</w:t>
            </w:r>
          </w:p>
        </w:tc>
        <w:tc>
          <w:tcPr>
            <w:tcW w:w="1801" w:type="pct"/>
            <w:tcBorders>
              <w:top w:val="nil"/>
              <w:bottom w:val="nil"/>
            </w:tcBorders>
            <w:shd w:val="clear" w:color="auto" w:fill="auto"/>
          </w:tcPr>
          <w:p w:rsidR="00035233" w:rsidRPr="00464F6D" w:rsidRDefault="00035233" w:rsidP="00035233">
            <w:pPr>
              <w:pStyle w:val="05Tabletext"/>
              <w:keepNext/>
              <w:jc w:val="center"/>
            </w:pPr>
            <w:r>
              <w:t>0</w:t>
            </w:r>
          </w:p>
        </w:tc>
      </w:tr>
      <w:tr w:rsidR="00035233" w:rsidRPr="00194011" w:rsidTr="00035233">
        <w:trPr>
          <w:cantSplit/>
        </w:trPr>
        <w:tc>
          <w:tcPr>
            <w:tcW w:w="1399" w:type="pct"/>
            <w:tcBorders>
              <w:top w:val="nil"/>
            </w:tcBorders>
            <w:shd w:val="clear" w:color="auto" w:fill="auto"/>
          </w:tcPr>
          <w:p w:rsidR="00035233" w:rsidRDefault="00035233" w:rsidP="00035233">
            <w:pPr>
              <w:pStyle w:val="05Tabletext"/>
            </w:pPr>
            <w:r>
              <w:t>≥4</w:t>
            </w:r>
          </w:p>
        </w:tc>
        <w:tc>
          <w:tcPr>
            <w:tcW w:w="1800" w:type="pct"/>
            <w:tcBorders>
              <w:top w:val="nil"/>
            </w:tcBorders>
            <w:shd w:val="clear" w:color="auto" w:fill="auto"/>
          </w:tcPr>
          <w:p w:rsidR="00035233" w:rsidRPr="00464F6D" w:rsidRDefault="00035233" w:rsidP="00035233">
            <w:pPr>
              <w:pStyle w:val="05Tabletext"/>
              <w:jc w:val="center"/>
            </w:pPr>
            <w:r>
              <w:t>0</w:t>
            </w:r>
          </w:p>
        </w:tc>
        <w:tc>
          <w:tcPr>
            <w:tcW w:w="1801" w:type="pct"/>
            <w:tcBorders>
              <w:top w:val="nil"/>
            </w:tcBorders>
            <w:shd w:val="clear" w:color="auto" w:fill="auto"/>
          </w:tcPr>
          <w:p w:rsidR="00035233" w:rsidRPr="00464F6D" w:rsidRDefault="00035233" w:rsidP="00035233">
            <w:pPr>
              <w:pStyle w:val="05Tabletext"/>
              <w:jc w:val="center"/>
            </w:pPr>
            <w:r>
              <w:t>0</w:t>
            </w:r>
          </w:p>
        </w:tc>
      </w:tr>
      <w:tr w:rsidR="00035233" w:rsidRPr="00194011" w:rsidTr="00035233">
        <w:trPr>
          <w:cantSplit/>
        </w:trPr>
        <w:tc>
          <w:tcPr>
            <w:tcW w:w="1399" w:type="pct"/>
            <w:shd w:val="clear" w:color="auto" w:fill="auto"/>
          </w:tcPr>
          <w:p w:rsidR="00035233" w:rsidRPr="00BF243A" w:rsidRDefault="00035233" w:rsidP="00035233">
            <w:pPr>
              <w:pStyle w:val="05Tabletext"/>
            </w:pPr>
            <w:r>
              <w:t>Total number of exacerbations</w:t>
            </w:r>
          </w:p>
        </w:tc>
        <w:tc>
          <w:tcPr>
            <w:tcW w:w="1800" w:type="pct"/>
            <w:shd w:val="clear" w:color="auto" w:fill="auto"/>
          </w:tcPr>
          <w:p w:rsidR="00035233" w:rsidRPr="00464F6D" w:rsidRDefault="00035233" w:rsidP="00035233">
            <w:pPr>
              <w:pStyle w:val="05Tabletext"/>
              <w:jc w:val="center"/>
            </w:pPr>
            <w:r>
              <w:t>53</w:t>
            </w:r>
          </w:p>
        </w:tc>
        <w:tc>
          <w:tcPr>
            <w:tcW w:w="1801" w:type="pct"/>
            <w:shd w:val="clear" w:color="auto" w:fill="auto"/>
          </w:tcPr>
          <w:p w:rsidR="00035233" w:rsidRPr="00464F6D" w:rsidRDefault="00035233" w:rsidP="00035233">
            <w:pPr>
              <w:pStyle w:val="05Tabletext"/>
              <w:jc w:val="center"/>
            </w:pPr>
            <w:r>
              <w:t>81</w:t>
            </w:r>
          </w:p>
        </w:tc>
      </w:tr>
      <w:tr w:rsidR="00035233" w:rsidRPr="00194011" w:rsidTr="00035233">
        <w:trPr>
          <w:cantSplit/>
        </w:trPr>
        <w:tc>
          <w:tcPr>
            <w:tcW w:w="1399" w:type="pct"/>
            <w:shd w:val="clear" w:color="auto" w:fill="auto"/>
          </w:tcPr>
          <w:p w:rsidR="00035233" w:rsidRDefault="00035233" w:rsidP="00035233">
            <w:pPr>
              <w:pStyle w:val="05Tabletext"/>
            </w:pPr>
            <w:r>
              <w:t>Total number of treatment years</w:t>
            </w:r>
          </w:p>
        </w:tc>
        <w:tc>
          <w:tcPr>
            <w:tcW w:w="1800" w:type="pct"/>
            <w:shd w:val="clear" w:color="auto" w:fill="auto"/>
          </w:tcPr>
          <w:p w:rsidR="00035233" w:rsidRPr="00464F6D" w:rsidRDefault="00035233" w:rsidP="00035233">
            <w:pPr>
              <w:pStyle w:val="05Tabletext"/>
              <w:jc w:val="center"/>
            </w:pPr>
            <w:r>
              <w:t>179.2</w:t>
            </w:r>
          </w:p>
        </w:tc>
        <w:tc>
          <w:tcPr>
            <w:tcW w:w="1801" w:type="pct"/>
            <w:shd w:val="clear" w:color="auto" w:fill="auto"/>
          </w:tcPr>
          <w:p w:rsidR="00035233" w:rsidRPr="00464F6D" w:rsidRDefault="00035233" w:rsidP="00035233">
            <w:pPr>
              <w:pStyle w:val="05Tabletext"/>
              <w:jc w:val="center"/>
            </w:pPr>
            <w:r>
              <w:t>174.9</w:t>
            </w:r>
          </w:p>
        </w:tc>
      </w:tr>
      <w:tr w:rsidR="00035233" w:rsidRPr="00194011" w:rsidTr="00035233">
        <w:trPr>
          <w:cantSplit/>
        </w:trPr>
        <w:tc>
          <w:tcPr>
            <w:tcW w:w="1399" w:type="pct"/>
            <w:shd w:val="clear" w:color="auto" w:fill="auto"/>
          </w:tcPr>
          <w:p w:rsidR="00035233" w:rsidRPr="00BF243A" w:rsidRDefault="00035233" w:rsidP="00035233">
            <w:pPr>
              <w:pStyle w:val="05Tabletext"/>
            </w:pPr>
            <w:r>
              <w:t>Rate of exacerbations per year</w:t>
            </w:r>
          </w:p>
        </w:tc>
        <w:tc>
          <w:tcPr>
            <w:tcW w:w="1800" w:type="pct"/>
            <w:shd w:val="clear" w:color="auto" w:fill="auto"/>
          </w:tcPr>
          <w:p w:rsidR="00035233" w:rsidRPr="00464F6D" w:rsidRDefault="00035233" w:rsidP="00035233">
            <w:pPr>
              <w:pStyle w:val="05Tabletext"/>
              <w:jc w:val="center"/>
            </w:pPr>
            <w:r>
              <w:t>0.30</w:t>
            </w:r>
          </w:p>
        </w:tc>
        <w:tc>
          <w:tcPr>
            <w:tcW w:w="1801" w:type="pct"/>
            <w:shd w:val="clear" w:color="auto" w:fill="auto"/>
          </w:tcPr>
          <w:p w:rsidR="00035233" w:rsidRPr="00464F6D" w:rsidRDefault="00035233" w:rsidP="00035233">
            <w:pPr>
              <w:pStyle w:val="05Tabletext"/>
              <w:jc w:val="center"/>
            </w:pPr>
            <w:r>
              <w:t>0.46</w:t>
            </w:r>
          </w:p>
        </w:tc>
      </w:tr>
      <w:tr w:rsidR="00035233" w:rsidRPr="00194011" w:rsidTr="00035233">
        <w:trPr>
          <w:cantSplit/>
        </w:trPr>
        <w:tc>
          <w:tcPr>
            <w:tcW w:w="1399" w:type="pct"/>
            <w:tcBorders>
              <w:bottom w:val="single" w:sz="4" w:space="0" w:color="auto"/>
            </w:tcBorders>
            <w:shd w:val="clear" w:color="auto" w:fill="000000"/>
          </w:tcPr>
          <w:p w:rsidR="00035233" w:rsidRPr="00CA2BFE" w:rsidRDefault="00035233" w:rsidP="007F448B">
            <w:pPr>
              <w:pStyle w:val="04Tablesubheading"/>
              <w:keepLines/>
              <w:rPr>
                <w:vertAlign w:val="superscript"/>
              </w:rPr>
            </w:pPr>
            <w:r>
              <w:lastRenderedPageBreak/>
              <w:t>Severe exacerbations</w:t>
            </w:r>
            <w:r>
              <w:rPr>
                <w:vertAlign w:val="superscript"/>
              </w:rPr>
              <w:t>a</w:t>
            </w:r>
          </w:p>
        </w:tc>
        <w:tc>
          <w:tcPr>
            <w:tcW w:w="1800" w:type="pct"/>
            <w:tcBorders>
              <w:bottom w:val="single" w:sz="4" w:space="0" w:color="auto"/>
            </w:tcBorders>
            <w:shd w:val="clear" w:color="auto" w:fill="000000"/>
          </w:tcPr>
          <w:p w:rsidR="00035233" w:rsidRDefault="00035233" w:rsidP="007F448B">
            <w:pPr>
              <w:pStyle w:val="04Tablesubheading"/>
              <w:keepLines/>
            </w:pPr>
          </w:p>
        </w:tc>
        <w:tc>
          <w:tcPr>
            <w:tcW w:w="1801" w:type="pct"/>
            <w:tcBorders>
              <w:bottom w:val="single" w:sz="4" w:space="0" w:color="auto"/>
            </w:tcBorders>
            <w:shd w:val="clear" w:color="auto" w:fill="000000"/>
          </w:tcPr>
          <w:p w:rsidR="00035233" w:rsidRDefault="00035233" w:rsidP="007F448B">
            <w:pPr>
              <w:pStyle w:val="04Tablesubheading"/>
              <w:keepLines/>
            </w:pPr>
          </w:p>
        </w:tc>
      </w:tr>
      <w:tr w:rsidR="00035233" w:rsidRPr="00194011" w:rsidTr="00035233">
        <w:trPr>
          <w:cantSplit/>
        </w:trPr>
        <w:tc>
          <w:tcPr>
            <w:tcW w:w="1399" w:type="pct"/>
            <w:tcBorders>
              <w:bottom w:val="nil"/>
            </w:tcBorders>
            <w:shd w:val="clear" w:color="auto" w:fill="auto"/>
          </w:tcPr>
          <w:p w:rsidR="00035233" w:rsidRDefault="00035233" w:rsidP="007F448B">
            <w:pPr>
              <w:pStyle w:val="05Tabletext"/>
              <w:keepNext/>
              <w:keepLines/>
            </w:pPr>
            <w:r>
              <w:t>Exacerbations per patient, n (%)</w:t>
            </w:r>
          </w:p>
        </w:tc>
        <w:tc>
          <w:tcPr>
            <w:tcW w:w="1800" w:type="pct"/>
            <w:tcBorders>
              <w:bottom w:val="nil"/>
            </w:tcBorders>
            <w:shd w:val="clear" w:color="auto" w:fill="auto"/>
          </w:tcPr>
          <w:p w:rsidR="00035233" w:rsidRDefault="00035233" w:rsidP="007F448B">
            <w:pPr>
              <w:pStyle w:val="05Tabletext"/>
              <w:keepNext/>
              <w:keepLines/>
              <w:jc w:val="center"/>
            </w:pPr>
            <w:r>
              <w:t>-</w:t>
            </w:r>
          </w:p>
        </w:tc>
        <w:tc>
          <w:tcPr>
            <w:tcW w:w="1801" w:type="pct"/>
            <w:tcBorders>
              <w:bottom w:val="nil"/>
            </w:tcBorders>
            <w:shd w:val="clear" w:color="auto" w:fill="auto"/>
          </w:tcPr>
          <w:p w:rsidR="00035233" w:rsidRDefault="00035233" w:rsidP="007F448B">
            <w:pPr>
              <w:pStyle w:val="05Tabletext"/>
              <w:keepNext/>
              <w:keepLines/>
              <w:jc w:val="center"/>
            </w:pPr>
            <w:r>
              <w:t>-</w:t>
            </w:r>
          </w:p>
        </w:tc>
      </w:tr>
      <w:tr w:rsidR="00035233" w:rsidRPr="00194011" w:rsidTr="00035233">
        <w:trPr>
          <w:cantSplit/>
        </w:trPr>
        <w:tc>
          <w:tcPr>
            <w:tcW w:w="1399" w:type="pct"/>
            <w:tcBorders>
              <w:top w:val="nil"/>
              <w:bottom w:val="nil"/>
            </w:tcBorders>
            <w:shd w:val="clear" w:color="auto" w:fill="auto"/>
          </w:tcPr>
          <w:p w:rsidR="00035233" w:rsidRDefault="00035233" w:rsidP="007F448B">
            <w:pPr>
              <w:pStyle w:val="05Tabletext"/>
              <w:keepNext/>
              <w:keepLines/>
            </w:pPr>
            <w:r>
              <w:t>0</w:t>
            </w:r>
          </w:p>
        </w:tc>
        <w:tc>
          <w:tcPr>
            <w:tcW w:w="1800" w:type="pct"/>
            <w:tcBorders>
              <w:top w:val="nil"/>
              <w:bottom w:val="nil"/>
            </w:tcBorders>
            <w:shd w:val="clear" w:color="auto" w:fill="auto"/>
          </w:tcPr>
          <w:p w:rsidR="00035233" w:rsidRDefault="00035233" w:rsidP="007F448B">
            <w:pPr>
              <w:pStyle w:val="05Tabletext"/>
              <w:keepNext/>
              <w:keepLines/>
              <w:jc w:val="center"/>
            </w:pPr>
            <w:r>
              <w:t>366 (98.4)</w:t>
            </w:r>
          </w:p>
        </w:tc>
        <w:tc>
          <w:tcPr>
            <w:tcW w:w="1801" w:type="pct"/>
            <w:tcBorders>
              <w:top w:val="nil"/>
              <w:bottom w:val="nil"/>
            </w:tcBorders>
            <w:shd w:val="clear" w:color="auto" w:fill="auto"/>
          </w:tcPr>
          <w:p w:rsidR="00035233" w:rsidRDefault="00035233" w:rsidP="007F448B">
            <w:pPr>
              <w:pStyle w:val="05Tabletext"/>
              <w:keepNext/>
              <w:keepLines/>
              <w:jc w:val="center"/>
            </w:pPr>
            <w:r>
              <w:t>353 (95.7)</w:t>
            </w:r>
          </w:p>
        </w:tc>
      </w:tr>
      <w:tr w:rsidR="00035233" w:rsidRPr="00194011" w:rsidTr="00035233">
        <w:trPr>
          <w:cantSplit/>
        </w:trPr>
        <w:tc>
          <w:tcPr>
            <w:tcW w:w="1399" w:type="pct"/>
            <w:tcBorders>
              <w:top w:val="nil"/>
              <w:bottom w:val="nil"/>
            </w:tcBorders>
            <w:shd w:val="clear" w:color="auto" w:fill="auto"/>
          </w:tcPr>
          <w:p w:rsidR="00035233" w:rsidRDefault="00035233" w:rsidP="007F448B">
            <w:pPr>
              <w:pStyle w:val="05Tabletext"/>
              <w:keepNext/>
              <w:keepLines/>
            </w:pPr>
            <w:r>
              <w:t>1</w:t>
            </w:r>
          </w:p>
        </w:tc>
        <w:tc>
          <w:tcPr>
            <w:tcW w:w="1800" w:type="pct"/>
            <w:tcBorders>
              <w:top w:val="nil"/>
              <w:bottom w:val="nil"/>
            </w:tcBorders>
            <w:shd w:val="clear" w:color="auto" w:fill="auto"/>
          </w:tcPr>
          <w:p w:rsidR="00035233" w:rsidRDefault="00035233" w:rsidP="007F448B">
            <w:pPr>
              <w:pStyle w:val="05Tabletext"/>
              <w:keepNext/>
              <w:keepLines/>
              <w:jc w:val="center"/>
            </w:pPr>
            <w:r>
              <w:t>6 (1.6)</w:t>
            </w:r>
          </w:p>
        </w:tc>
        <w:tc>
          <w:tcPr>
            <w:tcW w:w="1801" w:type="pct"/>
            <w:tcBorders>
              <w:top w:val="nil"/>
              <w:bottom w:val="nil"/>
            </w:tcBorders>
            <w:shd w:val="clear" w:color="auto" w:fill="auto"/>
          </w:tcPr>
          <w:p w:rsidR="00035233" w:rsidRDefault="00035233" w:rsidP="007F448B">
            <w:pPr>
              <w:pStyle w:val="05Tabletext"/>
              <w:keepNext/>
              <w:keepLines/>
              <w:jc w:val="center"/>
            </w:pPr>
            <w:r>
              <w:t>15 (4.1)</w:t>
            </w:r>
          </w:p>
        </w:tc>
      </w:tr>
      <w:tr w:rsidR="00035233" w:rsidRPr="00194011" w:rsidTr="00035233">
        <w:trPr>
          <w:cantSplit/>
        </w:trPr>
        <w:tc>
          <w:tcPr>
            <w:tcW w:w="1399" w:type="pct"/>
            <w:tcBorders>
              <w:top w:val="nil"/>
              <w:bottom w:val="nil"/>
            </w:tcBorders>
            <w:shd w:val="clear" w:color="auto" w:fill="auto"/>
          </w:tcPr>
          <w:p w:rsidR="00035233" w:rsidRDefault="00035233" w:rsidP="007F448B">
            <w:pPr>
              <w:pStyle w:val="05Tabletext"/>
              <w:keepNext/>
              <w:keepLines/>
            </w:pPr>
            <w:r>
              <w:t>2</w:t>
            </w:r>
          </w:p>
        </w:tc>
        <w:tc>
          <w:tcPr>
            <w:tcW w:w="1800" w:type="pct"/>
            <w:tcBorders>
              <w:top w:val="nil"/>
              <w:bottom w:val="nil"/>
            </w:tcBorders>
            <w:shd w:val="clear" w:color="auto" w:fill="auto"/>
          </w:tcPr>
          <w:p w:rsidR="00035233" w:rsidRDefault="00035233" w:rsidP="007F448B">
            <w:pPr>
              <w:pStyle w:val="05Tabletext"/>
              <w:keepNext/>
              <w:keepLines/>
              <w:jc w:val="center"/>
            </w:pPr>
            <w:r>
              <w:t>0</w:t>
            </w:r>
          </w:p>
        </w:tc>
        <w:tc>
          <w:tcPr>
            <w:tcW w:w="1801" w:type="pct"/>
            <w:tcBorders>
              <w:top w:val="nil"/>
              <w:bottom w:val="nil"/>
            </w:tcBorders>
            <w:shd w:val="clear" w:color="auto" w:fill="auto"/>
          </w:tcPr>
          <w:p w:rsidR="00035233" w:rsidRDefault="00035233" w:rsidP="007F448B">
            <w:pPr>
              <w:pStyle w:val="05Tabletext"/>
              <w:keepNext/>
              <w:keepLines/>
              <w:jc w:val="center"/>
            </w:pPr>
            <w:r>
              <w:t>1 (0.3)</w:t>
            </w:r>
          </w:p>
        </w:tc>
      </w:tr>
      <w:tr w:rsidR="00035233" w:rsidRPr="00194011" w:rsidTr="00035233">
        <w:trPr>
          <w:cantSplit/>
        </w:trPr>
        <w:tc>
          <w:tcPr>
            <w:tcW w:w="1399" w:type="pct"/>
            <w:tcBorders>
              <w:top w:val="nil"/>
              <w:bottom w:val="nil"/>
            </w:tcBorders>
            <w:shd w:val="clear" w:color="auto" w:fill="auto"/>
          </w:tcPr>
          <w:p w:rsidR="00035233" w:rsidRDefault="00035233" w:rsidP="007F448B">
            <w:pPr>
              <w:pStyle w:val="05Tabletext"/>
              <w:keepNext/>
              <w:keepLines/>
            </w:pPr>
            <w:r>
              <w:t>3</w:t>
            </w:r>
          </w:p>
        </w:tc>
        <w:tc>
          <w:tcPr>
            <w:tcW w:w="1800" w:type="pct"/>
            <w:tcBorders>
              <w:top w:val="nil"/>
              <w:bottom w:val="nil"/>
            </w:tcBorders>
            <w:shd w:val="clear" w:color="auto" w:fill="auto"/>
          </w:tcPr>
          <w:p w:rsidR="00035233" w:rsidRDefault="00035233" w:rsidP="007F448B">
            <w:pPr>
              <w:pStyle w:val="05Tabletext"/>
              <w:keepNext/>
              <w:keepLines/>
              <w:jc w:val="center"/>
            </w:pPr>
            <w:r>
              <w:t>0</w:t>
            </w:r>
          </w:p>
        </w:tc>
        <w:tc>
          <w:tcPr>
            <w:tcW w:w="1801" w:type="pct"/>
            <w:tcBorders>
              <w:top w:val="nil"/>
              <w:bottom w:val="nil"/>
            </w:tcBorders>
            <w:shd w:val="clear" w:color="auto" w:fill="auto"/>
          </w:tcPr>
          <w:p w:rsidR="00035233" w:rsidRDefault="00035233" w:rsidP="007F448B">
            <w:pPr>
              <w:pStyle w:val="05Tabletext"/>
              <w:keepNext/>
              <w:keepLines/>
              <w:jc w:val="center"/>
            </w:pPr>
            <w:r>
              <w:t>0</w:t>
            </w:r>
          </w:p>
        </w:tc>
      </w:tr>
      <w:tr w:rsidR="00035233" w:rsidRPr="00194011" w:rsidTr="00035233">
        <w:trPr>
          <w:cantSplit/>
        </w:trPr>
        <w:tc>
          <w:tcPr>
            <w:tcW w:w="1399" w:type="pct"/>
            <w:tcBorders>
              <w:top w:val="nil"/>
            </w:tcBorders>
            <w:shd w:val="clear" w:color="auto" w:fill="auto"/>
          </w:tcPr>
          <w:p w:rsidR="00035233" w:rsidRDefault="00035233" w:rsidP="007F448B">
            <w:pPr>
              <w:pStyle w:val="05Tabletext"/>
              <w:keepNext/>
              <w:keepLines/>
            </w:pPr>
            <w:r>
              <w:t>≥4</w:t>
            </w:r>
          </w:p>
        </w:tc>
        <w:tc>
          <w:tcPr>
            <w:tcW w:w="1800" w:type="pct"/>
            <w:tcBorders>
              <w:top w:val="nil"/>
            </w:tcBorders>
            <w:shd w:val="clear" w:color="auto" w:fill="auto"/>
          </w:tcPr>
          <w:p w:rsidR="00035233" w:rsidRDefault="00035233" w:rsidP="007F448B">
            <w:pPr>
              <w:pStyle w:val="05Tabletext"/>
              <w:keepNext/>
              <w:keepLines/>
              <w:jc w:val="center"/>
            </w:pPr>
            <w:r>
              <w:t>0</w:t>
            </w:r>
          </w:p>
        </w:tc>
        <w:tc>
          <w:tcPr>
            <w:tcW w:w="1801" w:type="pct"/>
            <w:tcBorders>
              <w:top w:val="nil"/>
            </w:tcBorders>
            <w:shd w:val="clear" w:color="auto" w:fill="auto"/>
          </w:tcPr>
          <w:p w:rsidR="00035233" w:rsidRDefault="00035233" w:rsidP="007F448B">
            <w:pPr>
              <w:pStyle w:val="05Tabletext"/>
              <w:keepNext/>
              <w:keepLines/>
              <w:jc w:val="center"/>
            </w:pPr>
            <w:r>
              <w:t>0</w:t>
            </w:r>
          </w:p>
        </w:tc>
      </w:tr>
      <w:tr w:rsidR="00035233" w:rsidRPr="00194011" w:rsidTr="00035233">
        <w:trPr>
          <w:cantSplit/>
        </w:trPr>
        <w:tc>
          <w:tcPr>
            <w:tcW w:w="1399" w:type="pct"/>
            <w:shd w:val="clear" w:color="auto" w:fill="auto"/>
          </w:tcPr>
          <w:p w:rsidR="00035233" w:rsidRDefault="00035233" w:rsidP="007F448B">
            <w:pPr>
              <w:pStyle w:val="05Tabletext"/>
              <w:keepNext/>
              <w:keepLines/>
            </w:pPr>
            <w:r>
              <w:t>Total number of exacerbations</w:t>
            </w:r>
          </w:p>
        </w:tc>
        <w:tc>
          <w:tcPr>
            <w:tcW w:w="1800" w:type="pct"/>
            <w:shd w:val="clear" w:color="auto" w:fill="auto"/>
          </w:tcPr>
          <w:p w:rsidR="00035233" w:rsidRDefault="00035233" w:rsidP="007F448B">
            <w:pPr>
              <w:pStyle w:val="05Tabletext"/>
              <w:keepNext/>
              <w:keepLines/>
              <w:jc w:val="center"/>
            </w:pPr>
            <w:r>
              <w:t>6</w:t>
            </w:r>
          </w:p>
        </w:tc>
        <w:tc>
          <w:tcPr>
            <w:tcW w:w="1801" w:type="pct"/>
            <w:shd w:val="clear" w:color="auto" w:fill="auto"/>
          </w:tcPr>
          <w:p w:rsidR="00035233" w:rsidRDefault="00035233" w:rsidP="007F448B">
            <w:pPr>
              <w:pStyle w:val="05Tabletext"/>
              <w:keepNext/>
              <w:keepLines/>
              <w:jc w:val="center"/>
            </w:pPr>
            <w:r>
              <w:t>17</w:t>
            </w:r>
          </w:p>
        </w:tc>
      </w:tr>
      <w:tr w:rsidR="00035233" w:rsidRPr="00194011" w:rsidTr="00035233">
        <w:trPr>
          <w:cantSplit/>
        </w:trPr>
        <w:tc>
          <w:tcPr>
            <w:tcW w:w="1399" w:type="pct"/>
            <w:shd w:val="clear" w:color="auto" w:fill="auto"/>
          </w:tcPr>
          <w:p w:rsidR="00035233" w:rsidRDefault="00035233" w:rsidP="007F448B">
            <w:pPr>
              <w:pStyle w:val="05Tabletext"/>
              <w:keepNext/>
              <w:keepLines/>
            </w:pPr>
            <w:r>
              <w:t>Total number of treatment years</w:t>
            </w:r>
          </w:p>
        </w:tc>
        <w:tc>
          <w:tcPr>
            <w:tcW w:w="1800" w:type="pct"/>
            <w:shd w:val="clear" w:color="auto" w:fill="auto"/>
          </w:tcPr>
          <w:p w:rsidR="00035233" w:rsidRDefault="00035233" w:rsidP="007F448B">
            <w:pPr>
              <w:pStyle w:val="05Tabletext"/>
              <w:keepNext/>
              <w:keepLines/>
              <w:jc w:val="center"/>
            </w:pPr>
            <w:r>
              <w:t>179.2</w:t>
            </w:r>
          </w:p>
        </w:tc>
        <w:tc>
          <w:tcPr>
            <w:tcW w:w="1801" w:type="pct"/>
            <w:shd w:val="clear" w:color="auto" w:fill="auto"/>
          </w:tcPr>
          <w:p w:rsidR="00035233" w:rsidRDefault="00035233" w:rsidP="007F448B">
            <w:pPr>
              <w:pStyle w:val="05Tabletext"/>
              <w:keepNext/>
              <w:keepLines/>
              <w:jc w:val="center"/>
            </w:pPr>
            <w:r>
              <w:t>174.9</w:t>
            </w:r>
          </w:p>
        </w:tc>
      </w:tr>
      <w:tr w:rsidR="00035233" w:rsidRPr="00194011" w:rsidTr="00035233">
        <w:trPr>
          <w:cantSplit/>
        </w:trPr>
        <w:tc>
          <w:tcPr>
            <w:tcW w:w="1399" w:type="pct"/>
            <w:shd w:val="clear" w:color="auto" w:fill="auto"/>
          </w:tcPr>
          <w:p w:rsidR="00035233" w:rsidRDefault="00035233" w:rsidP="007F448B">
            <w:pPr>
              <w:pStyle w:val="05Tabletext"/>
              <w:keepNext/>
              <w:keepLines/>
            </w:pPr>
            <w:r>
              <w:t>Rate of exacerbations per year</w:t>
            </w:r>
          </w:p>
        </w:tc>
        <w:tc>
          <w:tcPr>
            <w:tcW w:w="1800" w:type="pct"/>
            <w:shd w:val="clear" w:color="auto" w:fill="auto"/>
          </w:tcPr>
          <w:p w:rsidR="00035233" w:rsidRDefault="00035233" w:rsidP="007F448B">
            <w:pPr>
              <w:pStyle w:val="05Tabletext"/>
              <w:keepNext/>
              <w:keepLines/>
              <w:jc w:val="center"/>
            </w:pPr>
            <w:r>
              <w:t>0.03</w:t>
            </w:r>
          </w:p>
        </w:tc>
        <w:tc>
          <w:tcPr>
            <w:tcW w:w="1801" w:type="pct"/>
            <w:shd w:val="clear" w:color="auto" w:fill="auto"/>
          </w:tcPr>
          <w:p w:rsidR="00035233" w:rsidRDefault="00035233" w:rsidP="007F448B">
            <w:pPr>
              <w:pStyle w:val="05Tabletext"/>
              <w:keepNext/>
              <w:keepLines/>
              <w:jc w:val="center"/>
            </w:pPr>
            <w:r>
              <w:t>0.09</w:t>
            </w:r>
          </w:p>
        </w:tc>
      </w:tr>
    </w:tbl>
    <w:p w:rsidR="00035233" w:rsidRDefault="00035233" w:rsidP="00035233">
      <w:pPr>
        <w:pStyle w:val="10TableorFigurefootnote"/>
      </w:pPr>
      <w:r>
        <w:t>Source: Zhong et al (2015), Table 3.</w:t>
      </w:r>
    </w:p>
    <w:p w:rsidR="00035233" w:rsidRDefault="00035233" w:rsidP="00035233">
      <w:pPr>
        <w:pStyle w:val="10TableorFigurefootnote"/>
      </w:pPr>
      <w:r>
        <w:t xml:space="preserve">Note: </w:t>
      </w:r>
      <w:r w:rsidRPr="008346BA">
        <w:t>Results based on the full analysis set (all randomised patients who received at least one dose of study dr</w:t>
      </w:r>
      <w:r>
        <w:t>ug).</w:t>
      </w:r>
    </w:p>
    <w:p w:rsidR="00035233" w:rsidRDefault="00035233" w:rsidP="00035233">
      <w:pPr>
        <w:pStyle w:val="10TableorFigurefootnote"/>
      </w:pPr>
      <w:r>
        <w:t>Abbreviations: COPD, chronic obstructive pulmonary disease; FLU, fluticasone</w:t>
      </w:r>
      <w:r w:rsidR="00843254">
        <w:t xml:space="preserve"> propionate</w:t>
      </w:r>
      <w:r>
        <w:t>; GLY, glycopyrronium; IND, indacaterol; SAL, salmeterol.</w:t>
      </w:r>
    </w:p>
    <w:p w:rsidR="00035233" w:rsidRPr="00200BC6" w:rsidRDefault="00035233" w:rsidP="00035233">
      <w:pPr>
        <w:pStyle w:val="11TableorFigurefootnotenostick"/>
      </w:pPr>
      <w:proofErr w:type="gramStart"/>
      <w:r>
        <w:rPr>
          <w:b/>
        </w:rPr>
        <w:t>a</w:t>
      </w:r>
      <w:proofErr w:type="gramEnd"/>
      <w:r>
        <w:t xml:space="preserve"> </w:t>
      </w:r>
      <w:r w:rsidRPr="00200BC6">
        <w:t>Exacerbation that resulted in hospitalisation.</w:t>
      </w:r>
    </w:p>
    <w:p w:rsidR="00035233" w:rsidRDefault="00035233" w:rsidP="00035233">
      <w:pPr>
        <w:pStyle w:val="BodyText"/>
      </w:pPr>
      <w:r>
        <w:t xml:space="preserve">A Kaplan-Meier plot of the time to first moderate or severe COPD exacerbation over 26 weeks of treatment (full analysis set) showed a hazard ratio of 0.65 (95% CI: 0.44, 0.95; p=0.028), in favour of glycopyrronium/indacaterol. </w:t>
      </w:r>
      <w:r w:rsidRPr="00200BC6">
        <w:t>Furthermore, the annualised rate of moderate to severe COPD exacerbations was significantly lower in the glycopyrronium/indacaterol treatment arm compared with fluticasone</w:t>
      </w:r>
      <w:r w:rsidR="00843254">
        <w:t xml:space="preserve"> propionate</w:t>
      </w:r>
      <w:r w:rsidRPr="00200BC6">
        <w:t>/salmeterol, indicating a risk reduction of 31% (see</w:t>
      </w:r>
      <w:r w:rsidR="00E75CD2" w:rsidRPr="00E75CD2">
        <w:t xml:space="preserve"> </w:t>
      </w:r>
      <w:r w:rsidR="00E75CD2">
        <w:t>Table 3.5</w:t>
      </w:r>
      <w:r w:rsidR="00967B39">
        <w:t>8</w:t>
      </w:r>
      <w:r>
        <w:t>). The overall annualised exacerbation rates were also stratified according to exacerbation history, due to unintended differences between the treatment groups for this risk factor at baseline (16.4% for</w:t>
      </w:r>
      <w:r w:rsidRPr="00200BC6">
        <w:t xml:space="preserve"> glycopyrronium/indacaterol</w:t>
      </w:r>
      <w:r>
        <w:t xml:space="preserve">; </w:t>
      </w:r>
      <w:r w:rsidRPr="00200BC6">
        <w:t xml:space="preserve">25.2% </w:t>
      </w:r>
      <w:r>
        <w:t xml:space="preserve">for </w:t>
      </w:r>
      <w:r w:rsidRPr="00200BC6">
        <w:t>fluticasone</w:t>
      </w:r>
      <w:r w:rsidR="00843254">
        <w:t xml:space="preserve"> propionate</w:t>
      </w:r>
      <w:r w:rsidRPr="00200BC6">
        <w:t>/salmeterol</w:t>
      </w:r>
      <w:r>
        <w:t>). Importantly, while the annualised rate of COPD exacerbations (all, moderate to severe, severe) was lower for glycopyrronium/indacaterol in all of the exacerbation history subgroups, the differences were generally not statistically significant, and the subgroups were not sufficiently powered for hypothesis testing.</w:t>
      </w:r>
    </w:p>
    <w:p w:rsidR="00E319BB" w:rsidRDefault="00E319BB" w:rsidP="00E319BB">
      <w:pPr>
        <w:pStyle w:val="BodyText"/>
      </w:pPr>
      <w:r>
        <w:t>Both treatments were well tolerated, but adverse events occurred less frequently in the patients treated with glycopyrronium/indacaterol, including fewer cases of pneumonia (see Table 3.59).</w:t>
      </w:r>
    </w:p>
    <w:p w:rsidR="00E319BB" w:rsidRDefault="00E319BB" w:rsidP="00E319BB">
      <w:pPr>
        <w:pStyle w:val="BodyText"/>
      </w:pPr>
      <w:r>
        <w:t>Overall, glycopyrronium/indacaterol demonstrated non-inferiority to fluticasone propionate/salmeterol on the primary endpoint (trough FEV</w:t>
      </w:r>
      <w:r>
        <w:rPr>
          <w:vertAlign w:val="subscript"/>
        </w:rPr>
        <w:t>1</w:t>
      </w:r>
      <w:r>
        <w:t xml:space="preserve"> at 26 weeks), and it also demonstrated superiority for this outcome. While not reported in this review, the study assessed several PROs that failed to show a significant difference between treatments. The authors speculated that the PROs may not be sensitive enough to differentiate between two highly active treatments.</w:t>
      </w:r>
    </w:p>
    <w:p w:rsidR="00E319BB" w:rsidRDefault="00E319BB" w:rsidP="00E319BB">
      <w:pPr>
        <w:pStyle w:val="BodyText"/>
      </w:pPr>
      <w:r>
        <w:t>Despite the lack of superiority on PROs, the authors concluded that for patients with infrequent exacerbations that are classified as GOLD Group D because of airflow limitation, results from LANTERN suggest that these patients should be receiving a LAMA/LABA instead of ICS/LABA.</w:t>
      </w:r>
    </w:p>
    <w:p w:rsidR="00035233" w:rsidRDefault="00035233" w:rsidP="00035233">
      <w:pPr>
        <w:pStyle w:val="BodyText"/>
        <w:sectPr w:rsidR="00035233" w:rsidSect="00270A37">
          <w:footerReference w:type="default" r:id="rId42"/>
          <w:pgSz w:w="11906" w:h="16838"/>
          <w:pgMar w:top="1134" w:right="1134" w:bottom="1134" w:left="1134" w:header="709" w:footer="709" w:gutter="0"/>
          <w:cols w:space="708"/>
          <w:docGrid w:linePitch="360"/>
        </w:sectPr>
      </w:pPr>
    </w:p>
    <w:p w:rsidR="00035233" w:rsidRDefault="00E75CD2" w:rsidP="007F448B">
      <w:pPr>
        <w:pStyle w:val="ToR3Tableheader"/>
      </w:pPr>
      <w:bookmarkStart w:id="403" w:name="_Toc468006298"/>
      <w:bookmarkStart w:id="404" w:name="_Toc468012343"/>
      <w:bookmarkStart w:id="405" w:name="_Toc468034499"/>
      <w:bookmarkStart w:id="406" w:name="_Toc471891049"/>
      <w:bookmarkStart w:id="407" w:name="_Toc486428237"/>
      <w:r>
        <w:lastRenderedPageBreak/>
        <w:t>Table 3.5</w:t>
      </w:r>
      <w:r w:rsidR="00967B39">
        <w:t>8</w:t>
      </w:r>
      <w:r w:rsidR="00035233">
        <w:tab/>
        <w:t>Analysis of COPD exacerbations over 26 weeks by treatment group – GLY/IND vs FLU/SAL</w:t>
      </w:r>
      <w:bookmarkEnd w:id="403"/>
      <w:bookmarkEnd w:id="404"/>
      <w:bookmarkEnd w:id="405"/>
      <w:bookmarkEnd w:id="406"/>
      <w:bookmarkEnd w:id="40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Analysis of COPD exacerbations over 26 weeks by treatment group "/>
        <w:tblDescription w:val="GLY/IND vs FLU/SAL"/>
      </w:tblPr>
      <w:tblGrid>
        <w:gridCol w:w="3974"/>
        <w:gridCol w:w="1735"/>
        <w:gridCol w:w="1738"/>
        <w:gridCol w:w="1735"/>
        <w:gridCol w:w="1738"/>
        <w:gridCol w:w="2409"/>
        <w:gridCol w:w="1251"/>
      </w:tblGrid>
      <w:tr w:rsidR="00035233" w:rsidRPr="00F01736" w:rsidTr="00035233">
        <w:trPr>
          <w:cantSplit/>
          <w:tblHeader/>
        </w:trPr>
        <w:tc>
          <w:tcPr>
            <w:tcW w:w="1363" w:type="pct"/>
            <w:tcBorders>
              <w:bottom w:val="single" w:sz="4" w:space="0" w:color="auto"/>
            </w:tcBorders>
            <w:shd w:val="clear" w:color="auto" w:fill="BFBFBF"/>
          </w:tcPr>
          <w:p w:rsidR="00035233" w:rsidRPr="00F01736" w:rsidRDefault="00035233" w:rsidP="00035233">
            <w:pPr>
              <w:pStyle w:val="01TableHEADINGleftaligned"/>
            </w:pPr>
          </w:p>
        </w:tc>
        <w:tc>
          <w:tcPr>
            <w:tcW w:w="595" w:type="pct"/>
            <w:tcBorders>
              <w:bottom w:val="single" w:sz="4" w:space="0" w:color="auto"/>
              <w:right w:val="nil"/>
            </w:tcBorders>
            <w:shd w:val="clear" w:color="auto" w:fill="BFBFBF"/>
          </w:tcPr>
          <w:p w:rsidR="00035233" w:rsidRPr="009F7E17" w:rsidRDefault="00035233" w:rsidP="007F448B">
            <w:pPr>
              <w:pStyle w:val="02TableHEADINGcentred"/>
            </w:pPr>
            <w:r w:rsidRPr="003D2144">
              <w:t>GLY/IND</w:t>
            </w:r>
          </w:p>
        </w:tc>
        <w:tc>
          <w:tcPr>
            <w:tcW w:w="596" w:type="pct"/>
            <w:tcBorders>
              <w:left w:val="nil"/>
              <w:bottom w:val="single" w:sz="4" w:space="0" w:color="auto"/>
            </w:tcBorders>
            <w:shd w:val="clear" w:color="auto" w:fill="BFBFBF"/>
          </w:tcPr>
          <w:p w:rsidR="00035233" w:rsidRPr="00A6356F" w:rsidRDefault="00035233" w:rsidP="007F448B">
            <w:pPr>
              <w:pStyle w:val="02TableHEADINGcentred"/>
            </w:pPr>
            <w:r w:rsidRPr="00A6356F">
              <w:t>50/110</w:t>
            </w:r>
          </w:p>
        </w:tc>
        <w:tc>
          <w:tcPr>
            <w:tcW w:w="595" w:type="pct"/>
            <w:tcBorders>
              <w:bottom w:val="single" w:sz="4" w:space="0" w:color="auto"/>
              <w:right w:val="nil"/>
            </w:tcBorders>
            <w:shd w:val="clear" w:color="auto" w:fill="BFBFBF"/>
          </w:tcPr>
          <w:p w:rsidR="00035233" w:rsidRPr="00E3610F" w:rsidRDefault="00035233" w:rsidP="007F448B">
            <w:pPr>
              <w:pStyle w:val="02TableHEADINGcentred"/>
            </w:pPr>
            <w:r w:rsidRPr="00E3610F">
              <w:t>FLU/SAL</w:t>
            </w:r>
          </w:p>
        </w:tc>
        <w:tc>
          <w:tcPr>
            <w:tcW w:w="596" w:type="pct"/>
            <w:tcBorders>
              <w:left w:val="nil"/>
              <w:bottom w:val="single" w:sz="4" w:space="0" w:color="auto"/>
            </w:tcBorders>
            <w:shd w:val="clear" w:color="auto" w:fill="BFBFBF"/>
          </w:tcPr>
          <w:p w:rsidR="00035233" w:rsidRPr="00411D11" w:rsidRDefault="00035233" w:rsidP="007F448B">
            <w:pPr>
              <w:pStyle w:val="02TableHEADINGcentred"/>
            </w:pPr>
            <w:r w:rsidRPr="00411D11">
              <w:t>500/50</w:t>
            </w:r>
          </w:p>
        </w:tc>
        <w:tc>
          <w:tcPr>
            <w:tcW w:w="826" w:type="pct"/>
            <w:tcBorders>
              <w:bottom w:val="single" w:sz="4" w:space="0" w:color="auto"/>
              <w:right w:val="single" w:sz="4" w:space="0" w:color="auto"/>
            </w:tcBorders>
            <w:shd w:val="clear" w:color="auto" w:fill="BFBFBF"/>
          </w:tcPr>
          <w:p w:rsidR="00035233" w:rsidRPr="00411D11" w:rsidRDefault="00035233" w:rsidP="007F448B">
            <w:pPr>
              <w:pStyle w:val="02TableHEADINGcentred"/>
            </w:pPr>
            <w:r w:rsidRPr="00411D11">
              <w:t>Comparative estimate (95% CI)</w:t>
            </w:r>
          </w:p>
        </w:tc>
        <w:tc>
          <w:tcPr>
            <w:tcW w:w="429" w:type="pct"/>
            <w:tcBorders>
              <w:left w:val="single" w:sz="4" w:space="0" w:color="auto"/>
              <w:bottom w:val="single" w:sz="4" w:space="0" w:color="auto"/>
            </w:tcBorders>
            <w:shd w:val="clear" w:color="auto" w:fill="BFBFBF"/>
          </w:tcPr>
          <w:p w:rsidR="00035233" w:rsidRPr="00411D11" w:rsidRDefault="00035233" w:rsidP="007F448B">
            <w:pPr>
              <w:pStyle w:val="02TableHEADINGcentred"/>
            </w:pPr>
            <w:r w:rsidRPr="00411D11">
              <w:t>p-value</w:t>
            </w:r>
          </w:p>
        </w:tc>
      </w:tr>
      <w:tr w:rsidR="00035233" w:rsidRPr="00F01736" w:rsidTr="00035233">
        <w:trPr>
          <w:cantSplit/>
        </w:trPr>
        <w:tc>
          <w:tcPr>
            <w:tcW w:w="1363" w:type="pct"/>
            <w:tcBorders>
              <w:bottom w:val="single" w:sz="4" w:space="0" w:color="auto"/>
            </w:tcBorders>
            <w:shd w:val="clear" w:color="auto" w:fill="000000"/>
          </w:tcPr>
          <w:p w:rsidR="00035233" w:rsidRPr="00F01736" w:rsidRDefault="00035233" w:rsidP="00035233">
            <w:pPr>
              <w:pStyle w:val="04Tablesubheading"/>
            </w:pPr>
          </w:p>
        </w:tc>
        <w:tc>
          <w:tcPr>
            <w:tcW w:w="595" w:type="pct"/>
            <w:tcBorders>
              <w:bottom w:val="single" w:sz="4" w:space="0" w:color="auto"/>
              <w:right w:val="nil"/>
            </w:tcBorders>
            <w:shd w:val="clear" w:color="auto" w:fill="000000"/>
          </w:tcPr>
          <w:p w:rsidR="00035233" w:rsidRDefault="00035233" w:rsidP="00035233">
            <w:pPr>
              <w:pStyle w:val="04Tablesubheading"/>
              <w:jc w:val="center"/>
            </w:pPr>
            <w:proofErr w:type="gramStart"/>
            <w:r>
              <w:t>n/N</w:t>
            </w:r>
            <w:proofErr w:type="gramEnd"/>
            <w:r>
              <w:t xml:space="preserve"> (%)</w:t>
            </w:r>
          </w:p>
        </w:tc>
        <w:tc>
          <w:tcPr>
            <w:tcW w:w="596" w:type="pct"/>
            <w:tcBorders>
              <w:left w:val="nil"/>
              <w:bottom w:val="single" w:sz="4" w:space="0" w:color="auto"/>
            </w:tcBorders>
            <w:shd w:val="clear" w:color="auto" w:fill="000000"/>
          </w:tcPr>
          <w:p w:rsidR="00035233" w:rsidRDefault="00035233" w:rsidP="00035233">
            <w:pPr>
              <w:pStyle w:val="04Tablesubheading"/>
              <w:jc w:val="center"/>
            </w:pPr>
            <w:r>
              <w:t>Rate (95% CI)</w:t>
            </w:r>
          </w:p>
        </w:tc>
        <w:tc>
          <w:tcPr>
            <w:tcW w:w="595" w:type="pct"/>
            <w:tcBorders>
              <w:bottom w:val="single" w:sz="4" w:space="0" w:color="auto"/>
              <w:right w:val="nil"/>
            </w:tcBorders>
            <w:shd w:val="clear" w:color="auto" w:fill="000000"/>
          </w:tcPr>
          <w:p w:rsidR="00035233" w:rsidRDefault="00035233" w:rsidP="00035233">
            <w:pPr>
              <w:pStyle w:val="04Tablesubheading"/>
              <w:jc w:val="center"/>
            </w:pPr>
            <w:proofErr w:type="gramStart"/>
            <w:r>
              <w:t>n/N</w:t>
            </w:r>
            <w:proofErr w:type="gramEnd"/>
            <w:r>
              <w:t xml:space="preserve"> (%)</w:t>
            </w:r>
          </w:p>
        </w:tc>
        <w:tc>
          <w:tcPr>
            <w:tcW w:w="596" w:type="pct"/>
            <w:tcBorders>
              <w:left w:val="nil"/>
              <w:bottom w:val="single" w:sz="4" w:space="0" w:color="auto"/>
            </w:tcBorders>
            <w:shd w:val="clear" w:color="auto" w:fill="000000"/>
          </w:tcPr>
          <w:p w:rsidR="00035233" w:rsidRDefault="00035233" w:rsidP="00035233">
            <w:pPr>
              <w:pStyle w:val="04Tablesubheading"/>
              <w:jc w:val="center"/>
            </w:pPr>
            <w:r>
              <w:t>Rate (95% CI)</w:t>
            </w:r>
          </w:p>
        </w:tc>
        <w:tc>
          <w:tcPr>
            <w:tcW w:w="826" w:type="pct"/>
            <w:tcBorders>
              <w:bottom w:val="single" w:sz="4" w:space="0" w:color="auto"/>
              <w:right w:val="single" w:sz="4" w:space="0" w:color="auto"/>
            </w:tcBorders>
            <w:shd w:val="clear" w:color="auto" w:fill="000000"/>
          </w:tcPr>
          <w:p w:rsidR="00035233" w:rsidRDefault="00035233" w:rsidP="00035233">
            <w:pPr>
              <w:pStyle w:val="04Tablesubheading"/>
              <w:jc w:val="center"/>
            </w:pPr>
            <w:r>
              <w:t>Rate ratio (95% CI)</w:t>
            </w:r>
          </w:p>
        </w:tc>
        <w:tc>
          <w:tcPr>
            <w:tcW w:w="429" w:type="pct"/>
            <w:tcBorders>
              <w:left w:val="single" w:sz="4" w:space="0" w:color="auto"/>
              <w:bottom w:val="single" w:sz="4" w:space="0" w:color="auto"/>
            </w:tcBorders>
            <w:shd w:val="clear" w:color="auto" w:fill="000000"/>
          </w:tcPr>
          <w:p w:rsidR="00035233" w:rsidRDefault="00035233" w:rsidP="00035233">
            <w:pPr>
              <w:pStyle w:val="04Tablesubheading"/>
            </w:pPr>
          </w:p>
        </w:tc>
      </w:tr>
      <w:tr w:rsidR="00035233" w:rsidRPr="00194011" w:rsidTr="00035233">
        <w:trPr>
          <w:cantSplit/>
        </w:trPr>
        <w:tc>
          <w:tcPr>
            <w:tcW w:w="1363" w:type="pct"/>
            <w:tcBorders>
              <w:bottom w:val="nil"/>
            </w:tcBorders>
            <w:shd w:val="clear" w:color="auto" w:fill="auto"/>
          </w:tcPr>
          <w:p w:rsidR="00035233" w:rsidRDefault="00035233" w:rsidP="00035233">
            <w:pPr>
              <w:pStyle w:val="05Tabletext"/>
            </w:pPr>
            <w:r>
              <w:t>Annualised rate of any COPD exacerbation</w:t>
            </w:r>
          </w:p>
        </w:tc>
        <w:tc>
          <w:tcPr>
            <w:tcW w:w="595" w:type="pct"/>
            <w:tcBorders>
              <w:bottom w:val="nil"/>
            </w:tcBorders>
          </w:tcPr>
          <w:p w:rsidR="00035233" w:rsidRDefault="00035233" w:rsidP="00035233">
            <w:pPr>
              <w:pStyle w:val="05Tabletext"/>
              <w:jc w:val="center"/>
            </w:pPr>
            <w:r>
              <w:t>-</w:t>
            </w:r>
          </w:p>
        </w:tc>
        <w:tc>
          <w:tcPr>
            <w:tcW w:w="596" w:type="pct"/>
            <w:tcBorders>
              <w:bottom w:val="nil"/>
            </w:tcBorders>
          </w:tcPr>
          <w:p w:rsidR="00035233" w:rsidRDefault="00035233" w:rsidP="00035233">
            <w:pPr>
              <w:pStyle w:val="05Tabletext"/>
              <w:jc w:val="center"/>
            </w:pPr>
            <w:r>
              <w:t>-</w:t>
            </w:r>
          </w:p>
        </w:tc>
        <w:tc>
          <w:tcPr>
            <w:tcW w:w="595" w:type="pct"/>
            <w:tcBorders>
              <w:bottom w:val="nil"/>
            </w:tcBorders>
          </w:tcPr>
          <w:p w:rsidR="00035233" w:rsidRDefault="00035233" w:rsidP="00035233">
            <w:pPr>
              <w:pStyle w:val="05Tabletext"/>
              <w:jc w:val="center"/>
            </w:pPr>
            <w:r>
              <w:t>-</w:t>
            </w:r>
          </w:p>
        </w:tc>
        <w:tc>
          <w:tcPr>
            <w:tcW w:w="596" w:type="pct"/>
            <w:tcBorders>
              <w:bottom w:val="nil"/>
            </w:tcBorders>
          </w:tcPr>
          <w:p w:rsidR="00035233" w:rsidRDefault="00035233" w:rsidP="00035233">
            <w:pPr>
              <w:pStyle w:val="05Tabletext"/>
              <w:jc w:val="center"/>
            </w:pPr>
            <w:r>
              <w:t>-</w:t>
            </w:r>
          </w:p>
        </w:tc>
        <w:tc>
          <w:tcPr>
            <w:tcW w:w="826" w:type="pct"/>
            <w:tcBorders>
              <w:bottom w:val="nil"/>
            </w:tcBorders>
            <w:shd w:val="clear" w:color="auto" w:fill="auto"/>
          </w:tcPr>
          <w:p w:rsidR="00035233" w:rsidRDefault="00035233" w:rsidP="00035233">
            <w:pPr>
              <w:pStyle w:val="05Tabletext"/>
              <w:jc w:val="center"/>
            </w:pPr>
            <w:r>
              <w:t>-</w:t>
            </w:r>
          </w:p>
        </w:tc>
        <w:tc>
          <w:tcPr>
            <w:tcW w:w="429" w:type="pct"/>
            <w:tcBorders>
              <w:bottom w:val="nil"/>
            </w:tcBorders>
            <w:shd w:val="clear" w:color="auto" w:fill="auto"/>
          </w:tcPr>
          <w:p w:rsidR="00035233" w:rsidRDefault="00035233" w:rsidP="00035233">
            <w:pPr>
              <w:pStyle w:val="05Tabletext"/>
              <w:jc w:val="center"/>
            </w:pPr>
            <w:r>
              <w:t>-</w:t>
            </w:r>
          </w:p>
        </w:tc>
      </w:tr>
      <w:tr w:rsidR="00035233" w:rsidRPr="00194011" w:rsidTr="00035233">
        <w:trPr>
          <w:cantSplit/>
        </w:trPr>
        <w:tc>
          <w:tcPr>
            <w:tcW w:w="1363" w:type="pct"/>
            <w:tcBorders>
              <w:top w:val="nil"/>
              <w:bottom w:val="nil"/>
            </w:tcBorders>
            <w:shd w:val="clear" w:color="auto" w:fill="auto"/>
          </w:tcPr>
          <w:p w:rsidR="00035233" w:rsidRDefault="00035233" w:rsidP="00035233">
            <w:pPr>
              <w:pStyle w:val="05Tabletext"/>
              <w:ind w:left="289"/>
            </w:pPr>
            <w:r>
              <w:t>Overall</w:t>
            </w:r>
          </w:p>
        </w:tc>
        <w:tc>
          <w:tcPr>
            <w:tcW w:w="595" w:type="pct"/>
            <w:tcBorders>
              <w:top w:val="nil"/>
              <w:bottom w:val="nil"/>
            </w:tcBorders>
          </w:tcPr>
          <w:p w:rsidR="00035233" w:rsidRDefault="00035233" w:rsidP="00035233">
            <w:pPr>
              <w:pStyle w:val="05Tabletext"/>
              <w:jc w:val="center"/>
            </w:pPr>
            <w:r>
              <w:t>372</w:t>
            </w:r>
          </w:p>
        </w:tc>
        <w:tc>
          <w:tcPr>
            <w:tcW w:w="596" w:type="pct"/>
            <w:tcBorders>
              <w:top w:val="nil"/>
              <w:bottom w:val="nil"/>
            </w:tcBorders>
          </w:tcPr>
          <w:p w:rsidR="00035233" w:rsidRDefault="00035233" w:rsidP="00035233">
            <w:pPr>
              <w:pStyle w:val="05Tabletext"/>
              <w:jc w:val="center"/>
            </w:pPr>
            <w:r>
              <w:t>-</w:t>
            </w:r>
          </w:p>
        </w:tc>
        <w:tc>
          <w:tcPr>
            <w:tcW w:w="595" w:type="pct"/>
            <w:tcBorders>
              <w:top w:val="nil"/>
              <w:bottom w:val="nil"/>
            </w:tcBorders>
          </w:tcPr>
          <w:p w:rsidR="00035233" w:rsidRDefault="00035233" w:rsidP="00035233">
            <w:pPr>
              <w:pStyle w:val="05Tabletext"/>
              <w:jc w:val="center"/>
            </w:pPr>
            <w:r>
              <w:t>369</w:t>
            </w:r>
          </w:p>
        </w:tc>
        <w:tc>
          <w:tcPr>
            <w:tcW w:w="596" w:type="pct"/>
            <w:tcBorders>
              <w:top w:val="nil"/>
              <w:bottom w:val="nil"/>
            </w:tcBorders>
          </w:tcPr>
          <w:p w:rsidR="00035233" w:rsidRDefault="00035233" w:rsidP="00035233">
            <w:pPr>
              <w:pStyle w:val="05Tabletext"/>
              <w:jc w:val="center"/>
            </w:pPr>
            <w:r>
              <w:t>-</w:t>
            </w:r>
          </w:p>
        </w:tc>
        <w:tc>
          <w:tcPr>
            <w:tcW w:w="826" w:type="pct"/>
            <w:tcBorders>
              <w:top w:val="nil"/>
              <w:bottom w:val="nil"/>
            </w:tcBorders>
            <w:shd w:val="clear" w:color="auto" w:fill="auto"/>
          </w:tcPr>
          <w:p w:rsidR="00035233" w:rsidRDefault="00035233" w:rsidP="00035233">
            <w:pPr>
              <w:pStyle w:val="05Tabletext"/>
              <w:jc w:val="center"/>
            </w:pPr>
            <w:r>
              <w:t>0.79 (0.58, 1.07)</w:t>
            </w:r>
          </w:p>
        </w:tc>
        <w:tc>
          <w:tcPr>
            <w:tcW w:w="429" w:type="pct"/>
            <w:tcBorders>
              <w:top w:val="nil"/>
              <w:bottom w:val="nil"/>
            </w:tcBorders>
            <w:shd w:val="clear" w:color="auto" w:fill="auto"/>
          </w:tcPr>
          <w:p w:rsidR="00035233" w:rsidRDefault="00035233" w:rsidP="00035233">
            <w:pPr>
              <w:pStyle w:val="05Tabletext"/>
              <w:jc w:val="center"/>
            </w:pPr>
            <w:r>
              <w:t>NR</w:t>
            </w:r>
          </w:p>
        </w:tc>
      </w:tr>
      <w:tr w:rsidR="00035233" w:rsidRPr="00194011" w:rsidTr="00035233">
        <w:trPr>
          <w:cantSplit/>
        </w:trPr>
        <w:tc>
          <w:tcPr>
            <w:tcW w:w="1363" w:type="pct"/>
            <w:tcBorders>
              <w:top w:val="nil"/>
              <w:bottom w:val="nil"/>
            </w:tcBorders>
            <w:shd w:val="clear" w:color="auto" w:fill="auto"/>
          </w:tcPr>
          <w:p w:rsidR="00035233" w:rsidRDefault="00035233" w:rsidP="00035233">
            <w:pPr>
              <w:pStyle w:val="05Tabletext"/>
              <w:ind w:left="289"/>
            </w:pPr>
            <w:r>
              <w:t>With COPD exacerbation history at baseline</w:t>
            </w:r>
          </w:p>
        </w:tc>
        <w:tc>
          <w:tcPr>
            <w:tcW w:w="595" w:type="pct"/>
            <w:tcBorders>
              <w:top w:val="nil"/>
              <w:bottom w:val="nil"/>
            </w:tcBorders>
          </w:tcPr>
          <w:p w:rsidR="00035233" w:rsidRDefault="00035233" w:rsidP="00035233">
            <w:pPr>
              <w:pStyle w:val="05Tabletext"/>
              <w:jc w:val="center"/>
            </w:pPr>
            <w:r>
              <w:t>15/61 (24.6)</w:t>
            </w:r>
          </w:p>
        </w:tc>
        <w:tc>
          <w:tcPr>
            <w:tcW w:w="596" w:type="pct"/>
            <w:tcBorders>
              <w:top w:val="nil"/>
              <w:bottom w:val="nil"/>
            </w:tcBorders>
          </w:tcPr>
          <w:p w:rsidR="00035233" w:rsidRDefault="00035233" w:rsidP="00035233">
            <w:pPr>
              <w:pStyle w:val="05Tabletext"/>
              <w:jc w:val="center"/>
            </w:pPr>
            <w:r>
              <w:t>0.78 (0.47, 1.31)</w:t>
            </w:r>
          </w:p>
        </w:tc>
        <w:tc>
          <w:tcPr>
            <w:tcW w:w="595" w:type="pct"/>
            <w:tcBorders>
              <w:top w:val="nil"/>
              <w:bottom w:val="nil"/>
            </w:tcBorders>
          </w:tcPr>
          <w:p w:rsidR="00035233" w:rsidRDefault="00035233" w:rsidP="00035233">
            <w:pPr>
              <w:pStyle w:val="05Tabletext"/>
              <w:jc w:val="center"/>
            </w:pPr>
            <w:r>
              <w:t>43/93 (46.2)</w:t>
            </w:r>
          </w:p>
        </w:tc>
        <w:tc>
          <w:tcPr>
            <w:tcW w:w="596" w:type="pct"/>
            <w:tcBorders>
              <w:top w:val="nil"/>
              <w:bottom w:val="nil"/>
            </w:tcBorders>
          </w:tcPr>
          <w:p w:rsidR="00035233" w:rsidRDefault="00035233" w:rsidP="00035233">
            <w:pPr>
              <w:pStyle w:val="05Tabletext"/>
              <w:jc w:val="center"/>
            </w:pPr>
            <w:r>
              <w:t>1.81 (1.31, 2.52)</w:t>
            </w:r>
          </w:p>
        </w:tc>
        <w:tc>
          <w:tcPr>
            <w:tcW w:w="826" w:type="pct"/>
            <w:tcBorders>
              <w:top w:val="nil"/>
              <w:bottom w:val="nil"/>
            </w:tcBorders>
            <w:shd w:val="clear" w:color="auto" w:fill="auto"/>
          </w:tcPr>
          <w:p w:rsidR="00035233" w:rsidRDefault="00035233" w:rsidP="00035233">
            <w:pPr>
              <w:pStyle w:val="05Tabletext"/>
              <w:jc w:val="center"/>
            </w:pPr>
            <w:r>
              <w:t>0.43 (0.25, 0.76)</w:t>
            </w:r>
          </w:p>
        </w:tc>
        <w:tc>
          <w:tcPr>
            <w:tcW w:w="429" w:type="pct"/>
            <w:tcBorders>
              <w:top w:val="nil"/>
              <w:bottom w:val="nil"/>
            </w:tcBorders>
            <w:shd w:val="clear" w:color="auto" w:fill="auto"/>
          </w:tcPr>
          <w:p w:rsidR="00035233" w:rsidRDefault="00035233" w:rsidP="00035233">
            <w:pPr>
              <w:pStyle w:val="05Tabletext"/>
              <w:jc w:val="center"/>
            </w:pPr>
            <w:r>
              <w:t>0.003</w:t>
            </w:r>
          </w:p>
        </w:tc>
      </w:tr>
      <w:tr w:rsidR="00035233" w:rsidRPr="00194011" w:rsidTr="00035233">
        <w:trPr>
          <w:cantSplit/>
        </w:trPr>
        <w:tc>
          <w:tcPr>
            <w:tcW w:w="1363" w:type="pct"/>
            <w:tcBorders>
              <w:top w:val="nil"/>
              <w:bottom w:val="single" w:sz="4" w:space="0" w:color="auto"/>
            </w:tcBorders>
            <w:shd w:val="clear" w:color="auto" w:fill="auto"/>
          </w:tcPr>
          <w:p w:rsidR="00035233" w:rsidRDefault="00035233" w:rsidP="00035233">
            <w:pPr>
              <w:pStyle w:val="05Tabletext"/>
              <w:ind w:left="289"/>
            </w:pPr>
            <w:r>
              <w:t>Without COPD exacerbation history at baseline</w:t>
            </w:r>
          </w:p>
        </w:tc>
        <w:tc>
          <w:tcPr>
            <w:tcW w:w="595" w:type="pct"/>
            <w:tcBorders>
              <w:top w:val="nil"/>
              <w:bottom w:val="single" w:sz="4" w:space="0" w:color="auto"/>
            </w:tcBorders>
          </w:tcPr>
          <w:p w:rsidR="00035233" w:rsidRDefault="00035233" w:rsidP="00035233">
            <w:pPr>
              <w:pStyle w:val="05Tabletext"/>
              <w:jc w:val="center"/>
            </w:pPr>
            <w:r>
              <w:t>60/311 (19.3)</w:t>
            </w:r>
          </w:p>
        </w:tc>
        <w:tc>
          <w:tcPr>
            <w:tcW w:w="596" w:type="pct"/>
            <w:tcBorders>
              <w:top w:val="nil"/>
              <w:bottom w:val="single" w:sz="4" w:space="0" w:color="auto"/>
            </w:tcBorders>
          </w:tcPr>
          <w:p w:rsidR="00035233" w:rsidRDefault="00035233" w:rsidP="00035233">
            <w:pPr>
              <w:pStyle w:val="05Tabletext"/>
              <w:jc w:val="center"/>
            </w:pPr>
            <w:r>
              <w:t>0.66 (0.49, 0.87)</w:t>
            </w:r>
          </w:p>
        </w:tc>
        <w:tc>
          <w:tcPr>
            <w:tcW w:w="595" w:type="pct"/>
            <w:tcBorders>
              <w:top w:val="nil"/>
              <w:bottom w:val="single" w:sz="4" w:space="0" w:color="auto"/>
            </w:tcBorders>
          </w:tcPr>
          <w:p w:rsidR="00035233" w:rsidRDefault="00035233" w:rsidP="00035233">
            <w:pPr>
              <w:pStyle w:val="05Tabletext"/>
              <w:jc w:val="center"/>
            </w:pPr>
            <w:r>
              <w:t>54/276 (19.6)</w:t>
            </w:r>
          </w:p>
        </w:tc>
        <w:tc>
          <w:tcPr>
            <w:tcW w:w="596" w:type="pct"/>
            <w:tcBorders>
              <w:top w:val="nil"/>
              <w:bottom w:val="single" w:sz="4" w:space="0" w:color="auto"/>
            </w:tcBorders>
          </w:tcPr>
          <w:p w:rsidR="00035233" w:rsidRDefault="00035233" w:rsidP="00035233">
            <w:pPr>
              <w:pStyle w:val="05Tabletext"/>
              <w:jc w:val="center"/>
            </w:pPr>
            <w:r>
              <w:t>0.67 (0.49, 0.92)</w:t>
            </w:r>
          </w:p>
        </w:tc>
        <w:tc>
          <w:tcPr>
            <w:tcW w:w="826" w:type="pct"/>
            <w:tcBorders>
              <w:top w:val="nil"/>
              <w:bottom w:val="single" w:sz="4" w:space="0" w:color="auto"/>
            </w:tcBorders>
            <w:shd w:val="clear" w:color="auto" w:fill="auto"/>
          </w:tcPr>
          <w:p w:rsidR="00035233" w:rsidRDefault="00035233" w:rsidP="00035233">
            <w:pPr>
              <w:pStyle w:val="05Tabletext"/>
              <w:jc w:val="center"/>
            </w:pPr>
            <w:r>
              <w:t>0.98 (0.67, 1.43)</w:t>
            </w:r>
          </w:p>
        </w:tc>
        <w:tc>
          <w:tcPr>
            <w:tcW w:w="429" w:type="pct"/>
            <w:tcBorders>
              <w:top w:val="nil"/>
              <w:bottom w:val="single" w:sz="4" w:space="0" w:color="auto"/>
            </w:tcBorders>
            <w:shd w:val="clear" w:color="auto" w:fill="auto"/>
          </w:tcPr>
          <w:p w:rsidR="00035233" w:rsidRDefault="00035233" w:rsidP="00035233">
            <w:pPr>
              <w:pStyle w:val="05Tabletext"/>
              <w:jc w:val="center"/>
            </w:pPr>
            <w:r>
              <w:t>0.916</w:t>
            </w:r>
          </w:p>
        </w:tc>
      </w:tr>
      <w:tr w:rsidR="00035233" w:rsidRPr="00194011" w:rsidTr="00035233">
        <w:trPr>
          <w:cantSplit/>
        </w:trPr>
        <w:tc>
          <w:tcPr>
            <w:tcW w:w="1363" w:type="pct"/>
            <w:tcBorders>
              <w:top w:val="single" w:sz="4" w:space="0" w:color="auto"/>
              <w:bottom w:val="nil"/>
            </w:tcBorders>
            <w:shd w:val="clear" w:color="auto" w:fill="auto"/>
          </w:tcPr>
          <w:p w:rsidR="00035233" w:rsidRPr="00BF243A" w:rsidRDefault="00035233" w:rsidP="00035233">
            <w:pPr>
              <w:pStyle w:val="05Tabletext"/>
            </w:pPr>
            <w:r>
              <w:t>Annualised rate of moderate or severe exacerbations</w:t>
            </w:r>
          </w:p>
        </w:tc>
        <w:tc>
          <w:tcPr>
            <w:tcW w:w="595" w:type="pct"/>
            <w:tcBorders>
              <w:top w:val="single" w:sz="4" w:space="0" w:color="auto"/>
              <w:bottom w:val="nil"/>
            </w:tcBorders>
          </w:tcPr>
          <w:p w:rsidR="00035233" w:rsidRDefault="00035233" w:rsidP="00035233">
            <w:pPr>
              <w:pStyle w:val="05Tabletext"/>
              <w:jc w:val="center"/>
            </w:pPr>
            <w:r>
              <w:t>-</w:t>
            </w:r>
          </w:p>
        </w:tc>
        <w:tc>
          <w:tcPr>
            <w:tcW w:w="596" w:type="pct"/>
            <w:tcBorders>
              <w:top w:val="single" w:sz="4" w:space="0" w:color="auto"/>
              <w:bottom w:val="nil"/>
            </w:tcBorders>
          </w:tcPr>
          <w:p w:rsidR="00035233" w:rsidRDefault="00035233" w:rsidP="00035233">
            <w:pPr>
              <w:pStyle w:val="05Tabletext"/>
              <w:jc w:val="center"/>
            </w:pPr>
            <w:r>
              <w:t>-</w:t>
            </w:r>
          </w:p>
        </w:tc>
        <w:tc>
          <w:tcPr>
            <w:tcW w:w="595" w:type="pct"/>
            <w:tcBorders>
              <w:top w:val="single" w:sz="4" w:space="0" w:color="auto"/>
              <w:bottom w:val="nil"/>
            </w:tcBorders>
          </w:tcPr>
          <w:p w:rsidR="00035233" w:rsidRDefault="00035233" w:rsidP="00035233">
            <w:pPr>
              <w:pStyle w:val="05Tabletext"/>
              <w:jc w:val="center"/>
            </w:pPr>
            <w:r>
              <w:t>-</w:t>
            </w:r>
          </w:p>
        </w:tc>
        <w:tc>
          <w:tcPr>
            <w:tcW w:w="596" w:type="pct"/>
            <w:tcBorders>
              <w:top w:val="single" w:sz="4" w:space="0" w:color="auto"/>
              <w:bottom w:val="nil"/>
            </w:tcBorders>
          </w:tcPr>
          <w:p w:rsidR="00035233" w:rsidRDefault="00035233" w:rsidP="00035233">
            <w:pPr>
              <w:pStyle w:val="05Tabletext"/>
              <w:jc w:val="center"/>
            </w:pPr>
            <w:r>
              <w:t>-</w:t>
            </w:r>
          </w:p>
        </w:tc>
        <w:tc>
          <w:tcPr>
            <w:tcW w:w="826" w:type="pct"/>
            <w:tcBorders>
              <w:top w:val="single" w:sz="4" w:space="0" w:color="auto"/>
              <w:bottom w:val="nil"/>
            </w:tcBorders>
            <w:shd w:val="clear" w:color="auto" w:fill="auto"/>
          </w:tcPr>
          <w:p w:rsidR="00035233" w:rsidRPr="00464F6D" w:rsidRDefault="00035233" w:rsidP="00035233">
            <w:pPr>
              <w:pStyle w:val="05Tabletext"/>
              <w:jc w:val="center"/>
            </w:pPr>
            <w:r>
              <w:t>-</w:t>
            </w:r>
          </w:p>
        </w:tc>
        <w:tc>
          <w:tcPr>
            <w:tcW w:w="429" w:type="pct"/>
            <w:tcBorders>
              <w:top w:val="single" w:sz="4" w:space="0" w:color="auto"/>
              <w:bottom w:val="nil"/>
            </w:tcBorders>
            <w:shd w:val="clear" w:color="auto" w:fill="auto"/>
          </w:tcPr>
          <w:p w:rsidR="00035233" w:rsidRPr="00464F6D" w:rsidRDefault="00035233" w:rsidP="00035233">
            <w:pPr>
              <w:pStyle w:val="05Tabletext"/>
              <w:jc w:val="center"/>
            </w:pPr>
            <w:r>
              <w:t>-</w:t>
            </w:r>
          </w:p>
        </w:tc>
      </w:tr>
      <w:tr w:rsidR="00035233" w:rsidRPr="00194011" w:rsidTr="00035233">
        <w:trPr>
          <w:cantSplit/>
        </w:trPr>
        <w:tc>
          <w:tcPr>
            <w:tcW w:w="1363" w:type="pct"/>
            <w:tcBorders>
              <w:top w:val="nil"/>
              <w:bottom w:val="nil"/>
            </w:tcBorders>
            <w:shd w:val="clear" w:color="auto" w:fill="auto"/>
          </w:tcPr>
          <w:p w:rsidR="00035233" w:rsidRDefault="00035233" w:rsidP="00035233">
            <w:pPr>
              <w:pStyle w:val="05Tabletext"/>
              <w:ind w:firstLine="232"/>
            </w:pPr>
            <w:r>
              <w:t>Overall</w:t>
            </w:r>
          </w:p>
        </w:tc>
        <w:tc>
          <w:tcPr>
            <w:tcW w:w="595" w:type="pct"/>
            <w:tcBorders>
              <w:top w:val="nil"/>
              <w:bottom w:val="nil"/>
            </w:tcBorders>
          </w:tcPr>
          <w:p w:rsidR="00035233" w:rsidRDefault="00035233" w:rsidP="00035233">
            <w:pPr>
              <w:pStyle w:val="05Tabletext"/>
              <w:jc w:val="center"/>
            </w:pPr>
            <w:r>
              <w:t>372</w:t>
            </w:r>
          </w:p>
        </w:tc>
        <w:tc>
          <w:tcPr>
            <w:tcW w:w="596" w:type="pct"/>
            <w:tcBorders>
              <w:top w:val="nil"/>
              <w:bottom w:val="nil"/>
            </w:tcBorders>
          </w:tcPr>
          <w:p w:rsidR="00035233" w:rsidRDefault="00035233" w:rsidP="00035233">
            <w:pPr>
              <w:pStyle w:val="05Tabletext"/>
              <w:jc w:val="center"/>
            </w:pPr>
            <w:r>
              <w:t>0.30 (NR)</w:t>
            </w:r>
          </w:p>
        </w:tc>
        <w:tc>
          <w:tcPr>
            <w:tcW w:w="595" w:type="pct"/>
            <w:tcBorders>
              <w:top w:val="nil"/>
              <w:bottom w:val="nil"/>
            </w:tcBorders>
          </w:tcPr>
          <w:p w:rsidR="00035233" w:rsidRDefault="00035233" w:rsidP="00035233">
            <w:pPr>
              <w:pStyle w:val="05Tabletext"/>
              <w:jc w:val="center"/>
            </w:pPr>
            <w:r>
              <w:t>369</w:t>
            </w:r>
          </w:p>
        </w:tc>
        <w:tc>
          <w:tcPr>
            <w:tcW w:w="596" w:type="pct"/>
            <w:tcBorders>
              <w:top w:val="nil"/>
              <w:bottom w:val="nil"/>
            </w:tcBorders>
          </w:tcPr>
          <w:p w:rsidR="00035233" w:rsidRDefault="00035233" w:rsidP="00035233">
            <w:pPr>
              <w:pStyle w:val="05Tabletext"/>
              <w:jc w:val="center"/>
            </w:pPr>
            <w:r>
              <w:t>0.46 (NR)</w:t>
            </w:r>
          </w:p>
        </w:tc>
        <w:tc>
          <w:tcPr>
            <w:tcW w:w="826" w:type="pct"/>
            <w:tcBorders>
              <w:top w:val="nil"/>
              <w:bottom w:val="nil"/>
            </w:tcBorders>
            <w:shd w:val="clear" w:color="auto" w:fill="auto"/>
          </w:tcPr>
          <w:p w:rsidR="00035233" w:rsidRDefault="00035233" w:rsidP="00035233">
            <w:pPr>
              <w:pStyle w:val="05Tabletext"/>
              <w:jc w:val="center"/>
            </w:pPr>
            <w:r>
              <w:t>0.69 (0.48, 1.00)</w:t>
            </w:r>
          </w:p>
        </w:tc>
        <w:tc>
          <w:tcPr>
            <w:tcW w:w="429" w:type="pct"/>
            <w:tcBorders>
              <w:top w:val="nil"/>
              <w:bottom w:val="nil"/>
            </w:tcBorders>
            <w:shd w:val="clear" w:color="auto" w:fill="auto"/>
          </w:tcPr>
          <w:p w:rsidR="00035233" w:rsidRDefault="00035233" w:rsidP="00035233">
            <w:pPr>
              <w:pStyle w:val="05Tabletext"/>
              <w:jc w:val="center"/>
            </w:pPr>
            <w:r>
              <w:t>0.048</w:t>
            </w:r>
          </w:p>
        </w:tc>
      </w:tr>
      <w:tr w:rsidR="00035233" w:rsidRPr="00194011" w:rsidTr="00035233">
        <w:trPr>
          <w:cantSplit/>
        </w:trPr>
        <w:tc>
          <w:tcPr>
            <w:tcW w:w="1363" w:type="pct"/>
            <w:tcBorders>
              <w:top w:val="nil"/>
              <w:bottom w:val="nil"/>
            </w:tcBorders>
            <w:shd w:val="clear" w:color="auto" w:fill="auto"/>
          </w:tcPr>
          <w:p w:rsidR="00035233" w:rsidRDefault="00035233" w:rsidP="00035233">
            <w:pPr>
              <w:pStyle w:val="05Tabletext"/>
              <w:ind w:left="289"/>
            </w:pPr>
            <w:r>
              <w:t>With COPD exacerbation history at baseline</w:t>
            </w:r>
          </w:p>
        </w:tc>
        <w:tc>
          <w:tcPr>
            <w:tcW w:w="595" w:type="pct"/>
            <w:tcBorders>
              <w:top w:val="nil"/>
              <w:bottom w:val="nil"/>
            </w:tcBorders>
          </w:tcPr>
          <w:p w:rsidR="00035233" w:rsidRDefault="00035233" w:rsidP="00035233">
            <w:pPr>
              <w:pStyle w:val="05Tabletext"/>
              <w:jc w:val="center"/>
            </w:pPr>
            <w:r>
              <w:t>12/61 (19.7)</w:t>
            </w:r>
          </w:p>
        </w:tc>
        <w:tc>
          <w:tcPr>
            <w:tcW w:w="596" w:type="pct"/>
            <w:tcBorders>
              <w:top w:val="nil"/>
              <w:bottom w:val="nil"/>
            </w:tcBorders>
          </w:tcPr>
          <w:p w:rsidR="00035233" w:rsidRDefault="00035233" w:rsidP="00035233">
            <w:pPr>
              <w:pStyle w:val="05Tabletext"/>
              <w:jc w:val="center"/>
            </w:pPr>
            <w:r>
              <w:t>0.49 (0.29, 0.82)</w:t>
            </w:r>
          </w:p>
        </w:tc>
        <w:tc>
          <w:tcPr>
            <w:tcW w:w="595" w:type="pct"/>
            <w:tcBorders>
              <w:top w:val="nil"/>
              <w:bottom w:val="nil"/>
            </w:tcBorders>
          </w:tcPr>
          <w:p w:rsidR="00035233" w:rsidRDefault="00035233" w:rsidP="00035233">
            <w:pPr>
              <w:pStyle w:val="05Tabletext"/>
              <w:jc w:val="center"/>
            </w:pPr>
            <w:r>
              <w:t>32/93 (34.4)</w:t>
            </w:r>
          </w:p>
        </w:tc>
        <w:tc>
          <w:tcPr>
            <w:tcW w:w="596" w:type="pct"/>
            <w:tcBorders>
              <w:top w:val="nil"/>
              <w:bottom w:val="nil"/>
            </w:tcBorders>
          </w:tcPr>
          <w:p w:rsidR="00035233" w:rsidRDefault="00035233" w:rsidP="00035233">
            <w:pPr>
              <w:pStyle w:val="05Tabletext"/>
              <w:jc w:val="center"/>
            </w:pPr>
            <w:r>
              <w:t>0.81 (0.56, 1.19)</w:t>
            </w:r>
          </w:p>
        </w:tc>
        <w:tc>
          <w:tcPr>
            <w:tcW w:w="826" w:type="pct"/>
            <w:tcBorders>
              <w:top w:val="nil"/>
              <w:bottom w:val="nil"/>
            </w:tcBorders>
            <w:shd w:val="clear" w:color="auto" w:fill="auto"/>
          </w:tcPr>
          <w:p w:rsidR="00035233" w:rsidRDefault="00035233" w:rsidP="00035233">
            <w:pPr>
              <w:pStyle w:val="05Tabletext"/>
              <w:jc w:val="center"/>
            </w:pPr>
            <w:r>
              <w:t>0.60 (0.33, 1.08)</w:t>
            </w:r>
          </w:p>
        </w:tc>
        <w:tc>
          <w:tcPr>
            <w:tcW w:w="429" w:type="pct"/>
            <w:tcBorders>
              <w:top w:val="nil"/>
              <w:bottom w:val="nil"/>
            </w:tcBorders>
            <w:shd w:val="clear" w:color="auto" w:fill="auto"/>
          </w:tcPr>
          <w:p w:rsidR="00035233" w:rsidRDefault="00035233" w:rsidP="00035233">
            <w:pPr>
              <w:pStyle w:val="05Tabletext"/>
              <w:jc w:val="center"/>
            </w:pPr>
            <w:r>
              <w:t>0.086</w:t>
            </w:r>
          </w:p>
        </w:tc>
      </w:tr>
      <w:tr w:rsidR="00035233" w:rsidRPr="00194011" w:rsidTr="00035233">
        <w:trPr>
          <w:cantSplit/>
        </w:trPr>
        <w:tc>
          <w:tcPr>
            <w:tcW w:w="1363" w:type="pct"/>
            <w:tcBorders>
              <w:top w:val="nil"/>
              <w:bottom w:val="single" w:sz="4" w:space="0" w:color="auto"/>
            </w:tcBorders>
            <w:shd w:val="clear" w:color="auto" w:fill="auto"/>
          </w:tcPr>
          <w:p w:rsidR="00035233" w:rsidRDefault="00035233" w:rsidP="00035233">
            <w:pPr>
              <w:pStyle w:val="05Tabletext"/>
              <w:ind w:left="289"/>
            </w:pPr>
            <w:r>
              <w:t>Without COPD exacerbation history at baseline</w:t>
            </w:r>
          </w:p>
        </w:tc>
        <w:tc>
          <w:tcPr>
            <w:tcW w:w="595" w:type="pct"/>
            <w:tcBorders>
              <w:top w:val="nil"/>
              <w:bottom w:val="single" w:sz="4" w:space="0" w:color="auto"/>
            </w:tcBorders>
          </w:tcPr>
          <w:p w:rsidR="00035233" w:rsidRDefault="00035233" w:rsidP="00035233">
            <w:pPr>
              <w:pStyle w:val="05Tabletext"/>
              <w:jc w:val="center"/>
            </w:pPr>
            <w:r>
              <w:t>32/311 (10.3)</w:t>
            </w:r>
          </w:p>
        </w:tc>
        <w:tc>
          <w:tcPr>
            <w:tcW w:w="596" w:type="pct"/>
            <w:tcBorders>
              <w:top w:val="nil"/>
              <w:bottom w:val="single" w:sz="4" w:space="0" w:color="auto"/>
            </w:tcBorders>
          </w:tcPr>
          <w:p w:rsidR="00035233" w:rsidRDefault="00035233" w:rsidP="00035233">
            <w:pPr>
              <w:pStyle w:val="05Tabletext"/>
              <w:jc w:val="center"/>
            </w:pPr>
            <w:r>
              <w:t>0.23 (0.16, 0.33)</w:t>
            </w:r>
          </w:p>
        </w:tc>
        <w:tc>
          <w:tcPr>
            <w:tcW w:w="595" w:type="pct"/>
            <w:tcBorders>
              <w:top w:val="nil"/>
              <w:bottom w:val="single" w:sz="4" w:space="0" w:color="auto"/>
            </w:tcBorders>
          </w:tcPr>
          <w:p w:rsidR="00035233" w:rsidRDefault="00035233" w:rsidP="00035233">
            <w:pPr>
              <w:pStyle w:val="05Tabletext"/>
              <w:jc w:val="center"/>
            </w:pPr>
            <w:r>
              <w:t>36/276 (13.0)</w:t>
            </w:r>
          </w:p>
        </w:tc>
        <w:tc>
          <w:tcPr>
            <w:tcW w:w="596" w:type="pct"/>
            <w:tcBorders>
              <w:top w:val="nil"/>
              <w:bottom w:val="single" w:sz="4" w:space="0" w:color="auto"/>
            </w:tcBorders>
          </w:tcPr>
          <w:p w:rsidR="00035233" w:rsidRDefault="00035233" w:rsidP="00035233">
            <w:pPr>
              <w:pStyle w:val="05Tabletext"/>
              <w:jc w:val="center"/>
            </w:pPr>
            <w:r>
              <w:t>0.30 (0.21, 0.43)</w:t>
            </w:r>
          </w:p>
        </w:tc>
        <w:tc>
          <w:tcPr>
            <w:tcW w:w="826" w:type="pct"/>
            <w:tcBorders>
              <w:top w:val="nil"/>
              <w:bottom w:val="single" w:sz="4" w:space="0" w:color="auto"/>
            </w:tcBorders>
            <w:shd w:val="clear" w:color="auto" w:fill="auto"/>
          </w:tcPr>
          <w:p w:rsidR="00035233" w:rsidRDefault="00035233" w:rsidP="00035233">
            <w:pPr>
              <w:pStyle w:val="05Tabletext"/>
              <w:jc w:val="center"/>
            </w:pPr>
            <w:r>
              <w:t>0.76 (0.46, 1.24)</w:t>
            </w:r>
          </w:p>
        </w:tc>
        <w:tc>
          <w:tcPr>
            <w:tcW w:w="429" w:type="pct"/>
            <w:tcBorders>
              <w:top w:val="nil"/>
              <w:bottom w:val="single" w:sz="4" w:space="0" w:color="auto"/>
            </w:tcBorders>
            <w:shd w:val="clear" w:color="auto" w:fill="auto"/>
          </w:tcPr>
          <w:p w:rsidR="00035233" w:rsidRDefault="00035233" w:rsidP="00035233">
            <w:pPr>
              <w:pStyle w:val="05Tabletext"/>
              <w:jc w:val="center"/>
            </w:pPr>
            <w:r>
              <w:t>0.266</w:t>
            </w:r>
          </w:p>
        </w:tc>
      </w:tr>
      <w:tr w:rsidR="00035233" w:rsidRPr="00194011" w:rsidTr="00035233">
        <w:trPr>
          <w:cantSplit/>
        </w:trPr>
        <w:tc>
          <w:tcPr>
            <w:tcW w:w="1363" w:type="pct"/>
            <w:tcBorders>
              <w:bottom w:val="nil"/>
            </w:tcBorders>
            <w:shd w:val="clear" w:color="auto" w:fill="auto"/>
          </w:tcPr>
          <w:p w:rsidR="00035233" w:rsidRDefault="00035233" w:rsidP="00035233">
            <w:pPr>
              <w:pStyle w:val="05Tabletext"/>
            </w:pPr>
            <w:r>
              <w:t xml:space="preserve">Annualised rate of severe COPD </w:t>
            </w:r>
          </w:p>
        </w:tc>
        <w:tc>
          <w:tcPr>
            <w:tcW w:w="595" w:type="pct"/>
            <w:tcBorders>
              <w:bottom w:val="nil"/>
            </w:tcBorders>
          </w:tcPr>
          <w:p w:rsidR="00035233" w:rsidRDefault="00035233" w:rsidP="00035233">
            <w:pPr>
              <w:pStyle w:val="05Tabletext"/>
              <w:jc w:val="center"/>
            </w:pPr>
            <w:r>
              <w:t>-</w:t>
            </w:r>
          </w:p>
        </w:tc>
        <w:tc>
          <w:tcPr>
            <w:tcW w:w="596" w:type="pct"/>
            <w:tcBorders>
              <w:bottom w:val="nil"/>
            </w:tcBorders>
          </w:tcPr>
          <w:p w:rsidR="00035233" w:rsidRDefault="00035233" w:rsidP="00035233">
            <w:pPr>
              <w:pStyle w:val="05Tabletext"/>
              <w:jc w:val="center"/>
            </w:pPr>
            <w:r>
              <w:t>-</w:t>
            </w:r>
          </w:p>
        </w:tc>
        <w:tc>
          <w:tcPr>
            <w:tcW w:w="595" w:type="pct"/>
            <w:tcBorders>
              <w:bottom w:val="nil"/>
            </w:tcBorders>
          </w:tcPr>
          <w:p w:rsidR="00035233" w:rsidRDefault="00035233" w:rsidP="00035233">
            <w:pPr>
              <w:pStyle w:val="05Tabletext"/>
              <w:jc w:val="center"/>
            </w:pPr>
            <w:r>
              <w:t>-</w:t>
            </w:r>
          </w:p>
        </w:tc>
        <w:tc>
          <w:tcPr>
            <w:tcW w:w="596" w:type="pct"/>
            <w:tcBorders>
              <w:bottom w:val="nil"/>
            </w:tcBorders>
          </w:tcPr>
          <w:p w:rsidR="00035233" w:rsidRDefault="00035233" w:rsidP="00035233">
            <w:pPr>
              <w:pStyle w:val="05Tabletext"/>
              <w:jc w:val="center"/>
            </w:pPr>
            <w:r>
              <w:t>-</w:t>
            </w:r>
          </w:p>
        </w:tc>
        <w:tc>
          <w:tcPr>
            <w:tcW w:w="826" w:type="pct"/>
            <w:tcBorders>
              <w:bottom w:val="nil"/>
            </w:tcBorders>
            <w:shd w:val="clear" w:color="auto" w:fill="auto"/>
          </w:tcPr>
          <w:p w:rsidR="00035233" w:rsidRDefault="00035233" w:rsidP="00035233">
            <w:pPr>
              <w:pStyle w:val="05Tabletext"/>
              <w:jc w:val="center"/>
            </w:pPr>
            <w:r>
              <w:t>-</w:t>
            </w:r>
          </w:p>
        </w:tc>
        <w:tc>
          <w:tcPr>
            <w:tcW w:w="429" w:type="pct"/>
            <w:tcBorders>
              <w:bottom w:val="nil"/>
            </w:tcBorders>
            <w:shd w:val="clear" w:color="auto" w:fill="auto"/>
          </w:tcPr>
          <w:p w:rsidR="00035233" w:rsidRDefault="00035233" w:rsidP="00035233">
            <w:pPr>
              <w:pStyle w:val="05Tabletext"/>
              <w:jc w:val="center"/>
            </w:pPr>
            <w:r>
              <w:t>-</w:t>
            </w:r>
          </w:p>
        </w:tc>
      </w:tr>
      <w:tr w:rsidR="00035233" w:rsidRPr="00194011" w:rsidTr="00035233">
        <w:trPr>
          <w:cantSplit/>
        </w:trPr>
        <w:tc>
          <w:tcPr>
            <w:tcW w:w="1363" w:type="pct"/>
            <w:tcBorders>
              <w:top w:val="nil"/>
              <w:bottom w:val="nil"/>
            </w:tcBorders>
            <w:shd w:val="clear" w:color="auto" w:fill="auto"/>
          </w:tcPr>
          <w:p w:rsidR="00035233" w:rsidRDefault="00035233" w:rsidP="00035233">
            <w:pPr>
              <w:pStyle w:val="05Tabletext"/>
              <w:ind w:firstLine="232"/>
            </w:pPr>
            <w:r>
              <w:t>Overall</w:t>
            </w:r>
          </w:p>
        </w:tc>
        <w:tc>
          <w:tcPr>
            <w:tcW w:w="595" w:type="pct"/>
            <w:tcBorders>
              <w:top w:val="nil"/>
              <w:bottom w:val="nil"/>
            </w:tcBorders>
          </w:tcPr>
          <w:p w:rsidR="00035233" w:rsidRDefault="00035233" w:rsidP="00035233">
            <w:pPr>
              <w:pStyle w:val="05Tabletext"/>
              <w:jc w:val="center"/>
            </w:pPr>
            <w:r>
              <w:t xml:space="preserve">372 </w:t>
            </w:r>
          </w:p>
        </w:tc>
        <w:tc>
          <w:tcPr>
            <w:tcW w:w="596" w:type="pct"/>
            <w:tcBorders>
              <w:top w:val="nil"/>
              <w:bottom w:val="nil"/>
            </w:tcBorders>
          </w:tcPr>
          <w:p w:rsidR="00035233" w:rsidRDefault="00035233" w:rsidP="00035233">
            <w:pPr>
              <w:pStyle w:val="05Tabletext"/>
              <w:jc w:val="center"/>
            </w:pPr>
            <w:r>
              <w:t>-</w:t>
            </w:r>
          </w:p>
        </w:tc>
        <w:tc>
          <w:tcPr>
            <w:tcW w:w="595" w:type="pct"/>
            <w:tcBorders>
              <w:top w:val="nil"/>
              <w:bottom w:val="nil"/>
            </w:tcBorders>
          </w:tcPr>
          <w:p w:rsidR="00035233" w:rsidRDefault="00035233" w:rsidP="00035233">
            <w:pPr>
              <w:pStyle w:val="05Tabletext"/>
              <w:jc w:val="center"/>
            </w:pPr>
            <w:r>
              <w:t>369</w:t>
            </w:r>
          </w:p>
        </w:tc>
        <w:tc>
          <w:tcPr>
            <w:tcW w:w="596" w:type="pct"/>
            <w:tcBorders>
              <w:top w:val="nil"/>
              <w:bottom w:val="nil"/>
            </w:tcBorders>
          </w:tcPr>
          <w:p w:rsidR="00035233" w:rsidRDefault="00035233" w:rsidP="00035233">
            <w:pPr>
              <w:pStyle w:val="05Tabletext"/>
              <w:jc w:val="center"/>
            </w:pPr>
            <w:r>
              <w:t>-</w:t>
            </w:r>
          </w:p>
        </w:tc>
        <w:tc>
          <w:tcPr>
            <w:tcW w:w="826" w:type="pct"/>
            <w:tcBorders>
              <w:top w:val="nil"/>
              <w:bottom w:val="nil"/>
            </w:tcBorders>
            <w:shd w:val="clear" w:color="auto" w:fill="auto"/>
          </w:tcPr>
          <w:p w:rsidR="00035233" w:rsidRDefault="00035233" w:rsidP="00035233">
            <w:pPr>
              <w:pStyle w:val="05Tabletext"/>
              <w:jc w:val="center"/>
            </w:pPr>
            <w:r>
              <w:t>0.31 (0.11, 0.85)</w:t>
            </w:r>
          </w:p>
        </w:tc>
        <w:tc>
          <w:tcPr>
            <w:tcW w:w="429" w:type="pct"/>
            <w:tcBorders>
              <w:top w:val="nil"/>
              <w:bottom w:val="nil"/>
            </w:tcBorders>
            <w:shd w:val="clear" w:color="auto" w:fill="auto"/>
          </w:tcPr>
          <w:p w:rsidR="00035233" w:rsidRDefault="00035233" w:rsidP="00035233">
            <w:pPr>
              <w:pStyle w:val="05Tabletext"/>
              <w:jc w:val="center"/>
            </w:pPr>
            <w:r>
              <w:t>&lt;0.05</w:t>
            </w:r>
          </w:p>
        </w:tc>
      </w:tr>
      <w:tr w:rsidR="00035233" w:rsidRPr="00194011" w:rsidTr="00035233">
        <w:trPr>
          <w:cantSplit/>
        </w:trPr>
        <w:tc>
          <w:tcPr>
            <w:tcW w:w="1363" w:type="pct"/>
            <w:tcBorders>
              <w:top w:val="nil"/>
              <w:bottom w:val="nil"/>
            </w:tcBorders>
            <w:shd w:val="clear" w:color="auto" w:fill="auto"/>
          </w:tcPr>
          <w:p w:rsidR="00035233" w:rsidRDefault="00035233" w:rsidP="00035233">
            <w:pPr>
              <w:pStyle w:val="05Tabletext"/>
              <w:ind w:firstLine="232"/>
            </w:pPr>
            <w:r>
              <w:t>With COPD exacerbation history at baseline</w:t>
            </w:r>
          </w:p>
        </w:tc>
        <w:tc>
          <w:tcPr>
            <w:tcW w:w="595" w:type="pct"/>
            <w:tcBorders>
              <w:top w:val="nil"/>
              <w:bottom w:val="nil"/>
            </w:tcBorders>
          </w:tcPr>
          <w:p w:rsidR="00035233" w:rsidRDefault="00035233" w:rsidP="00035233">
            <w:pPr>
              <w:pStyle w:val="05Tabletext"/>
              <w:jc w:val="center"/>
            </w:pPr>
            <w:r>
              <w:t>0/61 (0)</w:t>
            </w:r>
          </w:p>
        </w:tc>
        <w:tc>
          <w:tcPr>
            <w:tcW w:w="596" w:type="pct"/>
            <w:tcBorders>
              <w:top w:val="nil"/>
              <w:bottom w:val="nil"/>
            </w:tcBorders>
          </w:tcPr>
          <w:p w:rsidR="00035233" w:rsidRDefault="00035233" w:rsidP="00035233">
            <w:pPr>
              <w:pStyle w:val="05Tabletext"/>
              <w:jc w:val="center"/>
            </w:pPr>
            <w:r>
              <w:t>-</w:t>
            </w:r>
          </w:p>
        </w:tc>
        <w:tc>
          <w:tcPr>
            <w:tcW w:w="595" w:type="pct"/>
            <w:tcBorders>
              <w:top w:val="nil"/>
              <w:bottom w:val="nil"/>
            </w:tcBorders>
          </w:tcPr>
          <w:p w:rsidR="00035233" w:rsidRDefault="00035233" w:rsidP="00035233">
            <w:pPr>
              <w:pStyle w:val="05Tabletext"/>
              <w:jc w:val="center"/>
            </w:pPr>
            <w:r>
              <w:t>7/93 (7.5)</w:t>
            </w:r>
          </w:p>
        </w:tc>
        <w:tc>
          <w:tcPr>
            <w:tcW w:w="596" w:type="pct"/>
            <w:tcBorders>
              <w:top w:val="nil"/>
              <w:bottom w:val="nil"/>
            </w:tcBorders>
          </w:tcPr>
          <w:p w:rsidR="00035233" w:rsidRDefault="00035233" w:rsidP="00035233">
            <w:pPr>
              <w:pStyle w:val="05Tabletext"/>
              <w:jc w:val="center"/>
            </w:pPr>
            <w:r>
              <w:t>-</w:t>
            </w:r>
          </w:p>
        </w:tc>
        <w:tc>
          <w:tcPr>
            <w:tcW w:w="826" w:type="pct"/>
            <w:tcBorders>
              <w:top w:val="nil"/>
              <w:bottom w:val="nil"/>
            </w:tcBorders>
            <w:shd w:val="clear" w:color="auto" w:fill="auto"/>
          </w:tcPr>
          <w:p w:rsidR="00035233" w:rsidRDefault="00035233" w:rsidP="00035233">
            <w:pPr>
              <w:pStyle w:val="05Tabletext"/>
              <w:jc w:val="center"/>
            </w:pPr>
            <w:r>
              <w:t>-</w:t>
            </w:r>
          </w:p>
        </w:tc>
        <w:tc>
          <w:tcPr>
            <w:tcW w:w="429" w:type="pct"/>
            <w:tcBorders>
              <w:top w:val="nil"/>
              <w:bottom w:val="nil"/>
            </w:tcBorders>
            <w:shd w:val="clear" w:color="auto" w:fill="auto"/>
          </w:tcPr>
          <w:p w:rsidR="00035233" w:rsidRDefault="00035233" w:rsidP="00035233">
            <w:pPr>
              <w:pStyle w:val="05Tabletext"/>
              <w:jc w:val="center"/>
            </w:pPr>
            <w:r>
              <w:t>-</w:t>
            </w:r>
          </w:p>
        </w:tc>
      </w:tr>
      <w:tr w:rsidR="00035233" w:rsidRPr="00194011" w:rsidTr="00035233">
        <w:trPr>
          <w:cantSplit/>
        </w:trPr>
        <w:tc>
          <w:tcPr>
            <w:tcW w:w="1363" w:type="pct"/>
            <w:tcBorders>
              <w:top w:val="nil"/>
            </w:tcBorders>
            <w:shd w:val="clear" w:color="auto" w:fill="auto"/>
          </w:tcPr>
          <w:p w:rsidR="00035233" w:rsidRDefault="00035233" w:rsidP="00035233">
            <w:pPr>
              <w:pStyle w:val="05Tabletext"/>
              <w:ind w:firstLine="232"/>
            </w:pPr>
            <w:r>
              <w:t>Without COPD exacerbation history at baseline</w:t>
            </w:r>
          </w:p>
        </w:tc>
        <w:tc>
          <w:tcPr>
            <w:tcW w:w="595" w:type="pct"/>
            <w:tcBorders>
              <w:top w:val="nil"/>
            </w:tcBorders>
          </w:tcPr>
          <w:p w:rsidR="00035233" w:rsidRDefault="00035233" w:rsidP="00035233">
            <w:pPr>
              <w:pStyle w:val="05Tabletext"/>
              <w:jc w:val="center"/>
            </w:pPr>
            <w:r>
              <w:t>6/311 (1.9)</w:t>
            </w:r>
          </w:p>
        </w:tc>
        <w:tc>
          <w:tcPr>
            <w:tcW w:w="596" w:type="pct"/>
            <w:tcBorders>
              <w:top w:val="nil"/>
            </w:tcBorders>
          </w:tcPr>
          <w:p w:rsidR="00035233" w:rsidRDefault="00035233" w:rsidP="00035233">
            <w:pPr>
              <w:pStyle w:val="05Tabletext"/>
              <w:jc w:val="center"/>
            </w:pPr>
            <w:r>
              <w:t>-</w:t>
            </w:r>
          </w:p>
        </w:tc>
        <w:tc>
          <w:tcPr>
            <w:tcW w:w="595" w:type="pct"/>
            <w:tcBorders>
              <w:top w:val="nil"/>
            </w:tcBorders>
          </w:tcPr>
          <w:p w:rsidR="00035233" w:rsidRDefault="00035233" w:rsidP="00035233">
            <w:pPr>
              <w:pStyle w:val="05Tabletext"/>
              <w:jc w:val="center"/>
            </w:pPr>
            <w:r>
              <w:t>9/276 (3.3)</w:t>
            </w:r>
          </w:p>
        </w:tc>
        <w:tc>
          <w:tcPr>
            <w:tcW w:w="596" w:type="pct"/>
            <w:tcBorders>
              <w:top w:val="nil"/>
            </w:tcBorders>
          </w:tcPr>
          <w:p w:rsidR="00035233" w:rsidRDefault="00035233" w:rsidP="00035233">
            <w:pPr>
              <w:pStyle w:val="05Tabletext"/>
              <w:jc w:val="center"/>
            </w:pPr>
            <w:r>
              <w:t>-</w:t>
            </w:r>
          </w:p>
        </w:tc>
        <w:tc>
          <w:tcPr>
            <w:tcW w:w="826" w:type="pct"/>
            <w:tcBorders>
              <w:top w:val="nil"/>
            </w:tcBorders>
            <w:shd w:val="clear" w:color="auto" w:fill="auto"/>
          </w:tcPr>
          <w:p w:rsidR="00035233" w:rsidRDefault="00035233" w:rsidP="00035233">
            <w:pPr>
              <w:pStyle w:val="05Tabletext"/>
              <w:jc w:val="center"/>
            </w:pPr>
            <w:r>
              <w:t>-</w:t>
            </w:r>
          </w:p>
        </w:tc>
        <w:tc>
          <w:tcPr>
            <w:tcW w:w="429" w:type="pct"/>
            <w:tcBorders>
              <w:top w:val="nil"/>
            </w:tcBorders>
            <w:shd w:val="clear" w:color="auto" w:fill="auto"/>
          </w:tcPr>
          <w:p w:rsidR="00035233" w:rsidRDefault="00035233" w:rsidP="00035233">
            <w:pPr>
              <w:pStyle w:val="05Tabletext"/>
              <w:jc w:val="center"/>
            </w:pPr>
            <w:r>
              <w:t>-</w:t>
            </w:r>
          </w:p>
        </w:tc>
      </w:tr>
      <w:tr w:rsidR="00035233" w:rsidRPr="00194011" w:rsidTr="00035233">
        <w:trPr>
          <w:cantSplit/>
        </w:trPr>
        <w:tc>
          <w:tcPr>
            <w:tcW w:w="1363" w:type="pct"/>
            <w:shd w:val="clear" w:color="auto" w:fill="000000"/>
          </w:tcPr>
          <w:p w:rsidR="00035233" w:rsidRDefault="00035233" w:rsidP="00035233">
            <w:pPr>
              <w:pStyle w:val="04Tablesubheading"/>
            </w:pPr>
          </w:p>
        </w:tc>
        <w:tc>
          <w:tcPr>
            <w:tcW w:w="595" w:type="pct"/>
            <w:shd w:val="clear" w:color="auto" w:fill="000000"/>
          </w:tcPr>
          <w:p w:rsidR="00035233" w:rsidRDefault="00035233" w:rsidP="00035233">
            <w:pPr>
              <w:pStyle w:val="04Tablesubheading"/>
              <w:jc w:val="center"/>
            </w:pPr>
            <w:r>
              <w:t>N</w:t>
            </w:r>
          </w:p>
        </w:tc>
        <w:tc>
          <w:tcPr>
            <w:tcW w:w="596" w:type="pct"/>
            <w:shd w:val="clear" w:color="auto" w:fill="000000"/>
          </w:tcPr>
          <w:p w:rsidR="00035233" w:rsidRPr="004F753D" w:rsidRDefault="00035233" w:rsidP="00035233">
            <w:pPr>
              <w:pStyle w:val="04Tablesubheading"/>
              <w:jc w:val="center"/>
              <w:rPr>
                <w:b w:val="0"/>
              </w:rPr>
            </w:pPr>
            <w:r w:rsidRPr="004F753D">
              <w:rPr>
                <w:b w:val="0"/>
              </w:rPr>
              <w:t>-</w:t>
            </w:r>
          </w:p>
        </w:tc>
        <w:tc>
          <w:tcPr>
            <w:tcW w:w="595" w:type="pct"/>
            <w:shd w:val="clear" w:color="auto" w:fill="000000"/>
          </w:tcPr>
          <w:p w:rsidR="00035233" w:rsidRDefault="00035233" w:rsidP="00035233">
            <w:pPr>
              <w:pStyle w:val="04Tablesubheading"/>
              <w:jc w:val="center"/>
            </w:pPr>
            <w:r>
              <w:t>N</w:t>
            </w:r>
          </w:p>
        </w:tc>
        <w:tc>
          <w:tcPr>
            <w:tcW w:w="596" w:type="pct"/>
            <w:shd w:val="clear" w:color="auto" w:fill="000000"/>
          </w:tcPr>
          <w:p w:rsidR="00035233" w:rsidRPr="004F753D" w:rsidRDefault="00035233" w:rsidP="00035233">
            <w:pPr>
              <w:pStyle w:val="04Tablesubheading"/>
              <w:jc w:val="center"/>
              <w:rPr>
                <w:b w:val="0"/>
              </w:rPr>
            </w:pPr>
            <w:r w:rsidRPr="004F753D">
              <w:rPr>
                <w:b w:val="0"/>
              </w:rPr>
              <w:t>-</w:t>
            </w:r>
          </w:p>
        </w:tc>
        <w:tc>
          <w:tcPr>
            <w:tcW w:w="826" w:type="pct"/>
            <w:shd w:val="clear" w:color="auto" w:fill="000000"/>
          </w:tcPr>
          <w:p w:rsidR="00035233" w:rsidRDefault="00035233" w:rsidP="00035233">
            <w:pPr>
              <w:pStyle w:val="04Tablesubheading"/>
              <w:jc w:val="center"/>
            </w:pPr>
            <w:r>
              <w:t>Hazard ratio (95% CI)</w:t>
            </w:r>
          </w:p>
        </w:tc>
        <w:tc>
          <w:tcPr>
            <w:tcW w:w="429" w:type="pct"/>
            <w:shd w:val="clear" w:color="auto" w:fill="000000"/>
          </w:tcPr>
          <w:p w:rsidR="00035233" w:rsidRDefault="00035233" w:rsidP="00035233">
            <w:pPr>
              <w:pStyle w:val="04Tablesubheading"/>
            </w:pPr>
          </w:p>
        </w:tc>
      </w:tr>
      <w:tr w:rsidR="00035233" w:rsidRPr="00194011" w:rsidTr="00035233">
        <w:trPr>
          <w:cantSplit/>
        </w:trPr>
        <w:tc>
          <w:tcPr>
            <w:tcW w:w="1363" w:type="pct"/>
            <w:shd w:val="clear" w:color="auto" w:fill="auto"/>
          </w:tcPr>
          <w:p w:rsidR="00035233" w:rsidRDefault="00035233" w:rsidP="00035233">
            <w:pPr>
              <w:pStyle w:val="05Tabletext"/>
            </w:pPr>
            <w:r>
              <w:t>Time to first moderate or severe exacerbation</w:t>
            </w:r>
          </w:p>
        </w:tc>
        <w:tc>
          <w:tcPr>
            <w:tcW w:w="595" w:type="pct"/>
          </w:tcPr>
          <w:p w:rsidR="00035233" w:rsidRDefault="00035233" w:rsidP="00035233">
            <w:pPr>
              <w:pStyle w:val="05Tabletext"/>
              <w:jc w:val="center"/>
            </w:pPr>
            <w:r>
              <w:t>372</w:t>
            </w:r>
          </w:p>
        </w:tc>
        <w:tc>
          <w:tcPr>
            <w:tcW w:w="596" w:type="pct"/>
          </w:tcPr>
          <w:p w:rsidR="00035233" w:rsidRDefault="00035233" w:rsidP="00035233">
            <w:pPr>
              <w:pStyle w:val="05Tabletext"/>
              <w:jc w:val="center"/>
            </w:pPr>
            <w:r>
              <w:t>-</w:t>
            </w:r>
          </w:p>
        </w:tc>
        <w:tc>
          <w:tcPr>
            <w:tcW w:w="595" w:type="pct"/>
          </w:tcPr>
          <w:p w:rsidR="00035233" w:rsidRDefault="00035233" w:rsidP="00035233">
            <w:pPr>
              <w:pStyle w:val="05Tabletext"/>
              <w:jc w:val="center"/>
            </w:pPr>
            <w:r>
              <w:t>369</w:t>
            </w:r>
          </w:p>
        </w:tc>
        <w:tc>
          <w:tcPr>
            <w:tcW w:w="596" w:type="pct"/>
          </w:tcPr>
          <w:p w:rsidR="00035233" w:rsidRDefault="00035233" w:rsidP="00035233">
            <w:pPr>
              <w:pStyle w:val="05Tabletext"/>
              <w:jc w:val="center"/>
            </w:pPr>
            <w:r>
              <w:t>-</w:t>
            </w:r>
          </w:p>
        </w:tc>
        <w:tc>
          <w:tcPr>
            <w:tcW w:w="826" w:type="pct"/>
            <w:shd w:val="clear" w:color="auto" w:fill="auto"/>
          </w:tcPr>
          <w:p w:rsidR="00035233" w:rsidRPr="00464F6D" w:rsidRDefault="00035233" w:rsidP="00035233">
            <w:pPr>
              <w:pStyle w:val="05Tabletext"/>
              <w:jc w:val="center"/>
            </w:pPr>
            <w:r>
              <w:t>0.65 (0.44, 0.95)</w:t>
            </w:r>
          </w:p>
        </w:tc>
        <w:tc>
          <w:tcPr>
            <w:tcW w:w="429" w:type="pct"/>
            <w:shd w:val="clear" w:color="auto" w:fill="auto"/>
          </w:tcPr>
          <w:p w:rsidR="00035233" w:rsidRPr="00464F6D" w:rsidRDefault="00035233" w:rsidP="00035233">
            <w:pPr>
              <w:pStyle w:val="05Tabletext"/>
              <w:jc w:val="center"/>
            </w:pPr>
            <w:r>
              <w:t>0.028</w:t>
            </w:r>
          </w:p>
        </w:tc>
      </w:tr>
      <w:tr w:rsidR="00035233" w:rsidRPr="00194011" w:rsidTr="00035233">
        <w:trPr>
          <w:cantSplit/>
        </w:trPr>
        <w:tc>
          <w:tcPr>
            <w:tcW w:w="1363" w:type="pct"/>
            <w:shd w:val="clear" w:color="auto" w:fill="auto"/>
          </w:tcPr>
          <w:p w:rsidR="00035233" w:rsidRDefault="00035233" w:rsidP="00035233">
            <w:pPr>
              <w:pStyle w:val="05Tabletext"/>
            </w:pPr>
            <w:r>
              <w:t>Time to first severe exacerbation</w:t>
            </w:r>
          </w:p>
        </w:tc>
        <w:tc>
          <w:tcPr>
            <w:tcW w:w="595" w:type="pct"/>
          </w:tcPr>
          <w:p w:rsidR="00035233" w:rsidRDefault="00035233" w:rsidP="00035233">
            <w:pPr>
              <w:pStyle w:val="05Tabletext"/>
              <w:jc w:val="center"/>
            </w:pPr>
            <w:r>
              <w:t>372</w:t>
            </w:r>
          </w:p>
        </w:tc>
        <w:tc>
          <w:tcPr>
            <w:tcW w:w="596" w:type="pct"/>
          </w:tcPr>
          <w:p w:rsidR="00035233" w:rsidRDefault="00035233" w:rsidP="00035233">
            <w:pPr>
              <w:pStyle w:val="05Tabletext"/>
              <w:jc w:val="center"/>
            </w:pPr>
            <w:r>
              <w:t>-</w:t>
            </w:r>
          </w:p>
        </w:tc>
        <w:tc>
          <w:tcPr>
            <w:tcW w:w="595" w:type="pct"/>
          </w:tcPr>
          <w:p w:rsidR="00035233" w:rsidRDefault="00035233" w:rsidP="00035233">
            <w:pPr>
              <w:pStyle w:val="05Tabletext"/>
              <w:jc w:val="center"/>
            </w:pPr>
            <w:r>
              <w:t>369</w:t>
            </w:r>
          </w:p>
        </w:tc>
        <w:tc>
          <w:tcPr>
            <w:tcW w:w="596" w:type="pct"/>
          </w:tcPr>
          <w:p w:rsidR="00035233" w:rsidRDefault="00035233" w:rsidP="00035233">
            <w:pPr>
              <w:pStyle w:val="05Tabletext"/>
              <w:jc w:val="center"/>
            </w:pPr>
            <w:r>
              <w:t>-</w:t>
            </w:r>
          </w:p>
        </w:tc>
        <w:tc>
          <w:tcPr>
            <w:tcW w:w="826" w:type="pct"/>
            <w:shd w:val="clear" w:color="auto" w:fill="auto"/>
          </w:tcPr>
          <w:p w:rsidR="00035233" w:rsidRDefault="00035233" w:rsidP="00035233">
            <w:pPr>
              <w:pStyle w:val="05Tabletext"/>
              <w:jc w:val="center"/>
            </w:pPr>
            <w:r>
              <w:t>0.32 (0.12, 0.88)</w:t>
            </w:r>
          </w:p>
        </w:tc>
        <w:tc>
          <w:tcPr>
            <w:tcW w:w="429" w:type="pct"/>
            <w:shd w:val="clear" w:color="auto" w:fill="auto"/>
          </w:tcPr>
          <w:p w:rsidR="00035233" w:rsidRDefault="00035233" w:rsidP="00035233">
            <w:pPr>
              <w:pStyle w:val="05Tabletext"/>
              <w:jc w:val="center"/>
            </w:pPr>
            <w:r>
              <w:t>0.027</w:t>
            </w:r>
          </w:p>
        </w:tc>
      </w:tr>
    </w:tbl>
    <w:p w:rsidR="00035233" w:rsidRDefault="00035233" w:rsidP="00035233">
      <w:pPr>
        <w:pStyle w:val="10TableorFigurefootnote"/>
      </w:pPr>
      <w:r>
        <w:t>Source: Zhong et al (2015), Table 3 and Figure 5; Table S6, Figure S1 and Figure S3 (Supplementary material).</w:t>
      </w:r>
    </w:p>
    <w:p w:rsidR="00035233" w:rsidRDefault="00035233" w:rsidP="00035233">
      <w:pPr>
        <w:pStyle w:val="10TableorFigurefootnote"/>
      </w:pPr>
      <w:r>
        <w:t xml:space="preserve">Note: Rate ratio, its 95% CI, and </w:t>
      </w:r>
      <w:r w:rsidR="005577A2">
        <w:t>p</w:t>
      </w:r>
      <w:r>
        <w:t>-value are from a negative binomial regression model: log (exacerbation rate) = treatment + smoking status + baseline ICS use (yes/no) + baseline total symptom score + FEV</w:t>
      </w:r>
      <w:r w:rsidRPr="00EF2895">
        <w:rPr>
          <w:vertAlign w:val="subscript"/>
        </w:rPr>
        <w:t>1</w:t>
      </w:r>
      <w:r>
        <w:t xml:space="preserve"> reversibility components + region. Log (length of time in the study) is included in the model as an offset term.</w:t>
      </w:r>
    </w:p>
    <w:p w:rsidR="00035233" w:rsidRDefault="00035233" w:rsidP="00035233">
      <w:pPr>
        <w:pStyle w:val="11TableorFigurefootnotenostick"/>
      </w:pPr>
      <w:r>
        <w:t>Abbreviations: CI, confidence interval; COPD, chronic obstructive pulmonary disease; FLU, fluticasone</w:t>
      </w:r>
      <w:r w:rsidR="00843254">
        <w:t xml:space="preserve"> propionate</w:t>
      </w:r>
      <w:r>
        <w:t>; GLY, glycopyrronium; HR, hazard ratio; IND, indacaterol; SAL, salmeterol.</w:t>
      </w:r>
    </w:p>
    <w:p w:rsidR="00035233" w:rsidRDefault="00035233" w:rsidP="00035233">
      <w:pPr>
        <w:pStyle w:val="BodyText"/>
      </w:pPr>
    </w:p>
    <w:p w:rsidR="00035233" w:rsidRDefault="00035233" w:rsidP="00035233">
      <w:pPr>
        <w:pStyle w:val="BodyText"/>
        <w:sectPr w:rsidR="00035233" w:rsidSect="00270A37">
          <w:footerReference w:type="default" r:id="rId43"/>
          <w:pgSz w:w="16838" w:h="11906" w:orient="landscape"/>
          <w:pgMar w:top="1134" w:right="1134" w:bottom="1134" w:left="1134" w:header="709" w:footer="709" w:gutter="0"/>
          <w:cols w:space="708"/>
          <w:docGrid w:linePitch="360"/>
        </w:sectPr>
      </w:pPr>
    </w:p>
    <w:p w:rsidR="00035233" w:rsidRPr="00F708D1" w:rsidRDefault="00E75CD2" w:rsidP="00E319BB">
      <w:pPr>
        <w:pStyle w:val="ToR3Tableheader"/>
        <w:rPr>
          <w:vertAlign w:val="superscript"/>
        </w:rPr>
      </w:pPr>
      <w:bookmarkStart w:id="408" w:name="_Toc468006299"/>
      <w:bookmarkStart w:id="409" w:name="_Toc468012344"/>
      <w:bookmarkStart w:id="410" w:name="_Toc468034500"/>
      <w:bookmarkStart w:id="411" w:name="_Toc471891050"/>
      <w:bookmarkStart w:id="412" w:name="_Toc486428238"/>
      <w:r>
        <w:lastRenderedPageBreak/>
        <w:t>Table 3.</w:t>
      </w:r>
      <w:r w:rsidR="00527F72">
        <w:t>5</w:t>
      </w:r>
      <w:r w:rsidR="00967B39">
        <w:t>9</w:t>
      </w:r>
      <w:r w:rsidR="00035233">
        <w:tab/>
        <w:t>Results for safety outcomes relating to GLY/IND vs FLU/SAL – Safety set</w:t>
      </w:r>
      <w:r w:rsidR="00035233">
        <w:rPr>
          <w:vertAlign w:val="superscript"/>
        </w:rPr>
        <w:t>a</w:t>
      </w:r>
      <w:bookmarkEnd w:id="408"/>
      <w:bookmarkEnd w:id="409"/>
      <w:bookmarkEnd w:id="410"/>
      <w:bookmarkEnd w:id="411"/>
      <w:bookmarkEnd w:id="4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Caption w:val="Safety outcomes"/>
        <w:tblDescription w:val="GLY/IND vs FLU/SAL"/>
      </w:tblPr>
      <w:tblGrid>
        <w:gridCol w:w="3974"/>
        <w:gridCol w:w="2976"/>
        <w:gridCol w:w="2698"/>
      </w:tblGrid>
      <w:tr w:rsidR="00035233" w:rsidRPr="00194011" w:rsidTr="00035233">
        <w:trPr>
          <w:cantSplit/>
          <w:tblHeader/>
        </w:trPr>
        <w:tc>
          <w:tcPr>
            <w:tcW w:w="2059" w:type="pct"/>
            <w:tcBorders>
              <w:bottom w:val="single" w:sz="4" w:space="0" w:color="auto"/>
            </w:tcBorders>
            <w:shd w:val="clear" w:color="auto" w:fill="BFBFBF"/>
          </w:tcPr>
          <w:p w:rsidR="00035233" w:rsidRPr="00194011" w:rsidRDefault="00035233" w:rsidP="00E319BB">
            <w:pPr>
              <w:pStyle w:val="02TableHEADINGcentred"/>
              <w:rPr>
                <w:i/>
              </w:rPr>
            </w:pPr>
            <w:r>
              <w:t>Safety outcome</w:t>
            </w:r>
          </w:p>
        </w:tc>
        <w:tc>
          <w:tcPr>
            <w:tcW w:w="1542" w:type="pct"/>
            <w:tcBorders>
              <w:bottom w:val="single" w:sz="4" w:space="0" w:color="auto"/>
            </w:tcBorders>
            <w:shd w:val="clear" w:color="auto" w:fill="BFBFBF"/>
          </w:tcPr>
          <w:p w:rsidR="00035233" w:rsidRPr="00194011" w:rsidRDefault="00035233" w:rsidP="00E319BB">
            <w:pPr>
              <w:pStyle w:val="02TableHEADINGcentred"/>
            </w:pPr>
            <w:r>
              <w:t>GLY/IND (N=372)</w:t>
            </w:r>
          </w:p>
        </w:tc>
        <w:tc>
          <w:tcPr>
            <w:tcW w:w="1398" w:type="pct"/>
            <w:tcBorders>
              <w:bottom w:val="single" w:sz="4" w:space="0" w:color="auto"/>
            </w:tcBorders>
            <w:shd w:val="clear" w:color="auto" w:fill="BFBFBF"/>
          </w:tcPr>
          <w:p w:rsidR="00035233" w:rsidRDefault="00035233" w:rsidP="00E319BB">
            <w:pPr>
              <w:pStyle w:val="02TableHEADINGcentred"/>
            </w:pPr>
            <w:r>
              <w:t>FLU/SAL (N=369)</w:t>
            </w:r>
          </w:p>
        </w:tc>
      </w:tr>
      <w:tr w:rsidR="00035233" w:rsidRPr="00194011" w:rsidTr="00035233">
        <w:trPr>
          <w:cantSplit/>
        </w:trPr>
        <w:tc>
          <w:tcPr>
            <w:tcW w:w="2059" w:type="pct"/>
            <w:tcBorders>
              <w:bottom w:val="nil"/>
            </w:tcBorders>
            <w:shd w:val="clear" w:color="auto" w:fill="auto"/>
          </w:tcPr>
          <w:p w:rsidR="00035233" w:rsidRPr="00194011" w:rsidRDefault="00035233" w:rsidP="00035233">
            <w:pPr>
              <w:pStyle w:val="05Tabletext"/>
            </w:pPr>
            <w:r>
              <w:t>Any AE, n (%)</w:t>
            </w:r>
          </w:p>
        </w:tc>
        <w:tc>
          <w:tcPr>
            <w:tcW w:w="1542" w:type="pct"/>
            <w:tcBorders>
              <w:bottom w:val="nil"/>
            </w:tcBorders>
            <w:shd w:val="clear" w:color="auto" w:fill="auto"/>
          </w:tcPr>
          <w:p w:rsidR="00035233" w:rsidRPr="00194011" w:rsidRDefault="00035233" w:rsidP="00035233">
            <w:pPr>
              <w:pStyle w:val="05Tabletext"/>
              <w:jc w:val="center"/>
            </w:pPr>
            <w:r>
              <w:t>149 (40.1)</w:t>
            </w:r>
          </w:p>
        </w:tc>
        <w:tc>
          <w:tcPr>
            <w:tcW w:w="1398" w:type="pct"/>
            <w:tcBorders>
              <w:bottom w:val="nil"/>
            </w:tcBorders>
            <w:shd w:val="clear" w:color="auto" w:fill="auto"/>
          </w:tcPr>
          <w:p w:rsidR="00035233" w:rsidRPr="00194011" w:rsidRDefault="00035233" w:rsidP="00035233">
            <w:pPr>
              <w:pStyle w:val="05Tabletext"/>
              <w:jc w:val="center"/>
            </w:pPr>
            <w:r>
              <w:t>175 (47.4)</w:t>
            </w:r>
          </w:p>
        </w:tc>
      </w:tr>
      <w:tr w:rsidR="00035233" w:rsidRPr="00194011" w:rsidTr="00035233">
        <w:trPr>
          <w:cantSplit/>
        </w:trPr>
        <w:tc>
          <w:tcPr>
            <w:tcW w:w="2059" w:type="pct"/>
            <w:tcBorders>
              <w:top w:val="nil"/>
              <w:bottom w:val="nil"/>
            </w:tcBorders>
            <w:shd w:val="clear" w:color="auto" w:fill="auto"/>
          </w:tcPr>
          <w:p w:rsidR="00035233" w:rsidRPr="00F708D1" w:rsidRDefault="00035233" w:rsidP="00035233">
            <w:pPr>
              <w:pStyle w:val="05Tabletext"/>
              <w:ind w:firstLine="232"/>
              <w:rPr>
                <w:vertAlign w:val="superscript"/>
              </w:rPr>
            </w:pPr>
            <w:r>
              <w:t>COPD worsening</w:t>
            </w:r>
            <w:r>
              <w:rPr>
                <w:vertAlign w:val="superscript"/>
              </w:rPr>
              <w:t>b</w:t>
            </w:r>
          </w:p>
        </w:tc>
        <w:tc>
          <w:tcPr>
            <w:tcW w:w="1542" w:type="pct"/>
            <w:tcBorders>
              <w:top w:val="nil"/>
              <w:bottom w:val="nil"/>
            </w:tcBorders>
            <w:shd w:val="clear" w:color="auto" w:fill="auto"/>
          </w:tcPr>
          <w:p w:rsidR="00035233" w:rsidRDefault="00035233" w:rsidP="00035233">
            <w:pPr>
              <w:pStyle w:val="05Tabletext"/>
              <w:jc w:val="center"/>
            </w:pPr>
            <w:r>
              <w:t>75 (20.2)</w:t>
            </w:r>
          </w:p>
        </w:tc>
        <w:tc>
          <w:tcPr>
            <w:tcW w:w="1398" w:type="pct"/>
            <w:tcBorders>
              <w:top w:val="nil"/>
              <w:bottom w:val="nil"/>
            </w:tcBorders>
            <w:shd w:val="clear" w:color="auto" w:fill="auto"/>
          </w:tcPr>
          <w:p w:rsidR="00035233" w:rsidRDefault="00035233" w:rsidP="00035233">
            <w:pPr>
              <w:pStyle w:val="05Tabletext"/>
              <w:jc w:val="center"/>
            </w:pPr>
            <w:r>
              <w:t>97 (26.3)</w:t>
            </w:r>
          </w:p>
        </w:tc>
      </w:tr>
      <w:tr w:rsidR="00035233" w:rsidRPr="00194011" w:rsidTr="00035233">
        <w:trPr>
          <w:cantSplit/>
        </w:trPr>
        <w:tc>
          <w:tcPr>
            <w:tcW w:w="2059" w:type="pct"/>
            <w:tcBorders>
              <w:top w:val="nil"/>
              <w:bottom w:val="nil"/>
            </w:tcBorders>
            <w:shd w:val="clear" w:color="auto" w:fill="auto"/>
          </w:tcPr>
          <w:p w:rsidR="00035233" w:rsidRDefault="00035233" w:rsidP="00035233">
            <w:pPr>
              <w:pStyle w:val="05Tabletext"/>
              <w:ind w:firstLine="232"/>
            </w:pPr>
            <w:r>
              <w:t>Upper respiratory tract infection</w:t>
            </w:r>
          </w:p>
        </w:tc>
        <w:tc>
          <w:tcPr>
            <w:tcW w:w="1542" w:type="pct"/>
            <w:tcBorders>
              <w:top w:val="nil"/>
              <w:bottom w:val="nil"/>
            </w:tcBorders>
            <w:shd w:val="clear" w:color="auto" w:fill="auto"/>
          </w:tcPr>
          <w:p w:rsidR="00035233" w:rsidRPr="00194011" w:rsidRDefault="00035233" w:rsidP="00035233">
            <w:pPr>
              <w:pStyle w:val="05Tabletext"/>
              <w:jc w:val="center"/>
            </w:pPr>
            <w:r>
              <w:t>13 (3.5)</w:t>
            </w:r>
          </w:p>
        </w:tc>
        <w:tc>
          <w:tcPr>
            <w:tcW w:w="1398" w:type="pct"/>
            <w:tcBorders>
              <w:top w:val="nil"/>
              <w:bottom w:val="nil"/>
            </w:tcBorders>
            <w:shd w:val="clear" w:color="auto" w:fill="auto"/>
          </w:tcPr>
          <w:p w:rsidR="00035233" w:rsidRPr="00194011" w:rsidRDefault="00035233" w:rsidP="00035233">
            <w:pPr>
              <w:pStyle w:val="05Tabletext"/>
              <w:jc w:val="center"/>
            </w:pPr>
            <w:r>
              <w:t>26 (7.0)</w:t>
            </w:r>
          </w:p>
        </w:tc>
      </w:tr>
      <w:tr w:rsidR="00035233" w:rsidRPr="00194011" w:rsidTr="00035233">
        <w:trPr>
          <w:cantSplit/>
        </w:trPr>
        <w:tc>
          <w:tcPr>
            <w:tcW w:w="2059" w:type="pct"/>
            <w:tcBorders>
              <w:top w:val="nil"/>
              <w:bottom w:val="nil"/>
            </w:tcBorders>
            <w:shd w:val="clear" w:color="auto" w:fill="auto"/>
          </w:tcPr>
          <w:p w:rsidR="00035233" w:rsidRDefault="00035233" w:rsidP="00035233">
            <w:pPr>
              <w:pStyle w:val="05Tabletext"/>
              <w:ind w:firstLine="232"/>
            </w:pPr>
            <w:r>
              <w:t>Bronchitis</w:t>
            </w:r>
          </w:p>
        </w:tc>
        <w:tc>
          <w:tcPr>
            <w:tcW w:w="1542" w:type="pct"/>
            <w:tcBorders>
              <w:top w:val="nil"/>
              <w:bottom w:val="nil"/>
            </w:tcBorders>
            <w:shd w:val="clear" w:color="auto" w:fill="auto"/>
          </w:tcPr>
          <w:p w:rsidR="00035233" w:rsidRPr="00194011" w:rsidRDefault="00035233" w:rsidP="00035233">
            <w:pPr>
              <w:pStyle w:val="05Tabletext"/>
              <w:jc w:val="center"/>
            </w:pPr>
            <w:r>
              <w:t>7 (1.9)</w:t>
            </w:r>
          </w:p>
        </w:tc>
        <w:tc>
          <w:tcPr>
            <w:tcW w:w="1398" w:type="pct"/>
            <w:tcBorders>
              <w:top w:val="nil"/>
              <w:bottom w:val="nil"/>
            </w:tcBorders>
            <w:shd w:val="clear" w:color="auto" w:fill="auto"/>
          </w:tcPr>
          <w:p w:rsidR="00035233" w:rsidRPr="00194011" w:rsidRDefault="00035233" w:rsidP="00035233">
            <w:pPr>
              <w:pStyle w:val="05Tabletext"/>
              <w:jc w:val="center"/>
            </w:pPr>
            <w:r>
              <w:t>4 (1.1)</w:t>
            </w:r>
          </w:p>
        </w:tc>
      </w:tr>
      <w:tr w:rsidR="00035233" w:rsidRPr="00194011" w:rsidTr="00035233">
        <w:trPr>
          <w:cantSplit/>
        </w:trPr>
        <w:tc>
          <w:tcPr>
            <w:tcW w:w="2059" w:type="pct"/>
            <w:tcBorders>
              <w:top w:val="nil"/>
            </w:tcBorders>
            <w:shd w:val="clear" w:color="auto" w:fill="auto"/>
          </w:tcPr>
          <w:p w:rsidR="00035233" w:rsidRPr="00364207" w:rsidRDefault="00035233" w:rsidP="00035233">
            <w:pPr>
              <w:pStyle w:val="05Tabletext"/>
              <w:ind w:firstLine="232"/>
              <w:rPr>
                <w:vertAlign w:val="superscript"/>
              </w:rPr>
            </w:pPr>
            <w:r>
              <w:t>Pneumonia</w:t>
            </w:r>
          </w:p>
        </w:tc>
        <w:tc>
          <w:tcPr>
            <w:tcW w:w="1542" w:type="pct"/>
            <w:tcBorders>
              <w:top w:val="nil"/>
            </w:tcBorders>
            <w:shd w:val="clear" w:color="auto" w:fill="auto"/>
          </w:tcPr>
          <w:p w:rsidR="00035233" w:rsidRPr="00194011" w:rsidRDefault="00035233" w:rsidP="00035233">
            <w:pPr>
              <w:pStyle w:val="05Tabletext"/>
              <w:jc w:val="center"/>
            </w:pPr>
            <w:r>
              <w:t>3 (0.8)</w:t>
            </w:r>
          </w:p>
        </w:tc>
        <w:tc>
          <w:tcPr>
            <w:tcW w:w="1398" w:type="pct"/>
            <w:tcBorders>
              <w:top w:val="nil"/>
            </w:tcBorders>
            <w:shd w:val="clear" w:color="auto" w:fill="auto"/>
          </w:tcPr>
          <w:p w:rsidR="00035233" w:rsidRPr="00194011" w:rsidRDefault="00035233" w:rsidP="00035233">
            <w:pPr>
              <w:pStyle w:val="05Tabletext"/>
              <w:jc w:val="center"/>
            </w:pPr>
            <w:r>
              <w:t>10 (2.7)</w:t>
            </w:r>
          </w:p>
        </w:tc>
      </w:tr>
      <w:tr w:rsidR="00035233" w:rsidRPr="00194011" w:rsidTr="00035233">
        <w:trPr>
          <w:cantSplit/>
        </w:trPr>
        <w:tc>
          <w:tcPr>
            <w:tcW w:w="2059" w:type="pct"/>
            <w:tcBorders>
              <w:bottom w:val="single" w:sz="4" w:space="0" w:color="auto"/>
            </w:tcBorders>
            <w:shd w:val="clear" w:color="auto" w:fill="auto"/>
          </w:tcPr>
          <w:p w:rsidR="00035233" w:rsidRDefault="00035233" w:rsidP="00035233">
            <w:pPr>
              <w:pStyle w:val="05Tabletext"/>
            </w:pPr>
            <w:r>
              <w:t>AEs leading to discontinuation, n (%)</w:t>
            </w:r>
          </w:p>
        </w:tc>
        <w:tc>
          <w:tcPr>
            <w:tcW w:w="1542" w:type="pct"/>
            <w:tcBorders>
              <w:bottom w:val="single" w:sz="4" w:space="0" w:color="auto"/>
            </w:tcBorders>
            <w:shd w:val="clear" w:color="auto" w:fill="auto"/>
          </w:tcPr>
          <w:p w:rsidR="00035233" w:rsidRPr="00194011" w:rsidRDefault="00035233" w:rsidP="00035233">
            <w:pPr>
              <w:pStyle w:val="05Tabletext"/>
              <w:jc w:val="center"/>
            </w:pPr>
            <w:r>
              <w:t>12 (3.2)</w:t>
            </w:r>
          </w:p>
        </w:tc>
        <w:tc>
          <w:tcPr>
            <w:tcW w:w="1398" w:type="pct"/>
            <w:tcBorders>
              <w:bottom w:val="single" w:sz="4" w:space="0" w:color="auto"/>
            </w:tcBorders>
            <w:shd w:val="clear" w:color="auto" w:fill="auto"/>
          </w:tcPr>
          <w:p w:rsidR="00035233" w:rsidRPr="00194011" w:rsidRDefault="00035233" w:rsidP="00035233">
            <w:pPr>
              <w:pStyle w:val="05Tabletext"/>
              <w:jc w:val="center"/>
            </w:pPr>
            <w:r>
              <w:t>17 (4.6)</w:t>
            </w:r>
          </w:p>
        </w:tc>
      </w:tr>
      <w:tr w:rsidR="00035233" w:rsidRPr="00194011" w:rsidTr="00035233">
        <w:trPr>
          <w:cantSplit/>
        </w:trPr>
        <w:tc>
          <w:tcPr>
            <w:tcW w:w="2059" w:type="pct"/>
            <w:tcBorders>
              <w:bottom w:val="nil"/>
            </w:tcBorders>
            <w:shd w:val="clear" w:color="auto" w:fill="auto"/>
          </w:tcPr>
          <w:p w:rsidR="00035233" w:rsidRDefault="00035233" w:rsidP="00035233">
            <w:pPr>
              <w:pStyle w:val="05Tabletext"/>
            </w:pPr>
            <w:r>
              <w:t>AEs leading to hospitalisation, n (%)</w:t>
            </w:r>
          </w:p>
        </w:tc>
        <w:tc>
          <w:tcPr>
            <w:tcW w:w="1542" w:type="pct"/>
            <w:tcBorders>
              <w:bottom w:val="nil"/>
            </w:tcBorders>
            <w:shd w:val="clear" w:color="auto" w:fill="auto"/>
          </w:tcPr>
          <w:p w:rsidR="00035233" w:rsidRDefault="00035233" w:rsidP="00035233">
            <w:pPr>
              <w:pStyle w:val="05Tabletext"/>
              <w:jc w:val="center"/>
            </w:pPr>
            <w:r>
              <w:t>16 (4.3)</w:t>
            </w:r>
          </w:p>
        </w:tc>
        <w:tc>
          <w:tcPr>
            <w:tcW w:w="1398" w:type="pct"/>
            <w:tcBorders>
              <w:bottom w:val="nil"/>
            </w:tcBorders>
            <w:shd w:val="clear" w:color="auto" w:fill="auto"/>
          </w:tcPr>
          <w:p w:rsidR="00035233" w:rsidRDefault="00035233" w:rsidP="00035233">
            <w:pPr>
              <w:pStyle w:val="05Tabletext"/>
              <w:jc w:val="center"/>
            </w:pPr>
            <w:r>
              <w:t>31 (8.4)</w:t>
            </w:r>
          </w:p>
        </w:tc>
      </w:tr>
      <w:tr w:rsidR="00035233" w:rsidRPr="00194011" w:rsidTr="00035233">
        <w:trPr>
          <w:cantSplit/>
        </w:trPr>
        <w:tc>
          <w:tcPr>
            <w:tcW w:w="2059" w:type="pct"/>
            <w:tcBorders>
              <w:top w:val="nil"/>
              <w:bottom w:val="nil"/>
            </w:tcBorders>
            <w:shd w:val="clear" w:color="auto" w:fill="auto"/>
          </w:tcPr>
          <w:p w:rsidR="00035233" w:rsidRDefault="00035233" w:rsidP="00035233">
            <w:pPr>
              <w:pStyle w:val="05Tabletext"/>
              <w:ind w:firstLine="232"/>
            </w:pPr>
            <w:r>
              <w:t>Hospitalised for COPD exacerbation, n (%)</w:t>
            </w:r>
          </w:p>
        </w:tc>
        <w:tc>
          <w:tcPr>
            <w:tcW w:w="1542" w:type="pct"/>
            <w:tcBorders>
              <w:top w:val="nil"/>
              <w:bottom w:val="nil"/>
            </w:tcBorders>
            <w:shd w:val="clear" w:color="auto" w:fill="auto"/>
          </w:tcPr>
          <w:p w:rsidR="00035233" w:rsidRDefault="00035233" w:rsidP="00035233">
            <w:pPr>
              <w:pStyle w:val="05Tabletext"/>
              <w:jc w:val="center"/>
            </w:pPr>
            <w:r>
              <w:t>6 (1.6)</w:t>
            </w:r>
          </w:p>
        </w:tc>
        <w:tc>
          <w:tcPr>
            <w:tcW w:w="1398" w:type="pct"/>
            <w:tcBorders>
              <w:top w:val="nil"/>
              <w:bottom w:val="nil"/>
            </w:tcBorders>
            <w:shd w:val="clear" w:color="auto" w:fill="auto"/>
          </w:tcPr>
          <w:p w:rsidR="00035233" w:rsidRDefault="00035233" w:rsidP="00035233">
            <w:pPr>
              <w:pStyle w:val="05Tabletext"/>
              <w:jc w:val="center"/>
            </w:pPr>
            <w:r>
              <w:t>16 (4.3)</w:t>
            </w:r>
          </w:p>
        </w:tc>
      </w:tr>
      <w:tr w:rsidR="00035233" w:rsidRPr="00194011" w:rsidTr="00035233">
        <w:trPr>
          <w:cantSplit/>
        </w:trPr>
        <w:tc>
          <w:tcPr>
            <w:tcW w:w="2059" w:type="pct"/>
            <w:tcBorders>
              <w:top w:val="nil"/>
            </w:tcBorders>
            <w:shd w:val="clear" w:color="auto" w:fill="auto"/>
          </w:tcPr>
          <w:p w:rsidR="00035233" w:rsidRDefault="00035233" w:rsidP="00035233">
            <w:pPr>
              <w:pStyle w:val="05Tabletext"/>
              <w:ind w:firstLine="232"/>
            </w:pPr>
            <w:r>
              <w:t>Hospitalised for pneumonia, n (%)</w:t>
            </w:r>
          </w:p>
        </w:tc>
        <w:tc>
          <w:tcPr>
            <w:tcW w:w="1542" w:type="pct"/>
            <w:tcBorders>
              <w:top w:val="nil"/>
            </w:tcBorders>
            <w:shd w:val="clear" w:color="auto" w:fill="auto"/>
          </w:tcPr>
          <w:p w:rsidR="00035233" w:rsidRDefault="00035233" w:rsidP="00035233">
            <w:pPr>
              <w:pStyle w:val="05Tabletext"/>
              <w:jc w:val="center"/>
            </w:pPr>
            <w:r>
              <w:t>2 (0.5)</w:t>
            </w:r>
          </w:p>
        </w:tc>
        <w:tc>
          <w:tcPr>
            <w:tcW w:w="1398" w:type="pct"/>
            <w:tcBorders>
              <w:top w:val="nil"/>
            </w:tcBorders>
            <w:shd w:val="clear" w:color="auto" w:fill="auto"/>
          </w:tcPr>
          <w:p w:rsidR="00035233" w:rsidRDefault="00035233" w:rsidP="00035233">
            <w:pPr>
              <w:pStyle w:val="05Tabletext"/>
              <w:jc w:val="center"/>
            </w:pPr>
            <w:r>
              <w:t>4 (1.1)</w:t>
            </w:r>
          </w:p>
        </w:tc>
      </w:tr>
      <w:tr w:rsidR="00035233" w:rsidRPr="00194011" w:rsidTr="00035233">
        <w:trPr>
          <w:cantSplit/>
        </w:trPr>
        <w:tc>
          <w:tcPr>
            <w:tcW w:w="2059" w:type="pct"/>
            <w:shd w:val="clear" w:color="auto" w:fill="auto"/>
          </w:tcPr>
          <w:p w:rsidR="00035233" w:rsidRPr="00194011" w:rsidRDefault="00035233" w:rsidP="00035233">
            <w:pPr>
              <w:pStyle w:val="05Tabletext"/>
            </w:pPr>
            <w:r>
              <w:t>Any SAE, n (%)</w:t>
            </w:r>
          </w:p>
        </w:tc>
        <w:tc>
          <w:tcPr>
            <w:tcW w:w="1542" w:type="pct"/>
            <w:shd w:val="clear" w:color="auto" w:fill="auto"/>
          </w:tcPr>
          <w:p w:rsidR="00035233" w:rsidRPr="00194011" w:rsidRDefault="00035233" w:rsidP="00035233">
            <w:pPr>
              <w:pStyle w:val="05Tabletext"/>
              <w:jc w:val="center"/>
            </w:pPr>
            <w:r>
              <w:t>20 (5.4)</w:t>
            </w:r>
          </w:p>
        </w:tc>
        <w:tc>
          <w:tcPr>
            <w:tcW w:w="1398" w:type="pct"/>
            <w:shd w:val="clear" w:color="auto" w:fill="auto"/>
          </w:tcPr>
          <w:p w:rsidR="00035233" w:rsidRPr="00194011" w:rsidRDefault="00035233" w:rsidP="00035233">
            <w:pPr>
              <w:pStyle w:val="05Tabletext"/>
              <w:jc w:val="center"/>
            </w:pPr>
            <w:r>
              <w:t>35 (9.5)</w:t>
            </w:r>
          </w:p>
        </w:tc>
      </w:tr>
      <w:tr w:rsidR="00035233" w:rsidRPr="00194011" w:rsidTr="00035233">
        <w:trPr>
          <w:cantSplit/>
        </w:trPr>
        <w:tc>
          <w:tcPr>
            <w:tcW w:w="2059" w:type="pct"/>
            <w:shd w:val="clear" w:color="auto" w:fill="auto"/>
          </w:tcPr>
          <w:p w:rsidR="00035233" w:rsidRPr="006E27DA" w:rsidRDefault="00035233" w:rsidP="00035233">
            <w:pPr>
              <w:pStyle w:val="05Tabletext"/>
              <w:rPr>
                <w:vertAlign w:val="superscript"/>
              </w:rPr>
            </w:pPr>
            <w:r>
              <w:t>SAE leading to discontinuation, n (%)</w:t>
            </w:r>
          </w:p>
        </w:tc>
        <w:tc>
          <w:tcPr>
            <w:tcW w:w="1542" w:type="pct"/>
            <w:shd w:val="clear" w:color="auto" w:fill="auto"/>
          </w:tcPr>
          <w:p w:rsidR="00035233" w:rsidRPr="00194011" w:rsidRDefault="00035233" w:rsidP="00035233">
            <w:pPr>
              <w:pStyle w:val="05Tabletext"/>
              <w:jc w:val="center"/>
            </w:pPr>
            <w:r>
              <w:t>9 (2.4)</w:t>
            </w:r>
          </w:p>
        </w:tc>
        <w:tc>
          <w:tcPr>
            <w:tcW w:w="1398" w:type="pct"/>
            <w:shd w:val="clear" w:color="auto" w:fill="auto"/>
          </w:tcPr>
          <w:p w:rsidR="00035233" w:rsidRPr="00194011" w:rsidRDefault="00035233" w:rsidP="00035233">
            <w:pPr>
              <w:pStyle w:val="05Tabletext"/>
              <w:jc w:val="center"/>
            </w:pPr>
            <w:r>
              <w:t>11 (3.0)</w:t>
            </w:r>
          </w:p>
        </w:tc>
      </w:tr>
      <w:tr w:rsidR="00035233" w:rsidRPr="00194011" w:rsidTr="00035233">
        <w:trPr>
          <w:cantSplit/>
        </w:trPr>
        <w:tc>
          <w:tcPr>
            <w:tcW w:w="2059" w:type="pct"/>
            <w:shd w:val="clear" w:color="auto" w:fill="auto"/>
          </w:tcPr>
          <w:p w:rsidR="00035233" w:rsidRPr="00770AB1" w:rsidRDefault="00035233" w:rsidP="00035233">
            <w:pPr>
              <w:pStyle w:val="05Tabletext"/>
            </w:pPr>
            <w:r>
              <w:t>Deaths, n (%)</w:t>
            </w:r>
          </w:p>
        </w:tc>
        <w:tc>
          <w:tcPr>
            <w:tcW w:w="1542" w:type="pct"/>
            <w:shd w:val="clear" w:color="auto" w:fill="auto"/>
          </w:tcPr>
          <w:p w:rsidR="00035233" w:rsidRPr="00770AB1" w:rsidRDefault="00035233" w:rsidP="00035233">
            <w:pPr>
              <w:pStyle w:val="05Tabletext"/>
              <w:jc w:val="center"/>
            </w:pPr>
            <w:r>
              <w:t>2 (0.5)</w:t>
            </w:r>
          </w:p>
        </w:tc>
        <w:tc>
          <w:tcPr>
            <w:tcW w:w="1398" w:type="pct"/>
            <w:shd w:val="clear" w:color="auto" w:fill="auto"/>
          </w:tcPr>
          <w:p w:rsidR="00035233" w:rsidRPr="00770AB1" w:rsidRDefault="00035233" w:rsidP="00035233">
            <w:pPr>
              <w:pStyle w:val="05Tabletext"/>
              <w:jc w:val="center"/>
            </w:pPr>
            <w:r>
              <w:t>0</w:t>
            </w:r>
          </w:p>
        </w:tc>
      </w:tr>
    </w:tbl>
    <w:p w:rsidR="00035233" w:rsidRDefault="00035233" w:rsidP="00035233">
      <w:pPr>
        <w:pStyle w:val="10TableorFigurefootnote"/>
      </w:pPr>
      <w:r>
        <w:t>Source: Zhong et al (2015), Table 5 and Figure S2 (Supplementary material).</w:t>
      </w:r>
    </w:p>
    <w:p w:rsidR="00035233" w:rsidRDefault="00035233" w:rsidP="00035233">
      <w:pPr>
        <w:pStyle w:val="10TableorFigurefootnote"/>
      </w:pPr>
      <w:r>
        <w:t>Abbreviations: AE, adverse event; COPD, chronic obstructive pulmonary disease; FLU, fluticasone</w:t>
      </w:r>
      <w:r w:rsidR="004C4CDF">
        <w:t xml:space="preserve"> propionate</w:t>
      </w:r>
      <w:r>
        <w:t>; GLY, glycopyrronium; IND, indacaterol; SAE, serious adverse event;  SAL, salmeterol.</w:t>
      </w:r>
    </w:p>
    <w:p w:rsidR="00035233" w:rsidRDefault="00035233" w:rsidP="00035233">
      <w:pPr>
        <w:pStyle w:val="10TableorFigurefootnote"/>
      </w:pPr>
      <w:proofErr w:type="gramStart"/>
      <w:r>
        <w:rPr>
          <w:b/>
        </w:rPr>
        <w:t>a</w:t>
      </w:r>
      <w:proofErr w:type="gramEnd"/>
      <w:r>
        <w:t xml:space="preserve"> Safety set refers to all patients who received at least one dose of the study drug, regardless of whether the patient was randomised.</w:t>
      </w:r>
    </w:p>
    <w:p w:rsidR="00035233" w:rsidRDefault="00035233" w:rsidP="00035233">
      <w:pPr>
        <w:pStyle w:val="11TableorFigurefootnotenostick"/>
      </w:pPr>
      <w:proofErr w:type="gramStart"/>
      <w:r>
        <w:rPr>
          <w:b/>
        </w:rPr>
        <w:t>b</w:t>
      </w:r>
      <w:proofErr w:type="gramEnd"/>
      <w:r>
        <w:t xml:space="preserve"> Including COPD exacerbations.</w:t>
      </w:r>
    </w:p>
    <w:p w:rsidR="00035233" w:rsidRDefault="00035233" w:rsidP="00251CB8">
      <w:pPr>
        <w:pStyle w:val="Heading5"/>
        <w:numPr>
          <w:ilvl w:val="4"/>
          <w:numId w:val="11"/>
        </w:numPr>
      </w:pPr>
      <w:r>
        <w:t>FLAME study</w:t>
      </w:r>
    </w:p>
    <w:p w:rsidR="00E7795C" w:rsidRDefault="00035233" w:rsidP="00E7795C">
      <w:pPr>
        <w:pStyle w:val="BodyTextnospacebefore"/>
      </w:pPr>
      <w:r>
        <w:t xml:space="preserve">The FLAME study was the only new evidence comparing LAMA/LABA versus ICS/LABA combination therapies that examined annual rates of COPD exacerbations as a primary outcome. As outlined in </w:t>
      </w:r>
      <w:r w:rsidR="00E319BB">
        <w:t>Table 3.47</w:t>
      </w:r>
      <w:r>
        <w:t>, FLAME was a non-inferiority study that randomised over 3,000 patients with a documented history of one or more exacerbations in the previous year. The non-inferiority margin was 15% (i.e. a rate ratio for exacerbations with glycopyrronium/indacaterol versus fluticasone</w:t>
      </w:r>
      <w:r w:rsidR="001B7A56">
        <w:t xml:space="preserve"> propionate</w:t>
      </w:r>
      <w:r>
        <w:t>/salmeterol of 1.15).</w:t>
      </w:r>
    </w:p>
    <w:p w:rsidR="00E319BB" w:rsidRDefault="00035233" w:rsidP="00E7795C">
      <w:pPr>
        <w:pStyle w:val="BodyTextnospacebefore"/>
        <w:spacing w:before="240"/>
      </w:pPr>
      <w:r>
        <w:t>At baseline, the treatment groups were balanced in terms of COPD severity and use of ICS. In patients randomised to glycopyrronium/indacaterol, 75% were classified as GOLD Group D and 24% were GOLD Group B; with the corresponding proportions in the fluticasone</w:t>
      </w:r>
      <w:r w:rsidR="004C4CDF">
        <w:t xml:space="preserve"> propionate</w:t>
      </w:r>
      <w:r>
        <w:t xml:space="preserve">/salmeterol group of 74% and 25%. </w:t>
      </w:r>
    </w:p>
    <w:p w:rsidR="00035233" w:rsidRDefault="00035233" w:rsidP="00E7795C">
      <w:pPr>
        <w:pStyle w:val="BodyTextnospacebefore"/>
        <w:spacing w:before="240"/>
      </w:pPr>
      <w:r>
        <w:t>Over half of the patients in both groups were ICS users at baseline (57% and 56% in glycopyrronium/indacaterol and fluticasone</w:t>
      </w:r>
      <w:r w:rsidR="004C4CDF">
        <w:t xml:space="preserve"> propionate</w:t>
      </w:r>
      <w:r>
        <w:t>/salmeterol groups, respectively).</w:t>
      </w:r>
    </w:p>
    <w:p w:rsidR="00035233" w:rsidRDefault="00035233" w:rsidP="00035233">
      <w:pPr>
        <w:pStyle w:val="BodyText"/>
      </w:pPr>
      <w:r>
        <w:t xml:space="preserve">Analysis of the primary outcome was based on the per protocol population. As demonstrated in </w:t>
      </w:r>
      <w:r w:rsidR="00E75CD2">
        <w:t>Table 3.</w:t>
      </w:r>
      <w:r w:rsidR="00967B39">
        <w:t>60</w:t>
      </w:r>
      <w:r>
        <w:t>, the annual rate of all COPD exacerbations was 11% lower in the glycopyrronium/indacaterol group than the fluticasone</w:t>
      </w:r>
      <w:r w:rsidR="004C4CDF">
        <w:t xml:space="preserve"> propionate</w:t>
      </w:r>
      <w:r>
        <w:t>/salmeterol group; thus the criteria for non-inferiority was achieved.</w:t>
      </w:r>
      <w:r>
        <w:rPr>
          <w:rStyle w:val="FootnoteReference"/>
        </w:rPr>
        <w:footnoteReference w:id="43"/>
      </w:r>
      <w:r>
        <w:t xml:space="preserve"> Importantly, the annual rate of moderate-to-severe exacerbations (i.e. exacerbations associated with a cost to the health care system) was 17% lower in the glycopyrronium/indacaterol group than in the fluticasone</w:t>
      </w:r>
      <w:r w:rsidR="004C4CDF">
        <w:t xml:space="preserve"> propionate</w:t>
      </w:r>
      <w:r>
        <w:t>/salmeterol group.</w:t>
      </w:r>
    </w:p>
    <w:p w:rsidR="00035233" w:rsidRDefault="00E75CD2" w:rsidP="00E319BB">
      <w:pPr>
        <w:pStyle w:val="ToR3Tableheader"/>
      </w:pPr>
      <w:bookmarkStart w:id="413" w:name="_Toc468006300"/>
      <w:bookmarkStart w:id="414" w:name="_Toc468012345"/>
      <w:bookmarkStart w:id="415" w:name="_Toc468034501"/>
      <w:bookmarkStart w:id="416" w:name="_Toc471891051"/>
      <w:bookmarkStart w:id="417" w:name="_Toc486428239"/>
      <w:r>
        <w:lastRenderedPageBreak/>
        <w:t>Table 3.</w:t>
      </w:r>
      <w:r w:rsidR="00967B39">
        <w:t>60</w:t>
      </w:r>
      <w:r w:rsidR="00035233">
        <w:tab/>
        <w:t>Analysis of COPD exacerbations over 52 weeks – GLY/IND vs FLU/SAL</w:t>
      </w:r>
      <w:bookmarkEnd w:id="413"/>
      <w:bookmarkEnd w:id="414"/>
      <w:bookmarkEnd w:id="415"/>
      <w:bookmarkEnd w:id="416"/>
      <w:bookmarkEnd w:id="4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Analysis of COPD exacerbations over 52 weeks "/>
        <w:tblDescription w:val="GLY/IND vs FLU/SAL"/>
      </w:tblPr>
      <w:tblGrid>
        <w:gridCol w:w="2561"/>
        <w:gridCol w:w="990"/>
        <w:gridCol w:w="1349"/>
        <w:gridCol w:w="1059"/>
        <w:gridCol w:w="1281"/>
        <w:gridCol w:w="1559"/>
        <w:gridCol w:w="849"/>
      </w:tblGrid>
      <w:tr w:rsidR="00035233" w:rsidRPr="00F01736" w:rsidTr="00035233">
        <w:trPr>
          <w:cantSplit/>
        </w:trPr>
        <w:tc>
          <w:tcPr>
            <w:tcW w:w="1327" w:type="pct"/>
            <w:tcBorders>
              <w:bottom w:val="single" w:sz="4" w:space="0" w:color="auto"/>
            </w:tcBorders>
            <w:shd w:val="clear" w:color="auto" w:fill="BFBFBF"/>
          </w:tcPr>
          <w:p w:rsidR="00035233" w:rsidRPr="00F01736" w:rsidRDefault="00035233" w:rsidP="00035233">
            <w:pPr>
              <w:pStyle w:val="01TableHEADINGleftaligned"/>
            </w:pPr>
            <w:r>
              <w:t>Annual rate of exacerbations</w:t>
            </w:r>
          </w:p>
        </w:tc>
        <w:tc>
          <w:tcPr>
            <w:tcW w:w="513" w:type="pct"/>
            <w:tcBorders>
              <w:bottom w:val="single" w:sz="4" w:space="0" w:color="auto"/>
              <w:right w:val="nil"/>
            </w:tcBorders>
            <w:shd w:val="clear" w:color="auto" w:fill="BFBFBF"/>
          </w:tcPr>
          <w:p w:rsidR="00035233" w:rsidRDefault="00035233" w:rsidP="00035233">
            <w:pPr>
              <w:pStyle w:val="01TableHEADINGleftaligned"/>
              <w:ind w:right="0"/>
              <w:jc w:val="right"/>
            </w:pPr>
            <w:r>
              <w:t>GLY</w:t>
            </w:r>
          </w:p>
        </w:tc>
        <w:tc>
          <w:tcPr>
            <w:tcW w:w="699" w:type="pct"/>
            <w:tcBorders>
              <w:left w:val="nil"/>
              <w:bottom w:val="single" w:sz="4" w:space="0" w:color="auto"/>
            </w:tcBorders>
            <w:shd w:val="clear" w:color="auto" w:fill="BFBFBF"/>
          </w:tcPr>
          <w:p w:rsidR="00035233" w:rsidRDefault="00035233" w:rsidP="00035233">
            <w:pPr>
              <w:pStyle w:val="01TableHEADINGleftaligned"/>
              <w:ind w:left="0"/>
            </w:pPr>
            <w:r>
              <w:t>/IND</w:t>
            </w:r>
          </w:p>
        </w:tc>
        <w:tc>
          <w:tcPr>
            <w:tcW w:w="549" w:type="pct"/>
            <w:tcBorders>
              <w:bottom w:val="single" w:sz="4" w:space="0" w:color="auto"/>
              <w:right w:val="nil"/>
            </w:tcBorders>
            <w:shd w:val="clear" w:color="auto" w:fill="BFBFBF"/>
          </w:tcPr>
          <w:p w:rsidR="00035233" w:rsidRDefault="00035233" w:rsidP="00035233">
            <w:pPr>
              <w:pStyle w:val="01TableHEADINGleftaligned"/>
              <w:ind w:right="0"/>
              <w:jc w:val="right"/>
            </w:pPr>
            <w:r>
              <w:t>FLU</w:t>
            </w:r>
          </w:p>
        </w:tc>
        <w:tc>
          <w:tcPr>
            <w:tcW w:w="664" w:type="pct"/>
            <w:tcBorders>
              <w:left w:val="nil"/>
              <w:bottom w:val="single" w:sz="4" w:space="0" w:color="auto"/>
            </w:tcBorders>
            <w:shd w:val="clear" w:color="auto" w:fill="BFBFBF"/>
          </w:tcPr>
          <w:p w:rsidR="00035233" w:rsidRDefault="00035233" w:rsidP="00035233">
            <w:pPr>
              <w:pStyle w:val="01TableHEADINGleftaligned"/>
              <w:ind w:left="0"/>
            </w:pPr>
            <w:r>
              <w:t>/SAL</w:t>
            </w:r>
          </w:p>
        </w:tc>
        <w:tc>
          <w:tcPr>
            <w:tcW w:w="808" w:type="pct"/>
            <w:tcBorders>
              <w:bottom w:val="single" w:sz="4" w:space="0" w:color="auto"/>
              <w:right w:val="single" w:sz="4" w:space="0" w:color="auto"/>
            </w:tcBorders>
            <w:shd w:val="clear" w:color="auto" w:fill="BFBFBF"/>
          </w:tcPr>
          <w:p w:rsidR="00035233" w:rsidRPr="00F01736" w:rsidRDefault="00035233" w:rsidP="00035233">
            <w:pPr>
              <w:pStyle w:val="01TableHEADINGleftaligned"/>
              <w:jc w:val="center"/>
            </w:pPr>
            <w:r>
              <w:t>Rate ratio (95% CI)</w:t>
            </w:r>
          </w:p>
        </w:tc>
        <w:tc>
          <w:tcPr>
            <w:tcW w:w="440" w:type="pct"/>
            <w:tcBorders>
              <w:left w:val="single" w:sz="4" w:space="0" w:color="auto"/>
              <w:bottom w:val="single" w:sz="4" w:space="0" w:color="auto"/>
            </w:tcBorders>
            <w:shd w:val="clear" w:color="auto" w:fill="BFBFBF"/>
          </w:tcPr>
          <w:p w:rsidR="00035233" w:rsidRPr="00F01736" w:rsidRDefault="00035233" w:rsidP="00035233">
            <w:pPr>
              <w:pStyle w:val="01TableHEADINGleftaligned"/>
              <w:jc w:val="center"/>
            </w:pPr>
            <w:r>
              <w:t>p-value</w:t>
            </w:r>
          </w:p>
        </w:tc>
      </w:tr>
      <w:tr w:rsidR="00035233" w:rsidRPr="00F01736" w:rsidTr="00035233">
        <w:trPr>
          <w:cantSplit/>
        </w:trPr>
        <w:tc>
          <w:tcPr>
            <w:tcW w:w="1327" w:type="pct"/>
            <w:tcBorders>
              <w:bottom w:val="single" w:sz="4" w:space="0" w:color="auto"/>
            </w:tcBorders>
            <w:shd w:val="clear" w:color="auto" w:fill="000000"/>
          </w:tcPr>
          <w:p w:rsidR="00035233" w:rsidRPr="00F01736" w:rsidRDefault="00035233" w:rsidP="00035233">
            <w:pPr>
              <w:pStyle w:val="04Tablesubheading"/>
            </w:pPr>
            <w:r>
              <w:t>Primary analysis</w:t>
            </w:r>
          </w:p>
        </w:tc>
        <w:tc>
          <w:tcPr>
            <w:tcW w:w="513" w:type="pct"/>
            <w:tcBorders>
              <w:bottom w:val="single" w:sz="4" w:space="0" w:color="auto"/>
            </w:tcBorders>
            <w:shd w:val="clear" w:color="auto" w:fill="000000"/>
          </w:tcPr>
          <w:p w:rsidR="00035233" w:rsidRDefault="00035233" w:rsidP="00035233">
            <w:pPr>
              <w:pStyle w:val="04Tablesubheading"/>
              <w:jc w:val="center"/>
            </w:pPr>
            <w:r>
              <w:t>n</w:t>
            </w:r>
          </w:p>
        </w:tc>
        <w:tc>
          <w:tcPr>
            <w:tcW w:w="699" w:type="pct"/>
            <w:tcBorders>
              <w:bottom w:val="single" w:sz="4" w:space="0" w:color="auto"/>
            </w:tcBorders>
            <w:shd w:val="clear" w:color="auto" w:fill="000000"/>
          </w:tcPr>
          <w:p w:rsidR="00035233" w:rsidRDefault="00035233" w:rsidP="00035233">
            <w:pPr>
              <w:pStyle w:val="04Tablesubheading"/>
              <w:jc w:val="center"/>
            </w:pPr>
            <w:r>
              <w:t>Rate (95% CI)</w:t>
            </w:r>
          </w:p>
        </w:tc>
        <w:tc>
          <w:tcPr>
            <w:tcW w:w="549" w:type="pct"/>
            <w:tcBorders>
              <w:bottom w:val="single" w:sz="4" w:space="0" w:color="auto"/>
            </w:tcBorders>
            <w:shd w:val="clear" w:color="auto" w:fill="000000"/>
          </w:tcPr>
          <w:p w:rsidR="00035233" w:rsidRDefault="00035233" w:rsidP="00035233">
            <w:pPr>
              <w:pStyle w:val="04Tablesubheading"/>
              <w:jc w:val="center"/>
            </w:pPr>
            <w:r>
              <w:t>n</w:t>
            </w:r>
          </w:p>
        </w:tc>
        <w:tc>
          <w:tcPr>
            <w:tcW w:w="664" w:type="pct"/>
            <w:tcBorders>
              <w:bottom w:val="single" w:sz="4" w:space="0" w:color="auto"/>
            </w:tcBorders>
            <w:shd w:val="clear" w:color="auto" w:fill="000000"/>
          </w:tcPr>
          <w:p w:rsidR="00035233" w:rsidRDefault="00035233" w:rsidP="00035233">
            <w:pPr>
              <w:pStyle w:val="04Tablesubheading"/>
              <w:jc w:val="center"/>
            </w:pPr>
            <w:r>
              <w:t>Rate (95% CI)</w:t>
            </w:r>
          </w:p>
        </w:tc>
        <w:tc>
          <w:tcPr>
            <w:tcW w:w="808" w:type="pct"/>
            <w:tcBorders>
              <w:bottom w:val="single" w:sz="4" w:space="0" w:color="auto"/>
              <w:right w:val="single" w:sz="4" w:space="0" w:color="auto"/>
            </w:tcBorders>
            <w:shd w:val="clear" w:color="auto" w:fill="000000"/>
          </w:tcPr>
          <w:p w:rsidR="00035233" w:rsidRDefault="00035233" w:rsidP="00035233">
            <w:pPr>
              <w:pStyle w:val="04Tablesubheading"/>
              <w:jc w:val="center"/>
            </w:pPr>
          </w:p>
        </w:tc>
        <w:tc>
          <w:tcPr>
            <w:tcW w:w="440" w:type="pct"/>
            <w:tcBorders>
              <w:left w:val="single" w:sz="4" w:space="0" w:color="auto"/>
              <w:bottom w:val="single" w:sz="4" w:space="0" w:color="auto"/>
            </w:tcBorders>
            <w:shd w:val="clear" w:color="auto" w:fill="000000"/>
          </w:tcPr>
          <w:p w:rsidR="00035233" w:rsidRDefault="00035233" w:rsidP="00035233">
            <w:pPr>
              <w:pStyle w:val="04Tablesubheading"/>
            </w:pPr>
          </w:p>
        </w:tc>
      </w:tr>
      <w:tr w:rsidR="00035233" w:rsidRPr="00194011" w:rsidTr="00035233">
        <w:trPr>
          <w:cantSplit/>
        </w:trPr>
        <w:tc>
          <w:tcPr>
            <w:tcW w:w="1327" w:type="pct"/>
            <w:tcBorders>
              <w:bottom w:val="single" w:sz="4" w:space="0" w:color="auto"/>
            </w:tcBorders>
            <w:shd w:val="clear" w:color="auto" w:fill="auto"/>
          </w:tcPr>
          <w:p w:rsidR="00035233" w:rsidRDefault="00035233" w:rsidP="00035233">
            <w:pPr>
              <w:pStyle w:val="05Tabletext"/>
            </w:pPr>
            <w:r>
              <w:t>All exacerbations (mild to severe)</w:t>
            </w:r>
          </w:p>
          <w:p w:rsidR="00035233" w:rsidRPr="000E565D" w:rsidRDefault="00035233" w:rsidP="00035233">
            <w:pPr>
              <w:pStyle w:val="05Tabletext"/>
              <w:rPr>
                <w:i/>
              </w:rPr>
            </w:pPr>
            <w:r w:rsidRPr="000E565D">
              <w:rPr>
                <w:i/>
              </w:rPr>
              <w:t>Per protocol population</w:t>
            </w:r>
          </w:p>
        </w:tc>
        <w:tc>
          <w:tcPr>
            <w:tcW w:w="513" w:type="pct"/>
            <w:tcBorders>
              <w:bottom w:val="single" w:sz="4" w:space="0" w:color="auto"/>
            </w:tcBorders>
            <w:shd w:val="clear" w:color="auto" w:fill="FFFFFF"/>
          </w:tcPr>
          <w:p w:rsidR="00035233" w:rsidRDefault="00035233" w:rsidP="00035233">
            <w:pPr>
              <w:pStyle w:val="05Tabletext"/>
              <w:jc w:val="center"/>
            </w:pPr>
            <w:r>
              <w:t>1,518</w:t>
            </w:r>
          </w:p>
        </w:tc>
        <w:tc>
          <w:tcPr>
            <w:tcW w:w="699" w:type="pct"/>
            <w:tcBorders>
              <w:bottom w:val="single" w:sz="4" w:space="0" w:color="auto"/>
            </w:tcBorders>
            <w:shd w:val="clear" w:color="auto" w:fill="FFFFFF"/>
          </w:tcPr>
          <w:p w:rsidR="00035233" w:rsidRDefault="00035233" w:rsidP="00035233">
            <w:pPr>
              <w:pStyle w:val="05Tabletext"/>
              <w:jc w:val="center"/>
            </w:pPr>
            <w:r>
              <w:t>3.59 (3.28, 3.94)</w:t>
            </w:r>
          </w:p>
        </w:tc>
        <w:tc>
          <w:tcPr>
            <w:tcW w:w="549" w:type="pct"/>
            <w:tcBorders>
              <w:bottom w:val="single" w:sz="4" w:space="0" w:color="auto"/>
            </w:tcBorders>
            <w:shd w:val="clear" w:color="auto" w:fill="FFFFFF"/>
          </w:tcPr>
          <w:p w:rsidR="00035233" w:rsidRDefault="00035233" w:rsidP="00035233">
            <w:pPr>
              <w:pStyle w:val="05Tabletext"/>
              <w:jc w:val="center"/>
            </w:pPr>
            <w:r>
              <w:t>1,544</w:t>
            </w:r>
          </w:p>
        </w:tc>
        <w:tc>
          <w:tcPr>
            <w:tcW w:w="664" w:type="pct"/>
            <w:tcBorders>
              <w:bottom w:val="single" w:sz="4" w:space="0" w:color="auto"/>
            </w:tcBorders>
            <w:shd w:val="clear" w:color="auto" w:fill="FFFFFF"/>
          </w:tcPr>
          <w:p w:rsidR="00035233" w:rsidRDefault="00035233" w:rsidP="00035233">
            <w:pPr>
              <w:pStyle w:val="05Tabletext"/>
              <w:jc w:val="center"/>
            </w:pPr>
            <w:r>
              <w:t>4.03 (3.68, 4.41)</w:t>
            </w:r>
          </w:p>
        </w:tc>
        <w:tc>
          <w:tcPr>
            <w:tcW w:w="808" w:type="pct"/>
            <w:tcBorders>
              <w:bottom w:val="single" w:sz="4" w:space="0" w:color="auto"/>
            </w:tcBorders>
            <w:shd w:val="clear" w:color="auto" w:fill="auto"/>
          </w:tcPr>
          <w:p w:rsidR="00035233" w:rsidRDefault="00035233" w:rsidP="00035233">
            <w:pPr>
              <w:pStyle w:val="05Tabletext"/>
              <w:jc w:val="center"/>
            </w:pPr>
            <w:r>
              <w:t>0.89 (0.83, 0.96)</w:t>
            </w:r>
          </w:p>
        </w:tc>
        <w:tc>
          <w:tcPr>
            <w:tcW w:w="440" w:type="pct"/>
            <w:tcBorders>
              <w:bottom w:val="single" w:sz="4" w:space="0" w:color="auto"/>
            </w:tcBorders>
            <w:shd w:val="clear" w:color="auto" w:fill="auto"/>
          </w:tcPr>
          <w:p w:rsidR="00035233" w:rsidRDefault="00035233" w:rsidP="00035233">
            <w:pPr>
              <w:pStyle w:val="05Tabletext"/>
              <w:jc w:val="center"/>
            </w:pPr>
            <w:r>
              <w:t>0.003</w:t>
            </w:r>
          </w:p>
        </w:tc>
      </w:tr>
      <w:tr w:rsidR="00035233" w:rsidRPr="00194011" w:rsidTr="00035233">
        <w:trPr>
          <w:cantSplit/>
        </w:trPr>
        <w:tc>
          <w:tcPr>
            <w:tcW w:w="1327" w:type="pct"/>
            <w:tcBorders>
              <w:bottom w:val="single" w:sz="4" w:space="0" w:color="auto"/>
            </w:tcBorders>
            <w:shd w:val="clear" w:color="auto" w:fill="auto"/>
          </w:tcPr>
          <w:p w:rsidR="00035233" w:rsidRPr="00645BC7" w:rsidRDefault="00035233" w:rsidP="00035233">
            <w:pPr>
              <w:pStyle w:val="05Tabletext"/>
            </w:pPr>
            <w:r>
              <w:t>All exacerbations (mild to severe)</w:t>
            </w:r>
          </w:p>
        </w:tc>
        <w:tc>
          <w:tcPr>
            <w:tcW w:w="513" w:type="pct"/>
            <w:tcBorders>
              <w:bottom w:val="single" w:sz="4" w:space="0" w:color="auto"/>
            </w:tcBorders>
          </w:tcPr>
          <w:p w:rsidR="00035233" w:rsidRDefault="00035233" w:rsidP="00035233">
            <w:pPr>
              <w:pStyle w:val="05Tabletext"/>
              <w:jc w:val="center"/>
            </w:pPr>
            <w:r>
              <w:t>1,651</w:t>
            </w:r>
          </w:p>
        </w:tc>
        <w:tc>
          <w:tcPr>
            <w:tcW w:w="699" w:type="pct"/>
            <w:tcBorders>
              <w:bottom w:val="single" w:sz="4" w:space="0" w:color="auto"/>
            </w:tcBorders>
          </w:tcPr>
          <w:p w:rsidR="00035233" w:rsidRDefault="00035233" w:rsidP="00035233">
            <w:pPr>
              <w:pStyle w:val="05Tabletext"/>
              <w:jc w:val="center"/>
            </w:pPr>
            <w:r>
              <w:t>3.59 (3.29, 3.92)</w:t>
            </w:r>
          </w:p>
        </w:tc>
        <w:tc>
          <w:tcPr>
            <w:tcW w:w="549" w:type="pct"/>
            <w:tcBorders>
              <w:bottom w:val="single" w:sz="4" w:space="0" w:color="auto"/>
            </w:tcBorders>
          </w:tcPr>
          <w:p w:rsidR="00035233" w:rsidRDefault="00035233" w:rsidP="00035233">
            <w:pPr>
              <w:pStyle w:val="05Tabletext"/>
              <w:jc w:val="center"/>
            </w:pPr>
            <w:r>
              <w:t>1,656</w:t>
            </w:r>
          </w:p>
        </w:tc>
        <w:tc>
          <w:tcPr>
            <w:tcW w:w="664" w:type="pct"/>
            <w:tcBorders>
              <w:bottom w:val="single" w:sz="4" w:space="0" w:color="auto"/>
            </w:tcBorders>
          </w:tcPr>
          <w:p w:rsidR="00035233" w:rsidRDefault="00035233" w:rsidP="00035233">
            <w:pPr>
              <w:pStyle w:val="05Tabletext"/>
              <w:jc w:val="center"/>
            </w:pPr>
            <w:r>
              <w:t>4.09 (3.75, 4.46)</w:t>
            </w:r>
          </w:p>
        </w:tc>
        <w:tc>
          <w:tcPr>
            <w:tcW w:w="808" w:type="pct"/>
            <w:tcBorders>
              <w:bottom w:val="single" w:sz="4" w:space="0" w:color="auto"/>
            </w:tcBorders>
            <w:shd w:val="clear" w:color="auto" w:fill="auto"/>
          </w:tcPr>
          <w:p w:rsidR="00035233" w:rsidRDefault="00035233" w:rsidP="00035233">
            <w:pPr>
              <w:pStyle w:val="05Tabletext"/>
              <w:jc w:val="center"/>
            </w:pPr>
            <w:r>
              <w:t>0.88 (0.82, 0.94)</w:t>
            </w:r>
          </w:p>
        </w:tc>
        <w:tc>
          <w:tcPr>
            <w:tcW w:w="440" w:type="pct"/>
            <w:tcBorders>
              <w:bottom w:val="single" w:sz="4" w:space="0" w:color="auto"/>
            </w:tcBorders>
            <w:shd w:val="clear" w:color="auto" w:fill="auto"/>
          </w:tcPr>
          <w:p w:rsidR="00035233" w:rsidRDefault="00035233" w:rsidP="00035233">
            <w:pPr>
              <w:pStyle w:val="05Tabletext"/>
              <w:jc w:val="center"/>
            </w:pPr>
            <w:r>
              <w:t>&lt;0.001</w:t>
            </w:r>
          </w:p>
        </w:tc>
      </w:tr>
      <w:tr w:rsidR="00035233" w:rsidRPr="00194011" w:rsidTr="00035233">
        <w:trPr>
          <w:cantSplit/>
        </w:trPr>
        <w:tc>
          <w:tcPr>
            <w:tcW w:w="1327" w:type="pct"/>
            <w:shd w:val="clear" w:color="auto" w:fill="auto"/>
          </w:tcPr>
          <w:p w:rsidR="00035233" w:rsidRPr="00E32027" w:rsidRDefault="00035233" w:rsidP="00035233">
            <w:pPr>
              <w:pStyle w:val="05Tabletext"/>
              <w:rPr>
                <w:vertAlign w:val="superscript"/>
              </w:rPr>
            </w:pPr>
            <w:r>
              <w:t>Mild exacerbations</w:t>
            </w:r>
            <w:r>
              <w:rPr>
                <w:vertAlign w:val="superscript"/>
              </w:rPr>
              <w:t>a</w:t>
            </w:r>
          </w:p>
        </w:tc>
        <w:tc>
          <w:tcPr>
            <w:tcW w:w="513" w:type="pct"/>
            <w:shd w:val="clear" w:color="auto" w:fill="FFFFFF"/>
          </w:tcPr>
          <w:p w:rsidR="00035233" w:rsidRDefault="00035233" w:rsidP="00035233">
            <w:pPr>
              <w:pStyle w:val="05Tabletext"/>
              <w:jc w:val="center"/>
            </w:pPr>
            <w:r>
              <w:t>1,651</w:t>
            </w:r>
          </w:p>
        </w:tc>
        <w:tc>
          <w:tcPr>
            <w:tcW w:w="699" w:type="pct"/>
            <w:shd w:val="clear" w:color="auto" w:fill="FFFFFF"/>
          </w:tcPr>
          <w:p w:rsidR="00035233" w:rsidRDefault="00035233" w:rsidP="00035233">
            <w:pPr>
              <w:pStyle w:val="05Tabletext"/>
              <w:jc w:val="center"/>
            </w:pPr>
            <w:r>
              <w:t>2.46 (2.20, 2.74)</w:t>
            </w:r>
          </w:p>
        </w:tc>
        <w:tc>
          <w:tcPr>
            <w:tcW w:w="549" w:type="pct"/>
            <w:shd w:val="clear" w:color="auto" w:fill="FFFFFF"/>
          </w:tcPr>
          <w:p w:rsidR="00035233" w:rsidRDefault="00035233" w:rsidP="00035233">
            <w:pPr>
              <w:pStyle w:val="05Tabletext"/>
              <w:jc w:val="center"/>
            </w:pPr>
            <w:r>
              <w:t>1,656</w:t>
            </w:r>
          </w:p>
        </w:tc>
        <w:tc>
          <w:tcPr>
            <w:tcW w:w="664" w:type="pct"/>
            <w:shd w:val="clear" w:color="auto" w:fill="FFFFFF"/>
          </w:tcPr>
          <w:p w:rsidR="00035233" w:rsidRDefault="00035233" w:rsidP="00035233">
            <w:pPr>
              <w:pStyle w:val="05Tabletext"/>
              <w:jc w:val="center"/>
            </w:pPr>
            <w:r>
              <w:t>2.72 (2.43, 3.03)</w:t>
            </w:r>
          </w:p>
        </w:tc>
        <w:tc>
          <w:tcPr>
            <w:tcW w:w="808" w:type="pct"/>
            <w:shd w:val="clear" w:color="auto" w:fill="auto"/>
          </w:tcPr>
          <w:p w:rsidR="00035233" w:rsidRDefault="00035233" w:rsidP="00035233">
            <w:pPr>
              <w:pStyle w:val="05Tabletext"/>
              <w:jc w:val="center"/>
            </w:pPr>
            <w:r>
              <w:t>0.91 (0.83, 0.99)</w:t>
            </w:r>
          </w:p>
        </w:tc>
        <w:tc>
          <w:tcPr>
            <w:tcW w:w="440" w:type="pct"/>
            <w:shd w:val="clear" w:color="auto" w:fill="auto"/>
          </w:tcPr>
          <w:p w:rsidR="00035233" w:rsidRDefault="00035233" w:rsidP="00035233">
            <w:pPr>
              <w:pStyle w:val="05Tabletext"/>
              <w:jc w:val="center"/>
            </w:pPr>
            <w:r>
              <w:t>0.030</w:t>
            </w:r>
          </w:p>
        </w:tc>
      </w:tr>
      <w:tr w:rsidR="00035233" w:rsidRPr="00194011" w:rsidTr="00035233">
        <w:trPr>
          <w:cantSplit/>
        </w:trPr>
        <w:tc>
          <w:tcPr>
            <w:tcW w:w="1327" w:type="pct"/>
            <w:shd w:val="clear" w:color="auto" w:fill="auto"/>
          </w:tcPr>
          <w:p w:rsidR="00035233" w:rsidRPr="00E32027" w:rsidRDefault="00035233" w:rsidP="00035233">
            <w:pPr>
              <w:pStyle w:val="05Tabletext"/>
              <w:rPr>
                <w:vertAlign w:val="superscript"/>
              </w:rPr>
            </w:pPr>
            <w:r>
              <w:t>Moderate exacerbations</w:t>
            </w:r>
            <w:r>
              <w:rPr>
                <w:vertAlign w:val="superscript"/>
              </w:rPr>
              <w:t>b</w:t>
            </w:r>
          </w:p>
        </w:tc>
        <w:tc>
          <w:tcPr>
            <w:tcW w:w="513" w:type="pct"/>
            <w:shd w:val="clear" w:color="auto" w:fill="FFFFFF"/>
          </w:tcPr>
          <w:p w:rsidR="00035233" w:rsidRDefault="00035233" w:rsidP="00035233">
            <w:pPr>
              <w:pStyle w:val="05Tabletext"/>
              <w:jc w:val="center"/>
            </w:pPr>
            <w:r>
              <w:t>1,651</w:t>
            </w:r>
          </w:p>
        </w:tc>
        <w:tc>
          <w:tcPr>
            <w:tcW w:w="699" w:type="pct"/>
            <w:shd w:val="clear" w:color="auto" w:fill="FFFFFF"/>
          </w:tcPr>
          <w:p w:rsidR="00035233" w:rsidRDefault="00035233" w:rsidP="00035233">
            <w:pPr>
              <w:pStyle w:val="05Tabletext"/>
              <w:jc w:val="center"/>
            </w:pPr>
            <w:r>
              <w:t>0.81 (0.72, 0.91)</w:t>
            </w:r>
          </w:p>
        </w:tc>
        <w:tc>
          <w:tcPr>
            <w:tcW w:w="549" w:type="pct"/>
            <w:shd w:val="clear" w:color="auto" w:fill="FFFFFF"/>
          </w:tcPr>
          <w:p w:rsidR="00035233" w:rsidRDefault="00035233" w:rsidP="00035233">
            <w:pPr>
              <w:pStyle w:val="05Tabletext"/>
              <w:jc w:val="center"/>
            </w:pPr>
            <w:r>
              <w:t>1,656</w:t>
            </w:r>
          </w:p>
        </w:tc>
        <w:tc>
          <w:tcPr>
            <w:tcW w:w="664" w:type="pct"/>
            <w:shd w:val="clear" w:color="auto" w:fill="FFFFFF"/>
          </w:tcPr>
          <w:p w:rsidR="00035233" w:rsidRDefault="00035233" w:rsidP="00035233">
            <w:pPr>
              <w:pStyle w:val="05Tabletext"/>
              <w:jc w:val="center"/>
            </w:pPr>
            <w:r>
              <w:t>0.98 (0.87, 1.10)</w:t>
            </w:r>
          </w:p>
        </w:tc>
        <w:tc>
          <w:tcPr>
            <w:tcW w:w="808" w:type="pct"/>
            <w:shd w:val="clear" w:color="auto" w:fill="auto"/>
          </w:tcPr>
          <w:p w:rsidR="00035233" w:rsidRDefault="00035233" w:rsidP="00035233">
            <w:pPr>
              <w:pStyle w:val="05Tabletext"/>
              <w:jc w:val="center"/>
            </w:pPr>
            <w:r>
              <w:t>0.83 (0.74, 0.92)</w:t>
            </w:r>
          </w:p>
        </w:tc>
        <w:tc>
          <w:tcPr>
            <w:tcW w:w="440" w:type="pct"/>
            <w:shd w:val="clear" w:color="auto" w:fill="auto"/>
          </w:tcPr>
          <w:p w:rsidR="00035233" w:rsidRDefault="00035233" w:rsidP="00035233">
            <w:pPr>
              <w:pStyle w:val="05Tabletext"/>
              <w:jc w:val="center"/>
            </w:pPr>
            <w:r>
              <w:t>&lt;0.001</w:t>
            </w:r>
          </w:p>
        </w:tc>
      </w:tr>
      <w:tr w:rsidR="00035233" w:rsidRPr="00194011" w:rsidTr="00035233">
        <w:trPr>
          <w:cantSplit/>
        </w:trPr>
        <w:tc>
          <w:tcPr>
            <w:tcW w:w="1327" w:type="pct"/>
            <w:shd w:val="clear" w:color="auto" w:fill="auto"/>
          </w:tcPr>
          <w:p w:rsidR="00035233" w:rsidRPr="00E32027" w:rsidRDefault="00035233" w:rsidP="00035233">
            <w:pPr>
              <w:pStyle w:val="05Tabletext"/>
              <w:rPr>
                <w:vertAlign w:val="superscript"/>
              </w:rPr>
            </w:pPr>
            <w:r>
              <w:t>Moderate or severe exacerbations</w:t>
            </w:r>
          </w:p>
        </w:tc>
        <w:tc>
          <w:tcPr>
            <w:tcW w:w="513" w:type="pct"/>
            <w:shd w:val="clear" w:color="auto" w:fill="FFFFFF"/>
          </w:tcPr>
          <w:p w:rsidR="00035233" w:rsidRDefault="00035233" w:rsidP="00035233">
            <w:pPr>
              <w:pStyle w:val="05Tabletext"/>
              <w:jc w:val="center"/>
            </w:pPr>
            <w:r>
              <w:t>1,651</w:t>
            </w:r>
          </w:p>
        </w:tc>
        <w:tc>
          <w:tcPr>
            <w:tcW w:w="699" w:type="pct"/>
            <w:shd w:val="clear" w:color="auto" w:fill="FFFFFF"/>
          </w:tcPr>
          <w:p w:rsidR="00035233" w:rsidRDefault="00035233" w:rsidP="00035233">
            <w:pPr>
              <w:pStyle w:val="05Tabletext"/>
              <w:jc w:val="center"/>
            </w:pPr>
            <w:r>
              <w:t>0.98 (0.88, 1.10)</w:t>
            </w:r>
          </w:p>
        </w:tc>
        <w:tc>
          <w:tcPr>
            <w:tcW w:w="549" w:type="pct"/>
            <w:shd w:val="clear" w:color="auto" w:fill="FFFFFF"/>
          </w:tcPr>
          <w:p w:rsidR="00035233" w:rsidRDefault="00035233" w:rsidP="00035233">
            <w:pPr>
              <w:pStyle w:val="05Tabletext"/>
              <w:jc w:val="center"/>
            </w:pPr>
            <w:r>
              <w:t>1,656</w:t>
            </w:r>
          </w:p>
        </w:tc>
        <w:tc>
          <w:tcPr>
            <w:tcW w:w="664" w:type="pct"/>
            <w:shd w:val="clear" w:color="auto" w:fill="FFFFFF"/>
          </w:tcPr>
          <w:p w:rsidR="00035233" w:rsidRDefault="00035233" w:rsidP="00035233">
            <w:pPr>
              <w:pStyle w:val="05Tabletext"/>
              <w:jc w:val="center"/>
            </w:pPr>
            <w:r>
              <w:t>1.19 (1.07, 1.32)</w:t>
            </w:r>
          </w:p>
        </w:tc>
        <w:tc>
          <w:tcPr>
            <w:tcW w:w="808" w:type="pct"/>
            <w:shd w:val="clear" w:color="auto" w:fill="auto"/>
          </w:tcPr>
          <w:p w:rsidR="00035233" w:rsidRDefault="00035233" w:rsidP="00035233">
            <w:pPr>
              <w:pStyle w:val="05Tabletext"/>
              <w:jc w:val="center"/>
            </w:pPr>
            <w:r>
              <w:t>0.83 (0.75, 0.91)</w:t>
            </w:r>
          </w:p>
        </w:tc>
        <w:tc>
          <w:tcPr>
            <w:tcW w:w="440" w:type="pct"/>
            <w:shd w:val="clear" w:color="auto" w:fill="auto"/>
          </w:tcPr>
          <w:p w:rsidR="00035233" w:rsidRDefault="00035233" w:rsidP="00035233">
            <w:pPr>
              <w:pStyle w:val="05Tabletext"/>
              <w:jc w:val="center"/>
            </w:pPr>
            <w:r>
              <w:t>&lt;0.001</w:t>
            </w:r>
          </w:p>
        </w:tc>
      </w:tr>
      <w:tr w:rsidR="00035233" w:rsidRPr="00194011" w:rsidTr="00035233">
        <w:trPr>
          <w:cantSplit/>
        </w:trPr>
        <w:tc>
          <w:tcPr>
            <w:tcW w:w="1327" w:type="pct"/>
            <w:tcBorders>
              <w:bottom w:val="single" w:sz="4" w:space="0" w:color="auto"/>
            </w:tcBorders>
            <w:shd w:val="clear" w:color="auto" w:fill="auto"/>
          </w:tcPr>
          <w:p w:rsidR="00035233" w:rsidRPr="00BE4233" w:rsidRDefault="00035233" w:rsidP="00035233">
            <w:pPr>
              <w:pStyle w:val="05Tabletext"/>
              <w:rPr>
                <w:vertAlign w:val="superscript"/>
              </w:rPr>
            </w:pPr>
            <w:r>
              <w:t>Severe exacerbations</w:t>
            </w:r>
            <w:r>
              <w:rPr>
                <w:vertAlign w:val="superscript"/>
              </w:rPr>
              <w:t>c</w:t>
            </w:r>
          </w:p>
        </w:tc>
        <w:tc>
          <w:tcPr>
            <w:tcW w:w="513" w:type="pct"/>
            <w:tcBorders>
              <w:bottom w:val="single" w:sz="4" w:space="0" w:color="auto"/>
            </w:tcBorders>
            <w:shd w:val="clear" w:color="auto" w:fill="FFFFFF"/>
          </w:tcPr>
          <w:p w:rsidR="00035233" w:rsidRDefault="00035233" w:rsidP="00035233">
            <w:pPr>
              <w:pStyle w:val="05Tabletext"/>
              <w:jc w:val="center"/>
            </w:pPr>
            <w:r>
              <w:t>1,651</w:t>
            </w:r>
          </w:p>
        </w:tc>
        <w:tc>
          <w:tcPr>
            <w:tcW w:w="699" w:type="pct"/>
            <w:tcBorders>
              <w:bottom w:val="single" w:sz="4" w:space="0" w:color="auto"/>
            </w:tcBorders>
            <w:shd w:val="clear" w:color="auto" w:fill="FFFFFF"/>
          </w:tcPr>
          <w:p w:rsidR="00035233" w:rsidRDefault="00035233" w:rsidP="00035233">
            <w:pPr>
              <w:pStyle w:val="05Tabletext"/>
              <w:jc w:val="center"/>
            </w:pPr>
            <w:r>
              <w:t>0.15 (0.11, 0.19)</w:t>
            </w:r>
          </w:p>
        </w:tc>
        <w:tc>
          <w:tcPr>
            <w:tcW w:w="549" w:type="pct"/>
            <w:tcBorders>
              <w:bottom w:val="single" w:sz="4" w:space="0" w:color="auto"/>
            </w:tcBorders>
            <w:shd w:val="clear" w:color="auto" w:fill="FFFFFF"/>
          </w:tcPr>
          <w:p w:rsidR="00035233" w:rsidRDefault="00035233" w:rsidP="00035233">
            <w:pPr>
              <w:pStyle w:val="05Tabletext"/>
              <w:jc w:val="center"/>
            </w:pPr>
            <w:r>
              <w:t>1,656</w:t>
            </w:r>
          </w:p>
        </w:tc>
        <w:tc>
          <w:tcPr>
            <w:tcW w:w="664" w:type="pct"/>
            <w:tcBorders>
              <w:bottom w:val="single" w:sz="4" w:space="0" w:color="auto"/>
            </w:tcBorders>
            <w:shd w:val="clear" w:color="auto" w:fill="FFFFFF"/>
          </w:tcPr>
          <w:p w:rsidR="00035233" w:rsidRDefault="00035233" w:rsidP="00035233">
            <w:pPr>
              <w:pStyle w:val="05Tabletext"/>
              <w:jc w:val="center"/>
            </w:pPr>
            <w:r>
              <w:t>0.17 (0.13, 0.22)</w:t>
            </w:r>
          </w:p>
        </w:tc>
        <w:tc>
          <w:tcPr>
            <w:tcW w:w="808" w:type="pct"/>
            <w:tcBorders>
              <w:bottom w:val="single" w:sz="4" w:space="0" w:color="auto"/>
            </w:tcBorders>
            <w:shd w:val="clear" w:color="auto" w:fill="auto"/>
          </w:tcPr>
          <w:p w:rsidR="00035233" w:rsidRDefault="00035233" w:rsidP="00035233">
            <w:pPr>
              <w:pStyle w:val="05Tabletext"/>
              <w:jc w:val="center"/>
            </w:pPr>
            <w:r>
              <w:t>0.87 (0.69, 1.09)</w:t>
            </w:r>
          </w:p>
        </w:tc>
        <w:tc>
          <w:tcPr>
            <w:tcW w:w="440" w:type="pct"/>
            <w:tcBorders>
              <w:bottom w:val="single" w:sz="4" w:space="0" w:color="auto"/>
            </w:tcBorders>
            <w:shd w:val="clear" w:color="auto" w:fill="auto"/>
          </w:tcPr>
          <w:p w:rsidR="00035233" w:rsidRDefault="00035233" w:rsidP="00035233">
            <w:pPr>
              <w:pStyle w:val="05Tabletext"/>
              <w:jc w:val="center"/>
            </w:pPr>
            <w:r>
              <w:t>0.23</w:t>
            </w:r>
          </w:p>
        </w:tc>
      </w:tr>
    </w:tbl>
    <w:p w:rsidR="00035233" w:rsidRDefault="00035233" w:rsidP="00035233">
      <w:pPr>
        <w:pStyle w:val="10TableorFigurefootnote"/>
      </w:pPr>
      <w:r>
        <w:t>Source: Wedzicha et al (2016), p 2229 (in text); Figure 2; Figure S5A; Table S5 (Supplementary material).</w:t>
      </w:r>
    </w:p>
    <w:p w:rsidR="00035233" w:rsidRDefault="00035233" w:rsidP="00035233">
      <w:pPr>
        <w:pStyle w:val="10TableorFigurefootnote"/>
      </w:pPr>
      <w:r>
        <w:t xml:space="preserve">Note (1): Analyses based on the modified ITT population unless otherwise specified. The modified ITT population was </w:t>
      </w:r>
      <w:r w:rsidRPr="009F1D0C">
        <w:t>all</w:t>
      </w:r>
      <w:r>
        <w:t xml:space="preserve"> patients who underwent randomis</w:t>
      </w:r>
      <w:r w:rsidRPr="009F1D0C">
        <w:t>ation, received at least one dose of a drug during the treatment period, and did not have major violations of compliance with Good Clinical Practice guidelines before unblinding occurred</w:t>
      </w:r>
      <w:r>
        <w:t>.</w:t>
      </w:r>
    </w:p>
    <w:p w:rsidR="00035233" w:rsidRDefault="00035233" w:rsidP="00035233">
      <w:pPr>
        <w:pStyle w:val="10TableorFigurefootnote"/>
      </w:pPr>
      <w:r>
        <w:t>Note (2): Annuali</w:t>
      </w:r>
      <w:r w:rsidR="009B3FE7">
        <w:t>s</w:t>
      </w:r>
      <w:r>
        <w:t xml:space="preserve">ed rate estimates are from a generalised linear model assuming a negative binomial distribution with fixed effects of treatment, baseline total symptom score, baseline COPD exacerbation history (i.e. number of COPD exacerbations during the past 12 months prior to study), smoking status at screening, </w:t>
      </w:r>
      <w:proofErr w:type="gramStart"/>
      <w:r>
        <w:t>ICS</w:t>
      </w:r>
      <w:proofErr w:type="gramEnd"/>
      <w:r>
        <w:t xml:space="preserve"> use at screening, airflow limitation severity, and region. The offset variable </w:t>
      </w:r>
      <w:proofErr w:type="gramStart"/>
      <w:r>
        <w:t>log(</w:t>
      </w:r>
      <w:proofErr w:type="gramEnd"/>
      <w:r>
        <w:t>exposure time in years) was used.</w:t>
      </w:r>
    </w:p>
    <w:p w:rsidR="00035233" w:rsidRDefault="00035233" w:rsidP="00035233">
      <w:pPr>
        <w:pStyle w:val="10TableorFigurefootnote"/>
      </w:pPr>
      <w:r>
        <w:t>Abbreviations: CI, confidence interval; COPD, chronic obstructive pulmonary disease; FLU, fluticasone</w:t>
      </w:r>
      <w:r w:rsidR="004C4CDF">
        <w:t xml:space="preserve"> propionate</w:t>
      </w:r>
      <w:r>
        <w:t>; GLY, glycopyrronium; IND, indacaterol; SAL, salmeterol.</w:t>
      </w:r>
    </w:p>
    <w:p w:rsidR="00035233" w:rsidRDefault="00035233" w:rsidP="00035233">
      <w:pPr>
        <w:pStyle w:val="10TableorFigurefootnote"/>
      </w:pPr>
      <w:proofErr w:type="gramStart"/>
      <w:r>
        <w:rPr>
          <w:b/>
        </w:rPr>
        <w:t>a</w:t>
      </w:r>
      <w:proofErr w:type="gramEnd"/>
      <w:r>
        <w:t xml:space="preserve"> Exacerbations </w:t>
      </w:r>
      <w:r w:rsidRPr="00E32027">
        <w:t>involving worsening of symptoms for more than two consecutive days but not leading to treatment with systemic glucocorticoids or antibiotics</w:t>
      </w:r>
      <w:r>
        <w:t>.</w:t>
      </w:r>
    </w:p>
    <w:p w:rsidR="00035233" w:rsidRDefault="00035233" w:rsidP="00035233">
      <w:pPr>
        <w:pStyle w:val="10TableorFigurefootnote"/>
      </w:pPr>
      <w:proofErr w:type="gramStart"/>
      <w:r>
        <w:rPr>
          <w:b/>
        </w:rPr>
        <w:t>b</w:t>
      </w:r>
      <w:proofErr w:type="gramEnd"/>
      <w:r>
        <w:t xml:space="preserve"> E</w:t>
      </w:r>
      <w:r w:rsidRPr="00E32027">
        <w:t>xacerbations leading to treatment with systematic glucocorticoids, antibiotics, or both</w:t>
      </w:r>
      <w:r>
        <w:t>.</w:t>
      </w:r>
    </w:p>
    <w:p w:rsidR="00035233" w:rsidRPr="00E32027" w:rsidRDefault="00035233" w:rsidP="00035233">
      <w:pPr>
        <w:pStyle w:val="10TableorFigurefootnote"/>
      </w:pPr>
      <w:r>
        <w:rPr>
          <w:b/>
        </w:rPr>
        <w:t>c</w:t>
      </w:r>
      <w:r>
        <w:t xml:space="preserve"> E</w:t>
      </w:r>
      <w:r w:rsidRPr="00E32027">
        <w:t>xacerbations leading to hospital admission or a visit to the emergency department that lasted more than 24 hours in addition to treatment with</w:t>
      </w:r>
      <w:r w:rsidRPr="00BE4233">
        <w:t xml:space="preserve"> systemic glucocorticoids, antibiotics, or both</w:t>
      </w:r>
      <w:r>
        <w:t>.</w:t>
      </w:r>
    </w:p>
    <w:p w:rsidR="00035233" w:rsidRDefault="00035233" w:rsidP="00035233">
      <w:pPr>
        <w:pStyle w:val="BodyText"/>
      </w:pPr>
      <w:r>
        <w:t xml:space="preserve">The robustness of the results </w:t>
      </w:r>
      <w:proofErr w:type="gramStart"/>
      <w:r>
        <w:t>were</w:t>
      </w:r>
      <w:proofErr w:type="gramEnd"/>
      <w:r>
        <w:t xml:space="preserve"> tested in several sensitivity analyses using both on- and off-treatment data from patients who discontinued treatment early. The sensitivity analyses were consistent with the primary analysis, indicating that glycopyrronium/indacaterol was more effective than fluticasone</w:t>
      </w:r>
      <w:r w:rsidR="004C4CDF">
        <w:t xml:space="preserve"> propionate</w:t>
      </w:r>
      <w:r>
        <w:t>/salmeterol at preventing exacerbations.</w:t>
      </w:r>
    </w:p>
    <w:p w:rsidR="00035233" w:rsidRPr="00514398" w:rsidRDefault="00E75CD2" w:rsidP="00035233">
      <w:pPr>
        <w:pStyle w:val="BodyText"/>
      </w:pPr>
      <w:r>
        <w:t>Figure 3.7</w:t>
      </w:r>
      <w:r w:rsidR="00035233">
        <w:t xml:space="preserve"> shows the results of a secondary analysis in which the primary outcome was adjusted for multiple testing. Glycopyrronium/indacaterol achieved superiority over fluticasone</w:t>
      </w:r>
      <w:r w:rsidR="004C4CDF">
        <w:t xml:space="preserve"> propionate</w:t>
      </w:r>
      <w:r w:rsidR="00035233">
        <w:t xml:space="preserve">/salmeterol in reducing the annual rate of all COPD exacerbations in both </w:t>
      </w:r>
      <w:proofErr w:type="gramStart"/>
      <w:r w:rsidR="00035233">
        <w:t>the</w:t>
      </w:r>
      <w:r w:rsidR="002344BB">
        <w:t xml:space="preserve"> per</w:t>
      </w:r>
      <w:proofErr w:type="gramEnd"/>
      <w:r w:rsidR="00035233">
        <w:t xml:space="preserve"> protocol and modified ITT populations.</w:t>
      </w:r>
    </w:p>
    <w:p w:rsidR="00035233" w:rsidRPr="00A81F52" w:rsidRDefault="00E319BB" w:rsidP="00E319BB">
      <w:pPr>
        <w:pStyle w:val="ToR3Figureheader"/>
      </w:pPr>
      <w:bookmarkStart w:id="418" w:name="_Toc468006301"/>
      <w:bookmarkStart w:id="419" w:name="_Toc468012346"/>
      <w:bookmarkStart w:id="420" w:name="_Toc468034502"/>
      <w:bookmarkStart w:id="421" w:name="_Toc471891137"/>
      <w:bookmarkStart w:id="422" w:name="_Toc480375164"/>
      <w:bookmarkStart w:id="423" w:name="_Toc486428270"/>
      <w:r>
        <w:t>Figure 3.7</w:t>
      </w:r>
      <w:r w:rsidR="00035233">
        <w:tab/>
        <w:t>Rate ratio for all exacerbations (mild, moderate, and severe) – GLY/IND vs FLU/SAL</w:t>
      </w:r>
      <w:bookmarkEnd w:id="418"/>
      <w:bookmarkEnd w:id="419"/>
      <w:bookmarkEnd w:id="420"/>
      <w:bookmarkEnd w:id="421"/>
      <w:bookmarkEnd w:id="422"/>
      <w:bookmarkEnd w:id="423"/>
    </w:p>
    <w:p w:rsidR="00035233" w:rsidRDefault="00035233" w:rsidP="00035233">
      <w:pPr>
        <w:pStyle w:val="Picturewithbox"/>
      </w:pPr>
      <w:r>
        <w:rPr>
          <w:noProof/>
          <w:lang w:eastAsia="en-AU"/>
        </w:rPr>
        <w:drawing>
          <wp:inline distT="0" distB="0" distL="0" distR="0" wp14:anchorId="37894DDB" wp14:editId="297CA4D9">
            <wp:extent cx="5784850" cy="2575560"/>
            <wp:effectExtent l="0" t="0" r="6350" b="0"/>
            <wp:docPr id="8" name="Picture 8" descr="GLY/IND vs FLU/SAL" title="Rate ratio for all exacerbations (mild, moderate, and seve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dzicha 2a"/>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84850" cy="2575560"/>
                    </a:xfrm>
                    <a:prstGeom prst="rect">
                      <a:avLst/>
                    </a:prstGeom>
                    <a:noFill/>
                    <a:ln>
                      <a:noFill/>
                    </a:ln>
                  </pic:spPr>
                </pic:pic>
              </a:graphicData>
            </a:graphic>
          </wp:inline>
        </w:drawing>
      </w:r>
    </w:p>
    <w:p w:rsidR="00035233" w:rsidRDefault="00035233" w:rsidP="00035233">
      <w:pPr>
        <w:pStyle w:val="10TableorFigurefootnote"/>
      </w:pPr>
      <w:r>
        <w:t>Source: Wedzicha et al (2016), Figure 2a.</w:t>
      </w:r>
    </w:p>
    <w:p w:rsidR="00035233" w:rsidRDefault="00035233" w:rsidP="00035233">
      <w:pPr>
        <w:pStyle w:val="11TableorFigurefootnotenostick"/>
      </w:pPr>
      <w:r>
        <w:t>Abbreviations: FLU, fluticasone</w:t>
      </w:r>
      <w:r w:rsidR="004C4CDF">
        <w:t xml:space="preserve"> </w:t>
      </w:r>
      <w:r w:rsidR="00187C1A">
        <w:t>propionate</w:t>
      </w:r>
      <w:r>
        <w:t>; GLY, glycopyrronium; IND, indacaterol; SAL, salmeterol.</w:t>
      </w:r>
    </w:p>
    <w:p w:rsidR="00035233" w:rsidRPr="005F6AA5" w:rsidRDefault="00035233" w:rsidP="00E409CC">
      <w:pPr>
        <w:pStyle w:val="BodyText"/>
        <w:keepNext/>
        <w:keepLines/>
      </w:pPr>
      <w:r>
        <w:lastRenderedPageBreak/>
        <w:t xml:space="preserve">Subgroup analyses were undertaken to assess the impact that other factors, such as severity of COPD and prior use of maintenance therapies would have on the treatment effect. </w:t>
      </w:r>
      <w:r w:rsidR="00E75CD2">
        <w:t>Table</w:t>
      </w:r>
      <w:r w:rsidR="00E319BB">
        <w:t> </w:t>
      </w:r>
      <w:r w:rsidR="00E75CD2">
        <w:t>3.6</w:t>
      </w:r>
      <w:r w:rsidR="00967B39">
        <w:t>1</w:t>
      </w:r>
      <w:r w:rsidR="00E75CD2">
        <w:t xml:space="preserve"> </w:t>
      </w:r>
      <w:r>
        <w:t>demonstrates that, across all analysed subgroups, the r</w:t>
      </w:r>
      <w:r w:rsidR="00E75CD2">
        <w:t>esults favoured glycopyrronium/</w:t>
      </w:r>
      <w:r>
        <w:t xml:space="preserve">indacaterol. The forest plot in </w:t>
      </w:r>
      <w:r w:rsidR="00E75CD2">
        <w:t>Figure 3.8</w:t>
      </w:r>
      <w:r>
        <w:t xml:space="preserve"> shows similar results; however</w:t>
      </w:r>
      <w:r w:rsidR="00E319BB">
        <w:t>,</w:t>
      </w:r>
      <w:r>
        <w:t xml:space="preserve"> those sub-analyses focused specifically on moderate or severe exacerbations.</w:t>
      </w:r>
    </w:p>
    <w:p w:rsidR="00035233" w:rsidRDefault="00E75CD2" w:rsidP="00E319BB">
      <w:pPr>
        <w:pStyle w:val="ToR3Tableheader"/>
      </w:pPr>
      <w:bookmarkStart w:id="424" w:name="_Toc468006302"/>
      <w:bookmarkStart w:id="425" w:name="_Toc468012347"/>
      <w:bookmarkStart w:id="426" w:name="_Toc468034503"/>
      <w:bookmarkStart w:id="427" w:name="_Toc471891052"/>
      <w:bookmarkStart w:id="428" w:name="_Toc486428240"/>
      <w:r>
        <w:t>Table 3.6</w:t>
      </w:r>
      <w:r w:rsidR="00967B39">
        <w:t>1</w:t>
      </w:r>
      <w:r w:rsidR="00035233">
        <w:tab/>
        <w:t>Subgroup analyses of COPD exacerbations (all severities) over 52 weeks – GLY/IND vs FLU/SAL</w:t>
      </w:r>
      <w:bookmarkEnd w:id="424"/>
      <w:bookmarkEnd w:id="425"/>
      <w:bookmarkEnd w:id="426"/>
      <w:bookmarkEnd w:id="427"/>
      <w:bookmarkEnd w:id="4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Subgroup analyses of COPD exacerbations (all severities) over 52 weeks "/>
        <w:tblDescription w:val="GLY/IND vs FLU/SAL"/>
      </w:tblPr>
      <w:tblGrid>
        <w:gridCol w:w="3323"/>
        <w:gridCol w:w="1820"/>
        <w:gridCol w:w="2294"/>
        <w:gridCol w:w="2211"/>
      </w:tblGrid>
      <w:tr w:rsidR="00035233" w:rsidRPr="00F01736" w:rsidTr="00035233">
        <w:trPr>
          <w:cantSplit/>
          <w:tblHeader/>
        </w:trPr>
        <w:tc>
          <w:tcPr>
            <w:tcW w:w="1722" w:type="pct"/>
            <w:tcBorders>
              <w:bottom w:val="single" w:sz="4" w:space="0" w:color="auto"/>
            </w:tcBorders>
            <w:shd w:val="clear" w:color="auto" w:fill="BFBFBF"/>
          </w:tcPr>
          <w:p w:rsidR="00035233" w:rsidRPr="00F01736" w:rsidRDefault="00035233" w:rsidP="00035233">
            <w:pPr>
              <w:pStyle w:val="01TableHEADINGleftaligned"/>
            </w:pPr>
          </w:p>
        </w:tc>
        <w:tc>
          <w:tcPr>
            <w:tcW w:w="943" w:type="pct"/>
            <w:tcBorders>
              <w:bottom w:val="single" w:sz="4" w:space="0" w:color="auto"/>
            </w:tcBorders>
            <w:shd w:val="clear" w:color="auto" w:fill="BFBFBF"/>
          </w:tcPr>
          <w:p w:rsidR="00035233" w:rsidRDefault="00035233" w:rsidP="00035233">
            <w:pPr>
              <w:pStyle w:val="01TableHEADINGleftaligned"/>
              <w:jc w:val="center"/>
            </w:pPr>
            <w:r>
              <w:t>GLY/IND (n=1,651)</w:t>
            </w:r>
          </w:p>
        </w:tc>
        <w:tc>
          <w:tcPr>
            <w:tcW w:w="1189" w:type="pct"/>
            <w:tcBorders>
              <w:bottom w:val="single" w:sz="4" w:space="0" w:color="auto"/>
            </w:tcBorders>
            <w:shd w:val="clear" w:color="auto" w:fill="BFBFBF"/>
          </w:tcPr>
          <w:p w:rsidR="00035233" w:rsidRDefault="00035233" w:rsidP="00035233">
            <w:pPr>
              <w:pStyle w:val="01TableHEADINGleftaligned"/>
              <w:jc w:val="center"/>
            </w:pPr>
            <w:r>
              <w:t>FLU/SAL (n=1,656)</w:t>
            </w:r>
          </w:p>
        </w:tc>
        <w:tc>
          <w:tcPr>
            <w:tcW w:w="1146" w:type="pct"/>
            <w:tcBorders>
              <w:bottom w:val="single" w:sz="4" w:space="0" w:color="auto"/>
              <w:right w:val="single" w:sz="4" w:space="0" w:color="auto"/>
            </w:tcBorders>
            <w:shd w:val="clear" w:color="auto" w:fill="BFBFBF"/>
          </w:tcPr>
          <w:p w:rsidR="00035233" w:rsidRPr="00F01736" w:rsidRDefault="00035233" w:rsidP="00035233">
            <w:pPr>
              <w:pStyle w:val="01TableHEADINGleftaligned"/>
              <w:jc w:val="center"/>
            </w:pPr>
            <w:r>
              <w:t>Rate ratio (95% CI)</w:t>
            </w:r>
          </w:p>
        </w:tc>
      </w:tr>
      <w:tr w:rsidR="00035233" w:rsidRPr="00194011" w:rsidTr="00035233">
        <w:trPr>
          <w:cantSplit/>
        </w:trPr>
        <w:tc>
          <w:tcPr>
            <w:tcW w:w="1722" w:type="pct"/>
            <w:shd w:val="clear" w:color="auto" w:fill="000000"/>
          </w:tcPr>
          <w:p w:rsidR="00035233" w:rsidRDefault="00035233" w:rsidP="00035233">
            <w:pPr>
              <w:pStyle w:val="04Tablesubheading"/>
            </w:pPr>
            <w:r>
              <w:t>Severity of airflow limitation</w:t>
            </w:r>
          </w:p>
        </w:tc>
        <w:tc>
          <w:tcPr>
            <w:tcW w:w="943" w:type="pct"/>
            <w:shd w:val="clear" w:color="auto" w:fill="000000"/>
          </w:tcPr>
          <w:p w:rsidR="00035233" w:rsidRDefault="00035233" w:rsidP="00035233">
            <w:pPr>
              <w:pStyle w:val="04Tablesubheading"/>
            </w:pPr>
          </w:p>
        </w:tc>
        <w:tc>
          <w:tcPr>
            <w:tcW w:w="1189" w:type="pct"/>
            <w:shd w:val="clear" w:color="auto" w:fill="000000"/>
          </w:tcPr>
          <w:p w:rsidR="00035233" w:rsidRDefault="00035233" w:rsidP="00035233">
            <w:pPr>
              <w:pStyle w:val="04Tablesubheading"/>
            </w:pPr>
          </w:p>
        </w:tc>
        <w:tc>
          <w:tcPr>
            <w:tcW w:w="1146" w:type="pct"/>
            <w:shd w:val="clear" w:color="auto" w:fill="000000"/>
          </w:tcPr>
          <w:p w:rsidR="00035233" w:rsidRDefault="00035233" w:rsidP="00035233">
            <w:pPr>
              <w:pStyle w:val="04Tablesubheading"/>
            </w:pPr>
          </w:p>
        </w:tc>
      </w:tr>
      <w:tr w:rsidR="00035233" w:rsidRPr="00194011" w:rsidTr="00035233">
        <w:trPr>
          <w:cantSplit/>
        </w:trPr>
        <w:tc>
          <w:tcPr>
            <w:tcW w:w="1722" w:type="pct"/>
            <w:shd w:val="clear" w:color="auto" w:fill="auto"/>
          </w:tcPr>
          <w:p w:rsidR="00035233" w:rsidRDefault="00035233" w:rsidP="00035233">
            <w:pPr>
              <w:pStyle w:val="05Tabletext"/>
            </w:pPr>
            <w:r>
              <w:t>Moderate</w:t>
            </w:r>
          </w:p>
        </w:tc>
        <w:tc>
          <w:tcPr>
            <w:tcW w:w="943" w:type="pct"/>
          </w:tcPr>
          <w:p w:rsidR="00035233" w:rsidRDefault="00035233" w:rsidP="00035233">
            <w:pPr>
              <w:pStyle w:val="05Tabletext"/>
              <w:jc w:val="center"/>
            </w:pPr>
            <w:r>
              <w:t>557</w:t>
            </w:r>
          </w:p>
        </w:tc>
        <w:tc>
          <w:tcPr>
            <w:tcW w:w="1189" w:type="pct"/>
          </w:tcPr>
          <w:p w:rsidR="00035233" w:rsidRDefault="00035233" w:rsidP="00035233">
            <w:pPr>
              <w:pStyle w:val="05Tabletext"/>
              <w:jc w:val="center"/>
            </w:pPr>
            <w:r>
              <w:t>557</w:t>
            </w:r>
          </w:p>
        </w:tc>
        <w:tc>
          <w:tcPr>
            <w:tcW w:w="1146" w:type="pct"/>
            <w:shd w:val="clear" w:color="auto" w:fill="auto"/>
          </w:tcPr>
          <w:p w:rsidR="00035233" w:rsidRDefault="00035233" w:rsidP="00035233">
            <w:pPr>
              <w:pStyle w:val="05Tabletext"/>
              <w:jc w:val="center"/>
            </w:pPr>
            <w:r>
              <w:t>0.93 (0.82, 1.06)</w:t>
            </w:r>
          </w:p>
        </w:tc>
      </w:tr>
      <w:tr w:rsidR="00035233" w:rsidRPr="00194011" w:rsidTr="00035233">
        <w:trPr>
          <w:cantSplit/>
        </w:trPr>
        <w:tc>
          <w:tcPr>
            <w:tcW w:w="1722" w:type="pct"/>
            <w:shd w:val="clear" w:color="auto" w:fill="auto"/>
          </w:tcPr>
          <w:p w:rsidR="00035233" w:rsidRDefault="00035233" w:rsidP="00035233">
            <w:pPr>
              <w:pStyle w:val="05Tabletext"/>
            </w:pPr>
            <w:r>
              <w:t>Severe</w:t>
            </w:r>
          </w:p>
        </w:tc>
        <w:tc>
          <w:tcPr>
            <w:tcW w:w="943" w:type="pct"/>
          </w:tcPr>
          <w:p w:rsidR="00035233" w:rsidRDefault="00035233" w:rsidP="00035233">
            <w:pPr>
              <w:pStyle w:val="05Tabletext"/>
              <w:jc w:val="center"/>
            </w:pPr>
            <w:r>
              <w:t>962</w:t>
            </w:r>
          </w:p>
        </w:tc>
        <w:tc>
          <w:tcPr>
            <w:tcW w:w="1189" w:type="pct"/>
          </w:tcPr>
          <w:p w:rsidR="00035233" w:rsidRDefault="00035233" w:rsidP="00035233">
            <w:pPr>
              <w:pStyle w:val="05Tabletext"/>
              <w:jc w:val="center"/>
            </w:pPr>
            <w:r>
              <w:t>975</w:t>
            </w:r>
          </w:p>
        </w:tc>
        <w:tc>
          <w:tcPr>
            <w:tcW w:w="1146" w:type="pct"/>
            <w:shd w:val="clear" w:color="auto" w:fill="auto"/>
          </w:tcPr>
          <w:p w:rsidR="00035233" w:rsidRDefault="00035233" w:rsidP="00035233">
            <w:pPr>
              <w:pStyle w:val="05Tabletext"/>
              <w:jc w:val="center"/>
            </w:pPr>
            <w:r>
              <w:t>0.84 (0.76, 0.92)</w:t>
            </w:r>
          </w:p>
        </w:tc>
      </w:tr>
      <w:tr w:rsidR="00035233" w:rsidRPr="00194011" w:rsidTr="00035233">
        <w:trPr>
          <w:cantSplit/>
        </w:trPr>
        <w:tc>
          <w:tcPr>
            <w:tcW w:w="1722" w:type="pct"/>
            <w:shd w:val="clear" w:color="auto" w:fill="auto"/>
          </w:tcPr>
          <w:p w:rsidR="00035233" w:rsidRDefault="00035233" w:rsidP="00035233">
            <w:pPr>
              <w:pStyle w:val="05Tabletext"/>
            </w:pPr>
            <w:r>
              <w:t>Very severe</w:t>
            </w:r>
          </w:p>
        </w:tc>
        <w:tc>
          <w:tcPr>
            <w:tcW w:w="943" w:type="pct"/>
          </w:tcPr>
          <w:p w:rsidR="00035233" w:rsidRDefault="00035233" w:rsidP="00035233">
            <w:pPr>
              <w:pStyle w:val="05Tabletext"/>
              <w:jc w:val="center"/>
            </w:pPr>
            <w:r>
              <w:t>132</w:t>
            </w:r>
          </w:p>
        </w:tc>
        <w:tc>
          <w:tcPr>
            <w:tcW w:w="1189" w:type="pct"/>
          </w:tcPr>
          <w:p w:rsidR="00035233" w:rsidRDefault="00035233" w:rsidP="00035233">
            <w:pPr>
              <w:pStyle w:val="05Tabletext"/>
              <w:jc w:val="center"/>
            </w:pPr>
            <w:r>
              <w:t>124</w:t>
            </w:r>
          </w:p>
        </w:tc>
        <w:tc>
          <w:tcPr>
            <w:tcW w:w="1146" w:type="pct"/>
            <w:shd w:val="clear" w:color="auto" w:fill="auto"/>
          </w:tcPr>
          <w:p w:rsidR="00035233" w:rsidRDefault="00035233" w:rsidP="00035233">
            <w:pPr>
              <w:pStyle w:val="05Tabletext"/>
              <w:jc w:val="center"/>
            </w:pPr>
            <w:r>
              <w:t>0.94 (0.72, 1.22)</w:t>
            </w:r>
          </w:p>
        </w:tc>
      </w:tr>
      <w:tr w:rsidR="00035233" w:rsidRPr="00194011" w:rsidTr="00035233">
        <w:trPr>
          <w:cantSplit/>
        </w:trPr>
        <w:tc>
          <w:tcPr>
            <w:tcW w:w="1722" w:type="pct"/>
            <w:shd w:val="clear" w:color="auto" w:fill="000000"/>
          </w:tcPr>
          <w:p w:rsidR="00035233" w:rsidRDefault="00035233" w:rsidP="00035233">
            <w:pPr>
              <w:pStyle w:val="04Tablesubheading"/>
            </w:pPr>
            <w:r>
              <w:t>Severity of COPD</w:t>
            </w:r>
          </w:p>
        </w:tc>
        <w:tc>
          <w:tcPr>
            <w:tcW w:w="943" w:type="pct"/>
            <w:shd w:val="clear" w:color="auto" w:fill="000000"/>
          </w:tcPr>
          <w:p w:rsidR="00035233" w:rsidRPr="004F753D" w:rsidRDefault="00035233" w:rsidP="00035233">
            <w:pPr>
              <w:pStyle w:val="04Tablesubheading"/>
              <w:jc w:val="center"/>
              <w:rPr>
                <w:b w:val="0"/>
              </w:rPr>
            </w:pPr>
          </w:p>
        </w:tc>
        <w:tc>
          <w:tcPr>
            <w:tcW w:w="1189" w:type="pct"/>
            <w:shd w:val="clear" w:color="auto" w:fill="000000"/>
          </w:tcPr>
          <w:p w:rsidR="00035233" w:rsidRPr="004F753D" w:rsidRDefault="00035233" w:rsidP="00035233">
            <w:pPr>
              <w:pStyle w:val="04Tablesubheading"/>
              <w:jc w:val="center"/>
              <w:rPr>
                <w:b w:val="0"/>
              </w:rPr>
            </w:pPr>
          </w:p>
        </w:tc>
        <w:tc>
          <w:tcPr>
            <w:tcW w:w="1146" w:type="pct"/>
            <w:shd w:val="clear" w:color="auto" w:fill="000000"/>
          </w:tcPr>
          <w:p w:rsidR="00035233" w:rsidRDefault="00035233" w:rsidP="00035233">
            <w:pPr>
              <w:pStyle w:val="04Tablesubheading"/>
              <w:jc w:val="center"/>
            </w:pPr>
          </w:p>
        </w:tc>
      </w:tr>
      <w:tr w:rsidR="00035233" w:rsidRPr="00194011" w:rsidTr="00035233">
        <w:trPr>
          <w:cantSplit/>
        </w:trPr>
        <w:tc>
          <w:tcPr>
            <w:tcW w:w="1722" w:type="pct"/>
            <w:shd w:val="clear" w:color="auto" w:fill="auto"/>
          </w:tcPr>
          <w:p w:rsidR="00035233" w:rsidRDefault="00035233" w:rsidP="00035233">
            <w:pPr>
              <w:pStyle w:val="05Tabletext"/>
            </w:pPr>
            <w:r>
              <w:t>Group B</w:t>
            </w:r>
          </w:p>
        </w:tc>
        <w:tc>
          <w:tcPr>
            <w:tcW w:w="943" w:type="pct"/>
          </w:tcPr>
          <w:p w:rsidR="00035233" w:rsidRDefault="00035233" w:rsidP="00035233">
            <w:pPr>
              <w:pStyle w:val="05Tabletext"/>
              <w:jc w:val="center"/>
            </w:pPr>
            <w:r>
              <w:t>398</w:t>
            </w:r>
          </w:p>
        </w:tc>
        <w:tc>
          <w:tcPr>
            <w:tcW w:w="1189" w:type="pct"/>
          </w:tcPr>
          <w:p w:rsidR="00035233" w:rsidRDefault="00035233" w:rsidP="00035233">
            <w:pPr>
              <w:pStyle w:val="05Tabletext"/>
              <w:jc w:val="center"/>
            </w:pPr>
            <w:r>
              <w:t>417</w:t>
            </w:r>
          </w:p>
        </w:tc>
        <w:tc>
          <w:tcPr>
            <w:tcW w:w="1146" w:type="pct"/>
            <w:shd w:val="clear" w:color="auto" w:fill="auto"/>
          </w:tcPr>
          <w:p w:rsidR="00035233" w:rsidRPr="00464F6D" w:rsidRDefault="00035233" w:rsidP="00035233">
            <w:pPr>
              <w:pStyle w:val="05Tabletext"/>
              <w:jc w:val="center"/>
            </w:pPr>
            <w:r>
              <w:t>0.98 (0.85, 1.14)</w:t>
            </w:r>
          </w:p>
        </w:tc>
      </w:tr>
      <w:tr w:rsidR="00035233" w:rsidRPr="00194011" w:rsidTr="00035233">
        <w:trPr>
          <w:cantSplit/>
        </w:trPr>
        <w:tc>
          <w:tcPr>
            <w:tcW w:w="1722" w:type="pct"/>
            <w:shd w:val="clear" w:color="auto" w:fill="auto"/>
          </w:tcPr>
          <w:p w:rsidR="00035233" w:rsidRDefault="00035233" w:rsidP="00035233">
            <w:pPr>
              <w:pStyle w:val="05Tabletext"/>
            </w:pPr>
            <w:r>
              <w:t>Group D</w:t>
            </w:r>
          </w:p>
        </w:tc>
        <w:tc>
          <w:tcPr>
            <w:tcW w:w="943" w:type="pct"/>
          </w:tcPr>
          <w:p w:rsidR="00035233" w:rsidRDefault="00035233" w:rsidP="00035233">
            <w:pPr>
              <w:pStyle w:val="05Tabletext"/>
              <w:jc w:val="center"/>
            </w:pPr>
            <w:r>
              <w:t>1,252</w:t>
            </w:r>
          </w:p>
        </w:tc>
        <w:tc>
          <w:tcPr>
            <w:tcW w:w="1189" w:type="pct"/>
          </w:tcPr>
          <w:p w:rsidR="00035233" w:rsidRDefault="00035233" w:rsidP="00035233">
            <w:pPr>
              <w:pStyle w:val="05Tabletext"/>
              <w:jc w:val="center"/>
            </w:pPr>
            <w:r>
              <w:t>1,243</w:t>
            </w:r>
          </w:p>
        </w:tc>
        <w:tc>
          <w:tcPr>
            <w:tcW w:w="1146" w:type="pct"/>
            <w:shd w:val="clear" w:color="auto" w:fill="auto"/>
          </w:tcPr>
          <w:p w:rsidR="00035233" w:rsidRDefault="00035233" w:rsidP="00035233">
            <w:pPr>
              <w:pStyle w:val="05Tabletext"/>
              <w:jc w:val="center"/>
            </w:pPr>
            <w:r>
              <w:t>0.85 (0.78, 0.92)</w:t>
            </w:r>
          </w:p>
        </w:tc>
      </w:tr>
      <w:tr w:rsidR="00035233" w:rsidRPr="00194011" w:rsidTr="00035233">
        <w:trPr>
          <w:cantSplit/>
        </w:trPr>
        <w:tc>
          <w:tcPr>
            <w:tcW w:w="1722" w:type="pct"/>
            <w:shd w:val="clear" w:color="auto" w:fill="000000"/>
          </w:tcPr>
          <w:p w:rsidR="00035233" w:rsidRDefault="00035233" w:rsidP="00035233">
            <w:pPr>
              <w:pStyle w:val="04Tablesubheading"/>
            </w:pPr>
            <w:r>
              <w:t>COPD exacerbations in previous year</w:t>
            </w:r>
          </w:p>
        </w:tc>
        <w:tc>
          <w:tcPr>
            <w:tcW w:w="943" w:type="pct"/>
            <w:shd w:val="clear" w:color="auto" w:fill="000000"/>
          </w:tcPr>
          <w:p w:rsidR="00035233" w:rsidRDefault="00035233" w:rsidP="00035233">
            <w:pPr>
              <w:pStyle w:val="04Tablesubheading"/>
            </w:pPr>
          </w:p>
        </w:tc>
        <w:tc>
          <w:tcPr>
            <w:tcW w:w="1189" w:type="pct"/>
            <w:shd w:val="clear" w:color="auto" w:fill="000000"/>
          </w:tcPr>
          <w:p w:rsidR="00035233" w:rsidRDefault="00035233" w:rsidP="00035233">
            <w:pPr>
              <w:pStyle w:val="04Tablesubheading"/>
            </w:pPr>
          </w:p>
        </w:tc>
        <w:tc>
          <w:tcPr>
            <w:tcW w:w="1146" w:type="pct"/>
            <w:shd w:val="clear" w:color="auto" w:fill="000000"/>
          </w:tcPr>
          <w:p w:rsidR="00035233" w:rsidRDefault="00035233" w:rsidP="00035233">
            <w:pPr>
              <w:pStyle w:val="04Tablesubheading"/>
            </w:pPr>
          </w:p>
        </w:tc>
      </w:tr>
      <w:tr w:rsidR="00035233" w:rsidRPr="00194011" w:rsidTr="00035233">
        <w:trPr>
          <w:cantSplit/>
        </w:trPr>
        <w:tc>
          <w:tcPr>
            <w:tcW w:w="1722" w:type="pct"/>
            <w:shd w:val="clear" w:color="auto" w:fill="auto"/>
          </w:tcPr>
          <w:p w:rsidR="00035233" w:rsidRDefault="00035233" w:rsidP="00035233">
            <w:pPr>
              <w:pStyle w:val="05Tabletext"/>
            </w:pPr>
            <w:r>
              <w:t>1</w:t>
            </w:r>
          </w:p>
        </w:tc>
        <w:tc>
          <w:tcPr>
            <w:tcW w:w="943" w:type="pct"/>
          </w:tcPr>
          <w:p w:rsidR="00035233" w:rsidRDefault="00035233" w:rsidP="00035233">
            <w:pPr>
              <w:pStyle w:val="05Tabletext"/>
              <w:jc w:val="center"/>
            </w:pPr>
            <w:r>
              <w:t>1,329</w:t>
            </w:r>
          </w:p>
        </w:tc>
        <w:tc>
          <w:tcPr>
            <w:tcW w:w="1189" w:type="pct"/>
          </w:tcPr>
          <w:p w:rsidR="00035233" w:rsidRDefault="00035233" w:rsidP="00035233">
            <w:pPr>
              <w:pStyle w:val="05Tabletext"/>
              <w:jc w:val="center"/>
            </w:pPr>
            <w:r>
              <w:t>1,335</w:t>
            </w:r>
          </w:p>
        </w:tc>
        <w:tc>
          <w:tcPr>
            <w:tcW w:w="1146" w:type="pct"/>
            <w:shd w:val="clear" w:color="auto" w:fill="auto"/>
          </w:tcPr>
          <w:p w:rsidR="00035233" w:rsidRDefault="00035233" w:rsidP="00035233">
            <w:pPr>
              <w:pStyle w:val="05Tabletext"/>
              <w:jc w:val="center"/>
            </w:pPr>
            <w:r>
              <w:t>0.87 (0.81, 0.95)</w:t>
            </w:r>
          </w:p>
        </w:tc>
      </w:tr>
      <w:tr w:rsidR="00035233" w:rsidRPr="00194011" w:rsidTr="00035233">
        <w:trPr>
          <w:cantSplit/>
        </w:trPr>
        <w:tc>
          <w:tcPr>
            <w:tcW w:w="1722" w:type="pct"/>
            <w:shd w:val="clear" w:color="auto" w:fill="auto"/>
          </w:tcPr>
          <w:p w:rsidR="00035233" w:rsidRDefault="00035233" w:rsidP="00035233">
            <w:pPr>
              <w:pStyle w:val="05Tabletext"/>
            </w:pPr>
            <w:r>
              <w:t>≥2</w:t>
            </w:r>
          </w:p>
        </w:tc>
        <w:tc>
          <w:tcPr>
            <w:tcW w:w="943" w:type="pct"/>
          </w:tcPr>
          <w:p w:rsidR="00035233" w:rsidRDefault="00035233" w:rsidP="00035233">
            <w:pPr>
              <w:pStyle w:val="05Tabletext"/>
              <w:jc w:val="center"/>
            </w:pPr>
            <w:r>
              <w:t>321</w:t>
            </w:r>
          </w:p>
        </w:tc>
        <w:tc>
          <w:tcPr>
            <w:tcW w:w="1189" w:type="pct"/>
          </w:tcPr>
          <w:p w:rsidR="00035233" w:rsidRDefault="00035233" w:rsidP="00035233">
            <w:pPr>
              <w:pStyle w:val="05Tabletext"/>
              <w:jc w:val="center"/>
            </w:pPr>
            <w:r>
              <w:t>320</w:t>
            </w:r>
          </w:p>
        </w:tc>
        <w:tc>
          <w:tcPr>
            <w:tcW w:w="1146" w:type="pct"/>
            <w:shd w:val="clear" w:color="auto" w:fill="auto"/>
          </w:tcPr>
          <w:p w:rsidR="00035233" w:rsidRDefault="00035233" w:rsidP="00035233">
            <w:pPr>
              <w:pStyle w:val="05Tabletext"/>
              <w:jc w:val="center"/>
            </w:pPr>
            <w:r>
              <w:t>0.89 (0.76, 1.05)</w:t>
            </w:r>
          </w:p>
        </w:tc>
      </w:tr>
      <w:tr w:rsidR="00035233" w:rsidRPr="00194011" w:rsidTr="00035233">
        <w:trPr>
          <w:cantSplit/>
        </w:trPr>
        <w:tc>
          <w:tcPr>
            <w:tcW w:w="1722" w:type="pct"/>
            <w:shd w:val="clear" w:color="auto" w:fill="000000"/>
          </w:tcPr>
          <w:p w:rsidR="00035233" w:rsidRDefault="00035233" w:rsidP="00035233">
            <w:pPr>
              <w:pStyle w:val="04Tablesubheading"/>
            </w:pPr>
            <w:r>
              <w:t>ICS use at screening</w:t>
            </w:r>
          </w:p>
        </w:tc>
        <w:tc>
          <w:tcPr>
            <w:tcW w:w="943" w:type="pct"/>
            <w:shd w:val="clear" w:color="auto" w:fill="000000"/>
          </w:tcPr>
          <w:p w:rsidR="00035233" w:rsidRDefault="00035233" w:rsidP="00035233">
            <w:pPr>
              <w:pStyle w:val="04Tablesubheading"/>
            </w:pPr>
          </w:p>
        </w:tc>
        <w:tc>
          <w:tcPr>
            <w:tcW w:w="1189" w:type="pct"/>
            <w:shd w:val="clear" w:color="auto" w:fill="000000"/>
          </w:tcPr>
          <w:p w:rsidR="00035233" w:rsidRDefault="00035233" w:rsidP="00035233">
            <w:pPr>
              <w:pStyle w:val="04Tablesubheading"/>
            </w:pPr>
          </w:p>
        </w:tc>
        <w:tc>
          <w:tcPr>
            <w:tcW w:w="1146" w:type="pct"/>
            <w:shd w:val="clear" w:color="auto" w:fill="000000"/>
          </w:tcPr>
          <w:p w:rsidR="00035233" w:rsidRDefault="00035233" w:rsidP="00035233">
            <w:pPr>
              <w:pStyle w:val="04Tablesubheading"/>
            </w:pPr>
          </w:p>
        </w:tc>
      </w:tr>
      <w:tr w:rsidR="00035233" w:rsidRPr="00194011" w:rsidTr="00035233">
        <w:trPr>
          <w:cantSplit/>
        </w:trPr>
        <w:tc>
          <w:tcPr>
            <w:tcW w:w="1722" w:type="pct"/>
            <w:shd w:val="clear" w:color="auto" w:fill="auto"/>
          </w:tcPr>
          <w:p w:rsidR="00035233" w:rsidRDefault="00035233" w:rsidP="00035233">
            <w:pPr>
              <w:pStyle w:val="05Tabletext"/>
            </w:pPr>
            <w:r>
              <w:t>No</w:t>
            </w:r>
          </w:p>
        </w:tc>
        <w:tc>
          <w:tcPr>
            <w:tcW w:w="943" w:type="pct"/>
          </w:tcPr>
          <w:p w:rsidR="00035233" w:rsidRDefault="00035233" w:rsidP="00035233">
            <w:pPr>
              <w:pStyle w:val="05Tabletext"/>
              <w:jc w:val="center"/>
            </w:pPr>
            <w:r>
              <w:t>710</w:t>
            </w:r>
          </w:p>
        </w:tc>
        <w:tc>
          <w:tcPr>
            <w:tcW w:w="1189" w:type="pct"/>
          </w:tcPr>
          <w:p w:rsidR="00035233" w:rsidRDefault="00035233" w:rsidP="00035233">
            <w:pPr>
              <w:pStyle w:val="05Tabletext"/>
              <w:jc w:val="center"/>
            </w:pPr>
            <w:r>
              <w:t>729</w:t>
            </w:r>
          </w:p>
        </w:tc>
        <w:tc>
          <w:tcPr>
            <w:tcW w:w="1146" w:type="pct"/>
            <w:shd w:val="clear" w:color="auto" w:fill="auto"/>
          </w:tcPr>
          <w:p w:rsidR="00035233" w:rsidRDefault="00035233" w:rsidP="00035233">
            <w:pPr>
              <w:pStyle w:val="05Tabletext"/>
              <w:jc w:val="center"/>
            </w:pPr>
            <w:r>
              <w:t>0.88 (0.79, 0.98)</w:t>
            </w:r>
          </w:p>
        </w:tc>
      </w:tr>
      <w:tr w:rsidR="00035233" w:rsidRPr="00194011" w:rsidTr="00035233">
        <w:trPr>
          <w:cantSplit/>
        </w:trPr>
        <w:tc>
          <w:tcPr>
            <w:tcW w:w="1722" w:type="pct"/>
            <w:shd w:val="clear" w:color="auto" w:fill="auto"/>
          </w:tcPr>
          <w:p w:rsidR="00035233" w:rsidRDefault="00035233" w:rsidP="00035233">
            <w:pPr>
              <w:pStyle w:val="05Tabletext"/>
            </w:pPr>
            <w:r>
              <w:t>Yes</w:t>
            </w:r>
          </w:p>
        </w:tc>
        <w:tc>
          <w:tcPr>
            <w:tcW w:w="943" w:type="pct"/>
          </w:tcPr>
          <w:p w:rsidR="00035233" w:rsidRDefault="00035233" w:rsidP="00035233">
            <w:pPr>
              <w:pStyle w:val="05Tabletext"/>
              <w:jc w:val="center"/>
            </w:pPr>
            <w:r>
              <w:t>941</w:t>
            </w:r>
          </w:p>
        </w:tc>
        <w:tc>
          <w:tcPr>
            <w:tcW w:w="1189" w:type="pct"/>
          </w:tcPr>
          <w:p w:rsidR="00035233" w:rsidRDefault="00035233" w:rsidP="00035233">
            <w:pPr>
              <w:pStyle w:val="05Tabletext"/>
              <w:jc w:val="center"/>
            </w:pPr>
            <w:r>
              <w:t>927</w:t>
            </w:r>
          </w:p>
        </w:tc>
        <w:tc>
          <w:tcPr>
            <w:tcW w:w="1146" w:type="pct"/>
            <w:shd w:val="clear" w:color="auto" w:fill="auto"/>
          </w:tcPr>
          <w:p w:rsidR="00035233" w:rsidRDefault="00035233" w:rsidP="00035233">
            <w:pPr>
              <w:pStyle w:val="05Tabletext"/>
              <w:jc w:val="center"/>
            </w:pPr>
            <w:r>
              <w:t>0.88 (0.80, 0.97)</w:t>
            </w:r>
          </w:p>
        </w:tc>
      </w:tr>
      <w:tr w:rsidR="00035233" w:rsidRPr="00194011" w:rsidTr="00035233">
        <w:trPr>
          <w:cantSplit/>
        </w:trPr>
        <w:tc>
          <w:tcPr>
            <w:tcW w:w="1722" w:type="pct"/>
            <w:shd w:val="clear" w:color="auto" w:fill="000000"/>
          </w:tcPr>
          <w:p w:rsidR="00035233" w:rsidRDefault="00035233" w:rsidP="00035233">
            <w:pPr>
              <w:pStyle w:val="04Tablesubheading"/>
            </w:pPr>
            <w:r>
              <w:t>LABA use at screening</w:t>
            </w:r>
          </w:p>
        </w:tc>
        <w:tc>
          <w:tcPr>
            <w:tcW w:w="943" w:type="pct"/>
            <w:shd w:val="clear" w:color="auto" w:fill="000000"/>
          </w:tcPr>
          <w:p w:rsidR="00035233" w:rsidRDefault="00035233" w:rsidP="00035233">
            <w:pPr>
              <w:pStyle w:val="04Tablesubheading"/>
            </w:pPr>
          </w:p>
        </w:tc>
        <w:tc>
          <w:tcPr>
            <w:tcW w:w="1189" w:type="pct"/>
            <w:shd w:val="clear" w:color="auto" w:fill="000000"/>
          </w:tcPr>
          <w:p w:rsidR="00035233" w:rsidRDefault="00035233" w:rsidP="00035233">
            <w:pPr>
              <w:pStyle w:val="04Tablesubheading"/>
            </w:pPr>
          </w:p>
        </w:tc>
        <w:tc>
          <w:tcPr>
            <w:tcW w:w="1146" w:type="pct"/>
            <w:shd w:val="clear" w:color="auto" w:fill="000000"/>
          </w:tcPr>
          <w:p w:rsidR="00035233" w:rsidRDefault="00035233" w:rsidP="00035233">
            <w:pPr>
              <w:pStyle w:val="04Tablesubheading"/>
            </w:pPr>
          </w:p>
        </w:tc>
      </w:tr>
      <w:tr w:rsidR="00035233" w:rsidRPr="00194011" w:rsidTr="00035233">
        <w:trPr>
          <w:cantSplit/>
        </w:trPr>
        <w:tc>
          <w:tcPr>
            <w:tcW w:w="1722" w:type="pct"/>
            <w:shd w:val="clear" w:color="auto" w:fill="auto"/>
          </w:tcPr>
          <w:p w:rsidR="00035233" w:rsidRDefault="00035233" w:rsidP="00035233">
            <w:pPr>
              <w:pStyle w:val="05Tabletext"/>
            </w:pPr>
            <w:r>
              <w:t>No</w:t>
            </w:r>
          </w:p>
        </w:tc>
        <w:tc>
          <w:tcPr>
            <w:tcW w:w="943" w:type="pct"/>
          </w:tcPr>
          <w:p w:rsidR="00035233" w:rsidRDefault="00035233" w:rsidP="00035233">
            <w:pPr>
              <w:pStyle w:val="05Tabletext"/>
              <w:jc w:val="center"/>
            </w:pPr>
            <w:r>
              <w:t>540</w:t>
            </w:r>
          </w:p>
        </w:tc>
        <w:tc>
          <w:tcPr>
            <w:tcW w:w="1189" w:type="pct"/>
          </w:tcPr>
          <w:p w:rsidR="00035233" w:rsidRDefault="00035233" w:rsidP="00035233">
            <w:pPr>
              <w:pStyle w:val="05Tabletext"/>
              <w:jc w:val="center"/>
            </w:pPr>
            <w:r>
              <w:t>542</w:t>
            </w:r>
          </w:p>
        </w:tc>
        <w:tc>
          <w:tcPr>
            <w:tcW w:w="1146" w:type="pct"/>
            <w:shd w:val="clear" w:color="auto" w:fill="auto"/>
          </w:tcPr>
          <w:p w:rsidR="00035233" w:rsidRDefault="00035233" w:rsidP="00035233">
            <w:pPr>
              <w:pStyle w:val="05Tabletext"/>
              <w:jc w:val="center"/>
            </w:pPr>
            <w:r>
              <w:t>0.91 (0.81, 1.04)</w:t>
            </w:r>
          </w:p>
        </w:tc>
      </w:tr>
      <w:tr w:rsidR="00035233" w:rsidRPr="00194011" w:rsidTr="00035233">
        <w:trPr>
          <w:cantSplit/>
        </w:trPr>
        <w:tc>
          <w:tcPr>
            <w:tcW w:w="1722" w:type="pct"/>
            <w:shd w:val="clear" w:color="auto" w:fill="auto"/>
          </w:tcPr>
          <w:p w:rsidR="00035233" w:rsidRDefault="00035233" w:rsidP="00035233">
            <w:pPr>
              <w:pStyle w:val="05Tabletext"/>
            </w:pPr>
            <w:r>
              <w:t>Yes</w:t>
            </w:r>
          </w:p>
        </w:tc>
        <w:tc>
          <w:tcPr>
            <w:tcW w:w="943" w:type="pct"/>
          </w:tcPr>
          <w:p w:rsidR="00035233" w:rsidRDefault="00035233" w:rsidP="00035233">
            <w:pPr>
              <w:pStyle w:val="05Tabletext"/>
              <w:jc w:val="center"/>
            </w:pPr>
            <w:r>
              <w:t>1,111</w:t>
            </w:r>
          </w:p>
        </w:tc>
        <w:tc>
          <w:tcPr>
            <w:tcW w:w="1189" w:type="pct"/>
          </w:tcPr>
          <w:p w:rsidR="00035233" w:rsidRDefault="00035233" w:rsidP="00035233">
            <w:pPr>
              <w:pStyle w:val="05Tabletext"/>
              <w:jc w:val="center"/>
            </w:pPr>
            <w:r>
              <w:t>1,114</w:t>
            </w:r>
          </w:p>
        </w:tc>
        <w:tc>
          <w:tcPr>
            <w:tcW w:w="1146" w:type="pct"/>
            <w:shd w:val="clear" w:color="auto" w:fill="auto"/>
          </w:tcPr>
          <w:p w:rsidR="00035233" w:rsidRDefault="00035233" w:rsidP="00035233">
            <w:pPr>
              <w:pStyle w:val="05Tabletext"/>
              <w:jc w:val="center"/>
            </w:pPr>
            <w:r>
              <w:t>0.86 (0.79, 0.94)</w:t>
            </w:r>
          </w:p>
        </w:tc>
      </w:tr>
      <w:tr w:rsidR="00035233" w:rsidRPr="00194011" w:rsidTr="00035233">
        <w:trPr>
          <w:cantSplit/>
        </w:trPr>
        <w:tc>
          <w:tcPr>
            <w:tcW w:w="1722" w:type="pct"/>
            <w:shd w:val="clear" w:color="auto" w:fill="000000"/>
          </w:tcPr>
          <w:p w:rsidR="00035233" w:rsidRDefault="00035233" w:rsidP="00035233">
            <w:pPr>
              <w:pStyle w:val="04Tablesubheading"/>
            </w:pPr>
            <w:r>
              <w:t>ICS/LABA use at screening</w:t>
            </w:r>
          </w:p>
        </w:tc>
        <w:tc>
          <w:tcPr>
            <w:tcW w:w="943" w:type="pct"/>
            <w:shd w:val="clear" w:color="auto" w:fill="000000"/>
          </w:tcPr>
          <w:p w:rsidR="00035233" w:rsidRDefault="00035233" w:rsidP="00035233">
            <w:pPr>
              <w:pStyle w:val="04Tablesubheading"/>
            </w:pPr>
          </w:p>
        </w:tc>
        <w:tc>
          <w:tcPr>
            <w:tcW w:w="1189" w:type="pct"/>
            <w:shd w:val="clear" w:color="auto" w:fill="000000"/>
          </w:tcPr>
          <w:p w:rsidR="00035233" w:rsidRDefault="00035233" w:rsidP="00035233">
            <w:pPr>
              <w:pStyle w:val="04Tablesubheading"/>
            </w:pPr>
          </w:p>
        </w:tc>
        <w:tc>
          <w:tcPr>
            <w:tcW w:w="1146" w:type="pct"/>
            <w:shd w:val="clear" w:color="auto" w:fill="000000"/>
          </w:tcPr>
          <w:p w:rsidR="00035233" w:rsidRDefault="00035233" w:rsidP="00035233">
            <w:pPr>
              <w:pStyle w:val="04Tablesubheading"/>
            </w:pPr>
          </w:p>
        </w:tc>
      </w:tr>
      <w:tr w:rsidR="00035233" w:rsidRPr="00194011" w:rsidTr="00035233">
        <w:trPr>
          <w:cantSplit/>
        </w:trPr>
        <w:tc>
          <w:tcPr>
            <w:tcW w:w="1722" w:type="pct"/>
            <w:shd w:val="clear" w:color="auto" w:fill="auto"/>
          </w:tcPr>
          <w:p w:rsidR="00035233" w:rsidRDefault="00035233" w:rsidP="00035233">
            <w:pPr>
              <w:pStyle w:val="05Tabletext"/>
            </w:pPr>
            <w:r>
              <w:t>No</w:t>
            </w:r>
          </w:p>
        </w:tc>
        <w:tc>
          <w:tcPr>
            <w:tcW w:w="943" w:type="pct"/>
          </w:tcPr>
          <w:p w:rsidR="00035233" w:rsidRDefault="00035233" w:rsidP="00035233">
            <w:pPr>
              <w:pStyle w:val="05Tabletext"/>
              <w:jc w:val="center"/>
            </w:pPr>
            <w:r>
              <w:t>879</w:t>
            </w:r>
          </w:p>
        </w:tc>
        <w:tc>
          <w:tcPr>
            <w:tcW w:w="1189" w:type="pct"/>
          </w:tcPr>
          <w:p w:rsidR="00035233" w:rsidRDefault="00035233" w:rsidP="00035233">
            <w:pPr>
              <w:pStyle w:val="05Tabletext"/>
              <w:jc w:val="center"/>
            </w:pPr>
            <w:r>
              <w:t>889</w:t>
            </w:r>
          </w:p>
        </w:tc>
        <w:tc>
          <w:tcPr>
            <w:tcW w:w="1146" w:type="pct"/>
            <w:shd w:val="clear" w:color="auto" w:fill="auto"/>
          </w:tcPr>
          <w:p w:rsidR="00035233" w:rsidRDefault="00035233" w:rsidP="00035233">
            <w:pPr>
              <w:pStyle w:val="05Tabletext"/>
              <w:jc w:val="center"/>
            </w:pPr>
            <w:r>
              <w:t>0.88 (0.80, 0.97)</w:t>
            </w:r>
          </w:p>
        </w:tc>
      </w:tr>
      <w:tr w:rsidR="00035233" w:rsidRPr="00194011" w:rsidTr="00035233">
        <w:trPr>
          <w:cantSplit/>
        </w:trPr>
        <w:tc>
          <w:tcPr>
            <w:tcW w:w="1722" w:type="pct"/>
            <w:shd w:val="clear" w:color="auto" w:fill="auto"/>
          </w:tcPr>
          <w:p w:rsidR="00035233" w:rsidRDefault="00035233" w:rsidP="00035233">
            <w:pPr>
              <w:pStyle w:val="05Tabletext"/>
            </w:pPr>
            <w:r>
              <w:t>Yes</w:t>
            </w:r>
          </w:p>
        </w:tc>
        <w:tc>
          <w:tcPr>
            <w:tcW w:w="943" w:type="pct"/>
          </w:tcPr>
          <w:p w:rsidR="00035233" w:rsidRDefault="00035233" w:rsidP="00035233">
            <w:pPr>
              <w:pStyle w:val="05Tabletext"/>
              <w:jc w:val="center"/>
            </w:pPr>
            <w:r>
              <w:t>772</w:t>
            </w:r>
          </w:p>
        </w:tc>
        <w:tc>
          <w:tcPr>
            <w:tcW w:w="1189" w:type="pct"/>
          </w:tcPr>
          <w:p w:rsidR="00035233" w:rsidRDefault="00035233" w:rsidP="00035233">
            <w:pPr>
              <w:pStyle w:val="05Tabletext"/>
              <w:jc w:val="center"/>
            </w:pPr>
            <w:r>
              <w:t>767</w:t>
            </w:r>
          </w:p>
        </w:tc>
        <w:tc>
          <w:tcPr>
            <w:tcW w:w="1146" w:type="pct"/>
            <w:shd w:val="clear" w:color="auto" w:fill="auto"/>
          </w:tcPr>
          <w:p w:rsidR="00035233" w:rsidRDefault="00035233" w:rsidP="00035233">
            <w:pPr>
              <w:pStyle w:val="05Tabletext"/>
              <w:jc w:val="center"/>
            </w:pPr>
            <w:r>
              <w:t>0.88 (0.79, 0.97)</w:t>
            </w:r>
          </w:p>
        </w:tc>
      </w:tr>
      <w:tr w:rsidR="00035233" w:rsidRPr="00194011" w:rsidTr="00035233">
        <w:trPr>
          <w:cantSplit/>
        </w:trPr>
        <w:tc>
          <w:tcPr>
            <w:tcW w:w="1722" w:type="pct"/>
            <w:shd w:val="clear" w:color="auto" w:fill="000000"/>
          </w:tcPr>
          <w:p w:rsidR="00035233" w:rsidRDefault="00035233" w:rsidP="00035233">
            <w:pPr>
              <w:pStyle w:val="04Tablesubheading"/>
            </w:pPr>
            <w:r>
              <w:t>LAMA use at screening</w:t>
            </w:r>
          </w:p>
        </w:tc>
        <w:tc>
          <w:tcPr>
            <w:tcW w:w="943" w:type="pct"/>
            <w:shd w:val="clear" w:color="auto" w:fill="000000"/>
          </w:tcPr>
          <w:p w:rsidR="00035233" w:rsidRDefault="00035233" w:rsidP="00035233">
            <w:pPr>
              <w:pStyle w:val="04Tablesubheading"/>
            </w:pPr>
          </w:p>
        </w:tc>
        <w:tc>
          <w:tcPr>
            <w:tcW w:w="1189" w:type="pct"/>
            <w:shd w:val="clear" w:color="auto" w:fill="000000"/>
          </w:tcPr>
          <w:p w:rsidR="00035233" w:rsidRDefault="00035233" w:rsidP="00035233">
            <w:pPr>
              <w:pStyle w:val="04Tablesubheading"/>
            </w:pPr>
          </w:p>
        </w:tc>
        <w:tc>
          <w:tcPr>
            <w:tcW w:w="1146" w:type="pct"/>
            <w:shd w:val="clear" w:color="auto" w:fill="000000"/>
          </w:tcPr>
          <w:p w:rsidR="00035233" w:rsidRDefault="00035233" w:rsidP="00035233">
            <w:pPr>
              <w:pStyle w:val="04Tablesubheading"/>
            </w:pPr>
          </w:p>
        </w:tc>
      </w:tr>
      <w:tr w:rsidR="00035233" w:rsidRPr="00194011" w:rsidTr="00035233">
        <w:trPr>
          <w:cantSplit/>
        </w:trPr>
        <w:tc>
          <w:tcPr>
            <w:tcW w:w="1722" w:type="pct"/>
            <w:shd w:val="clear" w:color="auto" w:fill="auto"/>
          </w:tcPr>
          <w:p w:rsidR="00035233" w:rsidRDefault="00035233" w:rsidP="00035233">
            <w:pPr>
              <w:pStyle w:val="05Tabletext"/>
            </w:pPr>
            <w:r>
              <w:t>No</w:t>
            </w:r>
          </w:p>
        </w:tc>
        <w:tc>
          <w:tcPr>
            <w:tcW w:w="943" w:type="pct"/>
          </w:tcPr>
          <w:p w:rsidR="00035233" w:rsidRDefault="00035233" w:rsidP="00035233">
            <w:pPr>
              <w:pStyle w:val="05Tabletext"/>
              <w:jc w:val="center"/>
            </w:pPr>
            <w:r>
              <w:t>662</w:t>
            </w:r>
          </w:p>
        </w:tc>
        <w:tc>
          <w:tcPr>
            <w:tcW w:w="1189" w:type="pct"/>
          </w:tcPr>
          <w:p w:rsidR="00035233" w:rsidRDefault="00035233" w:rsidP="00035233">
            <w:pPr>
              <w:pStyle w:val="05Tabletext"/>
              <w:jc w:val="center"/>
            </w:pPr>
            <w:r>
              <w:t>643</w:t>
            </w:r>
          </w:p>
        </w:tc>
        <w:tc>
          <w:tcPr>
            <w:tcW w:w="1146" w:type="pct"/>
            <w:shd w:val="clear" w:color="auto" w:fill="auto"/>
          </w:tcPr>
          <w:p w:rsidR="00035233" w:rsidRDefault="00035233" w:rsidP="00035233">
            <w:pPr>
              <w:pStyle w:val="05Tabletext"/>
              <w:jc w:val="center"/>
            </w:pPr>
            <w:r>
              <w:t>0.91 (0.81, 1.02)</w:t>
            </w:r>
          </w:p>
        </w:tc>
      </w:tr>
      <w:tr w:rsidR="00035233" w:rsidRPr="00194011" w:rsidTr="00035233">
        <w:trPr>
          <w:cantSplit/>
        </w:trPr>
        <w:tc>
          <w:tcPr>
            <w:tcW w:w="1722" w:type="pct"/>
            <w:shd w:val="clear" w:color="auto" w:fill="auto"/>
          </w:tcPr>
          <w:p w:rsidR="00035233" w:rsidRDefault="00035233" w:rsidP="00035233">
            <w:pPr>
              <w:pStyle w:val="05Tabletext"/>
            </w:pPr>
            <w:r>
              <w:t>Yes</w:t>
            </w:r>
          </w:p>
        </w:tc>
        <w:tc>
          <w:tcPr>
            <w:tcW w:w="943" w:type="pct"/>
          </w:tcPr>
          <w:p w:rsidR="00035233" w:rsidRDefault="00035233" w:rsidP="00035233">
            <w:pPr>
              <w:pStyle w:val="05Tabletext"/>
              <w:jc w:val="center"/>
            </w:pPr>
            <w:r>
              <w:t>989</w:t>
            </w:r>
          </w:p>
        </w:tc>
        <w:tc>
          <w:tcPr>
            <w:tcW w:w="1189" w:type="pct"/>
          </w:tcPr>
          <w:p w:rsidR="00035233" w:rsidRDefault="00035233" w:rsidP="00035233">
            <w:pPr>
              <w:pStyle w:val="05Tabletext"/>
              <w:jc w:val="center"/>
            </w:pPr>
            <w:r>
              <w:t>1,013</w:t>
            </w:r>
          </w:p>
        </w:tc>
        <w:tc>
          <w:tcPr>
            <w:tcW w:w="1146" w:type="pct"/>
            <w:shd w:val="clear" w:color="auto" w:fill="auto"/>
          </w:tcPr>
          <w:p w:rsidR="00035233" w:rsidRDefault="00035233" w:rsidP="00035233">
            <w:pPr>
              <w:pStyle w:val="05Tabletext"/>
              <w:jc w:val="center"/>
            </w:pPr>
            <w:r>
              <w:t>0.86 (0.78, 0.94)</w:t>
            </w:r>
          </w:p>
        </w:tc>
      </w:tr>
    </w:tbl>
    <w:p w:rsidR="00035233" w:rsidRDefault="00035233" w:rsidP="00035233">
      <w:pPr>
        <w:pStyle w:val="10TableorFigurefootnote"/>
      </w:pPr>
      <w:r>
        <w:t>Source: Wedzicha et al (2016), Figure 2, Figure 3.</w:t>
      </w:r>
    </w:p>
    <w:p w:rsidR="00035233" w:rsidRDefault="00035233" w:rsidP="00035233">
      <w:pPr>
        <w:pStyle w:val="10TableorFigurefootnote"/>
      </w:pPr>
      <w:r>
        <w:t>Note: Analyses based on the modified ITT population.</w:t>
      </w:r>
    </w:p>
    <w:p w:rsidR="00035233" w:rsidRDefault="00035233" w:rsidP="00035233">
      <w:pPr>
        <w:pStyle w:val="10TableorFigurefootnote"/>
      </w:pPr>
      <w:r>
        <w:t>Note: Based on a negative binomial model that included terms for treatment, baseline smoking status, use of inhaled glucocorticoids at the time of screening, severity of airflow limitation, and geographic region as fixed effects and baseline total symptom score (on a scale ranging from 0 to 18, with higher total scores indicating worse symptoms) and 1-year history of COPD exacerbations as covariates.</w:t>
      </w:r>
    </w:p>
    <w:p w:rsidR="00035233" w:rsidRDefault="00035233" w:rsidP="00035233">
      <w:pPr>
        <w:pStyle w:val="11TableorFigurefootnotenostick"/>
      </w:pPr>
      <w:bookmarkStart w:id="429" w:name="_Ref467956389"/>
      <w:bookmarkStart w:id="430" w:name="_Toc468006303"/>
      <w:bookmarkStart w:id="431" w:name="_Toc468012348"/>
      <w:r>
        <w:t>Abbreviations: CI, confidence interval; COPD, chronic obstructive pulmonary disease; FLU, fluticasone</w:t>
      </w:r>
      <w:r w:rsidR="003213DD">
        <w:t xml:space="preserve"> propionate</w:t>
      </w:r>
      <w:r>
        <w:t>; GLY, glycopyrronium; ICS, inhaled corticosteroid; IND, indacaterol; LABA, long-acting bete agonist; LAMA, long-acting muscarinic antagonist; SAL, salmeterol.</w:t>
      </w:r>
    </w:p>
    <w:p w:rsidR="00035233" w:rsidRDefault="00E75CD2" w:rsidP="00E319BB">
      <w:pPr>
        <w:pStyle w:val="ToR3Figureheader"/>
      </w:pPr>
      <w:bookmarkStart w:id="432" w:name="_Toc468034504"/>
      <w:bookmarkStart w:id="433" w:name="_Toc471891138"/>
      <w:bookmarkStart w:id="434" w:name="_Toc480375165"/>
      <w:bookmarkStart w:id="435" w:name="_Toc486428271"/>
      <w:bookmarkEnd w:id="429"/>
      <w:r>
        <w:lastRenderedPageBreak/>
        <w:t>Figure 3.8</w:t>
      </w:r>
      <w:r w:rsidR="00035233">
        <w:tab/>
        <w:t>Forest plot of estimated moderate or severe COPD exacerbation rate ratio by demographic and disease characteristics</w:t>
      </w:r>
      <w:bookmarkEnd w:id="430"/>
      <w:bookmarkEnd w:id="431"/>
      <w:bookmarkEnd w:id="432"/>
      <w:bookmarkEnd w:id="433"/>
      <w:bookmarkEnd w:id="434"/>
      <w:bookmarkEnd w:id="435"/>
    </w:p>
    <w:p w:rsidR="00035233" w:rsidRDefault="00035233" w:rsidP="00035233">
      <w:pPr>
        <w:pStyle w:val="Picturewithbox"/>
      </w:pPr>
      <w:r>
        <w:rPr>
          <w:noProof/>
          <w:lang w:eastAsia="en-AU"/>
        </w:rPr>
        <w:drawing>
          <wp:inline distT="0" distB="0" distL="0" distR="0" wp14:anchorId="2DCCEDF4" wp14:editId="29D16A4E">
            <wp:extent cx="6111240" cy="6587490"/>
            <wp:effectExtent l="0" t="0" r="3810" b="3810"/>
            <wp:docPr id="9" name="Picture 9" descr="GLY/IND vs FLU/SAL" title="Forest plot of estimated moderate or severe COPD exacerbation rate ratio by demographic and disease character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edzicha Figure S6B"/>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111240" cy="6587490"/>
                    </a:xfrm>
                    <a:prstGeom prst="rect">
                      <a:avLst/>
                    </a:prstGeom>
                    <a:noFill/>
                    <a:ln>
                      <a:noFill/>
                    </a:ln>
                  </pic:spPr>
                </pic:pic>
              </a:graphicData>
            </a:graphic>
          </wp:inline>
        </w:drawing>
      </w:r>
    </w:p>
    <w:p w:rsidR="00035233" w:rsidRDefault="00035233" w:rsidP="00035233">
      <w:pPr>
        <w:pStyle w:val="10TableorFigurefootnote"/>
      </w:pPr>
      <w:r>
        <w:t>Source: Wedzicha et al (2016)</w:t>
      </w:r>
    </w:p>
    <w:p w:rsidR="00035233" w:rsidRPr="003B42B4" w:rsidRDefault="00035233" w:rsidP="00035233">
      <w:pPr>
        <w:pStyle w:val="11TableorFigurefootnotenostick"/>
      </w:pPr>
      <w:r>
        <w:t>Abbreviations: CI, confidence interval; COPD, chronic obstructive pulmonary disease; GLY, glycopyrronium; GOLD, Global initiative for chronic Obstructive Lung Disease; ICS, inhaled corticosteroid; IND, indacaterol; LABA, long-acting beta</w:t>
      </w:r>
      <w:r w:rsidR="00D562FC">
        <w:t>-</w:t>
      </w:r>
      <w:r>
        <w:t>agonist; LAMA, long-acting muscarinic antagonist; SFC, salmeterol/fluticasone combination.</w:t>
      </w:r>
    </w:p>
    <w:p w:rsidR="00035233" w:rsidRDefault="00E319BB" w:rsidP="00035233">
      <w:pPr>
        <w:pStyle w:val="BodyText"/>
      </w:pPr>
      <w:r>
        <w:t>T</w:t>
      </w:r>
      <w:r w:rsidR="00035233">
        <w:t xml:space="preserve">ime to first exacerbation favoured glycopyrronium/indacaterol </w:t>
      </w:r>
      <w:r w:rsidR="001E394F">
        <w:t xml:space="preserve">(71 days; 95% CI 60, 82) </w:t>
      </w:r>
      <w:r w:rsidR="00035233">
        <w:t>over fluticasone</w:t>
      </w:r>
      <w:r w:rsidR="003213DD">
        <w:t xml:space="preserve"> propionate</w:t>
      </w:r>
      <w:r w:rsidR="00035233">
        <w:t>/salmeterol group</w:t>
      </w:r>
      <w:r w:rsidR="001E394F">
        <w:t xml:space="preserve"> (median time to first exacerbation: 51 days; 95% CI 46, 57)</w:t>
      </w:r>
      <w:r w:rsidR="00035233">
        <w:t>, representing a 16% lower risk. The risk difference was even greater with respect to moderate or severe exacerbations (22%), with a median time to moderate or severe exacerbation of 127 days and 87 days in the glycopyrronium/indacaterol and fluticasone</w:t>
      </w:r>
      <w:r w:rsidR="003213DD">
        <w:t xml:space="preserve"> propionate</w:t>
      </w:r>
      <w:r w:rsidR="00035233">
        <w:t>/salmeterol groups, respectively (see</w:t>
      </w:r>
      <w:r w:rsidR="00E75CD2">
        <w:t xml:space="preserve"> Figure 3.9</w:t>
      </w:r>
      <w:r w:rsidR="00035233">
        <w:t>).</w:t>
      </w:r>
    </w:p>
    <w:p w:rsidR="00035233" w:rsidRDefault="00E319BB" w:rsidP="00E319BB">
      <w:pPr>
        <w:pStyle w:val="ToR3Figureheader"/>
      </w:pPr>
      <w:bookmarkStart w:id="436" w:name="_Toc468006304"/>
      <w:bookmarkStart w:id="437" w:name="_Toc468012349"/>
      <w:bookmarkStart w:id="438" w:name="_Toc468034505"/>
      <w:bookmarkStart w:id="439" w:name="_Toc471891139"/>
      <w:bookmarkStart w:id="440" w:name="_Toc480375166"/>
      <w:bookmarkStart w:id="441" w:name="_Toc486428272"/>
      <w:r>
        <w:lastRenderedPageBreak/>
        <w:t>Figure 3.9</w:t>
      </w:r>
      <w:r w:rsidR="00702B5C">
        <w:tab/>
      </w:r>
      <w:r w:rsidR="00035233">
        <w:t>Time to first exacerbation (any severity, moderate or severe, or severe) – modified ITT</w:t>
      </w:r>
      <w:bookmarkEnd w:id="436"/>
      <w:bookmarkEnd w:id="437"/>
      <w:bookmarkEnd w:id="438"/>
      <w:bookmarkEnd w:id="439"/>
      <w:bookmarkEnd w:id="440"/>
      <w:bookmarkEnd w:id="441"/>
    </w:p>
    <w:p w:rsidR="00035233" w:rsidRDefault="00035233" w:rsidP="00035233">
      <w:pPr>
        <w:pStyle w:val="Picturewithbox"/>
      </w:pPr>
      <w:r>
        <w:rPr>
          <w:noProof/>
          <w:lang w:eastAsia="en-AU"/>
        </w:rPr>
        <w:drawing>
          <wp:inline distT="0" distB="0" distL="0" distR="0" wp14:anchorId="61E802CF" wp14:editId="1CC09C30">
            <wp:extent cx="5393055" cy="3013710"/>
            <wp:effectExtent l="0" t="0" r="0" b="0"/>
            <wp:docPr id="10" name="Picture 10" descr="GLY/IND vs FLU/SAL" title="Time to first exacerbation (any severity, moderate or severe, or seve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edzicha 2b version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393055" cy="3013710"/>
                    </a:xfrm>
                    <a:prstGeom prst="rect">
                      <a:avLst/>
                    </a:prstGeom>
                    <a:noFill/>
                    <a:ln>
                      <a:noFill/>
                    </a:ln>
                  </pic:spPr>
                </pic:pic>
              </a:graphicData>
            </a:graphic>
          </wp:inline>
        </w:drawing>
      </w:r>
    </w:p>
    <w:p w:rsidR="00035233" w:rsidRDefault="00035233" w:rsidP="00035233">
      <w:pPr>
        <w:pStyle w:val="10TableorFigurefootnote"/>
      </w:pPr>
      <w:r>
        <w:t>Source: Wedzicha et al (2016), Figure 2b.</w:t>
      </w:r>
    </w:p>
    <w:p w:rsidR="00035233" w:rsidRDefault="00035233" w:rsidP="00035233">
      <w:pPr>
        <w:pStyle w:val="10TableorFigurefootnote"/>
      </w:pPr>
      <w:r>
        <w:t>Abbreviations: CI, confidence interval; ITT, intention</w:t>
      </w:r>
      <w:r w:rsidR="00D1265E">
        <w:t>-</w:t>
      </w:r>
      <w:r>
        <w:t>to</w:t>
      </w:r>
      <w:r w:rsidR="00D1265E">
        <w:t>-</w:t>
      </w:r>
      <w:r>
        <w:t>treat.</w:t>
      </w:r>
    </w:p>
    <w:p w:rsidR="00035233" w:rsidRDefault="00035233" w:rsidP="00035233">
      <w:pPr>
        <w:pStyle w:val="10TableorFigurefootnote"/>
      </w:pPr>
      <w:r>
        <w:t>Note (1): Analysis based on the modified ITT population.</w:t>
      </w:r>
    </w:p>
    <w:p w:rsidR="00035233" w:rsidRDefault="00035233" w:rsidP="00035233">
      <w:pPr>
        <w:pStyle w:val="11TableorFigurefootnotenostick"/>
      </w:pPr>
      <w:r>
        <w:t>Note (2): Analysed using a Cox regression model that included terms for treatment, baseline smoking status, use of inhaled glucocorticoids at the time of screening, severity of airflow limitation, and geographic region as fixed effects and baseline total symptom score (on a scale ranging from 0 to 18, with higher total scores indicating worse symptoms) and 1-year history of COPD exacerbations as covariates.</w:t>
      </w:r>
    </w:p>
    <w:p w:rsidR="00035233" w:rsidRPr="00D428B8" w:rsidRDefault="00035233" w:rsidP="00035233">
      <w:pPr>
        <w:pStyle w:val="BodyText"/>
      </w:pPr>
      <w:r>
        <w:t>The change from baseline in trough FEV</w:t>
      </w:r>
      <w:r>
        <w:rPr>
          <w:vertAlign w:val="subscript"/>
        </w:rPr>
        <w:t>1</w:t>
      </w:r>
      <w:r>
        <w:t xml:space="preserve"> was examined as a secondary outcome. </w:t>
      </w:r>
      <w:r w:rsidR="00E75CD2">
        <w:t xml:space="preserve"> Table 3.6</w:t>
      </w:r>
      <w:r w:rsidR="00967B39">
        <w:t>2</w:t>
      </w:r>
      <w:r w:rsidR="00E75CD2">
        <w:t xml:space="preserve"> shows that </w:t>
      </w:r>
      <w:r>
        <w:t>treatment with glycopyrronium/indacaterol resulted in a statistically significantly greater improvement in trough FEV</w:t>
      </w:r>
      <w:r>
        <w:rPr>
          <w:vertAlign w:val="subscript"/>
        </w:rPr>
        <w:t>1</w:t>
      </w:r>
      <w:r w:rsidR="00E75CD2">
        <w:t xml:space="preserve"> than fluticasone</w:t>
      </w:r>
      <w:r w:rsidR="003213DD">
        <w:t xml:space="preserve"> propionate</w:t>
      </w:r>
      <w:r w:rsidR="00E75CD2">
        <w:t>/</w:t>
      </w:r>
      <w:r>
        <w:t>salmeterol.</w:t>
      </w:r>
    </w:p>
    <w:p w:rsidR="00035233" w:rsidRDefault="00E75CD2" w:rsidP="00E319BB">
      <w:pPr>
        <w:pStyle w:val="ToR3Tableheader"/>
      </w:pPr>
      <w:bookmarkStart w:id="442" w:name="_Toc468006305"/>
      <w:bookmarkStart w:id="443" w:name="_Toc468012350"/>
      <w:bookmarkStart w:id="444" w:name="_Toc468034506"/>
      <w:bookmarkStart w:id="445" w:name="_Toc471891053"/>
      <w:bookmarkStart w:id="446" w:name="_Toc486428241"/>
      <w:r>
        <w:t>Table 3.6</w:t>
      </w:r>
      <w:r w:rsidR="00967B39">
        <w:t>2</w:t>
      </w:r>
      <w:r w:rsidR="00035233">
        <w:tab/>
        <w:t>Adjusted mean change from baseline in trough FEV</w:t>
      </w:r>
      <w:r w:rsidR="00035233">
        <w:rPr>
          <w:vertAlign w:val="subscript"/>
        </w:rPr>
        <w:t>1</w:t>
      </w:r>
      <w:r w:rsidR="00035233">
        <w:t xml:space="preserve"> – GLY/IND vs FLU/SAL</w:t>
      </w:r>
      <w:bookmarkEnd w:id="442"/>
      <w:bookmarkEnd w:id="443"/>
      <w:bookmarkEnd w:id="444"/>
      <w:bookmarkEnd w:id="445"/>
      <w:bookmarkEnd w:id="4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Adjusted mean change from baseline in trough FEV1 "/>
        <w:tblDescription w:val="GLY/IND vs FLU/SAL"/>
      </w:tblPr>
      <w:tblGrid>
        <w:gridCol w:w="2840"/>
        <w:gridCol w:w="1843"/>
        <w:gridCol w:w="1845"/>
        <w:gridCol w:w="1987"/>
        <w:gridCol w:w="1133"/>
      </w:tblGrid>
      <w:tr w:rsidR="00035233" w:rsidRPr="00F01736" w:rsidTr="00035233">
        <w:trPr>
          <w:cantSplit/>
          <w:tblHeader/>
        </w:trPr>
        <w:tc>
          <w:tcPr>
            <w:tcW w:w="1472" w:type="pct"/>
            <w:shd w:val="clear" w:color="auto" w:fill="BFBFBF"/>
          </w:tcPr>
          <w:p w:rsidR="00035233" w:rsidRPr="00EB35B8" w:rsidRDefault="00035233" w:rsidP="00035233">
            <w:pPr>
              <w:pStyle w:val="01TableHEADINGleftaligned"/>
            </w:pPr>
            <w:r>
              <w:t>LS mean change from baseline, L</w:t>
            </w:r>
          </w:p>
        </w:tc>
        <w:tc>
          <w:tcPr>
            <w:tcW w:w="955" w:type="pct"/>
            <w:tcBorders>
              <w:right w:val="single" w:sz="4" w:space="0" w:color="auto"/>
            </w:tcBorders>
            <w:shd w:val="clear" w:color="auto" w:fill="BFBFBF"/>
          </w:tcPr>
          <w:p w:rsidR="00035233" w:rsidRPr="00F01736" w:rsidRDefault="00035233" w:rsidP="00035233">
            <w:pPr>
              <w:pStyle w:val="01TableHEADINGleftaligned"/>
              <w:ind w:right="0"/>
              <w:jc w:val="center"/>
            </w:pPr>
            <w:r>
              <w:t>GLY/IND (n=1,597)</w:t>
            </w:r>
          </w:p>
        </w:tc>
        <w:tc>
          <w:tcPr>
            <w:tcW w:w="956" w:type="pct"/>
            <w:tcBorders>
              <w:left w:val="single" w:sz="4" w:space="0" w:color="auto"/>
            </w:tcBorders>
            <w:shd w:val="clear" w:color="auto" w:fill="BFBFBF"/>
          </w:tcPr>
          <w:p w:rsidR="00035233" w:rsidRPr="00F01736" w:rsidRDefault="00035233" w:rsidP="00035233">
            <w:pPr>
              <w:pStyle w:val="01TableHEADINGleftaligned"/>
              <w:ind w:right="0"/>
              <w:jc w:val="center"/>
            </w:pPr>
            <w:r>
              <w:t>FLU/SAL (n=1,595)</w:t>
            </w:r>
          </w:p>
        </w:tc>
        <w:tc>
          <w:tcPr>
            <w:tcW w:w="1030" w:type="pct"/>
            <w:shd w:val="clear" w:color="auto" w:fill="BFBFBF"/>
          </w:tcPr>
          <w:p w:rsidR="00035233" w:rsidRPr="00F01736" w:rsidRDefault="00035233" w:rsidP="00035233">
            <w:pPr>
              <w:pStyle w:val="01TableHEADINGleftaligned"/>
              <w:jc w:val="center"/>
            </w:pPr>
            <w:r>
              <w:t>Treatment difference</w:t>
            </w:r>
            <w:r>
              <w:br/>
              <w:t>Δ</w:t>
            </w:r>
            <w:r w:rsidRPr="00C34E40">
              <w:t xml:space="preserve"> (95% CI)</w:t>
            </w:r>
          </w:p>
        </w:tc>
        <w:tc>
          <w:tcPr>
            <w:tcW w:w="587" w:type="pct"/>
            <w:shd w:val="clear" w:color="auto" w:fill="BFBFBF"/>
          </w:tcPr>
          <w:p w:rsidR="00035233" w:rsidRDefault="00035233" w:rsidP="00035233">
            <w:pPr>
              <w:pStyle w:val="01TableHEADINGleftaligned"/>
              <w:jc w:val="center"/>
            </w:pPr>
            <w:r>
              <w:t>p-value</w:t>
            </w:r>
          </w:p>
        </w:tc>
      </w:tr>
      <w:tr w:rsidR="00035233" w:rsidRPr="00194011" w:rsidTr="00035233">
        <w:trPr>
          <w:cantSplit/>
        </w:trPr>
        <w:tc>
          <w:tcPr>
            <w:tcW w:w="1472" w:type="pct"/>
            <w:shd w:val="clear" w:color="auto" w:fill="auto"/>
          </w:tcPr>
          <w:p w:rsidR="00035233" w:rsidRDefault="00035233" w:rsidP="00035233">
            <w:pPr>
              <w:pStyle w:val="05Tabletext"/>
            </w:pPr>
            <w:r>
              <w:t>Trough FEV</w:t>
            </w:r>
            <w:r>
              <w:rPr>
                <w:vertAlign w:val="subscript"/>
              </w:rPr>
              <w:t>1</w:t>
            </w:r>
            <w:r>
              <w:t xml:space="preserve"> – </w:t>
            </w:r>
            <w:r w:rsidR="004B3085">
              <w:t>D</w:t>
            </w:r>
            <w:r>
              <w:t>ay 28</w:t>
            </w:r>
          </w:p>
        </w:tc>
        <w:tc>
          <w:tcPr>
            <w:tcW w:w="955" w:type="pct"/>
            <w:shd w:val="clear" w:color="auto" w:fill="auto"/>
          </w:tcPr>
          <w:p w:rsidR="00035233" w:rsidRDefault="00035233" w:rsidP="00035233">
            <w:pPr>
              <w:pStyle w:val="05Tabletext"/>
              <w:jc w:val="center"/>
            </w:pPr>
            <w:r>
              <w:t>0.079</w:t>
            </w:r>
          </w:p>
        </w:tc>
        <w:tc>
          <w:tcPr>
            <w:tcW w:w="956" w:type="pct"/>
            <w:shd w:val="clear" w:color="auto" w:fill="auto"/>
          </w:tcPr>
          <w:p w:rsidR="00035233" w:rsidRDefault="00035233" w:rsidP="00035233">
            <w:pPr>
              <w:pStyle w:val="05Tabletext"/>
              <w:jc w:val="center"/>
            </w:pPr>
            <w:r>
              <w:t>0.006</w:t>
            </w:r>
          </w:p>
        </w:tc>
        <w:tc>
          <w:tcPr>
            <w:tcW w:w="1030" w:type="pct"/>
            <w:shd w:val="clear" w:color="auto" w:fill="auto"/>
          </w:tcPr>
          <w:p w:rsidR="00035233" w:rsidRDefault="00035233" w:rsidP="00035233">
            <w:pPr>
              <w:pStyle w:val="05Tabletext"/>
              <w:jc w:val="center"/>
            </w:pPr>
            <w:r>
              <w:t>0.073 (0.061, 0.085)</w:t>
            </w:r>
          </w:p>
        </w:tc>
        <w:tc>
          <w:tcPr>
            <w:tcW w:w="587" w:type="pct"/>
          </w:tcPr>
          <w:p w:rsidR="00035233" w:rsidRDefault="00035233" w:rsidP="00035233">
            <w:pPr>
              <w:pStyle w:val="05Tabletext"/>
              <w:jc w:val="center"/>
            </w:pPr>
            <w:r>
              <w:t>&lt;0.001</w:t>
            </w:r>
          </w:p>
        </w:tc>
      </w:tr>
      <w:tr w:rsidR="00035233" w:rsidRPr="00194011" w:rsidTr="00035233">
        <w:trPr>
          <w:cantSplit/>
        </w:trPr>
        <w:tc>
          <w:tcPr>
            <w:tcW w:w="1472" w:type="pct"/>
            <w:shd w:val="clear" w:color="auto" w:fill="auto"/>
          </w:tcPr>
          <w:p w:rsidR="00035233" w:rsidRDefault="00035233" w:rsidP="00035233">
            <w:pPr>
              <w:pStyle w:val="05Tabletext"/>
            </w:pPr>
            <w:r>
              <w:t>Trough FEV</w:t>
            </w:r>
            <w:r>
              <w:rPr>
                <w:vertAlign w:val="subscript"/>
              </w:rPr>
              <w:t>1</w:t>
            </w:r>
            <w:r>
              <w:t xml:space="preserve"> – </w:t>
            </w:r>
            <w:r w:rsidR="004B3085">
              <w:t>D</w:t>
            </w:r>
            <w:r>
              <w:t>ay 85</w:t>
            </w:r>
          </w:p>
        </w:tc>
        <w:tc>
          <w:tcPr>
            <w:tcW w:w="955" w:type="pct"/>
            <w:shd w:val="clear" w:color="auto" w:fill="auto"/>
          </w:tcPr>
          <w:p w:rsidR="00035233" w:rsidRDefault="00035233" w:rsidP="00035233">
            <w:pPr>
              <w:pStyle w:val="05Tabletext"/>
              <w:jc w:val="center"/>
            </w:pPr>
            <w:r>
              <w:t>0.070</w:t>
            </w:r>
          </w:p>
        </w:tc>
        <w:tc>
          <w:tcPr>
            <w:tcW w:w="956" w:type="pct"/>
            <w:shd w:val="clear" w:color="auto" w:fill="auto"/>
          </w:tcPr>
          <w:p w:rsidR="00035233" w:rsidRDefault="00035233" w:rsidP="00035233">
            <w:pPr>
              <w:pStyle w:val="05Tabletext"/>
              <w:jc w:val="center"/>
            </w:pPr>
            <w:r>
              <w:t>–0.008</w:t>
            </w:r>
          </w:p>
        </w:tc>
        <w:tc>
          <w:tcPr>
            <w:tcW w:w="1030" w:type="pct"/>
            <w:shd w:val="clear" w:color="auto" w:fill="auto"/>
          </w:tcPr>
          <w:p w:rsidR="00035233" w:rsidRDefault="00035233" w:rsidP="00035233">
            <w:pPr>
              <w:pStyle w:val="05Tabletext"/>
              <w:jc w:val="center"/>
            </w:pPr>
            <w:r>
              <w:t>0.078 (0.066, 0.091)</w:t>
            </w:r>
          </w:p>
        </w:tc>
        <w:tc>
          <w:tcPr>
            <w:tcW w:w="587" w:type="pct"/>
          </w:tcPr>
          <w:p w:rsidR="00035233" w:rsidRDefault="00035233" w:rsidP="00035233">
            <w:pPr>
              <w:pStyle w:val="05Tabletext"/>
              <w:jc w:val="center"/>
            </w:pPr>
            <w:r>
              <w:t>&lt;0.001</w:t>
            </w:r>
          </w:p>
        </w:tc>
      </w:tr>
      <w:tr w:rsidR="00035233" w:rsidRPr="00194011" w:rsidTr="00035233">
        <w:trPr>
          <w:cantSplit/>
        </w:trPr>
        <w:tc>
          <w:tcPr>
            <w:tcW w:w="1472" w:type="pct"/>
            <w:shd w:val="clear" w:color="auto" w:fill="auto"/>
          </w:tcPr>
          <w:p w:rsidR="00035233" w:rsidRDefault="00035233" w:rsidP="00035233">
            <w:pPr>
              <w:pStyle w:val="05Tabletext"/>
            </w:pPr>
            <w:r>
              <w:t>Trough FEV</w:t>
            </w:r>
            <w:r>
              <w:rPr>
                <w:vertAlign w:val="subscript"/>
              </w:rPr>
              <w:t>1</w:t>
            </w:r>
            <w:r>
              <w:t xml:space="preserve"> – </w:t>
            </w:r>
            <w:r w:rsidR="004B3085">
              <w:t>D</w:t>
            </w:r>
            <w:r>
              <w:t>ay 183</w:t>
            </w:r>
          </w:p>
        </w:tc>
        <w:tc>
          <w:tcPr>
            <w:tcW w:w="955" w:type="pct"/>
            <w:shd w:val="clear" w:color="auto" w:fill="auto"/>
          </w:tcPr>
          <w:p w:rsidR="00035233" w:rsidRDefault="00035233" w:rsidP="00035233">
            <w:pPr>
              <w:pStyle w:val="05Tabletext"/>
              <w:jc w:val="center"/>
            </w:pPr>
            <w:r>
              <w:t>0.049</w:t>
            </w:r>
          </w:p>
        </w:tc>
        <w:tc>
          <w:tcPr>
            <w:tcW w:w="956" w:type="pct"/>
            <w:shd w:val="clear" w:color="auto" w:fill="auto"/>
          </w:tcPr>
          <w:p w:rsidR="00035233" w:rsidRDefault="00035233" w:rsidP="00035233">
            <w:pPr>
              <w:pStyle w:val="05Tabletext"/>
              <w:jc w:val="center"/>
            </w:pPr>
            <w:r>
              <w:t>–0.037</w:t>
            </w:r>
          </w:p>
        </w:tc>
        <w:tc>
          <w:tcPr>
            <w:tcW w:w="1030" w:type="pct"/>
            <w:shd w:val="clear" w:color="auto" w:fill="auto"/>
          </w:tcPr>
          <w:p w:rsidR="00035233" w:rsidRDefault="00035233" w:rsidP="00035233">
            <w:pPr>
              <w:pStyle w:val="05Tabletext"/>
              <w:jc w:val="center"/>
            </w:pPr>
            <w:r>
              <w:t>0.086 (0.073, 0.100)</w:t>
            </w:r>
          </w:p>
        </w:tc>
        <w:tc>
          <w:tcPr>
            <w:tcW w:w="587" w:type="pct"/>
          </w:tcPr>
          <w:p w:rsidR="00035233" w:rsidRDefault="00035233" w:rsidP="00035233">
            <w:pPr>
              <w:pStyle w:val="05Tabletext"/>
              <w:jc w:val="center"/>
            </w:pPr>
            <w:r>
              <w:t>&lt;0.001</w:t>
            </w:r>
          </w:p>
        </w:tc>
      </w:tr>
      <w:tr w:rsidR="00035233" w:rsidRPr="00194011" w:rsidTr="00035233">
        <w:trPr>
          <w:cantSplit/>
        </w:trPr>
        <w:tc>
          <w:tcPr>
            <w:tcW w:w="1472" w:type="pct"/>
            <w:shd w:val="clear" w:color="auto" w:fill="auto"/>
          </w:tcPr>
          <w:p w:rsidR="00035233" w:rsidRDefault="00035233" w:rsidP="00035233">
            <w:pPr>
              <w:pStyle w:val="05Tabletext"/>
            </w:pPr>
            <w:r>
              <w:t>Trough FEV</w:t>
            </w:r>
            <w:r>
              <w:rPr>
                <w:vertAlign w:val="subscript"/>
              </w:rPr>
              <w:t>1</w:t>
            </w:r>
            <w:r>
              <w:t xml:space="preserve"> – </w:t>
            </w:r>
            <w:r w:rsidR="004B3085">
              <w:t>D</w:t>
            </w:r>
            <w:r>
              <w:t>ay 267</w:t>
            </w:r>
          </w:p>
        </w:tc>
        <w:tc>
          <w:tcPr>
            <w:tcW w:w="955" w:type="pct"/>
            <w:shd w:val="clear" w:color="auto" w:fill="auto"/>
          </w:tcPr>
          <w:p w:rsidR="00035233" w:rsidRDefault="00035233" w:rsidP="00035233">
            <w:pPr>
              <w:pStyle w:val="05Tabletext"/>
              <w:jc w:val="center"/>
            </w:pPr>
            <w:r>
              <w:t>0.034</w:t>
            </w:r>
          </w:p>
        </w:tc>
        <w:tc>
          <w:tcPr>
            <w:tcW w:w="956" w:type="pct"/>
            <w:shd w:val="clear" w:color="auto" w:fill="auto"/>
          </w:tcPr>
          <w:p w:rsidR="00035233" w:rsidRDefault="00035233" w:rsidP="00035233">
            <w:pPr>
              <w:pStyle w:val="05Tabletext"/>
              <w:jc w:val="center"/>
            </w:pPr>
            <w:r>
              <w:t>–0.039</w:t>
            </w:r>
          </w:p>
        </w:tc>
        <w:tc>
          <w:tcPr>
            <w:tcW w:w="1030" w:type="pct"/>
            <w:shd w:val="clear" w:color="auto" w:fill="auto"/>
          </w:tcPr>
          <w:p w:rsidR="00035233" w:rsidRDefault="00035233" w:rsidP="00035233">
            <w:pPr>
              <w:pStyle w:val="05Tabletext"/>
              <w:jc w:val="center"/>
            </w:pPr>
            <w:r>
              <w:t>0.073 (0.059, 0.087)</w:t>
            </w:r>
          </w:p>
        </w:tc>
        <w:tc>
          <w:tcPr>
            <w:tcW w:w="587" w:type="pct"/>
          </w:tcPr>
          <w:p w:rsidR="00035233" w:rsidRDefault="00035233" w:rsidP="00035233">
            <w:pPr>
              <w:pStyle w:val="05Tabletext"/>
              <w:jc w:val="center"/>
            </w:pPr>
            <w:r>
              <w:t>&lt;0.001</w:t>
            </w:r>
          </w:p>
        </w:tc>
      </w:tr>
      <w:tr w:rsidR="00035233" w:rsidRPr="00194011" w:rsidTr="00035233">
        <w:trPr>
          <w:cantSplit/>
        </w:trPr>
        <w:tc>
          <w:tcPr>
            <w:tcW w:w="1472" w:type="pct"/>
            <w:shd w:val="clear" w:color="auto" w:fill="auto"/>
          </w:tcPr>
          <w:p w:rsidR="00035233" w:rsidRPr="000C69AD" w:rsidRDefault="00035233" w:rsidP="00035233">
            <w:pPr>
              <w:pStyle w:val="05Tabletext"/>
            </w:pPr>
            <w:r>
              <w:t>Trough FEV</w:t>
            </w:r>
            <w:r>
              <w:rPr>
                <w:vertAlign w:val="subscript"/>
              </w:rPr>
              <w:t>1</w:t>
            </w:r>
            <w:r>
              <w:t xml:space="preserve"> – </w:t>
            </w:r>
            <w:r w:rsidR="004B3085">
              <w:t>D</w:t>
            </w:r>
            <w:r>
              <w:t>ay 365 (Week 52)</w:t>
            </w:r>
          </w:p>
        </w:tc>
        <w:tc>
          <w:tcPr>
            <w:tcW w:w="955" w:type="pct"/>
            <w:shd w:val="clear" w:color="auto" w:fill="auto"/>
          </w:tcPr>
          <w:p w:rsidR="00035233" w:rsidRPr="003E664B" w:rsidRDefault="00035233" w:rsidP="00035233">
            <w:pPr>
              <w:pStyle w:val="05Tabletext"/>
              <w:jc w:val="center"/>
            </w:pPr>
            <w:r>
              <w:t>0.015</w:t>
            </w:r>
          </w:p>
        </w:tc>
        <w:tc>
          <w:tcPr>
            <w:tcW w:w="956" w:type="pct"/>
            <w:shd w:val="clear" w:color="auto" w:fill="auto"/>
          </w:tcPr>
          <w:p w:rsidR="00035233" w:rsidRPr="004F2A17" w:rsidRDefault="00035233" w:rsidP="00035233">
            <w:pPr>
              <w:pStyle w:val="05Tabletext"/>
              <w:jc w:val="center"/>
            </w:pPr>
            <w:r>
              <w:t>–0.048</w:t>
            </w:r>
          </w:p>
        </w:tc>
        <w:tc>
          <w:tcPr>
            <w:tcW w:w="1030" w:type="pct"/>
            <w:shd w:val="clear" w:color="auto" w:fill="auto"/>
          </w:tcPr>
          <w:p w:rsidR="00035233" w:rsidRPr="00194011" w:rsidRDefault="00035233" w:rsidP="00035233">
            <w:pPr>
              <w:pStyle w:val="05Tabletext"/>
              <w:jc w:val="center"/>
            </w:pPr>
            <w:r>
              <w:t>0.062 (0.048, 0.077)</w:t>
            </w:r>
          </w:p>
        </w:tc>
        <w:tc>
          <w:tcPr>
            <w:tcW w:w="587" w:type="pct"/>
          </w:tcPr>
          <w:p w:rsidR="00035233" w:rsidRPr="00194011" w:rsidRDefault="00035233" w:rsidP="00035233">
            <w:pPr>
              <w:pStyle w:val="05Tabletext"/>
              <w:jc w:val="center"/>
            </w:pPr>
            <w:r>
              <w:t>&lt;0.001</w:t>
            </w:r>
          </w:p>
        </w:tc>
      </w:tr>
    </w:tbl>
    <w:p w:rsidR="00035233" w:rsidRDefault="00035233" w:rsidP="00035233">
      <w:pPr>
        <w:pStyle w:val="10TableorFigurefootnote"/>
      </w:pPr>
      <w:r>
        <w:t>Source: Wedzicha et al (2016), p 2229; Figure S7A; Table S6 (Supplementary appendix).</w:t>
      </w:r>
    </w:p>
    <w:p w:rsidR="00035233" w:rsidRDefault="00035233" w:rsidP="00035233">
      <w:pPr>
        <w:pStyle w:val="10TableorFigurefootnote"/>
      </w:pPr>
      <w:r>
        <w:t>Abbreviations: CI, confidence interval; FEV</w:t>
      </w:r>
      <w:r w:rsidRPr="003B42B4">
        <w:rPr>
          <w:vertAlign w:val="subscript"/>
        </w:rPr>
        <w:t>1</w:t>
      </w:r>
      <w:r>
        <w:t>, forced expiratory volume in 1 second; FLU, fluticasone</w:t>
      </w:r>
      <w:r w:rsidR="003213DD">
        <w:t xml:space="preserve"> propionate</w:t>
      </w:r>
      <w:r>
        <w:t>; GLY, glycopyrronium; IND, indacaterol; LS, least squares; SAL, salmeterol.</w:t>
      </w:r>
    </w:p>
    <w:p w:rsidR="00035233" w:rsidRDefault="00035233" w:rsidP="00035233">
      <w:pPr>
        <w:pStyle w:val="10TableorFigurefootnote"/>
      </w:pPr>
      <w:r>
        <w:t>Note (1): Analysis was based on the full analysis set. Number of patients included in the analysis: GLY/IND n=1,597; FLU/SAL n=1,595.</w:t>
      </w:r>
    </w:p>
    <w:p w:rsidR="00035233" w:rsidRDefault="00035233" w:rsidP="00035233">
      <w:pPr>
        <w:pStyle w:val="10TableorFigurefootnote"/>
      </w:pPr>
      <w:r>
        <w:t xml:space="preserve">Note (2): </w:t>
      </w:r>
      <w:r w:rsidRPr="007179DA">
        <w:t>Change from baseline in trough FEV</w:t>
      </w:r>
      <w:r w:rsidRPr="007179DA">
        <w:rPr>
          <w:vertAlign w:val="subscript"/>
        </w:rPr>
        <w:t>1</w:t>
      </w:r>
      <w:r>
        <w:t xml:space="preserve"> was</w:t>
      </w:r>
      <w:r w:rsidRPr="007179DA">
        <w:t xml:space="preserve"> analy</w:t>
      </w:r>
      <w:r>
        <w:t>s</w:t>
      </w:r>
      <w:r w:rsidRPr="007179DA">
        <w:t>ed using a mixed model for repeated measures. The model included terms of treatment, baseline measurements (FEV</w:t>
      </w:r>
      <w:r w:rsidRPr="007179DA">
        <w:rPr>
          <w:vertAlign w:val="subscript"/>
        </w:rPr>
        <w:t>1</w:t>
      </w:r>
      <w:r w:rsidRPr="007179DA">
        <w:t>/FVC as appropriate), smoking status at baseline, baseline ICS use, COPD severity (using GOLD 2011 classification), region, visit (as a factor), baseline-by-visit interaction and treatment-by-visit interaction, and an unstructured variance–covariance structure.</w:t>
      </w:r>
    </w:p>
    <w:p w:rsidR="00035233" w:rsidRDefault="00035233" w:rsidP="00035233">
      <w:pPr>
        <w:pStyle w:val="11TableorFigurefootnotenostick"/>
      </w:pPr>
      <w:r>
        <w:t>Abbreviations:</w:t>
      </w:r>
    </w:p>
    <w:p w:rsidR="00035233" w:rsidRPr="00426643" w:rsidRDefault="00035233" w:rsidP="00035233">
      <w:pPr>
        <w:pStyle w:val="BodyText"/>
      </w:pPr>
      <w:r>
        <w:t>There were no unexpected safety findings and although there were more cases of pneumonia in the fluticasone</w:t>
      </w:r>
      <w:r w:rsidR="005E5D56">
        <w:t xml:space="preserve"> propionate</w:t>
      </w:r>
      <w:r>
        <w:t xml:space="preserve">/salmeterol group, the statistical and clinical significance of the result was unclear (see </w:t>
      </w:r>
      <w:r w:rsidR="00E75CD2">
        <w:t>Table 3.6</w:t>
      </w:r>
      <w:r w:rsidR="00967B39">
        <w:t>3</w:t>
      </w:r>
      <w:r>
        <w:t>).</w:t>
      </w:r>
    </w:p>
    <w:p w:rsidR="00035233" w:rsidRPr="00250C9D" w:rsidRDefault="00E75CD2" w:rsidP="00E319BB">
      <w:pPr>
        <w:pStyle w:val="ToR3Tableheader"/>
        <w:rPr>
          <w:vertAlign w:val="superscript"/>
        </w:rPr>
      </w:pPr>
      <w:bookmarkStart w:id="447" w:name="_Ref467956895"/>
      <w:bookmarkStart w:id="448" w:name="_Toc468006306"/>
      <w:bookmarkStart w:id="449" w:name="_Toc468012351"/>
      <w:bookmarkStart w:id="450" w:name="_Toc468034507"/>
      <w:bookmarkStart w:id="451" w:name="_Toc471891054"/>
      <w:bookmarkStart w:id="452" w:name="_Toc486428242"/>
      <w:r>
        <w:lastRenderedPageBreak/>
        <w:t>Table 3.6</w:t>
      </w:r>
      <w:r w:rsidR="00967B39">
        <w:t>3</w:t>
      </w:r>
      <w:r w:rsidR="00035233">
        <w:tab/>
        <w:t>Safety outcomes relating to the comparison of GLY/IND vs FLU/SAL – Safety set</w:t>
      </w:r>
      <w:r w:rsidR="00035233">
        <w:rPr>
          <w:vertAlign w:val="superscript"/>
        </w:rPr>
        <w:t>a</w:t>
      </w:r>
      <w:bookmarkEnd w:id="447"/>
      <w:bookmarkEnd w:id="448"/>
      <w:bookmarkEnd w:id="449"/>
      <w:bookmarkEnd w:id="450"/>
      <w:bookmarkEnd w:id="451"/>
      <w:bookmarkEnd w:id="45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Caption w:val="Safety outcomes"/>
        <w:tblDescription w:val="GLY/IND vs FLU/SAL"/>
      </w:tblPr>
      <w:tblGrid>
        <w:gridCol w:w="3974"/>
        <w:gridCol w:w="2976"/>
        <w:gridCol w:w="2698"/>
      </w:tblGrid>
      <w:tr w:rsidR="00035233" w:rsidRPr="00194011" w:rsidTr="00035233">
        <w:trPr>
          <w:cantSplit/>
          <w:tblHeader/>
        </w:trPr>
        <w:tc>
          <w:tcPr>
            <w:tcW w:w="2059" w:type="pct"/>
            <w:tcBorders>
              <w:bottom w:val="single" w:sz="4" w:space="0" w:color="auto"/>
            </w:tcBorders>
            <w:shd w:val="clear" w:color="auto" w:fill="BFBFBF"/>
          </w:tcPr>
          <w:p w:rsidR="00035233" w:rsidRPr="00194011" w:rsidRDefault="00035233" w:rsidP="00035233">
            <w:pPr>
              <w:pStyle w:val="01TableHEADINGleftaligned"/>
              <w:rPr>
                <w:i/>
              </w:rPr>
            </w:pPr>
            <w:r>
              <w:t>Safety outcome</w:t>
            </w:r>
          </w:p>
        </w:tc>
        <w:tc>
          <w:tcPr>
            <w:tcW w:w="1542" w:type="pct"/>
            <w:tcBorders>
              <w:bottom w:val="single" w:sz="4" w:space="0" w:color="auto"/>
            </w:tcBorders>
            <w:shd w:val="clear" w:color="auto" w:fill="BFBFBF"/>
          </w:tcPr>
          <w:p w:rsidR="00035233" w:rsidRPr="00194011" w:rsidRDefault="00035233" w:rsidP="00035233">
            <w:pPr>
              <w:pStyle w:val="01TableHEADINGleftaligned"/>
              <w:jc w:val="center"/>
            </w:pPr>
            <w:r>
              <w:t>GLY/IND (N=1,678)</w:t>
            </w:r>
          </w:p>
        </w:tc>
        <w:tc>
          <w:tcPr>
            <w:tcW w:w="1398" w:type="pct"/>
            <w:tcBorders>
              <w:bottom w:val="single" w:sz="4" w:space="0" w:color="auto"/>
            </w:tcBorders>
            <w:shd w:val="clear" w:color="auto" w:fill="BFBFBF"/>
          </w:tcPr>
          <w:p w:rsidR="00035233" w:rsidRDefault="00035233" w:rsidP="00035233">
            <w:pPr>
              <w:pStyle w:val="01TableHEADINGleftaligned"/>
              <w:jc w:val="center"/>
            </w:pPr>
            <w:r>
              <w:t>FLU/SAL (N=1,680)</w:t>
            </w:r>
          </w:p>
        </w:tc>
      </w:tr>
      <w:tr w:rsidR="00035233" w:rsidRPr="00194011" w:rsidTr="00035233">
        <w:trPr>
          <w:cantSplit/>
        </w:trPr>
        <w:tc>
          <w:tcPr>
            <w:tcW w:w="2059" w:type="pct"/>
            <w:tcBorders>
              <w:bottom w:val="single" w:sz="4" w:space="0" w:color="auto"/>
            </w:tcBorders>
            <w:shd w:val="clear" w:color="auto" w:fill="auto"/>
          </w:tcPr>
          <w:p w:rsidR="00035233" w:rsidRPr="00194011" w:rsidRDefault="00035233" w:rsidP="00035233">
            <w:pPr>
              <w:pStyle w:val="05Tabletext"/>
              <w:keepNext/>
            </w:pPr>
            <w:r>
              <w:t>Patients with ≥1 AE, n (%)</w:t>
            </w:r>
          </w:p>
        </w:tc>
        <w:tc>
          <w:tcPr>
            <w:tcW w:w="1542" w:type="pct"/>
            <w:tcBorders>
              <w:bottom w:val="single" w:sz="4" w:space="0" w:color="auto"/>
            </w:tcBorders>
            <w:shd w:val="clear" w:color="auto" w:fill="auto"/>
          </w:tcPr>
          <w:p w:rsidR="00035233" w:rsidRPr="00194011" w:rsidRDefault="00035233" w:rsidP="00035233">
            <w:pPr>
              <w:pStyle w:val="05Tabletext"/>
              <w:keepNext/>
              <w:jc w:val="center"/>
            </w:pPr>
            <w:r>
              <w:t>1,459 (86.9)</w:t>
            </w:r>
          </w:p>
        </w:tc>
        <w:tc>
          <w:tcPr>
            <w:tcW w:w="1398" w:type="pct"/>
            <w:tcBorders>
              <w:bottom w:val="single" w:sz="4" w:space="0" w:color="auto"/>
            </w:tcBorders>
            <w:shd w:val="clear" w:color="auto" w:fill="auto"/>
          </w:tcPr>
          <w:p w:rsidR="00035233" w:rsidRPr="00194011" w:rsidRDefault="00035233" w:rsidP="00035233">
            <w:pPr>
              <w:pStyle w:val="05Tabletext"/>
              <w:keepNext/>
              <w:jc w:val="center"/>
            </w:pPr>
            <w:r>
              <w:t>1,498 (89.2)</w:t>
            </w:r>
          </w:p>
        </w:tc>
      </w:tr>
      <w:tr w:rsidR="00035233" w:rsidRPr="00194011" w:rsidTr="00035233">
        <w:trPr>
          <w:cantSplit/>
        </w:trPr>
        <w:tc>
          <w:tcPr>
            <w:tcW w:w="2059" w:type="pct"/>
            <w:tcBorders>
              <w:top w:val="single" w:sz="4" w:space="0" w:color="auto"/>
              <w:bottom w:val="nil"/>
            </w:tcBorders>
            <w:shd w:val="clear" w:color="auto" w:fill="auto"/>
          </w:tcPr>
          <w:p w:rsidR="00035233" w:rsidRPr="00BA0870" w:rsidRDefault="00035233" w:rsidP="00035233">
            <w:pPr>
              <w:pStyle w:val="05Tabletext"/>
              <w:keepNext/>
            </w:pPr>
            <w:r>
              <w:t>AEs, n (%)</w:t>
            </w:r>
          </w:p>
        </w:tc>
        <w:tc>
          <w:tcPr>
            <w:tcW w:w="1542" w:type="pct"/>
            <w:tcBorders>
              <w:top w:val="single" w:sz="4" w:space="0" w:color="auto"/>
              <w:bottom w:val="nil"/>
            </w:tcBorders>
            <w:shd w:val="clear" w:color="auto" w:fill="auto"/>
          </w:tcPr>
          <w:p w:rsidR="00035233" w:rsidRDefault="00035233" w:rsidP="00035233">
            <w:pPr>
              <w:pStyle w:val="05Tabletext"/>
              <w:keepNext/>
              <w:jc w:val="center"/>
            </w:pPr>
            <w:r>
              <w:t>-</w:t>
            </w:r>
          </w:p>
        </w:tc>
        <w:tc>
          <w:tcPr>
            <w:tcW w:w="1398" w:type="pct"/>
            <w:tcBorders>
              <w:top w:val="single" w:sz="4" w:space="0" w:color="auto"/>
              <w:bottom w:val="nil"/>
            </w:tcBorders>
            <w:shd w:val="clear" w:color="auto" w:fill="auto"/>
          </w:tcPr>
          <w:p w:rsidR="00035233" w:rsidRDefault="00035233" w:rsidP="00035233">
            <w:pPr>
              <w:pStyle w:val="05Tabletext"/>
              <w:keepNext/>
              <w:jc w:val="center"/>
            </w:pPr>
            <w:r>
              <w:t>-</w:t>
            </w:r>
          </w:p>
        </w:tc>
      </w:tr>
      <w:tr w:rsidR="00035233" w:rsidRPr="00194011" w:rsidTr="00035233">
        <w:trPr>
          <w:cantSplit/>
        </w:trPr>
        <w:tc>
          <w:tcPr>
            <w:tcW w:w="2059" w:type="pct"/>
            <w:tcBorders>
              <w:top w:val="nil"/>
              <w:bottom w:val="nil"/>
            </w:tcBorders>
            <w:shd w:val="clear" w:color="auto" w:fill="auto"/>
          </w:tcPr>
          <w:p w:rsidR="00035233" w:rsidRPr="00F708D1" w:rsidRDefault="00035233" w:rsidP="00035233">
            <w:pPr>
              <w:pStyle w:val="05Tabletext"/>
              <w:keepNext/>
              <w:ind w:firstLine="90"/>
              <w:rPr>
                <w:vertAlign w:val="superscript"/>
              </w:rPr>
            </w:pPr>
            <w:r>
              <w:t>COPD worsening</w:t>
            </w:r>
          </w:p>
        </w:tc>
        <w:tc>
          <w:tcPr>
            <w:tcW w:w="1542" w:type="pct"/>
            <w:tcBorders>
              <w:top w:val="nil"/>
              <w:bottom w:val="nil"/>
            </w:tcBorders>
            <w:shd w:val="clear" w:color="auto" w:fill="auto"/>
          </w:tcPr>
          <w:p w:rsidR="00035233" w:rsidRDefault="00035233" w:rsidP="00035233">
            <w:pPr>
              <w:pStyle w:val="05Tabletext"/>
              <w:keepNext/>
              <w:jc w:val="center"/>
            </w:pPr>
            <w:r>
              <w:t>1,299 (77.4)</w:t>
            </w:r>
          </w:p>
        </w:tc>
        <w:tc>
          <w:tcPr>
            <w:tcW w:w="1398" w:type="pct"/>
            <w:tcBorders>
              <w:top w:val="nil"/>
              <w:bottom w:val="nil"/>
            </w:tcBorders>
            <w:shd w:val="clear" w:color="auto" w:fill="auto"/>
          </w:tcPr>
          <w:p w:rsidR="00035233" w:rsidRDefault="00035233" w:rsidP="00035233">
            <w:pPr>
              <w:pStyle w:val="05Tabletext"/>
              <w:keepNext/>
              <w:jc w:val="center"/>
            </w:pPr>
            <w:r>
              <w:t>1,374 (81.8)</w:t>
            </w:r>
          </w:p>
        </w:tc>
      </w:tr>
      <w:tr w:rsidR="00035233" w:rsidRPr="00194011" w:rsidTr="00035233">
        <w:trPr>
          <w:cantSplit/>
        </w:trPr>
        <w:tc>
          <w:tcPr>
            <w:tcW w:w="2059" w:type="pct"/>
            <w:tcBorders>
              <w:top w:val="nil"/>
              <w:bottom w:val="nil"/>
            </w:tcBorders>
            <w:shd w:val="clear" w:color="auto" w:fill="auto"/>
          </w:tcPr>
          <w:p w:rsidR="00035233" w:rsidRDefault="00035233" w:rsidP="00035233">
            <w:pPr>
              <w:pStyle w:val="05Tabletext"/>
              <w:keepNext/>
              <w:ind w:firstLine="90"/>
            </w:pPr>
            <w:r>
              <w:t>LRTI</w:t>
            </w:r>
          </w:p>
        </w:tc>
        <w:tc>
          <w:tcPr>
            <w:tcW w:w="1542" w:type="pct"/>
            <w:tcBorders>
              <w:top w:val="nil"/>
              <w:bottom w:val="nil"/>
            </w:tcBorders>
            <w:shd w:val="clear" w:color="auto" w:fill="auto"/>
          </w:tcPr>
          <w:p w:rsidR="00035233" w:rsidRPr="00194011" w:rsidRDefault="00035233" w:rsidP="00035233">
            <w:pPr>
              <w:pStyle w:val="05Tabletext"/>
              <w:keepNext/>
              <w:jc w:val="center"/>
            </w:pPr>
            <w:r>
              <w:t>82 (4.9)</w:t>
            </w:r>
          </w:p>
        </w:tc>
        <w:tc>
          <w:tcPr>
            <w:tcW w:w="1398" w:type="pct"/>
            <w:tcBorders>
              <w:top w:val="nil"/>
              <w:bottom w:val="nil"/>
            </w:tcBorders>
            <w:shd w:val="clear" w:color="auto" w:fill="auto"/>
          </w:tcPr>
          <w:p w:rsidR="00035233" w:rsidRPr="00194011" w:rsidRDefault="00035233" w:rsidP="00035233">
            <w:pPr>
              <w:pStyle w:val="05Tabletext"/>
              <w:keepNext/>
              <w:jc w:val="center"/>
            </w:pPr>
            <w:r>
              <w:t>98 (5.8)</w:t>
            </w:r>
          </w:p>
        </w:tc>
      </w:tr>
      <w:tr w:rsidR="00035233" w:rsidRPr="00194011" w:rsidTr="00035233">
        <w:trPr>
          <w:cantSplit/>
        </w:trPr>
        <w:tc>
          <w:tcPr>
            <w:tcW w:w="2059" w:type="pct"/>
            <w:tcBorders>
              <w:top w:val="nil"/>
            </w:tcBorders>
            <w:shd w:val="clear" w:color="auto" w:fill="auto"/>
          </w:tcPr>
          <w:p w:rsidR="00035233" w:rsidRPr="00364207" w:rsidRDefault="00035233" w:rsidP="00035233">
            <w:pPr>
              <w:pStyle w:val="05Tabletext"/>
              <w:keepNext/>
              <w:ind w:firstLine="90"/>
              <w:rPr>
                <w:vertAlign w:val="superscript"/>
              </w:rPr>
            </w:pPr>
            <w:r>
              <w:t>Pneumonia</w:t>
            </w:r>
          </w:p>
        </w:tc>
        <w:tc>
          <w:tcPr>
            <w:tcW w:w="1542" w:type="pct"/>
            <w:tcBorders>
              <w:top w:val="nil"/>
            </w:tcBorders>
            <w:shd w:val="clear" w:color="auto" w:fill="auto"/>
          </w:tcPr>
          <w:p w:rsidR="00035233" w:rsidRPr="00194011" w:rsidRDefault="00035233" w:rsidP="00035233">
            <w:pPr>
              <w:pStyle w:val="05Tabletext"/>
              <w:keepNext/>
              <w:jc w:val="center"/>
            </w:pPr>
            <w:r>
              <w:t>53 (3.2)</w:t>
            </w:r>
          </w:p>
        </w:tc>
        <w:tc>
          <w:tcPr>
            <w:tcW w:w="1398" w:type="pct"/>
            <w:tcBorders>
              <w:top w:val="nil"/>
            </w:tcBorders>
            <w:shd w:val="clear" w:color="auto" w:fill="auto"/>
          </w:tcPr>
          <w:p w:rsidR="00035233" w:rsidRPr="00194011" w:rsidRDefault="00035233" w:rsidP="00035233">
            <w:pPr>
              <w:pStyle w:val="05Tabletext"/>
              <w:keepNext/>
              <w:jc w:val="center"/>
            </w:pPr>
            <w:r>
              <w:t>80 (4.8)</w:t>
            </w:r>
          </w:p>
        </w:tc>
      </w:tr>
      <w:tr w:rsidR="00035233" w:rsidRPr="00194011" w:rsidTr="00035233">
        <w:trPr>
          <w:cantSplit/>
        </w:trPr>
        <w:tc>
          <w:tcPr>
            <w:tcW w:w="2059" w:type="pct"/>
            <w:tcBorders>
              <w:bottom w:val="single" w:sz="4" w:space="0" w:color="auto"/>
            </w:tcBorders>
            <w:shd w:val="clear" w:color="auto" w:fill="auto"/>
          </w:tcPr>
          <w:p w:rsidR="00035233" w:rsidRPr="00194011" w:rsidRDefault="00035233" w:rsidP="00035233">
            <w:pPr>
              <w:pStyle w:val="05Tabletext"/>
              <w:keepNext/>
            </w:pPr>
            <w:r>
              <w:t>Any SAE, n (%)</w:t>
            </w:r>
          </w:p>
        </w:tc>
        <w:tc>
          <w:tcPr>
            <w:tcW w:w="1542" w:type="pct"/>
            <w:tcBorders>
              <w:bottom w:val="single" w:sz="4" w:space="0" w:color="auto"/>
            </w:tcBorders>
            <w:shd w:val="clear" w:color="auto" w:fill="auto"/>
          </w:tcPr>
          <w:p w:rsidR="00035233" w:rsidRPr="00194011" w:rsidRDefault="00035233" w:rsidP="00035233">
            <w:pPr>
              <w:pStyle w:val="05Tabletext"/>
              <w:keepNext/>
              <w:jc w:val="center"/>
            </w:pPr>
            <w:r>
              <w:t>308 (18.4)</w:t>
            </w:r>
          </w:p>
        </w:tc>
        <w:tc>
          <w:tcPr>
            <w:tcW w:w="1398" w:type="pct"/>
            <w:tcBorders>
              <w:bottom w:val="single" w:sz="4" w:space="0" w:color="auto"/>
            </w:tcBorders>
            <w:shd w:val="clear" w:color="auto" w:fill="auto"/>
          </w:tcPr>
          <w:p w:rsidR="00035233" w:rsidRPr="00194011" w:rsidRDefault="00035233" w:rsidP="00035233">
            <w:pPr>
              <w:pStyle w:val="05Tabletext"/>
              <w:keepNext/>
              <w:jc w:val="center"/>
            </w:pPr>
            <w:r>
              <w:t>334 (19.9)</w:t>
            </w:r>
          </w:p>
        </w:tc>
      </w:tr>
      <w:tr w:rsidR="00035233" w:rsidRPr="00194011" w:rsidTr="00035233">
        <w:trPr>
          <w:cantSplit/>
        </w:trPr>
        <w:tc>
          <w:tcPr>
            <w:tcW w:w="2059" w:type="pct"/>
            <w:tcBorders>
              <w:bottom w:val="nil"/>
            </w:tcBorders>
            <w:shd w:val="clear" w:color="auto" w:fill="auto"/>
          </w:tcPr>
          <w:p w:rsidR="00035233" w:rsidRPr="00770AB1" w:rsidRDefault="00035233" w:rsidP="00035233">
            <w:pPr>
              <w:pStyle w:val="05Tabletext"/>
              <w:keepNext/>
            </w:pPr>
            <w:r>
              <w:t>Deaths, n (%)</w:t>
            </w:r>
          </w:p>
        </w:tc>
        <w:tc>
          <w:tcPr>
            <w:tcW w:w="1542" w:type="pct"/>
            <w:tcBorders>
              <w:bottom w:val="nil"/>
            </w:tcBorders>
            <w:shd w:val="clear" w:color="auto" w:fill="auto"/>
          </w:tcPr>
          <w:p w:rsidR="00035233" w:rsidRPr="00770AB1" w:rsidRDefault="00035233" w:rsidP="00035233">
            <w:pPr>
              <w:pStyle w:val="05Tabletext"/>
              <w:keepNext/>
              <w:jc w:val="center"/>
            </w:pPr>
            <w:r>
              <w:t>24 (1.4)</w:t>
            </w:r>
          </w:p>
        </w:tc>
        <w:tc>
          <w:tcPr>
            <w:tcW w:w="1398" w:type="pct"/>
            <w:tcBorders>
              <w:bottom w:val="nil"/>
            </w:tcBorders>
            <w:shd w:val="clear" w:color="auto" w:fill="auto"/>
          </w:tcPr>
          <w:p w:rsidR="00035233" w:rsidRPr="00770AB1" w:rsidRDefault="00035233" w:rsidP="00035233">
            <w:pPr>
              <w:pStyle w:val="05Tabletext"/>
              <w:keepNext/>
              <w:jc w:val="center"/>
            </w:pPr>
            <w:r>
              <w:t>24 (1.4)</w:t>
            </w:r>
          </w:p>
        </w:tc>
      </w:tr>
      <w:tr w:rsidR="00035233" w:rsidRPr="00194011" w:rsidTr="00035233">
        <w:trPr>
          <w:cantSplit/>
        </w:trPr>
        <w:tc>
          <w:tcPr>
            <w:tcW w:w="2059" w:type="pct"/>
            <w:tcBorders>
              <w:top w:val="nil"/>
              <w:bottom w:val="nil"/>
            </w:tcBorders>
            <w:shd w:val="clear" w:color="auto" w:fill="auto"/>
          </w:tcPr>
          <w:p w:rsidR="00035233" w:rsidRPr="006E27DA" w:rsidRDefault="00035233" w:rsidP="00035233">
            <w:pPr>
              <w:pStyle w:val="05Tabletext"/>
              <w:keepNext/>
              <w:ind w:firstLine="232"/>
              <w:rPr>
                <w:vertAlign w:val="superscript"/>
              </w:rPr>
            </w:pPr>
            <w:r>
              <w:t>Cardiovascular</w:t>
            </w:r>
          </w:p>
        </w:tc>
        <w:tc>
          <w:tcPr>
            <w:tcW w:w="1542" w:type="pct"/>
            <w:tcBorders>
              <w:top w:val="nil"/>
              <w:bottom w:val="nil"/>
            </w:tcBorders>
            <w:shd w:val="clear" w:color="auto" w:fill="auto"/>
          </w:tcPr>
          <w:p w:rsidR="00035233" w:rsidRPr="00194011" w:rsidRDefault="00035233" w:rsidP="00035233">
            <w:pPr>
              <w:pStyle w:val="05Tabletext"/>
              <w:keepNext/>
              <w:jc w:val="center"/>
            </w:pPr>
            <w:r>
              <w:t>9 (0.5)</w:t>
            </w:r>
          </w:p>
        </w:tc>
        <w:tc>
          <w:tcPr>
            <w:tcW w:w="1398" w:type="pct"/>
            <w:tcBorders>
              <w:top w:val="nil"/>
              <w:bottom w:val="nil"/>
            </w:tcBorders>
            <w:shd w:val="clear" w:color="auto" w:fill="auto"/>
          </w:tcPr>
          <w:p w:rsidR="00035233" w:rsidRPr="00194011" w:rsidRDefault="00035233" w:rsidP="00035233">
            <w:pPr>
              <w:pStyle w:val="05Tabletext"/>
              <w:keepNext/>
              <w:jc w:val="center"/>
            </w:pPr>
            <w:r>
              <w:t>11 (0.7)</w:t>
            </w:r>
          </w:p>
        </w:tc>
      </w:tr>
      <w:tr w:rsidR="00035233" w:rsidRPr="00194011" w:rsidTr="00035233">
        <w:trPr>
          <w:cantSplit/>
        </w:trPr>
        <w:tc>
          <w:tcPr>
            <w:tcW w:w="2059" w:type="pct"/>
            <w:tcBorders>
              <w:top w:val="nil"/>
            </w:tcBorders>
            <w:shd w:val="clear" w:color="auto" w:fill="auto"/>
          </w:tcPr>
          <w:p w:rsidR="00035233" w:rsidRDefault="00035233" w:rsidP="00035233">
            <w:pPr>
              <w:pStyle w:val="05Tabletext"/>
              <w:keepNext/>
              <w:ind w:firstLine="232"/>
            </w:pPr>
            <w:r>
              <w:t>Respiratory</w:t>
            </w:r>
          </w:p>
        </w:tc>
        <w:tc>
          <w:tcPr>
            <w:tcW w:w="1542" w:type="pct"/>
            <w:tcBorders>
              <w:top w:val="nil"/>
            </w:tcBorders>
            <w:shd w:val="clear" w:color="auto" w:fill="auto"/>
          </w:tcPr>
          <w:p w:rsidR="00035233" w:rsidRPr="00194011" w:rsidRDefault="00035233" w:rsidP="00035233">
            <w:pPr>
              <w:pStyle w:val="05Tabletext"/>
              <w:keepNext/>
              <w:jc w:val="center"/>
            </w:pPr>
            <w:r>
              <w:t>5 (0.3)</w:t>
            </w:r>
          </w:p>
        </w:tc>
        <w:tc>
          <w:tcPr>
            <w:tcW w:w="1398" w:type="pct"/>
            <w:tcBorders>
              <w:top w:val="nil"/>
            </w:tcBorders>
            <w:shd w:val="clear" w:color="auto" w:fill="auto"/>
          </w:tcPr>
          <w:p w:rsidR="00035233" w:rsidRPr="00194011" w:rsidRDefault="00035233" w:rsidP="00035233">
            <w:pPr>
              <w:pStyle w:val="05Tabletext"/>
              <w:keepNext/>
              <w:jc w:val="center"/>
            </w:pPr>
            <w:r>
              <w:t>2 (0.1)</w:t>
            </w:r>
          </w:p>
        </w:tc>
      </w:tr>
      <w:tr w:rsidR="00035233" w:rsidRPr="00194011" w:rsidTr="00035233">
        <w:trPr>
          <w:cantSplit/>
        </w:trPr>
        <w:tc>
          <w:tcPr>
            <w:tcW w:w="2059" w:type="pct"/>
            <w:tcBorders>
              <w:bottom w:val="single" w:sz="4" w:space="0" w:color="auto"/>
            </w:tcBorders>
            <w:shd w:val="clear" w:color="auto" w:fill="auto"/>
          </w:tcPr>
          <w:p w:rsidR="00035233" w:rsidRDefault="00035233" w:rsidP="00035233">
            <w:pPr>
              <w:pStyle w:val="05Tabletext"/>
              <w:keepNext/>
            </w:pPr>
            <w:r>
              <w:t>AEs leading to discontinuation, n (%)</w:t>
            </w:r>
          </w:p>
        </w:tc>
        <w:tc>
          <w:tcPr>
            <w:tcW w:w="1542" w:type="pct"/>
            <w:tcBorders>
              <w:bottom w:val="single" w:sz="4" w:space="0" w:color="auto"/>
            </w:tcBorders>
            <w:shd w:val="clear" w:color="auto" w:fill="auto"/>
          </w:tcPr>
          <w:p w:rsidR="00035233" w:rsidRPr="00194011" w:rsidRDefault="00035233" w:rsidP="00035233">
            <w:pPr>
              <w:pStyle w:val="05Tabletext"/>
              <w:keepNext/>
              <w:jc w:val="center"/>
            </w:pPr>
            <w:r>
              <w:t>126 (7.5)</w:t>
            </w:r>
          </w:p>
        </w:tc>
        <w:tc>
          <w:tcPr>
            <w:tcW w:w="1398" w:type="pct"/>
            <w:tcBorders>
              <w:bottom w:val="single" w:sz="4" w:space="0" w:color="auto"/>
            </w:tcBorders>
            <w:shd w:val="clear" w:color="auto" w:fill="auto"/>
          </w:tcPr>
          <w:p w:rsidR="00035233" w:rsidRPr="00194011" w:rsidRDefault="00035233" w:rsidP="00035233">
            <w:pPr>
              <w:pStyle w:val="05Tabletext"/>
              <w:keepNext/>
              <w:jc w:val="center"/>
            </w:pPr>
            <w:r>
              <w:t>143 (8.5)</w:t>
            </w:r>
          </w:p>
        </w:tc>
      </w:tr>
      <w:tr w:rsidR="00035233" w:rsidRPr="00194011" w:rsidTr="00035233">
        <w:trPr>
          <w:cantSplit/>
        </w:trPr>
        <w:tc>
          <w:tcPr>
            <w:tcW w:w="2059" w:type="pct"/>
            <w:tcBorders>
              <w:bottom w:val="single" w:sz="4" w:space="0" w:color="auto"/>
            </w:tcBorders>
            <w:shd w:val="clear" w:color="auto" w:fill="auto"/>
          </w:tcPr>
          <w:p w:rsidR="00035233" w:rsidRDefault="00035233" w:rsidP="00035233">
            <w:pPr>
              <w:pStyle w:val="05Tabletext"/>
              <w:keepNext/>
            </w:pPr>
            <w:r>
              <w:t>SAE leading to discontinuation, n (%)</w:t>
            </w:r>
          </w:p>
        </w:tc>
        <w:tc>
          <w:tcPr>
            <w:tcW w:w="1542" w:type="pct"/>
            <w:tcBorders>
              <w:bottom w:val="single" w:sz="4" w:space="0" w:color="auto"/>
            </w:tcBorders>
            <w:shd w:val="clear" w:color="auto" w:fill="auto"/>
          </w:tcPr>
          <w:p w:rsidR="00035233" w:rsidRPr="00194011" w:rsidRDefault="00035233" w:rsidP="00035233">
            <w:pPr>
              <w:pStyle w:val="05Tabletext"/>
              <w:keepNext/>
              <w:jc w:val="center"/>
            </w:pPr>
            <w:r>
              <w:t>85 (5.1)</w:t>
            </w:r>
          </w:p>
        </w:tc>
        <w:tc>
          <w:tcPr>
            <w:tcW w:w="1398" w:type="pct"/>
            <w:tcBorders>
              <w:bottom w:val="single" w:sz="4" w:space="0" w:color="auto"/>
            </w:tcBorders>
            <w:shd w:val="clear" w:color="auto" w:fill="auto"/>
          </w:tcPr>
          <w:p w:rsidR="00035233" w:rsidRPr="00194011" w:rsidRDefault="00035233" w:rsidP="00035233">
            <w:pPr>
              <w:pStyle w:val="05Tabletext"/>
              <w:keepNext/>
              <w:jc w:val="center"/>
            </w:pPr>
            <w:r>
              <w:t>87 (5.2)</w:t>
            </w:r>
          </w:p>
        </w:tc>
      </w:tr>
    </w:tbl>
    <w:p w:rsidR="00035233" w:rsidRDefault="00035233" w:rsidP="00035233">
      <w:pPr>
        <w:pStyle w:val="10TableorFigurefootnote"/>
      </w:pPr>
      <w:r>
        <w:t>Source: Wedzicha et al (2016), Table 2; Table S8 (Supplementary appendix).</w:t>
      </w:r>
    </w:p>
    <w:p w:rsidR="00035233" w:rsidRDefault="00035233" w:rsidP="00035233">
      <w:pPr>
        <w:pStyle w:val="10TableorFigurefootnote"/>
      </w:pPr>
      <w:r>
        <w:t>Abbreviations: AE, adverse event; COPD, chronic obstructive pulmonary disease; FLU, fluticasone</w:t>
      </w:r>
      <w:r w:rsidR="005E5D56">
        <w:t xml:space="preserve"> propionate</w:t>
      </w:r>
      <w:r>
        <w:t>; GLY, glycopyrronium; IND, indacaterol; LRTI, lower respiratory tract infection; SAE, serious adverse event; SAL, salmeterol.</w:t>
      </w:r>
    </w:p>
    <w:p w:rsidR="00035233" w:rsidRDefault="00035233" w:rsidP="00035233">
      <w:pPr>
        <w:pStyle w:val="11TableorFigurefootnotenostick"/>
      </w:pPr>
      <w:proofErr w:type="gramStart"/>
      <w:r>
        <w:rPr>
          <w:b/>
        </w:rPr>
        <w:t>a</w:t>
      </w:r>
      <w:proofErr w:type="gramEnd"/>
      <w:r>
        <w:t xml:space="preserve"> The safety analysis included patients who received a drug during the treatment period. Patients were included in the analysis for the treatment they received; one patient who had been assigned to the fluticasone</w:t>
      </w:r>
      <w:r w:rsidR="005E5D56">
        <w:t xml:space="preserve"> propionate</w:t>
      </w:r>
      <w:r>
        <w:t>/salmeterol group had mistakenly received glycopyrronium/indacaterol.</w:t>
      </w:r>
    </w:p>
    <w:p w:rsidR="00035233" w:rsidRDefault="00035233" w:rsidP="00035233">
      <w:pPr>
        <w:pStyle w:val="BodyText"/>
      </w:pPr>
      <w:r>
        <w:t>The authors acknowledged that the overall rate of exacerbations reported in the FLAME study was relatively high; however, they noted that this may have resulted from the use of electronic diaries to flag exacerbations and emphasised that the higher rate of exacerbations would not bias the results in favour of one treatment over another.</w:t>
      </w:r>
    </w:p>
    <w:p w:rsidR="007C6762" w:rsidRDefault="007C6762" w:rsidP="007C6762">
      <w:pPr>
        <w:pStyle w:val="Heading4"/>
      </w:pPr>
      <w:r>
        <w:t>LAMA/LABA versus ICS/LABA</w:t>
      </w:r>
    </w:p>
    <w:p w:rsidR="007C6762" w:rsidRDefault="007C6762" w:rsidP="007C6762">
      <w:pPr>
        <w:pStyle w:val="Heading5"/>
      </w:pPr>
      <w:r>
        <w:t>Horita 2017</w:t>
      </w:r>
    </w:p>
    <w:p w:rsidR="007C6762" w:rsidRDefault="007C6762" w:rsidP="007C6762">
      <w:r>
        <w:t xml:space="preserve">The </w:t>
      </w:r>
      <w:r w:rsidR="00D94BD0">
        <w:t>RG</w:t>
      </w:r>
      <w:r>
        <w:t xml:space="preserve"> also considered th</w:t>
      </w:r>
      <w:r w:rsidR="00E319BB">
        <w:t>e results of a recent Cochrane r</w:t>
      </w:r>
      <w:r>
        <w:t>eview published after the search period for the systematic review. The review meta-analysed the results of 11 studies (n=9,839) that compared LAMA plus LABA to LABA plus ICS treatment, predominantly in patients with moderate to severe COPD without recent exacerbations. Follow up ranged from 6 to 52 weeks.</w:t>
      </w:r>
    </w:p>
    <w:p w:rsidR="007C6762" w:rsidRDefault="007C6762" w:rsidP="007C6762">
      <w:r>
        <w:t>The authors found that compared to LABA plus ICS, LAMA plus LABA treatment was associated with:</w:t>
      </w:r>
    </w:p>
    <w:p w:rsidR="007C6762" w:rsidRDefault="007C6762" w:rsidP="00251CB8">
      <w:pPr>
        <w:pStyle w:val="ListParagraph"/>
        <w:numPr>
          <w:ilvl w:val="0"/>
          <w:numId w:val="54"/>
        </w:numPr>
      </w:pPr>
      <w:r>
        <w:t>greater improvements in trough FEV</w:t>
      </w:r>
      <w:r w:rsidRPr="00C10C2E">
        <w:rPr>
          <w:vertAlign w:val="subscript"/>
        </w:rPr>
        <w:t>1</w:t>
      </w:r>
      <w:r>
        <w:t xml:space="preserve"> change from baseline (MD 0.08 L; 95% CI 0.06 to 0.09, P &lt; 0.0001, I</w:t>
      </w:r>
      <w:r w:rsidRPr="00F9117C">
        <w:rPr>
          <w:vertAlign w:val="superscript"/>
        </w:rPr>
        <w:t>2</w:t>
      </w:r>
      <w:r>
        <w:t xml:space="preserve"> = 50%, moderate quality evidence)</w:t>
      </w:r>
    </w:p>
    <w:p w:rsidR="007C6762" w:rsidRDefault="007C6762" w:rsidP="00251CB8">
      <w:pPr>
        <w:pStyle w:val="ListParagraph"/>
        <w:numPr>
          <w:ilvl w:val="0"/>
          <w:numId w:val="54"/>
        </w:numPr>
      </w:pPr>
      <w:r>
        <w:t>fewer exacerbations (OR 0.82; 95% CI 0.70 to 0.96, P = 0.01, I</w:t>
      </w:r>
      <w:r w:rsidRPr="00024EFC">
        <w:rPr>
          <w:vertAlign w:val="superscript"/>
        </w:rPr>
        <w:t>2</w:t>
      </w:r>
      <w:r>
        <w:t xml:space="preserve"> = 17%, low quality evidence)</w:t>
      </w:r>
    </w:p>
    <w:p w:rsidR="007C6762" w:rsidRDefault="007C6762" w:rsidP="00251CB8">
      <w:pPr>
        <w:pStyle w:val="ListParagraph"/>
        <w:numPr>
          <w:ilvl w:val="0"/>
          <w:numId w:val="54"/>
        </w:numPr>
      </w:pPr>
      <w:r>
        <w:t>more frequent improvement in QoL, measured by a SGRQ total score change from baseline of four points or greater (the MCID) (OR 1.25; 95% CI 1.09 to 1.44, P = 0.002, I</w:t>
      </w:r>
      <w:r w:rsidRPr="00F9117C">
        <w:rPr>
          <w:vertAlign w:val="superscript"/>
        </w:rPr>
        <w:t>2</w:t>
      </w:r>
      <w:r>
        <w:t xml:space="preserve"> = 0%, moderate quality evidence)</w:t>
      </w:r>
    </w:p>
    <w:p w:rsidR="007C6762" w:rsidRDefault="007C6762" w:rsidP="00251CB8">
      <w:pPr>
        <w:pStyle w:val="ListParagraph"/>
        <w:numPr>
          <w:ilvl w:val="0"/>
          <w:numId w:val="54"/>
        </w:numPr>
      </w:pPr>
      <w:proofErr w:type="gramStart"/>
      <w:r>
        <w:t>lower</w:t>
      </w:r>
      <w:proofErr w:type="gramEnd"/>
      <w:r>
        <w:t xml:space="preserve"> risk of pneumonia (OR 0.57; 95% CI 0.42 to 0.79, P = 0.0006, I</w:t>
      </w:r>
      <w:r w:rsidRPr="00F9117C">
        <w:rPr>
          <w:vertAlign w:val="superscript"/>
        </w:rPr>
        <w:t>2</w:t>
      </w:r>
      <w:r>
        <w:t xml:space="preserve"> = 0%, low quality evidence).</w:t>
      </w:r>
    </w:p>
    <w:p w:rsidR="007C6762" w:rsidRDefault="007C6762" w:rsidP="007C6762">
      <w:r>
        <w:t>No statistically significant differences between LAMA plus LABA and LABA plus ICS treatment were found on the following outcomes:</w:t>
      </w:r>
    </w:p>
    <w:p w:rsidR="007C6762" w:rsidRDefault="007C6762" w:rsidP="00251CB8">
      <w:pPr>
        <w:pStyle w:val="ListParagraph"/>
        <w:numPr>
          <w:ilvl w:val="0"/>
          <w:numId w:val="55"/>
        </w:numPr>
      </w:pPr>
      <w:r>
        <w:t>serious adverse events</w:t>
      </w:r>
    </w:p>
    <w:p w:rsidR="007C6762" w:rsidRDefault="007C6762" w:rsidP="00251CB8">
      <w:pPr>
        <w:pStyle w:val="ListParagraph"/>
        <w:numPr>
          <w:ilvl w:val="0"/>
          <w:numId w:val="55"/>
        </w:numPr>
      </w:pPr>
      <w:r>
        <w:lastRenderedPageBreak/>
        <w:t>SGRQ total score change from baseline</w:t>
      </w:r>
    </w:p>
    <w:p w:rsidR="007C6762" w:rsidRDefault="007C6762" w:rsidP="00251CB8">
      <w:pPr>
        <w:pStyle w:val="ListParagraph"/>
        <w:numPr>
          <w:ilvl w:val="0"/>
          <w:numId w:val="55"/>
        </w:numPr>
      </w:pPr>
      <w:proofErr w:type="gramStart"/>
      <w:r>
        <w:t>all-cause</w:t>
      </w:r>
      <w:proofErr w:type="gramEnd"/>
      <w:r>
        <w:t xml:space="preserve"> death.</w:t>
      </w:r>
    </w:p>
    <w:p w:rsidR="007C6762" w:rsidRPr="00CE1598" w:rsidRDefault="007C6762" w:rsidP="007C6762">
      <w:r>
        <w:t>The authors concluded that the findings supported recent GOLD Strategy Report (2017) recommendations favouring LAMA/LABA therapy over ICS/LABA, in patients where dual therapy is appropriate.</w:t>
      </w:r>
    </w:p>
    <w:p w:rsidR="00035233" w:rsidRDefault="00035233" w:rsidP="00251CB8">
      <w:pPr>
        <w:pStyle w:val="Heading4"/>
        <w:numPr>
          <w:ilvl w:val="3"/>
          <w:numId w:val="11"/>
        </w:numPr>
      </w:pPr>
      <w:r>
        <w:t>Summary of findings</w:t>
      </w:r>
    </w:p>
    <w:p w:rsidR="00035233" w:rsidRDefault="00570223" w:rsidP="00035233">
      <w:pPr>
        <w:pStyle w:val="Bullettext"/>
      </w:pPr>
      <w:r>
        <w:t>D</w:t>
      </w:r>
      <w:r w:rsidR="00035233" w:rsidRPr="00342AF5">
        <w:t xml:space="preserve">ue to safety concerns relating to ICS therapies, some recent studies have examined the comparative efficacy of LAMA/LABA and ICS/LABA dual therapies in </w:t>
      </w:r>
      <w:proofErr w:type="gramStart"/>
      <w:r w:rsidR="00035233" w:rsidRPr="00342AF5">
        <w:t>patients</w:t>
      </w:r>
      <w:proofErr w:type="gramEnd"/>
      <w:r w:rsidR="00035233" w:rsidRPr="00342AF5">
        <w:t xml:space="preserve"> whose exacerbation history may, according to clinical guidance, warrant the use of ICS therapy.</w:t>
      </w:r>
    </w:p>
    <w:p w:rsidR="00570223" w:rsidRDefault="00570223" w:rsidP="00674E0D">
      <w:pPr>
        <w:pStyle w:val="Bullettext"/>
      </w:pPr>
      <w:r>
        <w:t>The FLAME study (good quality) compared the efficacy and safety of glycopyrronium/indacaterol and fluticasone</w:t>
      </w:r>
      <w:r w:rsidR="005E5D56">
        <w:t xml:space="preserve"> propionate</w:t>
      </w:r>
      <w:r>
        <w:t>/salmeterol. Of the studies discussed in this section</w:t>
      </w:r>
      <w:r w:rsidR="00DF6179">
        <w:t>, t</w:t>
      </w:r>
      <w:r w:rsidR="00DC56F1">
        <w:t>h</w:t>
      </w:r>
      <w:r w:rsidR="000B5265">
        <w:t xml:space="preserve">e FLAME </w:t>
      </w:r>
      <w:r w:rsidR="00DC56F1">
        <w:t xml:space="preserve">study is </w:t>
      </w:r>
      <w:r w:rsidR="000B5265">
        <w:t>most relevant to this review</w:t>
      </w:r>
      <w:r w:rsidR="00DC56F1">
        <w:t>, as the patients recruited into the study were required to have had a</w:t>
      </w:r>
      <w:r>
        <w:t xml:space="preserve">t least one exacerbation that required healthcare resources in the previous year. Based on </w:t>
      </w:r>
      <w:r w:rsidRPr="006B4E53">
        <w:t>exacerbation and lun</w:t>
      </w:r>
      <w:r>
        <w:t>g function</w:t>
      </w:r>
      <w:r w:rsidRPr="006B4E53">
        <w:t xml:space="preserve"> outcomes, gly</w:t>
      </w:r>
      <w:r>
        <w:t xml:space="preserve">copyrronium/indacaterol </w:t>
      </w:r>
      <w:r w:rsidR="00DC56F1">
        <w:t xml:space="preserve">consistently </w:t>
      </w:r>
      <w:r w:rsidR="000B5265">
        <w:t xml:space="preserve">achieved </w:t>
      </w:r>
      <w:r w:rsidR="00DC56F1">
        <w:t>non-inferiority compared with fluticasone</w:t>
      </w:r>
      <w:r w:rsidR="005E5D56">
        <w:t xml:space="preserve"> propionate</w:t>
      </w:r>
      <w:r w:rsidR="00DC56F1">
        <w:t xml:space="preserve">/salmeterol. </w:t>
      </w:r>
      <w:r w:rsidR="00822CE5">
        <w:t xml:space="preserve">In a secondary analysis, </w:t>
      </w:r>
      <w:r w:rsidR="00DC56F1">
        <w:t xml:space="preserve">glycopyrronium/indacaterol </w:t>
      </w:r>
      <w:r w:rsidR="00822CE5">
        <w:t xml:space="preserve">achieved superiority </w:t>
      </w:r>
      <w:r w:rsidR="00DC56F1" w:rsidRPr="00DC56F1">
        <w:t>over fluticasone</w:t>
      </w:r>
      <w:r w:rsidR="005E5D56">
        <w:t xml:space="preserve"> propionate</w:t>
      </w:r>
      <w:r w:rsidR="00DC56F1" w:rsidRPr="00DC56F1">
        <w:t>/salmeterol in</w:t>
      </w:r>
      <w:r w:rsidR="00822CE5">
        <w:t xml:space="preserve"> reducing the annual rate of</w:t>
      </w:r>
      <w:r w:rsidR="00DC56F1" w:rsidRPr="00DC56F1">
        <w:t xml:space="preserve"> COPD exacerbations</w:t>
      </w:r>
      <w:r w:rsidR="00822CE5">
        <w:t>.</w:t>
      </w:r>
    </w:p>
    <w:p w:rsidR="00822CE5" w:rsidRDefault="00822CE5" w:rsidP="00822CE5">
      <w:pPr>
        <w:pStyle w:val="Bullettext"/>
      </w:pPr>
      <w:r w:rsidRPr="00342AF5">
        <w:t>In light of the aforementioned discordance between clinical guidance and clinical practice, several studies have recently been undertaken to compare the efficacy and safety of FDCs of LAMA/LABA and ICS/LABA, in patients who rarely experience exacerbations and in whom the clinical need for the ICS component is, therefore, less compelling</w:t>
      </w:r>
      <w:r>
        <w:t>.</w:t>
      </w:r>
    </w:p>
    <w:p w:rsidR="007C6762" w:rsidRDefault="000B5265" w:rsidP="00A45F70">
      <w:pPr>
        <w:pStyle w:val="Bullettext"/>
        <w:spacing w:before="0"/>
      </w:pPr>
      <w:r>
        <w:t xml:space="preserve">Singh et al (2015a; good quality) </w:t>
      </w:r>
      <w:r w:rsidRPr="00F40B55">
        <w:t>demonstrated that umeclidinium/vilanterol may represent a superior treatment option</w:t>
      </w:r>
      <w:r w:rsidR="007C6762">
        <w:t xml:space="preserve"> to fluticasone</w:t>
      </w:r>
      <w:r w:rsidR="005E5D56">
        <w:t xml:space="preserve"> propionate</w:t>
      </w:r>
      <w:r w:rsidR="007C6762">
        <w:t>/salmeterol</w:t>
      </w:r>
      <w:r w:rsidRPr="00F40B55">
        <w:t xml:space="preserve"> in symptomatic COPD patients who do not experience frequent exacerbations.</w:t>
      </w:r>
    </w:p>
    <w:p w:rsidR="00035233" w:rsidRDefault="00035233" w:rsidP="007C6762">
      <w:pPr>
        <w:pStyle w:val="Bullettext"/>
      </w:pPr>
      <w:r>
        <w:t xml:space="preserve">The ENERGITO study (fair quality) found that </w:t>
      </w:r>
      <w:r w:rsidRPr="00342AF5">
        <w:t>patients wit</w:t>
      </w:r>
      <w:r>
        <w:t>h moderate-to-severe COPD who received tiotropium/olodaterol achieved statistically significant improvements in lung function (including trough FEV</w:t>
      </w:r>
      <w:r>
        <w:rPr>
          <w:vertAlign w:val="subscript"/>
        </w:rPr>
        <w:t>1</w:t>
      </w:r>
      <w:r>
        <w:t>) over patients who received fluticasone</w:t>
      </w:r>
      <w:r w:rsidR="005E5D56">
        <w:t xml:space="preserve"> propionate</w:t>
      </w:r>
      <w:r>
        <w:t>/salmeterol.</w:t>
      </w:r>
    </w:p>
    <w:p w:rsidR="00035233" w:rsidRDefault="00035233" w:rsidP="00035233">
      <w:pPr>
        <w:pStyle w:val="Bullettext"/>
      </w:pPr>
      <w:r>
        <w:t xml:space="preserve">The ILLUMINATE study (good quality) and the LANTERN study (good quality) also focused on patients who </w:t>
      </w:r>
      <w:r w:rsidRPr="00FA3A34">
        <w:t>ha</w:t>
      </w:r>
      <w:r>
        <w:t>d</w:t>
      </w:r>
      <w:r w:rsidRPr="00FA3A34">
        <w:t xml:space="preserve"> not experienced an exacerbation requiring treatment with antibiotics, systemic corticosteroids, or hospitalisation in the previous year</w:t>
      </w:r>
      <w:r>
        <w:t>. In both studies, glycopyrronium/indacaterol was found to be both non-inferior and</w:t>
      </w:r>
      <w:r w:rsidR="00822CE5">
        <w:t>, in secondary analyses,</w:t>
      </w:r>
      <w:r>
        <w:t xml:space="preserve"> superior to fluticasone</w:t>
      </w:r>
      <w:r w:rsidR="005E5D56">
        <w:t xml:space="preserve"> propionate</w:t>
      </w:r>
      <w:r>
        <w:t>/salmeterol at 26 weeks, based on trough FEV</w:t>
      </w:r>
      <w:r>
        <w:rPr>
          <w:vertAlign w:val="subscript"/>
        </w:rPr>
        <w:t>1</w:t>
      </w:r>
      <w:r>
        <w:t>.</w:t>
      </w:r>
    </w:p>
    <w:p w:rsidR="007C6762" w:rsidRDefault="007C6762" w:rsidP="00035233">
      <w:pPr>
        <w:pStyle w:val="Bullettext"/>
      </w:pPr>
      <w:r>
        <w:t>Horito et al (2017) meta-analysed the results of 11 studies comparing LAMA plus LABA to LABA plus ICS, and found LAMA plus LABA treatment associated with fewer exacerbations, greater improvements in FEV</w:t>
      </w:r>
      <w:r w:rsidRPr="00024EFC">
        <w:rPr>
          <w:vertAlign w:val="subscript"/>
        </w:rPr>
        <w:t>1</w:t>
      </w:r>
      <w:r>
        <w:t xml:space="preserve">, lower risk of pneumonia, and more frequent clinically meaningful QoL improvements (measured by SGRQ improvement of 4 or more units). The evidence was considered of low or moderate quality. Study </w:t>
      </w:r>
      <w:r>
        <w:lastRenderedPageBreak/>
        <w:t xml:space="preserve">patients predominantly had moderate to severe COPD without recent exacerbations. This study was published after the search period for the review, but was considered by the </w:t>
      </w:r>
      <w:r w:rsidR="00D94BD0">
        <w:t>RG</w:t>
      </w:r>
      <w:r>
        <w:t>.</w:t>
      </w:r>
    </w:p>
    <w:p w:rsidR="00035233" w:rsidRDefault="00035233" w:rsidP="00A45F70">
      <w:pPr>
        <w:pStyle w:val="Heading3"/>
      </w:pPr>
      <w:bookmarkStart w:id="453" w:name="_Toc468012278"/>
      <w:bookmarkStart w:id="454" w:name="_Toc471890926"/>
      <w:bookmarkStart w:id="455" w:name="_Toc482185954"/>
      <w:bookmarkStart w:id="456" w:name="_Toc486428088"/>
      <w:r>
        <w:t>ICS/LABA versus LAMA</w:t>
      </w:r>
      <w:bookmarkEnd w:id="453"/>
      <w:bookmarkEnd w:id="454"/>
      <w:r w:rsidR="00216CC6">
        <w:t xml:space="preserve"> </w:t>
      </w:r>
      <w:proofErr w:type="gramStart"/>
      <w:r w:rsidR="00216CC6">
        <w:t>monotherapy</w:t>
      </w:r>
      <w:bookmarkEnd w:id="455"/>
      <w:bookmarkEnd w:id="456"/>
      <w:proofErr w:type="gramEnd"/>
    </w:p>
    <w:p w:rsidR="00035233" w:rsidRDefault="00035233" w:rsidP="00035233">
      <w:pPr>
        <w:pStyle w:val="BodyText"/>
        <w:rPr>
          <w:highlight w:val="cyan"/>
        </w:rPr>
      </w:pPr>
      <w:r>
        <w:t xml:space="preserve">This section seeks to add to the evidence base relating to the additional benefit that may be gained by moving from LAMA </w:t>
      </w:r>
      <w:proofErr w:type="gramStart"/>
      <w:r>
        <w:t>monotherapy</w:t>
      </w:r>
      <w:proofErr w:type="gramEnd"/>
      <w:r>
        <w:t xml:space="preserve"> to dual ICS/LABA therapy, and in which patients this may be appropriate. Three studies, not previously considered by the PBAC, were identified and the citation details are listed in </w:t>
      </w:r>
      <w:r w:rsidR="00E75CD2">
        <w:t>Table 3.6</w:t>
      </w:r>
      <w:r w:rsidR="00967B39">
        <w:t>4</w:t>
      </w:r>
      <w:r>
        <w:t>.</w:t>
      </w:r>
    </w:p>
    <w:p w:rsidR="00035233" w:rsidRDefault="00E75CD2" w:rsidP="00940811">
      <w:pPr>
        <w:pStyle w:val="ToR3Tableheader"/>
      </w:pPr>
      <w:bookmarkStart w:id="457" w:name="_Toc468006312"/>
      <w:bookmarkStart w:id="458" w:name="_Toc468012357"/>
      <w:bookmarkStart w:id="459" w:name="_Toc468034513"/>
      <w:bookmarkStart w:id="460" w:name="_Toc471891055"/>
      <w:bookmarkStart w:id="461" w:name="_Toc486428243"/>
      <w:r>
        <w:t>Table 3.6</w:t>
      </w:r>
      <w:r w:rsidR="00967B39">
        <w:t>4</w:t>
      </w:r>
      <w:r w:rsidR="00035233">
        <w:tab/>
        <w:t xml:space="preserve">List of RCTs comparing an ICS/LABA combination therapy with LAMA </w:t>
      </w:r>
      <w:proofErr w:type="gramStart"/>
      <w:r w:rsidR="00035233">
        <w:t>monotherapy</w:t>
      </w:r>
      <w:bookmarkEnd w:id="457"/>
      <w:bookmarkEnd w:id="458"/>
      <w:bookmarkEnd w:id="459"/>
      <w:bookmarkEnd w:id="460"/>
      <w:bookmarkEnd w:id="461"/>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List of RCTs"/>
        <w:tblDescription w:val="List of RCTs comparing an ICS/LABA combination therapy with LAMA monotherapy"/>
      </w:tblPr>
      <w:tblGrid>
        <w:gridCol w:w="1565"/>
        <w:gridCol w:w="6377"/>
        <w:gridCol w:w="1706"/>
      </w:tblGrid>
      <w:tr w:rsidR="00035233" w:rsidRPr="00F01736" w:rsidTr="00035233">
        <w:trPr>
          <w:cantSplit/>
          <w:tblHeader/>
        </w:trPr>
        <w:tc>
          <w:tcPr>
            <w:tcW w:w="811" w:type="pct"/>
            <w:shd w:val="clear" w:color="auto" w:fill="BFBFBF"/>
          </w:tcPr>
          <w:p w:rsidR="00035233" w:rsidRPr="00F01736" w:rsidRDefault="00035233" w:rsidP="00035233">
            <w:pPr>
              <w:pStyle w:val="01TableHEADINGleftaligned"/>
            </w:pPr>
            <w:r>
              <w:t>Trial ID</w:t>
            </w:r>
          </w:p>
        </w:tc>
        <w:tc>
          <w:tcPr>
            <w:tcW w:w="3305" w:type="pct"/>
            <w:shd w:val="clear" w:color="auto" w:fill="BFBFBF"/>
          </w:tcPr>
          <w:p w:rsidR="00035233" w:rsidRPr="00F01736" w:rsidRDefault="00035233" w:rsidP="00035233">
            <w:pPr>
              <w:pStyle w:val="01TableHEADINGleftaligned"/>
              <w:jc w:val="center"/>
            </w:pPr>
            <w:r>
              <w:t>Citation</w:t>
            </w:r>
          </w:p>
        </w:tc>
        <w:tc>
          <w:tcPr>
            <w:tcW w:w="884" w:type="pct"/>
            <w:shd w:val="clear" w:color="auto" w:fill="BFBFBF"/>
          </w:tcPr>
          <w:p w:rsidR="00035233" w:rsidRPr="00F01736" w:rsidRDefault="00035233" w:rsidP="00035233">
            <w:pPr>
              <w:pStyle w:val="01TableHEADINGleftaligned"/>
              <w:jc w:val="center"/>
            </w:pPr>
            <w:r>
              <w:t>Description</w:t>
            </w:r>
          </w:p>
        </w:tc>
      </w:tr>
      <w:tr w:rsidR="00035233" w:rsidRPr="00194011" w:rsidTr="00035233">
        <w:trPr>
          <w:cantSplit/>
        </w:trPr>
        <w:tc>
          <w:tcPr>
            <w:tcW w:w="811" w:type="pct"/>
            <w:shd w:val="clear" w:color="auto" w:fill="auto"/>
          </w:tcPr>
          <w:p w:rsidR="00035233" w:rsidRPr="009C73B0" w:rsidRDefault="00035233" w:rsidP="00035233">
            <w:pPr>
              <w:pStyle w:val="05Tabletext"/>
            </w:pPr>
            <w:r>
              <w:t>Covelli (2016)</w:t>
            </w:r>
          </w:p>
        </w:tc>
        <w:tc>
          <w:tcPr>
            <w:tcW w:w="3305" w:type="pct"/>
            <w:shd w:val="clear" w:color="auto" w:fill="auto"/>
          </w:tcPr>
          <w:p w:rsidR="00035233" w:rsidRPr="009C73B0" w:rsidRDefault="00035233" w:rsidP="00035233">
            <w:pPr>
              <w:pStyle w:val="05Tabletext"/>
            </w:pPr>
            <w:r w:rsidRPr="00BC56B7">
              <w:t>Covelli H, Pek B, Schenkenberger I, Scott-Wilson C, Emmett A and Crim C (2016). Efficacy and safety of fluticasone furoate/vilanterol or tiotropium in subjects with COPD at cardiovascular risk. International Journal of COPD 11:1-12.</w:t>
            </w:r>
          </w:p>
        </w:tc>
        <w:tc>
          <w:tcPr>
            <w:tcW w:w="884" w:type="pct"/>
            <w:shd w:val="clear" w:color="auto" w:fill="auto"/>
          </w:tcPr>
          <w:p w:rsidR="00035233" w:rsidRPr="009C73B0" w:rsidRDefault="00035233" w:rsidP="00035233">
            <w:pPr>
              <w:pStyle w:val="05Tabletext"/>
            </w:pPr>
            <w:r>
              <w:t>Key publication</w:t>
            </w:r>
          </w:p>
        </w:tc>
      </w:tr>
      <w:tr w:rsidR="00035233" w:rsidRPr="00194011" w:rsidTr="00035233">
        <w:trPr>
          <w:cantSplit/>
        </w:trPr>
        <w:tc>
          <w:tcPr>
            <w:tcW w:w="811" w:type="pct"/>
            <w:shd w:val="clear" w:color="auto" w:fill="auto"/>
          </w:tcPr>
          <w:p w:rsidR="00035233" w:rsidRPr="009C73B0" w:rsidRDefault="00035233" w:rsidP="00035233">
            <w:pPr>
              <w:pStyle w:val="05Tabletext"/>
            </w:pPr>
            <w:r>
              <w:t>INSPIRE</w:t>
            </w:r>
          </w:p>
        </w:tc>
        <w:tc>
          <w:tcPr>
            <w:tcW w:w="3305" w:type="pct"/>
            <w:shd w:val="clear" w:color="auto" w:fill="auto"/>
          </w:tcPr>
          <w:p w:rsidR="00035233" w:rsidRPr="009C73B0" w:rsidRDefault="00035233" w:rsidP="00035233">
            <w:pPr>
              <w:pStyle w:val="05Tabletext"/>
            </w:pPr>
            <w:r w:rsidRPr="006C415F">
              <w:t>Wedzicha JA, Calverley PMA, Seemungal TA, Hagan G, Ansari Z and Stockley RA (2008). The prevention of chronic obstructive pulmonary disease exacerbations by salmeterol/fluticasone propionate or tiotropium bromide. American Journal of Respiratory and Critical Care Medicine 177 (1):19-26.</w:t>
            </w:r>
          </w:p>
        </w:tc>
        <w:tc>
          <w:tcPr>
            <w:tcW w:w="884" w:type="pct"/>
            <w:shd w:val="clear" w:color="auto" w:fill="auto"/>
          </w:tcPr>
          <w:p w:rsidR="00035233" w:rsidRPr="009C73B0" w:rsidRDefault="00035233" w:rsidP="00035233">
            <w:pPr>
              <w:pStyle w:val="05Tabletext"/>
            </w:pPr>
            <w:r>
              <w:t>Key publication</w:t>
            </w:r>
          </w:p>
        </w:tc>
      </w:tr>
      <w:tr w:rsidR="00035233" w:rsidRPr="00194011" w:rsidTr="00035233">
        <w:trPr>
          <w:cantSplit/>
        </w:trPr>
        <w:tc>
          <w:tcPr>
            <w:tcW w:w="811" w:type="pct"/>
            <w:shd w:val="clear" w:color="auto" w:fill="auto"/>
          </w:tcPr>
          <w:p w:rsidR="00035233" w:rsidRPr="009C73B0" w:rsidRDefault="00035233" w:rsidP="00035233">
            <w:pPr>
              <w:pStyle w:val="05Tabletext"/>
            </w:pPr>
            <w:r>
              <w:t>Sarac (2016)</w:t>
            </w:r>
          </w:p>
        </w:tc>
        <w:tc>
          <w:tcPr>
            <w:tcW w:w="3305" w:type="pct"/>
            <w:shd w:val="clear" w:color="auto" w:fill="auto"/>
          </w:tcPr>
          <w:p w:rsidR="00035233" w:rsidRPr="009C73B0" w:rsidRDefault="00035233" w:rsidP="00035233">
            <w:pPr>
              <w:pStyle w:val="05Tabletext"/>
            </w:pPr>
            <w:r w:rsidRPr="00BC56B7">
              <w:t>Sarac P and Sayiner A (2016). Compare the efficacy and safety of long-acting anticholinergic and a combination of inhaled steroids and long-acting beta-2 agonist in moderate chronic obstructive pulmonary disease. Tuberkuloz ve Toraks 64 (2):112-118.</w:t>
            </w:r>
          </w:p>
        </w:tc>
        <w:tc>
          <w:tcPr>
            <w:tcW w:w="884" w:type="pct"/>
            <w:shd w:val="clear" w:color="auto" w:fill="auto"/>
          </w:tcPr>
          <w:p w:rsidR="00035233" w:rsidRPr="009C73B0" w:rsidRDefault="00035233" w:rsidP="00035233">
            <w:pPr>
              <w:pStyle w:val="05Tabletext"/>
            </w:pPr>
            <w:r>
              <w:t>Key publication</w:t>
            </w:r>
          </w:p>
        </w:tc>
      </w:tr>
    </w:tbl>
    <w:p w:rsidR="00035233" w:rsidRDefault="00035233" w:rsidP="00035233">
      <w:pPr>
        <w:pStyle w:val="11TableorFigurefootnotenostick"/>
      </w:pPr>
      <w:r w:rsidRPr="00422C78">
        <w:t xml:space="preserve">Abbreviations: </w:t>
      </w:r>
      <w:r>
        <w:t xml:space="preserve">ICS, inhaled corticosteroid; </w:t>
      </w:r>
      <w:r w:rsidRPr="00422C78">
        <w:t>LABA</w:t>
      </w:r>
      <w:r>
        <w:t>, long-acting beta-agonist; LAMA, long-acting muscarinic antagonist; RCT, randomised controlled trial.</w:t>
      </w:r>
    </w:p>
    <w:p w:rsidR="00035233" w:rsidRPr="00982FED" w:rsidRDefault="00035233" w:rsidP="00035233">
      <w:pPr>
        <w:pStyle w:val="BodyText"/>
      </w:pPr>
      <w:r w:rsidRPr="00445409">
        <w:t xml:space="preserve">The </w:t>
      </w:r>
      <w:r>
        <w:t>study characteristics of the three relevant studies, such as the patient eligibility criteria, length of follow</w:t>
      </w:r>
      <w:r w:rsidR="004B2947">
        <w:t xml:space="preserve"> </w:t>
      </w:r>
      <w:r>
        <w:t xml:space="preserve">up and outcomes assessed, are </w:t>
      </w:r>
      <w:r w:rsidRPr="00445409">
        <w:t>summarised in</w:t>
      </w:r>
      <w:r>
        <w:t xml:space="preserve"> </w:t>
      </w:r>
      <w:r w:rsidR="00E75CD2">
        <w:t>Table 3.6</w:t>
      </w:r>
      <w:r w:rsidR="00967B39">
        <w:t>5</w:t>
      </w:r>
      <w:r>
        <w:t>. The results reported in each study that are of relevance to this review are then outlined in subsections according the specific treatment comparisons.</w:t>
      </w:r>
    </w:p>
    <w:p w:rsidR="00035233" w:rsidRDefault="00035233" w:rsidP="00035233">
      <w:pPr>
        <w:pStyle w:val="BodyText"/>
      </w:pPr>
    </w:p>
    <w:p w:rsidR="00035233" w:rsidRPr="00BF3ADE" w:rsidRDefault="00035233" w:rsidP="00035233">
      <w:pPr>
        <w:pStyle w:val="BodyText"/>
        <w:sectPr w:rsidR="00035233" w:rsidRPr="00BF3ADE" w:rsidSect="00270A37">
          <w:footerReference w:type="default" r:id="rId47"/>
          <w:pgSz w:w="11906" w:h="16838"/>
          <w:pgMar w:top="1134" w:right="1134" w:bottom="1134" w:left="1134" w:header="709" w:footer="709" w:gutter="0"/>
          <w:cols w:space="708"/>
          <w:docGrid w:linePitch="360"/>
        </w:sectPr>
      </w:pPr>
    </w:p>
    <w:p w:rsidR="00035233" w:rsidRDefault="00E75CD2" w:rsidP="00940811">
      <w:pPr>
        <w:pStyle w:val="ToR3Tableheader"/>
        <w:spacing w:before="0"/>
      </w:pPr>
      <w:bookmarkStart w:id="462" w:name="_Toc468006313"/>
      <w:bookmarkStart w:id="463" w:name="_Toc468012358"/>
      <w:bookmarkStart w:id="464" w:name="_Toc468034514"/>
      <w:bookmarkStart w:id="465" w:name="_Toc471891056"/>
      <w:bookmarkStart w:id="466" w:name="_Toc486428244"/>
      <w:r>
        <w:lastRenderedPageBreak/>
        <w:t>Table 3.6</w:t>
      </w:r>
      <w:r w:rsidR="00967B39">
        <w:t>5</w:t>
      </w:r>
      <w:r w:rsidR="00035233">
        <w:tab/>
        <w:t xml:space="preserve">Details of RCTs comparing dual therapy with ICS/LABA with LAMA </w:t>
      </w:r>
      <w:proofErr w:type="gramStart"/>
      <w:r w:rsidR="00035233">
        <w:t>monotherapy</w:t>
      </w:r>
      <w:proofErr w:type="gramEnd"/>
      <w:r w:rsidR="00035233">
        <w:t xml:space="preserve"> in patients with COPD</w:t>
      </w:r>
      <w:bookmarkEnd w:id="462"/>
      <w:bookmarkEnd w:id="463"/>
      <w:bookmarkEnd w:id="464"/>
      <w:bookmarkEnd w:id="465"/>
      <w:bookmarkEnd w:id="46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Caption w:val="Study characteristics"/>
        <w:tblDescription w:val="Details of RCTs comparing dual therapy with ICS/LABA with LAMA monotherapy in patients with COPD"/>
      </w:tblPr>
      <w:tblGrid>
        <w:gridCol w:w="1772"/>
        <w:gridCol w:w="621"/>
        <w:gridCol w:w="1053"/>
        <w:gridCol w:w="1662"/>
        <w:gridCol w:w="6357"/>
        <w:gridCol w:w="954"/>
        <w:gridCol w:w="2161"/>
      </w:tblGrid>
      <w:tr w:rsidR="00035233" w:rsidRPr="00194011" w:rsidTr="00035233">
        <w:trPr>
          <w:cantSplit/>
          <w:trHeight w:val="735"/>
          <w:tblHeader/>
        </w:trPr>
        <w:tc>
          <w:tcPr>
            <w:tcW w:w="608" w:type="pct"/>
            <w:shd w:val="clear" w:color="auto" w:fill="BFBFBF"/>
          </w:tcPr>
          <w:p w:rsidR="00035233" w:rsidRPr="00194011" w:rsidRDefault="00035233" w:rsidP="00035233">
            <w:pPr>
              <w:pStyle w:val="01TableHEADINGleftaligned"/>
            </w:pPr>
            <w:r w:rsidRPr="00194011">
              <w:t>Trial ID</w:t>
            </w:r>
          </w:p>
          <w:p w:rsidR="00035233" w:rsidRPr="00AC28D5" w:rsidRDefault="00035233" w:rsidP="00035233">
            <w:pPr>
              <w:pStyle w:val="01TableHEADINGleftaligned"/>
            </w:pPr>
            <w:r w:rsidRPr="00F24C36">
              <w:t xml:space="preserve">1. </w:t>
            </w:r>
            <w:r>
              <w:t>Related p</w:t>
            </w:r>
            <w:r w:rsidRPr="00F24C36">
              <w:t>ublications</w:t>
            </w:r>
            <w:r w:rsidRPr="00F24C36">
              <w:br/>
              <w:t>2. Study quality</w:t>
            </w:r>
            <w:r>
              <w:br/>
            </w:r>
            <w:r w:rsidRPr="00F24C36">
              <w:t>3. Country</w:t>
            </w:r>
            <w:r w:rsidRPr="00F24C36">
              <w:br/>
              <w:t>4. Sponsor</w:t>
            </w:r>
          </w:p>
        </w:tc>
        <w:tc>
          <w:tcPr>
            <w:tcW w:w="213" w:type="pct"/>
            <w:shd w:val="clear" w:color="auto" w:fill="BFBFBF"/>
          </w:tcPr>
          <w:p w:rsidR="00035233" w:rsidRPr="00194011" w:rsidRDefault="00035233" w:rsidP="00035233">
            <w:pPr>
              <w:pStyle w:val="02TableHEADINGcentred"/>
            </w:pPr>
            <w:r w:rsidRPr="00194011">
              <w:t>N</w:t>
            </w:r>
          </w:p>
        </w:tc>
        <w:tc>
          <w:tcPr>
            <w:tcW w:w="361" w:type="pct"/>
            <w:shd w:val="clear" w:color="auto" w:fill="BFBFBF"/>
          </w:tcPr>
          <w:p w:rsidR="00035233" w:rsidRPr="00194011" w:rsidRDefault="00035233" w:rsidP="00035233">
            <w:pPr>
              <w:pStyle w:val="02TableHEADINGcentred"/>
            </w:pPr>
            <w:r w:rsidRPr="00194011">
              <w:t>Study design</w:t>
            </w:r>
          </w:p>
        </w:tc>
        <w:tc>
          <w:tcPr>
            <w:tcW w:w="570" w:type="pct"/>
            <w:shd w:val="clear" w:color="auto" w:fill="BFBFBF"/>
          </w:tcPr>
          <w:p w:rsidR="00035233" w:rsidRPr="00194011" w:rsidRDefault="00035233" w:rsidP="00035233">
            <w:pPr>
              <w:pStyle w:val="01TableHEADINGleftaligned"/>
              <w:jc w:val="center"/>
            </w:pPr>
            <w:r w:rsidRPr="00194011">
              <w:t>Tx (n)</w:t>
            </w:r>
          </w:p>
        </w:tc>
        <w:tc>
          <w:tcPr>
            <w:tcW w:w="2180" w:type="pct"/>
            <w:shd w:val="clear" w:color="auto" w:fill="BFBFBF"/>
          </w:tcPr>
          <w:p w:rsidR="00035233" w:rsidRPr="00194011" w:rsidRDefault="00035233" w:rsidP="00035233">
            <w:pPr>
              <w:pStyle w:val="01TableHEADINGleftaligned"/>
              <w:jc w:val="center"/>
            </w:pPr>
            <w:r w:rsidRPr="00194011">
              <w:t>Eligibility criteria</w:t>
            </w:r>
          </w:p>
        </w:tc>
        <w:tc>
          <w:tcPr>
            <w:tcW w:w="327" w:type="pct"/>
            <w:shd w:val="clear" w:color="auto" w:fill="BFBFBF"/>
          </w:tcPr>
          <w:p w:rsidR="00035233" w:rsidRPr="00194011" w:rsidRDefault="00035233" w:rsidP="00035233">
            <w:pPr>
              <w:pStyle w:val="01TableHEADINGleftaligned"/>
              <w:jc w:val="center"/>
            </w:pPr>
            <w:r>
              <w:t>Treatment period</w:t>
            </w:r>
          </w:p>
        </w:tc>
        <w:tc>
          <w:tcPr>
            <w:tcW w:w="742" w:type="pct"/>
            <w:shd w:val="clear" w:color="auto" w:fill="BFBFBF"/>
          </w:tcPr>
          <w:p w:rsidR="00035233" w:rsidRPr="00194011" w:rsidRDefault="00035233" w:rsidP="00035233">
            <w:pPr>
              <w:pStyle w:val="01TableHEADINGleftaligned"/>
              <w:jc w:val="center"/>
            </w:pPr>
            <w:r w:rsidRPr="00194011">
              <w:t>Outcomes reported</w:t>
            </w:r>
          </w:p>
        </w:tc>
      </w:tr>
      <w:tr w:rsidR="00035233" w:rsidRPr="00194011" w:rsidTr="00035233">
        <w:trPr>
          <w:cantSplit/>
        </w:trPr>
        <w:tc>
          <w:tcPr>
            <w:tcW w:w="608" w:type="pct"/>
            <w:shd w:val="clear" w:color="auto" w:fill="000000"/>
          </w:tcPr>
          <w:p w:rsidR="00035233" w:rsidRDefault="00035233" w:rsidP="00035233">
            <w:pPr>
              <w:pStyle w:val="04Tablesubheading"/>
            </w:pPr>
            <w:r>
              <w:t>FLU/SAL vs TIO</w:t>
            </w:r>
          </w:p>
        </w:tc>
        <w:tc>
          <w:tcPr>
            <w:tcW w:w="213" w:type="pct"/>
            <w:shd w:val="clear" w:color="auto" w:fill="000000"/>
          </w:tcPr>
          <w:p w:rsidR="00035233" w:rsidRDefault="00035233" w:rsidP="00035233">
            <w:pPr>
              <w:pStyle w:val="04Tablesubheading"/>
            </w:pPr>
          </w:p>
        </w:tc>
        <w:tc>
          <w:tcPr>
            <w:tcW w:w="361" w:type="pct"/>
            <w:shd w:val="clear" w:color="auto" w:fill="000000"/>
          </w:tcPr>
          <w:p w:rsidR="00035233" w:rsidRDefault="00035233" w:rsidP="00035233">
            <w:pPr>
              <w:pStyle w:val="04Tablesubheading"/>
            </w:pPr>
          </w:p>
        </w:tc>
        <w:tc>
          <w:tcPr>
            <w:tcW w:w="570" w:type="pct"/>
            <w:shd w:val="clear" w:color="auto" w:fill="000000"/>
          </w:tcPr>
          <w:p w:rsidR="00035233" w:rsidRDefault="00035233" w:rsidP="00035233">
            <w:pPr>
              <w:pStyle w:val="04Tablesubheading"/>
            </w:pPr>
          </w:p>
        </w:tc>
        <w:tc>
          <w:tcPr>
            <w:tcW w:w="2180" w:type="pct"/>
            <w:shd w:val="clear" w:color="auto" w:fill="000000"/>
          </w:tcPr>
          <w:p w:rsidR="00035233" w:rsidRDefault="00035233" w:rsidP="00035233">
            <w:pPr>
              <w:pStyle w:val="04Tablesubheading"/>
              <w:rPr>
                <w:u w:val="single"/>
              </w:rPr>
            </w:pPr>
          </w:p>
        </w:tc>
        <w:tc>
          <w:tcPr>
            <w:tcW w:w="327" w:type="pct"/>
            <w:shd w:val="clear" w:color="auto" w:fill="000000"/>
          </w:tcPr>
          <w:p w:rsidR="00035233" w:rsidRDefault="00035233" w:rsidP="00035233">
            <w:pPr>
              <w:pStyle w:val="04Tablesubheading"/>
            </w:pPr>
          </w:p>
        </w:tc>
        <w:tc>
          <w:tcPr>
            <w:tcW w:w="742" w:type="pct"/>
            <w:shd w:val="clear" w:color="auto" w:fill="000000"/>
          </w:tcPr>
          <w:p w:rsidR="00035233" w:rsidRDefault="00035233" w:rsidP="00035233">
            <w:pPr>
              <w:pStyle w:val="04Tablesubheading"/>
              <w:rPr>
                <w:u w:val="single"/>
              </w:rPr>
            </w:pPr>
          </w:p>
        </w:tc>
      </w:tr>
      <w:tr w:rsidR="00035233" w:rsidRPr="00194011" w:rsidTr="00035233">
        <w:trPr>
          <w:cantSplit/>
        </w:trPr>
        <w:tc>
          <w:tcPr>
            <w:tcW w:w="608" w:type="pct"/>
            <w:shd w:val="clear" w:color="auto" w:fill="auto"/>
          </w:tcPr>
          <w:p w:rsidR="00035233" w:rsidRDefault="00035233" w:rsidP="00035233">
            <w:pPr>
              <w:pStyle w:val="05Tabletext"/>
            </w:pPr>
            <w:r>
              <w:t>INSPIRE</w:t>
            </w:r>
          </w:p>
          <w:p w:rsidR="00035233" w:rsidRDefault="00035233" w:rsidP="00251CB8">
            <w:pPr>
              <w:pStyle w:val="06Tabletextspacebefore"/>
              <w:numPr>
                <w:ilvl w:val="0"/>
                <w:numId w:val="25"/>
              </w:numPr>
            </w:pPr>
            <w:r>
              <w:t>Wedzicha (2008)</w:t>
            </w:r>
          </w:p>
          <w:p w:rsidR="00035233" w:rsidRDefault="00035233" w:rsidP="00251CB8">
            <w:pPr>
              <w:pStyle w:val="06Tabletextspacebefore"/>
              <w:numPr>
                <w:ilvl w:val="0"/>
                <w:numId w:val="25"/>
              </w:numPr>
            </w:pPr>
            <w:r>
              <w:t>Good quality</w:t>
            </w:r>
          </w:p>
          <w:p w:rsidR="00035233" w:rsidRDefault="00035233" w:rsidP="00251CB8">
            <w:pPr>
              <w:pStyle w:val="06Tabletextspacebefore"/>
              <w:numPr>
                <w:ilvl w:val="0"/>
                <w:numId w:val="25"/>
              </w:numPr>
            </w:pPr>
            <w:r>
              <w:t>Austria, Belgium, Czech Republic, Denmark, Estonia, Germany, Greece, Italy, Latvia, Lithuania, Netherlands, Norway, Romania, Russia, Slovakia, Slovenia, Spain, Sweden, Ukraine, UK.</w:t>
            </w:r>
          </w:p>
          <w:p w:rsidR="00035233" w:rsidRPr="00007F87" w:rsidRDefault="00035233" w:rsidP="00251CB8">
            <w:pPr>
              <w:pStyle w:val="06Tabletextspacebefore"/>
              <w:numPr>
                <w:ilvl w:val="0"/>
                <w:numId w:val="25"/>
              </w:numPr>
            </w:pPr>
            <w:r>
              <w:t>GlaxoSmithKline</w:t>
            </w:r>
          </w:p>
        </w:tc>
        <w:tc>
          <w:tcPr>
            <w:tcW w:w="213" w:type="pct"/>
            <w:shd w:val="clear" w:color="auto" w:fill="auto"/>
          </w:tcPr>
          <w:p w:rsidR="00035233" w:rsidRDefault="00035233" w:rsidP="00035233">
            <w:pPr>
              <w:pStyle w:val="05Tabletext"/>
              <w:jc w:val="center"/>
            </w:pPr>
            <w:r>
              <w:t>1,323</w:t>
            </w:r>
          </w:p>
        </w:tc>
        <w:tc>
          <w:tcPr>
            <w:tcW w:w="361" w:type="pct"/>
            <w:shd w:val="clear" w:color="auto" w:fill="auto"/>
          </w:tcPr>
          <w:p w:rsidR="00035233" w:rsidRDefault="00035233" w:rsidP="00035233">
            <w:pPr>
              <w:pStyle w:val="05Tabletext"/>
            </w:pPr>
            <w:r>
              <w:t>Superiority. Double-blind, double-dummy.</w:t>
            </w:r>
            <w:r>
              <w:rPr>
                <w:rStyle w:val="FootnoteReference"/>
              </w:rPr>
              <w:footnoteReference w:id="44"/>
            </w:r>
          </w:p>
        </w:tc>
        <w:tc>
          <w:tcPr>
            <w:tcW w:w="570" w:type="pct"/>
            <w:shd w:val="clear" w:color="auto" w:fill="auto"/>
          </w:tcPr>
          <w:p w:rsidR="00035233" w:rsidRDefault="00035233" w:rsidP="00035233">
            <w:pPr>
              <w:pStyle w:val="05Tabletext"/>
            </w:pPr>
            <w:r>
              <w:t>FLU/SAL 500/50 μg bid (n=658)</w:t>
            </w:r>
          </w:p>
          <w:p w:rsidR="00035233" w:rsidRPr="00D615F2" w:rsidRDefault="00035233" w:rsidP="00035233">
            <w:pPr>
              <w:pStyle w:val="06Tabletextspacebefore"/>
            </w:pPr>
            <w:r>
              <w:t>TIO 18 μg qd (n=655)</w:t>
            </w:r>
          </w:p>
        </w:tc>
        <w:tc>
          <w:tcPr>
            <w:tcW w:w="2180" w:type="pct"/>
            <w:shd w:val="clear" w:color="auto" w:fill="auto"/>
          </w:tcPr>
          <w:p w:rsidR="00035233" w:rsidRDefault="00035233" w:rsidP="00035233">
            <w:pPr>
              <w:pStyle w:val="05Tabletext"/>
            </w:pPr>
            <w:r>
              <w:rPr>
                <w:u w:val="single"/>
              </w:rPr>
              <w:t>Inclusion</w:t>
            </w:r>
          </w:p>
          <w:p w:rsidR="00035233" w:rsidRDefault="00035233" w:rsidP="00035233">
            <w:pPr>
              <w:pStyle w:val="05Tabletext"/>
            </w:pPr>
            <w:r>
              <w:t>(1) Age 40-80 years, (2) clinical history of exacerbations, (3) post-bronchodilator FEV</w:t>
            </w:r>
            <w:r>
              <w:rPr>
                <w:vertAlign w:val="subscript"/>
              </w:rPr>
              <w:t>1</w:t>
            </w:r>
            <w:r>
              <w:t xml:space="preserve"> of less than 50% predicted, (3) reversibility to 400 μg salbutamol 10% or less of predicted FEV</w:t>
            </w:r>
            <w:r>
              <w:rPr>
                <w:vertAlign w:val="subscript"/>
              </w:rPr>
              <w:t>1</w:t>
            </w:r>
            <w:r w:rsidR="002D1FA4">
              <w:t>, (4) score of ≥2 on mMRC Dyspnea S</w:t>
            </w:r>
            <w:r>
              <w:t>cale.</w:t>
            </w:r>
          </w:p>
          <w:p w:rsidR="00035233" w:rsidRDefault="00035233" w:rsidP="00035233">
            <w:pPr>
              <w:pStyle w:val="06Tabletextspacebefore"/>
            </w:pPr>
            <w:r>
              <w:rPr>
                <w:u w:val="single"/>
              </w:rPr>
              <w:t>Exclusion</w:t>
            </w:r>
          </w:p>
          <w:p w:rsidR="00035233" w:rsidRDefault="00035233" w:rsidP="00035233">
            <w:pPr>
              <w:pStyle w:val="05Tabletext"/>
            </w:pPr>
            <w:r>
              <w:t xml:space="preserve">(1) Any respiratory disorder other than COPD, (2) long-term oxygen therapy (≥12 hours per day). </w:t>
            </w:r>
          </w:p>
          <w:p w:rsidR="00035233" w:rsidRDefault="00035233" w:rsidP="00035233">
            <w:pPr>
              <w:pStyle w:val="06Tabletextspacebefore"/>
            </w:pPr>
            <w:r>
              <w:rPr>
                <w:u w:val="single"/>
              </w:rPr>
              <w:t>Other</w:t>
            </w:r>
          </w:p>
          <w:p w:rsidR="00035233" w:rsidRPr="00D30AF7" w:rsidRDefault="00035233" w:rsidP="00035233">
            <w:pPr>
              <w:pStyle w:val="05Tabletext"/>
            </w:pPr>
            <w:r>
              <w:t xml:space="preserve">(1) All patients discontinued existing COPD maintenance medications and received oral prednisolone 30 mg/day ad inhaled </w:t>
            </w:r>
            <w:r w:rsidR="00460E94">
              <w:t>salmeterol 50 μg bid during a 2-</w:t>
            </w:r>
            <w:r>
              <w:t>week run-in period prior to randomisation, (2) during the trial patients were allowed SABA medications for relief therapy and standardised short courses of oral systemic corticosteroids and/or antibiotics where indicated for treatment of COPD exacerbations.</w:t>
            </w:r>
          </w:p>
        </w:tc>
        <w:tc>
          <w:tcPr>
            <w:tcW w:w="327" w:type="pct"/>
            <w:shd w:val="clear" w:color="auto" w:fill="auto"/>
          </w:tcPr>
          <w:p w:rsidR="00035233" w:rsidRDefault="00035233" w:rsidP="00035233">
            <w:pPr>
              <w:pStyle w:val="05Tabletext"/>
              <w:jc w:val="center"/>
            </w:pPr>
            <w:r>
              <w:t>2 years</w:t>
            </w:r>
          </w:p>
        </w:tc>
        <w:tc>
          <w:tcPr>
            <w:tcW w:w="742" w:type="pct"/>
            <w:shd w:val="clear" w:color="auto" w:fill="auto"/>
          </w:tcPr>
          <w:p w:rsidR="00035233" w:rsidRDefault="00035233" w:rsidP="00035233">
            <w:pPr>
              <w:pStyle w:val="05Tabletext"/>
            </w:pPr>
            <w:r>
              <w:rPr>
                <w:u w:val="single"/>
              </w:rPr>
              <w:t>Primary</w:t>
            </w:r>
          </w:p>
          <w:p w:rsidR="00035233" w:rsidRPr="00B3450C" w:rsidRDefault="00035233" w:rsidP="00035233">
            <w:pPr>
              <w:pStyle w:val="05Tabletext"/>
            </w:pPr>
            <w:r>
              <w:t>Healthcare utilisation exacerbation rate</w:t>
            </w:r>
            <w:proofErr w:type="gramStart"/>
            <w:r>
              <w:t>.</w:t>
            </w:r>
            <w:r>
              <w:rPr>
                <w:rStyle w:val="FootnoteReference"/>
              </w:rPr>
              <w:footnoteReference w:id="45"/>
            </w:r>
            <w:r>
              <w:rPr>
                <w:vertAlign w:val="superscript"/>
              </w:rPr>
              <w:t>,</w:t>
            </w:r>
            <w:proofErr w:type="gramEnd"/>
            <w:r>
              <w:rPr>
                <w:rStyle w:val="FootnoteReference"/>
              </w:rPr>
              <w:footnoteReference w:id="46"/>
            </w:r>
          </w:p>
          <w:p w:rsidR="00035233" w:rsidRDefault="00035233" w:rsidP="00035233">
            <w:pPr>
              <w:pStyle w:val="06Tabletextspacebefore"/>
            </w:pPr>
            <w:r>
              <w:rPr>
                <w:u w:val="single"/>
              </w:rPr>
              <w:t>Secondary</w:t>
            </w:r>
          </w:p>
          <w:p w:rsidR="00035233" w:rsidRPr="00D615F2" w:rsidRDefault="00035233" w:rsidP="00035233">
            <w:pPr>
              <w:pStyle w:val="05Tabletext"/>
            </w:pPr>
            <w:r>
              <w:t>SGRQ; post-dose FEV</w:t>
            </w:r>
            <w:r>
              <w:rPr>
                <w:vertAlign w:val="subscript"/>
              </w:rPr>
              <w:t>1</w:t>
            </w:r>
            <w:r>
              <w:t xml:space="preserve"> (measured 2 hrs after inhalation of study medication); all-cause mortality; safety (AEs, study withdrawal).</w:t>
            </w:r>
          </w:p>
        </w:tc>
      </w:tr>
      <w:tr w:rsidR="00035233" w:rsidRPr="00194011" w:rsidTr="00035233">
        <w:trPr>
          <w:cantSplit/>
        </w:trPr>
        <w:tc>
          <w:tcPr>
            <w:tcW w:w="608" w:type="pct"/>
            <w:shd w:val="clear" w:color="auto" w:fill="auto"/>
          </w:tcPr>
          <w:p w:rsidR="00035233" w:rsidRDefault="00035233" w:rsidP="00035233">
            <w:pPr>
              <w:pStyle w:val="05Tabletext"/>
            </w:pPr>
            <w:r>
              <w:t>Sarac (2016)</w:t>
            </w:r>
          </w:p>
          <w:p w:rsidR="00035233" w:rsidRDefault="00035233" w:rsidP="00251CB8">
            <w:pPr>
              <w:pStyle w:val="06Tabletextspacebefore"/>
              <w:numPr>
                <w:ilvl w:val="0"/>
                <w:numId w:val="26"/>
              </w:numPr>
            </w:pPr>
            <w:r>
              <w:t>N/A</w:t>
            </w:r>
          </w:p>
          <w:p w:rsidR="00035233" w:rsidRDefault="00035233" w:rsidP="00251CB8">
            <w:pPr>
              <w:pStyle w:val="06Tabletextspacebefore"/>
              <w:numPr>
                <w:ilvl w:val="0"/>
                <w:numId w:val="26"/>
              </w:numPr>
            </w:pPr>
            <w:r>
              <w:t>Poor quality</w:t>
            </w:r>
          </w:p>
          <w:p w:rsidR="00035233" w:rsidRDefault="00035233" w:rsidP="00251CB8">
            <w:pPr>
              <w:pStyle w:val="06Tabletextspacebefore"/>
              <w:numPr>
                <w:ilvl w:val="0"/>
                <w:numId w:val="26"/>
              </w:numPr>
            </w:pPr>
            <w:r>
              <w:t>Turkey</w:t>
            </w:r>
          </w:p>
          <w:p w:rsidR="00035233" w:rsidRPr="00DC2C25" w:rsidRDefault="00035233" w:rsidP="00251CB8">
            <w:pPr>
              <w:pStyle w:val="06Tabletextspacebefore"/>
              <w:numPr>
                <w:ilvl w:val="0"/>
                <w:numId w:val="26"/>
              </w:numPr>
            </w:pPr>
            <w:r>
              <w:t>NR</w:t>
            </w:r>
          </w:p>
        </w:tc>
        <w:tc>
          <w:tcPr>
            <w:tcW w:w="213" w:type="pct"/>
            <w:shd w:val="clear" w:color="auto" w:fill="auto"/>
          </w:tcPr>
          <w:p w:rsidR="00035233" w:rsidRDefault="00035233" w:rsidP="00035233">
            <w:pPr>
              <w:pStyle w:val="05Tabletext"/>
              <w:jc w:val="center"/>
            </w:pPr>
            <w:r>
              <w:t>44</w:t>
            </w:r>
          </w:p>
        </w:tc>
        <w:tc>
          <w:tcPr>
            <w:tcW w:w="361" w:type="pct"/>
            <w:shd w:val="clear" w:color="auto" w:fill="auto"/>
          </w:tcPr>
          <w:p w:rsidR="00035233" w:rsidRPr="00E44B24" w:rsidRDefault="00035233" w:rsidP="00035233">
            <w:pPr>
              <w:pStyle w:val="05Tabletext"/>
            </w:pPr>
            <w:r>
              <w:t>Superiority. Open-label.</w:t>
            </w:r>
          </w:p>
        </w:tc>
        <w:tc>
          <w:tcPr>
            <w:tcW w:w="570" w:type="pct"/>
            <w:shd w:val="clear" w:color="auto" w:fill="auto"/>
          </w:tcPr>
          <w:p w:rsidR="00035233" w:rsidRDefault="00035233" w:rsidP="00035233">
            <w:pPr>
              <w:pStyle w:val="05Tabletext"/>
            </w:pPr>
            <w:r>
              <w:t>FLU/SAL 500/50 μg bid (n=22)</w:t>
            </w:r>
          </w:p>
          <w:p w:rsidR="00035233" w:rsidRDefault="00035233" w:rsidP="00035233">
            <w:pPr>
              <w:pStyle w:val="06Tabletextspacebefore"/>
            </w:pPr>
            <w:r>
              <w:t>TIO 18 μg qd (n=22)</w:t>
            </w:r>
          </w:p>
        </w:tc>
        <w:tc>
          <w:tcPr>
            <w:tcW w:w="2180" w:type="pct"/>
            <w:shd w:val="clear" w:color="auto" w:fill="auto"/>
          </w:tcPr>
          <w:p w:rsidR="00035233" w:rsidRDefault="00035233" w:rsidP="00035233">
            <w:pPr>
              <w:pStyle w:val="05Tabletext"/>
            </w:pPr>
            <w:r>
              <w:rPr>
                <w:u w:val="single"/>
              </w:rPr>
              <w:t>Inclusion</w:t>
            </w:r>
          </w:p>
          <w:p w:rsidR="00035233" w:rsidRDefault="00035233" w:rsidP="00035233">
            <w:pPr>
              <w:pStyle w:val="05Tabletext"/>
            </w:pPr>
            <w:r>
              <w:t>(1) Age 35-80 years, (2) FEV</w:t>
            </w:r>
            <w:r>
              <w:rPr>
                <w:vertAlign w:val="subscript"/>
              </w:rPr>
              <w:t>1</w:t>
            </w:r>
            <w:r>
              <w:t xml:space="preserve"> between 50% and 80% predicted, (3) ≥1 exacerbations in preceding year.</w:t>
            </w:r>
          </w:p>
          <w:p w:rsidR="00035233" w:rsidRDefault="00035233" w:rsidP="00035233">
            <w:pPr>
              <w:pStyle w:val="06Tabletextspacebefore"/>
            </w:pPr>
            <w:r>
              <w:rPr>
                <w:u w:val="single"/>
              </w:rPr>
              <w:t>Exclusion</w:t>
            </w:r>
          </w:p>
          <w:p w:rsidR="00035233" w:rsidRDefault="00035233" w:rsidP="00035233">
            <w:pPr>
              <w:pStyle w:val="05Tabletext"/>
            </w:pPr>
            <w:r>
              <w:t>(1) History of asthma, (2) previous documentation of bronchial hyperreactivity, (3) history of allergy and/or atopy, (4) presence of congestive heart failure, (5) any cardiopulmonary disease that might interfere with the patient’s follow</w:t>
            </w:r>
            <w:r w:rsidR="004B2947">
              <w:t xml:space="preserve"> </w:t>
            </w:r>
            <w:r>
              <w:t>up.</w:t>
            </w:r>
          </w:p>
          <w:p w:rsidR="00035233" w:rsidRDefault="00035233" w:rsidP="00035233">
            <w:pPr>
              <w:pStyle w:val="06Tabletextspacebefore"/>
              <w:rPr>
                <w:u w:val="single"/>
              </w:rPr>
            </w:pPr>
            <w:r>
              <w:rPr>
                <w:u w:val="single"/>
              </w:rPr>
              <w:t>Other</w:t>
            </w:r>
          </w:p>
          <w:p w:rsidR="00035233" w:rsidRPr="00BF3ADE" w:rsidRDefault="00460E94" w:rsidP="00035233">
            <w:pPr>
              <w:pStyle w:val="05Tabletext"/>
            </w:pPr>
            <w:r>
              <w:t>(1) Two-</w:t>
            </w:r>
            <w:r w:rsidR="00035233">
              <w:t>week wash</w:t>
            </w:r>
            <w:r w:rsidR="009B3FE7">
              <w:t>out</w:t>
            </w:r>
            <w:r w:rsidR="00035233">
              <w:t xml:space="preserve"> period during which all long-acting bronchodilators and inhaled steroids were stopped, (2) patients were permitted to use short-acting bronchodilators as needed, (3) in the event of an exacerbation, patients could be treated with antibiotics and/or systemic steroids.</w:t>
            </w:r>
          </w:p>
        </w:tc>
        <w:tc>
          <w:tcPr>
            <w:tcW w:w="327" w:type="pct"/>
            <w:shd w:val="clear" w:color="auto" w:fill="auto"/>
          </w:tcPr>
          <w:p w:rsidR="00035233" w:rsidRDefault="00035233" w:rsidP="00035233">
            <w:pPr>
              <w:pStyle w:val="05Tabletext"/>
              <w:jc w:val="center"/>
            </w:pPr>
            <w:r>
              <w:t>1 year</w:t>
            </w:r>
          </w:p>
        </w:tc>
        <w:tc>
          <w:tcPr>
            <w:tcW w:w="742" w:type="pct"/>
            <w:shd w:val="clear" w:color="auto" w:fill="auto"/>
          </w:tcPr>
          <w:p w:rsidR="00035233" w:rsidRPr="00027257" w:rsidRDefault="00035233" w:rsidP="00035233">
            <w:pPr>
              <w:pStyle w:val="05Tabletext"/>
            </w:pPr>
            <w:r>
              <w:rPr>
                <w:u w:val="single"/>
              </w:rPr>
              <w:t>All outcomes</w:t>
            </w:r>
            <w:r>
              <w:rPr>
                <w:rStyle w:val="FootnoteReference"/>
                <w:u w:val="single"/>
              </w:rPr>
              <w:footnoteReference w:id="47"/>
            </w:r>
          </w:p>
          <w:p w:rsidR="00035233" w:rsidRDefault="00035233" w:rsidP="00035233">
            <w:pPr>
              <w:pStyle w:val="05Tabletext"/>
            </w:pPr>
            <w:r>
              <w:t>Exacerbation</w:t>
            </w:r>
            <w:r>
              <w:rPr>
                <w:rStyle w:val="FootnoteReference"/>
              </w:rPr>
              <w:footnoteReference w:id="48"/>
            </w:r>
            <w:r>
              <w:t xml:space="preserve"> within the preceding three months (measured at 3, 6, 9 and 12 months);</w:t>
            </w:r>
            <w:r>
              <w:rPr>
                <w:rStyle w:val="FootnoteReference"/>
              </w:rPr>
              <w:footnoteReference w:id="49"/>
            </w:r>
            <w:r>
              <w:t xml:space="preserve"> time to first exacerbation; pulmonary function tests (FEV</w:t>
            </w:r>
            <w:r>
              <w:rPr>
                <w:vertAlign w:val="subscript"/>
              </w:rPr>
              <w:t>1</w:t>
            </w:r>
            <w:r>
              <w:t>, FVC); arterial blood gases; 6-minute walk test; CAT score; Borg Dyspnoea Score; adverse events.</w:t>
            </w:r>
          </w:p>
          <w:p w:rsidR="00035233" w:rsidRPr="00803EA3" w:rsidRDefault="00035233" w:rsidP="00035233">
            <w:pPr>
              <w:pStyle w:val="05Tabletext"/>
            </w:pPr>
          </w:p>
        </w:tc>
      </w:tr>
      <w:tr w:rsidR="00035233" w:rsidRPr="00194011" w:rsidTr="00035233">
        <w:trPr>
          <w:cantSplit/>
        </w:trPr>
        <w:tc>
          <w:tcPr>
            <w:tcW w:w="608" w:type="pct"/>
            <w:shd w:val="clear" w:color="auto" w:fill="000000"/>
          </w:tcPr>
          <w:p w:rsidR="00035233" w:rsidRDefault="00035233" w:rsidP="00035233">
            <w:pPr>
              <w:pStyle w:val="04Tablesubheading"/>
            </w:pPr>
            <w:r>
              <w:lastRenderedPageBreak/>
              <w:t>FLU/VIL vs TIO</w:t>
            </w:r>
          </w:p>
        </w:tc>
        <w:tc>
          <w:tcPr>
            <w:tcW w:w="213" w:type="pct"/>
            <w:shd w:val="clear" w:color="auto" w:fill="000000"/>
          </w:tcPr>
          <w:p w:rsidR="00035233" w:rsidRDefault="00035233" w:rsidP="00035233">
            <w:pPr>
              <w:pStyle w:val="04Tablesubheading"/>
            </w:pPr>
          </w:p>
        </w:tc>
        <w:tc>
          <w:tcPr>
            <w:tcW w:w="361" w:type="pct"/>
            <w:shd w:val="clear" w:color="auto" w:fill="000000"/>
          </w:tcPr>
          <w:p w:rsidR="00035233" w:rsidRDefault="00035233" w:rsidP="00035233">
            <w:pPr>
              <w:pStyle w:val="04Tablesubheading"/>
            </w:pPr>
          </w:p>
        </w:tc>
        <w:tc>
          <w:tcPr>
            <w:tcW w:w="570" w:type="pct"/>
            <w:shd w:val="clear" w:color="auto" w:fill="000000"/>
          </w:tcPr>
          <w:p w:rsidR="00035233" w:rsidRDefault="00035233" w:rsidP="00035233">
            <w:pPr>
              <w:pStyle w:val="04Tablesubheading"/>
            </w:pPr>
          </w:p>
        </w:tc>
        <w:tc>
          <w:tcPr>
            <w:tcW w:w="2180" w:type="pct"/>
            <w:shd w:val="clear" w:color="auto" w:fill="000000"/>
          </w:tcPr>
          <w:p w:rsidR="00035233" w:rsidRDefault="00035233" w:rsidP="00035233">
            <w:pPr>
              <w:pStyle w:val="04Tablesubheading"/>
              <w:rPr>
                <w:u w:val="single"/>
              </w:rPr>
            </w:pPr>
          </w:p>
        </w:tc>
        <w:tc>
          <w:tcPr>
            <w:tcW w:w="327" w:type="pct"/>
            <w:shd w:val="clear" w:color="auto" w:fill="000000"/>
          </w:tcPr>
          <w:p w:rsidR="00035233" w:rsidRDefault="00035233" w:rsidP="00035233">
            <w:pPr>
              <w:pStyle w:val="04Tablesubheading"/>
            </w:pPr>
          </w:p>
        </w:tc>
        <w:tc>
          <w:tcPr>
            <w:tcW w:w="742" w:type="pct"/>
            <w:shd w:val="clear" w:color="auto" w:fill="000000"/>
          </w:tcPr>
          <w:p w:rsidR="00035233" w:rsidRDefault="00035233" w:rsidP="00035233">
            <w:pPr>
              <w:pStyle w:val="04Tablesubheading"/>
              <w:rPr>
                <w:u w:val="single"/>
              </w:rPr>
            </w:pPr>
          </w:p>
        </w:tc>
      </w:tr>
      <w:tr w:rsidR="00035233" w:rsidRPr="00194011" w:rsidTr="00035233">
        <w:trPr>
          <w:cantSplit/>
        </w:trPr>
        <w:tc>
          <w:tcPr>
            <w:tcW w:w="608" w:type="pct"/>
            <w:shd w:val="clear" w:color="auto" w:fill="auto"/>
          </w:tcPr>
          <w:p w:rsidR="00035233" w:rsidRDefault="00035233" w:rsidP="00035233">
            <w:pPr>
              <w:pStyle w:val="05Tabletext"/>
            </w:pPr>
            <w:r>
              <w:t>Covelli (2016)</w:t>
            </w:r>
          </w:p>
          <w:p w:rsidR="00035233" w:rsidRDefault="00035233" w:rsidP="00251CB8">
            <w:pPr>
              <w:pStyle w:val="06Tabletextspacebefore"/>
              <w:numPr>
                <w:ilvl w:val="0"/>
                <w:numId w:val="27"/>
              </w:numPr>
            </w:pPr>
            <w:r>
              <w:t>N/A</w:t>
            </w:r>
          </w:p>
          <w:p w:rsidR="00035233" w:rsidRDefault="00035233" w:rsidP="00251CB8">
            <w:pPr>
              <w:pStyle w:val="06Tabletextspacebefore"/>
              <w:numPr>
                <w:ilvl w:val="0"/>
                <w:numId w:val="27"/>
              </w:numPr>
            </w:pPr>
            <w:r>
              <w:t>Good quality</w:t>
            </w:r>
          </w:p>
          <w:p w:rsidR="00035233" w:rsidRDefault="00035233" w:rsidP="00251CB8">
            <w:pPr>
              <w:pStyle w:val="06Tabletextspacebefore"/>
              <w:numPr>
                <w:ilvl w:val="0"/>
                <w:numId w:val="27"/>
              </w:numPr>
            </w:pPr>
            <w:r>
              <w:t>US, Canada, Czech Republic, Germany, Poland, Romania</w:t>
            </w:r>
          </w:p>
          <w:p w:rsidR="00035233" w:rsidRPr="001E1DF6" w:rsidRDefault="00035233" w:rsidP="00251CB8">
            <w:pPr>
              <w:pStyle w:val="06Tabletextspacebefore"/>
              <w:numPr>
                <w:ilvl w:val="0"/>
                <w:numId w:val="27"/>
              </w:numPr>
            </w:pPr>
            <w:r>
              <w:t>GlaxoSmithKline</w:t>
            </w:r>
          </w:p>
        </w:tc>
        <w:tc>
          <w:tcPr>
            <w:tcW w:w="213" w:type="pct"/>
            <w:shd w:val="clear" w:color="auto" w:fill="auto"/>
          </w:tcPr>
          <w:p w:rsidR="00035233" w:rsidRDefault="00035233" w:rsidP="00035233">
            <w:pPr>
              <w:pStyle w:val="05Tabletext"/>
              <w:jc w:val="center"/>
            </w:pPr>
            <w:r>
              <w:t>623</w:t>
            </w:r>
          </w:p>
        </w:tc>
        <w:tc>
          <w:tcPr>
            <w:tcW w:w="361" w:type="pct"/>
            <w:shd w:val="clear" w:color="auto" w:fill="auto"/>
          </w:tcPr>
          <w:p w:rsidR="00035233" w:rsidRDefault="00035233" w:rsidP="00035233">
            <w:pPr>
              <w:pStyle w:val="05Tabletext"/>
            </w:pPr>
            <w:r>
              <w:t>Superiority. Double-blind, double-dummy.</w:t>
            </w:r>
            <w:r>
              <w:rPr>
                <w:rStyle w:val="FootnoteReference"/>
              </w:rPr>
              <w:footnoteReference w:id="50"/>
            </w:r>
          </w:p>
          <w:p w:rsidR="00035233" w:rsidRPr="004E61D5" w:rsidRDefault="00035233" w:rsidP="00035233">
            <w:pPr>
              <w:pStyle w:val="06Tabletextspacebefore"/>
            </w:pPr>
            <w:r>
              <w:t>Subjects were stratified at randomisation for COPD exacerbation history</w:t>
            </w:r>
            <w:r>
              <w:rPr>
                <w:rStyle w:val="FootnoteReference"/>
              </w:rPr>
              <w:footnoteReference w:id="51"/>
            </w:r>
            <w:r>
              <w:t xml:space="preserve"> and for reversibility status.</w:t>
            </w:r>
            <w:r>
              <w:rPr>
                <w:rStyle w:val="FootnoteReference"/>
              </w:rPr>
              <w:footnoteReference w:id="52"/>
            </w:r>
          </w:p>
        </w:tc>
        <w:tc>
          <w:tcPr>
            <w:tcW w:w="570" w:type="pct"/>
            <w:shd w:val="clear" w:color="auto" w:fill="auto"/>
          </w:tcPr>
          <w:p w:rsidR="00035233" w:rsidRDefault="00035233" w:rsidP="00035233">
            <w:pPr>
              <w:pStyle w:val="05Tabletext"/>
            </w:pPr>
            <w:r>
              <w:t>FLU/VIL 100/25 μg qd (n=310)</w:t>
            </w:r>
          </w:p>
          <w:p w:rsidR="00035233" w:rsidRPr="00430034" w:rsidRDefault="00035233" w:rsidP="00035233">
            <w:pPr>
              <w:pStyle w:val="06Tabletextspacebefore"/>
            </w:pPr>
            <w:r>
              <w:t>TIO 18 μg qd (n=313)</w:t>
            </w:r>
          </w:p>
        </w:tc>
        <w:tc>
          <w:tcPr>
            <w:tcW w:w="2180" w:type="pct"/>
            <w:shd w:val="clear" w:color="auto" w:fill="auto"/>
          </w:tcPr>
          <w:p w:rsidR="00035233" w:rsidRDefault="00035233" w:rsidP="00035233">
            <w:pPr>
              <w:pStyle w:val="05Tabletext"/>
            </w:pPr>
            <w:r>
              <w:rPr>
                <w:u w:val="single"/>
              </w:rPr>
              <w:t>Inclusion</w:t>
            </w:r>
          </w:p>
          <w:p w:rsidR="00035233" w:rsidRDefault="00035233" w:rsidP="00035233">
            <w:pPr>
              <w:pStyle w:val="05Tabletext"/>
            </w:pPr>
            <w:r>
              <w:t>(1) Age ≥40 years, (2) clinical diagnosis of COPD, (3) post-bronchodilator FEV</w:t>
            </w:r>
            <w:r>
              <w:rPr>
                <w:vertAlign w:val="subscript"/>
              </w:rPr>
              <w:t>1</w:t>
            </w:r>
            <w:r>
              <w:t xml:space="preserve"> between 30% and 70% of predicted normal and an FEV</w:t>
            </w:r>
            <w:r>
              <w:rPr>
                <w:vertAlign w:val="subscript"/>
              </w:rPr>
              <w:t>1</w:t>
            </w:r>
            <w:r>
              <w:t>/FVC ratio ≤70% at screening, (4) a history of CVD/a CVD event or, in addition to being a current/former smoker, had at least one current CV risk factor (hypertension, hypercholesterolemia, or treated diabetes).</w:t>
            </w:r>
          </w:p>
          <w:p w:rsidR="00035233" w:rsidRDefault="00035233" w:rsidP="00035233">
            <w:pPr>
              <w:pStyle w:val="06Tabletextspacebefore"/>
            </w:pPr>
            <w:r>
              <w:rPr>
                <w:u w:val="single"/>
              </w:rPr>
              <w:t>Exclusion</w:t>
            </w:r>
          </w:p>
          <w:p w:rsidR="00035233" w:rsidRDefault="00035233" w:rsidP="00035233">
            <w:pPr>
              <w:pStyle w:val="05Tabletext"/>
            </w:pPr>
            <w:r>
              <w:t>(1) History of asthma or respiratory disorders other than COPD, (2) recent (≤12 months) lung resection, (3) clinically significant abnormal chest X-ray, laboratory, Holter or electrocardiogram finding at screening, (4) recent (≤12 weeks) hospitalisation for COPD, (5) recent (≤6 weeks) acute worsening of COPD requiring treatment with corticosteroids or antibiotics, (6) noncompliance, COPD exacerbation, or LRTI during the run-in period, (7) long</w:t>
            </w:r>
            <w:r w:rsidR="00D1265E">
              <w:t>-</w:t>
            </w:r>
            <w:r>
              <w:t>term oxygen therapy (&gt;12 hr/day).</w:t>
            </w:r>
          </w:p>
          <w:p w:rsidR="00035233" w:rsidRDefault="00035233" w:rsidP="00035233">
            <w:pPr>
              <w:pStyle w:val="06Tabletextspacebefore"/>
            </w:pPr>
            <w:r>
              <w:rPr>
                <w:u w:val="single"/>
              </w:rPr>
              <w:t>Other</w:t>
            </w:r>
          </w:p>
          <w:p w:rsidR="00035233" w:rsidRPr="00856FCF" w:rsidRDefault="00035233" w:rsidP="00035233">
            <w:pPr>
              <w:pStyle w:val="05Tabletext"/>
            </w:pPr>
            <w:r>
              <w:t>(1) Patients were required to discontinue COPD medications for a run-in period (systemic/oral/parenteral corticosteroids for 6 weeks prior; ICS or ICS/LABA combinations for 4 weeks prior; long-acting anticholinergics 1 week prior; and LABAs within 48 hours prior to screening), (2) albuterol was provided a rescue medication and was permitted for use throughout the study.</w:t>
            </w:r>
          </w:p>
        </w:tc>
        <w:tc>
          <w:tcPr>
            <w:tcW w:w="327" w:type="pct"/>
            <w:shd w:val="clear" w:color="auto" w:fill="auto"/>
          </w:tcPr>
          <w:p w:rsidR="00035233" w:rsidRDefault="00035233" w:rsidP="00035233">
            <w:pPr>
              <w:pStyle w:val="05Tabletext"/>
              <w:jc w:val="center"/>
            </w:pPr>
            <w:r>
              <w:t>12 weeks; final (safety) follow</w:t>
            </w:r>
            <w:r w:rsidR="004B2947">
              <w:t xml:space="preserve"> </w:t>
            </w:r>
            <w:r>
              <w:t>up was performed 7 days after last treatment visit.</w:t>
            </w:r>
          </w:p>
        </w:tc>
        <w:tc>
          <w:tcPr>
            <w:tcW w:w="742" w:type="pct"/>
            <w:shd w:val="clear" w:color="auto" w:fill="auto"/>
          </w:tcPr>
          <w:p w:rsidR="00035233" w:rsidRDefault="00035233" w:rsidP="00035233">
            <w:pPr>
              <w:pStyle w:val="05Tabletext"/>
              <w:rPr>
                <w:i/>
                <w:u w:val="single"/>
              </w:rPr>
            </w:pPr>
            <w:r>
              <w:rPr>
                <w:u w:val="single"/>
              </w:rPr>
              <w:t>Primary</w:t>
            </w:r>
          </w:p>
          <w:p w:rsidR="00035233" w:rsidRDefault="00035233" w:rsidP="00035233">
            <w:pPr>
              <w:pStyle w:val="05Tabletext"/>
            </w:pPr>
            <w:r>
              <w:t>Change from baseline in 24 hr weighted mean FEV</w:t>
            </w:r>
            <w:r>
              <w:rPr>
                <w:vertAlign w:val="subscript"/>
              </w:rPr>
              <w:t>1</w:t>
            </w:r>
            <w:r w:rsidR="004B3085">
              <w:t xml:space="preserve"> on D</w:t>
            </w:r>
            <w:r>
              <w:t>ay 84.</w:t>
            </w:r>
          </w:p>
          <w:p w:rsidR="00035233" w:rsidRDefault="00035233" w:rsidP="00035233">
            <w:pPr>
              <w:pStyle w:val="06Tabletextspacebefore"/>
            </w:pPr>
            <w:r>
              <w:rPr>
                <w:u w:val="single"/>
              </w:rPr>
              <w:t>Secondary</w:t>
            </w:r>
          </w:p>
          <w:p w:rsidR="00035233" w:rsidRPr="001E1DF6" w:rsidRDefault="00035233" w:rsidP="00035233">
            <w:pPr>
              <w:pStyle w:val="05Tabletext"/>
            </w:pPr>
            <w:r>
              <w:t>Time to onset of bronchodilation; trough FEV</w:t>
            </w:r>
            <w:r>
              <w:rPr>
                <w:vertAlign w:val="subscript"/>
              </w:rPr>
              <w:t>1</w:t>
            </w:r>
            <w:r>
              <w:t>; other spirometry measures; use of rescue medication; symptoms; SGRQ; CAT score; inflammatory biomarkers (exploratory endpoint); safety (cardiovascular monitoring, cortisol excretion, COPD exacerbations, AEs).</w:t>
            </w:r>
          </w:p>
        </w:tc>
      </w:tr>
    </w:tbl>
    <w:p w:rsidR="00035233" w:rsidRDefault="00035233" w:rsidP="00035233">
      <w:pPr>
        <w:pStyle w:val="10TableorFigurefootnote"/>
      </w:pPr>
      <w:r w:rsidRPr="00745648">
        <w:t>Note: N refers to number randomised unless otherwise specified.</w:t>
      </w:r>
    </w:p>
    <w:p w:rsidR="00035233" w:rsidRDefault="00035233" w:rsidP="00035233">
      <w:pPr>
        <w:pStyle w:val="11TableorFigurefootnotenostick"/>
      </w:pPr>
      <w:r>
        <w:t>Abbreviations: AE, adverse event; AUC, area under the curve; BDI, Basline Dyspnea Index; bid, twice daily; CAT, COPD Assessment Test; COPD, chronic obstructive pulmonary disease; CVD, cardiovascular disease; FEV</w:t>
      </w:r>
      <w:r>
        <w:rPr>
          <w:vertAlign w:val="subscript"/>
        </w:rPr>
        <w:t>1</w:t>
      </w:r>
      <w:r>
        <w:t>, forced expiratory volume in one second; FLU, fluticasone</w:t>
      </w:r>
      <w:r w:rsidR="005E5D56">
        <w:t xml:space="preserve"> furoate</w:t>
      </w:r>
      <w:r>
        <w:t>; FVC, forced vital capacity; GOLD, Global initiative for chronic Obstructive Lung Disease; IC, inspiratory capacity; ICS, inhaled corticosteroid; IND, indacaterol; LABA, long-acting beta-agonist; LAMA, long-acting muscarinic antagonist; LRTI, lower respiratory tract infection; mMRC, modified Medical Research Council; N/A, not applicable; NR, not reported; OLO, olodaterol; PBO, placebo; qd, once daily; SGRQ, St George’s Respiratory Questionnaire; SMETT, sub-maximal constant-load cycle ergometry exercise tolerance test; TDI, Transition Dyspnea Index; TIO, tiotropium; UK, United Kingdom; US, United States; VIL, vilanterol.</w:t>
      </w:r>
    </w:p>
    <w:p w:rsidR="00035233" w:rsidRPr="00016BF6" w:rsidRDefault="00035233" w:rsidP="00035233">
      <w:pPr>
        <w:pStyle w:val="11TableorFigurefootnotenostick"/>
        <w:sectPr w:rsidR="00035233" w:rsidRPr="00016BF6" w:rsidSect="00940811">
          <w:headerReference w:type="default" r:id="rId48"/>
          <w:footerReference w:type="default" r:id="rId49"/>
          <w:pgSz w:w="16838" w:h="11906" w:orient="landscape"/>
          <w:pgMar w:top="993" w:right="1134" w:bottom="1134" w:left="1134" w:header="709" w:footer="709" w:gutter="0"/>
          <w:cols w:space="708"/>
          <w:docGrid w:linePitch="360"/>
        </w:sectPr>
      </w:pPr>
    </w:p>
    <w:p w:rsidR="00035233" w:rsidRDefault="00035233" w:rsidP="00251CB8">
      <w:pPr>
        <w:pStyle w:val="Heading4"/>
        <w:numPr>
          <w:ilvl w:val="3"/>
          <w:numId w:val="11"/>
        </w:numPr>
      </w:pPr>
      <w:r>
        <w:lastRenderedPageBreak/>
        <w:t>Fluticasone</w:t>
      </w:r>
      <w:r w:rsidR="00ED357B">
        <w:t xml:space="preserve"> propionate</w:t>
      </w:r>
      <w:r>
        <w:t>/salmeterol versus tiotropium</w:t>
      </w:r>
    </w:p>
    <w:p w:rsidR="00035233" w:rsidRDefault="00035233" w:rsidP="00251CB8">
      <w:pPr>
        <w:pStyle w:val="Heading5"/>
        <w:numPr>
          <w:ilvl w:val="4"/>
          <w:numId w:val="11"/>
        </w:numPr>
      </w:pPr>
      <w:r>
        <w:t>INSPIRE study</w:t>
      </w:r>
    </w:p>
    <w:p w:rsidR="00035233" w:rsidRDefault="00035233" w:rsidP="00035233">
      <w:pPr>
        <w:pStyle w:val="BodyTextnospacebefore"/>
      </w:pPr>
      <w:r>
        <w:t xml:space="preserve">The purpose of the INSPIRE study was to examine exacerbation rates and mortality over an extended period of time. As dictated by the inclusion criteria (see </w:t>
      </w:r>
      <w:r w:rsidR="00E75CD2">
        <w:t>Table 3.6</w:t>
      </w:r>
      <w:r w:rsidR="00967B39">
        <w:t>5</w:t>
      </w:r>
      <w:r>
        <w:t>) the patient population in INSIRE had relatively severe COPD with a mean post-bronchodilator FEV</w:t>
      </w:r>
      <w:r>
        <w:rPr>
          <w:vertAlign w:val="subscript"/>
        </w:rPr>
        <w:t>1</w:t>
      </w:r>
      <w:r>
        <w:t xml:space="preserve"> (percent predicted) at baseline of 39%. Exacerbations were also relatively frequent in this population, with 85% of patients randomised to fluticasone</w:t>
      </w:r>
      <w:r w:rsidR="00ED357B">
        <w:t xml:space="preserve"> propionate</w:t>
      </w:r>
      <w:r>
        <w:t xml:space="preserve">/salmeterol and 88% </w:t>
      </w:r>
      <w:r w:rsidR="00326DB2">
        <w:t xml:space="preserve">of patients </w:t>
      </w:r>
      <w:r>
        <w:t xml:space="preserve">randomised to tiotropium reporting at least one exacerbation in the </w:t>
      </w:r>
      <w:r w:rsidR="00326DB2">
        <w:t xml:space="preserve">previous </w:t>
      </w:r>
      <w:r>
        <w:t>year.</w:t>
      </w:r>
    </w:p>
    <w:p w:rsidR="00035233" w:rsidRPr="00B51AB1" w:rsidRDefault="00035233" w:rsidP="00035233">
      <w:pPr>
        <w:pStyle w:val="BodyText"/>
      </w:pPr>
      <w:r>
        <w:t>The use of maintenance therapy was therefore high at baseline, with 48% of patients in the fluticasone</w:t>
      </w:r>
      <w:r w:rsidR="00ED357B">
        <w:t xml:space="preserve"> propionate</w:t>
      </w:r>
      <w:r>
        <w:t>/salmeterol group and 51% in the tiotropium arm on ICS at study entry. In addition, 43% and 46% were on LABA maintenance therapy, respectively, and 13% and 14% were using a LAMA. All pre-existing COPD therapies were required to</w:t>
      </w:r>
      <w:r w:rsidR="00460E94">
        <w:t xml:space="preserve"> be discontinued prior to a two-</w:t>
      </w:r>
      <w:r>
        <w:t>week run-in period before baseline.</w:t>
      </w:r>
    </w:p>
    <w:p w:rsidR="00035233" w:rsidRDefault="00035233" w:rsidP="00035233">
      <w:pPr>
        <w:pStyle w:val="BodyText"/>
      </w:pPr>
      <w:r>
        <w:t xml:space="preserve">The comparative rate of exacerbations between the treatment groups is shown in </w:t>
      </w:r>
      <w:r w:rsidR="00E75CD2">
        <w:t>Table 3.6</w:t>
      </w:r>
      <w:r w:rsidR="00967B39">
        <w:t>6</w:t>
      </w:r>
      <w:r>
        <w:t>. Based on the differences observed in the use of oral corticosteroids and antibiotics to treat exacerbations, the authors suggested that treatment with fluticasone</w:t>
      </w:r>
      <w:r w:rsidR="00ED357B">
        <w:t xml:space="preserve"> propionate</w:t>
      </w:r>
      <w:r>
        <w:t>/salmeterol and tiotropium achieved similar exacerbation rates via different mechanisms.</w:t>
      </w:r>
    </w:p>
    <w:p w:rsidR="00035233" w:rsidRDefault="00E75CD2" w:rsidP="00940811">
      <w:pPr>
        <w:pStyle w:val="ToR3Tableheader"/>
      </w:pPr>
      <w:bookmarkStart w:id="467" w:name="_Toc468006314"/>
      <w:bookmarkStart w:id="468" w:name="_Toc468012359"/>
      <w:bookmarkStart w:id="469" w:name="_Toc468034515"/>
      <w:bookmarkStart w:id="470" w:name="_Toc471891057"/>
      <w:bookmarkStart w:id="471" w:name="_Toc486428245"/>
      <w:r>
        <w:t>Table 3.6</w:t>
      </w:r>
      <w:r w:rsidR="00967B39">
        <w:t>6</w:t>
      </w:r>
      <w:r w:rsidR="00035233">
        <w:tab/>
        <w:t>Number of exacerbations and rate of exacerbations per year – FLU/SAL vs TIO</w:t>
      </w:r>
      <w:bookmarkEnd w:id="467"/>
      <w:bookmarkEnd w:id="468"/>
      <w:bookmarkEnd w:id="469"/>
      <w:bookmarkEnd w:id="470"/>
      <w:bookmarkEnd w:id="47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Number of exacerbations and rate of exacerbations per year "/>
        <w:tblDescription w:val="FLU/SAL vs TIO"/>
      </w:tblPr>
      <w:tblGrid>
        <w:gridCol w:w="3691"/>
        <w:gridCol w:w="1559"/>
        <w:gridCol w:w="1418"/>
        <w:gridCol w:w="1845"/>
        <w:gridCol w:w="1135"/>
      </w:tblGrid>
      <w:tr w:rsidR="00035233" w:rsidRPr="00F01736" w:rsidTr="00035233">
        <w:trPr>
          <w:cantSplit/>
          <w:tblHeader/>
        </w:trPr>
        <w:tc>
          <w:tcPr>
            <w:tcW w:w="1913" w:type="pct"/>
            <w:shd w:val="clear" w:color="auto" w:fill="BFBFBF"/>
          </w:tcPr>
          <w:p w:rsidR="00035233" w:rsidRPr="00F01736" w:rsidRDefault="00035233" w:rsidP="00035233">
            <w:pPr>
              <w:pStyle w:val="01TableHEADINGleftaligned"/>
            </w:pPr>
            <w:r>
              <w:t>Exacerbations</w:t>
            </w:r>
          </w:p>
        </w:tc>
        <w:tc>
          <w:tcPr>
            <w:tcW w:w="808" w:type="pct"/>
            <w:tcBorders>
              <w:right w:val="single" w:sz="4" w:space="0" w:color="auto"/>
            </w:tcBorders>
            <w:shd w:val="clear" w:color="auto" w:fill="BFBFBF"/>
          </w:tcPr>
          <w:p w:rsidR="00035233" w:rsidRPr="00F01736" w:rsidRDefault="00035233" w:rsidP="00035233">
            <w:pPr>
              <w:pStyle w:val="01TableHEADINGleftaligned"/>
              <w:ind w:left="0"/>
              <w:jc w:val="center"/>
            </w:pPr>
            <w:r>
              <w:t>FLU/SAL (n=658)</w:t>
            </w:r>
          </w:p>
        </w:tc>
        <w:tc>
          <w:tcPr>
            <w:tcW w:w="735" w:type="pct"/>
            <w:tcBorders>
              <w:left w:val="single" w:sz="4" w:space="0" w:color="auto"/>
              <w:right w:val="single" w:sz="4" w:space="0" w:color="auto"/>
            </w:tcBorders>
            <w:shd w:val="clear" w:color="auto" w:fill="BFBFBF"/>
          </w:tcPr>
          <w:p w:rsidR="00035233" w:rsidRPr="00F01736" w:rsidRDefault="00035233" w:rsidP="00035233">
            <w:pPr>
              <w:pStyle w:val="01TableHEADINGleftaligned"/>
              <w:jc w:val="center"/>
            </w:pPr>
            <w:r>
              <w:t>TIO (n=665)</w:t>
            </w:r>
          </w:p>
        </w:tc>
        <w:tc>
          <w:tcPr>
            <w:tcW w:w="956" w:type="pct"/>
            <w:tcBorders>
              <w:left w:val="single" w:sz="4" w:space="0" w:color="auto"/>
              <w:right w:val="single" w:sz="4" w:space="0" w:color="auto"/>
            </w:tcBorders>
            <w:shd w:val="clear" w:color="auto" w:fill="BFBFBF"/>
          </w:tcPr>
          <w:p w:rsidR="00035233" w:rsidRPr="00F01736" w:rsidRDefault="00035233" w:rsidP="00035233">
            <w:pPr>
              <w:pStyle w:val="01TableHEADINGleftaligned"/>
              <w:jc w:val="center"/>
            </w:pPr>
            <w:r>
              <w:t>Rate ratio (95% CI)</w:t>
            </w:r>
          </w:p>
        </w:tc>
        <w:tc>
          <w:tcPr>
            <w:tcW w:w="588" w:type="pct"/>
            <w:tcBorders>
              <w:left w:val="single" w:sz="4" w:space="0" w:color="auto"/>
            </w:tcBorders>
            <w:shd w:val="clear" w:color="auto" w:fill="BFBFBF"/>
          </w:tcPr>
          <w:p w:rsidR="00035233" w:rsidRPr="00F01736" w:rsidRDefault="00035233" w:rsidP="00035233">
            <w:pPr>
              <w:pStyle w:val="01TableHEADINGleftaligned"/>
              <w:jc w:val="center"/>
            </w:pPr>
            <w:r>
              <w:t>p-value</w:t>
            </w:r>
          </w:p>
        </w:tc>
      </w:tr>
      <w:tr w:rsidR="00035233" w:rsidRPr="00194011" w:rsidTr="00035233">
        <w:trPr>
          <w:cantSplit/>
        </w:trPr>
        <w:tc>
          <w:tcPr>
            <w:tcW w:w="1913" w:type="pct"/>
            <w:tcBorders>
              <w:bottom w:val="single" w:sz="4" w:space="0" w:color="auto"/>
            </w:tcBorders>
            <w:shd w:val="clear" w:color="auto" w:fill="000000"/>
          </w:tcPr>
          <w:p w:rsidR="00035233" w:rsidRPr="00194011" w:rsidRDefault="00035233" w:rsidP="00035233">
            <w:pPr>
              <w:pStyle w:val="04Tablesubheading"/>
            </w:pPr>
          </w:p>
        </w:tc>
        <w:tc>
          <w:tcPr>
            <w:tcW w:w="808" w:type="pct"/>
            <w:tcBorders>
              <w:bottom w:val="single" w:sz="4" w:space="0" w:color="auto"/>
            </w:tcBorders>
            <w:shd w:val="clear" w:color="auto" w:fill="000000"/>
          </w:tcPr>
          <w:p w:rsidR="00035233" w:rsidRPr="00C34E40" w:rsidRDefault="00035233" w:rsidP="00035233">
            <w:pPr>
              <w:pStyle w:val="04Tablesubheading"/>
              <w:ind w:left="0"/>
            </w:pPr>
          </w:p>
        </w:tc>
        <w:tc>
          <w:tcPr>
            <w:tcW w:w="735" w:type="pct"/>
            <w:tcBorders>
              <w:bottom w:val="single" w:sz="4" w:space="0" w:color="auto"/>
            </w:tcBorders>
            <w:shd w:val="clear" w:color="auto" w:fill="000000"/>
          </w:tcPr>
          <w:p w:rsidR="00035233" w:rsidRPr="00194011" w:rsidRDefault="00035233" w:rsidP="00035233">
            <w:pPr>
              <w:pStyle w:val="04Tablesubheading"/>
              <w:ind w:right="0"/>
              <w:jc w:val="right"/>
            </w:pPr>
          </w:p>
        </w:tc>
        <w:tc>
          <w:tcPr>
            <w:tcW w:w="956" w:type="pct"/>
            <w:tcBorders>
              <w:bottom w:val="single" w:sz="4" w:space="0" w:color="auto"/>
            </w:tcBorders>
            <w:shd w:val="clear" w:color="auto" w:fill="000000"/>
          </w:tcPr>
          <w:p w:rsidR="00035233" w:rsidRPr="00194011" w:rsidRDefault="00035233" w:rsidP="00035233">
            <w:pPr>
              <w:pStyle w:val="04Tablesubheading"/>
              <w:ind w:right="0"/>
              <w:jc w:val="right"/>
            </w:pPr>
          </w:p>
        </w:tc>
        <w:tc>
          <w:tcPr>
            <w:tcW w:w="588" w:type="pct"/>
            <w:tcBorders>
              <w:bottom w:val="single" w:sz="4" w:space="0" w:color="auto"/>
            </w:tcBorders>
            <w:shd w:val="clear" w:color="auto" w:fill="000000"/>
          </w:tcPr>
          <w:p w:rsidR="00035233" w:rsidRPr="00194011" w:rsidRDefault="00035233" w:rsidP="00035233">
            <w:pPr>
              <w:pStyle w:val="04Tablesubheading"/>
              <w:ind w:left="0"/>
            </w:pPr>
          </w:p>
        </w:tc>
      </w:tr>
      <w:tr w:rsidR="00035233" w:rsidRPr="00194011" w:rsidTr="00035233">
        <w:trPr>
          <w:cantSplit/>
        </w:trPr>
        <w:tc>
          <w:tcPr>
            <w:tcW w:w="1913" w:type="pct"/>
            <w:tcBorders>
              <w:bottom w:val="nil"/>
            </w:tcBorders>
            <w:shd w:val="clear" w:color="auto" w:fill="auto"/>
          </w:tcPr>
          <w:p w:rsidR="00035233" w:rsidRPr="00BF243A" w:rsidRDefault="00035233" w:rsidP="00035233">
            <w:pPr>
              <w:pStyle w:val="05Tabletext"/>
            </w:pPr>
            <w:r>
              <w:t>HCU exacerbations, mean no. per year</w:t>
            </w:r>
          </w:p>
        </w:tc>
        <w:tc>
          <w:tcPr>
            <w:tcW w:w="808" w:type="pct"/>
            <w:tcBorders>
              <w:bottom w:val="nil"/>
            </w:tcBorders>
            <w:shd w:val="clear" w:color="auto" w:fill="auto"/>
          </w:tcPr>
          <w:p w:rsidR="00035233" w:rsidRPr="00464F6D" w:rsidRDefault="00035233" w:rsidP="00035233">
            <w:pPr>
              <w:pStyle w:val="05Tabletext"/>
              <w:jc w:val="center"/>
            </w:pPr>
            <w:r>
              <w:t>1.28</w:t>
            </w:r>
          </w:p>
        </w:tc>
        <w:tc>
          <w:tcPr>
            <w:tcW w:w="735" w:type="pct"/>
            <w:tcBorders>
              <w:bottom w:val="nil"/>
            </w:tcBorders>
            <w:shd w:val="clear" w:color="auto" w:fill="auto"/>
          </w:tcPr>
          <w:p w:rsidR="00035233" w:rsidRPr="00194011" w:rsidRDefault="00035233" w:rsidP="00035233">
            <w:pPr>
              <w:pStyle w:val="05Tabletext"/>
              <w:jc w:val="center"/>
            </w:pPr>
            <w:r>
              <w:t>1.32</w:t>
            </w:r>
          </w:p>
        </w:tc>
        <w:tc>
          <w:tcPr>
            <w:tcW w:w="956" w:type="pct"/>
            <w:tcBorders>
              <w:bottom w:val="nil"/>
            </w:tcBorders>
            <w:shd w:val="clear" w:color="auto" w:fill="auto"/>
          </w:tcPr>
          <w:p w:rsidR="00035233" w:rsidRPr="00194011" w:rsidRDefault="00035233" w:rsidP="00035233">
            <w:pPr>
              <w:pStyle w:val="05Tabletext"/>
              <w:jc w:val="center"/>
            </w:pPr>
            <w:r>
              <w:t>0.97 (0.84, 1.12)</w:t>
            </w:r>
          </w:p>
        </w:tc>
        <w:tc>
          <w:tcPr>
            <w:tcW w:w="588" w:type="pct"/>
            <w:tcBorders>
              <w:bottom w:val="nil"/>
            </w:tcBorders>
            <w:shd w:val="clear" w:color="auto" w:fill="auto"/>
          </w:tcPr>
          <w:p w:rsidR="00035233" w:rsidRPr="00194011" w:rsidRDefault="00035233" w:rsidP="00035233">
            <w:pPr>
              <w:pStyle w:val="05Tabletext"/>
              <w:jc w:val="center"/>
            </w:pPr>
            <w:r>
              <w:t>0.656</w:t>
            </w:r>
          </w:p>
        </w:tc>
      </w:tr>
      <w:tr w:rsidR="00035233" w:rsidRPr="00194011" w:rsidTr="00035233">
        <w:trPr>
          <w:cantSplit/>
        </w:trPr>
        <w:tc>
          <w:tcPr>
            <w:tcW w:w="1913" w:type="pct"/>
            <w:tcBorders>
              <w:top w:val="nil"/>
              <w:bottom w:val="nil"/>
            </w:tcBorders>
            <w:shd w:val="clear" w:color="auto" w:fill="auto"/>
          </w:tcPr>
          <w:p w:rsidR="00035233" w:rsidRDefault="00035233" w:rsidP="00035233">
            <w:pPr>
              <w:pStyle w:val="05Tabletext"/>
              <w:ind w:firstLine="232"/>
            </w:pPr>
            <w:r>
              <w:t>Requiring oral corticosteroids</w:t>
            </w:r>
          </w:p>
        </w:tc>
        <w:tc>
          <w:tcPr>
            <w:tcW w:w="808" w:type="pct"/>
            <w:tcBorders>
              <w:top w:val="nil"/>
              <w:bottom w:val="nil"/>
            </w:tcBorders>
            <w:shd w:val="clear" w:color="auto" w:fill="auto"/>
          </w:tcPr>
          <w:p w:rsidR="00035233" w:rsidRPr="00464F6D" w:rsidRDefault="00035233" w:rsidP="00035233">
            <w:pPr>
              <w:pStyle w:val="05Tabletext"/>
              <w:jc w:val="center"/>
            </w:pPr>
            <w:r>
              <w:t>0.69</w:t>
            </w:r>
          </w:p>
        </w:tc>
        <w:tc>
          <w:tcPr>
            <w:tcW w:w="735" w:type="pct"/>
            <w:tcBorders>
              <w:top w:val="nil"/>
              <w:bottom w:val="nil"/>
            </w:tcBorders>
            <w:shd w:val="clear" w:color="auto" w:fill="auto"/>
          </w:tcPr>
          <w:p w:rsidR="00035233" w:rsidRPr="00464F6D" w:rsidRDefault="00035233" w:rsidP="00035233">
            <w:pPr>
              <w:pStyle w:val="05Tabletext"/>
              <w:jc w:val="center"/>
            </w:pPr>
            <w:r>
              <w:t>0.85</w:t>
            </w:r>
          </w:p>
        </w:tc>
        <w:tc>
          <w:tcPr>
            <w:tcW w:w="956" w:type="pct"/>
            <w:tcBorders>
              <w:top w:val="nil"/>
              <w:bottom w:val="nil"/>
            </w:tcBorders>
            <w:shd w:val="clear" w:color="auto" w:fill="auto"/>
          </w:tcPr>
          <w:p w:rsidR="00035233" w:rsidRPr="00464F6D" w:rsidRDefault="00035233" w:rsidP="00035233">
            <w:pPr>
              <w:pStyle w:val="05Tabletext"/>
              <w:jc w:val="center"/>
            </w:pPr>
            <w:r>
              <w:t>0.81 (0.67, 0.99)</w:t>
            </w:r>
          </w:p>
        </w:tc>
        <w:tc>
          <w:tcPr>
            <w:tcW w:w="588" w:type="pct"/>
            <w:tcBorders>
              <w:top w:val="nil"/>
              <w:bottom w:val="nil"/>
            </w:tcBorders>
            <w:shd w:val="clear" w:color="auto" w:fill="auto"/>
          </w:tcPr>
          <w:p w:rsidR="00035233" w:rsidRPr="00464F6D" w:rsidRDefault="00035233" w:rsidP="00035233">
            <w:pPr>
              <w:pStyle w:val="05Tabletext"/>
              <w:jc w:val="center"/>
            </w:pPr>
            <w:r>
              <w:t>0.039</w:t>
            </w:r>
          </w:p>
        </w:tc>
      </w:tr>
      <w:tr w:rsidR="00035233" w:rsidRPr="00194011" w:rsidTr="00035233">
        <w:trPr>
          <w:cantSplit/>
        </w:trPr>
        <w:tc>
          <w:tcPr>
            <w:tcW w:w="1913" w:type="pct"/>
            <w:tcBorders>
              <w:top w:val="nil"/>
              <w:bottom w:val="single" w:sz="4" w:space="0" w:color="auto"/>
            </w:tcBorders>
            <w:shd w:val="clear" w:color="auto" w:fill="auto"/>
          </w:tcPr>
          <w:p w:rsidR="00035233" w:rsidRDefault="00035233" w:rsidP="00035233">
            <w:pPr>
              <w:pStyle w:val="05Tabletext"/>
              <w:ind w:firstLine="232"/>
            </w:pPr>
            <w:r>
              <w:t>Requiring antibiotics</w:t>
            </w:r>
          </w:p>
        </w:tc>
        <w:tc>
          <w:tcPr>
            <w:tcW w:w="808" w:type="pct"/>
            <w:tcBorders>
              <w:top w:val="nil"/>
              <w:bottom w:val="single" w:sz="4" w:space="0" w:color="auto"/>
            </w:tcBorders>
            <w:shd w:val="clear" w:color="auto" w:fill="auto"/>
          </w:tcPr>
          <w:p w:rsidR="00035233" w:rsidRPr="00464F6D" w:rsidRDefault="00035233" w:rsidP="00035233">
            <w:pPr>
              <w:pStyle w:val="05Tabletext"/>
              <w:jc w:val="center"/>
            </w:pPr>
            <w:r>
              <w:t>0.97</w:t>
            </w:r>
          </w:p>
        </w:tc>
        <w:tc>
          <w:tcPr>
            <w:tcW w:w="735" w:type="pct"/>
            <w:tcBorders>
              <w:top w:val="nil"/>
              <w:bottom w:val="single" w:sz="4" w:space="0" w:color="auto"/>
            </w:tcBorders>
            <w:shd w:val="clear" w:color="auto" w:fill="auto"/>
          </w:tcPr>
          <w:p w:rsidR="00035233" w:rsidRPr="00464F6D" w:rsidRDefault="00035233" w:rsidP="00035233">
            <w:pPr>
              <w:pStyle w:val="05Tabletext"/>
              <w:jc w:val="center"/>
            </w:pPr>
            <w:r>
              <w:t>0.82</w:t>
            </w:r>
          </w:p>
        </w:tc>
        <w:tc>
          <w:tcPr>
            <w:tcW w:w="956" w:type="pct"/>
            <w:tcBorders>
              <w:top w:val="nil"/>
              <w:bottom w:val="single" w:sz="4" w:space="0" w:color="auto"/>
            </w:tcBorders>
            <w:shd w:val="clear" w:color="auto" w:fill="auto"/>
          </w:tcPr>
          <w:p w:rsidR="00035233" w:rsidRPr="00464F6D" w:rsidRDefault="00035233" w:rsidP="00035233">
            <w:pPr>
              <w:pStyle w:val="05Tabletext"/>
              <w:jc w:val="center"/>
            </w:pPr>
            <w:r>
              <w:t>1.19 (1.02, 1.38)</w:t>
            </w:r>
          </w:p>
        </w:tc>
        <w:tc>
          <w:tcPr>
            <w:tcW w:w="588" w:type="pct"/>
            <w:tcBorders>
              <w:top w:val="nil"/>
              <w:bottom w:val="single" w:sz="4" w:space="0" w:color="auto"/>
            </w:tcBorders>
            <w:shd w:val="clear" w:color="auto" w:fill="auto"/>
          </w:tcPr>
          <w:p w:rsidR="00035233" w:rsidRPr="00464F6D" w:rsidRDefault="00035233" w:rsidP="00035233">
            <w:pPr>
              <w:pStyle w:val="05Tabletext"/>
              <w:jc w:val="center"/>
            </w:pPr>
            <w:r>
              <w:t>0.028</w:t>
            </w:r>
          </w:p>
        </w:tc>
      </w:tr>
      <w:tr w:rsidR="00035233" w:rsidRPr="00194011" w:rsidTr="00035233">
        <w:trPr>
          <w:cantSplit/>
        </w:trPr>
        <w:tc>
          <w:tcPr>
            <w:tcW w:w="1913" w:type="pct"/>
            <w:tcBorders>
              <w:top w:val="single" w:sz="4" w:space="0" w:color="auto"/>
            </w:tcBorders>
            <w:shd w:val="clear" w:color="auto" w:fill="auto"/>
          </w:tcPr>
          <w:p w:rsidR="00035233" w:rsidRDefault="00035233" w:rsidP="00035233">
            <w:pPr>
              <w:pStyle w:val="05Tabletext"/>
            </w:pPr>
            <w:r>
              <w:t>≥1 exacerbation requiring therapeutic intervention, %</w:t>
            </w:r>
          </w:p>
        </w:tc>
        <w:tc>
          <w:tcPr>
            <w:tcW w:w="808" w:type="pct"/>
            <w:tcBorders>
              <w:top w:val="single" w:sz="4" w:space="0" w:color="auto"/>
            </w:tcBorders>
            <w:shd w:val="clear" w:color="auto" w:fill="auto"/>
          </w:tcPr>
          <w:p w:rsidR="00035233" w:rsidRPr="00464F6D" w:rsidRDefault="00035233" w:rsidP="00035233">
            <w:pPr>
              <w:pStyle w:val="05Tabletext"/>
              <w:jc w:val="center"/>
            </w:pPr>
            <w:r>
              <w:t>62</w:t>
            </w:r>
          </w:p>
        </w:tc>
        <w:tc>
          <w:tcPr>
            <w:tcW w:w="735" w:type="pct"/>
            <w:tcBorders>
              <w:top w:val="single" w:sz="4" w:space="0" w:color="auto"/>
            </w:tcBorders>
            <w:shd w:val="clear" w:color="auto" w:fill="auto"/>
          </w:tcPr>
          <w:p w:rsidR="00035233" w:rsidRPr="00464F6D" w:rsidRDefault="00035233" w:rsidP="00035233">
            <w:pPr>
              <w:pStyle w:val="05Tabletext"/>
              <w:jc w:val="center"/>
            </w:pPr>
            <w:r>
              <w:t>59</w:t>
            </w:r>
          </w:p>
        </w:tc>
        <w:tc>
          <w:tcPr>
            <w:tcW w:w="956" w:type="pct"/>
            <w:tcBorders>
              <w:top w:val="single" w:sz="4" w:space="0" w:color="auto"/>
            </w:tcBorders>
            <w:shd w:val="clear" w:color="auto" w:fill="auto"/>
          </w:tcPr>
          <w:p w:rsidR="00035233" w:rsidRPr="00464F6D" w:rsidRDefault="00035233" w:rsidP="00035233">
            <w:pPr>
              <w:pStyle w:val="05Tabletext"/>
              <w:jc w:val="center"/>
            </w:pPr>
            <w:r>
              <w:t>-</w:t>
            </w:r>
          </w:p>
        </w:tc>
        <w:tc>
          <w:tcPr>
            <w:tcW w:w="588" w:type="pct"/>
            <w:tcBorders>
              <w:top w:val="single" w:sz="4" w:space="0" w:color="auto"/>
            </w:tcBorders>
            <w:shd w:val="clear" w:color="auto" w:fill="auto"/>
          </w:tcPr>
          <w:p w:rsidR="00035233" w:rsidRPr="00464F6D" w:rsidRDefault="00035233" w:rsidP="00035233">
            <w:pPr>
              <w:pStyle w:val="05Tabletext"/>
              <w:jc w:val="center"/>
            </w:pPr>
            <w:r>
              <w:t>-</w:t>
            </w:r>
          </w:p>
        </w:tc>
      </w:tr>
      <w:tr w:rsidR="00035233" w:rsidRPr="00194011" w:rsidTr="00035233">
        <w:trPr>
          <w:cantSplit/>
        </w:trPr>
        <w:tc>
          <w:tcPr>
            <w:tcW w:w="1913" w:type="pct"/>
            <w:shd w:val="clear" w:color="auto" w:fill="auto"/>
          </w:tcPr>
          <w:p w:rsidR="00035233" w:rsidRPr="00BF243A" w:rsidRDefault="00035233" w:rsidP="00035233">
            <w:pPr>
              <w:pStyle w:val="05Tabletext"/>
            </w:pPr>
            <w:r>
              <w:t>Exacerbations requiring hospitalisation, %</w:t>
            </w:r>
          </w:p>
        </w:tc>
        <w:tc>
          <w:tcPr>
            <w:tcW w:w="808" w:type="pct"/>
            <w:shd w:val="clear" w:color="auto" w:fill="auto"/>
          </w:tcPr>
          <w:p w:rsidR="00035233" w:rsidRPr="00464F6D" w:rsidRDefault="00035233" w:rsidP="00035233">
            <w:pPr>
              <w:pStyle w:val="05Tabletext"/>
              <w:jc w:val="center"/>
            </w:pPr>
            <w:r>
              <w:t>16</w:t>
            </w:r>
          </w:p>
        </w:tc>
        <w:tc>
          <w:tcPr>
            <w:tcW w:w="735" w:type="pct"/>
            <w:shd w:val="clear" w:color="auto" w:fill="auto"/>
          </w:tcPr>
          <w:p w:rsidR="00035233" w:rsidRPr="00464F6D" w:rsidRDefault="00035233" w:rsidP="00035233">
            <w:pPr>
              <w:pStyle w:val="05Tabletext"/>
              <w:jc w:val="center"/>
            </w:pPr>
            <w:r>
              <w:t>13</w:t>
            </w:r>
          </w:p>
        </w:tc>
        <w:tc>
          <w:tcPr>
            <w:tcW w:w="956" w:type="pct"/>
            <w:shd w:val="clear" w:color="auto" w:fill="auto"/>
          </w:tcPr>
          <w:p w:rsidR="00035233" w:rsidRPr="00464F6D" w:rsidRDefault="00035233" w:rsidP="00035233">
            <w:pPr>
              <w:pStyle w:val="05Tabletext"/>
              <w:jc w:val="center"/>
            </w:pPr>
            <w:r>
              <w:t>-</w:t>
            </w:r>
          </w:p>
        </w:tc>
        <w:tc>
          <w:tcPr>
            <w:tcW w:w="588" w:type="pct"/>
            <w:shd w:val="clear" w:color="auto" w:fill="auto"/>
          </w:tcPr>
          <w:p w:rsidR="00035233" w:rsidRPr="00464F6D" w:rsidRDefault="00035233" w:rsidP="00035233">
            <w:pPr>
              <w:pStyle w:val="05Tabletext"/>
              <w:jc w:val="center"/>
            </w:pPr>
            <w:r>
              <w:t>0.085</w:t>
            </w:r>
          </w:p>
        </w:tc>
      </w:tr>
    </w:tbl>
    <w:p w:rsidR="00035233" w:rsidRDefault="00035233" w:rsidP="00035233">
      <w:pPr>
        <w:pStyle w:val="10TableorFigurefootnote"/>
      </w:pPr>
      <w:r>
        <w:t>Source: Wedzicha et al (2008), Table 3.</w:t>
      </w:r>
    </w:p>
    <w:p w:rsidR="00035233" w:rsidRPr="00453814" w:rsidRDefault="00035233" w:rsidP="00035233">
      <w:pPr>
        <w:pStyle w:val="11TableorFigurefootnotenostick"/>
      </w:pPr>
      <w:r>
        <w:t>Abbreviations: CI, confidence interval; FLU, fluticasone</w:t>
      </w:r>
      <w:r w:rsidR="00ED357B">
        <w:t xml:space="preserve"> propionate</w:t>
      </w:r>
      <w:r>
        <w:t>; HCU, healthcare utilisation; SAL, salmeterol; TIO, tiotropium.</w:t>
      </w:r>
    </w:p>
    <w:p w:rsidR="00035233" w:rsidRDefault="00035233" w:rsidP="00035233">
      <w:pPr>
        <w:pStyle w:val="BodyText"/>
      </w:pPr>
      <w:r>
        <w:t>Overall mortality was relatively high in this study compared to the COPD literature in general; however, this is likely to be attributable to a relatively severe patient population and the long length of follow</w:t>
      </w:r>
      <w:r w:rsidR="004B2947">
        <w:t xml:space="preserve"> </w:t>
      </w:r>
      <w:r>
        <w:t>up. The risk of all-cause mortality was 52% lower in the fluticasone</w:t>
      </w:r>
      <w:r w:rsidR="00ED357B">
        <w:t xml:space="preserve"> propionate</w:t>
      </w:r>
      <w:r>
        <w:t>/salmeterol treatment group, as represented by the statistically significant hazard ratio in</w:t>
      </w:r>
      <w:r w:rsidR="00E75CD2" w:rsidRPr="00E75CD2">
        <w:t xml:space="preserve"> </w:t>
      </w:r>
      <w:r w:rsidR="00E75CD2">
        <w:t>Table 3.6</w:t>
      </w:r>
      <w:r w:rsidR="00967B39">
        <w:t>7</w:t>
      </w:r>
      <w:r>
        <w:t>.</w:t>
      </w:r>
    </w:p>
    <w:p w:rsidR="00035233" w:rsidRDefault="00E75CD2" w:rsidP="00940811">
      <w:pPr>
        <w:pStyle w:val="ToR3Tableheader"/>
      </w:pPr>
      <w:bookmarkStart w:id="472" w:name="_Toc468006315"/>
      <w:bookmarkStart w:id="473" w:name="_Toc468012360"/>
      <w:bookmarkStart w:id="474" w:name="_Toc468034516"/>
      <w:bookmarkStart w:id="475" w:name="_Toc471891058"/>
      <w:bookmarkStart w:id="476" w:name="_Toc486428246"/>
      <w:r>
        <w:t>Table 3.6</w:t>
      </w:r>
      <w:r w:rsidR="00967B39">
        <w:t>7</w:t>
      </w:r>
      <w:r w:rsidR="00035233">
        <w:tab/>
        <w:t>Mortality during the study period – FLU/SAL versus TIO</w:t>
      </w:r>
      <w:bookmarkEnd w:id="472"/>
      <w:bookmarkEnd w:id="473"/>
      <w:bookmarkEnd w:id="474"/>
      <w:bookmarkEnd w:id="475"/>
      <w:bookmarkEnd w:id="47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Mortality during the study period "/>
        <w:tblDescription w:val="FLU/SAL vs TIO"/>
      </w:tblPr>
      <w:tblGrid>
        <w:gridCol w:w="2701"/>
        <w:gridCol w:w="1843"/>
        <w:gridCol w:w="1843"/>
        <w:gridCol w:w="2126"/>
        <w:gridCol w:w="1135"/>
      </w:tblGrid>
      <w:tr w:rsidR="00035233" w:rsidRPr="00F01736" w:rsidTr="00035233">
        <w:trPr>
          <w:cantSplit/>
          <w:tblHeader/>
        </w:trPr>
        <w:tc>
          <w:tcPr>
            <w:tcW w:w="1400" w:type="pct"/>
            <w:shd w:val="clear" w:color="auto" w:fill="BFBFBF"/>
          </w:tcPr>
          <w:p w:rsidR="00035233" w:rsidRPr="00F01736" w:rsidRDefault="00035233" w:rsidP="00035233">
            <w:pPr>
              <w:pStyle w:val="01TableHEADINGleftaligned"/>
            </w:pPr>
            <w:r>
              <w:t>Exacerbations</w:t>
            </w:r>
          </w:p>
        </w:tc>
        <w:tc>
          <w:tcPr>
            <w:tcW w:w="955" w:type="pct"/>
            <w:tcBorders>
              <w:right w:val="single" w:sz="4" w:space="0" w:color="auto"/>
            </w:tcBorders>
            <w:shd w:val="clear" w:color="auto" w:fill="BFBFBF"/>
          </w:tcPr>
          <w:p w:rsidR="00035233" w:rsidRPr="00F01736" w:rsidRDefault="00035233" w:rsidP="00035233">
            <w:pPr>
              <w:pStyle w:val="01TableHEADINGleftaligned"/>
              <w:ind w:left="0"/>
              <w:jc w:val="center"/>
            </w:pPr>
            <w:r>
              <w:t>FLU/SAL (n=658)</w:t>
            </w:r>
          </w:p>
        </w:tc>
        <w:tc>
          <w:tcPr>
            <w:tcW w:w="955" w:type="pct"/>
            <w:tcBorders>
              <w:left w:val="single" w:sz="4" w:space="0" w:color="auto"/>
              <w:right w:val="single" w:sz="4" w:space="0" w:color="auto"/>
            </w:tcBorders>
            <w:shd w:val="clear" w:color="auto" w:fill="BFBFBF"/>
          </w:tcPr>
          <w:p w:rsidR="00035233" w:rsidRPr="00F01736" w:rsidRDefault="00035233" w:rsidP="00035233">
            <w:pPr>
              <w:pStyle w:val="01TableHEADINGleftaligned"/>
              <w:jc w:val="center"/>
            </w:pPr>
            <w:r>
              <w:t>TIO (n=665)</w:t>
            </w:r>
          </w:p>
        </w:tc>
        <w:tc>
          <w:tcPr>
            <w:tcW w:w="1102" w:type="pct"/>
            <w:tcBorders>
              <w:left w:val="single" w:sz="4" w:space="0" w:color="auto"/>
              <w:right w:val="single" w:sz="4" w:space="0" w:color="auto"/>
            </w:tcBorders>
            <w:shd w:val="clear" w:color="auto" w:fill="BFBFBF"/>
          </w:tcPr>
          <w:p w:rsidR="00035233" w:rsidRPr="00F01736" w:rsidRDefault="00035233" w:rsidP="00035233">
            <w:pPr>
              <w:pStyle w:val="01TableHEADINGleftaligned"/>
              <w:jc w:val="center"/>
            </w:pPr>
            <w:r w:rsidRPr="00EB1A95">
              <w:t>HR</w:t>
            </w:r>
            <w:r>
              <w:t xml:space="preserve"> (95% CI)</w:t>
            </w:r>
          </w:p>
        </w:tc>
        <w:tc>
          <w:tcPr>
            <w:tcW w:w="589" w:type="pct"/>
            <w:tcBorders>
              <w:left w:val="single" w:sz="4" w:space="0" w:color="auto"/>
            </w:tcBorders>
            <w:shd w:val="clear" w:color="auto" w:fill="BFBFBF"/>
          </w:tcPr>
          <w:p w:rsidR="00035233" w:rsidRPr="00F01736" w:rsidRDefault="00035233" w:rsidP="00035233">
            <w:pPr>
              <w:pStyle w:val="01TableHEADINGleftaligned"/>
              <w:jc w:val="center"/>
            </w:pPr>
            <w:r>
              <w:t>p-value</w:t>
            </w:r>
          </w:p>
        </w:tc>
      </w:tr>
      <w:tr w:rsidR="00035233" w:rsidRPr="00194011" w:rsidTr="00035233">
        <w:trPr>
          <w:cantSplit/>
        </w:trPr>
        <w:tc>
          <w:tcPr>
            <w:tcW w:w="1400" w:type="pct"/>
            <w:tcBorders>
              <w:bottom w:val="single" w:sz="4" w:space="0" w:color="auto"/>
            </w:tcBorders>
            <w:shd w:val="clear" w:color="auto" w:fill="000000"/>
          </w:tcPr>
          <w:p w:rsidR="00035233" w:rsidRPr="00194011" w:rsidRDefault="00035233" w:rsidP="00035233">
            <w:pPr>
              <w:pStyle w:val="04Tablesubheading"/>
            </w:pPr>
          </w:p>
        </w:tc>
        <w:tc>
          <w:tcPr>
            <w:tcW w:w="955" w:type="pct"/>
            <w:tcBorders>
              <w:bottom w:val="single" w:sz="4" w:space="0" w:color="auto"/>
            </w:tcBorders>
            <w:shd w:val="clear" w:color="auto" w:fill="000000"/>
          </w:tcPr>
          <w:p w:rsidR="00035233" w:rsidRPr="00C34E40" w:rsidRDefault="00035233" w:rsidP="00035233">
            <w:pPr>
              <w:pStyle w:val="04Tablesubheading"/>
              <w:ind w:left="0"/>
            </w:pPr>
          </w:p>
        </w:tc>
        <w:tc>
          <w:tcPr>
            <w:tcW w:w="955" w:type="pct"/>
            <w:tcBorders>
              <w:bottom w:val="single" w:sz="4" w:space="0" w:color="auto"/>
            </w:tcBorders>
            <w:shd w:val="clear" w:color="auto" w:fill="000000"/>
          </w:tcPr>
          <w:p w:rsidR="00035233" w:rsidRPr="00194011" w:rsidRDefault="00035233" w:rsidP="00035233">
            <w:pPr>
              <w:pStyle w:val="04Tablesubheading"/>
              <w:ind w:right="0"/>
              <w:jc w:val="right"/>
            </w:pPr>
          </w:p>
        </w:tc>
        <w:tc>
          <w:tcPr>
            <w:tcW w:w="1102" w:type="pct"/>
            <w:tcBorders>
              <w:bottom w:val="single" w:sz="4" w:space="0" w:color="auto"/>
            </w:tcBorders>
            <w:shd w:val="clear" w:color="auto" w:fill="000000"/>
          </w:tcPr>
          <w:p w:rsidR="00035233" w:rsidRPr="00194011" w:rsidRDefault="00035233" w:rsidP="00035233">
            <w:pPr>
              <w:pStyle w:val="04Tablesubheading"/>
              <w:ind w:right="0"/>
              <w:jc w:val="right"/>
            </w:pPr>
          </w:p>
        </w:tc>
        <w:tc>
          <w:tcPr>
            <w:tcW w:w="589" w:type="pct"/>
            <w:tcBorders>
              <w:bottom w:val="single" w:sz="4" w:space="0" w:color="auto"/>
            </w:tcBorders>
            <w:shd w:val="clear" w:color="auto" w:fill="000000"/>
          </w:tcPr>
          <w:p w:rsidR="00035233" w:rsidRPr="00194011" w:rsidRDefault="00035233" w:rsidP="00035233">
            <w:pPr>
              <w:pStyle w:val="04Tablesubheading"/>
              <w:ind w:left="0"/>
            </w:pPr>
          </w:p>
        </w:tc>
      </w:tr>
      <w:tr w:rsidR="00035233" w:rsidRPr="00194011" w:rsidTr="00035233">
        <w:trPr>
          <w:cantSplit/>
        </w:trPr>
        <w:tc>
          <w:tcPr>
            <w:tcW w:w="1400" w:type="pct"/>
            <w:tcBorders>
              <w:bottom w:val="single" w:sz="4" w:space="0" w:color="auto"/>
            </w:tcBorders>
            <w:shd w:val="clear" w:color="auto" w:fill="auto"/>
          </w:tcPr>
          <w:p w:rsidR="00035233" w:rsidRPr="00BF243A" w:rsidRDefault="00035233" w:rsidP="00035233">
            <w:pPr>
              <w:pStyle w:val="05Tabletext"/>
            </w:pPr>
            <w:r>
              <w:t>Mortality, n (%)</w:t>
            </w:r>
          </w:p>
        </w:tc>
        <w:tc>
          <w:tcPr>
            <w:tcW w:w="955" w:type="pct"/>
            <w:tcBorders>
              <w:bottom w:val="single" w:sz="4" w:space="0" w:color="auto"/>
            </w:tcBorders>
            <w:shd w:val="clear" w:color="auto" w:fill="auto"/>
          </w:tcPr>
          <w:p w:rsidR="00035233" w:rsidRPr="00464F6D" w:rsidRDefault="00035233" w:rsidP="00035233">
            <w:pPr>
              <w:pStyle w:val="05Tabletext"/>
              <w:jc w:val="center"/>
            </w:pPr>
            <w:r>
              <w:t>21 (3)</w:t>
            </w:r>
          </w:p>
        </w:tc>
        <w:tc>
          <w:tcPr>
            <w:tcW w:w="955" w:type="pct"/>
            <w:tcBorders>
              <w:bottom w:val="single" w:sz="4" w:space="0" w:color="auto"/>
            </w:tcBorders>
            <w:shd w:val="clear" w:color="auto" w:fill="auto"/>
          </w:tcPr>
          <w:p w:rsidR="00035233" w:rsidRPr="00194011" w:rsidRDefault="00035233" w:rsidP="00035233">
            <w:pPr>
              <w:pStyle w:val="05Tabletext"/>
              <w:jc w:val="center"/>
            </w:pPr>
            <w:r>
              <w:t>38 (6)</w:t>
            </w:r>
          </w:p>
        </w:tc>
        <w:tc>
          <w:tcPr>
            <w:tcW w:w="1102" w:type="pct"/>
            <w:tcBorders>
              <w:bottom w:val="single" w:sz="4" w:space="0" w:color="auto"/>
            </w:tcBorders>
            <w:shd w:val="clear" w:color="auto" w:fill="auto"/>
          </w:tcPr>
          <w:p w:rsidR="00035233" w:rsidRPr="00194011" w:rsidRDefault="00035233" w:rsidP="00035233">
            <w:pPr>
              <w:pStyle w:val="05Tabletext"/>
              <w:jc w:val="center"/>
            </w:pPr>
            <w:r>
              <w:t>0.48 (0.27, 0.85)</w:t>
            </w:r>
          </w:p>
        </w:tc>
        <w:tc>
          <w:tcPr>
            <w:tcW w:w="589" w:type="pct"/>
            <w:tcBorders>
              <w:bottom w:val="single" w:sz="4" w:space="0" w:color="auto"/>
            </w:tcBorders>
            <w:shd w:val="clear" w:color="auto" w:fill="auto"/>
          </w:tcPr>
          <w:p w:rsidR="00035233" w:rsidRPr="00194011" w:rsidRDefault="00035233" w:rsidP="00035233">
            <w:pPr>
              <w:pStyle w:val="05Tabletext"/>
              <w:jc w:val="center"/>
            </w:pPr>
            <w:r>
              <w:t>0.012</w:t>
            </w:r>
          </w:p>
        </w:tc>
      </w:tr>
    </w:tbl>
    <w:p w:rsidR="00035233" w:rsidRDefault="00035233" w:rsidP="00035233">
      <w:pPr>
        <w:pStyle w:val="10TableorFigurefootnote"/>
      </w:pPr>
      <w:r>
        <w:t>Source: Wedzicha et al (2008), p 22.</w:t>
      </w:r>
    </w:p>
    <w:p w:rsidR="00035233" w:rsidRDefault="00035233" w:rsidP="00035233">
      <w:pPr>
        <w:pStyle w:val="10TableorFigurefootnote"/>
      </w:pPr>
      <w:r>
        <w:t>Note: Time to death on treatment was analysed using the Cox proportional hazards model.</w:t>
      </w:r>
    </w:p>
    <w:p w:rsidR="00035233" w:rsidRPr="00375CF6" w:rsidRDefault="00035233" w:rsidP="00035233">
      <w:pPr>
        <w:pStyle w:val="11TableorFigurefootnotenostick"/>
      </w:pPr>
      <w:r>
        <w:t>Abbreviations: CI, confidence interval; FLU, fluticasone</w:t>
      </w:r>
      <w:r w:rsidR="00ED357B">
        <w:t xml:space="preserve"> propionate</w:t>
      </w:r>
      <w:r>
        <w:t>; HR, hazard ratio; SAL, salmeterol; TIO, tiotropium.</w:t>
      </w:r>
    </w:p>
    <w:p w:rsidR="00035233" w:rsidRPr="00034350" w:rsidRDefault="00035233" w:rsidP="00035233">
      <w:pPr>
        <w:pStyle w:val="BodyText"/>
      </w:pPr>
      <w:r>
        <w:t xml:space="preserve">As shown in </w:t>
      </w:r>
      <w:r w:rsidR="00E75CD2">
        <w:t>Table 3.6</w:t>
      </w:r>
      <w:r w:rsidR="00967B39">
        <w:t>8</w:t>
      </w:r>
      <w:r>
        <w:t xml:space="preserve">, the overall incidence of </w:t>
      </w:r>
      <w:r w:rsidR="00D72F75">
        <w:t>AE</w:t>
      </w:r>
      <w:r>
        <w:t>s was similar for fluticasone</w:t>
      </w:r>
      <w:r w:rsidR="00ED357B">
        <w:t xml:space="preserve"> propionate</w:t>
      </w:r>
      <w:r>
        <w:t xml:space="preserve">/salmeterol (66%) and tiotropium (62%). Importantly, pneumonia was reported during treatment in 8% and 4% of patients, respectively, and the hazard ratio for time to </w:t>
      </w:r>
      <w:r>
        <w:lastRenderedPageBreak/>
        <w:t>reported pneumonia (1.94; 95% CI: 1.19, 3.17) indicated a significant benefit of tiotropium in terms of pneumonia risk.</w:t>
      </w:r>
    </w:p>
    <w:p w:rsidR="00035233" w:rsidRDefault="00E75CD2" w:rsidP="00940811">
      <w:pPr>
        <w:pStyle w:val="ToR3Tableheader"/>
      </w:pPr>
      <w:bookmarkStart w:id="477" w:name="_Toc468006316"/>
      <w:bookmarkStart w:id="478" w:name="_Toc468012361"/>
      <w:bookmarkStart w:id="479" w:name="_Toc468034517"/>
      <w:bookmarkStart w:id="480" w:name="_Toc471891059"/>
      <w:bookmarkStart w:id="481" w:name="_Toc486428247"/>
      <w:r>
        <w:t>Table 3.6</w:t>
      </w:r>
      <w:r w:rsidR="00967B39">
        <w:t>8</w:t>
      </w:r>
      <w:r w:rsidR="00035233">
        <w:tab/>
        <w:t>Summary of mortality and safety outcomes in the ITT population – FLU/SAL vs TIO</w:t>
      </w:r>
      <w:bookmarkEnd w:id="477"/>
      <w:bookmarkEnd w:id="478"/>
      <w:bookmarkEnd w:id="479"/>
      <w:bookmarkEnd w:id="480"/>
      <w:bookmarkEnd w:id="48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Caption w:val="Summary of mortality and safety outcomes in the ITT population "/>
        <w:tblDescription w:val="FLU/SAL vs TIO"/>
      </w:tblPr>
      <w:tblGrid>
        <w:gridCol w:w="4258"/>
        <w:gridCol w:w="2696"/>
        <w:gridCol w:w="2694"/>
      </w:tblGrid>
      <w:tr w:rsidR="00035233" w:rsidRPr="00194011" w:rsidTr="00035233">
        <w:trPr>
          <w:cantSplit/>
          <w:tblHeader/>
        </w:trPr>
        <w:tc>
          <w:tcPr>
            <w:tcW w:w="2207" w:type="pct"/>
            <w:tcBorders>
              <w:bottom w:val="single" w:sz="4" w:space="0" w:color="auto"/>
            </w:tcBorders>
            <w:shd w:val="clear" w:color="auto" w:fill="BFBFBF"/>
          </w:tcPr>
          <w:p w:rsidR="00035233" w:rsidRPr="00194011" w:rsidRDefault="00035233" w:rsidP="00035233">
            <w:pPr>
              <w:pStyle w:val="01TableHEADINGleftaligned"/>
              <w:rPr>
                <w:i/>
              </w:rPr>
            </w:pPr>
            <w:r>
              <w:t>Safety outcome</w:t>
            </w:r>
          </w:p>
        </w:tc>
        <w:tc>
          <w:tcPr>
            <w:tcW w:w="1397" w:type="pct"/>
            <w:tcBorders>
              <w:bottom w:val="single" w:sz="4" w:space="0" w:color="auto"/>
            </w:tcBorders>
            <w:shd w:val="clear" w:color="auto" w:fill="BFBFBF"/>
          </w:tcPr>
          <w:p w:rsidR="00035233" w:rsidRPr="00194011" w:rsidRDefault="00035233" w:rsidP="00035233">
            <w:pPr>
              <w:pStyle w:val="01TableHEADINGleftaligned"/>
              <w:jc w:val="center"/>
            </w:pPr>
            <w:r>
              <w:t>FLU/SAL (N=658)</w:t>
            </w:r>
          </w:p>
        </w:tc>
        <w:tc>
          <w:tcPr>
            <w:tcW w:w="1396" w:type="pct"/>
            <w:tcBorders>
              <w:bottom w:val="single" w:sz="4" w:space="0" w:color="auto"/>
            </w:tcBorders>
            <w:shd w:val="clear" w:color="auto" w:fill="BFBFBF"/>
          </w:tcPr>
          <w:p w:rsidR="00035233" w:rsidRDefault="00035233" w:rsidP="00035233">
            <w:pPr>
              <w:pStyle w:val="01TableHEADINGleftaligned"/>
              <w:jc w:val="center"/>
            </w:pPr>
            <w:r>
              <w:t>TIO (N=665)</w:t>
            </w:r>
          </w:p>
        </w:tc>
      </w:tr>
      <w:tr w:rsidR="00035233" w:rsidRPr="00194011" w:rsidTr="00035233">
        <w:trPr>
          <w:cantSplit/>
        </w:trPr>
        <w:tc>
          <w:tcPr>
            <w:tcW w:w="2207" w:type="pct"/>
            <w:tcBorders>
              <w:bottom w:val="nil"/>
            </w:tcBorders>
            <w:shd w:val="clear" w:color="auto" w:fill="auto"/>
          </w:tcPr>
          <w:p w:rsidR="00035233" w:rsidRPr="00E44B3E" w:rsidRDefault="00035233" w:rsidP="00035233">
            <w:pPr>
              <w:pStyle w:val="05Tabletext"/>
            </w:pPr>
            <w:r>
              <w:t>All-cause mortality, n (%)</w:t>
            </w:r>
          </w:p>
        </w:tc>
        <w:tc>
          <w:tcPr>
            <w:tcW w:w="1397" w:type="pct"/>
            <w:tcBorders>
              <w:bottom w:val="nil"/>
            </w:tcBorders>
            <w:shd w:val="clear" w:color="auto" w:fill="auto"/>
          </w:tcPr>
          <w:p w:rsidR="00035233" w:rsidRPr="00194011" w:rsidRDefault="00035233" w:rsidP="00035233">
            <w:pPr>
              <w:pStyle w:val="05Tabletext"/>
              <w:jc w:val="center"/>
            </w:pPr>
            <w:r>
              <w:t>21 (3)</w:t>
            </w:r>
          </w:p>
        </w:tc>
        <w:tc>
          <w:tcPr>
            <w:tcW w:w="1396" w:type="pct"/>
            <w:tcBorders>
              <w:bottom w:val="nil"/>
            </w:tcBorders>
            <w:shd w:val="clear" w:color="auto" w:fill="auto"/>
          </w:tcPr>
          <w:p w:rsidR="00035233" w:rsidRPr="00BD6442" w:rsidRDefault="00035233" w:rsidP="00035233">
            <w:pPr>
              <w:pStyle w:val="05Tabletext"/>
              <w:jc w:val="center"/>
            </w:pPr>
            <w:r>
              <w:t>38 (6)</w:t>
            </w:r>
          </w:p>
        </w:tc>
      </w:tr>
      <w:tr w:rsidR="00035233" w:rsidRPr="00194011" w:rsidTr="00035233">
        <w:trPr>
          <w:cantSplit/>
        </w:trPr>
        <w:tc>
          <w:tcPr>
            <w:tcW w:w="2207" w:type="pct"/>
            <w:tcBorders>
              <w:top w:val="nil"/>
              <w:bottom w:val="single" w:sz="4" w:space="0" w:color="auto"/>
            </w:tcBorders>
            <w:shd w:val="clear" w:color="auto" w:fill="auto"/>
          </w:tcPr>
          <w:p w:rsidR="00035233" w:rsidRDefault="00035233" w:rsidP="00035233">
            <w:pPr>
              <w:pStyle w:val="05Tabletext"/>
              <w:ind w:firstLine="232"/>
            </w:pPr>
            <w:r>
              <w:t>During treatment</w:t>
            </w:r>
          </w:p>
        </w:tc>
        <w:tc>
          <w:tcPr>
            <w:tcW w:w="1397" w:type="pct"/>
            <w:tcBorders>
              <w:top w:val="nil"/>
              <w:bottom w:val="single" w:sz="4" w:space="0" w:color="auto"/>
            </w:tcBorders>
            <w:shd w:val="clear" w:color="auto" w:fill="auto"/>
          </w:tcPr>
          <w:p w:rsidR="00035233" w:rsidRPr="00194011" w:rsidRDefault="00035233" w:rsidP="00035233">
            <w:pPr>
              <w:pStyle w:val="05Tabletext"/>
              <w:jc w:val="center"/>
            </w:pPr>
            <w:r>
              <w:t>18 (3)</w:t>
            </w:r>
          </w:p>
        </w:tc>
        <w:tc>
          <w:tcPr>
            <w:tcW w:w="1396" w:type="pct"/>
            <w:tcBorders>
              <w:top w:val="nil"/>
              <w:bottom w:val="single" w:sz="4" w:space="0" w:color="auto"/>
            </w:tcBorders>
            <w:shd w:val="clear" w:color="auto" w:fill="auto"/>
          </w:tcPr>
          <w:p w:rsidR="00035233" w:rsidRPr="00BD6442" w:rsidRDefault="00035233" w:rsidP="00035233">
            <w:pPr>
              <w:pStyle w:val="05Tabletext"/>
              <w:jc w:val="center"/>
            </w:pPr>
            <w:r>
              <w:t>34 (5)</w:t>
            </w:r>
          </w:p>
        </w:tc>
      </w:tr>
      <w:tr w:rsidR="00035233" w:rsidRPr="00194011" w:rsidTr="00035233">
        <w:trPr>
          <w:cantSplit/>
        </w:trPr>
        <w:tc>
          <w:tcPr>
            <w:tcW w:w="2207" w:type="pct"/>
            <w:tcBorders>
              <w:bottom w:val="nil"/>
            </w:tcBorders>
            <w:shd w:val="clear" w:color="auto" w:fill="auto"/>
          </w:tcPr>
          <w:p w:rsidR="00035233" w:rsidRPr="006E27DA" w:rsidRDefault="00035233" w:rsidP="00035233">
            <w:pPr>
              <w:pStyle w:val="05Tabletext"/>
              <w:rPr>
                <w:vertAlign w:val="superscript"/>
              </w:rPr>
            </w:pPr>
            <w:r>
              <w:t>Event associated with death</w:t>
            </w:r>
            <w:r>
              <w:rPr>
                <w:vertAlign w:val="superscript"/>
              </w:rPr>
              <w:t>a</w:t>
            </w:r>
            <w:r>
              <w:t>, n (%)</w:t>
            </w:r>
          </w:p>
        </w:tc>
        <w:tc>
          <w:tcPr>
            <w:tcW w:w="1397" w:type="pct"/>
            <w:tcBorders>
              <w:bottom w:val="nil"/>
            </w:tcBorders>
            <w:shd w:val="clear" w:color="auto" w:fill="auto"/>
          </w:tcPr>
          <w:p w:rsidR="00035233" w:rsidRPr="00194011" w:rsidRDefault="00035233" w:rsidP="00035233">
            <w:pPr>
              <w:pStyle w:val="05Tabletext"/>
              <w:jc w:val="center"/>
            </w:pPr>
            <w:r>
              <w:t>-</w:t>
            </w:r>
          </w:p>
        </w:tc>
        <w:tc>
          <w:tcPr>
            <w:tcW w:w="1396" w:type="pct"/>
            <w:tcBorders>
              <w:bottom w:val="nil"/>
            </w:tcBorders>
            <w:shd w:val="clear" w:color="auto" w:fill="auto"/>
          </w:tcPr>
          <w:p w:rsidR="00035233" w:rsidRPr="00BD6442" w:rsidRDefault="00035233" w:rsidP="00035233">
            <w:pPr>
              <w:pStyle w:val="05Tabletext"/>
              <w:jc w:val="center"/>
            </w:pPr>
            <w:r>
              <w:t>-</w:t>
            </w:r>
          </w:p>
        </w:tc>
      </w:tr>
      <w:tr w:rsidR="00035233" w:rsidRPr="00194011" w:rsidTr="00035233">
        <w:trPr>
          <w:cantSplit/>
        </w:trPr>
        <w:tc>
          <w:tcPr>
            <w:tcW w:w="2207" w:type="pct"/>
            <w:tcBorders>
              <w:top w:val="nil"/>
              <w:bottom w:val="nil"/>
            </w:tcBorders>
            <w:shd w:val="clear" w:color="auto" w:fill="auto"/>
          </w:tcPr>
          <w:p w:rsidR="00035233" w:rsidRDefault="00035233" w:rsidP="00035233">
            <w:pPr>
              <w:pStyle w:val="05Tabletext"/>
              <w:ind w:firstLine="232"/>
            </w:pPr>
            <w:r>
              <w:t>Cardiac disorders</w:t>
            </w:r>
          </w:p>
        </w:tc>
        <w:tc>
          <w:tcPr>
            <w:tcW w:w="1397" w:type="pct"/>
            <w:tcBorders>
              <w:top w:val="nil"/>
              <w:bottom w:val="nil"/>
            </w:tcBorders>
            <w:shd w:val="clear" w:color="auto" w:fill="auto"/>
          </w:tcPr>
          <w:p w:rsidR="00035233" w:rsidRPr="00194011" w:rsidRDefault="00035233" w:rsidP="00035233">
            <w:pPr>
              <w:pStyle w:val="05Tabletext"/>
              <w:jc w:val="center"/>
            </w:pPr>
            <w:r>
              <w:t>9 (1)</w:t>
            </w:r>
          </w:p>
        </w:tc>
        <w:tc>
          <w:tcPr>
            <w:tcW w:w="1396" w:type="pct"/>
            <w:tcBorders>
              <w:top w:val="nil"/>
              <w:bottom w:val="nil"/>
            </w:tcBorders>
            <w:shd w:val="clear" w:color="auto" w:fill="auto"/>
          </w:tcPr>
          <w:p w:rsidR="00035233" w:rsidRPr="00BD6442" w:rsidRDefault="00035233" w:rsidP="00035233">
            <w:pPr>
              <w:pStyle w:val="05Tabletext"/>
              <w:jc w:val="center"/>
            </w:pPr>
            <w:r>
              <w:t>19 (3)</w:t>
            </w:r>
          </w:p>
        </w:tc>
      </w:tr>
      <w:tr w:rsidR="00035233" w:rsidRPr="00194011" w:rsidTr="00035233">
        <w:trPr>
          <w:cantSplit/>
        </w:trPr>
        <w:tc>
          <w:tcPr>
            <w:tcW w:w="2207" w:type="pct"/>
            <w:tcBorders>
              <w:top w:val="nil"/>
              <w:bottom w:val="nil"/>
            </w:tcBorders>
            <w:shd w:val="clear" w:color="auto" w:fill="auto"/>
          </w:tcPr>
          <w:p w:rsidR="00035233" w:rsidRDefault="00035233" w:rsidP="00035233">
            <w:pPr>
              <w:pStyle w:val="05Tabletext"/>
              <w:ind w:firstLine="232"/>
            </w:pPr>
            <w:r>
              <w:t>Respiratory, thoracic and mediastinal disorders</w:t>
            </w:r>
          </w:p>
        </w:tc>
        <w:tc>
          <w:tcPr>
            <w:tcW w:w="1397" w:type="pct"/>
            <w:tcBorders>
              <w:top w:val="nil"/>
              <w:bottom w:val="nil"/>
            </w:tcBorders>
            <w:shd w:val="clear" w:color="auto" w:fill="auto"/>
          </w:tcPr>
          <w:p w:rsidR="00035233" w:rsidRPr="00194011" w:rsidRDefault="00035233" w:rsidP="00035233">
            <w:pPr>
              <w:pStyle w:val="05Tabletext"/>
              <w:jc w:val="center"/>
            </w:pPr>
            <w:r>
              <w:t>5 (&lt;1)</w:t>
            </w:r>
          </w:p>
        </w:tc>
        <w:tc>
          <w:tcPr>
            <w:tcW w:w="1396" w:type="pct"/>
            <w:tcBorders>
              <w:top w:val="nil"/>
              <w:bottom w:val="nil"/>
            </w:tcBorders>
            <w:shd w:val="clear" w:color="auto" w:fill="auto"/>
          </w:tcPr>
          <w:p w:rsidR="00035233" w:rsidRPr="00BD6442" w:rsidRDefault="00035233" w:rsidP="00035233">
            <w:pPr>
              <w:pStyle w:val="05Tabletext"/>
              <w:jc w:val="center"/>
            </w:pPr>
            <w:r>
              <w:t>6 (&lt;1)</w:t>
            </w:r>
          </w:p>
        </w:tc>
      </w:tr>
      <w:tr w:rsidR="00035233" w:rsidRPr="00194011" w:rsidTr="00035233">
        <w:trPr>
          <w:cantSplit/>
        </w:trPr>
        <w:tc>
          <w:tcPr>
            <w:tcW w:w="2207" w:type="pct"/>
            <w:tcBorders>
              <w:top w:val="nil"/>
              <w:bottom w:val="nil"/>
            </w:tcBorders>
            <w:shd w:val="clear" w:color="auto" w:fill="auto"/>
          </w:tcPr>
          <w:p w:rsidR="00035233" w:rsidRDefault="00035233" w:rsidP="00035233">
            <w:pPr>
              <w:pStyle w:val="05Tabletext"/>
              <w:ind w:firstLine="232"/>
            </w:pPr>
            <w:r>
              <w:t>Neoplasms benign, malignant and unspecified</w:t>
            </w:r>
          </w:p>
        </w:tc>
        <w:tc>
          <w:tcPr>
            <w:tcW w:w="1397" w:type="pct"/>
            <w:tcBorders>
              <w:top w:val="nil"/>
              <w:bottom w:val="nil"/>
            </w:tcBorders>
            <w:shd w:val="clear" w:color="auto" w:fill="auto"/>
          </w:tcPr>
          <w:p w:rsidR="00035233" w:rsidRPr="00194011" w:rsidRDefault="00035233" w:rsidP="00035233">
            <w:pPr>
              <w:pStyle w:val="05Tabletext"/>
              <w:jc w:val="center"/>
            </w:pPr>
            <w:r>
              <w:t>2 (&lt;1)</w:t>
            </w:r>
          </w:p>
        </w:tc>
        <w:tc>
          <w:tcPr>
            <w:tcW w:w="1396" w:type="pct"/>
            <w:tcBorders>
              <w:top w:val="nil"/>
              <w:bottom w:val="nil"/>
            </w:tcBorders>
            <w:shd w:val="clear" w:color="auto" w:fill="auto"/>
          </w:tcPr>
          <w:p w:rsidR="00035233" w:rsidRPr="00BD6442" w:rsidRDefault="00035233" w:rsidP="00035233">
            <w:pPr>
              <w:pStyle w:val="05Tabletext"/>
              <w:jc w:val="center"/>
            </w:pPr>
            <w:r>
              <w:t xml:space="preserve">7 (1) </w:t>
            </w:r>
          </w:p>
        </w:tc>
      </w:tr>
      <w:tr w:rsidR="00035233" w:rsidRPr="00194011" w:rsidTr="00035233">
        <w:trPr>
          <w:cantSplit/>
        </w:trPr>
        <w:tc>
          <w:tcPr>
            <w:tcW w:w="2207" w:type="pct"/>
            <w:tcBorders>
              <w:top w:val="nil"/>
              <w:bottom w:val="nil"/>
            </w:tcBorders>
            <w:shd w:val="clear" w:color="auto" w:fill="auto"/>
          </w:tcPr>
          <w:p w:rsidR="00035233" w:rsidRDefault="00035233" w:rsidP="00035233">
            <w:pPr>
              <w:pStyle w:val="05Tabletext"/>
              <w:ind w:firstLine="232"/>
            </w:pPr>
            <w:r>
              <w:t>General disorders and administration site conditions</w:t>
            </w:r>
          </w:p>
        </w:tc>
        <w:tc>
          <w:tcPr>
            <w:tcW w:w="1397" w:type="pct"/>
            <w:tcBorders>
              <w:top w:val="nil"/>
              <w:bottom w:val="nil"/>
            </w:tcBorders>
            <w:shd w:val="clear" w:color="auto" w:fill="auto"/>
          </w:tcPr>
          <w:p w:rsidR="00035233" w:rsidRPr="00194011" w:rsidRDefault="00035233" w:rsidP="00035233">
            <w:pPr>
              <w:pStyle w:val="05Tabletext"/>
              <w:jc w:val="center"/>
            </w:pPr>
            <w:r>
              <w:t>5 (&lt;1)</w:t>
            </w:r>
          </w:p>
        </w:tc>
        <w:tc>
          <w:tcPr>
            <w:tcW w:w="1396" w:type="pct"/>
            <w:tcBorders>
              <w:top w:val="nil"/>
              <w:bottom w:val="nil"/>
            </w:tcBorders>
            <w:shd w:val="clear" w:color="auto" w:fill="auto"/>
          </w:tcPr>
          <w:p w:rsidR="00035233" w:rsidRPr="00BD6442" w:rsidRDefault="00035233" w:rsidP="00035233">
            <w:pPr>
              <w:pStyle w:val="05Tabletext"/>
              <w:jc w:val="center"/>
            </w:pPr>
            <w:r>
              <w:t>2 (&lt;1)</w:t>
            </w:r>
          </w:p>
        </w:tc>
      </w:tr>
      <w:tr w:rsidR="00035233" w:rsidRPr="00194011" w:rsidTr="00035233">
        <w:trPr>
          <w:cantSplit/>
        </w:trPr>
        <w:tc>
          <w:tcPr>
            <w:tcW w:w="2207" w:type="pct"/>
            <w:tcBorders>
              <w:top w:val="nil"/>
              <w:bottom w:val="nil"/>
            </w:tcBorders>
            <w:shd w:val="clear" w:color="auto" w:fill="auto"/>
          </w:tcPr>
          <w:p w:rsidR="00035233" w:rsidRDefault="00035233" w:rsidP="00035233">
            <w:pPr>
              <w:pStyle w:val="05Tabletext"/>
              <w:ind w:firstLine="232"/>
            </w:pPr>
            <w:r>
              <w:t>Infections and infestations</w:t>
            </w:r>
          </w:p>
        </w:tc>
        <w:tc>
          <w:tcPr>
            <w:tcW w:w="1397" w:type="pct"/>
            <w:tcBorders>
              <w:top w:val="nil"/>
              <w:bottom w:val="nil"/>
            </w:tcBorders>
            <w:shd w:val="clear" w:color="auto" w:fill="auto"/>
          </w:tcPr>
          <w:p w:rsidR="00035233" w:rsidRPr="00194011" w:rsidRDefault="00035233" w:rsidP="00035233">
            <w:pPr>
              <w:pStyle w:val="05Tabletext"/>
              <w:jc w:val="center"/>
            </w:pPr>
            <w:r>
              <w:t>4 (&lt;1)</w:t>
            </w:r>
          </w:p>
        </w:tc>
        <w:tc>
          <w:tcPr>
            <w:tcW w:w="1396" w:type="pct"/>
            <w:tcBorders>
              <w:top w:val="nil"/>
              <w:bottom w:val="nil"/>
            </w:tcBorders>
            <w:shd w:val="clear" w:color="auto" w:fill="auto"/>
          </w:tcPr>
          <w:p w:rsidR="00035233" w:rsidRPr="00BD6442" w:rsidRDefault="00035233" w:rsidP="00035233">
            <w:pPr>
              <w:pStyle w:val="05Tabletext"/>
              <w:jc w:val="center"/>
            </w:pPr>
            <w:r>
              <w:t>0</w:t>
            </w:r>
          </w:p>
        </w:tc>
      </w:tr>
      <w:tr w:rsidR="00035233" w:rsidRPr="00194011" w:rsidTr="00035233">
        <w:trPr>
          <w:cantSplit/>
        </w:trPr>
        <w:tc>
          <w:tcPr>
            <w:tcW w:w="2207" w:type="pct"/>
            <w:tcBorders>
              <w:top w:val="nil"/>
              <w:bottom w:val="nil"/>
            </w:tcBorders>
            <w:shd w:val="clear" w:color="auto" w:fill="auto"/>
          </w:tcPr>
          <w:p w:rsidR="00035233" w:rsidRDefault="00035233" w:rsidP="00035233">
            <w:pPr>
              <w:pStyle w:val="05Tabletext"/>
              <w:ind w:firstLine="232"/>
            </w:pPr>
            <w:r>
              <w:t>Nervous system disorders</w:t>
            </w:r>
          </w:p>
        </w:tc>
        <w:tc>
          <w:tcPr>
            <w:tcW w:w="1397" w:type="pct"/>
            <w:tcBorders>
              <w:top w:val="nil"/>
              <w:bottom w:val="nil"/>
            </w:tcBorders>
            <w:shd w:val="clear" w:color="auto" w:fill="auto"/>
          </w:tcPr>
          <w:p w:rsidR="00035233" w:rsidRPr="00194011" w:rsidRDefault="00035233" w:rsidP="00035233">
            <w:pPr>
              <w:pStyle w:val="05Tabletext"/>
              <w:jc w:val="center"/>
            </w:pPr>
            <w:r>
              <w:t>1 (&lt;1)</w:t>
            </w:r>
          </w:p>
        </w:tc>
        <w:tc>
          <w:tcPr>
            <w:tcW w:w="1396" w:type="pct"/>
            <w:tcBorders>
              <w:top w:val="nil"/>
              <w:bottom w:val="nil"/>
            </w:tcBorders>
            <w:shd w:val="clear" w:color="auto" w:fill="auto"/>
          </w:tcPr>
          <w:p w:rsidR="00035233" w:rsidRPr="00BD6442" w:rsidRDefault="00035233" w:rsidP="00035233">
            <w:pPr>
              <w:pStyle w:val="05Tabletext"/>
              <w:jc w:val="center"/>
            </w:pPr>
            <w:r>
              <w:t>2 (&lt;1)</w:t>
            </w:r>
          </w:p>
        </w:tc>
      </w:tr>
      <w:tr w:rsidR="00035233" w:rsidRPr="00194011" w:rsidTr="00035233">
        <w:trPr>
          <w:cantSplit/>
        </w:trPr>
        <w:tc>
          <w:tcPr>
            <w:tcW w:w="2207" w:type="pct"/>
            <w:tcBorders>
              <w:top w:val="nil"/>
              <w:bottom w:val="nil"/>
            </w:tcBorders>
            <w:shd w:val="clear" w:color="auto" w:fill="auto"/>
          </w:tcPr>
          <w:p w:rsidR="00035233" w:rsidRDefault="00035233" w:rsidP="00035233">
            <w:pPr>
              <w:pStyle w:val="05Tabletext"/>
              <w:ind w:firstLine="232"/>
            </w:pPr>
            <w:r>
              <w:t>Vascular disorders</w:t>
            </w:r>
          </w:p>
        </w:tc>
        <w:tc>
          <w:tcPr>
            <w:tcW w:w="1397" w:type="pct"/>
            <w:tcBorders>
              <w:top w:val="nil"/>
              <w:bottom w:val="nil"/>
            </w:tcBorders>
            <w:shd w:val="clear" w:color="auto" w:fill="auto"/>
          </w:tcPr>
          <w:p w:rsidR="00035233" w:rsidRPr="00194011" w:rsidRDefault="00035233" w:rsidP="00035233">
            <w:pPr>
              <w:pStyle w:val="05Tabletext"/>
              <w:jc w:val="center"/>
            </w:pPr>
            <w:r>
              <w:t>2 (&lt;1)</w:t>
            </w:r>
          </w:p>
        </w:tc>
        <w:tc>
          <w:tcPr>
            <w:tcW w:w="1396" w:type="pct"/>
            <w:tcBorders>
              <w:top w:val="nil"/>
              <w:bottom w:val="nil"/>
            </w:tcBorders>
            <w:shd w:val="clear" w:color="auto" w:fill="auto"/>
          </w:tcPr>
          <w:p w:rsidR="00035233" w:rsidRPr="00BD6442" w:rsidRDefault="00035233" w:rsidP="00035233">
            <w:pPr>
              <w:pStyle w:val="05Tabletext"/>
              <w:jc w:val="center"/>
            </w:pPr>
            <w:r>
              <w:t>0</w:t>
            </w:r>
          </w:p>
        </w:tc>
      </w:tr>
      <w:tr w:rsidR="00035233" w:rsidRPr="00194011" w:rsidTr="00035233">
        <w:trPr>
          <w:cantSplit/>
        </w:trPr>
        <w:tc>
          <w:tcPr>
            <w:tcW w:w="2207" w:type="pct"/>
            <w:tcBorders>
              <w:top w:val="nil"/>
              <w:bottom w:val="nil"/>
            </w:tcBorders>
            <w:shd w:val="clear" w:color="auto" w:fill="auto"/>
          </w:tcPr>
          <w:p w:rsidR="00035233" w:rsidRDefault="00035233" w:rsidP="00035233">
            <w:pPr>
              <w:pStyle w:val="05Tabletext"/>
              <w:ind w:firstLine="232"/>
            </w:pPr>
            <w:r>
              <w:t>Gastrointestinal disorders</w:t>
            </w:r>
          </w:p>
        </w:tc>
        <w:tc>
          <w:tcPr>
            <w:tcW w:w="1397" w:type="pct"/>
            <w:tcBorders>
              <w:top w:val="nil"/>
              <w:bottom w:val="nil"/>
            </w:tcBorders>
            <w:shd w:val="clear" w:color="auto" w:fill="auto"/>
          </w:tcPr>
          <w:p w:rsidR="00035233" w:rsidRPr="00194011" w:rsidRDefault="00035233" w:rsidP="00035233">
            <w:pPr>
              <w:pStyle w:val="05Tabletext"/>
              <w:jc w:val="center"/>
            </w:pPr>
            <w:r>
              <w:t>0</w:t>
            </w:r>
          </w:p>
        </w:tc>
        <w:tc>
          <w:tcPr>
            <w:tcW w:w="1396" w:type="pct"/>
            <w:tcBorders>
              <w:top w:val="nil"/>
              <w:bottom w:val="nil"/>
            </w:tcBorders>
            <w:shd w:val="clear" w:color="auto" w:fill="auto"/>
          </w:tcPr>
          <w:p w:rsidR="00035233" w:rsidRPr="00BD6442" w:rsidRDefault="00035233" w:rsidP="00035233">
            <w:pPr>
              <w:pStyle w:val="05Tabletext"/>
              <w:jc w:val="center"/>
            </w:pPr>
            <w:r>
              <w:t>1 (&lt;1)</w:t>
            </w:r>
          </w:p>
        </w:tc>
      </w:tr>
      <w:tr w:rsidR="00035233" w:rsidRPr="00194011" w:rsidTr="00035233">
        <w:trPr>
          <w:cantSplit/>
        </w:trPr>
        <w:tc>
          <w:tcPr>
            <w:tcW w:w="2207" w:type="pct"/>
            <w:tcBorders>
              <w:top w:val="nil"/>
              <w:bottom w:val="single" w:sz="4" w:space="0" w:color="auto"/>
            </w:tcBorders>
            <w:shd w:val="clear" w:color="auto" w:fill="auto"/>
          </w:tcPr>
          <w:p w:rsidR="00035233" w:rsidRDefault="00035233" w:rsidP="00035233">
            <w:pPr>
              <w:pStyle w:val="05Tabletext"/>
              <w:ind w:firstLine="232"/>
            </w:pPr>
            <w:r>
              <w:t>Hepatobiliary disorders</w:t>
            </w:r>
          </w:p>
        </w:tc>
        <w:tc>
          <w:tcPr>
            <w:tcW w:w="1397" w:type="pct"/>
            <w:tcBorders>
              <w:top w:val="nil"/>
              <w:bottom w:val="single" w:sz="4" w:space="0" w:color="auto"/>
            </w:tcBorders>
            <w:shd w:val="clear" w:color="auto" w:fill="auto"/>
          </w:tcPr>
          <w:p w:rsidR="00035233" w:rsidRPr="00194011" w:rsidRDefault="00035233" w:rsidP="00035233">
            <w:pPr>
              <w:pStyle w:val="05Tabletext"/>
              <w:jc w:val="center"/>
            </w:pPr>
            <w:r>
              <w:t>1 (&lt;1)</w:t>
            </w:r>
          </w:p>
        </w:tc>
        <w:tc>
          <w:tcPr>
            <w:tcW w:w="1396" w:type="pct"/>
            <w:tcBorders>
              <w:top w:val="nil"/>
              <w:bottom w:val="single" w:sz="4" w:space="0" w:color="auto"/>
            </w:tcBorders>
            <w:shd w:val="clear" w:color="auto" w:fill="auto"/>
          </w:tcPr>
          <w:p w:rsidR="00035233" w:rsidRPr="00BD6442" w:rsidRDefault="00035233" w:rsidP="00035233">
            <w:pPr>
              <w:pStyle w:val="05Tabletext"/>
              <w:jc w:val="center"/>
            </w:pPr>
            <w:r>
              <w:t>0</w:t>
            </w:r>
          </w:p>
        </w:tc>
      </w:tr>
      <w:tr w:rsidR="00035233" w:rsidRPr="00194011" w:rsidTr="00035233">
        <w:trPr>
          <w:cantSplit/>
        </w:trPr>
        <w:tc>
          <w:tcPr>
            <w:tcW w:w="2207" w:type="pct"/>
            <w:tcBorders>
              <w:bottom w:val="nil"/>
            </w:tcBorders>
            <w:shd w:val="clear" w:color="auto" w:fill="auto"/>
          </w:tcPr>
          <w:p w:rsidR="00035233" w:rsidRPr="00194011" w:rsidRDefault="00035233" w:rsidP="00035233">
            <w:pPr>
              <w:pStyle w:val="05Tabletext"/>
              <w:keepNext/>
            </w:pPr>
            <w:r>
              <w:t>Any AE, n (%)</w:t>
            </w:r>
          </w:p>
        </w:tc>
        <w:tc>
          <w:tcPr>
            <w:tcW w:w="1397" w:type="pct"/>
            <w:tcBorders>
              <w:bottom w:val="nil"/>
            </w:tcBorders>
            <w:shd w:val="clear" w:color="auto" w:fill="auto"/>
          </w:tcPr>
          <w:p w:rsidR="00035233" w:rsidRPr="00194011" w:rsidRDefault="00035233" w:rsidP="00035233">
            <w:pPr>
              <w:pStyle w:val="05Tabletext"/>
              <w:jc w:val="center"/>
            </w:pPr>
            <w:r>
              <w:t>435 (66)</w:t>
            </w:r>
          </w:p>
        </w:tc>
        <w:tc>
          <w:tcPr>
            <w:tcW w:w="1396" w:type="pct"/>
            <w:tcBorders>
              <w:bottom w:val="nil"/>
            </w:tcBorders>
            <w:shd w:val="clear" w:color="auto" w:fill="auto"/>
          </w:tcPr>
          <w:p w:rsidR="00035233" w:rsidRPr="00194011" w:rsidRDefault="00035233" w:rsidP="00035233">
            <w:pPr>
              <w:pStyle w:val="05Tabletext"/>
              <w:jc w:val="center"/>
            </w:pPr>
            <w:r>
              <w:t>414 (62)</w:t>
            </w:r>
          </w:p>
        </w:tc>
      </w:tr>
      <w:tr w:rsidR="00035233" w:rsidRPr="00194011" w:rsidTr="00035233">
        <w:trPr>
          <w:cantSplit/>
        </w:trPr>
        <w:tc>
          <w:tcPr>
            <w:tcW w:w="2207" w:type="pct"/>
            <w:tcBorders>
              <w:top w:val="nil"/>
              <w:bottom w:val="nil"/>
            </w:tcBorders>
            <w:shd w:val="clear" w:color="auto" w:fill="auto"/>
          </w:tcPr>
          <w:p w:rsidR="00035233" w:rsidRDefault="00035233" w:rsidP="00035233">
            <w:pPr>
              <w:pStyle w:val="05Tabletext"/>
              <w:ind w:firstLine="232"/>
            </w:pPr>
            <w:r>
              <w:t>COPD exacerbation</w:t>
            </w:r>
          </w:p>
        </w:tc>
        <w:tc>
          <w:tcPr>
            <w:tcW w:w="1397" w:type="pct"/>
            <w:tcBorders>
              <w:top w:val="nil"/>
              <w:bottom w:val="nil"/>
            </w:tcBorders>
            <w:shd w:val="clear" w:color="auto" w:fill="auto"/>
          </w:tcPr>
          <w:p w:rsidR="00035233" w:rsidRDefault="00035233" w:rsidP="00035233">
            <w:pPr>
              <w:pStyle w:val="05Tabletext"/>
              <w:jc w:val="center"/>
            </w:pPr>
            <w:r>
              <w:t>122 (19)</w:t>
            </w:r>
          </w:p>
        </w:tc>
        <w:tc>
          <w:tcPr>
            <w:tcW w:w="1396" w:type="pct"/>
            <w:tcBorders>
              <w:top w:val="nil"/>
              <w:bottom w:val="nil"/>
            </w:tcBorders>
            <w:shd w:val="clear" w:color="auto" w:fill="auto"/>
          </w:tcPr>
          <w:p w:rsidR="00035233" w:rsidRDefault="00035233" w:rsidP="00035233">
            <w:pPr>
              <w:pStyle w:val="05Tabletext"/>
              <w:jc w:val="center"/>
            </w:pPr>
            <w:r>
              <w:t>104 (16)</w:t>
            </w:r>
          </w:p>
        </w:tc>
      </w:tr>
      <w:tr w:rsidR="00035233" w:rsidRPr="00194011" w:rsidTr="00035233">
        <w:trPr>
          <w:cantSplit/>
        </w:trPr>
        <w:tc>
          <w:tcPr>
            <w:tcW w:w="2207" w:type="pct"/>
            <w:tcBorders>
              <w:top w:val="nil"/>
            </w:tcBorders>
            <w:shd w:val="clear" w:color="auto" w:fill="auto"/>
          </w:tcPr>
          <w:p w:rsidR="00035233" w:rsidRDefault="00035233" w:rsidP="00035233">
            <w:pPr>
              <w:pStyle w:val="05Tabletext"/>
              <w:ind w:left="289"/>
            </w:pPr>
            <w:r>
              <w:t>Pneumonia (including lobar pneumonia and bronchopneumonia)</w:t>
            </w:r>
          </w:p>
        </w:tc>
        <w:tc>
          <w:tcPr>
            <w:tcW w:w="1397" w:type="pct"/>
            <w:tcBorders>
              <w:top w:val="nil"/>
            </w:tcBorders>
            <w:shd w:val="clear" w:color="auto" w:fill="auto"/>
          </w:tcPr>
          <w:p w:rsidR="00035233" w:rsidRPr="00194011" w:rsidRDefault="00035233" w:rsidP="00035233">
            <w:pPr>
              <w:pStyle w:val="05Tabletext"/>
              <w:jc w:val="center"/>
            </w:pPr>
            <w:r>
              <w:t>50 (8)</w:t>
            </w:r>
          </w:p>
        </w:tc>
        <w:tc>
          <w:tcPr>
            <w:tcW w:w="1396" w:type="pct"/>
            <w:tcBorders>
              <w:top w:val="nil"/>
            </w:tcBorders>
            <w:shd w:val="clear" w:color="auto" w:fill="auto"/>
          </w:tcPr>
          <w:p w:rsidR="00035233" w:rsidRPr="00194011" w:rsidRDefault="00035233" w:rsidP="00035233">
            <w:pPr>
              <w:pStyle w:val="05Tabletext"/>
              <w:jc w:val="center"/>
            </w:pPr>
            <w:r>
              <w:t>24 (4)</w:t>
            </w:r>
          </w:p>
        </w:tc>
      </w:tr>
      <w:tr w:rsidR="00035233" w:rsidRPr="00194011" w:rsidTr="00035233">
        <w:trPr>
          <w:cantSplit/>
        </w:trPr>
        <w:tc>
          <w:tcPr>
            <w:tcW w:w="2207" w:type="pct"/>
            <w:shd w:val="clear" w:color="auto" w:fill="auto"/>
          </w:tcPr>
          <w:p w:rsidR="00035233" w:rsidRPr="003D2042" w:rsidRDefault="00035233" w:rsidP="00035233">
            <w:pPr>
              <w:pStyle w:val="05Tabletext"/>
            </w:pPr>
            <w:r>
              <w:t>Any SAE, n (%)</w:t>
            </w:r>
          </w:p>
        </w:tc>
        <w:tc>
          <w:tcPr>
            <w:tcW w:w="1397" w:type="pct"/>
            <w:shd w:val="clear" w:color="auto" w:fill="auto"/>
          </w:tcPr>
          <w:p w:rsidR="00035233" w:rsidRPr="00BD6442" w:rsidRDefault="00035233" w:rsidP="00035233">
            <w:pPr>
              <w:pStyle w:val="05Tabletext"/>
              <w:jc w:val="center"/>
            </w:pPr>
            <w:r>
              <w:t>199 (30)</w:t>
            </w:r>
          </w:p>
        </w:tc>
        <w:tc>
          <w:tcPr>
            <w:tcW w:w="1396" w:type="pct"/>
            <w:shd w:val="clear" w:color="auto" w:fill="auto"/>
          </w:tcPr>
          <w:p w:rsidR="00035233" w:rsidRPr="003D2042" w:rsidRDefault="00035233" w:rsidP="00035233">
            <w:pPr>
              <w:pStyle w:val="05Tabletext"/>
              <w:jc w:val="center"/>
            </w:pPr>
            <w:r>
              <w:t>162 (24)</w:t>
            </w:r>
          </w:p>
        </w:tc>
      </w:tr>
    </w:tbl>
    <w:p w:rsidR="00035233" w:rsidRDefault="00035233" w:rsidP="00035233">
      <w:pPr>
        <w:pStyle w:val="10TableorFigurefootnote"/>
      </w:pPr>
      <w:r>
        <w:t>Source: Wedzicha et al (2008), Table 4.</w:t>
      </w:r>
    </w:p>
    <w:p w:rsidR="00035233" w:rsidRDefault="00035233" w:rsidP="00035233">
      <w:pPr>
        <w:pStyle w:val="10TableorFigurefootnote"/>
      </w:pPr>
      <w:r>
        <w:t>Abbreviations: AE, adverse event; COPD, chronic obstructive pulmonary disease; FLU, fluticasone</w:t>
      </w:r>
      <w:r w:rsidR="00ED357B">
        <w:t xml:space="preserve"> propionate</w:t>
      </w:r>
      <w:r>
        <w:t>; SAE, serious adverse event; SAL, salmeterol; TIO, tiotropium.</w:t>
      </w:r>
    </w:p>
    <w:p w:rsidR="00035233" w:rsidRDefault="00035233" w:rsidP="00035233">
      <w:pPr>
        <w:pStyle w:val="11TableorFigurefootnotenostick"/>
      </w:pPr>
      <w:proofErr w:type="gramStart"/>
      <w:r>
        <w:rPr>
          <w:b/>
        </w:rPr>
        <w:t>a</w:t>
      </w:r>
      <w:proofErr w:type="gramEnd"/>
      <w:r>
        <w:t xml:space="preserve"> Deaths can be associated with more than one event.</w:t>
      </w:r>
    </w:p>
    <w:p w:rsidR="00035233" w:rsidRDefault="00035233" w:rsidP="00035233">
      <w:pPr>
        <w:pStyle w:val="BodyText"/>
      </w:pPr>
      <w:r>
        <w:t>Finally, it should be noted that patients randomised to tiotropium were significantly more likely to withdraw from the study than those randomised to fluticasone</w:t>
      </w:r>
      <w:r w:rsidR="00ED357B">
        <w:t xml:space="preserve"> propionate</w:t>
      </w:r>
      <w:r>
        <w:t>/salmeterol (HR: 1.29; 95% CI 1.08, 1.54); however, the likelihood of withdrawal was comparable in those who had and had not been on ICS therapy prior to baseline.</w:t>
      </w:r>
    </w:p>
    <w:p w:rsidR="00035233" w:rsidRDefault="00035233" w:rsidP="00251CB8">
      <w:pPr>
        <w:pStyle w:val="Heading5"/>
        <w:numPr>
          <w:ilvl w:val="4"/>
          <w:numId w:val="11"/>
        </w:numPr>
      </w:pPr>
      <w:r>
        <w:t>Sarac (2016)</w:t>
      </w:r>
    </w:p>
    <w:p w:rsidR="00035233" w:rsidRDefault="00035233" w:rsidP="00035233">
      <w:pPr>
        <w:pStyle w:val="BodyTextnospacebefore"/>
      </w:pPr>
      <w:r>
        <w:t>This study was a small, investigator-initiated RCT study (n=44) that also assessed the efficacy of fluticasone</w:t>
      </w:r>
      <w:r w:rsidR="00ED357B">
        <w:t xml:space="preserve"> propionate</w:t>
      </w:r>
      <w:r>
        <w:t>/salmeterol versus tiotropium with respect to exacerbation risk. Exacerbation history at baseline was similar between the two treatment groups. Patients who were randomised to fluticasone/salmeterol experienced a mean of 2.2 ±2.1 exacerbations in the previous year, compared with 1.9 ±1.4 in patients randomised to tiotropium.</w:t>
      </w:r>
    </w:p>
    <w:p w:rsidR="00035233" w:rsidRPr="009E331A" w:rsidRDefault="00035233" w:rsidP="00035233">
      <w:pPr>
        <w:pStyle w:val="BodyText"/>
      </w:pPr>
      <w:r>
        <w:t>Overall, the mean number of exacerbations experienced during the year of this study was numerically lower in the fluticasone</w:t>
      </w:r>
      <w:r w:rsidR="00ED357B">
        <w:t xml:space="preserve"> propionate</w:t>
      </w:r>
      <w:r>
        <w:t>/salmeterol treatment group; however, the difference was not statistically significant. The number of severe exacerbations was similar between the groups, though numerically lower in the fluticasone</w:t>
      </w:r>
      <w:r w:rsidR="00ED357B">
        <w:t xml:space="preserve"> propionate</w:t>
      </w:r>
      <w:r>
        <w:t>/salmeterol group.</w:t>
      </w:r>
    </w:p>
    <w:p w:rsidR="00035233" w:rsidRDefault="00E75CD2" w:rsidP="00E409CC">
      <w:pPr>
        <w:pStyle w:val="ToR3Tableheader"/>
        <w:keepLines/>
      </w:pPr>
      <w:bookmarkStart w:id="482" w:name="_Toc468006317"/>
      <w:bookmarkStart w:id="483" w:name="_Toc468012362"/>
      <w:bookmarkStart w:id="484" w:name="_Toc468034518"/>
      <w:bookmarkStart w:id="485" w:name="_Toc471891060"/>
      <w:bookmarkStart w:id="486" w:name="_Toc486428248"/>
      <w:r>
        <w:lastRenderedPageBreak/>
        <w:t>Table 3.6</w:t>
      </w:r>
      <w:r w:rsidR="00967B39">
        <w:t>9</w:t>
      </w:r>
      <w:r w:rsidR="00035233">
        <w:tab/>
        <w:t>Number of exacerbations during the follow-up period – FLU/SAL vs TIO</w:t>
      </w:r>
      <w:bookmarkEnd w:id="482"/>
      <w:bookmarkEnd w:id="483"/>
      <w:bookmarkEnd w:id="484"/>
      <w:bookmarkEnd w:id="485"/>
      <w:bookmarkEnd w:id="48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Number of exacerbations during the follow-up period"/>
        <w:tblDescription w:val="FLU/SAL vs TIO"/>
      </w:tblPr>
      <w:tblGrid>
        <w:gridCol w:w="3549"/>
        <w:gridCol w:w="2553"/>
        <w:gridCol w:w="2267"/>
        <w:gridCol w:w="1279"/>
      </w:tblGrid>
      <w:tr w:rsidR="00035233" w:rsidRPr="00F01736" w:rsidTr="00035233">
        <w:trPr>
          <w:cantSplit/>
          <w:tblHeader/>
        </w:trPr>
        <w:tc>
          <w:tcPr>
            <w:tcW w:w="1839" w:type="pct"/>
            <w:shd w:val="clear" w:color="auto" w:fill="BFBFBF"/>
          </w:tcPr>
          <w:p w:rsidR="00035233" w:rsidRPr="00F01736" w:rsidRDefault="00035233" w:rsidP="00E409CC">
            <w:pPr>
              <w:pStyle w:val="01TableHEADINGleftaligned"/>
              <w:keepLines/>
            </w:pPr>
          </w:p>
        </w:tc>
        <w:tc>
          <w:tcPr>
            <w:tcW w:w="1323" w:type="pct"/>
            <w:tcBorders>
              <w:right w:val="single" w:sz="4" w:space="0" w:color="auto"/>
            </w:tcBorders>
            <w:shd w:val="clear" w:color="auto" w:fill="BFBFBF"/>
          </w:tcPr>
          <w:p w:rsidR="00035233" w:rsidRPr="00F01736" w:rsidRDefault="00035233" w:rsidP="00E409CC">
            <w:pPr>
              <w:pStyle w:val="01TableHEADINGleftaligned"/>
              <w:keepLines/>
              <w:ind w:left="0" w:right="0"/>
              <w:jc w:val="center"/>
            </w:pPr>
            <w:r>
              <w:t>FLU/SAL (n=22)</w:t>
            </w:r>
          </w:p>
        </w:tc>
        <w:tc>
          <w:tcPr>
            <w:tcW w:w="1175" w:type="pct"/>
            <w:tcBorders>
              <w:left w:val="single" w:sz="4" w:space="0" w:color="auto"/>
            </w:tcBorders>
            <w:shd w:val="clear" w:color="auto" w:fill="BFBFBF"/>
          </w:tcPr>
          <w:p w:rsidR="00035233" w:rsidRPr="00F01736" w:rsidRDefault="00035233" w:rsidP="00E409CC">
            <w:pPr>
              <w:pStyle w:val="01TableHEADINGleftaligned"/>
              <w:keepLines/>
              <w:ind w:left="0"/>
              <w:jc w:val="center"/>
            </w:pPr>
            <w:r>
              <w:t>TIO (n=22)</w:t>
            </w:r>
          </w:p>
        </w:tc>
        <w:tc>
          <w:tcPr>
            <w:tcW w:w="663" w:type="pct"/>
            <w:shd w:val="clear" w:color="auto" w:fill="BFBFBF"/>
          </w:tcPr>
          <w:p w:rsidR="00035233" w:rsidRPr="00F01736" w:rsidRDefault="00035233" w:rsidP="00E409CC">
            <w:pPr>
              <w:pStyle w:val="01TableHEADINGleftaligned"/>
              <w:keepLines/>
              <w:jc w:val="center"/>
            </w:pPr>
            <w:r>
              <w:t>p-value</w:t>
            </w:r>
          </w:p>
        </w:tc>
      </w:tr>
      <w:tr w:rsidR="00035233" w:rsidRPr="00194011" w:rsidTr="00035233">
        <w:trPr>
          <w:cantSplit/>
        </w:trPr>
        <w:tc>
          <w:tcPr>
            <w:tcW w:w="1839" w:type="pct"/>
            <w:shd w:val="clear" w:color="auto" w:fill="auto"/>
          </w:tcPr>
          <w:p w:rsidR="00035233" w:rsidRPr="00E40201" w:rsidRDefault="00035233" w:rsidP="00E409CC">
            <w:pPr>
              <w:pStyle w:val="05Tabletext"/>
              <w:keepNext/>
              <w:keepLines/>
            </w:pPr>
            <w:r w:rsidRPr="00E40201">
              <w:t>Number of exacerbations, mean (SD)</w:t>
            </w:r>
          </w:p>
        </w:tc>
        <w:tc>
          <w:tcPr>
            <w:tcW w:w="1323" w:type="pct"/>
            <w:shd w:val="clear" w:color="auto" w:fill="auto"/>
          </w:tcPr>
          <w:p w:rsidR="00035233" w:rsidRPr="003E664B" w:rsidRDefault="00035233" w:rsidP="00E409CC">
            <w:pPr>
              <w:pStyle w:val="05Tabletext"/>
              <w:keepNext/>
              <w:keepLines/>
              <w:jc w:val="center"/>
            </w:pPr>
            <w:r>
              <w:t>1.2 ±1.7</w:t>
            </w:r>
          </w:p>
        </w:tc>
        <w:tc>
          <w:tcPr>
            <w:tcW w:w="1175" w:type="pct"/>
            <w:shd w:val="clear" w:color="auto" w:fill="auto"/>
          </w:tcPr>
          <w:p w:rsidR="00035233" w:rsidRPr="00672F4B" w:rsidRDefault="00035233" w:rsidP="00E409CC">
            <w:pPr>
              <w:pStyle w:val="05Tabletext"/>
              <w:keepNext/>
              <w:keepLines/>
              <w:jc w:val="center"/>
            </w:pPr>
            <w:r>
              <w:t>2.1 ±2.2</w:t>
            </w:r>
          </w:p>
        </w:tc>
        <w:tc>
          <w:tcPr>
            <w:tcW w:w="663" w:type="pct"/>
            <w:shd w:val="clear" w:color="auto" w:fill="auto"/>
          </w:tcPr>
          <w:p w:rsidR="00035233" w:rsidRPr="00194011" w:rsidRDefault="00035233" w:rsidP="00E409CC">
            <w:pPr>
              <w:pStyle w:val="05Tabletext"/>
              <w:keepNext/>
              <w:keepLines/>
              <w:jc w:val="center"/>
            </w:pPr>
            <w:r>
              <w:t>0.070</w:t>
            </w:r>
          </w:p>
        </w:tc>
      </w:tr>
      <w:tr w:rsidR="00035233" w:rsidRPr="00194011" w:rsidTr="00035233">
        <w:trPr>
          <w:cantSplit/>
        </w:trPr>
        <w:tc>
          <w:tcPr>
            <w:tcW w:w="1839" w:type="pct"/>
            <w:shd w:val="clear" w:color="auto" w:fill="auto"/>
          </w:tcPr>
          <w:p w:rsidR="00035233" w:rsidRPr="00E40201" w:rsidRDefault="00035233" w:rsidP="00E409CC">
            <w:pPr>
              <w:pStyle w:val="05Tabletext"/>
              <w:keepNext/>
              <w:keepLines/>
            </w:pPr>
            <w:r w:rsidRPr="00E40201">
              <w:t>Number of severe exacerbations,</w:t>
            </w:r>
            <w:r w:rsidRPr="00E40201">
              <w:rPr>
                <w:vertAlign w:val="superscript"/>
              </w:rPr>
              <w:t>a</w:t>
            </w:r>
            <w:r w:rsidRPr="00E40201">
              <w:t xml:space="preserve"> mean (SD)</w:t>
            </w:r>
          </w:p>
        </w:tc>
        <w:tc>
          <w:tcPr>
            <w:tcW w:w="1323" w:type="pct"/>
            <w:shd w:val="clear" w:color="auto" w:fill="auto"/>
          </w:tcPr>
          <w:p w:rsidR="00035233" w:rsidRPr="00672F4B" w:rsidRDefault="00035233" w:rsidP="00E409CC">
            <w:pPr>
              <w:pStyle w:val="05Tabletext"/>
              <w:keepNext/>
              <w:keepLines/>
              <w:jc w:val="center"/>
            </w:pPr>
            <w:r>
              <w:t>0.6 ±1.0</w:t>
            </w:r>
          </w:p>
        </w:tc>
        <w:tc>
          <w:tcPr>
            <w:tcW w:w="1175" w:type="pct"/>
            <w:shd w:val="clear" w:color="auto" w:fill="auto"/>
          </w:tcPr>
          <w:p w:rsidR="00035233" w:rsidRPr="00672F4B" w:rsidRDefault="00035233" w:rsidP="00E409CC">
            <w:pPr>
              <w:pStyle w:val="05Tabletext"/>
              <w:keepNext/>
              <w:keepLines/>
              <w:jc w:val="center"/>
            </w:pPr>
            <w:r>
              <w:t>1.1 ±1.4</w:t>
            </w:r>
          </w:p>
        </w:tc>
        <w:tc>
          <w:tcPr>
            <w:tcW w:w="663" w:type="pct"/>
            <w:shd w:val="clear" w:color="auto" w:fill="auto"/>
          </w:tcPr>
          <w:p w:rsidR="00035233" w:rsidRPr="00194011" w:rsidRDefault="00035233" w:rsidP="00E409CC">
            <w:pPr>
              <w:pStyle w:val="05Tabletext"/>
              <w:keepNext/>
              <w:keepLines/>
              <w:jc w:val="center"/>
            </w:pPr>
            <w:r>
              <w:t>0.245</w:t>
            </w:r>
          </w:p>
        </w:tc>
      </w:tr>
      <w:tr w:rsidR="00035233" w:rsidRPr="00194011" w:rsidTr="00035233">
        <w:trPr>
          <w:cantSplit/>
        </w:trPr>
        <w:tc>
          <w:tcPr>
            <w:tcW w:w="1839" w:type="pct"/>
            <w:shd w:val="clear" w:color="auto" w:fill="auto"/>
          </w:tcPr>
          <w:p w:rsidR="00035233" w:rsidRPr="00E40201" w:rsidRDefault="00035233" w:rsidP="00E409CC">
            <w:pPr>
              <w:pStyle w:val="05Tabletext"/>
              <w:keepNext/>
              <w:keepLines/>
            </w:pPr>
            <w:r w:rsidRPr="00E40201">
              <w:t>Time to first exacerbation in months, mean (SD)</w:t>
            </w:r>
          </w:p>
        </w:tc>
        <w:tc>
          <w:tcPr>
            <w:tcW w:w="1323" w:type="pct"/>
            <w:shd w:val="clear" w:color="auto" w:fill="auto"/>
          </w:tcPr>
          <w:p w:rsidR="00035233" w:rsidRPr="00672F4B" w:rsidRDefault="00035233" w:rsidP="00E409CC">
            <w:pPr>
              <w:pStyle w:val="05Tabletext"/>
              <w:keepNext/>
              <w:keepLines/>
              <w:jc w:val="center"/>
            </w:pPr>
            <w:r>
              <w:t>4.2 ±4.0</w:t>
            </w:r>
          </w:p>
        </w:tc>
        <w:tc>
          <w:tcPr>
            <w:tcW w:w="1175" w:type="pct"/>
            <w:shd w:val="clear" w:color="auto" w:fill="auto"/>
          </w:tcPr>
          <w:p w:rsidR="00035233" w:rsidRPr="00672F4B" w:rsidRDefault="00035233" w:rsidP="00E409CC">
            <w:pPr>
              <w:pStyle w:val="05Tabletext"/>
              <w:keepNext/>
              <w:keepLines/>
              <w:jc w:val="center"/>
            </w:pPr>
            <w:r>
              <w:t>4.2 ±3.3</w:t>
            </w:r>
          </w:p>
        </w:tc>
        <w:tc>
          <w:tcPr>
            <w:tcW w:w="663" w:type="pct"/>
            <w:shd w:val="clear" w:color="auto" w:fill="auto"/>
          </w:tcPr>
          <w:p w:rsidR="00035233" w:rsidRPr="00194011" w:rsidRDefault="00035233" w:rsidP="00E409CC">
            <w:pPr>
              <w:pStyle w:val="05Tabletext"/>
              <w:keepNext/>
              <w:keepLines/>
              <w:jc w:val="center"/>
            </w:pPr>
            <w:r>
              <w:t>0.697</w:t>
            </w:r>
          </w:p>
        </w:tc>
      </w:tr>
    </w:tbl>
    <w:p w:rsidR="00035233" w:rsidRDefault="00035233" w:rsidP="00E409CC">
      <w:pPr>
        <w:pStyle w:val="10TableorFigurefootnote"/>
        <w:keepLines/>
      </w:pPr>
      <w:r>
        <w:t>Source: Sarac et al (2016), pg 114.</w:t>
      </w:r>
    </w:p>
    <w:p w:rsidR="00035233" w:rsidRDefault="00035233" w:rsidP="00E409CC">
      <w:pPr>
        <w:pStyle w:val="10TableorFigurefootnote"/>
        <w:keepLines/>
      </w:pPr>
      <w:r>
        <w:t>Abbreviations: FLU, fluticasone</w:t>
      </w:r>
      <w:r w:rsidR="00ED357B">
        <w:t xml:space="preserve"> propionate</w:t>
      </w:r>
      <w:r>
        <w:t>; SAL, salmeterol; SD, standard deviation; TIO, tiotropium.</w:t>
      </w:r>
    </w:p>
    <w:p w:rsidR="00035233" w:rsidRPr="005453CC" w:rsidRDefault="00035233" w:rsidP="00E409CC">
      <w:pPr>
        <w:pStyle w:val="11TableorFigurefootnotenostick"/>
        <w:keepNext/>
        <w:keepLines/>
      </w:pPr>
      <w:proofErr w:type="gramStart"/>
      <w:r>
        <w:rPr>
          <w:b/>
        </w:rPr>
        <w:t>a</w:t>
      </w:r>
      <w:proofErr w:type="gramEnd"/>
      <w:r>
        <w:rPr>
          <w:b/>
        </w:rPr>
        <w:t xml:space="preserve"> </w:t>
      </w:r>
      <w:r>
        <w:t>Exacerbations that resulted in admission to the emergency department or hospital.</w:t>
      </w:r>
    </w:p>
    <w:p w:rsidR="00035233" w:rsidRDefault="00035233" w:rsidP="00035233">
      <w:pPr>
        <w:pStyle w:val="BodyText"/>
      </w:pPr>
      <w:r>
        <w:t>Furthermore, Sarac et al (2016) indicated that there was no difference in the rate of exacerbations between patients who reported frequent (two or more) exacerbations in the preceding year compared with those who reported one or fewer exacerbations.</w:t>
      </w:r>
    </w:p>
    <w:p w:rsidR="00035233" w:rsidRDefault="00035233" w:rsidP="00035233">
      <w:pPr>
        <w:pStyle w:val="BodyText"/>
      </w:pPr>
      <w:r>
        <w:t>However, it should be noted that the main weakness of the study was the small sample size and resulting high chance of type II error. Although the results numerically favoured fluticasone</w:t>
      </w:r>
      <w:r w:rsidR="00ED357B">
        <w:t xml:space="preserve"> propionate</w:t>
      </w:r>
      <w:r>
        <w:t>/salmeterol, a statistically significant difference in exacerbations would have been difficult to observe, given the small number of patients who received each of the treatments.</w:t>
      </w:r>
    </w:p>
    <w:p w:rsidR="00035233" w:rsidRDefault="00035233" w:rsidP="00251CB8">
      <w:pPr>
        <w:pStyle w:val="Heading4"/>
        <w:numPr>
          <w:ilvl w:val="3"/>
          <w:numId w:val="11"/>
        </w:numPr>
      </w:pPr>
      <w:r>
        <w:t>Fluticasone</w:t>
      </w:r>
      <w:r w:rsidR="00ED357B">
        <w:t xml:space="preserve"> furoate</w:t>
      </w:r>
      <w:r>
        <w:t>/vilanterol versus tiotropium</w:t>
      </w:r>
    </w:p>
    <w:p w:rsidR="00035233" w:rsidRDefault="00035233" w:rsidP="00251CB8">
      <w:pPr>
        <w:pStyle w:val="Heading5"/>
        <w:numPr>
          <w:ilvl w:val="4"/>
          <w:numId w:val="11"/>
        </w:numPr>
      </w:pPr>
      <w:r>
        <w:t>Covelli (2016)</w:t>
      </w:r>
    </w:p>
    <w:p w:rsidR="00035233" w:rsidRDefault="00035233" w:rsidP="00035233">
      <w:pPr>
        <w:pStyle w:val="BodyTextnospacebefore"/>
      </w:pPr>
      <w:r>
        <w:t>The effi</w:t>
      </w:r>
      <w:r w:rsidR="00D5724A">
        <w:t>cacy and safety of fluticasone</w:t>
      </w:r>
      <w:r w:rsidR="00ED357B">
        <w:t xml:space="preserve"> furoate</w:t>
      </w:r>
      <w:r w:rsidR="00D5724A">
        <w:t>/</w:t>
      </w:r>
      <w:r>
        <w:t>vilanterol and tiotropium were compared in patients with or at risk of cardiovascular disease (CVD). Covelli et al (2016) highlighted the fact that concerns have previously been raised about the cardiovascular safety of both tiotropium and LABA therapies. While the patients recruited into this study had cardiovascular risk factors such as hypertension and hypercholesterolemia, nearly half had not experienced a COPD exacerbation in the three years before baseline.</w:t>
      </w:r>
    </w:p>
    <w:p w:rsidR="00035233" w:rsidRPr="0018360F" w:rsidRDefault="00035233" w:rsidP="00035233">
      <w:pPr>
        <w:pStyle w:val="BodyText"/>
      </w:pPr>
      <w:r>
        <w:t>The primary outcome was change from baseline in 24 hour weighted mean FEV</w:t>
      </w:r>
      <w:r>
        <w:rPr>
          <w:vertAlign w:val="subscript"/>
        </w:rPr>
        <w:t>1</w:t>
      </w:r>
      <w:r>
        <w:t xml:space="preserve"> on </w:t>
      </w:r>
      <w:r w:rsidR="004B3085">
        <w:t>D</w:t>
      </w:r>
      <w:r>
        <w:t>ay 84; however, the study also reported other spirometry measures, including trough FEV</w:t>
      </w:r>
      <w:r>
        <w:rPr>
          <w:vertAlign w:val="subscript"/>
        </w:rPr>
        <w:t>1</w:t>
      </w:r>
      <w:r>
        <w:t xml:space="preserve">. As shown in </w:t>
      </w:r>
      <w:r w:rsidR="00D5724A">
        <w:t>Table 3.</w:t>
      </w:r>
      <w:r w:rsidR="00967B39">
        <w:t>70</w:t>
      </w:r>
      <w:r w:rsidR="00D5724A">
        <w:t>,</w:t>
      </w:r>
      <w:r>
        <w:t xml:space="preserve"> the difference between treatment arms in terms of least squares mean change from baseline in trough FEV</w:t>
      </w:r>
      <w:r>
        <w:rPr>
          <w:vertAlign w:val="subscript"/>
        </w:rPr>
        <w:t>1</w:t>
      </w:r>
      <w:r>
        <w:t xml:space="preserve"> amounted to only 5 mL and did not represent a statistically or clinically meaningful difference.</w:t>
      </w:r>
    </w:p>
    <w:p w:rsidR="00035233" w:rsidRPr="00EF1FE8" w:rsidRDefault="00D5724A" w:rsidP="00D72F75">
      <w:pPr>
        <w:pStyle w:val="ToR3Tableheader"/>
      </w:pPr>
      <w:bookmarkStart w:id="487" w:name="_Toc468006318"/>
      <w:bookmarkStart w:id="488" w:name="_Toc468012363"/>
      <w:bookmarkStart w:id="489" w:name="_Toc468034519"/>
      <w:bookmarkStart w:id="490" w:name="_Toc471891061"/>
      <w:bookmarkStart w:id="491" w:name="_Toc486428249"/>
      <w:r>
        <w:t>Table 3.</w:t>
      </w:r>
      <w:r w:rsidR="00967B39">
        <w:t>70</w:t>
      </w:r>
      <w:r w:rsidR="00035233">
        <w:tab/>
        <w:t>Treatment differences in least squares mean for trough FEV</w:t>
      </w:r>
      <w:r w:rsidR="00035233">
        <w:rPr>
          <w:vertAlign w:val="subscript"/>
        </w:rPr>
        <w:t xml:space="preserve">1 </w:t>
      </w:r>
      <w:r w:rsidR="00035233">
        <w:t>– FLU/VIL vs TIO</w:t>
      </w:r>
      <w:bookmarkEnd w:id="487"/>
      <w:bookmarkEnd w:id="488"/>
      <w:bookmarkEnd w:id="489"/>
      <w:bookmarkEnd w:id="490"/>
      <w:bookmarkEnd w:id="4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Caption w:val="Treatment differences in least squares mean for trough FEV1 "/>
        <w:tblDescription w:val="FLU/VIL vs TIO"/>
      </w:tblPr>
      <w:tblGrid>
        <w:gridCol w:w="3124"/>
        <w:gridCol w:w="2126"/>
        <w:gridCol w:w="1702"/>
        <w:gridCol w:w="2696"/>
      </w:tblGrid>
      <w:tr w:rsidR="00035233" w:rsidRPr="00194011" w:rsidTr="00035233">
        <w:trPr>
          <w:cantSplit/>
          <w:tblHeader/>
        </w:trPr>
        <w:tc>
          <w:tcPr>
            <w:tcW w:w="1619" w:type="pct"/>
            <w:shd w:val="clear" w:color="auto" w:fill="BFBFBF"/>
          </w:tcPr>
          <w:p w:rsidR="00035233" w:rsidRPr="00F760A1" w:rsidRDefault="00035233" w:rsidP="00035233">
            <w:pPr>
              <w:pStyle w:val="01TableHEADINGleftaligned"/>
            </w:pPr>
            <w:r>
              <w:t>Trough FEV</w:t>
            </w:r>
            <w:r>
              <w:rPr>
                <w:vertAlign w:val="subscript"/>
              </w:rPr>
              <w:t xml:space="preserve">1 </w:t>
            </w:r>
            <w:r>
              <w:t>(L)</w:t>
            </w:r>
          </w:p>
        </w:tc>
        <w:tc>
          <w:tcPr>
            <w:tcW w:w="1102" w:type="pct"/>
            <w:tcBorders>
              <w:bottom w:val="single" w:sz="4" w:space="0" w:color="auto"/>
              <w:right w:val="single" w:sz="4" w:space="0" w:color="auto"/>
            </w:tcBorders>
            <w:shd w:val="clear" w:color="auto" w:fill="BFBFBF"/>
          </w:tcPr>
          <w:p w:rsidR="00035233" w:rsidRPr="00815893" w:rsidRDefault="00035233" w:rsidP="00035233">
            <w:pPr>
              <w:pStyle w:val="01TableHEADINGleftaligned"/>
              <w:ind w:right="0"/>
              <w:jc w:val="center"/>
            </w:pPr>
            <w:r>
              <w:t>FLU/VIL (n=268)</w:t>
            </w:r>
          </w:p>
        </w:tc>
        <w:tc>
          <w:tcPr>
            <w:tcW w:w="882" w:type="pct"/>
            <w:tcBorders>
              <w:left w:val="single" w:sz="4" w:space="0" w:color="auto"/>
              <w:bottom w:val="single" w:sz="4" w:space="0" w:color="auto"/>
              <w:right w:val="single" w:sz="4" w:space="0" w:color="auto"/>
            </w:tcBorders>
            <w:shd w:val="clear" w:color="auto" w:fill="BFBFBF"/>
          </w:tcPr>
          <w:p w:rsidR="00035233" w:rsidRPr="00815893" w:rsidRDefault="00035233" w:rsidP="00035233">
            <w:pPr>
              <w:pStyle w:val="01TableHEADINGleftaligned"/>
              <w:ind w:left="28"/>
              <w:jc w:val="center"/>
            </w:pPr>
            <w:r>
              <w:t>TIO (n=249)</w:t>
            </w:r>
          </w:p>
        </w:tc>
        <w:tc>
          <w:tcPr>
            <w:tcW w:w="1397" w:type="pct"/>
            <w:tcBorders>
              <w:left w:val="single" w:sz="4" w:space="0" w:color="auto"/>
              <w:bottom w:val="single" w:sz="4" w:space="0" w:color="auto"/>
            </w:tcBorders>
            <w:shd w:val="clear" w:color="auto" w:fill="BFBFBF"/>
          </w:tcPr>
          <w:p w:rsidR="00035233" w:rsidRPr="00194011" w:rsidRDefault="00035233" w:rsidP="00035233">
            <w:pPr>
              <w:pStyle w:val="01TableHEADINGleftaligned"/>
              <w:jc w:val="center"/>
            </w:pPr>
            <w:r>
              <w:t>LS mean change difference (95% CI)</w:t>
            </w:r>
          </w:p>
        </w:tc>
      </w:tr>
      <w:tr w:rsidR="00035233" w:rsidRPr="00194011" w:rsidTr="00035233">
        <w:trPr>
          <w:cantSplit/>
        </w:trPr>
        <w:tc>
          <w:tcPr>
            <w:tcW w:w="1619" w:type="pct"/>
            <w:shd w:val="clear" w:color="auto" w:fill="auto"/>
          </w:tcPr>
          <w:p w:rsidR="00035233" w:rsidRDefault="00035233" w:rsidP="00035233">
            <w:pPr>
              <w:pStyle w:val="05Tabletext"/>
            </w:pPr>
            <w:r>
              <w:t>Baseline, mean (SD)</w:t>
            </w:r>
          </w:p>
        </w:tc>
        <w:tc>
          <w:tcPr>
            <w:tcW w:w="1102" w:type="pct"/>
            <w:shd w:val="clear" w:color="auto" w:fill="auto"/>
          </w:tcPr>
          <w:p w:rsidR="00035233" w:rsidRDefault="00035233" w:rsidP="00035233">
            <w:pPr>
              <w:pStyle w:val="05Tabletext"/>
              <w:jc w:val="center"/>
            </w:pPr>
            <w:r>
              <w:t>1.35 (0.47)</w:t>
            </w:r>
          </w:p>
        </w:tc>
        <w:tc>
          <w:tcPr>
            <w:tcW w:w="882" w:type="pct"/>
            <w:shd w:val="clear" w:color="auto" w:fill="auto"/>
          </w:tcPr>
          <w:p w:rsidR="00035233" w:rsidRDefault="00035233" w:rsidP="00035233">
            <w:pPr>
              <w:pStyle w:val="05Tabletext"/>
              <w:jc w:val="center"/>
            </w:pPr>
            <w:r>
              <w:t>1.35 (0.50)</w:t>
            </w:r>
          </w:p>
        </w:tc>
        <w:tc>
          <w:tcPr>
            <w:tcW w:w="1397" w:type="pct"/>
            <w:tcBorders>
              <w:bottom w:val="single" w:sz="4" w:space="0" w:color="auto"/>
            </w:tcBorders>
            <w:shd w:val="clear" w:color="auto" w:fill="auto"/>
          </w:tcPr>
          <w:p w:rsidR="00035233" w:rsidRDefault="00035233" w:rsidP="00035233">
            <w:pPr>
              <w:pStyle w:val="05Tabletext"/>
              <w:jc w:val="center"/>
            </w:pPr>
            <w:r>
              <w:t>-</w:t>
            </w:r>
          </w:p>
        </w:tc>
      </w:tr>
      <w:tr w:rsidR="00035233" w:rsidRPr="00194011" w:rsidTr="00035233">
        <w:trPr>
          <w:cantSplit/>
        </w:trPr>
        <w:tc>
          <w:tcPr>
            <w:tcW w:w="1619" w:type="pct"/>
            <w:shd w:val="clear" w:color="auto" w:fill="auto"/>
          </w:tcPr>
          <w:p w:rsidR="00035233" w:rsidRPr="00C22F2F" w:rsidRDefault="00035233" w:rsidP="00035233">
            <w:pPr>
              <w:pStyle w:val="05Tabletext"/>
              <w:rPr>
                <w:vertAlign w:val="superscript"/>
              </w:rPr>
            </w:pPr>
            <w:r>
              <w:t>Day 84, mean (SD)</w:t>
            </w:r>
          </w:p>
        </w:tc>
        <w:tc>
          <w:tcPr>
            <w:tcW w:w="1102" w:type="pct"/>
            <w:shd w:val="clear" w:color="auto" w:fill="auto"/>
          </w:tcPr>
          <w:p w:rsidR="00035233" w:rsidRDefault="00035233" w:rsidP="00035233">
            <w:pPr>
              <w:pStyle w:val="05Tabletext"/>
              <w:jc w:val="center"/>
            </w:pPr>
            <w:r>
              <w:t>1.43 (0.50)</w:t>
            </w:r>
          </w:p>
        </w:tc>
        <w:tc>
          <w:tcPr>
            <w:tcW w:w="882" w:type="pct"/>
            <w:shd w:val="clear" w:color="auto" w:fill="auto"/>
          </w:tcPr>
          <w:p w:rsidR="00035233" w:rsidRDefault="00035233" w:rsidP="00035233">
            <w:pPr>
              <w:pStyle w:val="05Tabletext"/>
              <w:jc w:val="center"/>
            </w:pPr>
            <w:r>
              <w:t>1.43 (0.51)</w:t>
            </w:r>
          </w:p>
        </w:tc>
        <w:tc>
          <w:tcPr>
            <w:tcW w:w="1397" w:type="pct"/>
            <w:tcBorders>
              <w:top w:val="single" w:sz="4" w:space="0" w:color="auto"/>
              <w:bottom w:val="single" w:sz="4" w:space="0" w:color="auto"/>
            </w:tcBorders>
            <w:shd w:val="clear" w:color="auto" w:fill="auto"/>
          </w:tcPr>
          <w:p w:rsidR="00035233" w:rsidRDefault="00035233" w:rsidP="00035233">
            <w:pPr>
              <w:pStyle w:val="05Tabletext"/>
              <w:jc w:val="center"/>
            </w:pPr>
            <w:r>
              <w:t>-</w:t>
            </w:r>
          </w:p>
        </w:tc>
      </w:tr>
      <w:tr w:rsidR="00035233" w:rsidRPr="00194011" w:rsidTr="00035233">
        <w:trPr>
          <w:cantSplit/>
        </w:trPr>
        <w:tc>
          <w:tcPr>
            <w:tcW w:w="1619" w:type="pct"/>
            <w:shd w:val="clear" w:color="auto" w:fill="auto"/>
          </w:tcPr>
          <w:p w:rsidR="00035233" w:rsidRPr="00C22F2F" w:rsidRDefault="00035233" w:rsidP="00035233">
            <w:pPr>
              <w:pStyle w:val="05Tabletext"/>
              <w:rPr>
                <w:vertAlign w:val="superscript"/>
              </w:rPr>
            </w:pPr>
            <w:r>
              <w:t>LS mean change from baseline (SE)</w:t>
            </w:r>
          </w:p>
        </w:tc>
        <w:tc>
          <w:tcPr>
            <w:tcW w:w="1102" w:type="pct"/>
            <w:shd w:val="clear" w:color="auto" w:fill="auto"/>
          </w:tcPr>
          <w:p w:rsidR="00035233" w:rsidRDefault="00035233" w:rsidP="00035233">
            <w:pPr>
              <w:pStyle w:val="05Tabletext"/>
              <w:jc w:val="center"/>
            </w:pPr>
            <w:r>
              <w:t>0.098 (0.013)</w:t>
            </w:r>
          </w:p>
        </w:tc>
        <w:tc>
          <w:tcPr>
            <w:tcW w:w="882" w:type="pct"/>
            <w:tcBorders>
              <w:bottom w:val="single" w:sz="4" w:space="0" w:color="auto"/>
            </w:tcBorders>
            <w:shd w:val="clear" w:color="auto" w:fill="auto"/>
          </w:tcPr>
          <w:p w:rsidR="00035233" w:rsidRDefault="00035233" w:rsidP="00035233">
            <w:pPr>
              <w:pStyle w:val="05Tabletext"/>
              <w:jc w:val="center"/>
            </w:pPr>
            <w:r>
              <w:t>0.093 (0.014)</w:t>
            </w:r>
          </w:p>
        </w:tc>
        <w:tc>
          <w:tcPr>
            <w:tcW w:w="1397" w:type="pct"/>
            <w:tcBorders>
              <w:top w:val="single" w:sz="4" w:space="0" w:color="auto"/>
              <w:bottom w:val="single" w:sz="4" w:space="0" w:color="auto"/>
            </w:tcBorders>
            <w:shd w:val="clear" w:color="auto" w:fill="auto"/>
          </w:tcPr>
          <w:p w:rsidR="00035233" w:rsidRDefault="00035233" w:rsidP="00035233">
            <w:pPr>
              <w:pStyle w:val="05Tabletext"/>
              <w:jc w:val="center"/>
            </w:pPr>
            <w:r>
              <w:t>0.005 (–0.029, 0.039)</w:t>
            </w:r>
          </w:p>
        </w:tc>
      </w:tr>
    </w:tbl>
    <w:p w:rsidR="00035233" w:rsidRDefault="00035233" w:rsidP="00035233">
      <w:pPr>
        <w:pStyle w:val="10TableorFigurefootnote"/>
      </w:pPr>
      <w:r>
        <w:t>Source: Covelli et al (2016), Table 3.</w:t>
      </w:r>
    </w:p>
    <w:p w:rsidR="00035233" w:rsidRDefault="00035233" w:rsidP="00035233">
      <w:pPr>
        <w:pStyle w:val="10TableorFigurefootnote"/>
      </w:pPr>
      <w:r>
        <w:t>Abbreviations: CI, confidence interval; FLU, fluticasone</w:t>
      </w:r>
      <w:r w:rsidR="00ED357B">
        <w:t xml:space="preserve"> furoate</w:t>
      </w:r>
      <w:r>
        <w:t>; LS, least squares; SE, standard error; SD, standard deviation; TIO, tiotropium; VIL, vilanterol.</w:t>
      </w:r>
    </w:p>
    <w:p w:rsidR="00035233" w:rsidRPr="00676FD2" w:rsidRDefault="00035233" w:rsidP="00035233">
      <w:pPr>
        <w:pStyle w:val="10TableorFigurefootnote"/>
      </w:pPr>
      <w:r>
        <w:t>Note: Secondary endpoints including change from baseline in trough FEV</w:t>
      </w:r>
      <w:r>
        <w:rPr>
          <w:vertAlign w:val="subscript"/>
        </w:rPr>
        <w:t xml:space="preserve">1 </w:t>
      </w:r>
      <w:r>
        <w:t>were nested under the primary endpoint; however, the primary endpoint difference did not reach statistical significance and statistical inference cannot be made for trough FEV</w:t>
      </w:r>
      <w:r>
        <w:rPr>
          <w:vertAlign w:val="subscript"/>
        </w:rPr>
        <w:t>1</w:t>
      </w:r>
      <w:r>
        <w:t>.</w:t>
      </w:r>
    </w:p>
    <w:p w:rsidR="00035233" w:rsidRDefault="00035233" w:rsidP="00035233">
      <w:pPr>
        <w:pStyle w:val="11TableorFigurefootnotenostick"/>
      </w:pPr>
      <w:r>
        <w:t xml:space="preserve">Abbreviations: </w:t>
      </w:r>
    </w:p>
    <w:p w:rsidR="00035233" w:rsidRDefault="00035233" w:rsidP="00035233">
      <w:pPr>
        <w:pStyle w:val="BodyText"/>
      </w:pPr>
      <w:r>
        <w:t>The safety profiles of fluticasone</w:t>
      </w:r>
      <w:r w:rsidR="00ED357B">
        <w:t xml:space="preserve"> furoate</w:t>
      </w:r>
      <w:r>
        <w:t xml:space="preserve">/vilanterol and tiotropium in this study were comparable, despite minor differences in rates of pneumonia and COPD exacerbations (see </w:t>
      </w:r>
      <w:r w:rsidR="00D5724A">
        <w:t>Table 3.7</w:t>
      </w:r>
      <w:r w:rsidR="00967B39">
        <w:t>1</w:t>
      </w:r>
      <w:r>
        <w:t>)</w:t>
      </w:r>
      <w:r w:rsidR="006B4434">
        <w:t>.</w:t>
      </w:r>
      <w:r>
        <w:t xml:space="preserve"> While more patients in the tiotropium arm experienced an exacerbation, the </w:t>
      </w:r>
      <w:r>
        <w:lastRenderedPageBreak/>
        <w:t>study found that three of the eight exacerbations in the fluticasone</w:t>
      </w:r>
      <w:r w:rsidR="00ED357B">
        <w:t xml:space="preserve"> furoate</w:t>
      </w:r>
      <w:r>
        <w:t xml:space="preserve">/vilanterol arm resulted in hospitalisation versus one of </w:t>
      </w:r>
      <w:r w:rsidR="00950856">
        <w:t>11</w:t>
      </w:r>
      <w:r>
        <w:t xml:space="preserve"> in the tiotropium treatment group.</w:t>
      </w:r>
    </w:p>
    <w:p w:rsidR="00035233" w:rsidRDefault="00D5724A" w:rsidP="00D72F75">
      <w:pPr>
        <w:pStyle w:val="ToR3Tableheader"/>
      </w:pPr>
      <w:bookmarkStart w:id="492" w:name="_Toc468006319"/>
      <w:bookmarkStart w:id="493" w:name="_Toc468012364"/>
      <w:bookmarkStart w:id="494" w:name="_Toc468034520"/>
      <w:bookmarkStart w:id="495" w:name="_Toc471891062"/>
      <w:bookmarkStart w:id="496" w:name="_Toc486428250"/>
      <w:r>
        <w:t>Table 3.7</w:t>
      </w:r>
      <w:r w:rsidR="00967B39">
        <w:t>1</w:t>
      </w:r>
      <w:r w:rsidR="00035233">
        <w:tab/>
        <w:t>Summary of safety outcomes – FLU/VIL versus TIO</w:t>
      </w:r>
      <w:bookmarkEnd w:id="492"/>
      <w:bookmarkEnd w:id="493"/>
      <w:bookmarkEnd w:id="494"/>
      <w:bookmarkEnd w:id="495"/>
      <w:bookmarkEnd w:id="49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Caption w:val="Safety outcomes"/>
        <w:tblDescription w:val="FLU/VIL vs TIO"/>
      </w:tblPr>
      <w:tblGrid>
        <w:gridCol w:w="4258"/>
        <w:gridCol w:w="2696"/>
        <w:gridCol w:w="2694"/>
      </w:tblGrid>
      <w:tr w:rsidR="00035233" w:rsidRPr="00194011" w:rsidTr="00035233">
        <w:trPr>
          <w:cantSplit/>
          <w:tblHeader/>
        </w:trPr>
        <w:tc>
          <w:tcPr>
            <w:tcW w:w="2207" w:type="pct"/>
            <w:tcBorders>
              <w:bottom w:val="single" w:sz="4" w:space="0" w:color="auto"/>
            </w:tcBorders>
            <w:shd w:val="clear" w:color="auto" w:fill="BFBFBF"/>
          </w:tcPr>
          <w:p w:rsidR="00035233" w:rsidRPr="00194011" w:rsidRDefault="00035233" w:rsidP="00035233">
            <w:pPr>
              <w:pStyle w:val="01TableHEADINGleftaligned"/>
              <w:rPr>
                <w:i/>
              </w:rPr>
            </w:pPr>
            <w:r>
              <w:t>Safety outcome</w:t>
            </w:r>
          </w:p>
        </w:tc>
        <w:tc>
          <w:tcPr>
            <w:tcW w:w="1397" w:type="pct"/>
            <w:tcBorders>
              <w:bottom w:val="single" w:sz="4" w:space="0" w:color="auto"/>
            </w:tcBorders>
            <w:shd w:val="clear" w:color="auto" w:fill="BFBFBF"/>
          </w:tcPr>
          <w:p w:rsidR="00035233" w:rsidRPr="00194011" w:rsidRDefault="00035233" w:rsidP="00035233">
            <w:pPr>
              <w:pStyle w:val="01TableHEADINGleftaligned"/>
              <w:jc w:val="center"/>
            </w:pPr>
            <w:r>
              <w:t>FLU/VIL (N=310)</w:t>
            </w:r>
          </w:p>
        </w:tc>
        <w:tc>
          <w:tcPr>
            <w:tcW w:w="1396" w:type="pct"/>
            <w:tcBorders>
              <w:bottom w:val="single" w:sz="4" w:space="0" w:color="auto"/>
            </w:tcBorders>
            <w:shd w:val="clear" w:color="auto" w:fill="BFBFBF"/>
          </w:tcPr>
          <w:p w:rsidR="00035233" w:rsidRDefault="00035233" w:rsidP="00035233">
            <w:pPr>
              <w:pStyle w:val="01TableHEADINGleftaligned"/>
              <w:jc w:val="center"/>
            </w:pPr>
            <w:r>
              <w:t>TIO (N=313)</w:t>
            </w:r>
          </w:p>
        </w:tc>
      </w:tr>
      <w:tr w:rsidR="00035233" w:rsidRPr="00194011" w:rsidTr="00035233">
        <w:trPr>
          <w:cantSplit/>
        </w:trPr>
        <w:tc>
          <w:tcPr>
            <w:tcW w:w="2207" w:type="pct"/>
            <w:tcBorders>
              <w:bottom w:val="single" w:sz="4" w:space="0" w:color="auto"/>
            </w:tcBorders>
            <w:shd w:val="clear" w:color="auto" w:fill="auto"/>
          </w:tcPr>
          <w:p w:rsidR="00035233" w:rsidRPr="00194011" w:rsidRDefault="00035233" w:rsidP="00035233">
            <w:pPr>
              <w:pStyle w:val="05Tabletext"/>
              <w:keepNext/>
            </w:pPr>
            <w:r>
              <w:t>AEs during treatment, n (%)</w:t>
            </w:r>
          </w:p>
        </w:tc>
        <w:tc>
          <w:tcPr>
            <w:tcW w:w="1397" w:type="pct"/>
            <w:tcBorders>
              <w:bottom w:val="single" w:sz="4" w:space="0" w:color="auto"/>
            </w:tcBorders>
            <w:shd w:val="clear" w:color="auto" w:fill="auto"/>
          </w:tcPr>
          <w:p w:rsidR="00035233" w:rsidRPr="00194011" w:rsidRDefault="00035233" w:rsidP="00035233">
            <w:pPr>
              <w:pStyle w:val="05Tabletext"/>
              <w:jc w:val="center"/>
            </w:pPr>
            <w:r>
              <w:t>113 (36)</w:t>
            </w:r>
          </w:p>
        </w:tc>
        <w:tc>
          <w:tcPr>
            <w:tcW w:w="1396" w:type="pct"/>
            <w:tcBorders>
              <w:bottom w:val="single" w:sz="4" w:space="0" w:color="auto"/>
            </w:tcBorders>
            <w:shd w:val="clear" w:color="auto" w:fill="auto"/>
          </w:tcPr>
          <w:p w:rsidR="00035233" w:rsidRPr="00194011" w:rsidRDefault="00035233" w:rsidP="00035233">
            <w:pPr>
              <w:pStyle w:val="05Tabletext"/>
              <w:jc w:val="center"/>
            </w:pPr>
            <w:r>
              <w:t>99 (32)</w:t>
            </w:r>
          </w:p>
        </w:tc>
      </w:tr>
      <w:tr w:rsidR="00035233" w:rsidRPr="00194011" w:rsidTr="00035233">
        <w:trPr>
          <w:cantSplit/>
        </w:trPr>
        <w:tc>
          <w:tcPr>
            <w:tcW w:w="2207" w:type="pct"/>
            <w:tcBorders>
              <w:top w:val="single" w:sz="4" w:space="0" w:color="auto"/>
              <w:bottom w:val="single" w:sz="4" w:space="0" w:color="auto"/>
            </w:tcBorders>
            <w:shd w:val="clear" w:color="auto" w:fill="auto"/>
          </w:tcPr>
          <w:p w:rsidR="00035233" w:rsidRDefault="00035233" w:rsidP="00035233">
            <w:pPr>
              <w:pStyle w:val="05Tabletext"/>
              <w:ind w:firstLine="232"/>
            </w:pPr>
            <w:r>
              <w:t>Cardiovascular effects</w:t>
            </w:r>
          </w:p>
        </w:tc>
        <w:tc>
          <w:tcPr>
            <w:tcW w:w="1397" w:type="pct"/>
            <w:tcBorders>
              <w:top w:val="single" w:sz="4" w:space="0" w:color="auto"/>
              <w:bottom w:val="single" w:sz="4" w:space="0" w:color="auto"/>
            </w:tcBorders>
            <w:shd w:val="clear" w:color="auto" w:fill="auto"/>
          </w:tcPr>
          <w:p w:rsidR="00035233" w:rsidRDefault="00035233" w:rsidP="00035233">
            <w:pPr>
              <w:pStyle w:val="05Tabletext"/>
              <w:jc w:val="center"/>
            </w:pPr>
            <w:r>
              <w:t>13 (4)</w:t>
            </w:r>
          </w:p>
        </w:tc>
        <w:tc>
          <w:tcPr>
            <w:tcW w:w="1396" w:type="pct"/>
            <w:tcBorders>
              <w:top w:val="single" w:sz="4" w:space="0" w:color="auto"/>
              <w:bottom w:val="single" w:sz="4" w:space="0" w:color="auto"/>
            </w:tcBorders>
            <w:shd w:val="clear" w:color="auto" w:fill="auto"/>
          </w:tcPr>
          <w:p w:rsidR="00035233" w:rsidRDefault="00035233" w:rsidP="00035233">
            <w:pPr>
              <w:pStyle w:val="05Tabletext"/>
              <w:jc w:val="center"/>
            </w:pPr>
            <w:r>
              <w:t>15 (5)</w:t>
            </w:r>
          </w:p>
        </w:tc>
      </w:tr>
      <w:tr w:rsidR="00035233" w:rsidRPr="00194011" w:rsidTr="00035233">
        <w:trPr>
          <w:cantSplit/>
        </w:trPr>
        <w:tc>
          <w:tcPr>
            <w:tcW w:w="2207" w:type="pct"/>
            <w:tcBorders>
              <w:top w:val="single" w:sz="4" w:space="0" w:color="auto"/>
            </w:tcBorders>
            <w:shd w:val="clear" w:color="auto" w:fill="auto"/>
          </w:tcPr>
          <w:p w:rsidR="00035233" w:rsidRDefault="00035233" w:rsidP="00035233">
            <w:pPr>
              <w:pStyle w:val="05Tabletext"/>
              <w:ind w:left="289"/>
            </w:pPr>
            <w:r>
              <w:t>Local steroid effects/candidiasis</w:t>
            </w:r>
          </w:p>
        </w:tc>
        <w:tc>
          <w:tcPr>
            <w:tcW w:w="1397" w:type="pct"/>
            <w:tcBorders>
              <w:top w:val="single" w:sz="4" w:space="0" w:color="auto"/>
            </w:tcBorders>
            <w:shd w:val="clear" w:color="auto" w:fill="auto"/>
          </w:tcPr>
          <w:p w:rsidR="00035233" w:rsidRPr="00194011" w:rsidRDefault="00035233" w:rsidP="00035233">
            <w:pPr>
              <w:pStyle w:val="05Tabletext"/>
              <w:jc w:val="center"/>
            </w:pPr>
            <w:r>
              <w:t>17 (5)</w:t>
            </w:r>
          </w:p>
        </w:tc>
        <w:tc>
          <w:tcPr>
            <w:tcW w:w="1396" w:type="pct"/>
            <w:tcBorders>
              <w:top w:val="single" w:sz="4" w:space="0" w:color="auto"/>
            </w:tcBorders>
            <w:shd w:val="clear" w:color="auto" w:fill="auto"/>
          </w:tcPr>
          <w:p w:rsidR="00035233" w:rsidRPr="00194011" w:rsidRDefault="00035233" w:rsidP="00035233">
            <w:pPr>
              <w:pStyle w:val="05Tabletext"/>
              <w:jc w:val="center"/>
            </w:pPr>
            <w:r>
              <w:t>11 (4)</w:t>
            </w:r>
          </w:p>
        </w:tc>
      </w:tr>
      <w:tr w:rsidR="00035233" w:rsidRPr="00194011" w:rsidTr="00035233">
        <w:trPr>
          <w:cantSplit/>
        </w:trPr>
        <w:tc>
          <w:tcPr>
            <w:tcW w:w="2207" w:type="pct"/>
            <w:tcBorders>
              <w:top w:val="single" w:sz="4" w:space="0" w:color="auto"/>
            </w:tcBorders>
            <w:shd w:val="clear" w:color="auto" w:fill="auto"/>
          </w:tcPr>
          <w:p w:rsidR="00035233" w:rsidRDefault="00035233" w:rsidP="00035233">
            <w:pPr>
              <w:pStyle w:val="05Tabletext"/>
              <w:ind w:left="289"/>
            </w:pPr>
            <w:r>
              <w:t>LRTI excluding pneumonia</w:t>
            </w:r>
          </w:p>
        </w:tc>
        <w:tc>
          <w:tcPr>
            <w:tcW w:w="1397" w:type="pct"/>
            <w:tcBorders>
              <w:top w:val="single" w:sz="4" w:space="0" w:color="auto"/>
            </w:tcBorders>
            <w:shd w:val="clear" w:color="auto" w:fill="auto"/>
          </w:tcPr>
          <w:p w:rsidR="00035233" w:rsidRPr="00194011" w:rsidRDefault="00035233" w:rsidP="00035233">
            <w:pPr>
              <w:pStyle w:val="05Tabletext"/>
              <w:jc w:val="center"/>
            </w:pPr>
            <w:r>
              <w:t>3 (&lt;1)</w:t>
            </w:r>
          </w:p>
        </w:tc>
        <w:tc>
          <w:tcPr>
            <w:tcW w:w="1396" w:type="pct"/>
            <w:tcBorders>
              <w:top w:val="single" w:sz="4" w:space="0" w:color="auto"/>
            </w:tcBorders>
            <w:shd w:val="clear" w:color="auto" w:fill="auto"/>
          </w:tcPr>
          <w:p w:rsidR="00035233" w:rsidRPr="00194011" w:rsidRDefault="00035233" w:rsidP="00035233">
            <w:pPr>
              <w:pStyle w:val="05Tabletext"/>
              <w:jc w:val="center"/>
            </w:pPr>
            <w:r>
              <w:t>4 (1)</w:t>
            </w:r>
          </w:p>
        </w:tc>
      </w:tr>
      <w:tr w:rsidR="00035233" w:rsidRPr="00194011" w:rsidTr="00035233">
        <w:trPr>
          <w:cantSplit/>
        </w:trPr>
        <w:tc>
          <w:tcPr>
            <w:tcW w:w="2207" w:type="pct"/>
            <w:tcBorders>
              <w:top w:val="single" w:sz="4" w:space="0" w:color="auto"/>
            </w:tcBorders>
            <w:shd w:val="clear" w:color="auto" w:fill="auto"/>
          </w:tcPr>
          <w:p w:rsidR="00035233" w:rsidRDefault="00035233" w:rsidP="00035233">
            <w:pPr>
              <w:pStyle w:val="05Tabletext"/>
              <w:ind w:left="289"/>
            </w:pPr>
            <w:r>
              <w:t>Bone disorders/fractures</w:t>
            </w:r>
          </w:p>
        </w:tc>
        <w:tc>
          <w:tcPr>
            <w:tcW w:w="1397" w:type="pct"/>
            <w:tcBorders>
              <w:top w:val="single" w:sz="4" w:space="0" w:color="auto"/>
            </w:tcBorders>
            <w:shd w:val="clear" w:color="auto" w:fill="auto"/>
          </w:tcPr>
          <w:p w:rsidR="00035233" w:rsidRPr="00194011" w:rsidRDefault="00035233" w:rsidP="00035233">
            <w:pPr>
              <w:pStyle w:val="05Tabletext"/>
              <w:jc w:val="center"/>
            </w:pPr>
            <w:r>
              <w:t>3 (&lt;1)</w:t>
            </w:r>
          </w:p>
        </w:tc>
        <w:tc>
          <w:tcPr>
            <w:tcW w:w="1396" w:type="pct"/>
            <w:tcBorders>
              <w:top w:val="single" w:sz="4" w:space="0" w:color="auto"/>
            </w:tcBorders>
            <w:shd w:val="clear" w:color="auto" w:fill="auto"/>
          </w:tcPr>
          <w:p w:rsidR="00035233" w:rsidRPr="00194011" w:rsidRDefault="00035233" w:rsidP="00035233">
            <w:pPr>
              <w:pStyle w:val="05Tabletext"/>
              <w:jc w:val="center"/>
            </w:pPr>
            <w:r>
              <w:t>1 (&lt;1)</w:t>
            </w:r>
          </w:p>
        </w:tc>
      </w:tr>
      <w:tr w:rsidR="00035233" w:rsidRPr="00194011" w:rsidTr="00035233">
        <w:trPr>
          <w:cantSplit/>
        </w:trPr>
        <w:tc>
          <w:tcPr>
            <w:tcW w:w="2207" w:type="pct"/>
            <w:tcBorders>
              <w:top w:val="single" w:sz="4" w:space="0" w:color="auto"/>
            </w:tcBorders>
            <w:shd w:val="clear" w:color="auto" w:fill="auto"/>
          </w:tcPr>
          <w:p w:rsidR="00035233" w:rsidRDefault="00035233" w:rsidP="00035233">
            <w:pPr>
              <w:pStyle w:val="05Tabletext"/>
              <w:ind w:left="289"/>
            </w:pPr>
            <w:r>
              <w:t>Pneumonia</w:t>
            </w:r>
          </w:p>
        </w:tc>
        <w:tc>
          <w:tcPr>
            <w:tcW w:w="1397" w:type="pct"/>
            <w:tcBorders>
              <w:top w:val="single" w:sz="4" w:space="0" w:color="auto"/>
            </w:tcBorders>
            <w:shd w:val="clear" w:color="auto" w:fill="auto"/>
          </w:tcPr>
          <w:p w:rsidR="00035233" w:rsidRPr="00194011" w:rsidRDefault="00035233" w:rsidP="00035233">
            <w:pPr>
              <w:pStyle w:val="05Tabletext"/>
              <w:jc w:val="center"/>
            </w:pPr>
            <w:r>
              <w:t>3 (&lt;1)</w:t>
            </w:r>
          </w:p>
        </w:tc>
        <w:tc>
          <w:tcPr>
            <w:tcW w:w="1396" w:type="pct"/>
            <w:tcBorders>
              <w:top w:val="single" w:sz="4" w:space="0" w:color="auto"/>
            </w:tcBorders>
            <w:shd w:val="clear" w:color="auto" w:fill="auto"/>
          </w:tcPr>
          <w:p w:rsidR="00035233" w:rsidRPr="00194011" w:rsidRDefault="00035233" w:rsidP="00035233">
            <w:pPr>
              <w:pStyle w:val="05Tabletext"/>
              <w:jc w:val="center"/>
            </w:pPr>
            <w:r>
              <w:t>0</w:t>
            </w:r>
          </w:p>
        </w:tc>
      </w:tr>
      <w:tr w:rsidR="00035233" w:rsidRPr="00194011" w:rsidTr="00035233">
        <w:trPr>
          <w:cantSplit/>
        </w:trPr>
        <w:tc>
          <w:tcPr>
            <w:tcW w:w="2207" w:type="pct"/>
            <w:tcBorders>
              <w:top w:val="single" w:sz="4" w:space="0" w:color="auto"/>
              <w:bottom w:val="single" w:sz="4" w:space="0" w:color="auto"/>
            </w:tcBorders>
            <w:shd w:val="clear" w:color="auto" w:fill="auto"/>
          </w:tcPr>
          <w:p w:rsidR="00035233" w:rsidRDefault="00035233" w:rsidP="00035233">
            <w:pPr>
              <w:pStyle w:val="05Tabletext"/>
            </w:pPr>
            <w:r>
              <w:t>COPD exacerbation</w:t>
            </w:r>
          </w:p>
        </w:tc>
        <w:tc>
          <w:tcPr>
            <w:tcW w:w="1397" w:type="pct"/>
            <w:tcBorders>
              <w:top w:val="single" w:sz="4" w:space="0" w:color="auto"/>
              <w:bottom w:val="single" w:sz="4" w:space="0" w:color="auto"/>
            </w:tcBorders>
            <w:shd w:val="clear" w:color="auto" w:fill="auto"/>
          </w:tcPr>
          <w:p w:rsidR="00035233" w:rsidRPr="00483745" w:rsidRDefault="00035233" w:rsidP="00035233">
            <w:pPr>
              <w:pStyle w:val="05Tabletext"/>
              <w:jc w:val="center"/>
              <w:rPr>
                <w:vertAlign w:val="superscript"/>
              </w:rPr>
            </w:pPr>
            <w:r>
              <w:t>7 (2)</w:t>
            </w:r>
          </w:p>
        </w:tc>
        <w:tc>
          <w:tcPr>
            <w:tcW w:w="1396" w:type="pct"/>
            <w:tcBorders>
              <w:top w:val="single" w:sz="4" w:space="0" w:color="auto"/>
              <w:bottom w:val="single" w:sz="4" w:space="0" w:color="auto"/>
            </w:tcBorders>
            <w:shd w:val="clear" w:color="auto" w:fill="auto"/>
          </w:tcPr>
          <w:p w:rsidR="00035233" w:rsidRDefault="00035233" w:rsidP="00035233">
            <w:pPr>
              <w:pStyle w:val="05Tabletext"/>
              <w:jc w:val="center"/>
            </w:pPr>
            <w:r>
              <w:t>11 (4)</w:t>
            </w:r>
          </w:p>
        </w:tc>
      </w:tr>
      <w:tr w:rsidR="00035233" w:rsidRPr="00194011" w:rsidTr="00035233">
        <w:trPr>
          <w:cantSplit/>
        </w:trPr>
        <w:tc>
          <w:tcPr>
            <w:tcW w:w="2207" w:type="pct"/>
            <w:tcBorders>
              <w:top w:val="single" w:sz="4" w:space="0" w:color="auto"/>
            </w:tcBorders>
            <w:shd w:val="clear" w:color="auto" w:fill="auto"/>
          </w:tcPr>
          <w:p w:rsidR="00035233" w:rsidRPr="00C42188" w:rsidRDefault="00035233" w:rsidP="00035233">
            <w:pPr>
              <w:pStyle w:val="05Tabletext"/>
            </w:pPr>
            <w:r>
              <w:t>Drug-related AE, n (%)</w:t>
            </w:r>
          </w:p>
        </w:tc>
        <w:tc>
          <w:tcPr>
            <w:tcW w:w="1397" w:type="pct"/>
            <w:tcBorders>
              <w:top w:val="single" w:sz="4" w:space="0" w:color="auto"/>
            </w:tcBorders>
            <w:shd w:val="clear" w:color="auto" w:fill="auto"/>
          </w:tcPr>
          <w:p w:rsidR="00035233" w:rsidRPr="00194011" w:rsidRDefault="00035233" w:rsidP="00035233">
            <w:pPr>
              <w:pStyle w:val="05Tabletext"/>
              <w:jc w:val="center"/>
            </w:pPr>
            <w:r>
              <w:t>21 (7)</w:t>
            </w:r>
          </w:p>
        </w:tc>
        <w:tc>
          <w:tcPr>
            <w:tcW w:w="1396" w:type="pct"/>
            <w:tcBorders>
              <w:top w:val="single" w:sz="4" w:space="0" w:color="auto"/>
            </w:tcBorders>
            <w:shd w:val="clear" w:color="auto" w:fill="auto"/>
          </w:tcPr>
          <w:p w:rsidR="00035233" w:rsidRPr="00194011" w:rsidRDefault="00035233" w:rsidP="00035233">
            <w:pPr>
              <w:pStyle w:val="05Tabletext"/>
              <w:jc w:val="center"/>
            </w:pPr>
            <w:r>
              <w:t>12 (4)</w:t>
            </w:r>
          </w:p>
        </w:tc>
      </w:tr>
      <w:tr w:rsidR="00035233" w:rsidRPr="00194011" w:rsidTr="00035233">
        <w:trPr>
          <w:cantSplit/>
        </w:trPr>
        <w:tc>
          <w:tcPr>
            <w:tcW w:w="2207" w:type="pct"/>
            <w:shd w:val="clear" w:color="auto" w:fill="auto"/>
          </w:tcPr>
          <w:p w:rsidR="00035233" w:rsidRPr="003D2042" w:rsidRDefault="00035233" w:rsidP="00035233">
            <w:pPr>
              <w:pStyle w:val="05Tabletext"/>
            </w:pPr>
            <w:r>
              <w:t>Any SAE, n (%)</w:t>
            </w:r>
          </w:p>
        </w:tc>
        <w:tc>
          <w:tcPr>
            <w:tcW w:w="1397" w:type="pct"/>
            <w:shd w:val="clear" w:color="auto" w:fill="auto"/>
          </w:tcPr>
          <w:p w:rsidR="00035233" w:rsidRPr="00BD6442" w:rsidRDefault="00035233" w:rsidP="00035233">
            <w:pPr>
              <w:pStyle w:val="05Tabletext"/>
              <w:jc w:val="center"/>
            </w:pPr>
            <w:r>
              <w:t>10 (3)</w:t>
            </w:r>
          </w:p>
        </w:tc>
        <w:tc>
          <w:tcPr>
            <w:tcW w:w="1396" w:type="pct"/>
            <w:shd w:val="clear" w:color="auto" w:fill="auto"/>
          </w:tcPr>
          <w:p w:rsidR="00035233" w:rsidRPr="003D2042" w:rsidRDefault="00035233" w:rsidP="00035233">
            <w:pPr>
              <w:pStyle w:val="05Tabletext"/>
              <w:jc w:val="center"/>
            </w:pPr>
            <w:r>
              <w:t>10 (3)</w:t>
            </w:r>
          </w:p>
        </w:tc>
      </w:tr>
      <w:tr w:rsidR="00035233" w:rsidRPr="00194011" w:rsidTr="00035233">
        <w:trPr>
          <w:cantSplit/>
        </w:trPr>
        <w:tc>
          <w:tcPr>
            <w:tcW w:w="2207" w:type="pct"/>
            <w:shd w:val="clear" w:color="auto" w:fill="auto"/>
          </w:tcPr>
          <w:p w:rsidR="00035233" w:rsidRDefault="00035233" w:rsidP="00035233">
            <w:pPr>
              <w:pStyle w:val="05Tabletext"/>
            </w:pPr>
            <w:r>
              <w:t>AE leading to withdrawal, n (%)</w:t>
            </w:r>
          </w:p>
        </w:tc>
        <w:tc>
          <w:tcPr>
            <w:tcW w:w="1397" w:type="pct"/>
            <w:shd w:val="clear" w:color="auto" w:fill="auto"/>
          </w:tcPr>
          <w:p w:rsidR="00035233" w:rsidRPr="00BD6442" w:rsidRDefault="00035233" w:rsidP="00035233">
            <w:pPr>
              <w:pStyle w:val="05Tabletext"/>
              <w:jc w:val="center"/>
            </w:pPr>
            <w:r>
              <w:t>6 (2)</w:t>
            </w:r>
          </w:p>
        </w:tc>
        <w:tc>
          <w:tcPr>
            <w:tcW w:w="1396" w:type="pct"/>
            <w:shd w:val="clear" w:color="auto" w:fill="auto"/>
          </w:tcPr>
          <w:p w:rsidR="00035233" w:rsidRPr="003D2042" w:rsidRDefault="00035233" w:rsidP="00035233">
            <w:pPr>
              <w:pStyle w:val="05Tabletext"/>
              <w:jc w:val="center"/>
            </w:pPr>
            <w:r>
              <w:t>14 (4)</w:t>
            </w:r>
          </w:p>
        </w:tc>
      </w:tr>
      <w:tr w:rsidR="00035233" w:rsidRPr="00194011" w:rsidTr="00035233">
        <w:trPr>
          <w:cantSplit/>
        </w:trPr>
        <w:tc>
          <w:tcPr>
            <w:tcW w:w="2207" w:type="pct"/>
            <w:shd w:val="clear" w:color="auto" w:fill="auto"/>
          </w:tcPr>
          <w:p w:rsidR="00035233" w:rsidRDefault="00035233" w:rsidP="00035233">
            <w:pPr>
              <w:pStyle w:val="05Tabletext"/>
            </w:pPr>
            <w:r>
              <w:t>Fatal AE, n (%)</w:t>
            </w:r>
          </w:p>
        </w:tc>
        <w:tc>
          <w:tcPr>
            <w:tcW w:w="1397" w:type="pct"/>
            <w:shd w:val="clear" w:color="auto" w:fill="auto"/>
          </w:tcPr>
          <w:p w:rsidR="00035233" w:rsidRPr="00BD6442" w:rsidRDefault="00035233" w:rsidP="00035233">
            <w:pPr>
              <w:pStyle w:val="05Tabletext"/>
              <w:jc w:val="center"/>
            </w:pPr>
            <w:r>
              <w:t>0</w:t>
            </w:r>
          </w:p>
        </w:tc>
        <w:tc>
          <w:tcPr>
            <w:tcW w:w="1396" w:type="pct"/>
            <w:shd w:val="clear" w:color="auto" w:fill="auto"/>
          </w:tcPr>
          <w:p w:rsidR="00035233" w:rsidRPr="00D14F62" w:rsidRDefault="00035233" w:rsidP="00035233">
            <w:pPr>
              <w:pStyle w:val="05Tabletext"/>
              <w:jc w:val="center"/>
            </w:pPr>
            <w:r>
              <w:t>2 (&lt;1)</w:t>
            </w:r>
            <w:r>
              <w:rPr>
                <w:vertAlign w:val="superscript"/>
              </w:rPr>
              <w:t>a</w:t>
            </w:r>
          </w:p>
        </w:tc>
      </w:tr>
    </w:tbl>
    <w:p w:rsidR="00035233" w:rsidRDefault="00035233" w:rsidP="00035233">
      <w:pPr>
        <w:pStyle w:val="10TableorFigurefootnote"/>
      </w:pPr>
      <w:r>
        <w:t>Source: Covelli et al (2016), Table 4 and pg 9 (in text).</w:t>
      </w:r>
    </w:p>
    <w:p w:rsidR="00035233" w:rsidRDefault="00035233" w:rsidP="00035233">
      <w:pPr>
        <w:pStyle w:val="10TableorFigurefootnote"/>
      </w:pPr>
      <w:r>
        <w:t>Abbreviations: AE, adverse event; FLU, fluticasone</w:t>
      </w:r>
      <w:r w:rsidR="00ED357B">
        <w:t xml:space="preserve"> furoate</w:t>
      </w:r>
      <w:r>
        <w:t>; SAE, serious adverse event; LRTI, lower respiratory tract infection; TIO, tiotropium; VIL, vilanterol.</w:t>
      </w:r>
    </w:p>
    <w:p w:rsidR="00035233" w:rsidRDefault="00035233" w:rsidP="00035233">
      <w:pPr>
        <w:pStyle w:val="10TableorFigurefootnote"/>
      </w:pPr>
      <w:r>
        <w:t xml:space="preserve">Note: </w:t>
      </w:r>
      <w:r w:rsidRPr="00A178ED">
        <w:t>Subjects who experienced a COPD exacerbation or pneumonia were withdrawn</w:t>
      </w:r>
      <w:r>
        <w:t xml:space="preserve"> from the study. One patient in the fluticasone/vilanterol arm was withdrawn only after their second exacerbation.</w:t>
      </w:r>
    </w:p>
    <w:p w:rsidR="00035233" w:rsidRPr="00D14F62" w:rsidRDefault="00035233" w:rsidP="00035233">
      <w:pPr>
        <w:pStyle w:val="10TableorFigurefootnote"/>
      </w:pPr>
      <w:proofErr w:type="gramStart"/>
      <w:r>
        <w:rPr>
          <w:b/>
        </w:rPr>
        <w:t>a</w:t>
      </w:r>
      <w:proofErr w:type="gramEnd"/>
      <w:r>
        <w:t xml:space="preserve"> One due to cardiopulmonary arrest and the other due to cardiorespiratory arrest and cardiac failure.</w:t>
      </w:r>
    </w:p>
    <w:p w:rsidR="00035233" w:rsidRDefault="00035233" w:rsidP="00035233">
      <w:pPr>
        <w:pStyle w:val="BodyText"/>
      </w:pPr>
      <w:r>
        <w:t>Overall, the study indicated that the cardiovascular safety of both fluticasone</w:t>
      </w:r>
      <w:r w:rsidR="00ED357B">
        <w:t xml:space="preserve"> furoate</w:t>
      </w:r>
      <w:r>
        <w:t>/vilanterol and tiotropium were acceptable; however, due to the short duration of the study (12 weeks) it is difficult to draw any firm conclusions about infrequent outcomes such as the incidence of CVD, pneumonia or risk of mortality.</w:t>
      </w:r>
    </w:p>
    <w:p w:rsidR="00035233" w:rsidRDefault="00035233" w:rsidP="00251CB8">
      <w:pPr>
        <w:pStyle w:val="Heading4"/>
        <w:numPr>
          <w:ilvl w:val="3"/>
          <w:numId w:val="11"/>
        </w:numPr>
      </w:pPr>
      <w:r>
        <w:t>Summary of findings:</w:t>
      </w:r>
    </w:p>
    <w:p w:rsidR="00035233" w:rsidRDefault="00035233" w:rsidP="00D353E3">
      <w:pPr>
        <w:pStyle w:val="Bullettext"/>
      </w:pPr>
      <w:r>
        <w:t>Wedzicha et al (2008; good quality) conducted an RCT over a two</w:t>
      </w:r>
      <w:r w:rsidR="009828FD">
        <w:t>-</w:t>
      </w:r>
      <w:r>
        <w:t>year period to compare the effect of treatment with fluticasone</w:t>
      </w:r>
      <w:r w:rsidR="00ED357B">
        <w:t xml:space="preserve"> propionate</w:t>
      </w:r>
      <w:r>
        <w:t>/salmeterol or tiotropium on the risk of exacerbations and mortality in patients with relatively severe COPD. The rate of exacerbations was similar in the two treatment groups; however</w:t>
      </w:r>
      <w:r w:rsidR="00D72F75">
        <w:t>,</w:t>
      </w:r>
      <w:r>
        <w:t xml:space="preserve"> the nature of those exacerbations differed, with fluticasone</w:t>
      </w:r>
      <w:r w:rsidR="00ED357B">
        <w:t xml:space="preserve"> propionate</w:t>
      </w:r>
      <w:r>
        <w:t>/salmeterol patients being significantly more likely to receive treatment with oral corticosteroids and tiotropium patients being treated significantly more often with antibiotics. While there was a significantly higher incidence of pneumonia with fluticasone</w:t>
      </w:r>
      <w:r w:rsidR="00ED357B">
        <w:t xml:space="preserve"> propionate</w:t>
      </w:r>
      <w:r>
        <w:t>/salmeterol treatment, it was also associated with significant improvements in overall survival.</w:t>
      </w:r>
      <w:r w:rsidR="00D353E3">
        <w:t xml:space="preserve"> </w:t>
      </w:r>
      <w:r w:rsidR="00D72F75">
        <w:t>M</w:t>
      </w:r>
      <w:r w:rsidR="001A1585">
        <w:t>ore recent and</w:t>
      </w:r>
      <w:r w:rsidR="00D353E3" w:rsidRPr="00D353E3">
        <w:t xml:space="preserve"> </w:t>
      </w:r>
      <w:r w:rsidR="00D236E7">
        <w:t xml:space="preserve">larger studies examining the effect of ICS treatment on survival </w:t>
      </w:r>
      <w:r w:rsidR="00A5311B">
        <w:t xml:space="preserve">have subsequently become </w:t>
      </w:r>
      <w:r w:rsidR="001A1585">
        <w:t xml:space="preserve">available </w:t>
      </w:r>
      <w:r w:rsidR="00D236E7">
        <w:t xml:space="preserve">and are discussed in </w:t>
      </w:r>
      <w:r w:rsidR="00D353E3">
        <w:t>Section 5 (ToR 4).</w:t>
      </w:r>
    </w:p>
    <w:p w:rsidR="00035233" w:rsidRDefault="00035233" w:rsidP="00035233">
      <w:pPr>
        <w:pStyle w:val="Bullettext"/>
      </w:pPr>
      <w:r>
        <w:t>Sarac et al (2016; poor quality) also compared exacerbation rates in patients treated with fluticasone</w:t>
      </w:r>
      <w:r w:rsidR="00ED357B">
        <w:t xml:space="preserve"> propionate</w:t>
      </w:r>
      <w:r>
        <w:t>/salmeterol versus tiotropium. While the results numerically favoured the ICS/LABA combination, statistical significance was not achieved; however, the study may not have been sufficiently powered to detect a difference between the treatments.</w:t>
      </w:r>
    </w:p>
    <w:p w:rsidR="00035233" w:rsidRPr="00764764" w:rsidRDefault="00035233" w:rsidP="00D72F75">
      <w:pPr>
        <w:pStyle w:val="Bullettext"/>
      </w:pPr>
      <w:r>
        <w:t>Covelli et al (2016; good quality) investigated the comparative efficacy and safety of fluticasone</w:t>
      </w:r>
      <w:r w:rsidR="00ED357B">
        <w:t xml:space="preserve"> furoate</w:t>
      </w:r>
      <w:r>
        <w:t xml:space="preserve">/vilanterol and tiotropium in patients with CVD or at risk of a cardiovascular event. Both treatment groups demonstrated a similar magnitude of </w:t>
      </w:r>
      <w:r>
        <w:lastRenderedPageBreak/>
        <w:t>improvement from baseline in terms of trough FEV</w:t>
      </w:r>
      <w:r w:rsidRPr="00796238">
        <w:rPr>
          <w:vertAlign w:val="subscript"/>
        </w:rPr>
        <w:t>1</w:t>
      </w:r>
      <w:r>
        <w:t>. While fluticasone</w:t>
      </w:r>
      <w:r w:rsidR="00ED357B">
        <w:t xml:space="preserve"> furoate</w:t>
      </w:r>
      <w:r>
        <w:t>/vilanterol and tiotropium were generally comparable with respect to safety, longer</w:t>
      </w:r>
      <w:r w:rsidR="0050164C">
        <w:t>-</w:t>
      </w:r>
      <w:r>
        <w:t>term follow up may clarify the significance of some minor differences between the groups relating to pneumonia</w:t>
      </w:r>
      <w:r w:rsidR="00D72F75">
        <w:t>, exacerbations and withdrawals.</w:t>
      </w:r>
    </w:p>
    <w:p w:rsidR="00216CC6" w:rsidRDefault="00216CC6" w:rsidP="00251CB8">
      <w:pPr>
        <w:pStyle w:val="Heading3"/>
        <w:numPr>
          <w:ilvl w:val="2"/>
          <w:numId w:val="36"/>
        </w:numPr>
      </w:pPr>
      <w:bookmarkStart w:id="497" w:name="_Toc482185955"/>
      <w:bookmarkStart w:id="498" w:name="_Toc486428089"/>
      <w:bookmarkStart w:id="499" w:name="_Ref467570691"/>
      <w:bookmarkStart w:id="500" w:name="_Toc468028613"/>
      <w:bookmarkStart w:id="501" w:name="_Toc471890927"/>
      <w:r>
        <w:t>ICS/LABA versus LABA monotherapy</w:t>
      </w:r>
      <w:bookmarkEnd w:id="497"/>
      <w:bookmarkEnd w:id="498"/>
    </w:p>
    <w:p w:rsidR="00216CC6" w:rsidRDefault="00216CC6" w:rsidP="00216CC6">
      <w:pPr>
        <w:pStyle w:val="BodyText"/>
      </w:pPr>
      <w:r w:rsidRPr="00216CC6">
        <w:t xml:space="preserve">No studies were identified that </w:t>
      </w:r>
      <w:r w:rsidR="002545DA">
        <w:t xml:space="preserve">directly </w:t>
      </w:r>
      <w:r w:rsidRPr="00216CC6">
        <w:t xml:space="preserve">compared </w:t>
      </w:r>
      <w:r w:rsidR="002545DA">
        <w:t xml:space="preserve">the comparative efficacy of </w:t>
      </w:r>
      <w:r w:rsidRPr="00216CC6">
        <w:t>a</w:t>
      </w:r>
      <w:r>
        <w:t>n ICS/LABA</w:t>
      </w:r>
      <w:r w:rsidRPr="00216CC6">
        <w:t xml:space="preserve"> FDC with a PBS-listed LABA monotherapy (i.e. indacaterol).</w:t>
      </w:r>
    </w:p>
    <w:p w:rsidR="00B81E5A" w:rsidRPr="00745648" w:rsidRDefault="002545DA" w:rsidP="00B81E5A">
      <w:pPr>
        <w:pStyle w:val="BodyText"/>
      </w:pPr>
      <w:r>
        <w:t>O</w:t>
      </w:r>
      <w:r w:rsidR="00B81E5A">
        <w:t xml:space="preserve">ne </w:t>
      </w:r>
      <w:r w:rsidR="00015A6A">
        <w:t xml:space="preserve">withdrawel </w:t>
      </w:r>
      <w:r w:rsidR="00B81E5A">
        <w:t xml:space="preserve">RCT was identified </w:t>
      </w:r>
      <w:r w:rsidR="00246584">
        <w:t xml:space="preserve">that </w:t>
      </w:r>
      <w:r w:rsidR="00246584" w:rsidRPr="00246584">
        <w:t>assessed the effect of switching patients who are at low risk of COPD exacerbations from fluticasone</w:t>
      </w:r>
      <w:r w:rsidR="00ED357B">
        <w:t xml:space="preserve"> propionate</w:t>
      </w:r>
      <w:r w:rsidR="00246584" w:rsidRPr="00246584">
        <w:t>/salmeterol to indacaterol monotherapy.</w:t>
      </w:r>
      <w:r w:rsidR="00B81E5A">
        <w:t xml:space="preserve"> The citation details are listed in </w:t>
      </w:r>
      <w:r w:rsidR="00D5724A">
        <w:t>Table 3.7</w:t>
      </w:r>
      <w:r w:rsidR="00967B39">
        <w:t>2</w:t>
      </w:r>
      <w:r w:rsidR="00D5724A">
        <w:t xml:space="preserve"> </w:t>
      </w:r>
      <w:r w:rsidR="00B81E5A">
        <w:t xml:space="preserve">and study characteristics, such as the patient eligibility criteria, length of follow up and outcomes assessed, are </w:t>
      </w:r>
      <w:r w:rsidR="00B81E5A" w:rsidRPr="00445409">
        <w:t>summarised in</w:t>
      </w:r>
      <w:r w:rsidR="00B81E5A">
        <w:t xml:space="preserve"> </w:t>
      </w:r>
      <w:r w:rsidR="00D5724A">
        <w:t>Table 3.7</w:t>
      </w:r>
      <w:r w:rsidR="00967B39">
        <w:t>3</w:t>
      </w:r>
      <w:r w:rsidR="00B81E5A">
        <w:t>.</w:t>
      </w:r>
    </w:p>
    <w:p w:rsidR="00B81E5A" w:rsidRDefault="00D5724A" w:rsidP="00D72F75">
      <w:pPr>
        <w:pStyle w:val="ToR3Tableheader"/>
      </w:pPr>
      <w:bookmarkStart w:id="502" w:name="_Toc486428251"/>
      <w:r>
        <w:t>Table 3.7</w:t>
      </w:r>
      <w:r w:rsidR="00967B39">
        <w:t>2</w:t>
      </w:r>
      <w:r w:rsidR="00B81E5A">
        <w:tab/>
        <w:t>List of RCTs comparing an ICS/LABA combination therapy with a LABA monotherapy</w:t>
      </w:r>
      <w:bookmarkEnd w:id="50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List of RCTs"/>
        <w:tblDescription w:val="List of RCTs comparing an ICS/LABA combination therapy with a LABA monotherapy"/>
      </w:tblPr>
      <w:tblGrid>
        <w:gridCol w:w="1565"/>
        <w:gridCol w:w="6377"/>
        <w:gridCol w:w="1706"/>
      </w:tblGrid>
      <w:tr w:rsidR="00B81E5A" w:rsidRPr="00F01736" w:rsidTr="00B51088">
        <w:trPr>
          <w:cantSplit/>
          <w:tblHeader/>
        </w:trPr>
        <w:tc>
          <w:tcPr>
            <w:tcW w:w="811" w:type="pct"/>
            <w:shd w:val="clear" w:color="auto" w:fill="BFBFBF"/>
          </w:tcPr>
          <w:p w:rsidR="00B81E5A" w:rsidRPr="00F01736" w:rsidRDefault="00B81E5A" w:rsidP="00B51088">
            <w:pPr>
              <w:pStyle w:val="01TableHEADINGleftaligned"/>
            </w:pPr>
            <w:r>
              <w:t>Trial ID</w:t>
            </w:r>
          </w:p>
        </w:tc>
        <w:tc>
          <w:tcPr>
            <w:tcW w:w="3305" w:type="pct"/>
            <w:shd w:val="clear" w:color="auto" w:fill="BFBFBF"/>
          </w:tcPr>
          <w:p w:rsidR="00B81E5A" w:rsidRPr="00F01736" w:rsidRDefault="00B81E5A" w:rsidP="00B51088">
            <w:pPr>
              <w:pStyle w:val="01TableHEADINGleftaligned"/>
              <w:jc w:val="center"/>
            </w:pPr>
            <w:r>
              <w:t>Citation</w:t>
            </w:r>
          </w:p>
        </w:tc>
        <w:tc>
          <w:tcPr>
            <w:tcW w:w="884" w:type="pct"/>
            <w:shd w:val="clear" w:color="auto" w:fill="BFBFBF"/>
          </w:tcPr>
          <w:p w:rsidR="00B81E5A" w:rsidRPr="00F01736" w:rsidRDefault="00B81E5A" w:rsidP="00B51088">
            <w:pPr>
              <w:pStyle w:val="01TableHEADINGleftaligned"/>
              <w:jc w:val="center"/>
            </w:pPr>
            <w:r>
              <w:t>Description</w:t>
            </w:r>
          </w:p>
        </w:tc>
      </w:tr>
      <w:tr w:rsidR="00B81E5A" w:rsidRPr="00194011" w:rsidTr="00B51088">
        <w:trPr>
          <w:cantSplit/>
        </w:trPr>
        <w:tc>
          <w:tcPr>
            <w:tcW w:w="811" w:type="pct"/>
            <w:tcBorders>
              <w:bottom w:val="single" w:sz="4" w:space="0" w:color="auto"/>
            </w:tcBorders>
            <w:shd w:val="clear" w:color="auto" w:fill="auto"/>
          </w:tcPr>
          <w:p w:rsidR="00B81E5A" w:rsidRPr="009C73B0" w:rsidRDefault="00B81E5A" w:rsidP="00B51088">
            <w:pPr>
              <w:pStyle w:val="05Tabletext"/>
            </w:pPr>
            <w:r>
              <w:t>INSTEAD</w:t>
            </w:r>
          </w:p>
        </w:tc>
        <w:tc>
          <w:tcPr>
            <w:tcW w:w="3305" w:type="pct"/>
            <w:shd w:val="clear" w:color="auto" w:fill="auto"/>
          </w:tcPr>
          <w:p w:rsidR="00B81E5A" w:rsidRPr="009C73B0" w:rsidRDefault="00B81E5A" w:rsidP="00B51088">
            <w:pPr>
              <w:pStyle w:val="05Tabletext"/>
            </w:pPr>
            <w:r w:rsidRPr="006C415F">
              <w:t>Rossi A, Van Der Molen T, Del Olmo R, Papi A, Wehbe L, Quinn M, et al (2014). INSTEAD: A randomised switch trial of indacaterol versus salmeterol/fluticasone in moderate COPD. European Respiratory Journal 44 (6):1548-1556.</w:t>
            </w:r>
          </w:p>
        </w:tc>
        <w:tc>
          <w:tcPr>
            <w:tcW w:w="884" w:type="pct"/>
            <w:shd w:val="clear" w:color="auto" w:fill="auto"/>
          </w:tcPr>
          <w:p w:rsidR="00B81E5A" w:rsidRPr="009C73B0" w:rsidRDefault="00B81E5A" w:rsidP="00B51088">
            <w:pPr>
              <w:pStyle w:val="05Tabletext"/>
            </w:pPr>
            <w:r>
              <w:t>Key publication</w:t>
            </w:r>
          </w:p>
        </w:tc>
      </w:tr>
    </w:tbl>
    <w:p w:rsidR="00B81E5A" w:rsidRDefault="00B81E5A" w:rsidP="00B81E5A">
      <w:pPr>
        <w:pStyle w:val="11TableorFigurefootnotenostick"/>
      </w:pPr>
      <w:r w:rsidRPr="00422C78">
        <w:t xml:space="preserve">Abbreviations: </w:t>
      </w:r>
      <w:r>
        <w:t xml:space="preserve">ICS, inhaled corticosteroid; </w:t>
      </w:r>
      <w:r w:rsidRPr="00422C78">
        <w:t>LABA</w:t>
      </w:r>
      <w:r>
        <w:t>, long-actin g beta-agonist; RCT, randomised controlled trial.</w:t>
      </w:r>
    </w:p>
    <w:p w:rsidR="00B81E5A" w:rsidRDefault="00B81E5A" w:rsidP="00B81E5A">
      <w:pPr>
        <w:pStyle w:val="BodyText"/>
      </w:pPr>
    </w:p>
    <w:p w:rsidR="00B81E5A" w:rsidRDefault="00B81E5A" w:rsidP="00B81E5A">
      <w:pPr>
        <w:pStyle w:val="BodyText"/>
        <w:sectPr w:rsidR="00B81E5A" w:rsidSect="00CB3D44">
          <w:headerReference w:type="default" r:id="rId50"/>
          <w:footerReference w:type="default" r:id="rId51"/>
          <w:pgSz w:w="11906" w:h="16838"/>
          <w:pgMar w:top="1134" w:right="1134" w:bottom="1134" w:left="1134" w:header="709" w:footer="709" w:gutter="0"/>
          <w:cols w:space="708"/>
          <w:docGrid w:linePitch="360"/>
        </w:sectPr>
      </w:pPr>
    </w:p>
    <w:p w:rsidR="00B81E5A" w:rsidRDefault="00D5724A" w:rsidP="00D72F75">
      <w:pPr>
        <w:pStyle w:val="ToR3Tableheader"/>
      </w:pPr>
      <w:bookmarkStart w:id="503" w:name="_Toc486428252"/>
      <w:r>
        <w:lastRenderedPageBreak/>
        <w:t>Table 3.</w:t>
      </w:r>
      <w:r w:rsidR="00411D11">
        <w:t>73</w:t>
      </w:r>
      <w:r w:rsidR="00B81E5A">
        <w:tab/>
        <w:t>Details of RCTs comparing dual therapy with ICS/LABA with LABA monotherapy in patients with COPD</w:t>
      </w:r>
      <w:bookmarkEnd w:id="50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Caption w:val="Study characteristics"/>
        <w:tblDescription w:val="Details of RCTs comparing dual therapy with ICS/LABA with LABA monotherapy in patients with COPD"/>
      </w:tblPr>
      <w:tblGrid>
        <w:gridCol w:w="1800"/>
        <w:gridCol w:w="647"/>
        <w:gridCol w:w="892"/>
        <w:gridCol w:w="1688"/>
        <w:gridCol w:w="6383"/>
        <w:gridCol w:w="980"/>
        <w:gridCol w:w="2190"/>
      </w:tblGrid>
      <w:tr w:rsidR="00B81E5A" w:rsidRPr="00194011" w:rsidTr="00B51088">
        <w:trPr>
          <w:cantSplit/>
          <w:trHeight w:val="735"/>
          <w:tblHeader/>
        </w:trPr>
        <w:tc>
          <w:tcPr>
            <w:tcW w:w="617" w:type="pct"/>
            <w:shd w:val="clear" w:color="auto" w:fill="BFBFBF"/>
          </w:tcPr>
          <w:p w:rsidR="00B81E5A" w:rsidRPr="00194011" w:rsidRDefault="00B81E5A" w:rsidP="00B51088">
            <w:pPr>
              <w:pStyle w:val="01TableHEADINGleftaligned"/>
            </w:pPr>
            <w:r w:rsidRPr="00194011">
              <w:t>Trial ID</w:t>
            </w:r>
          </w:p>
          <w:p w:rsidR="00B81E5A" w:rsidRPr="00AC28D5" w:rsidRDefault="00B81E5A" w:rsidP="00B51088">
            <w:pPr>
              <w:pStyle w:val="01TableHEADINGleftaligned"/>
            </w:pPr>
            <w:r w:rsidRPr="00F24C36">
              <w:t xml:space="preserve">1. </w:t>
            </w:r>
            <w:r>
              <w:t>Related p</w:t>
            </w:r>
            <w:r w:rsidRPr="00F24C36">
              <w:t>ublications</w:t>
            </w:r>
            <w:r w:rsidRPr="00F24C36">
              <w:br/>
              <w:t>2. Study quality</w:t>
            </w:r>
            <w:r>
              <w:br/>
            </w:r>
            <w:r w:rsidRPr="00F24C36">
              <w:t>3. Country</w:t>
            </w:r>
            <w:r w:rsidRPr="00F24C36">
              <w:br/>
              <w:t>4. Sponsor</w:t>
            </w:r>
          </w:p>
        </w:tc>
        <w:tc>
          <w:tcPr>
            <w:tcW w:w="222" w:type="pct"/>
            <w:shd w:val="clear" w:color="auto" w:fill="BFBFBF"/>
          </w:tcPr>
          <w:p w:rsidR="00B81E5A" w:rsidRPr="00194011" w:rsidRDefault="00B81E5A" w:rsidP="00B51088">
            <w:pPr>
              <w:pStyle w:val="02TableHEADINGcentred"/>
            </w:pPr>
            <w:r w:rsidRPr="00194011">
              <w:t>N</w:t>
            </w:r>
          </w:p>
        </w:tc>
        <w:tc>
          <w:tcPr>
            <w:tcW w:w="306" w:type="pct"/>
            <w:shd w:val="clear" w:color="auto" w:fill="BFBFBF"/>
          </w:tcPr>
          <w:p w:rsidR="00B81E5A" w:rsidRPr="00194011" w:rsidRDefault="00B81E5A" w:rsidP="00B51088">
            <w:pPr>
              <w:pStyle w:val="02TableHEADINGcentred"/>
            </w:pPr>
            <w:r w:rsidRPr="00194011">
              <w:t>Study design</w:t>
            </w:r>
          </w:p>
        </w:tc>
        <w:tc>
          <w:tcPr>
            <w:tcW w:w="579" w:type="pct"/>
            <w:shd w:val="clear" w:color="auto" w:fill="BFBFBF"/>
          </w:tcPr>
          <w:p w:rsidR="00B81E5A" w:rsidRPr="00194011" w:rsidRDefault="00B81E5A" w:rsidP="00B51088">
            <w:pPr>
              <w:pStyle w:val="01TableHEADINGleftaligned"/>
              <w:jc w:val="center"/>
            </w:pPr>
            <w:r w:rsidRPr="00194011">
              <w:t>Tx (n)</w:t>
            </w:r>
          </w:p>
        </w:tc>
        <w:tc>
          <w:tcPr>
            <w:tcW w:w="2189" w:type="pct"/>
            <w:shd w:val="clear" w:color="auto" w:fill="BFBFBF"/>
          </w:tcPr>
          <w:p w:rsidR="00B81E5A" w:rsidRPr="00194011" w:rsidRDefault="00B81E5A" w:rsidP="00B51088">
            <w:pPr>
              <w:pStyle w:val="01TableHEADINGleftaligned"/>
              <w:jc w:val="center"/>
            </w:pPr>
            <w:r w:rsidRPr="00194011">
              <w:t>Eligibility criteria</w:t>
            </w:r>
          </w:p>
        </w:tc>
        <w:tc>
          <w:tcPr>
            <w:tcW w:w="336" w:type="pct"/>
            <w:shd w:val="clear" w:color="auto" w:fill="BFBFBF"/>
          </w:tcPr>
          <w:p w:rsidR="00B81E5A" w:rsidRPr="00194011" w:rsidRDefault="00B81E5A" w:rsidP="00B51088">
            <w:pPr>
              <w:pStyle w:val="01TableHEADINGleftaligned"/>
              <w:jc w:val="center"/>
            </w:pPr>
            <w:r>
              <w:t>Treatment period</w:t>
            </w:r>
          </w:p>
        </w:tc>
        <w:tc>
          <w:tcPr>
            <w:tcW w:w="751" w:type="pct"/>
            <w:shd w:val="clear" w:color="auto" w:fill="BFBFBF"/>
          </w:tcPr>
          <w:p w:rsidR="00B81E5A" w:rsidRPr="00194011" w:rsidRDefault="00B81E5A" w:rsidP="00B51088">
            <w:pPr>
              <w:pStyle w:val="01TableHEADINGleftaligned"/>
              <w:jc w:val="center"/>
            </w:pPr>
            <w:r w:rsidRPr="00194011">
              <w:t>Outcomes reported</w:t>
            </w:r>
          </w:p>
        </w:tc>
      </w:tr>
      <w:tr w:rsidR="00B81E5A" w:rsidRPr="00194011" w:rsidTr="00B51088">
        <w:trPr>
          <w:cantSplit/>
        </w:trPr>
        <w:tc>
          <w:tcPr>
            <w:tcW w:w="617" w:type="pct"/>
            <w:shd w:val="clear" w:color="auto" w:fill="000000"/>
          </w:tcPr>
          <w:p w:rsidR="00B81E5A" w:rsidRDefault="00B81E5A" w:rsidP="00B51088">
            <w:pPr>
              <w:pStyle w:val="04Tablesubheading"/>
            </w:pPr>
            <w:r>
              <w:t>FLU/SAL vs IND</w:t>
            </w:r>
          </w:p>
        </w:tc>
        <w:tc>
          <w:tcPr>
            <w:tcW w:w="222" w:type="pct"/>
            <w:shd w:val="clear" w:color="auto" w:fill="000000"/>
          </w:tcPr>
          <w:p w:rsidR="00B81E5A" w:rsidRDefault="00B81E5A" w:rsidP="00B51088">
            <w:pPr>
              <w:pStyle w:val="04Tablesubheading"/>
            </w:pPr>
          </w:p>
        </w:tc>
        <w:tc>
          <w:tcPr>
            <w:tcW w:w="306" w:type="pct"/>
            <w:shd w:val="clear" w:color="auto" w:fill="000000"/>
          </w:tcPr>
          <w:p w:rsidR="00B81E5A" w:rsidRDefault="00B81E5A" w:rsidP="00B51088">
            <w:pPr>
              <w:pStyle w:val="04Tablesubheading"/>
            </w:pPr>
          </w:p>
        </w:tc>
        <w:tc>
          <w:tcPr>
            <w:tcW w:w="579" w:type="pct"/>
            <w:shd w:val="clear" w:color="auto" w:fill="000000"/>
          </w:tcPr>
          <w:p w:rsidR="00B81E5A" w:rsidRDefault="00B81E5A" w:rsidP="00B51088">
            <w:pPr>
              <w:pStyle w:val="04Tablesubheading"/>
            </w:pPr>
          </w:p>
        </w:tc>
        <w:tc>
          <w:tcPr>
            <w:tcW w:w="2189" w:type="pct"/>
            <w:shd w:val="clear" w:color="auto" w:fill="000000"/>
          </w:tcPr>
          <w:p w:rsidR="00B81E5A" w:rsidRDefault="00B81E5A" w:rsidP="00B51088">
            <w:pPr>
              <w:pStyle w:val="04Tablesubheading"/>
              <w:rPr>
                <w:u w:val="single"/>
              </w:rPr>
            </w:pPr>
          </w:p>
        </w:tc>
        <w:tc>
          <w:tcPr>
            <w:tcW w:w="336" w:type="pct"/>
            <w:shd w:val="clear" w:color="auto" w:fill="000000"/>
          </w:tcPr>
          <w:p w:rsidR="00B81E5A" w:rsidRDefault="00B81E5A" w:rsidP="00B51088">
            <w:pPr>
              <w:pStyle w:val="04Tablesubheading"/>
            </w:pPr>
          </w:p>
        </w:tc>
        <w:tc>
          <w:tcPr>
            <w:tcW w:w="751" w:type="pct"/>
            <w:shd w:val="clear" w:color="auto" w:fill="000000"/>
          </w:tcPr>
          <w:p w:rsidR="00B81E5A" w:rsidRDefault="00B81E5A" w:rsidP="00B51088">
            <w:pPr>
              <w:pStyle w:val="04Tablesubheading"/>
              <w:rPr>
                <w:u w:val="single"/>
              </w:rPr>
            </w:pPr>
          </w:p>
        </w:tc>
      </w:tr>
      <w:tr w:rsidR="00B81E5A" w:rsidRPr="00194011" w:rsidTr="00B51088">
        <w:trPr>
          <w:cantSplit/>
        </w:trPr>
        <w:tc>
          <w:tcPr>
            <w:tcW w:w="617" w:type="pct"/>
            <w:shd w:val="clear" w:color="auto" w:fill="auto"/>
          </w:tcPr>
          <w:p w:rsidR="00B81E5A" w:rsidRDefault="00B81E5A" w:rsidP="00B51088">
            <w:pPr>
              <w:pStyle w:val="05Tabletext"/>
            </w:pPr>
            <w:r>
              <w:t>INSTEAD</w:t>
            </w:r>
          </w:p>
          <w:p w:rsidR="00B81E5A" w:rsidRDefault="00B81E5A" w:rsidP="00251CB8">
            <w:pPr>
              <w:pStyle w:val="06Tabletextspacebefore"/>
              <w:numPr>
                <w:ilvl w:val="0"/>
                <w:numId w:val="24"/>
              </w:numPr>
            </w:pPr>
            <w:r>
              <w:t>Rossi (2014)</w:t>
            </w:r>
          </w:p>
          <w:p w:rsidR="00B81E5A" w:rsidRDefault="00B81E5A" w:rsidP="00251CB8">
            <w:pPr>
              <w:pStyle w:val="06Tabletextspacebefore"/>
              <w:numPr>
                <w:ilvl w:val="0"/>
                <w:numId w:val="24"/>
              </w:numPr>
            </w:pPr>
            <w:r>
              <w:t>Good quality</w:t>
            </w:r>
          </w:p>
          <w:p w:rsidR="00B81E5A" w:rsidRDefault="00B81E5A" w:rsidP="00251CB8">
            <w:pPr>
              <w:pStyle w:val="06Tabletextspacebefore"/>
              <w:numPr>
                <w:ilvl w:val="0"/>
                <w:numId w:val="24"/>
              </w:numPr>
            </w:pPr>
            <w:r>
              <w:t>Argentina, Colombia, Italy, Malaysia, Mexico, Netherlands, Spain, Switzerland, UK</w:t>
            </w:r>
          </w:p>
          <w:p w:rsidR="00B81E5A" w:rsidRPr="00C12EF6" w:rsidRDefault="00B81E5A" w:rsidP="00251CB8">
            <w:pPr>
              <w:pStyle w:val="06Tabletextspacebefore"/>
              <w:numPr>
                <w:ilvl w:val="0"/>
                <w:numId w:val="24"/>
              </w:numPr>
            </w:pPr>
            <w:r>
              <w:t>Novartis</w:t>
            </w:r>
          </w:p>
        </w:tc>
        <w:tc>
          <w:tcPr>
            <w:tcW w:w="222" w:type="pct"/>
            <w:shd w:val="clear" w:color="auto" w:fill="auto"/>
          </w:tcPr>
          <w:p w:rsidR="00B81E5A" w:rsidRDefault="00B81E5A" w:rsidP="00B51088">
            <w:pPr>
              <w:pStyle w:val="05Tabletext"/>
              <w:jc w:val="center"/>
            </w:pPr>
            <w:r>
              <w:t>581</w:t>
            </w:r>
          </w:p>
        </w:tc>
        <w:tc>
          <w:tcPr>
            <w:tcW w:w="306" w:type="pct"/>
            <w:shd w:val="clear" w:color="auto" w:fill="auto"/>
          </w:tcPr>
          <w:p w:rsidR="00B81E5A" w:rsidRDefault="00B81E5A" w:rsidP="00B51088">
            <w:pPr>
              <w:pStyle w:val="05Tabletext"/>
            </w:pPr>
            <w:r>
              <w:t>Non-inferiority. Double-blind, double-dummy.</w:t>
            </w:r>
          </w:p>
        </w:tc>
        <w:tc>
          <w:tcPr>
            <w:tcW w:w="579" w:type="pct"/>
            <w:shd w:val="clear" w:color="auto" w:fill="auto"/>
          </w:tcPr>
          <w:p w:rsidR="00B81E5A" w:rsidRDefault="00B81E5A" w:rsidP="00B51088">
            <w:pPr>
              <w:pStyle w:val="05Tabletext"/>
            </w:pPr>
            <w:r>
              <w:t>FLU/SAL 500/50 μg bid (n=288)</w:t>
            </w:r>
          </w:p>
          <w:p w:rsidR="00B81E5A" w:rsidRPr="009C2867" w:rsidRDefault="00B81E5A" w:rsidP="00B51088">
            <w:pPr>
              <w:pStyle w:val="06Tabletextspacebefore"/>
            </w:pPr>
            <w:r>
              <w:t>IND 150 μg qd (n=293)</w:t>
            </w:r>
          </w:p>
        </w:tc>
        <w:tc>
          <w:tcPr>
            <w:tcW w:w="2189" w:type="pct"/>
            <w:shd w:val="clear" w:color="auto" w:fill="auto"/>
          </w:tcPr>
          <w:p w:rsidR="00B81E5A" w:rsidRDefault="00B81E5A" w:rsidP="00B51088">
            <w:pPr>
              <w:pStyle w:val="05Tabletext"/>
            </w:pPr>
            <w:r>
              <w:rPr>
                <w:u w:val="single"/>
              </w:rPr>
              <w:t>Inclusion</w:t>
            </w:r>
          </w:p>
          <w:p w:rsidR="00B81E5A" w:rsidRPr="00CA5F31" w:rsidRDefault="00B81E5A" w:rsidP="00B51088">
            <w:pPr>
              <w:pStyle w:val="05Tabletext"/>
            </w:pPr>
            <w:r>
              <w:t>(1) Age ≥40 years, (2), moderate COPD (Stage II – GOLD 2010), (3) receiving FLU/SAL 500/50 μg for ≥3 months, with no COPD exacerbations for more than a year before the study (patients for whom ICS is not recommended), (4) post-bronchodilator FEV</w:t>
            </w:r>
            <w:r>
              <w:rPr>
                <w:vertAlign w:val="subscript"/>
              </w:rPr>
              <w:t>1</w:t>
            </w:r>
            <w:r>
              <w:t xml:space="preserve"> ≥50% and &lt;80% of predicted normal, (5) post-bronchodilator FEV</w:t>
            </w:r>
            <w:r>
              <w:rPr>
                <w:vertAlign w:val="subscript"/>
              </w:rPr>
              <w:t>1</w:t>
            </w:r>
            <w:r>
              <w:t>/FVC &lt;0.7 at screening.</w:t>
            </w:r>
          </w:p>
          <w:p w:rsidR="00B81E5A" w:rsidRDefault="00B81E5A" w:rsidP="00B51088">
            <w:pPr>
              <w:pStyle w:val="06Tabletextspacebefore"/>
              <w:rPr>
                <w:u w:val="single"/>
              </w:rPr>
            </w:pPr>
            <w:r>
              <w:rPr>
                <w:u w:val="single"/>
              </w:rPr>
              <w:t>Exclusion</w:t>
            </w:r>
          </w:p>
          <w:p w:rsidR="00B81E5A" w:rsidRDefault="00B81E5A" w:rsidP="00B51088">
            <w:pPr>
              <w:pStyle w:val="05Tabletext"/>
            </w:pPr>
            <w:r>
              <w:t>(1) COPD exacerbation that required treatment with antibiotics and/or oral corticosteroids and/or hospitalisation in the year before screening visit or during the run-in period, (2) history of asthma, (3) receiving any other maintenance treatment for COPD on entry to study (no washout of maintenance COPD medication was permitted), (4) long-term oxygen therapy, (5) respiratory tract infection within 4 weeks prior to the screening visit.</w:t>
            </w:r>
          </w:p>
          <w:p w:rsidR="00B81E5A" w:rsidRDefault="00B81E5A" w:rsidP="00B51088">
            <w:pPr>
              <w:pStyle w:val="06Tabletextspacebefore"/>
            </w:pPr>
            <w:r>
              <w:rPr>
                <w:u w:val="single"/>
              </w:rPr>
              <w:t>Other</w:t>
            </w:r>
          </w:p>
          <w:p w:rsidR="00B81E5A" w:rsidRPr="00AD5511" w:rsidRDefault="00B81E5A" w:rsidP="00B51088">
            <w:pPr>
              <w:pStyle w:val="05Tabletext"/>
            </w:pPr>
            <w:r>
              <w:t>(1) All patients received unblinded FLU/SAL for a 14-day run-in period, (2) salbutamol was provided as rescue medication.</w:t>
            </w:r>
          </w:p>
        </w:tc>
        <w:tc>
          <w:tcPr>
            <w:tcW w:w="336" w:type="pct"/>
            <w:shd w:val="clear" w:color="auto" w:fill="auto"/>
          </w:tcPr>
          <w:p w:rsidR="00B81E5A" w:rsidRDefault="00B81E5A" w:rsidP="00B51088">
            <w:pPr>
              <w:pStyle w:val="05Tabletext"/>
              <w:jc w:val="center"/>
            </w:pPr>
            <w:r>
              <w:t>26 weeks</w:t>
            </w:r>
          </w:p>
        </w:tc>
        <w:tc>
          <w:tcPr>
            <w:tcW w:w="751" w:type="pct"/>
            <w:shd w:val="clear" w:color="auto" w:fill="auto"/>
          </w:tcPr>
          <w:p w:rsidR="00B81E5A" w:rsidRDefault="00B81E5A" w:rsidP="00B51088">
            <w:pPr>
              <w:pStyle w:val="05Tabletext"/>
            </w:pPr>
            <w:r>
              <w:rPr>
                <w:u w:val="single"/>
              </w:rPr>
              <w:t>Primary</w:t>
            </w:r>
          </w:p>
          <w:p w:rsidR="00B81E5A" w:rsidRDefault="00B81E5A" w:rsidP="00B51088">
            <w:pPr>
              <w:pStyle w:val="05Tabletext"/>
            </w:pPr>
            <w:r>
              <w:t>Trough FEV</w:t>
            </w:r>
            <w:r>
              <w:rPr>
                <w:vertAlign w:val="subscript"/>
              </w:rPr>
              <w:t>1</w:t>
            </w:r>
            <w:r>
              <w:t xml:space="preserve"> at 12 weeks.</w:t>
            </w:r>
            <w:r>
              <w:rPr>
                <w:rStyle w:val="FootnoteReference"/>
              </w:rPr>
              <w:footnoteReference w:id="53"/>
            </w:r>
          </w:p>
          <w:p w:rsidR="00B81E5A" w:rsidRDefault="00B81E5A" w:rsidP="00B51088">
            <w:pPr>
              <w:pStyle w:val="06Tabletextspacebefore"/>
              <w:rPr>
                <w:u w:val="single"/>
              </w:rPr>
            </w:pPr>
            <w:r>
              <w:rPr>
                <w:u w:val="single"/>
              </w:rPr>
              <w:t>Secondary</w:t>
            </w:r>
          </w:p>
          <w:p w:rsidR="00B81E5A" w:rsidRPr="00262702" w:rsidRDefault="00B81E5A" w:rsidP="00B51088">
            <w:pPr>
              <w:pStyle w:val="05Tabletext"/>
            </w:pPr>
            <w:r>
              <w:t>Trough FEV</w:t>
            </w:r>
            <w:r>
              <w:rPr>
                <w:vertAlign w:val="subscript"/>
              </w:rPr>
              <w:t>1</w:t>
            </w:r>
            <w:r>
              <w:t xml:space="preserve"> at other visits; TDI total score; SGRQ total score at weeks 12 and 26; use of rescue medication; COPD exacerbations over 26 weeks;</w:t>
            </w:r>
            <w:r>
              <w:rPr>
                <w:rStyle w:val="FootnoteReference"/>
              </w:rPr>
              <w:footnoteReference w:id="54"/>
            </w:r>
            <w:r>
              <w:t xml:space="preserve"> trough inspiratory capacity (exploratory endpoint).</w:t>
            </w:r>
          </w:p>
        </w:tc>
      </w:tr>
    </w:tbl>
    <w:p w:rsidR="00B81E5A" w:rsidRDefault="00B81E5A" w:rsidP="00B81E5A">
      <w:pPr>
        <w:pStyle w:val="10TableorFigurefootnote"/>
      </w:pPr>
      <w:r w:rsidRPr="00745648">
        <w:t>Note: N refers to number randomised unless otherwise specified.</w:t>
      </w:r>
    </w:p>
    <w:p w:rsidR="00B81E5A" w:rsidRDefault="00B81E5A" w:rsidP="00B81E5A">
      <w:pPr>
        <w:pStyle w:val="11TableorFigurefootnotenostick"/>
      </w:pPr>
      <w:r>
        <w:t>Abbreviations: bid, twice daily; COPD, chronic obstructive pulmonary disease; FEV</w:t>
      </w:r>
      <w:r>
        <w:rPr>
          <w:vertAlign w:val="subscript"/>
        </w:rPr>
        <w:t>1</w:t>
      </w:r>
      <w:r>
        <w:t>, forced expiratory volume in one second; FLU, fluticasone</w:t>
      </w:r>
      <w:r w:rsidR="00ED357B">
        <w:t xml:space="preserve"> propionate</w:t>
      </w:r>
      <w:r>
        <w:t>; FVC, forced vital capacity; GOLD, Global initiative for chronic Obstructive Lung Disease; ICS, inhaled corticosteroid; IND, indacaterol; LABA, long-acting beta-agonist; qd, once daily; SAL, salmeterol; SGRQ, St George’s Respiratory Questionnaire; TDI, Transition Dyspnea Index.</w:t>
      </w:r>
    </w:p>
    <w:p w:rsidR="00B81E5A" w:rsidRDefault="00B81E5A" w:rsidP="00B81E5A">
      <w:pPr>
        <w:pStyle w:val="BodyText"/>
      </w:pPr>
    </w:p>
    <w:p w:rsidR="00B81E5A" w:rsidRDefault="00B81E5A" w:rsidP="00B81E5A">
      <w:pPr>
        <w:pStyle w:val="BodyText"/>
        <w:sectPr w:rsidR="00B81E5A" w:rsidSect="00035233">
          <w:footerReference w:type="default" r:id="rId52"/>
          <w:pgSz w:w="16838" w:h="11906" w:orient="landscape"/>
          <w:pgMar w:top="1134" w:right="1134" w:bottom="1134" w:left="1134" w:header="709" w:footer="709" w:gutter="0"/>
          <w:cols w:space="708"/>
          <w:docGrid w:linePitch="360"/>
        </w:sectPr>
      </w:pPr>
    </w:p>
    <w:p w:rsidR="00B81E5A" w:rsidRPr="00246584" w:rsidRDefault="00B81E5A" w:rsidP="00246584">
      <w:pPr>
        <w:rPr>
          <w:b/>
        </w:rPr>
      </w:pPr>
      <w:r w:rsidRPr="00246584">
        <w:rPr>
          <w:b/>
        </w:rPr>
        <w:lastRenderedPageBreak/>
        <w:t>Fluticasone</w:t>
      </w:r>
      <w:r w:rsidR="00ED357B">
        <w:rPr>
          <w:b/>
        </w:rPr>
        <w:t xml:space="preserve"> propionate</w:t>
      </w:r>
      <w:r w:rsidRPr="00246584">
        <w:rPr>
          <w:b/>
        </w:rPr>
        <w:t>/salmeterol versus indacaterol</w:t>
      </w:r>
    </w:p>
    <w:p w:rsidR="00B81E5A" w:rsidRPr="00246584" w:rsidRDefault="00B81E5A" w:rsidP="00246584">
      <w:pPr>
        <w:rPr>
          <w:u w:val="single"/>
        </w:rPr>
      </w:pPr>
      <w:r w:rsidRPr="00246584">
        <w:rPr>
          <w:u w:val="single"/>
        </w:rPr>
        <w:t>INSTEAD study</w:t>
      </w:r>
    </w:p>
    <w:p w:rsidR="00B81E5A" w:rsidRDefault="00B81E5A" w:rsidP="00B81E5A">
      <w:pPr>
        <w:pStyle w:val="BodyTextnospacebefore"/>
      </w:pPr>
      <w:r>
        <w:t>This 26-week RCT assessed the effect of switching patients who are at low risk of COPD exacerbations from fluticasone</w:t>
      </w:r>
      <w:r w:rsidR="00ED357B">
        <w:t xml:space="preserve"> propionate</w:t>
      </w:r>
      <w:r>
        <w:t>/salmeterol to indacaterol monotherapy. Patients were considered to be at low risk of exacerbations if they had post-bronchodilator FEV</w:t>
      </w:r>
      <w:r>
        <w:rPr>
          <w:vertAlign w:val="subscript"/>
        </w:rPr>
        <w:t>1</w:t>
      </w:r>
      <w:r>
        <w:t xml:space="preserve"> </w:t>
      </w:r>
      <w:r w:rsidRPr="00C8099E">
        <w:t>≥50</w:t>
      </w:r>
      <w:r>
        <w:t>% predicted normal and had experienced no more than one exacerbation in the previous year. Eligibility criteria also required patients to have received fluticasone</w:t>
      </w:r>
      <w:r w:rsidR="00ED357B">
        <w:t xml:space="preserve"> propionate</w:t>
      </w:r>
      <w:r>
        <w:t>/salmeterol for at least three months prior to enrolment.</w:t>
      </w:r>
    </w:p>
    <w:p w:rsidR="00B81E5A" w:rsidRDefault="00B81E5A" w:rsidP="00B81E5A">
      <w:pPr>
        <w:pStyle w:val="BodyText"/>
      </w:pPr>
      <w:r>
        <w:t>Interestingly, the patients recruited in this study represent a patient population in which ICS/LABA combinations are generally not recommended in clinical practice guidelines. However, given the significant proportion of such patients who are prescribed ICS early in the course of COPD, the authors felt that it would be helpful to understand the consequences of withdrawal of ICS in such populations.</w:t>
      </w:r>
    </w:p>
    <w:p w:rsidR="00B81E5A" w:rsidRPr="0092638F" w:rsidRDefault="00D5724A" w:rsidP="00B81E5A">
      <w:pPr>
        <w:pStyle w:val="BodyText"/>
      </w:pPr>
      <w:r>
        <w:t>Table 3.7</w:t>
      </w:r>
      <w:r w:rsidR="00411D11">
        <w:t>4</w:t>
      </w:r>
      <w:r>
        <w:t xml:space="preserve"> </w:t>
      </w:r>
      <w:r w:rsidR="00B81E5A">
        <w:t>shows the results of the primary efficacy outcome (trough FEV</w:t>
      </w:r>
      <w:r w:rsidR="00B81E5A">
        <w:rPr>
          <w:vertAlign w:val="subscript"/>
        </w:rPr>
        <w:t>1</w:t>
      </w:r>
      <w:r w:rsidR="00B81E5A">
        <w:t xml:space="preserve"> based on the per protocol population). The least squares mean change from b</w:t>
      </w:r>
      <w:r w:rsidR="007C7B60">
        <w:t>aseline with indacaterol was –9 </w:t>
      </w:r>
      <w:r w:rsidR="00B81E5A">
        <w:t>mL compared with fluticasone</w:t>
      </w:r>
      <w:r w:rsidR="00ED357B">
        <w:t xml:space="preserve"> propionate</w:t>
      </w:r>
      <w:r w:rsidR="00B81E5A">
        <w:t>/salmeterol and the lower bound of the 95% CI (–45 mL) was higher that the predefined non-inferiority margin of –60 mL. A subsequent test for superiority in the full analysis set demonstrated that the treatments were not significantly different.</w:t>
      </w:r>
    </w:p>
    <w:p w:rsidR="00B81E5A" w:rsidRDefault="00D5724A" w:rsidP="007C7B60">
      <w:pPr>
        <w:pStyle w:val="ToR3Tableheader"/>
      </w:pPr>
      <w:bookmarkStart w:id="504" w:name="_Toc486428253"/>
      <w:r>
        <w:t>Table 3.7</w:t>
      </w:r>
      <w:r w:rsidR="00411D11">
        <w:t>4</w:t>
      </w:r>
      <w:r w:rsidR="00B81E5A">
        <w:tab/>
        <w:t>Change from baseline to Week 12 for trough FEV</w:t>
      </w:r>
      <w:r w:rsidR="00B81E5A">
        <w:rPr>
          <w:vertAlign w:val="subscript"/>
        </w:rPr>
        <w:t xml:space="preserve">1 </w:t>
      </w:r>
      <w:r w:rsidR="00B81E5A">
        <w:t>– IND vs FLU/SAL</w:t>
      </w:r>
      <w:bookmarkEnd w:id="50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Change from baseline to Week 12 for trough FEV1 "/>
        <w:tblDescription w:val="IND vs FLU/SAL"/>
      </w:tblPr>
      <w:tblGrid>
        <w:gridCol w:w="2701"/>
        <w:gridCol w:w="1275"/>
        <w:gridCol w:w="1275"/>
        <w:gridCol w:w="1275"/>
        <w:gridCol w:w="1275"/>
        <w:gridCol w:w="1847"/>
      </w:tblGrid>
      <w:tr w:rsidR="00B81E5A" w:rsidRPr="00F01736" w:rsidTr="00B51088">
        <w:trPr>
          <w:cantSplit/>
          <w:tblHeader/>
        </w:trPr>
        <w:tc>
          <w:tcPr>
            <w:tcW w:w="1399" w:type="pct"/>
            <w:shd w:val="clear" w:color="auto" w:fill="BFBFBF"/>
          </w:tcPr>
          <w:p w:rsidR="00B81E5A" w:rsidRPr="00F01736" w:rsidRDefault="00B81E5A" w:rsidP="00B51088">
            <w:pPr>
              <w:pStyle w:val="01TableHEADINGleftaligned"/>
            </w:pPr>
            <w:r>
              <w:t>LS mean difference from baseline</w:t>
            </w:r>
          </w:p>
        </w:tc>
        <w:tc>
          <w:tcPr>
            <w:tcW w:w="661" w:type="pct"/>
            <w:tcBorders>
              <w:right w:val="nil"/>
            </w:tcBorders>
            <w:shd w:val="clear" w:color="auto" w:fill="BFBFBF"/>
          </w:tcPr>
          <w:p w:rsidR="00B81E5A" w:rsidRPr="00F01736" w:rsidRDefault="00B81E5A" w:rsidP="00B51088">
            <w:pPr>
              <w:pStyle w:val="01TableHEADINGleftaligned"/>
              <w:ind w:right="0"/>
              <w:jc w:val="right"/>
            </w:pPr>
            <w:r>
              <w:t>IND</w:t>
            </w:r>
          </w:p>
        </w:tc>
        <w:tc>
          <w:tcPr>
            <w:tcW w:w="661" w:type="pct"/>
            <w:tcBorders>
              <w:left w:val="nil"/>
              <w:right w:val="single" w:sz="4" w:space="0" w:color="auto"/>
            </w:tcBorders>
            <w:shd w:val="clear" w:color="auto" w:fill="BFBFBF"/>
          </w:tcPr>
          <w:p w:rsidR="00B81E5A" w:rsidRPr="00F01736" w:rsidRDefault="00B81E5A" w:rsidP="00B51088">
            <w:pPr>
              <w:pStyle w:val="01TableHEADINGleftaligned"/>
              <w:ind w:left="0" w:right="0"/>
            </w:pPr>
            <w:r>
              <w:t xml:space="preserve"> 150</w:t>
            </w:r>
          </w:p>
        </w:tc>
        <w:tc>
          <w:tcPr>
            <w:tcW w:w="661" w:type="pct"/>
            <w:tcBorders>
              <w:left w:val="single" w:sz="4" w:space="0" w:color="auto"/>
              <w:right w:val="nil"/>
            </w:tcBorders>
            <w:shd w:val="clear" w:color="auto" w:fill="BFBFBF"/>
          </w:tcPr>
          <w:p w:rsidR="00B81E5A" w:rsidRPr="00F01736" w:rsidRDefault="00B81E5A" w:rsidP="00B51088">
            <w:pPr>
              <w:pStyle w:val="01TableHEADINGleftaligned"/>
              <w:ind w:right="0"/>
              <w:jc w:val="right"/>
            </w:pPr>
            <w:r>
              <w:t>FLU/SAL</w:t>
            </w:r>
          </w:p>
        </w:tc>
        <w:tc>
          <w:tcPr>
            <w:tcW w:w="661" w:type="pct"/>
            <w:tcBorders>
              <w:left w:val="nil"/>
            </w:tcBorders>
            <w:shd w:val="clear" w:color="auto" w:fill="BFBFBF"/>
          </w:tcPr>
          <w:p w:rsidR="00B81E5A" w:rsidRPr="00F01736" w:rsidRDefault="00B81E5A" w:rsidP="00B51088">
            <w:pPr>
              <w:pStyle w:val="01TableHEADINGleftaligned"/>
              <w:ind w:left="0"/>
            </w:pPr>
            <w:r>
              <w:t xml:space="preserve"> 500/50</w:t>
            </w:r>
          </w:p>
        </w:tc>
        <w:tc>
          <w:tcPr>
            <w:tcW w:w="957" w:type="pct"/>
            <w:shd w:val="clear" w:color="auto" w:fill="BFBFBF"/>
          </w:tcPr>
          <w:p w:rsidR="00B81E5A" w:rsidRPr="00F01736" w:rsidRDefault="00B81E5A" w:rsidP="00B51088">
            <w:pPr>
              <w:pStyle w:val="01TableHEADINGleftaligned"/>
              <w:jc w:val="center"/>
            </w:pPr>
            <w:r>
              <w:t>Treatment difference</w:t>
            </w:r>
          </w:p>
        </w:tc>
      </w:tr>
      <w:tr w:rsidR="00B81E5A" w:rsidRPr="00194011" w:rsidTr="00B51088">
        <w:trPr>
          <w:cantSplit/>
        </w:trPr>
        <w:tc>
          <w:tcPr>
            <w:tcW w:w="1399" w:type="pct"/>
            <w:shd w:val="clear" w:color="auto" w:fill="000000"/>
          </w:tcPr>
          <w:p w:rsidR="00B81E5A" w:rsidRPr="00194011" w:rsidRDefault="00B81E5A" w:rsidP="00B51088">
            <w:pPr>
              <w:pStyle w:val="04Tablesubheading"/>
            </w:pPr>
          </w:p>
        </w:tc>
        <w:tc>
          <w:tcPr>
            <w:tcW w:w="661" w:type="pct"/>
            <w:shd w:val="clear" w:color="auto" w:fill="000000"/>
          </w:tcPr>
          <w:p w:rsidR="00B81E5A" w:rsidRPr="00C34E40" w:rsidRDefault="00B81E5A" w:rsidP="00B51088">
            <w:pPr>
              <w:pStyle w:val="04Tablesubheading"/>
              <w:jc w:val="center"/>
            </w:pPr>
            <w:r>
              <w:t>n</w:t>
            </w:r>
          </w:p>
        </w:tc>
        <w:tc>
          <w:tcPr>
            <w:tcW w:w="661" w:type="pct"/>
            <w:shd w:val="clear" w:color="auto" w:fill="000000"/>
          </w:tcPr>
          <w:p w:rsidR="00B81E5A" w:rsidRPr="00C34E40" w:rsidRDefault="00B81E5A" w:rsidP="00B51088">
            <w:pPr>
              <w:pStyle w:val="04Tablesubheading"/>
              <w:jc w:val="center"/>
            </w:pPr>
            <w:r>
              <w:t>Mean</w:t>
            </w:r>
            <w:r w:rsidRPr="00C34E40">
              <w:t xml:space="preserve"> </w:t>
            </w:r>
            <w:r>
              <w:t>±SE</w:t>
            </w:r>
          </w:p>
        </w:tc>
        <w:tc>
          <w:tcPr>
            <w:tcW w:w="661" w:type="pct"/>
            <w:shd w:val="clear" w:color="auto" w:fill="000000"/>
          </w:tcPr>
          <w:p w:rsidR="00B81E5A" w:rsidRPr="00C34E40" w:rsidRDefault="00B81E5A" w:rsidP="00B51088">
            <w:pPr>
              <w:pStyle w:val="04Tablesubheading"/>
              <w:jc w:val="center"/>
            </w:pPr>
            <w:r>
              <w:t>n</w:t>
            </w:r>
          </w:p>
        </w:tc>
        <w:tc>
          <w:tcPr>
            <w:tcW w:w="661" w:type="pct"/>
            <w:shd w:val="clear" w:color="auto" w:fill="000000"/>
          </w:tcPr>
          <w:p w:rsidR="00B81E5A" w:rsidRPr="00C34E40" w:rsidRDefault="00B81E5A" w:rsidP="00B51088">
            <w:pPr>
              <w:pStyle w:val="04Tablesubheading"/>
              <w:jc w:val="center"/>
            </w:pPr>
            <w:r>
              <w:t>Mean ±SE</w:t>
            </w:r>
          </w:p>
        </w:tc>
        <w:tc>
          <w:tcPr>
            <w:tcW w:w="957" w:type="pct"/>
            <w:shd w:val="clear" w:color="auto" w:fill="000000"/>
          </w:tcPr>
          <w:p w:rsidR="00B81E5A" w:rsidRPr="00194011" w:rsidRDefault="00B81E5A" w:rsidP="00B51088">
            <w:pPr>
              <w:pStyle w:val="04Tablesubheading"/>
              <w:jc w:val="center"/>
            </w:pPr>
            <w:r>
              <w:t>Δ</w:t>
            </w:r>
            <w:r w:rsidRPr="00C34E40">
              <w:t xml:space="preserve"> (95% CI)</w:t>
            </w:r>
          </w:p>
        </w:tc>
      </w:tr>
      <w:tr w:rsidR="00B81E5A" w:rsidRPr="00194011" w:rsidTr="00B51088">
        <w:trPr>
          <w:cantSplit/>
        </w:trPr>
        <w:tc>
          <w:tcPr>
            <w:tcW w:w="1399" w:type="pct"/>
            <w:shd w:val="clear" w:color="auto" w:fill="auto"/>
          </w:tcPr>
          <w:p w:rsidR="00B81E5A" w:rsidRDefault="00B81E5A" w:rsidP="00B51088">
            <w:pPr>
              <w:pStyle w:val="05Tabletext"/>
            </w:pPr>
            <w:r>
              <w:t>Trough FEV</w:t>
            </w:r>
            <w:r>
              <w:rPr>
                <w:vertAlign w:val="subscript"/>
              </w:rPr>
              <w:t>1</w:t>
            </w:r>
            <w:r>
              <w:t xml:space="preserve"> at Week 12, L</w:t>
            </w:r>
          </w:p>
          <w:p w:rsidR="00B81E5A" w:rsidRPr="00C25B8F" w:rsidRDefault="00B81E5A" w:rsidP="00B51088">
            <w:pPr>
              <w:pStyle w:val="05Tabletext"/>
              <w:rPr>
                <w:i/>
              </w:rPr>
            </w:pPr>
            <w:r>
              <w:rPr>
                <w:i/>
              </w:rPr>
              <w:t>Per protocol analysis</w:t>
            </w:r>
          </w:p>
        </w:tc>
        <w:tc>
          <w:tcPr>
            <w:tcW w:w="661" w:type="pct"/>
            <w:shd w:val="clear" w:color="auto" w:fill="auto"/>
          </w:tcPr>
          <w:p w:rsidR="00B81E5A" w:rsidRPr="00194011" w:rsidRDefault="00B81E5A" w:rsidP="00B51088">
            <w:pPr>
              <w:pStyle w:val="05Tabletext"/>
              <w:jc w:val="center"/>
            </w:pPr>
            <w:r>
              <w:t>247</w:t>
            </w:r>
          </w:p>
        </w:tc>
        <w:tc>
          <w:tcPr>
            <w:tcW w:w="661" w:type="pct"/>
            <w:shd w:val="clear" w:color="auto" w:fill="auto"/>
          </w:tcPr>
          <w:p w:rsidR="00B81E5A" w:rsidRPr="003E664B" w:rsidRDefault="00B81E5A" w:rsidP="00B51088">
            <w:pPr>
              <w:pStyle w:val="05Tabletext"/>
              <w:jc w:val="center"/>
            </w:pPr>
            <w:r w:rsidRPr="003E664B">
              <w:t>1.584</w:t>
            </w:r>
            <w:r>
              <w:t xml:space="preserve"> ±0.0294</w:t>
            </w:r>
          </w:p>
        </w:tc>
        <w:tc>
          <w:tcPr>
            <w:tcW w:w="661" w:type="pct"/>
            <w:shd w:val="clear" w:color="auto" w:fill="auto"/>
          </w:tcPr>
          <w:p w:rsidR="00B81E5A" w:rsidRPr="00194011" w:rsidRDefault="00B81E5A" w:rsidP="00B51088">
            <w:pPr>
              <w:pStyle w:val="05Tabletext"/>
              <w:jc w:val="center"/>
            </w:pPr>
            <w:r>
              <w:t>249</w:t>
            </w:r>
          </w:p>
        </w:tc>
        <w:tc>
          <w:tcPr>
            <w:tcW w:w="661" w:type="pct"/>
            <w:shd w:val="clear" w:color="auto" w:fill="auto"/>
          </w:tcPr>
          <w:p w:rsidR="00B81E5A" w:rsidRPr="00194011" w:rsidRDefault="00B81E5A" w:rsidP="00B51088">
            <w:pPr>
              <w:pStyle w:val="05Tabletext"/>
              <w:jc w:val="center"/>
              <w:rPr>
                <w:vertAlign w:val="superscript"/>
              </w:rPr>
            </w:pPr>
            <w:r>
              <w:t>1.593 ±0.0300</w:t>
            </w:r>
          </w:p>
        </w:tc>
        <w:tc>
          <w:tcPr>
            <w:tcW w:w="957" w:type="pct"/>
            <w:shd w:val="clear" w:color="auto" w:fill="auto"/>
          </w:tcPr>
          <w:p w:rsidR="00B81E5A" w:rsidRPr="00194011" w:rsidRDefault="00B81E5A" w:rsidP="00B51088">
            <w:pPr>
              <w:pStyle w:val="05Tabletext"/>
              <w:jc w:val="center"/>
            </w:pPr>
            <w:r>
              <w:t>–0.009 (–0.045, 0.026)</w:t>
            </w:r>
          </w:p>
        </w:tc>
      </w:tr>
      <w:tr w:rsidR="00B81E5A" w:rsidRPr="00194011" w:rsidTr="00B51088">
        <w:trPr>
          <w:cantSplit/>
        </w:trPr>
        <w:tc>
          <w:tcPr>
            <w:tcW w:w="1399" w:type="pct"/>
            <w:shd w:val="clear" w:color="auto" w:fill="auto"/>
          </w:tcPr>
          <w:p w:rsidR="00B81E5A" w:rsidRDefault="00B81E5A" w:rsidP="00B51088">
            <w:pPr>
              <w:pStyle w:val="05Tabletext"/>
            </w:pPr>
            <w:r>
              <w:t>Trough FEV</w:t>
            </w:r>
            <w:r>
              <w:rPr>
                <w:vertAlign w:val="subscript"/>
              </w:rPr>
              <w:t>1</w:t>
            </w:r>
            <w:r>
              <w:t xml:space="preserve"> at Week 12, L</w:t>
            </w:r>
          </w:p>
          <w:p w:rsidR="00B81E5A" w:rsidRPr="00C25B8F" w:rsidRDefault="00B81E5A" w:rsidP="00B51088">
            <w:pPr>
              <w:pStyle w:val="05Tabletext"/>
              <w:rPr>
                <w:i/>
              </w:rPr>
            </w:pPr>
            <w:r>
              <w:rPr>
                <w:i/>
              </w:rPr>
              <w:t>Full analysis set</w:t>
            </w:r>
          </w:p>
        </w:tc>
        <w:tc>
          <w:tcPr>
            <w:tcW w:w="661" w:type="pct"/>
            <w:shd w:val="clear" w:color="auto" w:fill="auto"/>
          </w:tcPr>
          <w:p w:rsidR="00B81E5A" w:rsidRPr="00194011" w:rsidRDefault="00B81E5A" w:rsidP="00B51088">
            <w:pPr>
              <w:pStyle w:val="05Tabletext"/>
              <w:jc w:val="center"/>
            </w:pPr>
            <w:r>
              <w:t>293</w:t>
            </w:r>
          </w:p>
        </w:tc>
        <w:tc>
          <w:tcPr>
            <w:tcW w:w="661" w:type="pct"/>
            <w:shd w:val="clear" w:color="auto" w:fill="auto"/>
          </w:tcPr>
          <w:p w:rsidR="00B81E5A" w:rsidRPr="00194011" w:rsidRDefault="00B81E5A" w:rsidP="00B51088">
            <w:pPr>
              <w:pStyle w:val="05Tabletext"/>
              <w:jc w:val="center"/>
              <w:rPr>
                <w:vertAlign w:val="superscript"/>
              </w:rPr>
            </w:pPr>
            <w:r>
              <w:t>NR</w:t>
            </w:r>
          </w:p>
        </w:tc>
        <w:tc>
          <w:tcPr>
            <w:tcW w:w="661" w:type="pct"/>
            <w:shd w:val="clear" w:color="auto" w:fill="auto"/>
          </w:tcPr>
          <w:p w:rsidR="00B81E5A" w:rsidRPr="00194011" w:rsidRDefault="00B81E5A" w:rsidP="00B51088">
            <w:pPr>
              <w:pStyle w:val="05Tabletext"/>
              <w:jc w:val="center"/>
            </w:pPr>
            <w:r>
              <w:t>288</w:t>
            </w:r>
          </w:p>
        </w:tc>
        <w:tc>
          <w:tcPr>
            <w:tcW w:w="661" w:type="pct"/>
            <w:shd w:val="clear" w:color="auto" w:fill="auto"/>
          </w:tcPr>
          <w:p w:rsidR="00B81E5A" w:rsidRPr="00194011" w:rsidRDefault="00B81E5A" w:rsidP="00B51088">
            <w:pPr>
              <w:pStyle w:val="05Tabletext"/>
              <w:jc w:val="center"/>
              <w:rPr>
                <w:vertAlign w:val="superscript"/>
              </w:rPr>
            </w:pPr>
            <w:r>
              <w:t>NR</w:t>
            </w:r>
          </w:p>
        </w:tc>
        <w:tc>
          <w:tcPr>
            <w:tcW w:w="957" w:type="pct"/>
            <w:shd w:val="clear" w:color="auto" w:fill="auto"/>
          </w:tcPr>
          <w:p w:rsidR="00B81E5A" w:rsidRPr="00194011" w:rsidRDefault="00B81E5A" w:rsidP="00B51088">
            <w:pPr>
              <w:pStyle w:val="05Tabletext"/>
              <w:jc w:val="center"/>
            </w:pPr>
            <w:r>
              <w:t>–0.014 (–0.046, 0.019)</w:t>
            </w:r>
          </w:p>
        </w:tc>
      </w:tr>
    </w:tbl>
    <w:p w:rsidR="00B81E5A" w:rsidRDefault="00B81E5A" w:rsidP="00B81E5A">
      <w:pPr>
        <w:pStyle w:val="10TableorFigurefootnote"/>
      </w:pPr>
      <w:r>
        <w:t>Source: Rossi et al (2014), pg 1550.</w:t>
      </w:r>
    </w:p>
    <w:p w:rsidR="00B81E5A" w:rsidRDefault="00B81E5A" w:rsidP="00B81E5A">
      <w:pPr>
        <w:pStyle w:val="10TableorFigurefootnote"/>
      </w:pPr>
      <w:r>
        <w:t xml:space="preserve">Note: </w:t>
      </w:r>
      <w:proofErr w:type="gramStart"/>
      <w:r>
        <w:t>The per</w:t>
      </w:r>
      <w:proofErr w:type="gramEnd"/>
      <w:r>
        <w:t xml:space="preserve"> protocol analysis was the primary efficacy analysis. </w:t>
      </w:r>
      <w:r w:rsidRPr="00FE20CC">
        <w:t>Analysed using a mixed model, with treatment as a fixed effect and baseline FEV</w:t>
      </w:r>
      <w:r w:rsidRPr="00E96CB8">
        <w:rPr>
          <w:vertAlign w:val="subscript"/>
        </w:rPr>
        <w:t>1</w:t>
      </w:r>
      <w:r w:rsidRPr="00FE20CC">
        <w:t xml:space="preserve"> and components of the FEV</w:t>
      </w:r>
      <w:r w:rsidRPr="00E96CB8">
        <w:rPr>
          <w:vertAlign w:val="subscript"/>
        </w:rPr>
        <w:t>1</w:t>
      </w:r>
      <w:r w:rsidRPr="00E96CB8">
        <w:t xml:space="preserve"> </w:t>
      </w:r>
      <w:r w:rsidRPr="00FE20CC">
        <w:t>screening test as covariates. The model also used smoking status and country as fixed effects, and centre nested within country as a random effect. Similar models, analysed for superiority, were used for the secondary and exploratory variables, with the relevant baseline parameter used in place of baseline FEV</w:t>
      </w:r>
      <w:r w:rsidRPr="00E96CB8">
        <w:rPr>
          <w:vertAlign w:val="subscript"/>
        </w:rPr>
        <w:t>1</w:t>
      </w:r>
      <w:r w:rsidRPr="00FE20CC">
        <w:t>.</w:t>
      </w:r>
    </w:p>
    <w:p w:rsidR="00B81E5A" w:rsidRDefault="00B81E5A" w:rsidP="00B81E5A">
      <w:pPr>
        <w:pStyle w:val="11TableorFigurefootnotenostick"/>
      </w:pPr>
      <w:r>
        <w:t>Abbreviations: CI, confidence interval; FEV</w:t>
      </w:r>
      <w:r>
        <w:rPr>
          <w:vertAlign w:val="subscript"/>
        </w:rPr>
        <w:t>1</w:t>
      </w:r>
      <w:r>
        <w:t>, forced expiratory volume in one second; FLU, fluticasone</w:t>
      </w:r>
      <w:r w:rsidR="00ED357B">
        <w:t xml:space="preserve"> propionate</w:t>
      </w:r>
      <w:r>
        <w:t>; IND, indacaterol; LS, least squares; SAL, salmeterol; SE, standard error.</w:t>
      </w:r>
    </w:p>
    <w:p w:rsidR="00B81E5A" w:rsidRPr="0085479D" w:rsidRDefault="00B81E5A" w:rsidP="00B81E5A">
      <w:pPr>
        <w:pStyle w:val="BodyText"/>
      </w:pPr>
      <w:r>
        <w:t xml:space="preserve">COPD exacerbations were assessed according to severity (i.e. mild, moderate and severe) as shown in </w:t>
      </w:r>
      <w:r w:rsidR="00D5724A">
        <w:t>Table 3.7</w:t>
      </w:r>
      <w:r w:rsidR="00411D11">
        <w:t>5</w:t>
      </w:r>
      <w:r w:rsidR="00D5724A">
        <w:t>.</w:t>
      </w:r>
      <w:r>
        <w:t xml:space="preserve"> Across each of the categories of severity, there were no statistically significant differences between the treatments, with the results numerically favouring indacaterol (risk ratio for all exacerbations: 0.86; 95% CI 0.62, 1.20; p=0.367). It should be noted that the study was powered for lung function outcomes and not COPD exacerbations.</w:t>
      </w:r>
    </w:p>
    <w:p w:rsidR="00B81E5A" w:rsidRDefault="00D5724A" w:rsidP="007C7B60">
      <w:pPr>
        <w:pStyle w:val="ToR3Tableheader"/>
      </w:pPr>
      <w:bookmarkStart w:id="505" w:name="_Toc486428254"/>
      <w:r>
        <w:lastRenderedPageBreak/>
        <w:t>Table 3.7</w:t>
      </w:r>
      <w:r w:rsidR="00411D11">
        <w:t>5</w:t>
      </w:r>
      <w:r w:rsidR="00B81E5A">
        <w:tab/>
        <w:t>Number and rate of exacerbations – IND vs FLU/SAL</w:t>
      </w:r>
      <w:bookmarkEnd w:id="50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Number and rate of exacerbations "/>
        <w:tblDescription w:val="IND vs FLU/SAL"/>
      </w:tblPr>
      <w:tblGrid>
        <w:gridCol w:w="2274"/>
        <w:gridCol w:w="921"/>
        <w:gridCol w:w="923"/>
        <w:gridCol w:w="922"/>
        <w:gridCol w:w="922"/>
        <w:gridCol w:w="920"/>
        <w:gridCol w:w="922"/>
        <w:gridCol w:w="922"/>
        <w:gridCol w:w="922"/>
      </w:tblGrid>
      <w:tr w:rsidR="00B81E5A" w:rsidRPr="00F01736" w:rsidTr="00B51088">
        <w:trPr>
          <w:cantSplit/>
          <w:tblHeader/>
        </w:trPr>
        <w:tc>
          <w:tcPr>
            <w:tcW w:w="1178" w:type="pct"/>
            <w:shd w:val="clear" w:color="auto" w:fill="BFBFBF"/>
          </w:tcPr>
          <w:p w:rsidR="00B81E5A" w:rsidRPr="00F01736" w:rsidRDefault="00B81E5A" w:rsidP="00B51088">
            <w:pPr>
              <w:pStyle w:val="01TableHEADINGleftaligned"/>
            </w:pPr>
            <w:r>
              <w:t>Exacerbations</w:t>
            </w:r>
          </w:p>
        </w:tc>
        <w:tc>
          <w:tcPr>
            <w:tcW w:w="477" w:type="pct"/>
            <w:tcBorders>
              <w:right w:val="nil"/>
            </w:tcBorders>
            <w:shd w:val="clear" w:color="auto" w:fill="BFBFBF"/>
          </w:tcPr>
          <w:p w:rsidR="00B81E5A" w:rsidRPr="00F01736" w:rsidRDefault="00B81E5A" w:rsidP="00B51088">
            <w:pPr>
              <w:pStyle w:val="01TableHEADINGleftaligned"/>
              <w:ind w:right="0"/>
              <w:jc w:val="center"/>
            </w:pPr>
            <w:r>
              <w:t xml:space="preserve">IND </w:t>
            </w:r>
            <w:r>
              <w:br/>
              <w:t>(n=293)</w:t>
            </w:r>
          </w:p>
        </w:tc>
        <w:tc>
          <w:tcPr>
            <w:tcW w:w="478" w:type="pct"/>
            <w:tcBorders>
              <w:left w:val="nil"/>
              <w:right w:val="single" w:sz="4" w:space="0" w:color="auto"/>
            </w:tcBorders>
            <w:shd w:val="clear" w:color="auto" w:fill="BFBFBF"/>
          </w:tcPr>
          <w:p w:rsidR="00B81E5A" w:rsidRPr="00F01736" w:rsidRDefault="00B81E5A" w:rsidP="00B51088">
            <w:pPr>
              <w:pStyle w:val="01TableHEADINGleftaligned"/>
              <w:ind w:left="0" w:right="0"/>
              <w:jc w:val="center"/>
            </w:pPr>
            <w:r>
              <w:t>FLU/SAL (n=288)</w:t>
            </w:r>
          </w:p>
        </w:tc>
        <w:tc>
          <w:tcPr>
            <w:tcW w:w="478" w:type="pct"/>
            <w:tcBorders>
              <w:left w:val="single" w:sz="4" w:space="0" w:color="auto"/>
              <w:right w:val="nil"/>
            </w:tcBorders>
            <w:shd w:val="clear" w:color="auto" w:fill="BFBFBF"/>
          </w:tcPr>
          <w:p w:rsidR="00B81E5A" w:rsidRPr="00F01736" w:rsidRDefault="00B81E5A" w:rsidP="00B51088">
            <w:pPr>
              <w:pStyle w:val="01TableHEADINGleftaligned"/>
              <w:ind w:right="0"/>
              <w:jc w:val="center"/>
            </w:pPr>
            <w:r>
              <w:t xml:space="preserve">IND </w:t>
            </w:r>
            <w:r>
              <w:br/>
              <w:t>(n=293)</w:t>
            </w:r>
          </w:p>
        </w:tc>
        <w:tc>
          <w:tcPr>
            <w:tcW w:w="478" w:type="pct"/>
            <w:tcBorders>
              <w:left w:val="nil"/>
            </w:tcBorders>
            <w:shd w:val="clear" w:color="auto" w:fill="BFBFBF"/>
          </w:tcPr>
          <w:p w:rsidR="00B81E5A" w:rsidRPr="00F01736" w:rsidRDefault="00B81E5A" w:rsidP="00B51088">
            <w:pPr>
              <w:pStyle w:val="01TableHEADINGleftaligned"/>
              <w:ind w:left="0"/>
              <w:jc w:val="center"/>
            </w:pPr>
            <w:r>
              <w:t>FLU/SAL (n=288)</w:t>
            </w:r>
          </w:p>
        </w:tc>
        <w:tc>
          <w:tcPr>
            <w:tcW w:w="477" w:type="pct"/>
            <w:tcBorders>
              <w:right w:val="nil"/>
            </w:tcBorders>
            <w:shd w:val="clear" w:color="auto" w:fill="BFBFBF"/>
          </w:tcPr>
          <w:p w:rsidR="00B81E5A" w:rsidRPr="00F01736" w:rsidRDefault="00B81E5A" w:rsidP="00B51088">
            <w:pPr>
              <w:pStyle w:val="01TableHEADINGleftaligned"/>
              <w:jc w:val="center"/>
            </w:pPr>
            <w:r>
              <w:t xml:space="preserve">IND </w:t>
            </w:r>
            <w:r>
              <w:br/>
              <w:t>(n=293)</w:t>
            </w:r>
          </w:p>
        </w:tc>
        <w:tc>
          <w:tcPr>
            <w:tcW w:w="478" w:type="pct"/>
            <w:tcBorders>
              <w:left w:val="nil"/>
            </w:tcBorders>
            <w:shd w:val="clear" w:color="auto" w:fill="BFBFBF"/>
          </w:tcPr>
          <w:p w:rsidR="00B81E5A" w:rsidRPr="00F01736" w:rsidRDefault="00B81E5A" w:rsidP="00B51088">
            <w:pPr>
              <w:pStyle w:val="01TableHEADINGleftaligned"/>
              <w:jc w:val="center"/>
            </w:pPr>
            <w:r>
              <w:t>FLU/SAL (n=288)</w:t>
            </w:r>
          </w:p>
        </w:tc>
        <w:tc>
          <w:tcPr>
            <w:tcW w:w="478" w:type="pct"/>
            <w:tcBorders>
              <w:right w:val="nil"/>
            </w:tcBorders>
            <w:shd w:val="clear" w:color="auto" w:fill="BFBFBF"/>
          </w:tcPr>
          <w:p w:rsidR="00B81E5A" w:rsidRPr="00F01736" w:rsidRDefault="00B81E5A" w:rsidP="00B51088">
            <w:pPr>
              <w:pStyle w:val="01TableHEADINGleftaligned"/>
              <w:jc w:val="center"/>
            </w:pPr>
            <w:r>
              <w:t xml:space="preserve">IND </w:t>
            </w:r>
            <w:r>
              <w:br/>
              <w:t>(n=293)</w:t>
            </w:r>
          </w:p>
        </w:tc>
        <w:tc>
          <w:tcPr>
            <w:tcW w:w="478" w:type="pct"/>
            <w:tcBorders>
              <w:left w:val="nil"/>
            </w:tcBorders>
            <w:shd w:val="clear" w:color="auto" w:fill="BFBFBF"/>
          </w:tcPr>
          <w:p w:rsidR="00B81E5A" w:rsidRPr="00F01736" w:rsidRDefault="00B81E5A" w:rsidP="00B51088">
            <w:pPr>
              <w:pStyle w:val="01TableHEADINGleftaligned"/>
              <w:jc w:val="center"/>
            </w:pPr>
            <w:r>
              <w:t>FLU/SAL (n=288)</w:t>
            </w:r>
          </w:p>
        </w:tc>
      </w:tr>
      <w:tr w:rsidR="00B81E5A" w:rsidRPr="00194011" w:rsidTr="00B51088">
        <w:trPr>
          <w:cantSplit/>
        </w:trPr>
        <w:tc>
          <w:tcPr>
            <w:tcW w:w="1178" w:type="pct"/>
            <w:tcBorders>
              <w:bottom w:val="single" w:sz="4" w:space="0" w:color="auto"/>
            </w:tcBorders>
            <w:shd w:val="clear" w:color="auto" w:fill="000000"/>
          </w:tcPr>
          <w:p w:rsidR="00B81E5A" w:rsidRPr="00194011" w:rsidRDefault="00B81E5A" w:rsidP="00B51088">
            <w:pPr>
              <w:pStyle w:val="04Tablesubheading"/>
            </w:pPr>
          </w:p>
        </w:tc>
        <w:tc>
          <w:tcPr>
            <w:tcW w:w="477" w:type="pct"/>
            <w:tcBorders>
              <w:bottom w:val="single" w:sz="4" w:space="0" w:color="auto"/>
            </w:tcBorders>
            <w:shd w:val="clear" w:color="auto" w:fill="000000"/>
          </w:tcPr>
          <w:p w:rsidR="00B81E5A" w:rsidRPr="00C34E40" w:rsidRDefault="00B81E5A" w:rsidP="00B51088">
            <w:pPr>
              <w:pStyle w:val="04Tablesubheading"/>
              <w:ind w:right="0"/>
              <w:jc w:val="right"/>
            </w:pPr>
            <w:r>
              <w:t>Al</w:t>
            </w:r>
          </w:p>
        </w:tc>
        <w:tc>
          <w:tcPr>
            <w:tcW w:w="478" w:type="pct"/>
            <w:tcBorders>
              <w:bottom w:val="single" w:sz="4" w:space="0" w:color="auto"/>
            </w:tcBorders>
            <w:shd w:val="clear" w:color="auto" w:fill="000000"/>
          </w:tcPr>
          <w:p w:rsidR="00B81E5A" w:rsidRPr="00C34E40" w:rsidRDefault="00B81E5A" w:rsidP="00B51088">
            <w:pPr>
              <w:pStyle w:val="04Tablesubheading"/>
              <w:ind w:left="0"/>
              <w:jc w:val="both"/>
            </w:pPr>
            <w:r>
              <w:t>l</w:t>
            </w:r>
          </w:p>
        </w:tc>
        <w:tc>
          <w:tcPr>
            <w:tcW w:w="478" w:type="pct"/>
            <w:tcBorders>
              <w:bottom w:val="single" w:sz="4" w:space="0" w:color="auto"/>
            </w:tcBorders>
            <w:shd w:val="clear" w:color="auto" w:fill="000000"/>
          </w:tcPr>
          <w:p w:rsidR="00B81E5A" w:rsidRPr="00C34E40" w:rsidRDefault="00B81E5A" w:rsidP="00B51088">
            <w:pPr>
              <w:pStyle w:val="04Tablesubheading"/>
              <w:ind w:right="0"/>
              <w:jc w:val="right"/>
            </w:pPr>
            <w:r>
              <w:t>Mi</w:t>
            </w:r>
          </w:p>
        </w:tc>
        <w:tc>
          <w:tcPr>
            <w:tcW w:w="478" w:type="pct"/>
            <w:tcBorders>
              <w:bottom w:val="single" w:sz="4" w:space="0" w:color="auto"/>
            </w:tcBorders>
            <w:shd w:val="clear" w:color="auto" w:fill="000000"/>
          </w:tcPr>
          <w:p w:rsidR="00B81E5A" w:rsidRPr="00C34E40" w:rsidRDefault="00B81E5A" w:rsidP="00B51088">
            <w:pPr>
              <w:pStyle w:val="04Tablesubheading"/>
              <w:ind w:left="0"/>
            </w:pPr>
            <w:r>
              <w:t>ld</w:t>
            </w:r>
          </w:p>
        </w:tc>
        <w:tc>
          <w:tcPr>
            <w:tcW w:w="477" w:type="pct"/>
            <w:tcBorders>
              <w:bottom w:val="single" w:sz="4" w:space="0" w:color="auto"/>
            </w:tcBorders>
            <w:shd w:val="clear" w:color="auto" w:fill="000000"/>
          </w:tcPr>
          <w:p w:rsidR="00B81E5A" w:rsidRPr="00194011" w:rsidRDefault="00B81E5A" w:rsidP="00B51088">
            <w:pPr>
              <w:pStyle w:val="04Tablesubheading"/>
              <w:ind w:right="0"/>
              <w:jc w:val="right"/>
            </w:pPr>
            <w:r>
              <w:t>Mode</w:t>
            </w:r>
          </w:p>
        </w:tc>
        <w:tc>
          <w:tcPr>
            <w:tcW w:w="478" w:type="pct"/>
            <w:tcBorders>
              <w:bottom w:val="single" w:sz="4" w:space="0" w:color="auto"/>
            </w:tcBorders>
            <w:shd w:val="clear" w:color="auto" w:fill="000000"/>
          </w:tcPr>
          <w:p w:rsidR="00B81E5A" w:rsidRPr="00194011" w:rsidRDefault="00B81E5A" w:rsidP="00B51088">
            <w:pPr>
              <w:pStyle w:val="04Tablesubheading"/>
              <w:ind w:left="0"/>
            </w:pPr>
            <w:r>
              <w:t>rate</w:t>
            </w:r>
          </w:p>
        </w:tc>
        <w:tc>
          <w:tcPr>
            <w:tcW w:w="478" w:type="pct"/>
            <w:tcBorders>
              <w:bottom w:val="single" w:sz="4" w:space="0" w:color="auto"/>
            </w:tcBorders>
            <w:shd w:val="clear" w:color="auto" w:fill="000000"/>
          </w:tcPr>
          <w:p w:rsidR="00B81E5A" w:rsidRPr="00194011" w:rsidRDefault="00B81E5A" w:rsidP="00B51088">
            <w:pPr>
              <w:pStyle w:val="04Tablesubheading"/>
              <w:ind w:right="0"/>
              <w:jc w:val="right"/>
            </w:pPr>
            <w:r>
              <w:t>Sev</w:t>
            </w:r>
          </w:p>
        </w:tc>
        <w:tc>
          <w:tcPr>
            <w:tcW w:w="478" w:type="pct"/>
            <w:tcBorders>
              <w:bottom w:val="single" w:sz="4" w:space="0" w:color="auto"/>
            </w:tcBorders>
            <w:shd w:val="clear" w:color="auto" w:fill="000000"/>
          </w:tcPr>
          <w:p w:rsidR="00B81E5A" w:rsidRPr="00194011" w:rsidRDefault="00B81E5A" w:rsidP="00B51088">
            <w:pPr>
              <w:pStyle w:val="04Tablesubheading"/>
              <w:ind w:left="0"/>
            </w:pPr>
            <w:r>
              <w:t>ere</w:t>
            </w:r>
          </w:p>
        </w:tc>
      </w:tr>
      <w:tr w:rsidR="00B81E5A" w:rsidRPr="00194011" w:rsidTr="00B51088">
        <w:trPr>
          <w:cantSplit/>
        </w:trPr>
        <w:tc>
          <w:tcPr>
            <w:tcW w:w="1178" w:type="pct"/>
            <w:tcBorders>
              <w:bottom w:val="nil"/>
            </w:tcBorders>
            <w:shd w:val="clear" w:color="auto" w:fill="auto"/>
          </w:tcPr>
          <w:p w:rsidR="00B81E5A" w:rsidRPr="00BF243A" w:rsidRDefault="00B81E5A" w:rsidP="00B51088">
            <w:pPr>
              <w:pStyle w:val="05Tabletext"/>
              <w:keepNext/>
            </w:pPr>
            <w:r>
              <w:t>Exacerbations per patient, n (%)</w:t>
            </w:r>
          </w:p>
        </w:tc>
        <w:tc>
          <w:tcPr>
            <w:tcW w:w="477" w:type="pct"/>
            <w:tcBorders>
              <w:bottom w:val="nil"/>
            </w:tcBorders>
            <w:shd w:val="clear" w:color="auto" w:fill="auto"/>
          </w:tcPr>
          <w:p w:rsidR="00B81E5A" w:rsidRPr="001D4051" w:rsidRDefault="00B81E5A" w:rsidP="00B51088">
            <w:pPr>
              <w:pStyle w:val="05Tabletext"/>
              <w:keepNext/>
              <w:ind w:left="0"/>
              <w:jc w:val="center"/>
            </w:pPr>
            <w:r>
              <w:t>-</w:t>
            </w:r>
          </w:p>
        </w:tc>
        <w:tc>
          <w:tcPr>
            <w:tcW w:w="478" w:type="pct"/>
            <w:tcBorders>
              <w:bottom w:val="nil"/>
            </w:tcBorders>
            <w:shd w:val="clear" w:color="auto" w:fill="auto"/>
          </w:tcPr>
          <w:p w:rsidR="00B81E5A" w:rsidRPr="003E664B" w:rsidRDefault="00B81E5A" w:rsidP="00B51088">
            <w:pPr>
              <w:pStyle w:val="05Tabletext"/>
              <w:keepNext/>
              <w:jc w:val="center"/>
            </w:pPr>
            <w:r>
              <w:t>-</w:t>
            </w:r>
          </w:p>
        </w:tc>
        <w:tc>
          <w:tcPr>
            <w:tcW w:w="478" w:type="pct"/>
            <w:tcBorders>
              <w:bottom w:val="nil"/>
            </w:tcBorders>
            <w:shd w:val="clear" w:color="auto" w:fill="auto"/>
          </w:tcPr>
          <w:p w:rsidR="00B81E5A" w:rsidRPr="00194011" w:rsidRDefault="00B81E5A" w:rsidP="00B51088">
            <w:pPr>
              <w:pStyle w:val="05Tabletext"/>
              <w:keepNext/>
              <w:jc w:val="center"/>
            </w:pPr>
            <w:r>
              <w:t>-</w:t>
            </w:r>
          </w:p>
        </w:tc>
        <w:tc>
          <w:tcPr>
            <w:tcW w:w="478" w:type="pct"/>
            <w:tcBorders>
              <w:bottom w:val="nil"/>
            </w:tcBorders>
            <w:shd w:val="clear" w:color="auto" w:fill="auto"/>
          </w:tcPr>
          <w:p w:rsidR="00B81E5A" w:rsidRPr="00464F6D" w:rsidRDefault="00B81E5A" w:rsidP="00B51088">
            <w:pPr>
              <w:pStyle w:val="05Tabletext"/>
              <w:keepNext/>
              <w:jc w:val="center"/>
            </w:pPr>
            <w:r>
              <w:t>-</w:t>
            </w:r>
          </w:p>
        </w:tc>
        <w:tc>
          <w:tcPr>
            <w:tcW w:w="477" w:type="pct"/>
            <w:tcBorders>
              <w:bottom w:val="nil"/>
            </w:tcBorders>
            <w:shd w:val="clear" w:color="auto" w:fill="auto"/>
          </w:tcPr>
          <w:p w:rsidR="00B81E5A" w:rsidRPr="00194011" w:rsidRDefault="00B81E5A" w:rsidP="00B51088">
            <w:pPr>
              <w:pStyle w:val="05Tabletext"/>
              <w:keepNext/>
              <w:jc w:val="center"/>
            </w:pPr>
            <w:r>
              <w:t>-</w:t>
            </w:r>
          </w:p>
        </w:tc>
        <w:tc>
          <w:tcPr>
            <w:tcW w:w="478" w:type="pct"/>
            <w:tcBorders>
              <w:bottom w:val="nil"/>
            </w:tcBorders>
            <w:shd w:val="clear" w:color="auto" w:fill="auto"/>
          </w:tcPr>
          <w:p w:rsidR="00B81E5A" w:rsidRPr="00194011" w:rsidRDefault="00B81E5A" w:rsidP="00B51088">
            <w:pPr>
              <w:pStyle w:val="05Tabletext"/>
              <w:keepNext/>
              <w:jc w:val="center"/>
            </w:pPr>
            <w:r>
              <w:t>-</w:t>
            </w:r>
          </w:p>
        </w:tc>
        <w:tc>
          <w:tcPr>
            <w:tcW w:w="478" w:type="pct"/>
            <w:tcBorders>
              <w:bottom w:val="nil"/>
            </w:tcBorders>
            <w:shd w:val="clear" w:color="auto" w:fill="auto"/>
          </w:tcPr>
          <w:p w:rsidR="00B81E5A" w:rsidRPr="00194011" w:rsidRDefault="00B81E5A" w:rsidP="00B51088">
            <w:pPr>
              <w:pStyle w:val="05Tabletext"/>
              <w:keepNext/>
              <w:jc w:val="center"/>
            </w:pPr>
            <w:r>
              <w:t>-</w:t>
            </w:r>
          </w:p>
        </w:tc>
        <w:tc>
          <w:tcPr>
            <w:tcW w:w="478" w:type="pct"/>
            <w:tcBorders>
              <w:bottom w:val="nil"/>
            </w:tcBorders>
            <w:shd w:val="clear" w:color="auto" w:fill="auto"/>
          </w:tcPr>
          <w:p w:rsidR="00B81E5A" w:rsidRPr="00194011" w:rsidRDefault="00B81E5A" w:rsidP="00B51088">
            <w:pPr>
              <w:pStyle w:val="05Tabletext"/>
              <w:keepNext/>
              <w:jc w:val="center"/>
            </w:pPr>
            <w:r>
              <w:t>-</w:t>
            </w:r>
          </w:p>
        </w:tc>
      </w:tr>
      <w:tr w:rsidR="00B81E5A" w:rsidRPr="00194011" w:rsidTr="00B51088">
        <w:trPr>
          <w:cantSplit/>
        </w:trPr>
        <w:tc>
          <w:tcPr>
            <w:tcW w:w="1178" w:type="pct"/>
            <w:tcBorders>
              <w:top w:val="nil"/>
              <w:bottom w:val="nil"/>
            </w:tcBorders>
            <w:shd w:val="clear" w:color="auto" w:fill="auto"/>
          </w:tcPr>
          <w:p w:rsidR="00B81E5A" w:rsidRDefault="00B81E5A" w:rsidP="00B51088">
            <w:pPr>
              <w:pStyle w:val="05Tabletext"/>
              <w:keepNext/>
            </w:pPr>
            <w:r>
              <w:t>0</w:t>
            </w:r>
          </w:p>
        </w:tc>
        <w:tc>
          <w:tcPr>
            <w:tcW w:w="477" w:type="pct"/>
            <w:tcBorders>
              <w:top w:val="nil"/>
              <w:bottom w:val="nil"/>
            </w:tcBorders>
            <w:shd w:val="clear" w:color="auto" w:fill="auto"/>
          </w:tcPr>
          <w:p w:rsidR="00B81E5A" w:rsidRPr="00464F6D" w:rsidRDefault="00B81E5A" w:rsidP="00B51088">
            <w:pPr>
              <w:pStyle w:val="05Tabletext"/>
              <w:keepNext/>
              <w:jc w:val="center"/>
            </w:pPr>
            <w:r w:rsidRPr="00464F6D">
              <w:t>233 (79.5)</w:t>
            </w:r>
          </w:p>
        </w:tc>
        <w:tc>
          <w:tcPr>
            <w:tcW w:w="478" w:type="pct"/>
            <w:tcBorders>
              <w:top w:val="nil"/>
              <w:bottom w:val="nil"/>
            </w:tcBorders>
            <w:shd w:val="clear" w:color="auto" w:fill="auto"/>
          </w:tcPr>
          <w:p w:rsidR="00B81E5A" w:rsidRPr="00464F6D" w:rsidRDefault="00B81E5A" w:rsidP="00B51088">
            <w:pPr>
              <w:pStyle w:val="05Tabletext"/>
              <w:keepNext/>
              <w:jc w:val="center"/>
            </w:pPr>
            <w:r w:rsidRPr="00464F6D">
              <w:t>215 (74.7)</w:t>
            </w:r>
          </w:p>
        </w:tc>
        <w:tc>
          <w:tcPr>
            <w:tcW w:w="478" w:type="pct"/>
            <w:tcBorders>
              <w:top w:val="nil"/>
              <w:bottom w:val="nil"/>
            </w:tcBorders>
            <w:shd w:val="clear" w:color="auto" w:fill="auto"/>
          </w:tcPr>
          <w:p w:rsidR="00B81E5A" w:rsidRPr="00464F6D" w:rsidRDefault="00B81E5A" w:rsidP="00B51088">
            <w:pPr>
              <w:pStyle w:val="05Tabletext"/>
              <w:keepNext/>
              <w:jc w:val="center"/>
            </w:pPr>
            <w:r w:rsidRPr="00464F6D">
              <w:t>273 (93.2)</w:t>
            </w:r>
          </w:p>
        </w:tc>
        <w:tc>
          <w:tcPr>
            <w:tcW w:w="478" w:type="pct"/>
            <w:tcBorders>
              <w:top w:val="nil"/>
              <w:bottom w:val="nil"/>
            </w:tcBorders>
            <w:shd w:val="clear" w:color="auto" w:fill="auto"/>
          </w:tcPr>
          <w:p w:rsidR="00B81E5A" w:rsidRPr="00464F6D" w:rsidRDefault="00B81E5A" w:rsidP="00B51088">
            <w:pPr>
              <w:pStyle w:val="05Tabletext"/>
              <w:keepNext/>
              <w:jc w:val="center"/>
            </w:pPr>
            <w:r w:rsidRPr="00464F6D">
              <w:t>269 (93.4)</w:t>
            </w:r>
          </w:p>
        </w:tc>
        <w:tc>
          <w:tcPr>
            <w:tcW w:w="477" w:type="pct"/>
            <w:tcBorders>
              <w:top w:val="nil"/>
              <w:bottom w:val="nil"/>
            </w:tcBorders>
            <w:shd w:val="clear" w:color="auto" w:fill="auto"/>
          </w:tcPr>
          <w:p w:rsidR="00B81E5A" w:rsidRPr="00464F6D" w:rsidRDefault="00B81E5A" w:rsidP="00B51088">
            <w:pPr>
              <w:pStyle w:val="05Tabletext"/>
              <w:keepNext/>
              <w:jc w:val="center"/>
            </w:pPr>
            <w:r w:rsidRPr="00464F6D">
              <w:t>246 (84.0)</w:t>
            </w:r>
          </w:p>
        </w:tc>
        <w:tc>
          <w:tcPr>
            <w:tcW w:w="478" w:type="pct"/>
            <w:tcBorders>
              <w:top w:val="nil"/>
              <w:bottom w:val="nil"/>
            </w:tcBorders>
            <w:shd w:val="clear" w:color="auto" w:fill="auto"/>
          </w:tcPr>
          <w:p w:rsidR="00B81E5A" w:rsidRPr="00464F6D" w:rsidRDefault="00B81E5A" w:rsidP="00B51088">
            <w:pPr>
              <w:pStyle w:val="05Tabletext"/>
              <w:keepNext/>
              <w:jc w:val="center"/>
            </w:pPr>
            <w:r w:rsidRPr="00464F6D">
              <w:t>231 (80.2)</w:t>
            </w:r>
          </w:p>
        </w:tc>
        <w:tc>
          <w:tcPr>
            <w:tcW w:w="478" w:type="pct"/>
            <w:tcBorders>
              <w:top w:val="nil"/>
              <w:bottom w:val="nil"/>
            </w:tcBorders>
            <w:shd w:val="clear" w:color="auto" w:fill="auto"/>
          </w:tcPr>
          <w:p w:rsidR="00B81E5A" w:rsidRPr="00464F6D" w:rsidRDefault="00B81E5A" w:rsidP="00B51088">
            <w:pPr>
              <w:pStyle w:val="05Tabletext"/>
              <w:keepNext/>
              <w:jc w:val="center"/>
            </w:pPr>
            <w:r w:rsidRPr="00464F6D">
              <w:t>292 (99.7)</w:t>
            </w:r>
          </w:p>
        </w:tc>
        <w:tc>
          <w:tcPr>
            <w:tcW w:w="478" w:type="pct"/>
            <w:tcBorders>
              <w:top w:val="nil"/>
              <w:bottom w:val="nil"/>
            </w:tcBorders>
            <w:shd w:val="clear" w:color="auto" w:fill="auto"/>
          </w:tcPr>
          <w:p w:rsidR="00B81E5A" w:rsidRPr="00464F6D" w:rsidRDefault="00B81E5A" w:rsidP="00B51088">
            <w:pPr>
              <w:pStyle w:val="05Tabletext"/>
              <w:keepNext/>
              <w:jc w:val="center"/>
            </w:pPr>
            <w:r w:rsidRPr="00464F6D">
              <w:t>286 (99.3)</w:t>
            </w:r>
          </w:p>
        </w:tc>
      </w:tr>
      <w:tr w:rsidR="00B81E5A" w:rsidRPr="00194011" w:rsidTr="00B51088">
        <w:trPr>
          <w:cantSplit/>
        </w:trPr>
        <w:tc>
          <w:tcPr>
            <w:tcW w:w="1178" w:type="pct"/>
            <w:tcBorders>
              <w:top w:val="nil"/>
              <w:bottom w:val="nil"/>
            </w:tcBorders>
            <w:shd w:val="clear" w:color="auto" w:fill="auto"/>
          </w:tcPr>
          <w:p w:rsidR="00B81E5A" w:rsidRDefault="00B81E5A" w:rsidP="00B51088">
            <w:pPr>
              <w:pStyle w:val="05Tabletext"/>
              <w:keepNext/>
            </w:pPr>
            <w:r>
              <w:t>1</w:t>
            </w:r>
          </w:p>
        </w:tc>
        <w:tc>
          <w:tcPr>
            <w:tcW w:w="477" w:type="pct"/>
            <w:tcBorders>
              <w:top w:val="nil"/>
              <w:bottom w:val="nil"/>
            </w:tcBorders>
            <w:shd w:val="clear" w:color="auto" w:fill="auto"/>
          </w:tcPr>
          <w:p w:rsidR="00B81E5A" w:rsidRPr="00464F6D" w:rsidRDefault="00B81E5A" w:rsidP="00B51088">
            <w:pPr>
              <w:pStyle w:val="05Tabletext"/>
              <w:keepNext/>
              <w:jc w:val="center"/>
            </w:pPr>
            <w:r w:rsidRPr="00464F6D">
              <w:t>47 (16.0)</w:t>
            </w:r>
          </w:p>
        </w:tc>
        <w:tc>
          <w:tcPr>
            <w:tcW w:w="478" w:type="pct"/>
            <w:tcBorders>
              <w:top w:val="nil"/>
              <w:bottom w:val="nil"/>
            </w:tcBorders>
            <w:shd w:val="clear" w:color="auto" w:fill="auto"/>
          </w:tcPr>
          <w:p w:rsidR="00B81E5A" w:rsidRPr="00464F6D" w:rsidRDefault="00B81E5A" w:rsidP="00B51088">
            <w:pPr>
              <w:pStyle w:val="05Tabletext"/>
              <w:keepNext/>
              <w:jc w:val="center"/>
            </w:pPr>
            <w:r w:rsidRPr="00464F6D">
              <w:t>57 (19.8)</w:t>
            </w:r>
          </w:p>
        </w:tc>
        <w:tc>
          <w:tcPr>
            <w:tcW w:w="478" w:type="pct"/>
            <w:tcBorders>
              <w:top w:val="nil"/>
              <w:bottom w:val="nil"/>
            </w:tcBorders>
            <w:shd w:val="clear" w:color="auto" w:fill="auto"/>
          </w:tcPr>
          <w:p w:rsidR="00B81E5A" w:rsidRPr="00464F6D" w:rsidRDefault="00B81E5A" w:rsidP="00B51088">
            <w:pPr>
              <w:pStyle w:val="05Tabletext"/>
              <w:keepNext/>
              <w:jc w:val="center"/>
            </w:pPr>
            <w:r w:rsidRPr="00464F6D">
              <w:t>19 (6.5)</w:t>
            </w:r>
          </w:p>
        </w:tc>
        <w:tc>
          <w:tcPr>
            <w:tcW w:w="478" w:type="pct"/>
            <w:tcBorders>
              <w:top w:val="nil"/>
              <w:bottom w:val="nil"/>
            </w:tcBorders>
            <w:shd w:val="clear" w:color="auto" w:fill="auto"/>
          </w:tcPr>
          <w:p w:rsidR="00B81E5A" w:rsidRPr="00464F6D" w:rsidRDefault="00B81E5A" w:rsidP="00B51088">
            <w:pPr>
              <w:pStyle w:val="05Tabletext"/>
              <w:keepNext/>
              <w:jc w:val="center"/>
            </w:pPr>
            <w:r w:rsidRPr="00464F6D">
              <w:t>14 (4.9)</w:t>
            </w:r>
          </w:p>
        </w:tc>
        <w:tc>
          <w:tcPr>
            <w:tcW w:w="477" w:type="pct"/>
            <w:tcBorders>
              <w:top w:val="nil"/>
              <w:bottom w:val="nil"/>
            </w:tcBorders>
            <w:shd w:val="clear" w:color="auto" w:fill="auto"/>
          </w:tcPr>
          <w:p w:rsidR="00B81E5A" w:rsidRPr="00464F6D" w:rsidRDefault="00B81E5A" w:rsidP="00B51088">
            <w:pPr>
              <w:pStyle w:val="05Tabletext"/>
              <w:keepNext/>
              <w:jc w:val="center"/>
            </w:pPr>
            <w:r w:rsidRPr="00464F6D">
              <w:t>40 (13.7)</w:t>
            </w:r>
          </w:p>
        </w:tc>
        <w:tc>
          <w:tcPr>
            <w:tcW w:w="478" w:type="pct"/>
            <w:tcBorders>
              <w:top w:val="nil"/>
              <w:bottom w:val="nil"/>
            </w:tcBorders>
            <w:shd w:val="clear" w:color="auto" w:fill="auto"/>
          </w:tcPr>
          <w:p w:rsidR="00B81E5A" w:rsidRPr="00464F6D" w:rsidRDefault="00B81E5A" w:rsidP="00B51088">
            <w:pPr>
              <w:pStyle w:val="05Tabletext"/>
              <w:keepNext/>
              <w:jc w:val="center"/>
            </w:pPr>
            <w:r w:rsidRPr="00464F6D">
              <w:t>51 (17.7)</w:t>
            </w:r>
          </w:p>
        </w:tc>
        <w:tc>
          <w:tcPr>
            <w:tcW w:w="478" w:type="pct"/>
            <w:tcBorders>
              <w:top w:val="nil"/>
              <w:bottom w:val="nil"/>
            </w:tcBorders>
            <w:shd w:val="clear" w:color="auto" w:fill="auto"/>
          </w:tcPr>
          <w:p w:rsidR="00B81E5A" w:rsidRPr="00464F6D" w:rsidRDefault="00B81E5A" w:rsidP="00B51088">
            <w:pPr>
              <w:pStyle w:val="05Tabletext"/>
              <w:keepNext/>
              <w:jc w:val="center"/>
            </w:pPr>
            <w:r w:rsidRPr="00464F6D">
              <w:t>1 (0.3)</w:t>
            </w:r>
          </w:p>
        </w:tc>
        <w:tc>
          <w:tcPr>
            <w:tcW w:w="478" w:type="pct"/>
            <w:tcBorders>
              <w:top w:val="nil"/>
              <w:bottom w:val="nil"/>
            </w:tcBorders>
            <w:shd w:val="clear" w:color="auto" w:fill="auto"/>
          </w:tcPr>
          <w:p w:rsidR="00B81E5A" w:rsidRPr="00464F6D" w:rsidRDefault="00B81E5A" w:rsidP="00B51088">
            <w:pPr>
              <w:pStyle w:val="05Tabletext"/>
              <w:keepNext/>
              <w:jc w:val="center"/>
            </w:pPr>
            <w:r w:rsidRPr="00464F6D">
              <w:t>2 (0.7)</w:t>
            </w:r>
          </w:p>
        </w:tc>
      </w:tr>
      <w:tr w:rsidR="00B81E5A" w:rsidRPr="00194011" w:rsidTr="00B51088">
        <w:trPr>
          <w:cantSplit/>
        </w:trPr>
        <w:tc>
          <w:tcPr>
            <w:tcW w:w="1178" w:type="pct"/>
            <w:tcBorders>
              <w:top w:val="nil"/>
            </w:tcBorders>
            <w:shd w:val="clear" w:color="auto" w:fill="auto"/>
          </w:tcPr>
          <w:p w:rsidR="00B81E5A" w:rsidRDefault="00B81E5A" w:rsidP="00B51088">
            <w:pPr>
              <w:pStyle w:val="05Tabletext"/>
              <w:keepNext/>
            </w:pPr>
            <w:r>
              <w:t>≥2</w:t>
            </w:r>
          </w:p>
        </w:tc>
        <w:tc>
          <w:tcPr>
            <w:tcW w:w="477" w:type="pct"/>
            <w:tcBorders>
              <w:top w:val="nil"/>
            </w:tcBorders>
            <w:shd w:val="clear" w:color="auto" w:fill="auto"/>
          </w:tcPr>
          <w:p w:rsidR="00B81E5A" w:rsidRPr="00464F6D" w:rsidRDefault="00B81E5A" w:rsidP="00B51088">
            <w:pPr>
              <w:pStyle w:val="05Tabletext"/>
              <w:keepNext/>
              <w:jc w:val="center"/>
            </w:pPr>
            <w:r w:rsidRPr="00464F6D">
              <w:t>13 (4.5)</w:t>
            </w:r>
          </w:p>
        </w:tc>
        <w:tc>
          <w:tcPr>
            <w:tcW w:w="478" w:type="pct"/>
            <w:tcBorders>
              <w:top w:val="nil"/>
            </w:tcBorders>
            <w:shd w:val="clear" w:color="auto" w:fill="auto"/>
          </w:tcPr>
          <w:p w:rsidR="00B81E5A" w:rsidRPr="00464F6D" w:rsidRDefault="00B81E5A" w:rsidP="00B51088">
            <w:pPr>
              <w:pStyle w:val="05Tabletext"/>
              <w:keepNext/>
              <w:jc w:val="center"/>
            </w:pPr>
            <w:r w:rsidRPr="00464F6D">
              <w:t>16 (5.5)</w:t>
            </w:r>
          </w:p>
        </w:tc>
        <w:tc>
          <w:tcPr>
            <w:tcW w:w="478" w:type="pct"/>
            <w:tcBorders>
              <w:top w:val="nil"/>
            </w:tcBorders>
            <w:shd w:val="clear" w:color="auto" w:fill="auto"/>
          </w:tcPr>
          <w:p w:rsidR="00B81E5A" w:rsidRPr="00464F6D" w:rsidRDefault="00B81E5A" w:rsidP="00B51088">
            <w:pPr>
              <w:pStyle w:val="05Tabletext"/>
              <w:keepNext/>
              <w:jc w:val="center"/>
            </w:pPr>
            <w:r w:rsidRPr="00464F6D">
              <w:t>1 (0.3)</w:t>
            </w:r>
          </w:p>
        </w:tc>
        <w:tc>
          <w:tcPr>
            <w:tcW w:w="478" w:type="pct"/>
            <w:tcBorders>
              <w:top w:val="nil"/>
            </w:tcBorders>
            <w:shd w:val="clear" w:color="auto" w:fill="auto"/>
          </w:tcPr>
          <w:p w:rsidR="00B81E5A" w:rsidRPr="00464F6D" w:rsidRDefault="00B81E5A" w:rsidP="00B51088">
            <w:pPr>
              <w:pStyle w:val="05Tabletext"/>
              <w:keepNext/>
              <w:jc w:val="center"/>
            </w:pPr>
            <w:r w:rsidRPr="00464F6D">
              <w:t>5 (1.7)</w:t>
            </w:r>
          </w:p>
        </w:tc>
        <w:tc>
          <w:tcPr>
            <w:tcW w:w="477" w:type="pct"/>
            <w:tcBorders>
              <w:top w:val="nil"/>
            </w:tcBorders>
            <w:shd w:val="clear" w:color="auto" w:fill="auto"/>
          </w:tcPr>
          <w:p w:rsidR="00B81E5A" w:rsidRPr="00464F6D" w:rsidRDefault="00B81E5A" w:rsidP="00B51088">
            <w:pPr>
              <w:pStyle w:val="05Tabletext"/>
              <w:keepNext/>
              <w:jc w:val="center"/>
            </w:pPr>
            <w:r w:rsidRPr="00464F6D">
              <w:t>7 (2.4)</w:t>
            </w:r>
          </w:p>
        </w:tc>
        <w:tc>
          <w:tcPr>
            <w:tcW w:w="478" w:type="pct"/>
            <w:tcBorders>
              <w:top w:val="nil"/>
            </w:tcBorders>
            <w:shd w:val="clear" w:color="auto" w:fill="auto"/>
          </w:tcPr>
          <w:p w:rsidR="00B81E5A" w:rsidRPr="00464F6D" w:rsidRDefault="00B81E5A" w:rsidP="00B51088">
            <w:pPr>
              <w:pStyle w:val="05Tabletext"/>
              <w:keepNext/>
              <w:jc w:val="center"/>
            </w:pPr>
            <w:r w:rsidRPr="00464F6D">
              <w:t>6 (2.1)</w:t>
            </w:r>
          </w:p>
        </w:tc>
        <w:tc>
          <w:tcPr>
            <w:tcW w:w="478" w:type="pct"/>
            <w:tcBorders>
              <w:top w:val="nil"/>
            </w:tcBorders>
            <w:shd w:val="clear" w:color="auto" w:fill="auto"/>
          </w:tcPr>
          <w:p w:rsidR="00B81E5A" w:rsidRPr="00464F6D" w:rsidRDefault="00B81E5A" w:rsidP="00B51088">
            <w:pPr>
              <w:pStyle w:val="05Tabletext"/>
              <w:keepNext/>
              <w:jc w:val="center"/>
            </w:pPr>
            <w:r w:rsidRPr="00464F6D">
              <w:t>0</w:t>
            </w:r>
          </w:p>
        </w:tc>
        <w:tc>
          <w:tcPr>
            <w:tcW w:w="478" w:type="pct"/>
            <w:tcBorders>
              <w:top w:val="nil"/>
            </w:tcBorders>
            <w:shd w:val="clear" w:color="auto" w:fill="auto"/>
          </w:tcPr>
          <w:p w:rsidR="00B81E5A" w:rsidRPr="00464F6D" w:rsidRDefault="00B81E5A" w:rsidP="00B51088">
            <w:pPr>
              <w:pStyle w:val="05Tabletext"/>
              <w:keepNext/>
              <w:jc w:val="center"/>
            </w:pPr>
            <w:r w:rsidRPr="00464F6D">
              <w:t>0</w:t>
            </w:r>
          </w:p>
        </w:tc>
      </w:tr>
      <w:tr w:rsidR="00B81E5A" w:rsidRPr="00194011" w:rsidTr="00B51088">
        <w:trPr>
          <w:cantSplit/>
        </w:trPr>
        <w:tc>
          <w:tcPr>
            <w:tcW w:w="1178" w:type="pct"/>
            <w:shd w:val="clear" w:color="auto" w:fill="auto"/>
          </w:tcPr>
          <w:p w:rsidR="00B81E5A" w:rsidRPr="00BF243A" w:rsidRDefault="00B81E5A" w:rsidP="00B51088">
            <w:pPr>
              <w:pStyle w:val="05Tabletext"/>
              <w:keepNext/>
            </w:pPr>
            <w:r>
              <w:t>Total number of exacerbations</w:t>
            </w:r>
          </w:p>
        </w:tc>
        <w:tc>
          <w:tcPr>
            <w:tcW w:w="477" w:type="pct"/>
            <w:shd w:val="clear" w:color="auto" w:fill="auto"/>
          </w:tcPr>
          <w:p w:rsidR="00B81E5A" w:rsidRPr="00464F6D" w:rsidRDefault="00B81E5A" w:rsidP="00B51088">
            <w:pPr>
              <w:pStyle w:val="05Tabletext"/>
              <w:keepNext/>
              <w:jc w:val="center"/>
            </w:pPr>
            <w:r w:rsidRPr="00464F6D">
              <w:t>75</w:t>
            </w:r>
          </w:p>
        </w:tc>
        <w:tc>
          <w:tcPr>
            <w:tcW w:w="478" w:type="pct"/>
            <w:shd w:val="clear" w:color="auto" w:fill="auto"/>
          </w:tcPr>
          <w:p w:rsidR="00B81E5A" w:rsidRPr="00464F6D" w:rsidRDefault="00B81E5A" w:rsidP="00B51088">
            <w:pPr>
              <w:pStyle w:val="05Tabletext"/>
              <w:keepNext/>
              <w:jc w:val="center"/>
            </w:pPr>
            <w:r w:rsidRPr="00464F6D">
              <w:t>90</w:t>
            </w:r>
          </w:p>
        </w:tc>
        <w:tc>
          <w:tcPr>
            <w:tcW w:w="478" w:type="pct"/>
            <w:shd w:val="clear" w:color="auto" w:fill="auto"/>
          </w:tcPr>
          <w:p w:rsidR="00B81E5A" w:rsidRPr="00464F6D" w:rsidRDefault="00B81E5A" w:rsidP="00B51088">
            <w:pPr>
              <w:pStyle w:val="05Tabletext"/>
              <w:keepNext/>
              <w:jc w:val="center"/>
            </w:pPr>
            <w:r w:rsidRPr="00464F6D">
              <w:t>21</w:t>
            </w:r>
          </w:p>
        </w:tc>
        <w:tc>
          <w:tcPr>
            <w:tcW w:w="478" w:type="pct"/>
            <w:shd w:val="clear" w:color="auto" w:fill="auto"/>
          </w:tcPr>
          <w:p w:rsidR="00B81E5A" w:rsidRPr="00464F6D" w:rsidRDefault="00B81E5A" w:rsidP="00B51088">
            <w:pPr>
              <w:pStyle w:val="05Tabletext"/>
              <w:keepNext/>
              <w:jc w:val="center"/>
            </w:pPr>
            <w:r w:rsidRPr="00464F6D">
              <w:t>25</w:t>
            </w:r>
          </w:p>
        </w:tc>
        <w:tc>
          <w:tcPr>
            <w:tcW w:w="477" w:type="pct"/>
            <w:shd w:val="clear" w:color="auto" w:fill="auto"/>
          </w:tcPr>
          <w:p w:rsidR="00B81E5A" w:rsidRPr="00464F6D" w:rsidRDefault="00B81E5A" w:rsidP="00B51088">
            <w:pPr>
              <w:pStyle w:val="05Tabletext"/>
              <w:keepNext/>
              <w:jc w:val="center"/>
            </w:pPr>
            <w:r w:rsidRPr="00464F6D">
              <w:t>54</w:t>
            </w:r>
          </w:p>
        </w:tc>
        <w:tc>
          <w:tcPr>
            <w:tcW w:w="478" w:type="pct"/>
            <w:shd w:val="clear" w:color="auto" w:fill="auto"/>
          </w:tcPr>
          <w:p w:rsidR="00B81E5A" w:rsidRPr="00464F6D" w:rsidRDefault="00B81E5A" w:rsidP="00B51088">
            <w:pPr>
              <w:pStyle w:val="05Tabletext"/>
              <w:keepNext/>
              <w:jc w:val="center"/>
            </w:pPr>
            <w:r w:rsidRPr="00464F6D">
              <w:t>63</w:t>
            </w:r>
          </w:p>
        </w:tc>
        <w:tc>
          <w:tcPr>
            <w:tcW w:w="478" w:type="pct"/>
            <w:shd w:val="clear" w:color="auto" w:fill="auto"/>
          </w:tcPr>
          <w:p w:rsidR="00B81E5A" w:rsidRPr="00464F6D" w:rsidRDefault="00B81E5A" w:rsidP="00B51088">
            <w:pPr>
              <w:pStyle w:val="05Tabletext"/>
              <w:keepNext/>
              <w:jc w:val="center"/>
            </w:pPr>
            <w:r w:rsidRPr="00464F6D">
              <w:t>1</w:t>
            </w:r>
          </w:p>
        </w:tc>
        <w:tc>
          <w:tcPr>
            <w:tcW w:w="478" w:type="pct"/>
            <w:shd w:val="clear" w:color="auto" w:fill="auto"/>
          </w:tcPr>
          <w:p w:rsidR="00B81E5A" w:rsidRPr="00464F6D" w:rsidRDefault="00B81E5A" w:rsidP="00B51088">
            <w:pPr>
              <w:pStyle w:val="05Tabletext"/>
              <w:keepNext/>
              <w:jc w:val="center"/>
            </w:pPr>
            <w:r w:rsidRPr="00464F6D">
              <w:t>2</w:t>
            </w:r>
          </w:p>
        </w:tc>
      </w:tr>
      <w:tr w:rsidR="00B81E5A" w:rsidRPr="00194011" w:rsidTr="00B51088">
        <w:trPr>
          <w:cantSplit/>
        </w:trPr>
        <w:tc>
          <w:tcPr>
            <w:tcW w:w="1178" w:type="pct"/>
            <w:shd w:val="clear" w:color="auto" w:fill="auto"/>
          </w:tcPr>
          <w:p w:rsidR="00B81E5A" w:rsidRPr="00BF243A" w:rsidRDefault="00B81E5A" w:rsidP="00B51088">
            <w:pPr>
              <w:pStyle w:val="05Tabletext"/>
              <w:keepNext/>
            </w:pPr>
            <w:r>
              <w:t>Rate of exacerbations per year</w:t>
            </w:r>
          </w:p>
        </w:tc>
        <w:tc>
          <w:tcPr>
            <w:tcW w:w="477" w:type="pct"/>
            <w:shd w:val="clear" w:color="auto" w:fill="auto"/>
          </w:tcPr>
          <w:p w:rsidR="00B81E5A" w:rsidRPr="00464F6D" w:rsidRDefault="00B81E5A" w:rsidP="00B51088">
            <w:pPr>
              <w:pStyle w:val="05Tabletext"/>
              <w:keepNext/>
              <w:jc w:val="center"/>
            </w:pPr>
            <w:r w:rsidRPr="00464F6D">
              <w:t>0.57</w:t>
            </w:r>
          </w:p>
        </w:tc>
        <w:tc>
          <w:tcPr>
            <w:tcW w:w="478" w:type="pct"/>
            <w:shd w:val="clear" w:color="auto" w:fill="auto"/>
          </w:tcPr>
          <w:p w:rsidR="00B81E5A" w:rsidRPr="00464F6D" w:rsidRDefault="00B81E5A" w:rsidP="00B51088">
            <w:pPr>
              <w:pStyle w:val="05Tabletext"/>
              <w:keepNext/>
              <w:jc w:val="center"/>
            </w:pPr>
            <w:r w:rsidRPr="00464F6D">
              <w:t>0.67</w:t>
            </w:r>
          </w:p>
        </w:tc>
        <w:tc>
          <w:tcPr>
            <w:tcW w:w="478" w:type="pct"/>
            <w:shd w:val="clear" w:color="auto" w:fill="auto"/>
          </w:tcPr>
          <w:p w:rsidR="00B81E5A" w:rsidRPr="00464F6D" w:rsidRDefault="00B81E5A" w:rsidP="00B51088">
            <w:pPr>
              <w:pStyle w:val="05Tabletext"/>
              <w:keepNext/>
              <w:jc w:val="center"/>
            </w:pPr>
            <w:r w:rsidRPr="00464F6D">
              <w:t>0.16</w:t>
            </w:r>
          </w:p>
        </w:tc>
        <w:tc>
          <w:tcPr>
            <w:tcW w:w="478" w:type="pct"/>
            <w:shd w:val="clear" w:color="auto" w:fill="auto"/>
          </w:tcPr>
          <w:p w:rsidR="00B81E5A" w:rsidRPr="00464F6D" w:rsidRDefault="00B81E5A" w:rsidP="00B51088">
            <w:pPr>
              <w:pStyle w:val="05Tabletext"/>
              <w:keepNext/>
              <w:jc w:val="center"/>
            </w:pPr>
            <w:r w:rsidRPr="00464F6D">
              <w:t>0.19</w:t>
            </w:r>
          </w:p>
        </w:tc>
        <w:tc>
          <w:tcPr>
            <w:tcW w:w="477" w:type="pct"/>
            <w:shd w:val="clear" w:color="auto" w:fill="auto"/>
          </w:tcPr>
          <w:p w:rsidR="00B81E5A" w:rsidRPr="00464F6D" w:rsidRDefault="00B81E5A" w:rsidP="00B51088">
            <w:pPr>
              <w:pStyle w:val="05Tabletext"/>
              <w:keepNext/>
              <w:jc w:val="center"/>
            </w:pPr>
            <w:r w:rsidRPr="00464F6D">
              <w:t>0.41</w:t>
            </w:r>
          </w:p>
        </w:tc>
        <w:tc>
          <w:tcPr>
            <w:tcW w:w="478" w:type="pct"/>
            <w:shd w:val="clear" w:color="auto" w:fill="auto"/>
          </w:tcPr>
          <w:p w:rsidR="00B81E5A" w:rsidRPr="00464F6D" w:rsidRDefault="00B81E5A" w:rsidP="00B51088">
            <w:pPr>
              <w:pStyle w:val="05Tabletext"/>
              <w:keepNext/>
              <w:jc w:val="center"/>
            </w:pPr>
            <w:r w:rsidRPr="00464F6D">
              <w:t>0.47</w:t>
            </w:r>
          </w:p>
        </w:tc>
        <w:tc>
          <w:tcPr>
            <w:tcW w:w="478" w:type="pct"/>
            <w:shd w:val="clear" w:color="auto" w:fill="auto"/>
          </w:tcPr>
          <w:p w:rsidR="00B81E5A" w:rsidRPr="00464F6D" w:rsidRDefault="00B81E5A" w:rsidP="00B51088">
            <w:pPr>
              <w:pStyle w:val="05Tabletext"/>
              <w:keepNext/>
              <w:jc w:val="center"/>
            </w:pPr>
            <w:r w:rsidRPr="00464F6D">
              <w:t>0.01</w:t>
            </w:r>
          </w:p>
        </w:tc>
        <w:tc>
          <w:tcPr>
            <w:tcW w:w="478" w:type="pct"/>
            <w:shd w:val="clear" w:color="auto" w:fill="auto"/>
          </w:tcPr>
          <w:p w:rsidR="00B81E5A" w:rsidRPr="00464F6D" w:rsidRDefault="00B81E5A" w:rsidP="00B51088">
            <w:pPr>
              <w:pStyle w:val="05Tabletext"/>
              <w:keepNext/>
              <w:jc w:val="center"/>
            </w:pPr>
            <w:r w:rsidRPr="00464F6D">
              <w:t>0.01</w:t>
            </w:r>
          </w:p>
        </w:tc>
      </w:tr>
    </w:tbl>
    <w:p w:rsidR="00B81E5A" w:rsidRDefault="00B81E5A" w:rsidP="00B81E5A">
      <w:pPr>
        <w:pStyle w:val="10TableorFigurefootnote"/>
      </w:pPr>
      <w:r>
        <w:t>Source: Rossi et al (2014), pg 1550.</w:t>
      </w:r>
    </w:p>
    <w:p w:rsidR="00B81E5A" w:rsidRDefault="00B81E5A" w:rsidP="00B81E5A">
      <w:pPr>
        <w:pStyle w:val="10TableorFigurefootnote"/>
      </w:pPr>
      <w:r>
        <w:t>Note (1): The study was powered for lung function outcomes, not for exacerbations.</w:t>
      </w:r>
    </w:p>
    <w:p w:rsidR="00B81E5A" w:rsidRDefault="00B81E5A" w:rsidP="00B81E5A">
      <w:pPr>
        <w:pStyle w:val="10TableorFigurefootnote"/>
      </w:pPr>
      <w:r>
        <w:t xml:space="preserve">Note (2): </w:t>
      </w:r>
      <w:r w:rsidRPr="00E96CB8">
        <w:t>The number of COPD exacerbations during the 26-week treatment period was analysed using a generalised linear model assuming a negative binomial distribution, and the proportions of patients achieving clinically relevant improvements in TDI and SGRQ-C were analysed using logistic regression.</w:t>
      </w:r>
    </w:p>
    <w:p w:rsidR="00B81E5A" w:rsidRDefault="00B81E5A" w:rsidP="00B81E5A">
      <w:pPr>
        <w:pStyle w:val="11TableorFigurefootnotenostick"/>
      </w:pPr>
      <w:r>
        <w:t>Abbreviations: FLU, fluticasone</w:t>
      </w:r>
      <w:r w:rsidR="00ED357B">
        <w:t xml:space="preserve"> propionate</w:t>
      </w:r>
      <w:r>
        <w:t>; IND, indacaterol; SAL, salmeterol.</w:t>
      </w:r>
    </w:p>
    <w:p w:rsidR="00B81E5A" w:rsidRDefault="00B81E5A" w:rsidP="00B81E5A">
      <w:pPr>
        <w:pStyle w:val="BodyText"/>
      </w:pPr>
      <w:r>
        <w:t>Similarly, there was no statistically significant difference between fluticasone</w:t>
      </w:r>
      <w:r w:rsidR="00ED357B">
        <w:t xml:space="preserve"> propionate</w:t>
      </w:r>
      <w:r>
        <w:t>/salmeterol and indacaterol with respect to the time to first moderate-to-severe exacerbation. The event-free rate at 6 months was 82.3% with indacaterol and 78.7% with fluticasone</w:t>
      </w:r>
      <w:r w:rsidR="00ED357B">
        <w:t xml:space="preserve"> propionate</w:t>
      </w:r>
      <w:r>
        <w:t>/salmeterol.</w:t>
      </w:r>
    </w:p>
    <w:p w:rsidR="00B81E5A" w:rsidRDefault="00B81E5A" w:rsidP="00B81E5A">
      <w:pPr>
        <w:pStyle w:val="BodyText"/>
      </w:pPr>
      <w:r>
        <w:t xml:space="preserve">Although the incidence of </w:t>
      </w:r>
      <w:r w:rsidR="007C7B60">
        <w:t xml:space="preserve">AEs </w:t>
      </w:r>
      <w:r>
        <w:t xml:space="preserve">and </w:t>
      </w:r>
      <w:r w:rsidR="007C7B60">
        <w:t>SAEs was</w:t>
      </w:r>
      <w:r>
        <w:t xml:space="preserve"> higher in the fluticasone</w:t>
      </w:r>
      <w:r w:rsidR="00ED357B">
        <w:t xml:space="preserve"> propionate</w:t>
      </w:r>
      <w:r>
        <w:t>/salmeterol group, there were no marked differences in the overall adverse event profiles between treatments</w:t>
      </w:r>
      <w:r w:rsidR="00411D11">
        <w:t>, refer to Table 3.76</w:t>
      </w:r>
      <w:r>
        <w:t>.</w:t>
      </w:r>
    </w:p>
    <w:p w:rsidR="00B81E5A" w:rsidRDefault="00D5724A" w:rsidP="007C7B60">
      <w:pPr>
        <w:pStyle w:val="ToR3Tableheader"/>
      </w:pPr>
      <w:bookmarkStart w:id="506" w:name="_Toc486428255"/>
      <w:r>
        <w:t>Table 3.7</w:t>
      </w:r>
      <w:r w:rsidR="00411D11">
        <w:t>6</w:t>
      </w:r>
      <w:r w:rsidR="00B81E5A">
        <w:tab/>
        <w:t>Results for safety outcomes relating to IND vs FLU/SAL – ITT population</w:t>
      </w:r>
      <w:bookmarkEnd w:id="50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Caption w:val="Safety outcomes"/>
        <w:tblDescription w:val="IND vs FLU/SAL"/>
      </w:tblPr>
      <w:tblGrid>
        <w:gridCol w:w="3124"/>
        <w:gridCol w:w="3261"/>
        <w:gridCol w:w="3263"/>
      </w:tblGrid>
      <w:tr w:rsidR="00B81E5A" w:rsidRPr="00194011" w:rsidTr="00B51088">
        <w:trPr>
          <w:cantSplit/>
          <w:tblHeader/>
        </w:trPr>
        <w:tc>
          <w:tcPr>
            <w:tcW w:w="1619" w:type="pct"/>
            <w:shd w:val="clear" w:color="auto" w:fill="BFBFBF"/>
          </w:tcPr>
          <w:p w:rsidR="00B81E5A" w:rsidRPr="00194011" w:rsidRDefault="00B81E5A" w:rsidP="00B51088">
            <w:pPr>
              <w:pStyle w:val="01TableHEADINGleftaligned"/>
              <w:rPr>
                <w:i/>
              </w:rPr>
            </w:pPr>
            <w:r>
              <w:t>Safety outcome</w:t>
            </w:r>
          </w:p>
        </w:tc>
        <w:tc>
          <w:tcPr>
            <w:tcW w:w="1690" w:type="pct"/>
            <w:tcBorders>
              <w:bottom w:val="single" w:sz="4" w:space="0" w:color="auto"/>
            </w:tcBorders>
            <w:shd w:val="clear" w:color="auto" w:fill="BFBFBF"/>
          </w:tcPr>
          <w:p w:rsidR="00B81E5A" w:rsidRPr="00194011" w:rsidRDefault="00B81E5A" w:rsidP="00B51088">
            <w:pPr>
              <w:pStyle w:val="01TableHEADINGleftaligned"/>
              <w:jc w:val="center"/>
            </w:pPr>
            <w:r>
              <w:t>IND (N=293)</w:t>
            </w:r>
          </w:p>
        </w:tc>
        <w:tc>
          <w:tcPr>
            <w:tcW w:w="1691" w:type="pct"/>
            <w:tcBorders>
              <w:bottom w:val="single" w:sz="4" w:space="0" w:color="auto"/>
            </w:tcBorders>
            <w:shd w:val="clear" w:color="auto" w:fill="BFBFBF"/>
          </w:tcPr>
          <w:p w:rsidR="00B81E5A" w:rsidRDefault="00B81E5A" w:rsidP="00B51088">
            <w:pPr>
              <w:pStyle w:val="01TableHEADINGleftaligned"/>
              <w:jc w:val="center"/>
            </w:pPr>
            <w:r>
              <w:t>FLU/SAL (N=288)</w:t>
            </w:r>
          </w:p>
        </w:tc>
      </w:tr>
      <w:tr w:rsidR="00B81E5A" w:rsidRPr="00194011" w:rsidTr="00B51088">
        <w:trPr>
          <w:cantSplit/>
        </w:trPr>
        <w:tc>
          <w:tcPr>
            <w:tcW w:w="1619" w:type="pct"/>
            <w:shd w:val="clear" w:color="auto" w:fill="auto"/>
          </w:tcPr>
          <w:p w:rsidR="00B81E5A" w:rsidRPr="00194011" w:rsidRDefault="00B81E5A" w:rsidP="00B51088">
            <w:pPr>
              <w:pStyle w:val="05Tabletext"/>
            </w:pPr>
            <w:r>
              <w:t>Any AE, n (%)</w:t>
            </w:r>
          </w:p>
        </w:tc>
        <w:tc>
          <w:tcPr>
            <w:tcW w:w="1690" w:type="pct"/>
            <w:shd w:val="clear" w:color="auto" w:fill="auto"/>
          </w:tcPr>
          <w:p w:rsidR="00B81E5A" w:rsidRPr="00194011" w:rsidRDefault="00B81E5A" w:rsidP="00B51088">
            <w:pPr>
              <w:pStyle w:val="05Tabletext"/>
              <w:jc w:val="center"/>
            </w:pPr>
            <w:r>
              <w:t>131 (44.7)</w:t>
            </w:r>
          </w:p>
        </w:tc>
        <w:tc>
          <w:tcPr>
            <w:tcW w:w="1691" w:type="pct"/>
            <w:shd w:val="clear" w:color="auto" w:fill="auto"/>
          </w:tcPr>
          <w:p w:rsidR="00B81E5A" w:rsidRPr="00194011" w:rsidRDefault="00B81E5A" w:rsidP="00B51088">
            <w:pPr>
              <w:pStyle w:val="05Tabletext"/>
              <w:jc w:val="center"/>
            </w:pPr>
            <w:r>
              <w:t>154 (53.5)</w:t>
            </w:r>
          </w:p>
        </w:tc>
      </w:tr>
      <w:tr w:rsidR="00B81E5A" w:rsidRPr="00194011" w:rsidTr="00B51088">
        <w:trPr>
          <w:cantSplit/>
        </w:trPr>
        <w:tc>
          <w:tcPr>
            <w:tcW w:w="1619" w:type="pct"/>
            <w:shd w:val="clear" w:color="auto" w:fill="auto"/>
          </w:tcPr>
          <w:p w:rsidR="00B81E5A" w:rsidRDefault="00B81E5A" w:rsidP="00B51088">
            <w:pPr>
              <w:pStyle w:val="05Tabletext"/>
            </w:pPr>
            <w:r>
              <w:t>Any SAE, n (%)</w:t>
            </w:r>
          </w:p>
          <w:p w:rsidR="00B81E5A" w:rsidRDefault="00B81E5A" w:rsidP="00B51088">
            <w:pPr>
              <w:pStyle w:val="05Tabletext"/>
              <w:ind w:firstLine="232"/>
            </w:pPr>
            <w:r>
              <w:t>Atrial fibrillation</w:t>
            </w:r>
          </w:p>
          <w:p w:rsidR="00B81E5A" w:rsidRPr="003D2042" w:rsidRDefault="00B81E5A" w:rsidP="00B51088">
            <w:pPr>
              <w:pStyle w:val="05Tabletext"/>
              <w:ind w:firstLine="232"/>
            </w:pPr>
            <w:r>
              <w:t>Pneumonia</w:t>
            </w:r>
          </w:p>
        </w:tc>
        <w:tc>
          <w:tcPr>
            <w:tcW w:w="1690" w:type="pct"/>
            <w:shd w:val="clear" w:color="auto" w:fill="auto"/>
          </w:tcPr>
          <w:p w:rsidR="00B81E5A" w:rsidRDefault="00B81E5A" w:rsidP="00B51088">
            <w:pPr>
              <w:pStyle w:val="05Tabletext"/>
              <w:jc w:val="center"/>
            </w:pPr>
            <w:r>
              <w:t>5 (1.7)</w:t>
            </w:r>
          </w:p>
          <w:p w:rsidR="00B81E5A" w:rsidRDefault="00B81E5A" w:rsidP="00B51088">
            <w:pPr>
              <w:pStyle w:val="05Tabletext"/>
              <w:jc w:val="center"/>
            </w:pPr>
            <w:r>
              <w:t>0</w:t>
            </w:r>
          </w:p>
          <w:p w:rsidR="00B81E5A" w:rsidRPr="0080107D" w:rsidRDefault="00B81E5A" w:rsidP="00B51088">
            <w:pPr>
              <w:pStyle w:val="05Tabletext"/>
              <w:jc w:val="center"/>
              <w:rPr>
                <w:vertAlign w:val="superscript"/>
              </w:rPr>
            </w:pPr>
            <w:r>
              <w:t>0</w:t>
            </w:r>
            <w:r>
              <w:rPr>
                <w:vertAlign w:val="superscript"/>
              </w:rPr>
              <w:t>a</w:t>
            </w:r>
          </w:p>
        </w:tc>
        <w:tc>
          <w:tcPr>
            <w:tcW w:w="1691" w:type="pct"/>
            <w:shd w:val="clear" w:color="auto" w:fill="auto"/>
          </w:tcPr>
          <w:p w:rsidR="00B81E5A" w:rsidRDefault="00B81E5A" w:rsidP="00B51088">
            <w:pPr>
              <w:pStyle w:val="05Tabletext"/>
              <w:jc w:val="center"/>
            </w:pPr>
            <w:r>
              <w:t>17 (5.9)</w:t>
            </w:r>
          </w:p>
          <w:p w:rsidR="00B81E5A" w:rsidRDefault="00B81E5A" w:rsidP="00B51088">
            <w:pPr>
              <w:pStyle w:val="05Tabletext"/>
              <w:jc w:val="center"/>
            </w:pPr>
            <w:r>
              <w:t>2 (0.7)</w:t>
            </w:r>
          </w:p>
          <w:p w:rsidR="00B81E5A" w:rsidRPr="003D2042" w:rsidRDefault="00B81E5A" w:rsidP="00B51088">
            <w:pPr>
              <w:pStyle w:val="05Tabletext"/>
              <w:jc w:val="center"/>
            </w:pPr>
            <w:r>
              <w:t>2 (0.7)</w:t>
            </w:r>
          </w:p>
        </w:tc>
      </w:tr>
      <w:tr w:rsidR="00B81E5A" w:rsidRPr="00194011" w:rsidTr="00B51088">
        <w:trPr>
          <w:cantSplit/>
        </w:trPr>
        <w:tc>
          <w:tcPr>
            <w:tcW w:w="1619" w:type="pct"/>
            <w:shd w:val="clear" w:color="auto" w:fill="auto"/>
          </w:tcPr>
          <w:p w:rsidR="00B81E5A" w:rsidRPr="006E27DA" w:rsidRDefault="00B81E5A" w:rsidP="00B51088">
            <w:pPr>
              <w:pStyle w:val="05Tabletext"/>
              <w:rPr>
                <w:vertAlign w:val="superscript"/>
              </w:rPr>
            </w:pPr>
            <w:r>
              <w:t>Death, n (%)</w:t>
            </w:r>
          </w:p>
        </w:tc>
        <w:tc>
          <w:tcPr>
            <w:tcW w:w="1690" w:type="pct"/>
            <w:shd w:val="clear" w:color="auto" w:fill="auto"/>
          </w:tcPr>
          <w:p w:rsidR="00B81E5A" w:rsidRPr="00194011" w:rsidRDefault="00B81E5A" w:rsidP="00B51088">
            <w:pPr>
              <w:pStyle w:val="05Tabletext"/>
              <w:jc w:val="center"/>
            </w:pPr>
            <w:r>
              <w:t>0</w:t>
            </w:r>
          </w:p>
        </w:tc>
        <w:tc>
          <w:tcPr>
            <w:tcW w:w="1691" w:type="pct"/>
            <w:shd w:val="clear" w:color="auto" w:fill="auto"/>
          </w:tcPr>
          <w:p w:rsidR="00B81E5A" w:rsidRPr="0080107D" w:rsidRDefault="00B81E5A" w:rsidP="00B51088">
            <w:pPr>
              <w:pStyle w:val="05Tabletext"/>
              <w:jc w:val="center"/>
              <w:rPr>
                <w:vertAlign w:val="superscript"/>
              </w:rPr>
            </w:pPr>
            <w:r>
              <w:t>2 (0.7)</w:t>
            </w:r>
            <w:r>
              <w:rPr>
                <w:vertAlign w:val="superscript"/>
              </w:rPr>
              <w:t>b</w:t>
            </w:r>
          </w:p>
        </w:tc>
      </w:tr>
      <w:tr w:rsidR="00B81E5A" w:rsidRPr="00194011" w:rsidTr="00B51088">
        <w:trPr>
          <w:cantSplit/>
        </w:trPr>
        <w:tc>
          <w:tcPr>
            <w:tcW w:w="1619" w:type="pct"/>
            <w:shd w:val="clear" w:color="auto" w:fill="auto"/>
          </w:tcPr>
          <w:p w:rsidR="00B81E5A" w:rsidRDefault="00B81E5A" w:rsidP="00B51088">
            <w:pPr>
              <w:pStyle w:val="05Tabletext"/>
            </w:pPr>
            <w:r>
              <w:t>Discontinuation due to AEs, n (%)</w:t>
            </w:r>
          </w:p>
        </w:tc>
        <w:tc>
          <w:tcPr>
            <w:tcW w:w="1690" w:type="pct"/>
            <w:shd w:val="clear" w:color="auto" w:fill="auto"/>
          </w:tcPr>
          <w:p w:rsidR="00B81E5A" w:rsidRPr="00194011" w:rsidRDefault="00B81E5A" w:rsidP="00B51088">
            <w:pPr>
              <w:pStyle w:val="05Tabletext"/>
              <w:jc w:val="center"/>
            </w:pPr>
            <w:r>
              <w:t>14 (4.8)</w:t>
            </w:r>
          </w:p>
        </w:tc>
        <w:tc>
          <w:tcPr>
            <w:tcW w:w="1691" w:type="pct"/>
            <w:shd w:val="clear" w:color="auto" w:fill="auto"/>
          </w:tcPr>
          <w:p w:rsidR="00B81E5A" w:rsidRPr="00194011" w:rsidRDefault="00B81E5A" w:rsidP="00B51088">
            <w:pPr>
              <w:pStyle w:val="05Tabletext"/>
              <w:jc w:val="center"/>
            </w:pPr>
            <w:r>
              <w:t>15 (5.2)</w:t>
            </w:r>
          </w:p>
        </w:tc>
      </w:tr>
      <w:tr w:rsidR="00B81E5A" w:rsidRPr="00194011" w:rsidTr="00B51088">
        <w:trPr>
          <w:cantSplit/>
        </w:trPr>
        <w:tc>
          <w:tcPr>
            <w:tcW w:w="1619" w:type="pct"/>
            <w:shd w:val="clear" w:color="auto" w:fill="auto"/>
          </w:tcPr>
          <w:p w:rsidR="00B81E5A" w:rsidRPr="00770AB1" w:rsidRDefault="00B81E5A" w:rsidP="00B51088">
            <w:pPr>
              <w:pStyle w:val="05Tabletext"/>
            </w:pPr>
            <w:r>
              <w:t>Discontinuation due to SAEs, n (%)</w:t>
            </w:r>
          </w:p>
        </w:tc>
        <w:tc>
          <w:tcPr>
            <w:tcW w:w="1690" w:type="pct"/>
            <w:shd w:val="clear" w:color="auto" w:fill="auto"/>
          </w:tcPr>
          <w:p w:rsidR="00B81E5A" w:rsidRPr="00770AB1" w:rsidRDefault="00B81E5A" w:rsidP="00B51088">
            <w:pPr>
              <w:pStyle w:val="05Tabletext"/>
              <w:jc w:val="center"/>
            </w:pPr>
            <w:r>
              <w:t>3 (1.0)</w:t>
            </w:r>
          </w:p>
        </w:tc>
        <w:tc>
          <w:tcPr>
            <w:tcW w:w="1691" w:type="pct"/>
            <w:shd w:val="clear" w:color="auto" w:fill="auto"/>
          </w:tcPr>
          <w:p w:rsidR="00B81E5A" w:rsidRPr="00770AB1" w:rsidRDefault="00B81E5A" w:rsidP="00B51088">
            <w:pPr>
              <w:pStyle w:val="05Tabletext"/>
              <w:jc w:val="center"/>
            </w:pPr>
            <w:r>
              <w:t>7 (2.4)</w:t>
            </w:r>
          </w:p>
        </w:tc>
      </w:tr>
    </w:tbl>
    <w:p w:rsidR="00B81E5A" w:rsidRDefault="00B81E5A" w:rsidP="00B81E5A">
      <w:pPr>
        <w:pStyle w:val="10TableorFigurefootnote"/>
      </w:pPr>
      <w:r>
        <w:t>Source: Rossi (2014), Table 3.</w:t>
      </w:r>
    </w:p>
    <w:p w:rsidR="00B81E5A" w:rsidRDefault="00B81E5A" w:rsidP="00B81E5A">
      <w:pPr>
        <w:pStyle w:val="10TableorFigurefootnote"/>
      </w:pPr>
      <w:r>
        <w:t>Abbreviations: AE, adverse event; FLU, fluticasone</w:t>
      </w:r>
      <w:r w:rsidR="00ED357B">
        <w:t xml:space="preserve"> propionate</w:t>
      </w:r>
      <w:r>
        <w:t>; IND, indacaterol; ITT, intention-to-treat; SAE, serious adverse event; SAL, salmeterol.</w:t>
      </w:r>
    </w:p>
    <w:p w:rsidR="00B81E5A" w:rsidRDefault="00B81E5A" w:rsidP="00B81E5A">
      <w:pPr>
        <w:pStyle w:val="10TableorFigurefootnote"/>
      </w:pPr>
      <w:proofErr w:type="gramStart"/>
      <w:r>
        <w:rPr>
          <w:b/>
        </w:rPr>
        <w:t>a</w:t>
      </w:r>
      <w:proofErr w:type="gramEnd"/>
      <w:r>
        <w:t xml:space="preserve"> One person in the IND group experienced pneumonia SAE 5 days after completing the study.</w:t>
      </w:r>
    </w:p>
    <w:p w:rsidR="00B81E5A" w:rsidRDefault="00B81E5A" w:rsidP="00B81E5A">
      <w:pPr>
        <w:pStyle w:val="11TableorFigurefootnotenostick"/>
      </w:pPr>
      <w:proofErr w:type="gramStart"/>
      <w:r>
        <w:rPr>
          <w:b/>
        </w:rPr>
        <w:t>b</w:t>
      </w:r>
      <w:proofErr w:type="gramEnd"/>
      <w:r>
        <w:rPr>
          <w:b/>
        </w:rPr>
        <w:t xml:space="preserve"> </w:t>
      </w:r>
      <w:r>
        <w:t xml:space="preserve">One listed as sudden death and another due to mesothelioma. Neither of the deaths </w:t>
      </w:r>
      <w:proofErr w:type="gramStart"/>
      <w:r>
        <w:t>were</w:t>
      </w:r>
      <w:proofErr w:type="gramEnd"/>
      <w:r>
        <w:t xml:space="preserve"> suspected to be related to study medication.</w:t>
      </w:r>
    </w:p>
    <w:p w:rsidR="00B81E5A" w:rsidRDefault="00B81E5A" w:rsidP="00B81E5A">
      <w:pPr>
        <w:pStyle w:val="BodyText"/>
      </w:pPr>
      <w:r>
        <w:t>While not all results from the INSTEAD study were reproduced in this review, the authors noted that there were also no clinically relevant differences between flutica</w:t>
      </w:r>
      <w:r w:rsidR="00D5724A">
        <w:t>sone</w:t>
      </w:r>
      <w:r w:rsidR="00ED357B">
        <w:t xml:space="preserve"> propionate</w:t>
      </w:r>
      <w:r w:rsidR="00D5724A">
        <w:t>/</w:t>
      </w:r>
      <w:r>
        <w:t>salmeterol and indacaterol</w:t>
      </w:r>
      <w:r w:rsidR="00202290">
        <w:t xml:space="preserve"> for dyspnoea (TDI), health sta</w:t>
      </w:r>
      <w:r>
        <w:t>us (SGRQ) and use of rescue medication. The study concluded that the results observed in INSTEAD across a range of outcomes provide “strong and reassuring evidence to physicians that this type of patient can be switched from ICS/LABA to indacaterol” with no loss of efficacy and without triggering exacerbations.</w:t>
      </w:r>
    </w:p>
    <w:p w:rsidR="00B81E5A" w:rsidRPr="00246584" w:rsidRDefault="00B81E5A" w:rsidP="00246584">
      <w:pPr>
        <w:rPr>
          <w:b/>
        </w:rPr>
      </w:pPr>
      <w:r w:rsidRPr="00246584">
        <w:rPr>
          <w:b/>
        </w:rPr>
        <w:t>Summary of findings</w:t>
      </w:r>
    </w:p>
    <w:p w:rsidR="00B81E5A" w:rsidRPr="00270A37" w:rsidRDefault="00B81E5A" w:rsidP="00251CB8">
      <w:pPr>
        <w:pStyle w:val="Bullettext"/>
        <w:numPr>
          <w:ilvl w:val="0"/>
          <w:numId w:val="59"/>
        </w:numPr>
      </w:pPr>
      <w:r>
        <w:t>In relation to trough FEV</w:t>
      </w:r>
      <w:r w:rsidRPr="007C7B60">
        <w:rPr>
          <w:vertAlign w:val="subscript"/>
        </w:rPr>
        <w:t>1</w:t>
      </w:r>
      <w:r>
        <w:t>, indacaterol monotherapy demonstrated non-inferiority to fluticasone</w:t>
      </w:r>
      <w:r w:rsidR="00ED357B">
        <w:t xml:space="preserve"> propionate</w:t>
      </w:r>
      <w:r>
        <w:t>/salmeterol over a 12-week period in patients at low risk of exacerbations (Rossi et al, 2014; good quality).</w:t>
      </w:r>
      <w:r w:rsidR="007C7B60">
        <w:t xml:space="preserve"> </w:t>
      </w:r>
      <w:r>
        <w:t xml:space="preserve">No statistically significant differences were observed between the two treatment groups with respect to </w:t>
      </w:r>
      <w:r>
        <w:lastRenderedPageBreak/>
        <w:t>exacerbations of any severity.</w:t>
      </w:r>
      <w:r w:rsidR="007C7B60">
        <w:t xml:space="preserve"> </w:t>
      </w:r>
      <w:r>
        <w:t>Overall, the study demonstrated that patients with moderate airflow limitation and a history of no exacerbations in the previous year can withdraw from fluticasone</w:t>
      </w:r>
      <w:r w:rsidR="00ED357B">
        <w:t xml:space="preserve"> propionate</w:t>
      </w:r>
      <w:r>
        <w:t>/salmeterol to indacaterol without any loss in efficacy.</w:t>
      </w:r>
    </w:p>
    <w:p w:rsidR="00035233" w:rsidRDefault="00035233" w:rsidP="00251CB8">
      <w:pPr>
        <w:pStyle w:val="Heading3"/>
        <w:numPr>
          <w:ilvl w:val="2"/>
          <w:numId w:val="36"/>
        </w:numPr>
      </w:pPr>
      <w:bookmarkStart w:id="507" w:name="_Toc482185956"/>
      <w:bookmarkStart w:id="508" w:name="_Toc486428090"/>
      <w:r>
        <w:t>ICS/LABA + LAMA versus ICS/LABA</w:t>
      </w:r>
      <w:bookmarkEnd w:id="499"/>
      <w:bookmarkEnd w:id="500"/>
      <w:bookmarkEnd w:id="501"/>
      <w:bookmarkEnd w:id="507"/>
      <w:bookmarkEnd w:id="508"/>
    </w:p>
    <w:p w:rsidR="00035233" w:rsidRDefault="00035233" w:rsidP="00035233">
      <w:pPr>
        <w:pStyle w:val="BodyText"/>
      </w:pPr>
      <w:r>
        <w:t xml:space="preserve">As discussed in </w:t>
      </w:r>
      <w:r w:rsidRPr="00CC0111">
        <w:t>Section 2,</w:t>
      </w:r>
      <w:r>
        <w:t xml:space="preserve"> COPD patients generally initiate maintenance therapy with long-acting bronchodilator monotherapy before stepping up to dual and then triple therapy as the severity of COPD worsens. As such, the PBAC is interested in clarifying whether there is additional benefit of moving from dual therapy to triple therapy, and in which patients this may be appropriate.</w:t>
      </w:r>
    </w:p>
    <w:p w:rsidR="00035233" w:rsidRPr="001305FD" w:rsidRDefault="00035233" w:rsidP="00035233">
      <w:pPr>
        <w:pStyle w:val="BodyText"/>
      </w:pPr>
      <w:r w:rsidRPr="00AE2F0C">
        <w:t xml:space="preserve">The </w:t>
      </w:r>
      <w:r>
        <w:t>two</w:t>
      </w:r>
      <w:r w:rsidRPr="00AE2F0C">
        <w:t xml:space="preserve"> studies listed in </w:t>
      </w:r>
      <w:r w:rsidR="00D5724A">
        <w:t>Table 3.7</w:t>
      </w:r>
      <w:r w:rsidR="00411D11">
        <w:t>7</w:t>
      </w:r>
      <w:r w:rsidRPr="00AE2F0C">
        <w:t xml:space="preserve"> contribute towards the evidence base for this question and are discussed in detail throughout this section.</w:t>
      </w:r>
    </w:p>
    <w:p w:rsidR="00035233" w:rsidRDefault="00D5724A" w:rsidP="007C7B60">
      <w:pPr>
        <w:pStyle w:val="ToR3Tableheader"/>
      </w:pPr>
      <w:bookmarkStart w:id="509" w:name="_Toc468028699"/>
      <w:bookmarkStart w:id="510" w:name="_Toc468034521"/>
      <w:bookmarkStart w:id="511" w:name="_Toc471891063"/>
      <w:bookmarkStart w:id="512" w:name="_Toc486428256"/>
      <w:r>
        <w:t>Table 3.7</w:t>
      </w:r>
      <w:r w:rsidR="00411D11">
        <w:t>7</w:t>
      </w:r>
      <w:r w:rsidR="00035233">
        <w:tab/>
        <w:t>List of RCTs comparing</w:t>
      </w:r>
      <w:bookmarkEnd w:id="509"/>
      <w:r w:rsidR="00035233">
        <w:t xml:space="preserve"> an ICS/LABA (dual therapy) with an ICS/LABA plus LAMA (triple therapy)</w:t>
      </w:r>
      <w:bookmarkEnd w:id="510"/>
      <w:bookmarkEnd w:id="511"/>
      <w:bookmarkEnd w:id="5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List of RCTs"/>
        <w:tblDescription w:val="List of RCTs comparing an ICS/LABA (dual therapy) with an ICS/LABA plus LAMA (triple therapy)"/>
      </w:tblPr>
      <w:tblGrid>
        <w:gridCol w:w="1565"/>
        <w:gridCol w:w="6377"/>
        <w:gridCol w:w="1706"/>
      </w:tblGrid>
      <w:tr w:rsidR="00035233" w:rsidRPr="00F01736" w:rsidTr="00035233">
        <w:trPr>
          <w:cantSplit/>
          <w:tblHeader/>
        </w:trPr>
        <w:tc>
          <w:tcPr>
            <w:tcW w:w="811" w:type="pct"/>
            <w:shd w:val="clear" w:color="auto" w:fill="BFBFBF"/>
          </w:tcPr>
          <w:p w:rsidR="00035233" w:rsidRPr="00F01736" w:rsidRDefault="00035233" w:rsidP="00035233">
            <w:pPr>
              <w:pStyle w:val="01TableHEADINGleftaligned"/>
            </w:pPr>
            <w:r>
              <w:t>Trial ID</w:t>
            </w:r>
          </w:p>
        </w:tc>
        <w:tc>
          <w:tcPr>
            <w:tcW w:w="3305" w:type="pct"/>
            <w:shd w:val="clear" w:color="auto" w:fill="BFBFBF"/>
          </w:tcPr>
          <w:p w:rsidR="00035233" w:rsidRPr="00F01736" w:rsidRDefault="00035233" w:rsidP="00035233">
            <w:pPr>
              <w:pStyle w:val="01TableHEADINGleftaligned"/>
              <w:jc w:val="center"/>
            </w:pPr>
            <w:r>
              <w:t>Citation</w:t>
            </w:r>
          </w:p>
        </w:tc>
        <w:tc>
          <w:tcPr>
            <w:tcW w:w="884" w:type="pct"/>
            <w:shd w:val="clear" w:color="auto" w:fill="BFBFBF"/>
          </w:tcPr>
          <w:p w:rsidR="00035233" w:rsidRPr="00F01736" w:rsidRDefault="00035233" w:rsidP="00035233">
            <w:pPr>
              <w:pStyle w:val="01TableHEADINGleftaligned"/>
              <w:jc w:val="center"/>
            </w:pPr>
            <w:r>
              <w:t>Description</w:t>
            </w:r>
          </w:p>
        </w:tc>
      </w:tr>
      <w:tr w:rsidR="00035233" w:rsidRPr="00194011" w:rsidTr="00035233">
        <w:trPr>
          <w:cantSplit/>
        </w:trPr>
        <w:tc>
          <w:tcPr>
            <w:tcW w:w="811" w:type="pct"/>
            <w:shd w:val="clear" w:color="auto" w:fill="auto"/>
          </w:tcPr>
          <w:p w:rsidR="00035233" w:rsidRPr="009C73B0" w:rsidRDefault="00035233" w:rsidP="00035233">
            <w:pPr>
              <w:pStyle w:val="05Tabletext"/>
            </w:pPr>
            <w:r>
              <w:t>Siler (2015)</w:t>
            </w:r>
          </w:p>
        </w:tc>
        <w:tc>
          <w:tcPr>
            <w:tcW w:w="3305" w:type="pct"/>
            <w:shd w:val="clear" w:color="auto" w:fill="auto"/>
          </w:tcPr>
          <w:p w:rsidR="00035233" w:rsidRPr="009C73B0" w:rsidRDefault="00035233" w:rsidP="00035233">
            <w:pPr>
              <w:pStyle w:val="05Tabletext"/>
            </w:pPr>
            <w:r w:rsidRPr="00073377">
              <w:t>Siler TM, Kerwin E, Sousa AR, Donald A, Ali R and Church A (2015). Efficacy and safety of umeclidinium added to fluticasone furoate/vilanterol in chronic obstructive pulmonary disease: Results of two randomized studies. Respiratory Medicine 109 (9):1155-1163.</w:t>
            </w:r>
          </w:p>
        </w:tc>
        <w:tc>
          <w:tcPr>
            <w:tcW w:w="884" w:type="pct"/>
            <w:shd w:val="clear" w:color="auto" w:fill="auto"/>
          </w:tcPr>
          <w:p w:rsidR="00035233" w:rsidRPr="009C73B0" w:rsidRDefault="00035233" w:rsidP="00035233">
            <w:pPr>
              <w:pStyle w:val="05Tabletext"/>
            </w:pPr>
            <w:r>
              <w:t>Key publication</w:t>
            </w:r>
          </w:p>
        </w:tc>
      </w:tr>
      <w:tr w:rsidR="00035233" w:rsidRPr="00194011" w:rsidTr="00035233">
        <w:trPr>
          <w:cantSplit/>
        </w:trPr>
        <w:tc>
          <w:tcPr>
            <w:tcW w:w="811" w:type="pct"/>
            <w:shd w:val="clear" w:color="auto" w:fill="auto"/>
          </w:tcPr>
          <w:p w:rsidR="00035233" w:rsidRDefault="00035233" w:rsidP="00035233">
            <w:pPr>
              <w:pStyle w:val="05Tabletext"/>
            </w:pPr>
            <w:r>
              <w:t>Sousa (2016)</w:t>
            </w:r>
          </w:p>
        </w:tc>
        <w:tc>
          <w:tcPr>
            <w:tcW w:w="3305" w:type="pct"/>
            <w:shd w:val="clear" w:color="auto" w:fill="auto"/>
          </w:tcPr>
          <w:p w:rsidR="00035233" w:rsidRPr="009C73B0" w:rsidRDefault="00035233" w:rsidP="00035233">
            <w:pPr>
              <w:pStyle w:val="05Tabletext"/>
            </w:pPr>
            <w:r w:rsidRPr="008473E6">
              <w:t>Sousa AR, Riley JH, Church A, Zhu CQ, Punekar YS and Fahy WA (2016). The effect of umeclidinium added to inhaled corticosteroid/long-acting beta</w:t>
            </w:r>
            <w:r>
              <w:t>-</w:t>
            </w:r>
            <w:r w:rsidRPr="008473E6">
              <w:t>2-agonist in patients with symptomatic COPD: A randomised, double-blind, parallel-group study. NPJ Primary Care Respiratory Medicine 26 (no pagination</w:t>
            </w:r>
            <w:proofErr w:type="gramStart"/>
            <w:r w:rsidRPr="008473E6">
              <w:t>)(</w:t>
            </w:r>
            <w:proofErr w:type="gramEnd"/>
            <w:r w:rsidRPr="008473E6">
              <w:t>16031).</w:t>
            </w:r>
          </w:p>
        </w:tc>
        <w:tc>
          <w:tcPr>
            <w:tcW w:w="884" w:type="pct"/>
            <w:shd w:val="clear" w:color="auto" w:fill="auto"/>
          </w:tcPr>
          <w:p w:rsidR="00035233" w:rsidRPr="009C73B0" w:rsidRDefault="00035233" w:rsidP="00035233">
            <w:pPr>
              <w:pStyle w:val="05Tabletext"/>
            </w:pPr>
            <w:r>
              <w:t>Key publication</w:t>
            </w:r>
          </w:p>
        </w:tc>
      </w:tr>
    </w:tbl>
    <w:p w:rsidR="00035233" w:rsidRDefault="00035233" w:rsidP="00035233">
      <w:pPr>
        <w:pStyle w:val="11TableorFigurefootnotenostick"/>
      </w:pPr>
      <w:r>
        <w:t>Abbreviations: ICS, inhaled corticosteroid; LABA, long-acting beta-agonist; LAMA, long-acting muscarinic antagonist; RCT, randomised controlled trial.</w:t>
      </w:r>
    </w:p>
    <w:p w:rsidR="00035233" w:rsidRDefault="00035233" w:rsidP="00035233">
      <w:pPr>
        <w:pStyle w:val="BodyText"/>
      </w:pPr>
      <w:r>
        <w:t>The characteristics of the two relevant studies, such as the patient eligibility criteria, length of follow</w:t>
      </w:r>
      <w:r w:rsidR="004B2947">
        <w:t xml:space="preserve"> </w:t>
      </w:r>
      <w:r>
        <w:t xml:space="preserve">up and outcomes assessed, are </w:t>
      </w:r>
      <w:r w:rsidRPr="00445409">
        <w:t>summarised in</w:t>
      </w:r>
      <w:r>
        <w:t xml:space="preserve"> </w:t>
      </w:r>
      <w:r w:rsidR="00D5724A">
        <w:t>Table 3.7</w:t>
      </w:r>
      <w:r w:rsidR="00411D11">
        <w:t>8</w:t>
      </w:r>
      <w:r>
        <w:t>. The results reported in each study that are of relevance to this review are then outlined in subsections according the specific treatment comparisons</w:t>
      </w:r>
      <w:r w:rsidR="007C7B60">
        <w:t>.</w:t>
      </w:r>
    </w:p>
    <w:p w:rsidR="00035233" w:rsidRDefault="00035233" w:rsidP="00035233">
      <w:pPr>
        <w:pStyle w:val="BodyText"/>
      </w:pPr>
    </w:p>
    <w:p w:rsidR="00035233" w:rsidRDefault="00035233" w:rsidP="00035233">
      <w:pPr>
        <w:pStyle w:val="BodyText"/>
        <w:sectPr w:rsidR="00035233" w:rsidSect="0005536D">
          <w:footerReference w:type="default" r:id="rId53"/>
          <w:pgSz w:w="11906" w:h="16838"/>
          <w:pgMar w:top="1134" w:right="1134" w:bottom="1134" w:left="1134" w:header="709" w:footer="709" w:gutter="0"/>
          <w:cols w:space="708"/>
          <w:docGrid w:linePitch="360"/>
        </w:sectPr>
      </w:pPr>
    </w:p>
    <w:p w:rsidR="00035233" w:rsidRDefault="00D5724A" w:rsidP="007C7B60">
      <w:pPr>
        <w:pStyle w:val="ToR3Tableheader"/>
      </w:pPr>
      <w:bookmarkStart w:id="513" w:name="_Toc468028700"/>
      <w:bookmarkStart w:id="514" w:name="_Toc468034522"/>
      <w:bookmarkStart w:id="515" w:name="_Toc471891064"/>
      <w:bookmarkStart w:id="516" w:name="_Toc486428257"/>
      <w:r>
        <w:lastRenderedPageBreak/>
        <w:t>Table 3.7</w:t>
      </w:r>
      <w:r w:rsidR="00411D11">
        <w:t>8</w:t>
      </w:r>
      <w:r w:rsidR="00035233">
        <w:tab/>
        <w:t>Details of RCTs comparing triple therapy (ICS/LABA + LAMA) with dual therapy (ICS/LABA) in patients with COPD</w:t>
      </w:r>
      <w:bookmarkEnd w:id="513"/>
      <w:bookmarkEnd w:id="514"/>
      <w:bookmarkEnd w:id="515"/>
      <w:bookmarkEnd w:id="5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Caption w:val="Study characteristics"/>
        <w:tblDescription w:val="Details of RCTs comparing triple therapy (ICS/LABA + LAMA) with dual therapy (ICS/LABA) in patients with COPD"/>
      </w:tblPr>
      <w:tblGrid>
        <w:gridCol w:w="1800"/>
        <w:gridCol w:w="901"/>
        <w:gridCol w:w="991"/>
        <w:gridCol w:w="1417"/>
        <w:gridCol w:w="6377"/>
        <w:gridCol w:w="904"/>
        <w:gridCol w:w="2190"/>
      </w:tblGrid>
      <w:tr w:rsidR="00035233" w:rsidRPr="00194011" w:rsidTr="00035233">
        <w:trPr>
          <w:cantSplit/>
          <w:trHeight w:val="735"/>
          <w:tblHeader/>
        </w:trPr>
        <w:tc>
          <w:tcPr>
            <w:tcW w:w="617" w:type="pct"/>
            <w:shd w:val="clear" w:color="auto" w:fill="BFBFBF"/>
          </w:tcPr>
          <w:p w:rsidR="00035233" w:rsidRPr="00194011" w:rsidRDefault="00035233" w:rsidP="00035233">
            <w:pPr>
              <w:pStyle w:val="01TableHEADINGleftaligned"/>
            </w:pPr>
            <w:r w:rsidRPr="00194011">
              <w:t>Trial ID</w:t>
            </w:r>
          </w:p>
          <w:p w:rsidR="00035233" w:rsidRPr="00AC28D5" w:rsidRDefault="00035233" w:rsidP="00035233">
            <w:pPr>
              <w:pStyle w:val="01TableHEADINGleftaligned"/>
            </w:pPr>
            <w:r w:rsidRPr="00F24C36">
              <w:t xml:space="preserve">1. </w:t>
            </w:r>
            <w:r>
              <w:t>Related p</w:t>
            </w:r>
            <w:r w:rsidRPr="00F24C36">
              <w:t>ublications</w:t>
            </w:r>
            <w:r w:rsidRPr="00F24C36">
              <w:br/>
              <w:t>2. Study quality</w:t>
            </w:r>
            <w:r>
              <w:br/>
            </w:r>
            <w:r w:rsidRPr="00F24C36">
              <w:t>3. Country</w:t>
            </w:r>
            <w:r w:rsidRPr="00F24C36">
              <w:br/>
              <w:t>4. Sponsor</w:t>
            </w:r>
          </w:p>
        </w:tc>
        <w:tc>
          <w:tcPr>
            <w:tcW w:w="309" w:type="pct"/>
            <w:shd w:val="clear" w:color="auto" w:fill="BFBFBF"/>
          </w:tcPr>
          <w:p w:rsidR="00035233" w:rsidRPr="00194011" w:rsidRDefault="00035233" w:rsidP="00035233">
            <w:pPr>
              <w:pStyle w:val="02TableHEADINGcentred"/>
            </w:pPr>
            <w:r w:rsidRPr="00194011">
              <w:t>N</w:t>
            </w:r>
          </w:p>
        </w:tc>
        <w:tc>
          <w:tcPr>
            <w:tcW w:w="340" w:type="pct"/>
            <w:shd w:val="clear" w:color="auto" w:fill="BFBFBF"/>
          </w:tcPr>
          <w:p w:rsidR="00035233" w:rsidRPr="00194011" w:rsidRDefault="00035233" w:rsidP="00035233">
            <w:pPr>
              <w:pStyle w:val="02TableHEADINGcentred"/>
            </w:pPr>
            <w:r w:rsidRPr="00194011">
              <w:t>Study design</w:t>
            </w:r>
          </w:p>
        </w:tc>
        <w:tc>
          <w:tcPr>
            <w:tcW w:w="486" w:type="pct"/>
            <w:shd w:val="clear" w:color="auto" w:fill="BFBFBF"/>
          </w:tcPr>
          <w:p w:rsidR="00035233" w:rsidRPr="00194011" w:rsidRDefault="00035233" w:rsidP="00035233">
            <w:pPr>
              <w:pStyle w:val="01TableHEADINGleftaligned"/>
              <w:jc w:val="center"/>
            </w:pPr>
            <w:r w:rsidRPr="00194011">
              <w:t>Tx (n)</w:t>
            </w:r>
          </w:p>
        </w:tc>
        <w:tc>
          <w:tcPr>
            <w:tcW w:w="2187" w:type="pct"/>
            <w:shd w:val="clear" w:color="auto" w:fill="BFBFBF"/>
          </w:tcPr>
          <w:p w:rsidR="00035233" w:rsidRPr="00194011" w:rsidRDefault="00035233" w:rsidP="00035233">
            <w:pPr>
              <w:pStyle w:val="01TableHEADINGleftaligned"/>
              <w:jc w:val="center"/>
            </w:pPr>
            <w:r w:rsidRPr="00194011">
              <w:t>Eligibility criteria</w:t>
            </w:r>
          </w:p>
        </w:tc>
        <w:tc>
          <w:tcPr>
            <w:tcW w:w="310" w:type="pct"/>
            <w:shd w:val="clear" w:color="auto" w:fill="BFBFBF"/>
          </w:tcPr>
          <w:p w:rsidR="00035233" w:rsidRPr="00194011" w:rsidRDefault="00035233" w:rsidP="00035233">
            <w:pPr>
              <w:pStyle w:val="01TableHEADINGleftaligned"/>
              <w:jc w:val="center"/>
            </w:pPr>
            <w:r>
              <w:t>Treatment period</w:t>
            </w:r>
          </w:p>
        </w:tc>
        <w:tc>
          <w:tcPr>
            <w:tcW w:w="751" w:type="pct"/>
            <w:shd w:val="clear" w:color="auto" w:fill="BFBFBF"/>
          </w:tcPr>
          <w:p w:rsidR="00035233" w:rsidRPr="00194011" w:rsidRDefault="00035233" w:rsidP="00035233">
            <w:pPr>
              <w:pStyle w:val="01TableHEADINGleftaligned"/>
              <w:jc w:val="center"/>
            </w:pPr>
            <w:r w:rsidRPr="00194011">
              <w:t>Outcomes reported</w:t>
            </w:r>
          </w:p>
        </w:tc>
      </w:tr>
      <w:tr w:rsidR="00035233" w:rsidRPr="00194011" w:rsidTr="00035233">
        <w:trPr>
          <w:cantSplit/>
        </w:trPr>
        <w:tc>
          <w:tcPr>
            <w:tcW w:w="617" w:type="pct"/>
            <w:shd w:val="clear" w:color="auto" w:fill="000000"/>
          </w:tcPr>
          <w:p w:rsidR="00035233" w:rsidRDefault="00035233" w:rsidP="00035233">
            <w:pPr>
              <w:pStyle w:val="04Tablesubheading"/>
            </w:pPr>
            <w:r>
              <w:t>FLU/VIL+UME vs FLU/VIL+PBO</w:t>
            </w:r>
          </w:p>
        </w:tc>
        <w:tc>
          <w:tcPr>
            <w:tcW w:w="309" w:type="pct"/>
            <w:shd w:val="clear" w:color="auto" w:fill="000000"/>
          </w:tcPr>
          <w:p w:rsidR="00035233" w:rsidRDefault="00035233" w:rsidP="00035233">
            <w:pPr>
              <w:pStyle w:val="04Tablesubheading"/>
            </w:pPr>
          </w:p>
        </w:tc>
        <w:tc>
          <w:tcPr>
            <w:tcW w:w="340" w:type="pct"/>
            <w:shd w:val="clear" w:color="auto" w:fill="000000"/>
          </w:tcPr>
          <w:p w:rsidR="00035233" w:rsidRDefault="00035233" w:rsidP="00035233">
            <w:pPr>
              <w:pStyle w:val="04Tablesubheading"/>
            </w:pPr>
          </w:p>
        </w:tc>
        <w:tc>
          <w:tcPr>
            <w:tcW w:w="486" w:type="pct"/>
            <w:shd w:val="clear" w:color="auto" w:fill="000000"/>
          </w:tcPr>
          <w:p w:rsidR="00035233" w:rsidRDefault="00035233" w:rsidP="00035233">
            <w:pPr>
              <w:pStyle w:val="04Tablesubheading"/>
            </w:pPr>
          </w:p>
        </w:tc>
        <w:tc>
          <w:tcPr>
            <w:tcW w:w="2187" w:type="pct"/>
            <w:shd w:val="clear" w:color="auto" w:fill="000000"/>
          </w:tcPr>
          <w:p w:rsidR="00035233" w:rsidRDefault="00035233" w:rsidP="00035233">
            <w:pPr>
              <w:pStyle w:val="04Tablesubheading"/>
              <w:rPr>
                <w:u w:val="single"/>
              </w:rPr>
            </w:pPr>
          </w:p>
        </w:tc>
        <w:tc>
          <w:tcPr>
            <w:tcW w:w="310" w:type="pct"/>
            <w:shd w:val="clear" w:color="auto" w:fill="000000"/>
          </w:tcPr>
          <w:p w:rsidR="00035233" w:rsidRDefault="00035233" w:rsidP="00035233">
            <w:pPr>
              <w:pStyle w:val="04Tablesubheading"/>
            </w:pPr>
          </w:p>
        </w:tc>
        <w:tc>
          <w:tcPr>
            <w:tcW w:w="751" w:type="pct"/>
            <w:shd w:val="clear" w:color="auto" w:fill="000000"/>
          </w:tcPr>
          <w:p w:rsidR="00035233" w:rsidRDefault="00035233" w:rsidP="00035233">
            <w:pPr>
              <w:pStyle w:val="04Tablesubheading"/>
              <w:rPr>
                <w:u w:val="single"/>
              </w:rPr>
            </w:pPr>
          </w:p>
        </w:tc>
      </w:tr>
      <w:tr w:rsidR="00035233" w:rsidRPr="00194011" w:rsidTr="00035233">
        <w:trPr>
          <w:cantSplit/>
        </w:trPr>
        <w:tc>
          <w:tcPr>
            <w:tcW w:w="617" w:type="pct"/>
            <w:shd w:val="clear" w:color="auto" w:fill="auto"/>
          </w:tcPr>
          <w:p w:rsidR="00035233" w:rsidRDefault="00035233" w:rsidP="00035233">
            <w:pPr>
              <w:pStyle w:val="05Tabletext"/>
            </w:pPr>
            <w:r>
              <w:t>Siler (2015)</w:t>
            </w:r>
          </w:p>
          <w:p w:rsidR="00035233" w:rsidRDefault="00035233" w:rsidP="00251CB8">
            <w:pPr>
              <w:pStyle w:val="06Tabletextspacebefore"/>
              <w:numPr>
                <w:ilvl w:val="0"/>
                <w:numId w:val="34"/>
              </w:numPr>
            </w:pPr>
            <w:r>
              <w:t>N/A</w:t>
            </w:r>
          </w:p>
          <w:p w:rsidR="00035233" w:rsidRDefault="00035233" w:rsidP="00251CB8">
            <w:pPr>
              <w:pStyle w:val="06Tabletextspacebefore"/>
              <w:numPr>
                <w:ilvl w:val="0"/>
                <w:numId w:val="34"/>
              </w:numPr>
            </w:pPr>
            <w:r>
              <w:t>Good quality</w:t>
            </w:r>
          </w:p>
          <w:p w:rsidR="00035233" w:rsidRDefault="00035233" w:rsidP="00251CB8">
            <w:pPr>
              <w:pStyle w:val="06Tabletextspacebefore"/>
              <w:numPr>
                <w:ilvl w:val="0"/>
                <w:numId w:val="34"/>
              </w:numPr>
            </w:pPr>
            <w:r>
              <w:t>US, Argentina, Canada, Chile, Czech Republic, Germany, Republic of Korea, Romania</w:t>
            </w:r>
          </w:p>
          <w:p w:rsidR="00035233" w:rsidRPr="00922123" w:rsidRDefault="00035233" w:rsidP="00251CB8">
            <w:pPr>
              <w:pStyle w:val="06Tabletextspacebefore"/>
              <w:numPr>
                <w:ilvl w:val="0"/>
                <w:numId w:val="34"/>
              </w:numPr>
            </w:pPr>
            <w:r>
              <w:t>GlaxoSmithKline</w:t>
            </w:r>
          </w:p>
        </w:tc>
        <w:tc>
          <w:tcPr>
            <w:tcW w:w="309" w:type="pct"/>
            <w:shd w:val="clear" w:color="auto" w:fill="auto"/>
          </w:tcPr>
          <w:p w:rsidR="00035233" w:rsidRDefault="00035233" w:rsidP="00035233">
            <w:pPr>
              <w:pStyle w:val="05Tabletext"/>
              <w:jc w:val="center"/>
            </w:pPr>
            <w:r>
              <w:t>619</w:t>
            </w:r>
            <w:r>
              <w:br/>
              <w:t xml:space="preserve">(Study 1); </w:t>
            </w:r>
          </w:p>
          <w:p w:rsidR="00035233" w:rsidRDefault="00035233" w:rsidP="00035233">
            <w:pPr>
              <w:pStyle w:val="05Tabletext"/>
              <w:jc w:val="center"/>
            </w:pPr>
            <w:r>
              <w:t xml:space="preserve">620 </w:t>
            </w:r>
            <w:r>
              <w:br/>
              <w:t>(Study 2)</w:t>
            </w:r>
          </w:p>
        </w:tc>
        <w:tc>
          <w:tcPr>
            <w:tcW w:w="340" w:type="pct"/>
            <w:shd w:val="clear" w:color="auto" w:fill="auto"/>
          </w:tcPr>
          <w:p w:rsidR="00035233" w:rsidRPr="004E61D5" w:rsidRDefault="00035233" w:rsidP="00035233">
            <w:pPr>
              <w:pStyle w:val="05Tabletext"/>
            </w:pPr>
            <w:r>
              <w:t>Superiority. Two replicate studies. Double-blind, placebo-controlled.</w:t>
            </w:r>
          </w:p>
        </w:tc>
        <w:tc>
          <w:tcPr>
            <w:tcW w:w="486" w:type="pct"/>
            <w:shd w:val="clear" w:color="auto" w:fill="auto"/>
          </w:tcPr>
          <w:p w:rsidR="00035233" w:rsidRPr="006260C9" w:rsidRDefault="00035233" w:rsidP="00035233">
            <w:pPr>
              <w:pStyle w:val="05Tabletext"/>
              <w:rPr>
                <w:u w:val="single"/>
              </w:rPr>
            </w:pPr>
            <w:r>
              <w:rPr>
                <w:u w:val="single"/>
              </w:rPr>
              <w:t>Study 1</w:t>
            </w:r>
          </w:p>
          <w:p w:rsidR="00035233" w:rsidRDefault="00035233" w:rsidP="00035233">
            <w:pPr>
              <w:pStyle w:val="05Tabletext"/>
            </w:pPr>
            <w:r>
              <w:t>FLU/VIL 100/25 μg + UME 62.5 μg (n=206)</w:t>
            </w:r>
            <w:r>
              <w:rPr>
                <w:rStyle w:val="FootnoteReference"/>
              </w:rPr>
              <w:footnoteReference w:id="55"/>
            </w:r>
          </w:p>
          <w:p w:rsidR="00035233" w:rsidRDefault="00035233" w:rsidP="00035233">
            <w:pPr>
              <w:pStyle w:val="06Tabletextspacebefore"/>
            </w:pPr>
            <w:r>
              <w:t>FLU/VIL 100/25 μg + UME 125 μg (n=207)</w:t>
            </w:r>
            <w:r>
              <w:rPr>
                <w:rStyle w:val="FootnoteReference"/>
              </w:rPr>
              <w:footnoteReference w:id="56"/>
            </w:r>
          </w:p>
          <w:p w:rsidR="00035233" w:rsidRDefault="00035233" w:rsidP="00035233">
            <w:pPr>
              <w:pStyle w:val="06Tabletextspacebefore"/>
            </w:pPr>
            <w:r>
              <w:t>FLU/VIL 100/25 μg + PBO (n=206)</w:t>
            </w:r>
          </w:p>
          <w:p w:rsidR="00035233" w:rsidRDefault="00035233" w:rsidP="00035233">
            <w:pPr>
              <w:pStyle w:val="06Tabletextspacebefore"/>
              <w:rPr>
                <w:u w:val="single"/>
              </w:rPr>
            </w:pPr>
            <w:r>
              <w:rPr>
                <w:u w:val="single"/>
              </w:rPr>
              <w:t>Study 2</w:t>
            </w:r>
          </w:p>
          <w:p w:rsidR="00035233" w:rsidRDefault="00035233" w:rsidP="00035233">
            <w:pPr>
              <w:pStyle w:val="05Tabletext"/>
            </w:pPr>
            <w:r>
              <w:t>FLU/VIL 100/25 μg + UME 62.5 μg (n=206)</w:t>
            </w:r>
            <w:r>
              <w:rPr>
                <w:rStyle w:val="FootnoteReference"/>
              </w:rPr>
              <w:footnoteReference w:id="57"/>
            </w:r>
          </w:p>
          <w:p w:rsidR="00035233" w:rsidRDefault="00035233" w:rsidP="00035233">
            <w:pPr>
              <w:pStyle w:val="06Tabletextspacebefore"/>
            </w:pPr>
            <w:r>
              <w:t>FLU/VIL 100/25 μg + UME 125 μg (n=207)</w:t>
            </w:r>
            <w:r>
              <w:rPr>
                <w:rStyle w:val="FootnoteReference"/>
              </w:rPr>
              <w:footnoteReference w:id="58"/>
            </w:r>
          </w:p>
          <w:p w:rsidR="00035233" w:rsidRPr="006260C9" w:rsidRDefault="00035233" w:rsidP="00035233">
            <w:pPr>
              <w:pStyle w:val="06Tabletextspacebefore"/>
            </w:pPr>
            <w:r>
              <w:t>FLU/VIL 100/25 μg + PBO (n=206)</w:t>
            </w:r>
          </w:p>
        </w:tc>
        <w:tc>
          <w:tcPr>
            <w:tcW w:w="2187" w:type="pct"/>
            <w:shd w:val="clear" w:color="auto" w:fill="auto"/>
          </w:tcPr>
          <w:p w:rsidR="00035233" w:rsidRDefault="00035233" w:rsidP="00035233">
            <w:pPr>
              <w:pStyle w:val="05Tabletext"/>
              <w:rPr>
                <w:u w:val="single"/>
              </w:rPr>
            </w:pPr>
            <w:r w:rsidRPr="00AE60DB">
              <w:rPr>
                <w:u w:val="single"/>
              </w:rPr>
              <w:t>Inclusion</w:t>
            </w:r>
          </w:p>
          <w:p w:rsidR="00035233" w:rsidRDefault="00035233" w:rsidP="00035233">
            <w:pPr>
              <w:pStyle w:val="05Tabletext"/>
            </w:pPr>
            <w:r>
              <w:t>(1) Age ≥40 years, (2) established clinical history of COPD, (3) pre- and post-albuterol/salbutamol FEV</w:t>
            </w:r>
            <w:r>
              <w:rPr>
                <w:vertAlign w:val="subscript"/>
              </w:rPr>
              <w:t>1</w:t>
            </w:r>
            <w:r>
              <w:t>/FVC ratio of &lt;0.70 and pre- and post-albuterol/salbutamol FEV</w:t>
            </w:r>
            <w:r>
              <w:rPr>
                <w:vertAlign w:val="subscript"/>
              </w:rPr>
              <w:t>1</w:t>
            </w:r>
            <w:r>
              <w:t xml:space="preserve"> of ≤70% of predicted normal values at screening, (4) a score of ≥2 on the mMRC Dyspnea Scale at screening.</w:t>
            </w:r>
          </w:p>
          <w:p w:rsidR="00035233" w:rsidRDefault="00035233" w:rsidP="00035233">
            <w:pPr>
              <w:pStyle w:val="06Tabletextspacebefore"/>
            </w:pPr>
            <w:r>
              <w:rPr>
                <w:u w:val="single"/>
              </w:rPr>
              <w:t>Exclusion</w:t>
            </w:r>
          </w:p>
          <w:p w:rsidR="00035233" w:rsidRDefault="00035233" w:rsidP="00035233">
            <w:pPr>
              <w:pStyle w:val="05Tabletext"/>
            </w:pPr>
            <w:r>
              <w:t>(1) Current diagnosis of asthma, (2) other respiratory disorders, (3) history or current evidence of clinically significant cardiovascular, neurological, psychiatric, renal, hepatic, immunological, endocrine (including uncontrolled and/or a previous history of cancer in remission for &lt;5 years prior to screening, (4) hospitalisation for COPD or pneumonia within 12 weeks prior to screening or LRTI that required antibiotics within 6 weeks prior to screening, (5) use of long-term oxygen therapy.</w:t>
            </w:r>
          </w:p>
          <w:p w:rsidR="00035233" w:rsidRDefault="00035233" w:rsidP="00035233">
            <w:pPr>
              <w:pStyle w:val="06Tabletextspacebefore"/>
            </w:pPr>
            <w:r>
              <w:rPr>
                <w:u w:val="single"/>
              </w:rPr>
              <w:t>Other</w:t>
            </w:r>
          </w:p>
          <w:p w:rsidR="00035233" w:rsidRPr="00DD298A" w:rsidRDefault="00035233" w:rsidP="00035233">
            <w:pPr>
              <w:pStyle w:val="05Tabletext"/>
            </w:pPr>
            <w:r>
              <w:t>(1) Patients underwent 4 weeks’ run-in treatment with open-label FLU/VIL 100/25 μg prior to the treatment period; (2) p</w:t>
            </w:r>
            <w:r w:rsidRPr="00DD298A">
              <w:t xml:space="preserve">atients were required to discontinue </w:t>
            </w:r>
            <w:r>
              <w:t xml:space="preserve">most </w:t>
            </w:r>
            <w:r w:rsidRPr="00DD298A">
              <w:t xml:space="preserve">COPD medications for a run-in period (systemic/oral/parenteral corticosteroids for </w:t>
            </w:r>
            <w:r>
              <w:t>1</w:t>
            </w:r>
            <w:r w:rsidRPr="00DD298A">
              <w:t xml:space="preserve">6 weeks prior; ICS </w:t>
            </w:r>
            <w:r>
              <w:t xml:space="preserve">until Visit 1; </w:t>
            </w:r>
            <w:r w:rsidRPr="00DD298A">
              <w:t>ICS/LABA combinations for 4</w:t>
            </w:r>
            <w:r>
              <w:t xml:space="preserve">8 hours </w:t>
            </w:r>
            <w:r w:rsidRPr="00DD298A">
              <w:t xml:space="preserve">prior; long-acting </w:t>
            </w:r>
            <w:r>
              <w:t>muscarinic antagonists</w:t>
            </w:r>
            <w:r w:rsidRPr="00DD298A">
              <w:t xml:space="preserve"> 1 week prior; and </w:t>
            </w:r>
            <w:r>
              <w:t xml:space="preserve">LABAs olodaterol and indacaterol 10 days </w:t>
            </w:r>
            <w:r w:rsidRPr="00DD298A">
              <w:t xml:space="preserve">prior to </w:t>
            </w:r>
            <w:r>
              <w:t>Visit 1), (3) use of salbutamol as rescue medication was permitted throughout the study, except during the 4 hrs prior to spirometry testing.</w:t>
            </w:r>
          </w:p>
        </w:tc>
        <w:tc>
          <w:tcPr>
            <w:tcW w:w="310" w:type="pct"/>
            <w:shd w:val="clear" w:color="auto" w:fill="auto"/>
          </w:tcPr>
          <w:p w:rsidR="00035233" w:rsidRDefault="00035233" w:rsidP="00035233">
            <w:pPr>
              <w:pStyle w:val="05Tabletext"/>
              <w:jc w:val="center"/>
            </w:pPr>
            <w:r>
              <w:t>12 weeks</w:t>
            </w:r>
          </w:p>
        </w:tc>
        <w:tc>
          <w:tcPr>
            <w:tcW w:w="751" w:type="pct"/>
            <w:shd w:val="clear" w:color="auto" w:fill="auto"/>
          </w:tcPr>
          <w:p w:rsidR="00035233" w:rsidRDefault="00035233" w:rsidP="00035233">
            <w:pPr>
              <w:pStyle w:val="05Tabletext"/>
            </w:pPr>
            <w:r>
              <w:rPr>
                <w:u w:val="single"/>
              </w:rPr>
              <w:t>Primary</w:t>
            </w:r>
          </w:p>
          <w:p w:rsidR="00035233" w:rsidRDefault="00035233" w:rsidP="00035233">
            <w:pPr>
              <w:pStyle w:val="05Tabletext"/>
            </w:pPr>
            <w:r>
              <w:t>Trough FEV</w:t>
            </w:r>
            <w:r>
              <w:rPr>
                <w:vertAlign w:val="subscript"/>
              </w:rPr>
              <w:t>1</w:t>
            </w:r>
            <w:r w:rsidR="004B3085">
              <w:t xml:space="preserve"> on D</w:t>
            </w:r>
            <w:r>
              <w:t>ay 85.</w:t>
            </w:r>
            <w:r>
              <w:rPr>
                <w:rStyle w:val="FootnoteReference"/>
              </w:rPr>
              <w:footnoteReference w:id="59"/>
            </w:r>
          </w:p>
          <w:p w:rsidR="00035233" w:rsidRDefault="00035233" w:rsidP="00035233">
            <w:pPr>
              <w:pStyle w:val="06Tabletextspacebefore"/>
            </w:pPr>
            <w:r>
              <w:rPr>
                <w:u w:val="single"/>
              </w:rPr>
              <w:t>Secondary</w:t>
            </w:r>
          </w:p>
          <w:p w:rsidR="00035233" w:rsidRPr="00A253DC" w:rsidRDefault="00035233" w:rsidP="00035233">
            <w:pPr>
              <w:pStyle w:val="05Tabletext"/>
            </w:pPr>
            <w:r>
              <w:t>Weighted mean FEV</w:t>
            </w:r>
            <w:r>
              <w:rPr>
                <w:vertAlign w:val="subscript"/>
              </w:rPr>
              <w:t>1</w:t>
            </w:r>
            <w:r w:rsidR="004B3085">
              <w:t xml:space="preserve"> from 0-6 hrs on D</w:t>
            </w:r>
            <w:r>
              <w:t>ay 84; proportion of patients achieving an increase of ≥0.100 L above baseline in trough FEV</w:t>
            </w:r>
            <w:r>
              <w:rPr>
                <w:vertAlign w:val="subscript"/>
              </w:rPr>
              <w:t>1</w:t>
            </w:r>
            <w:r>
              <w:t>; proportion of patients achieving an increase in FEV</w:t>
            </w:r>
            <w:r>
              <w:rPr>
                <w:vertAlign w:val="subscript"/>
              </w:rPr>
              <w:t>1</w:t>
            </w:r>
            <w:r>
              <w:t xml:space="preserve"> of ≥12% and ≥0.200 L above baseline; peak FEV</w:t>
            </w:r>
            <w:r>
              <w:rPr>
                <w:vertAlign w:val="subscript"/>
              </w:rPr>
              <w:t>1</w:t>
            </w:r>
            <w:r>
              <w:t xml:space="preserve"> at days 1, 28 and 84; time to onset of treatment response; serial and trough FVC at each timepoint; CAT score; SGRQ; rescue-free days; safety (AEs, vital signs, COPD exacerbations).</w:t>
            </w:r>
          </w:p>
        </w:tc>
      </w:tr>
      <w:tr w:rsidR="00035233" w:rsidRPr="00194011" w:rsidTr="00035233">
        <w:trPr>
          <w:cantSplit/>
        </w:trPr>
        <w:tc>
          <w:tcPr>
            <w:tcW w:w="617" w:type="pct"/>
            <w:shd w:val="clear" w:color="auto" w:fill="000000"/>
          </w:tcPr>
          <w:p w:rsidR="00035233" w:rsidRPr="00DC2C25" w:rsidRDefault="00035233" w:rsidP="00035233">
            <w:pPr>
              <w:pStyle w:val="04Tablesubheading"/>
            </w:pPr>
            <w:r>
              <w:lastRenderedPageBreak/>
              <w:t>ICS/LABA+UME vs ICS LABA+PBO</w:t>
            </w:r>
          </w:p>
        </w:tc>
        <w:tc>
          <w:tcPr>
            <w:tcW w:w="309" w:type="pct"/>
            <w:shd w:val="clear" w:color="auto" w:fill="000000"/>
          </w:tcPr>
          <w:p w:rsidR="00035233" w:rsidRDefault="00035233" w:rsidP="00035233">
            <w:pPr>
              <w:pStyle w:val="04Tablesubheading"/>
            </w:pPr>
          </w:p>
        </w:tc>
        <w:tc>
          <w:tcPr>
            <w:tcW w:w="340" w:type="pct"/>
            <w:shd w:val="clear" w:color="auto" w:fill="000000"/>
          </w:tcPr>
          <w:p w:rsidR="00035233" w:rsidRDefault="00035233" w:rsidP="00035233">
            <w:pPr>
              <w:pStyle w:val="04Tablesubheading"/>
            </w:pPr>
          </w:p>
        </w:tc>
        <w:tc>
          <w:tcPr>
            <w:tcW w:w="486" w:type="pct"/>
            <w:shd w:val="clear" w:color="auto" w:fill="000000"/>
          </w:tcPr>
          <w:p w:rsidR="00035233" w:rsidRDefault="00035233" w:rsidP="00035233">
            <w:pPr>
              <w:pStyle w:val="04Tablesubheading"/>
            </w:pPr>
          </w:p>
        </w:tc>
        <w:tc>
          <w:tcPr>
            <w:tcW w:w="2187" w:type="pct"/>
            <w:shd w:val="clear" w:color="auto" w:fill="000000"/>
          </w:tcPr>
          <w:p w:rsidR="00035233" w:rsidRPr="00BF3ADE" w:rsidRDefault="00035233" w:rsidP="00035233">
            <w:pPr>
              <w:pStyle w:val="04Tablesubheading"/>
            </w:pPr>
          </w:p>
        </w:tc>
        <w:tc>
          <w:tcPr>
            <w:tcW w:w="310" w:type="pct"/>
            <w:shd w:val="clear" w:color="auto" w:fill="000000"/>
          </w:tcPr>
          <w:p w:rsidR="00035233" w:rsidRDefault="00035233" w:rsidP="00035233">
            <w:pPr>
              <w:pStyle w:val="04Tablesubheading"/>
            </w:pPr>
          </w:p>
        </w:tc>
        <w:tc>
          <w:tcPr>
            <w:tcW w:w="751" w:type="pct"/>
            <w:shd w:val="clear" w:color="auto" w:fill="000000"/>
          </w:tcPr>
          <w:p w:rsidR="00035233" w:rsidRPr="00803EA3" w:rsidRDefault="00035233" w:rsidP="00035233">
            <w:pPr>
              <w:pStyle w:val="04Tablesubheading"/>
            </w:pPr>
          </w:p>
        </w:tc>
      </w:tr>
      <w:tr w:rsidR="00035233" w:rsidRPr="00194011" w:rsidTr="00035233">
        <w:trPr>
          <w:cantSplit/>
        </w:trPr>
        <w:tc>
          <w:tcPr>
            <w:tcW w:w="617" w:type="pct"/>
            <w:shd w:val="clear" w:color="auto" w:fill="auto"/>
          </w:tcPr>
          <w:p w:rsidR="00035233" w:rsidRDefault="00035233" w:rsidP="00035233">
            <w:pPr>
              <w:pStyle w:val="05Tabletext"/>
            </w:pPr>
            <w:r>
              <w:t>Sousa (2016)</w:t>
            </w:r>
          </w:p>
          <w:p w:rsidR="00035233" w:rsidRDefault="00035233" w:rsidP="00251CB8">
            <w:pPr>
              <w:pStyle w:val="06Tabletextspacebefore"/>
              <w:numPr>
                <w:ilvl w:val="0"/>
                <w:numId w:val="35"/>
              </w:numPr>
            </w:pPr>
            <w:r>
              <w:t>N/A</w:t>
            </w:r>
          </w:p>
          <w:p w:rsidR="00035233" w:rsidRDefault="00035233" w:rsidP="00251CB8">
            <w:pPr>
              <w:pStyle w:val="06Tabletextspacebefore"/>
              <w:numPr>
                <w:ilvl w:val="0"/>
                <w:numId w:val="35"/>
              </w:numPr>
            </w:pPr>
            <w:r>
              <w:t>Fair quality</w:t>
            </w:r>
          </w:p>
          <w:p w:rsidR="00035233" w:rsidRDefault="00035233" w:rsidP="00251CB8">
            <w:pPr>
              <w:pStyle w:val="06Tabletextspacebefore"/>
              <w:numPr>
                <w:ilvl w:val="0"/>
                <w:numId w:val="35"/>
              </w:numPr>
            </w:pPr>
            <w:r>
              <w:t>Czech Republic, Germany, Greece, Netherlands</w:t>
            </w:r>
          </w:p>
          <w:p w:rsidR="00035233" w:rsidRPr="009F197F" w:rsidRDefault="00035233" w:rsidP="00251CB8">
            <w:pPr>
              <w:pStyle w:val="06Tabletextspacebefore"/>
              <w:numPr>
                <w:ilvl w:val="0"/>
                <w:numId w:val="35"/>
              </w:numPr>
            </w:pPr>
            <w:r>
              <w:t>GlaxoSmithKline</w:t>
            </w:r>
          </w:p>
        </w:tc>
        <w:tc>
          <w:tcPr>
            <w:tcW w:w="309" w:type="pct"/>
            <w:shd w:val="clear" w:color="auto" w:fill="auto"/>
          </w:tcPr>
          <w:p w:rsidR="00035233" w:rsidRDefault="00035233" w:rsidP="00035233">
            <w:pPr>
              <w:pStyle w:val="05Tabletext"/>
              <w:jc w:val="center"/>
            </w:pPr>
            <w:r>
              <w:t>236</w:t>
            </w:r>
          </w:p>
        </w:tc>
        <w:tc>
          <w:tcPr>
            <w:tcW w:w="340" w:type="pct"/>
            <w:shd w:val="clear" w:color="auto" w:fill="auto"/>
          </w:tcPr>
          <w:p w:rsidR="00035233" w:rsidRDefault="00035233" w:rsidP="00035233">
            <w:pPr>
              <w:pStyle w:val="05Tabletext"/>
            </w:pPr>
            <w:r>
              <w:t>Superiority.</w:t>
            </w:r>
          </w:p>
          <w:p w:rsidR="00035233" w:rsidRDefault="00035233" w:rsidP="00035233">
            <w:pPr>
              <w:pStyle w:val="05Tabletext"/>
            </w:pPr>
            <w:r>
              <w:t>Double-blind.</w:t>
            </w:r>
          </w:p>
          <w:p w:rsidR="00035233" w:rsidRPr="0078672E" w:rsidRDefault="00035233" w:rsidP="00035233">
            <w:pPr>
              <w:pStyle w:val="06Tabletextspacebefore"/>
            </w:pPr>
            <w:r>
              <w:t>Note: ICS/LABA was open-label. Blinding refers to UME and PBO treatments.</w:t>
            </w:r>
          </w:p>
        </w:tc>
        <w:tc>
          <w:tcPr>
            <w:tcW w:w="486" w:type="pct"/>
            <w:shd w:val="clear" w:color="auto" w:fill="auto"/>
          </w:tcPr>
          <w:p w:rsidR="00035233" w:rsidRDefault="00035233" w:rsidP="00035233">
            <w:pPr>
              <w:pStyle w:val="05Tabletext"/>
            </w:pPr>
            <w:r>
              <w:t>ICS/LABA bid + PBO qd (n=117)</w:t>
            </w:r>
          </w:p>
          <w:p w:rsidR="00035233" w:rsidRDefault="00035233" w:rsidP="00035233">
            <w:pPr>
              <w:pStyle w:val="06Tabletextspacebefore"/>
            </w:pPr>
            <w:r>
              <w:t>ICS/LABA bid + UME 62.5 μg qd (n=119)</w:t>
            </w:r>
          </w:p>
          <w:p w:rsidR="00035233" w:rsidRPr="00606338" w:rsidRDefault="00035233" w:rsidP="00035233">
            <w:pPr>
              <w:pStyle w:val="06Tabletextspacebefore"/>
            </w:pPr>
            <w:r>
              <w:t>ICS/LABAs included FLU/SAL 500/500 μg bid, BUD/EFO 200/6 or 400/12 μg bid, or other ICS/LABAs with the exception of FLU/SAL 250/50 μg bid and FLU/VIL 100/25 μg qd</w:t>
            </w:r>
            <w:proofErr w:type="gramStart"/>
            <w:r>
              <w:t>.</w:t>
            </w:r>
            <w:proofErr w:type="gramEnd"/>
            <w:r>
              <w:rPr>
                <w:rStyle w:val="FootnoteReference"/>
              </w:rPr>
              <w:footnoteReference w:id="60"/>
            </w:r>
            <w:r>
              <w:t>.</w:t>
            </w:r>
          </w:p>
        </w:tc>
        <w:tc>
          <w:tcPr>
            <w:tcW w:w="2187" w:type="pct"/>
            <w:shd w:val="clear" w:color="auto" w:fill="auto"/>
          </w:tcPr>
          <w:p w:rsidR="00035233" w:rsidRDefault="00035233" w:rsidP="00035233">
            <w:pPr>
              <w:pStyle w:val="05Tabletext"/>
            </w:pPr>
            <w:r>
              <w:rPr>
                <w:u w:val="single"/>
              </w:rPr>
              <w:t>Inclusion</w:t>
            </w:r>
          </w:p>
          <w:p w:rsidR="00035233" w:rsidRDefault="00035233" w:rsidP="00035233">
            <w:pPr>
              <w:pStyle w:val="05Tabletext"/>
            </w:pPr>
            <w:r>
              <w:t>(1) Age ≥40 years, (2) established clinical history of COPD, (3) receiving ICS/LABA at doses and frequencies approved for COPD ≥30 days before the run-in period of 7 ±2 days, (4) pre- and post-albuterol/salmeterol FEV</w:t>
            </w:r>
            <w:r>
              <w:rPr>
                <w:vertAlign w:val="subscript"/>
              </w:rPr>
              <w:t>1</w:t>
            </w:r>
            <w:r>
              <w:t>/FVC ratio of &lt;0.7 and a pre- and post-albuterol/salbutamol FEV</w:t>
            </w:r>
            <w:r>
              <w:rPr>
                <w:vertAlign w:val="subscript"/>
              </w:rPr>
              <w:t>1</w:t>
            </w:r>
            <w:r>
              <w:t xml:space="preserve"> ≤070% of the predicted normal values, (5) dyspnoea score of ≥2 on the mMRC Dyspnea Scale at Visit 1, (6) remained symptomatic after receiving one of the ICS/LABA combinations approved for COPD ≥30 days before screening.</w:t>
            </w:r>
          </w:p>
          <w:p w:rsidR="00035233" w:rsidRDefault="00035233" w:rsidP="00035233">
            <w:pPr>
              <w:pStyle w:val="06Tabletextspacebefore"/>
              <w:rPr>
                <w:u w:val="single"/>
              </w:rPr>
            </w:pPr>
            <w:r>
              <w:rPr>
                <w:u w:val="single"/>
              </w:rPr>
              <w:t>Exclusion</w:t>
            </w:r>
          </w:p>
          <w:p w:rsidR="00035233" w:rsidRDefault="00035233" w:rsidP="00035233">
            <w:pPr>
              <w:pStyle w:val="05Tabletext"/>
            </w:pPr>
            <w:r>
              <w:t>(1) Current diagnosis of asthma, (2) hospitalisation for COPD or pneumonia within 12 weeks prior to Visit 1, (3) LRTI requiring antibiotic use within 6 weeks of Visit 1, (4) use of long-term oxygen therapy (&gt;12 hrs per day), (5) evidence of concurrent respiratory disease or other clinically significant medical condition.</w:t>
            </w:r>
          </w:p>
          <w:p w:rsidR="00035233" w:rsidRDefault="00035233" w:rsidP="00035233">
            <w:pPr>
              <w:pStyle w:val="06Tabletextspacebefore"/>
            </w:pPr>
            <w:r>
              <w:rPr>
                <w:u w:val="single"/>
              </w:rPr>
              <w:t>Other</w:t>
            </w:r>
          </w:p>
          <w:p w:rsidR="00035233" w:rsidRPr="00CE237F" w:rsidRDefault="00035233" w:rsidP="00035233">
            <w:pPr>
              <w:pStyle w:val="05Tabletext"/>
            </w:pPr>
            <w:r>
              <w:t>(1) P</w:t>
            </w:r>
            <w:r w:rsidRPr="00CE237F">
              <w:t xml:space="preserve">atients were required to discontinue most COPD medications for a run-in period (systemic/oral/parenteral corticosteroids for 6 weeks prior; </w:t>
            </w:r>
            <w:r>
              <w:t>LAMAs 1 week prior;</w:t>
            </w:r>
            <w:r w:rsidRPr="00CE237F">
              <w:t xml:space="preserve"> LABAs</w:t>
            </w:r>
            <w:r>
              <w:t xml:space="preserve"> olodaterol and indacaterol</w:t>
            </w:r>
            <w:r w:rsidRPr="00CE237F">
              <w:t xml:space="preserve"> </w:t>
            </w:r>
            <w:r>
              <w:t xml:space="preserve">14 days prior to </w:t>
            </w:r>
            <w:r w:rsidRPr="00CE237F">
              <w:t>Visit 1</w:t>
            </w:r>
            <w:r>
              <w:t xml:space="preserve"> and LABAs salmeterol and formoterol 48 hrs prior to Visit 1.</w:t>
            </w:r>
          </w:p>
        </w:tc>
        <w:tc>
          <w:tcPr>
            <w:tcW w:w="310" w:type="pct"/>
            <w:shd w:val="clear" w:color="auto" w:fill="auto"/>
          </w:tcPr>
          <w:p w:rsidR="00035233" w:rsidRDefault="00035233" w:rsidP="00035233">
            <w:pPr>
              <w:pStyle w:val="05Tabletext"/>
              <w:jc w:val="center"/>
            </w:pPr>
            <w:r>
              <w:t>12 weeks</w:t>
            </w:r>
          </w:p>
        </w:tc>
        <w:tc>
          <w:tcPr>
            <w:tcW w:w="751" w:type="pct"/>
            <w:shd w:val="clear" w:color="auto" w:fill="auto"/>
          </w:tcPr>
          <w:p w:rsidR="00035233" w:rsidRDefault="00035233" w:rsidP="00035233">
            <w:pPr>
              <w:pStyle w:val="05Tabletext"/>
            </w:pPr>
            <w:r>
              <w:rPr>
                <w:u w:val="single"/>
              </w:rPr>
              <w:t>Primary</w:t>
            </w:r>
          </w:p>
          <w:p w:rsidR="00035233" w:rsidRDefault="00035233" w:rsidP="00035233">
            <w:pPr>
              <w:pStyle w:val="05Tabletext"/>
            </w:pPr>
            <w:r>
              <w:t>Trough FEV</w:t>
            </w:r>
            <w:r>
              <w:rPr>
                <w:vertAlign w:val="subscript"/>
              </w:rPr>
              <w:t>1</w:t>
            </w:r>
            <w:r w:rsidR="004B3085">
              <w:t xml:space="preserve"> on D</w:t>
            </w:r>
            <w:r>
              <w:t>ay 85 (defined as the mean of FEV</w:t>
            </w:r>
            <w:r>
              <w:rPr>
                <w:vertAlign w:val="subscript"/>
              </w:rPr>
              <w:t>1</w:t>
            </w:r>
            <w:r>
              <w:t xml:space="preserve"> values obtained at</w:t>
            </w:r>
            <w:r w:rsidR="004B3085">
              <w:t xml:space="preserve"> 23 and 24 hrs after dosing on D</w:t>
            </w:r>
            <w:r>
              <w:t>ay 84).</w:t>
            </w:r>
          </w:p>
          <w:p w:rsidR="00035233" w:rsidRDefault="00035233" w:rsidP="00035233">
            <w:pPr>
              <w:pStyle w:val="06Tabletextspacebefore"/>
              <w:rPr>
                <w:u w:val="single"/>
              </w:rPr>
            </w:pPr>
            <w:r>
              <w:rPr>
                <w:u w:val="single"/>
              </w:rPr>
              <w:t>Secondary</w:t>
            </w:r>
          </w:p>
          <w:p w:rsidR="00035233" w:rsidRPr="0087088E" w:rsidRDefault="00035233" w:rsidP="00035233">
            <w:pPr>
              <w:pStyle w:val="05Tabletext"/>
            </w:pPr>
            <w:r>
              <w:t>Weighed mean FEV</w:t>
            </w:r>
            <w:r>
              <w:rPr>
                <w:vertAlign w:val="subscript"/>
              </w:rPr>
              <w:t>1</w:t>
            </w:r>
            <w:r w:rsidR="004B3085">
              <w:t xml:space="preserve"> from 0-6 hrs on D</w:t>
            </w:r>
            <w:r>
              <w:t>ay 84; trough FEV</w:t>
            </w:r>
            <w:r>
              <w:rPr>
                <w:vertAlign w:val="subscript"/>
              </w:rPr>
              <w:t>1</w:t>
            </w:r>
            <w:r>
              <w:t xml:space="preserve"> and weighted mean FEV</w:t>
            </w:r>
            <w:r>
              <w:rPr>
                <w:vertAlign w:val="subscript"/>
              </w:rPr>
              <w:t>1</w:t>
            </w:r>
            <w:r w:rsidRPr="0087088E">
              <w:t xml:space="preserve"> at other time points; </w:t>
            </w:r>
            <w:r>
              <w:t>proportion of patients achieving an increase in FEV</w:t>
            </w:r>
            <w:r>
              <w:rPr>
                <w:vertAlign w:val="subscript"/>
              </w:rPr>
              <w:t>1</w:t>
            </w:r>
            <w:r>
              <w:t xml:space="preserve"> of ≥12% and ≥200 mL above baseline at any time during 0-6 hrs post</w:t>
            </w:r>
            <w:r w:rsidR="00185623">
              <w:t>-</w:t>
            </w:r>
            <w:r w:rsidR="004B3085">
              <w:t>dose on D</w:t>
            </w:r>
            <w:r>
              <w:t>ay 1; peak FEV</w:t>
            </w:r>
            <w:r>
              <w:rPr>
                <w:vertAlign w:val="subscript"/>
              </w:rPr>
              <w:t>1</w:t>
            </w:r>
            <w:r>
              <w:t xml:space="preserve">, trough and serial FVC; use of rescue </w:t>
            </w:r>
            <w:r w:rsidR="004B3085">
              <w:t>medication; TDI focal score on D</w:t>
            </w:r>
            <w:r>
              <w:t>ay 84; CAT score; SGRQ; safety (AEs, clinical laboratory tests, vital signs, COPD exacerbations).</w:t>
            </w:r>
          </w:p>
        </w:tc>
      </w:tr>
    </w:tbl>
    <w:p w:rsidR="00035233" w:rsidRDefault="00035233" w:rsidP="00035233">
      <w:pPr>
        <w:pStyle w:val="10TableorFigurefootnote"/>
      </w:pPr>
      <w:r w:rsidRPr="00745648">
        <w:t>Note: N refers to number randomised unless otherwise specified.</w:t>
      </w:r>
    </w:p>
    <w:p w:rsidR="00035233" w:rsidRDefault="00035233" w:rsidP="00035233">
      <w:pPr>
        <w:pStyle w:val="11TableorFigurefootnotenostick"/>
      </w:pPr>
      <w:r>
        <w:t>Abbreviations: AE, adverse event; AUC, area under the curve; BDI, Basline Dyspnea Index; bid, twice daily; BUD, budesonide; CAT, COPD Assessment Test; COPD, chronic obstructive pulmonary disease; CVD, cardiovascular disease; EFO, eformoterol; FEV</w:t>
      </w:r>
      <w:r>
        <w:rPr>
          <w:vertAlign w:val="subscript"/>
        </w:rPr>
        <w:t>1</w:t>
      </w:r>
      <w:r>
        <w:t>, forced expiratory volume in one second; FLU, fluticasone; FVC, forced vital capacity; GOLD, Global initiative for chronic Obstructive Lung Disease; IC, inspiratory capacity; ICS, inhaled corticosteroid; IND, indacaterol; LABA, long-acting beta-agonist; LAMA, long-acting muscarinic antagonist; LRTI, lower respiratory tract infection; mMRC, modified Medical Research Council; N/A, not applicable; OLO, olodaterol; PBO, placebo; qd, once daily; SAL, salmeterol; SGRQ, St George’s Respiratory Questionnaire; SMETT, sub-maximal constant-load cycle ergometry exercise tolerance test; TDI, Transition Dyspnea Index; TIO, tiotropium; UK, United Kingdom; UME, umeclidinium; VIL, vilanterol</w:t>
      </w:r>
      <w:r w:rsidR="00ED357B">
        <w:t>; FLU/SAL, fluticasone propionate/salmeterol; FLU/VIL, fluticasone furoate/vilanterol.</w:t>
      </w:r>
    </w:p>
    <w:p w:rsidR="00035233" w:rsidRPr="00D640F9" w:rsidRDefault="00035233" w:rsidP="00035233">
      <w:pPr>
        <w:pStyle w:val="BodyText"/>
      </w:pPr>
    </w:p>
    <w:p w:rsidR="00035233" w:rsidRDefault="00035233" w:rsidP="00251CB8">
      <w:pPr>
        <w:pStyle w:val="Heading2"/>
        <w:numPr>
          <w:ilvl w:val="1"/>
          <w:numId w:val="36"/>
        </w:numPr>
        <w:sectPr w:rsidR="00035233" w:rsidSect="0005536D">
          <w:footerReference w:type="default" r:id="rId54"/>
          <w:pgSz w:w="16838" w:h="11906" w:orient="landscape"/>
          <w:pgMar w:top="1134" w:right="1134" w:bottom="1134" w:left="1134" w:header="709" w:footer="709" w:gutter="0"/>
          <w:cols w:space="708"/>
          <w:docGrid w:linePitch="360"/>
        </w:sectPr>
      </w:pPr>
    </w:p>
    <w:p w:rsidR="00035233" w:rsidRPr="00030E3B" w:rsidRDefault="00035233" w:rsidP="00030E3B">
      <w:pPr>
        <w:pStyle w:val="Heading4"/>
      </w:pPr>
      <w:r w:rsidRPr="00030E3B">
        <w:lastRenderedPageBreak/>
        <w:t>Fluticasone</w:t>
      </w:r>
      <w:r w:rsidR="00065C0A">
        <w:t xml:space="preserve"> furoate</w:t>
      </w:r>
      <w:r w:rsidRPr="00030E3B">
        <w:t>/vilanterol with or without umeclidinium</w:t>
      </w:r>
    </w:p>
    <w:p w:rsidR="00035233" w:rsidRDefault="00035233" w:rsidP="00251CB8">
      <w:pPr>
        <w:pStyle w:val="Heading5"/>
        <w:numPr>
          <w:ilvl w:val="4"/>
          <w:numId w:val="36"/>
        </w:numPr>
      </w:pPr>
      <w:r>
        <w:t>Siler (2015)</w:t>
      </w:r>
    </w:p>
    <w:p w:rsidR="00035233" w:rsidRDefault="00035233" w:rsidP="00035233">
      <w:pPr>
        <w:pStyle w:val="BodyTextnospacebefore"/>
      </w:pPr>
      <w:r>
        <w:t xml:space="preserve">Two replicate 12-week studies assessed whether the addition </w:t>
      </w:r>
      <w:r w:rsidR="00D5724A">
        <w:t>of umeclidinium to fluticasone</w:t>
      </w:r>
      <w:r w:rsidR="00350584">
        <w:t xml:space="preserve"> furoate</w:t>
      </w:r>
      <w:r w:rsidR="00D5724A">
        <w:t>/</w:t>
      </w:r>
      <w:r>
        <w:t>vilanterol would lead to improvements in trough FEV</w:t>
      </w:r>
      <w:r>
        <w:rPr>
          <w:vertAlign w:val="subscript"/>
        </w:rPr>
        <w:t>1</w:t>
      </w:r>
      <w:r>
        <w:t xml:space="preserve"> as well as other lung function outcomes or quality of life. The patient disease characteristics were similar between the studies and treatment groups, although Study 2 had a slightly higher proportion of GOLD </w:t>
      </w:r>
      <w:r w:rsidR="006D27FC">
        <w:t>S</w:t>
      </w:r>
      <w:r>
        <w:t>tage II patients (46-50% compared with 40-41%); whereas, Study 1 had more GOLD stage III patients (44-48% versus 40-42%). Across both studies 10–17% of patients were classified as having GOLD stage IV COPD based on measures of lung function (i.e. previous GOLD criteria).</w:t>
      </w:r>
    </w:p>
    <w:p w:rsidR="00035233" w:rsidRPr="00CD01F7" w:rsidRDefault="00035233" w:rsidP="00035233">
      <w:pPr>
        <w:pStyle w:val="BodyText"/>
      </w:pPr>
      <w:r>
        <w:t xml:space="preserve">Interestingly, despite only minor differences in disease severity, there were noticeable differences in existing COPD medication at baseline. In Study 1, 63% of patients were on ICS therapy compared with 46% in Study 2; whereas, </w:t>
      </w:r>
      <w:r w:rsidRPr="00E3655D">
        <w:t>a higher proportion of patients were receiving LAMA medications in Study 2, 46%, compared with 22% in Study 1.</w:t>
      </w:r>
      <w:r>
        <w:t xml:space="preserve"> LABA therapy was similar at 61% and 62% in Study 1 and 2, respectively.</w:t>
      </w:r>
    </w:p>
    <w:p w:rsidR="00035233" w:rsidRPr="00206338" w:rsidRDefault="00035233" w:rsidP="00035233">
      <w:pPr>
        <w:pStyle w:val="BodyText"/>
      </w:pPr>
      <w:r>
        <w:t>The primary endpoint was trough FEV</w:t>
      </w:r>
      <w:r>
        <w:rPr>
          <w:vertAlign w:val="subscript"/>
        </w:rPr>
        <w:t>1</w:t>
      </w:r>
      <w:r w:rsidR="004B3085">
        <w:t xml:space="preserve"> at D</w:t>
      </w:r>
      <w:r>
        <w:t>ay 85 and the MCID was pre</w:t>
      </w:r>
      <w:r w:rsidR="000A6E36">
        <w:t>defined</w:t>
      </w:r>
      <w:r>
        <w:t xml:space="preserve"> as 0.100 L. As shown in </w:t>
      </w:r>
      <w:r w:rsidR="00D5724A">
        <w:t>Table 3.7</w:t>
      </w:r>
      <w:r w:rsidR="00411D11">
        <w:t>9</w:t>
      </w:r>
      <w:r>
        <w:t>, triple therapy with PBS-listed doses of fluticasone</w:t>
      </w:r>
      <w:r w:rsidR="00350584">
        <w:t xml:space="preserve"> furoate</w:t>
      </w:r>
      <w:r>
        <w:t>/vilanterol (100/25 μg) plus umeclidinium (62.5 μg) was associated with clinically meaningful improvements in trough FEV</w:t>
      </w:r>
      <w:r>
        <w:rPr>
          <w:vertAlign w:val="subscript"/>
        </w:rPr>
        <w:t>1</w:t>
      </w:r>
      <w:r w:rsidR="004B3085">
        <w:t xml:space="preserve"> at D</w:t>
      </w:r>
      <w:r>
        <w:t>ay 85 versus dual therapy with fluticasone</w:t>
      </w:r>
      <w:r w:rsidR="00350584">
        <w:t xml:space="preserve"> furoate</w:t>
      </w:r>
      <w:r>
        <w:t xml:space="preserve">/vilanterol (plus placebo). </w:t>
      </w:r>
      <w:r w:rsidR="00D5724A">
        <w:t xml:space="preserve">Figure 3.10 </w:t>
      </w:r>
      <w:r>
        <w:t>demonstrates that the significant difference between triple and dual therapy was observed throughout the duration of the 12-week study.</w:t>
      </w:r>
    </w:p>
    <w:p w:rsidR="00035233" w:rsidRDefault="00D5724A" w:rsidP="007C7B60">
      <w:pPr>
        <w:pStyle w:val="ToR3Tableheader"/>
      </w:pPr>
      <w:bookmarkStart w:id="517" w:name="_Toc468028701"/>
      <w:bookmarkStart w:id="518" w:name="_Toc468034523"/>
      <w:bookmarkStart w:id="519" w:name="_Toc471891065"/>
      <w:bookmarkStart w:id="520" w:name="_Toc486428258"/>
      <w:r>
        <w:t>Table 3.7</w:t>
      </w:r>
      <w:r w:rsidR="00411D11">
        <w:t>9</w:t>
      </w:r>
      <w:r w:rsidR="00035233">
        <w:tab/>
        <w:t>Results for change from baseline for trough FEV</w:t>
      </w:r>
      <w:r w:rsidR="00035233">
        <w:rPr>
          <w:vertAlign w:val="subscript"/>
        </w:rPr>
        <w:t>1</w:t>
      </w:r>
      <w:r w:rsidR="00035233">
        <w:t xml:space="preserve"> for the ITT population – FLU/VIL+PBO vs FLU/VIL+UME</w:t>
      </w:r>
      <w:bookmarkEnd w:id="517"/>
      <w:bookmarkEnd w:id="518"/>
      <w:bookmarkEnd w:id="519"/>
      <w:bookmarkEnd w:id="520"/>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Caption w:val="Results for change from baseline for trough FEV1 for the ITT population "/>
        <w:tblDescription w:val="FLU/VIL + placebo vs FLU/VIL + UME"/>
      </w:tblPr>
      <w:tblGrid>
        <w:gridCol w:w="2414"/>
        <w:gridCol w:w="1175"/>
        <w:gridCol w:w="1176"/>
        <w:gridCol w:w="1176"/>
        <w:gridCol w:w="1176"/>
        <w:gridCol w:w="1699"/>
        <w:gridCol w:w="851"/>
      </w:tblGrid>
      <w:tr w:rsidR="00035233" w:rsidRPr="00F01736" w:rsidTr="00035233">
        <w:trPr>
          <w:cantSplit/>
          <w:tblHeader/>
        </w:trPr>
        <w:tc>
          <w:tcPr>
            <w:tcW w:w="1249" w:type="pct"/>
            <w:shd w:val="clear" w:color="auto" w:fill="BFBFBF"/>
          </w:tcPr>
          <w:p w:rsidR="00035233" w:rsidRPr="00F01736" w:rsidRDefault="00035233" w:rsidP="00035233">
            <w:pPr>
              <w:pStyle w:val="01TableHEADINGleftaligned"/>
            </w:pPr>
            <w:r>
              <w:t>LS mean change from baseline</w:t>
            </w:r>
          </w:p>
        </w:tc>
        <w:tc>
          <w:tcPr>
            <w:tcW w:w="608" w:type="pct"/>
            <w:tcBorders>
              <w:right w:val="nil"/>
            </w:tcBorders>
            <w:shd w:val="clear" w:color="auto" w:fill="BFBFBF"/>
          </w:tcPr>
          <w:p w:rsidR="00035233" w:rsidRPr="00F01736" w:rsidRDefault="00035233" w:rsidP="00035233">
            <w:pPr>
              <w:pStyle w:val="01TableHEADINGleftaligned"/>
              <w:ind w:right="0"/>
              <w:jc w:val="right"/>
            </w:pPr>
            <w:r>
              <w:t>FLU/VIL +</w:t>
            </w:r>
          </w:p>
        </w:tc>
        <w:tc>
          <w:tcPr>
            <w:tcW w:w="608" w:type="pct"/>
            <w:tcBorders>
              <w:left w:val="nil"/>
              <w:right w:val="single" w:sz="4" w:space="0" w:color="auto"/>
            </w:tcBorders>
            <w:shd w:val="clear" w:color="auto" w:fill="BFBFBF"/>
          </w:tcPr>
          <w:p w:rsidR="00035233" w:rsidRPr="00F01736" w:rsidRDefault="00035233" w:rsidP="00035233">
            <w:pPr>
              <w:pStyle w:val="01TableHEADINGleftaligned"/>
              <w:ind w:left="0" w:right="0"/>
            </w:pPr>
            <w:r>
              <w:t xml:space="preserve"> PBO (N=206)</w:t>
            </w:r>
          </w:p>
        </w:tc>
        <w:tc>
          <w:tcPr>
            <w:tcW w:w="608" w:type="pct"/>
            <w:tcBorders>
              <w:left w:val="single" w:sz="4" w:space="0" w:color="auto"/>
              <w:right w:val="nil"/>
            </w:tcBorders>
            <w:shd w:val="clear" w:color="auto" w:fill="BFBFBF"/>
          </w:tcPr>
          <w:p w:rsidR="00035233" w:rsidRPr="00F01736" w:rsidRDefault="00035233" w:rsidP="00035233">
            <w:pPr>
              <w:pStyle w:val="01TableHEADINGleftaligned"/>
              <w:ind w:right="0"/>
              <w:jc w:val="right"/>
            </w:pPr>
            <w:r>
              <w:t>FLU/VIL +</w:t>
            </w:r>
          </w:p>
        </w:tc>
        <w:tc>
          <w:tcPr>
            <w:tcW w:w="608" w:type="pct"/>
            <w:tcBorders>
              <w:left w:val="nil"/>
            </w:tcBorders>
            <w:shd w:val="clear" w:color="auto" w:fill="BFBFBF"/>
          </w:tcPr>
          <w:p w:rsidR="00035233" w:rsidRPr="00F01736" w:rsidRDefault="00035233" w:rsidP="00035233">
            <w:pPr>
              <w:pStyle w:val="01TableHEADINGleftaligned"/>
              <w:ind w:left="0"/>
            </w:pPr>
            <w:r>
              <w:t xml:space="preserve"> UME (N=206)</w:t>
            </w:r>
          </w:p>
        </w:tc>
        <w:tc>
          <w:tcPr>
            <w:tcW w:w="879" w:type="pct"/>
            <w:shd w:val="clear" w:color="auto" w:fill="BFBFBF"/>
          </w:tcPr>
          <w:p w:rsidR="00035233" w:rsidRPr="005C40A2" w:rsidRDefault="00035233" w:rsidP="00035233">
            <w:pPr>
              <w:pStyle w:val="01TableHEADINGleftaligned"/>
              <w:jc w:val="center"/>
              <w:rPr>
                <w:vertAlign w:val="superscript"/>
              </w:rPr>
            </w:pPr>
            <w:r>
              <w:t>Treatment difference</w:t>
            </w:r>
          </w:p>
        </w:tc>
        <w:tc>
          <w:tcPr>
            <w:tcW w:w="440" w:type="pct"/>
            <w:shd w:val="clear" w:color="auto" w:fill="BFBFBF"/>
          </w:tcPr>
          <w:p w:rsidR="00035233" w:rsidRDefault="00035233" w:rsidP="00035233">
            <w:pPr>
              <w:pStyle w:val="01TableHEADINGleftaligned"/>
              <w:jc w:val="center"/>
            </w:pPr>
            <w:r>
              <w:t>p-value</w:t>
            </w:r>
          </w:p>
        </w:tc>
      </w:tr>
      <w:tr w:rsidR="00035233" w:rsidRPr="00194011" w:rsidTr="00035233">
        <w:trPr>
          <w:cantSplit/>
        </w:trPr>
        <w:tc>
          <w:tcPr>
            <w:tcW w:w="1249" w:type="pct"/>
            <w:tcBorders>
              <w:bottom w:val="single" w:sz="4" w:space="0" w:color="auto"/>
            </w:tcBorders>
            <w:shd w:val="clear" w:color="auto" w:fill="000000"/>
          </w:tcPr>
          <w:p w:rsidR="00035233" w:rsidRPr="00194011" w:rsidRDefault="00035233" w:rsidP="00035233">
            <w:pPr>
              <w:pStyle w:val="04Tablesubheading"/>
            </w:pPr>
            <w:r>
              <w:t>Trough FEV</w:t>
            </w:r>
            <w:r>
              <w:rPr>
                <w:vertAlign w:val="subscript"/>
              </w:rPr>
              <w:t>1</w:t>
            </w:r>
            <w:r w:rsidR="004B3085">
              <w:t xml:space="preserve"> at D</w:t>
            </w:r>
            <w:r>
              <w:t>ay 85, L</w:t>
            </w:r>
          </w:p>
        </w:tc>
        <w:tc>
          <w:tcPr>
            <w:tcW w:w="608" w:type="pct"/>
            <w:tcBorders>
              <w:bottom w:val="single" w:sz="4" w:space="0" w:color="auto"/>
            </w:tcBorders>
            <w:shd w:val="clear" w:color="auto" w:fill="000000"/>
          </w:tcPr>
          <w:p w:rsidR="00035233" w:rsidRPr="00C34E40" w:rsidRDefault="00035233" w:rsidP="00035233">
            <w:pPr>
              <w:pStyle w:val="04Tablesubheading"/>
              <w:jc w:val="center"/>
            </w:pPr>
            <w:r>
              <w:t>n</w:t>
            </w:r>
          </w:p>
        </w:tc>
        <w:tc>
          <w:tcPr>
            <w:tcW w:w="608" w:type="pct"/>
            <w:tcBorders>
              <w:bottom w:val="single" w:sz="4" w:space="0" w:color="auto"/>
            </w:tcBorders>
            <w:shd w:val="clear" w:color="auto" w:fill="000000"/>
          </w:tcPr>
          <w:p w:rsidR="00035233" w:rsidRPr="00C34E40" w:rsidRDefault="00035233" w:rsidP="00035233">
            <w:pPr>
              <w:pStyle w:val="04Tablesubheading"/>
              <w:jc w:val="center"/>
            </w:pPr>
            <w:r>
              <w:t>Mean</w:t>
            </w:r>
            <w:r w:rsidRPr="00C34E40">
              <w:t xml:space="preserve"> </w:t>
            </w:r>
            <w:r>
              <w:t>±SE</w:t>
            </w:r>
          </w:p>
        </w:tc>
        <w:tc>
          <w:tcPr>
            <w:tcW w:w="608" w:type="pct"/>
            <w:tcBorders>
              <w:bottom w:val="single" w:sz="4" w:space="0" w:color="auto"/>
            </w:tcBorders>
            <w:shd w:val="clear" w:color="auto" w:fill="000000"/>
          </w:tcPr>
          <w:p w:rsidR="00035233" w:rsidRPr="00C34E40" w:rsidRDefault="00035233" w:rsidP="00035233">
            <w:pPr>
              <w:pStyle w:val="04Tablesubheading"/>
              <w:jc w:val="center"/>
            </w:pPr>
            <w:r>
              <w:t>n</w:t>
            </w:r>
          </w:p>
        </w:tc>
        <w:tc>
          <w:tcPr>
            <w:tcW w:w="608" w:type="pct"/>
            <w:tcBorders>
              <w:bottom w:val="single" w:sz="4" w:space="0" w:color="auto"/>
            </w:tcBorders>
            <w:shd w:val="clear" w:color="auto" w:fill="000000"/>
          </w:tcPr>
          <w:p w:rsidR="00035233" w:rsidRPr="00C34E40" w:rsidRDefault="00035233" w:rsidP="00035233">
            <w:pPr>
              <w:pStyle w:val="04Tablesubheading"/>
              <w:jc w:val="center"/>
            </w:pPr>
            <w:r>
              <w:t>Mean ±SE</w:t>
            </w:r>
          </w:p>
        </w:tc>
        <w:tc>
          <w:tcPr>
            <w:tcW w:w="879" w:type="pct"/>
            <w:tcBorders>
              <w:bottom w:val="single" w:sz="4" w:space="0" w:color="auto"/>
            </w:tcBorders>
            <w:shd w:val="clear" w:color="auto" w:fill="000000"/>
          </w:tcPr>
          <w:p w:rsidR="00035233" w:rsidRPr="00194011" w:rsidRDefault="00035233" w:rsidP="00035233">
            <w:pPr>
              <w:pStyle w:val="04Tablesubheading"/>
              <w:jc w:val="center"/>
            </w:pPr>
            <w:r>
              <w:t>Δ</w:t>
            </w:r>
            <w:r w:rsidRPr="00C34E40">
              <w:t xml:space="preserve"> (95% CI)</w:t>
            </w:r>
          </w:p>
        </w:tc>
        <w:tc>
          <w:tcPr>
            <w:tcW w:w="440" w:type="pct"/>
            <w:tcBorders>
              <w:bottom w:val="single" w:sz="4" w:space="0" w:color="auto"/>
            </w:tcBorders>
            <w:shd w:val="clear" w:color="auto" w:fill="000000"/>
          </w:tcPr>
          <w:p w:rsidR="00035233" w:rsidRDefault="00035233" w:rsidP="00035233">
            <w:pPr>
              <w:pStyle w:val="04Tablesubheading"/>
              <w:jc w:val="center"/>
            </w:pPr>
          </w:p>
        </w:tc>
      </w:tr>
      <w:tr w:rsidR="00035233" w:rsidRPr="00194011" w:rsidTr="00035233">
        <w:trPr>
          <w:cantSplit/>
        </w:trPr>
        <w:tc>
          <w:tcPr>
            <w:tcW w:w="1249" w:type="pct"/>
            <w:tcBorders>
              <w:top w:val="nil"/>
              <w:bottom w:val="nil"/>
            </w:tcBorders>
            <w:shd w:val="clear" w:color="auto" w:fill="auto"/>
          </w:tcPr>
          <w:p w:rsidR="00035233" w:rsidRPr="00206338" w:rsidRDefault="00035233" w:rsidP="00035233">
            <w:pPr>
              <w:pStyle w:val="05Tabletext"/>
            </w:pPr>
            <w:r w:rsidRPr="00206338">
              <w:t>Study 1</w:t>
            </w:r>
          </w:p>
        </w:tc>
        <w:tc>
          <w:tcPr>
            <w:tcW w:w="608" w:type="pct"/>
            <w:tcBorders>
              <w:top w:val="nil"/>
              <w:bottom w:val="nil"/>
            </w:tcBorders>
            <w:shd w:val="clear" w:color="auto" w:fill="auto"/>
          </w:tcPr>
          <w:p w:rsidR="00035233" w:rsidRPr="00194011" w:rsidRDefault="00035233" w:rsidP="00035233">
            <w:pPr>
              <w:pStyle w:val="05Tabletext"/>
              <w:jc w:val="center"/>
            </w:pPr>
            <w:r>
              <w:t>190</w:t>
            </w:r>
          </w:p>
        </w:tc>
        <w:tc>
          <w:tcPr>
            <w:tcW w:w="608" w:type="pct"/>
            <w:tcBorders>
              <w:top w:val="nil"/>
              <w:bottom w:val="nil"/>
            </w:tcBorders>
            <w:shd w:val="clear" w:color="auto" w:fill="auto"/>
          </w:tcPr>
          <w:p w:rsidR="00035233" w:rsidRPr="003E664B" w:rsidRDefault="00035233" w:rsidP="00035233">
            <w:pPr>
              <w:pStyle w:val="05Tabletext"/>
              <w:jc w:val="center"/>
            </w:pPr>
            <w:r>
              <w:t>–0.020 (0.011)</w:t>
            </w:r>
          </w:p>
        </w:tc>
        <w:tc>
          <w:tcPr>
            <w:tcW w:w="608" w:type="pct"/>
            <w:tcBorders>
              <w:top w:val="nil"/>
              <w:bottom w:val="nil"/>
            </w:tcBorders>
            <w:shd w:val="clear" w:color="auto" w:fill="auto"/>
          </w:tcPr>
          <w:p w:rsidR="00035233" w:rsidRPr="00194011" w:rsidRDefault="00035233" w:rsidP="00035233">
            <w:pPr>
              <w:pStyle w:val="05Tabletext"/>
              <w:jc w:val="center"/>
            </w:pPr>
            <w:r>
              <w:t>195</w:t>
            </w:r>
          </w:p>
        </w:tc>
        <w:tc>
          <w:tcPr>
            <w:tcW w:w="608" w:type="pct"/>
            <w:tcBorders>
              <w:top w:val="nil"/>
              <w:bottom w:val="nil"/>
            </w:tcBorders>
            <w:shd w:val="clear" w:color="auto" w:fill="auto"/>
          </w:tcPr>
          <w:p w:rsidR="00035233" w:rsidRPr="007D6896" w:rsidRDefault="00035233" w:rsidP="00035233">
            <w:pPr>
              <w:pStyle w:val="05Tabletext"/>
              <w:jc w:val="center"/>
            </w:pPr>
            <w:r w:rsidRPr="007D6896">
              <w:t>0.103</w:t>
            </w:r>
            <w:r>
              <w:t xml:space="preserve"> (0.011)</w:t>
            </w:r>
          </w:p>
        </w:tc>
        <w:tc>
          <w:tcPr>
            <w:tcW w:w="879" w:type="pct"/>
            <w:tcBorders>
              <w:top w:val="nil"/>
              <w:bottom w:val="nil"/>
            </w:tcBorders>
            <w:shd w:val="clear" w:color="auto" w:fill="auto"/>
          </w:tcPr>
          <w:p w:rsidR="00035233" w:rsidRPr="00194011" w:rsidRDefault="00035233" w:rsidP="00035233">
            <w:pPr>
              <w:pStyle w:val="05Tabletext"/>
              <w:jc w:val="center"/>
            </w:pPr>
            <w:r>
              <w:t>0.124 (0.093, 0.154)</w:t>
            </w:r>
          </w:p>
        </w:tc>
        <w:tc>
          <w:tcPr>
            <w:tcW w:w="440" w:type="pct"/>
            <w:tcBorders>
              <w:top w:val="nil"/>
              <w:bottom w:val="nil"/>
            </w:tcBorders>
          </w:tcPr>
          <w:p w:rsidR="00035233" w:rsidRDefault="00035233" w:rsidP="00035233">
            <w:pPr>
              <w:pStyle w:val="05Tabletext"/>
              <w:jc w:val="center"/>
            </w:pPr>
            <w:r>
              <w:t>≤0.001</w:t>
            </w:r>
          </w:p>
        </w:tc>
      </w:tr>
      <w:tr w:rsidR="00035233" w:rsidRPr="00194011" w:rsidTr="00035233">
        <w:trPr>
          <w:cantSplit/>
        </w:trPr>
        <w:tc>
          <w:tcPr>
            <w:tcW w:w="1249" w:type="pct"/>
            <w:tcBorders>
              <w:top w:val="nil"/>
            </w:tcBorders>
            <w:shd w:val="clear" w:color="auto" w:fill="auto"/>
          </w:tcPr>
          <w:p w:rsidR="00035233" w:rsidRPr="00206338" w:rsidRDefault="00035233" w:rsidP="00035233">
            <w:pPr>
              <w:pStyle w:val="05Tabletext"/>
            </w:pPr>
            <w:r w:rsidRPr="00206338">
              <w:t>Study 2</w:t>
            </w:r>
          </w:p>
        </w:tc>
        <w:tc>
          <w:tcPr>
            <w:tcW w:w="608" w:type="pct"/>
            <w:tcBorders>
              <w:top w:val="nil"/>
            </w:tcBorders>
            <w:shd w:val="clear" w:color="auto" w:fill="auto"/>
          </w:tcPr>
          <w:p w:rsidR="00035233" w:rsidRPr="00194011" w:rsidRDefault="00035233" w:rsidP="00035233">
            <w:pPr>
              <w:pStyle w:val="05Tabletext"/>
              <w:jc w:val="center"/>
            </w:pPr>
            <w:r>
              <w:t>179</w:t>
            </w:r>
          </w:p>
        </w:tc>
        <w:tc>
          <w:tcPr>
            <w:tcW w:w="608" w:type="pct"/>
            <w:tcBorders>
              <w:top w:val="nil"/>
            </w:tcBorders>
            <w:shd w:val="clear" w:color="auto" w:fill="auto"/>
          </w:tcPr>
          <w:p w:rsidR="00035233" w:rsidRPr="00574E3E" w:rsidRDefault="00035233" w:rsidP="00035233">
            <w:pPr>
              <w:pStyle w:val="05Tabletext"/>
              <w:jc w:val="center"/>
            </w:pPr>
            <w:r w:rsidRPr="00574E3E">
              <w:t>–0.030 (0.011)</w:t>
            </w:r>
          </w:p>
        </w:tc>
        <w:tc>
          <w:tcPr>
            <w:tcW w:w="608" w:type="pct"/>
            <w:tcBorders>
              <w:top w:val="nil"/>
            </w:tcBorders>
            <w:shd w:val="clear" w:color="auto" w:fill="auto"/>
          </w:tcPr>
          <w:p w:rsidR="00035233" w:rsidRPr="00194011" w:rsidRDefault="00035233" w:rsidP="00035233">
            <w:pPr>
              <w:pStyle w:val="05Tabletext"/>
              <w:jc w:val="center"/>
            </w:pPr>
            <w:r>
              <w:t>195</w:t>
            </w:r>
          </w:p>
        </w:tc>
        <w:tc>
          <w:tcPr>
            <w:tcW w:w="608" w:type="pct"/>
            <w:tcBorders>
              <w:top w:val="nil"/>
            </w:tcBorders>
            <w:shd w:val="clear" w:color="auto" w:fill="auto"/>
          </w:tcPr>
          <w:p w:rsidR="00035233" w:rsidRPr="00574E3E" w:rsidRDefault="00035233" w:rsidP="00035233">
            <w:pPr>
              <w:pStyle w:val="05Tabletext"/>
              <w:jc w:val="center"/>
            </w:pPr>
            <w:r w:rsidRPr="00574E3E">
              <w:t>0.092 (0.011)</w:t>
            </w:r>
          </w:p>
        </w:tc>
        <w:tc>
          <w:tcPr>
            <w:tcW w:w="879" w:type="pct"/>
            <w:tcBorders>
              <w:top w:val="nil"/>
            </w:tcBorders>
            <w:shd w:val="clear" w:color="auto" w:fill="auto"/>
          </w:tcPr>
          <w:p w:rsidR="00035233" w:rsidRPr="00194011" w:rsidRDefault="00035233" w:rsidP="00035233">
            <w:pPr>
              <w:pStyle w:val="05Tabletext"/>
              <w:jc w:val="center"/>
            </w:pPr>
            <w:r>
              <w:t>0.122 (0.091, 0.152)</w:t>
            </w:r>
          </w:p>
        </w:tc>
        <w:tc>
          <w:tcPr>
            <w:tcW w:w="440" w:type="pct"/>
            <w:tcBorders>
              <w:top w:val="nil"/>
            </w:tcBorders>
          </w:tcPr>
          <w:p w:rsidR="00035233" w:rsidRPr="00194011" w:rsidRDefault="00035233" w:rsidP="00035233">
            <w:pPr>
              <w:pStyle w:val="05Tabletext"/>
              <w:jc w:val="center"/>
            </w:pPr>
            <w:r>
              <w:t>≤0.001</w:t>
            </w:r>
          </w:p>
        </w:tc>
      </w:tr>
    </w:tbl>
    <w:p w:rsidR="00035233" w:rsidRDefault="00035233" w:rsidP="00035233">
      <w:pPr>
        <w:pStyle w:val="10TableorFigurefootnote"/>
      </w:pPr>
      <w:r>
        <w:t>Source: Siler et al (2015), Table 2.</w:t>
      </w:r>
    </w:p>
    <w:p w:rsidR="00035233" w:rsidRDefault="00035233" w:rsidP="00035233">
      <w:pPr>
        <w:pStyle w:val="10TableorFigurefootnote"/>
      </w:pPr>
      <w:r>
        <w:t xml:space="preserve">Note: </w:t>
      </w:r>
      <w:r w:rsidRPr="00185368">
        <w:t>Analysed using mixed models repeated measures analysis, with treatment, baseline FEV</w:t>
      </w:r>
      <w:r w:rsidRPr="004B3085">
        <w:rPr>
          <w:vertAlign w:val="subscript"/>
        </w:rPr>
        <w:t>1</w:t>
      </w:r>
      <w:r w:rsidRPr="00185368">
        <w:t>, smoking status, and day as covariates. Day-by-baseline and day-by-treatment were included as interactions. To account for multiplicity, a step-down closed testing hierarchy was employed. The fluticasone</w:t>
      </w:r>
      <w:r w:rsidR="00350584">
        <w:t xml:space="preserve"> furoate</w:t>
      </w:r>
      <w:r w:rsidRPr="00185368">
        <w:t>/vilanterol plus umeclidinium combination with the higher (non-PBS) dose umeclidinium was tested for the primary endpoint, followed by the dose of interest to this review (i.e. fluticasone</w:t>
      </w:r>
      <w:r w:rsidR="00350584">
        <w:t xml:space="preserve"> furoate</w:t>
      </w:r>
      <w:r w:rsidRPr="00185368">
        <w:t>/vilanterol 100/25 μg plus umeclidinium 62.5 μg).</w:t>
      </w:r>
    </w:p>
    <w:p w:rsidR="00035233" w:rsidRDefault="00035233" w:rsidP="00035233">
      <w:pPr>
        <w:pStyle w:val="11TableorFigurefootnotenostick"/>
      </w:pPr>
      <w:r>
        <w:t>Abbreviations: CI, confidence interval; FEV</w:t>
      </w:r>
      <w:r>
        <w:rPr>
          <w:vertAlign w:val="subscript"/>
        </w:rPr>
        <w:t>1</w:t>
      </w:r>
      <w:r>
        <w:t>, forced expiratory volume in 1 second; FLU, fluticasone; ITT, intention-to-treat; LS, least squares; PBO, placebo; SE, standard error; UME, umeclidinium; VIL, vilanterol</w:t>
      </w:r>
      <w:r w:rsidR="008C3D68">
        <w:t>; FLU/VIL, fluticasone furoate/vilanterol.</w:t>
      </w:r>
    </w:p>
    <w:p w:rsidR="00035233" w:rsidRPr="00CD07B8" w:rsidRDefault="007C7B60" w:rsidP="007C7B60">
      <w:pPr>
        <w:pStyle w:val="ToR3Figureheader"/>
      </w:pPr>
      <w:bookmarkStart w:id="521" w:name="_Toc468028702"/>
      <w:bookmarkStart w:id="522" w:name="_Toc468034524"/>
      <w:bookmarkStart w:id="523" w:name="_Toc471891140"/>
      <w:bookmarkStart w:id="524" w:name="_Toc480375167"/>
      <w:bookmarkStart w:id="525" w:name="_Toc486428273"/>
      <w:r>
        <w:lastRenderedPageBreak/>
        <w:t>Figure 3.10</w:t>
      </w:r>
      <w:r w:rsidR="00035233">
        <w:tab/>
        <w:t>Least squares (95% CI) mean change from baseline in trough FEV</w:t>
      </w:r>
      <w:r w:rsidR="00035233">
        <w:rPr>
          <w:vertAlign w:val="subscript"/>
        </w:rPr>
        <w:t>1</w:t>
      </w:r>
      <w:r w:rsidR="00035233">
        <w:t xml:space="preserve"> in Study 1 (a) and Study 2 (b) in the ITT population – FLU/VIL + UME vs FLU/VIL + PBO</w:t>
      </w:r>
      <w:bookmarkEnd w:id="521"/>
      <w:bookmarkEnd w:id="522"/>
      <w:bookmarkEnd w:id="523"/>
      <w:bookmarkEnd w:id="524"/>
      <w:bookmarkEnd w:id="525"/>
    </w:p>
    <w:p w:rsidR="00035233" w:rsidRDefault="00035233" w:rsidP="00035233">
      <w:pPr>
        <w:pStyle w:val="Picturewithbox"/>
      </w:pPr>
      <w:r>
        <w:rPr>
          <w:noProof/>
          <w:lang w:eastAsia="en-AU"/>
        </w:rPr>
        <w:drawing>
          <wp:inline distT="0" distB="0" distL="0" distR="0" wp14:anchorId="18A68892" wp14:editId="47D20295">
            <wp:extent cx="6120765" cy="2295525"/>
            <wp:effectExtent l="0" t="0" r="0" b="9525"/>
            <wp:docPr id="11" name="Picture 11" descr="FLU/VIL + placebo versus FLU/VIL + UME" title="Least squares (95% CI) mean change from baseline in trough FEV1 in Study 1 (a) and Study 2 (b) in the ITT popul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iler Figure 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120765" cy="2295525"/>
                    </a:xfrm>
                    <a:prstGeom prst="rect">
                      <a:avLst/>
                    </a:prstGeom>
                    <a:noFill/>
                    <a:ln>
                      <a:noFill/>
                    </a:ln>
                  </pic:spPr>
                </pic:pic>
              </a:graphicData>
            </a:graphic>
          </wp:inline>
        </w:drawing>
      </w:r>
    </w:p>
    <w:p w:rsidR="00035233" w:rsidRDefault="00035233" w:rsidP="00035233">
      <w:pPr>
        <w:pStyle w:val="10TableorFigurefootnote"/>
      </w:pPr>
      <w:r>
        <w:t>Source: Siler et al (2015), Figure 2.</w:t>
      </w:r>
    </w:p>
    <w:p w:rsidR="00035233" w:rsidRDefault="00035233" w:rsidP="00035233">
      <w:pPr>
        <w:pStyle w:val="10TableorFigurefootnote"/>
      </w:pPr>
      <w:proofErr w:type="gramStart"/>
      <w:r>
        <w:t>Note:</w:t>
      </w:r>
      <w:proofErr w:type="gramEnd"/>
      <w:r>
        <w:t xml:space="preserve">). Analysis performed using a repeated measures model with covariates of treatment, baseline (mean of the two assessments made 30 min and 5 min pre-dose on </w:t>
      </w:r>
      <w:r w:rsidR="004B3085">
        <w:t>D</w:t>
      </w:r>
      <w:r>
        <w:t xml:space="preserve">ay 1), </w:t>
      </w:r>
      <w:proofErr w:type="gramStart"/>
      <w:r>
        <w:t>smoking</w:t>
      </w:r>
      <w:proofErr w:type="gramEnd"/>
      <w:r>
        <w:t xml:space="preserve"> status, Day, Day by baseline and Day by treatment interactions. </w:t>
      </w:r>
    </w:p>
    <w:p w:rsidR="00035233" w:rsidRPr="00017B56" w:rsidRDefault="00035233" w:rsidP="00035233">
      <w:pPr>
        <w:pStyle w:val="11TableorFigurefootnotenostick"/>
      </w:pPr>
      <w:r>
        <w:t>Abbreviations: CI, confidence interval; FEV</w:t>
      </w:r>
      <w:r w:rsidRPr="00017B56">
        <w:rPr>
          <w:vertAlign w:val="subscript"/>
        </w:rPr>
        <w:t>1</w:t>
      </w:r>
      <w:r>
        <w:t>, forced expiratory volume in one second; ITT, intent-to-treat; FF/VI, fluticasone furoate/vilanterol combination; FLU, fluticasone; LS, least squares; PBO, placebo; UME or UMEC, umeclidinium; VIL, vilanterol.</w:t>
      </w:r>
    </w:p>
    <w:p w:rsidR="00035233" w:rsidRPr="00400A9E" w:rsidRDefault="00035233" w:rsidP="00035233">
      <w:pPr>
        <w:pStyle w:val="BodyText"/>
      </w:pPr>
      <w:r>
        <w:t>The likelihood of achieving an increase in FEV</w:t>
      </w:r>
      <w:r>
        <w:rPr>
          <w:vertAlign w:val="subscript"/>
        </w:rPr>
        <w:t>1</w:t>
      </w:r>
      <w:r>
        <w:t xml:space="preserve"> of ≥0.100 L above baseline was also substantially greater with fluticasone</w:t>
      </w:r>
      <w:r w:rsidR="007E2129">
        <w:t xml:space="preserve"> furoate</w:t>
      </w:r>
      <w:r>
        <w:t>/vilanterol plus umeclidinium therapy with odds ratios ranging between 4.8 and 5.6 in Study 1 and 2</w:t>
      </w:r>
      <w:r w:rsidR="006B4434">
        <w:t>, respectively</w:t>
      </w:r>
      <w:r>
        <w:t xml:space="preserve"> (see </w:t>
      </w:r>
      <w:r w:rsidR="00D5724A">
        <w:t>Table 3.</w:t>
      </w:r>
      <w:r w:rsidR="00411D11">
        <w:t>80</w:t>
      </w:r>
      <w:r>
        <w:t>).</w:t>
      </w:r>
    </w:p>
    <w:p w:rsidR="00035233" w:rsidRPr="00EF1FE8" w:rsidRDefault="00D5724A" w:rsidP="007C7B60">
      <w:pPr>
        <w:pStyle w:val="ToR3Tableheader"/>
      </w:pPr>
      <w:bookmarkStart w:id="526" w:name="_Toc468028703"/>
      <w:bookmarkStart w:id="527" w:name="_Toc468034525"/>
      <w:bookmarkStart w:id="528" w:name="_Toc471891066"/>
      <w:bookmarkStart w:id="529" w:name="_Toc486428259"/>
      <w:r>
        <w:t>Table 3.</w:t>
      </w:r>
      <w:r w:rsidR="00411D11">
        <w:t>80</w:t>
      </w:r>
      <w:r w:rsidR="00035233">
        <w:tab/>
        <w:t>Patients achieving an increase in trough FEV</w:t>
      </w:r>
      <w:r w:rsidR="00035233">
        <w:rPr>
          <w:vertAlign w:val="subscript"/>
        </w:rPr>
        <w:t>1</w:t>
      </w:r>
      <w:r w:rsidR="00035233">
        <w:t xml:space="preserve"> of </w:t>
      </w:r>
      <w:r w:rsidR="00035233">
        <w:rPr>
          <w:rFonts w:cs="Arial"/>
        </w:rPr>
        <w:t>≥</w:t>
      </w:r>
      <w:r w:rsidR="00035233">
        <w:t>0.100L above baseline at Day 85 – ITT population</w:t>
      </w:r>
      <w:bookmarkEnd w:id="526"/>
      <w:bookmarkEnd w:id="527"/>
      <w:bookmarkEnd w:id="528"/>
      <w:bookmarkEnd w:id="5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Caption w:val="Patients achieving an increase in trough FEV1 of ≥0.100L above baseline at Day 85 – ITT population"/>
        <w:tblDescription w:val="FLU/VIL + placebo versus FLU/VIL + UME"/>
      </w:tblPr>
      <w:tblGrid>
        <w:gridCol w:w="2981"/>
        <w:gridCol w:w="2198"/>
        <w:gridCol w:w="2198"/>
        <w:gridCol w:w="1275"/>
        <w:gridCol w:w="996"/>
      </w:tblGrid>
      <w:tr w:rsidR="00035233" w:rsidRPr="00194011" w:rsidTr="00035233">
        <w:trPr>
          <w:cantSplit/>
          <w:tblHeader/>
        </w:trPr>
        <w:tc>
          <w:tcPr>
            <w:tcW w:w="1545" w:type="pct"/>
            <w:tcBorders>
              <w:bottom w:val="single" w:sz="4" w:space="0" w:color="auto"/>
            </w:tcBorders>
            <w:shd w:val="clear" w:color="auto" w:fill="BFBFBF"/>
          </w:tcPr>
          <w:p w:rsidR="00035233" w:rsidRPr="00424904" w:rsidRDefault="00035233" w:rsidP="00035233">
            <w:pPr>
              <w:pStyle w:val="01TableHEADINGleftaligned"/>
            </w:pPr>
            <w:r w:rsidRPr="001E0882">
              <w:t>Trough</w:t>
            </w:r>
            <w:r>
              <w:t xml:space="preserve"> FEV</w:t>
            </w:r>
            <w:r w:rsidRPr="000F645B">
              <w:rPr>
                <w:vertAlign w:val="subscript"/>
              </w:rPr>
              <w:t>1</w:t>
            </w:r>
            <w:r>
              <w:t xml:space="preserve"> ≥0.100L above baseline</w:t>
            </w:r>
          </w:p>
        </w:tc>
        <w:tc>
          <w:tcPr>
            <w:tcW w:w="1139" w:type="pct"/>
            <w:tcBorders>
              <w:bottom w:val="single" w:sz="4" w:space="0" w:color="auto"/>
              <w:right w:val="single" w:sz="4" w:space="0" w:color="auto"/>
            </w:tcBorders>
            <w:shd w:val="clear" w:color="auto" w:fill="BFBFBF"/>
          </w:tcPr>
          <w:p w:rsidR="00035233" w:rsidRPr="001E0882" w:rsidRDefault="00035233" w:rsidP="00035233">
            <w:pPr>
              <w:pStyle w:val="01TableHEADINGleftaligned"/>
              <w:ind w:right="0"/>
              <w:jc w:val="center"/>
              <w:rPr>
                <w:b w:val="0"/>
              </w:rPr>
            </w:pPr>
            <w:r>
              <w:t>FLU/VIL+PBO (N=206)</w:t>
            </w:r>
          </w:p>
        </w:tc>
        <w:tc>
          <w:tcPr>
            <w:tcW w:w="1139" w:type="pct"/>
            <w:tcBorders>
              <w:left w:val="single" w:sz="4" w:space="0" w:color="auto"/>
              <w:bottom w:val="single" w:sz="4" w:space="0" w:color="auto"/>
              <w:right w:val="single" w:sz="4" w:space="0" w:color="auto"/>
            </w:tcBorders>
            <w:shd w:val="clear" w:color="auto" w:fill="BFBFBF"/>
          </w:tcPr>
          <w:p w:rsidR="00035233" w:rsidRPr="001E0882" w:rsidRDefault="00035233" w:rsidP="00035233">
            <w:pPr>
              <w:pStyle w:val="01TableHEADINGleftaligned"/>
              <w:ind w:left="28"/>
              <w:jc w:val="center"/>
              <w:rPr>
                <w:b w:val="0"/>
              </w:rPr>
            </w:pPr>
            <w:r>
              <w:t>FLU/VIL+UME (N=206)</w:t>
            </w:r>
          </w:p>
        </w:tc>
        <w:tc>
          <w:tcPr>
            <w:tcW w:w="661" w:type="pct"/>
            <w:tcBorders>
              <w:left w:val="single" w:sz="4" w:space="0" w:color="auto"/>
              <w:bottom w:val="single" w:sz="4" w:space="0" w:color="auto"/>
              <w:right w:val="single" w:sz="4" w:space="0" w:color="auto"/>
            </w:tcBorders>
            <w:shd w:val="clear" w:color="auto" w:fill="BFBFBF"/>
          </w:tcPr>
          <w:p w:rsidR="00035233" w:rsidRPr="001069B5" w:rsidRDefault="00035233" w:rsidP="00035233">
            <w:pPr>
              <w:pStyle w:val="01TableHEADINGleftaligned"/>
              <w:jc w:val="center"/>
              <w:rPr>
                <w:vertAlign w:val="superscript"/>
              </w:rPr>
            </w:pPr>
            <w:r>
              <w:t>OR (95% CI)</w:t>
            </w:r>
          </w:p>
        </w:tc>
        <w:tc>
          <w:tcPr>
            <w:tcW w:w="516" w:type="pct"/>
            <w:tcBorders>
              <w:left w:val="single" w:sz="4" w:space="0" w:color="auto"/>
              <w:bottom w:val="single" w:sz="4" w:space="0" w:color="auto"/>
            </w:tcBorders>
            <w:shd w:val="clear" w:color="auto" w:fill="BFBFBF"/>
          </w:tcPr>
          <w:p w:rsidR="00035233" w:rsidRPr="00194011" w:rsidRDefault="00035233" w:rsidP="00035233">
            <w:pPr>
              <w:pStyle w:val="01TableHEADINGleftaligned"/>
              <w:jc w:val="center"/>
            </w:pPr>
            <w:r>
              <w:t>p-value</w:t>
            </w:r>
          </w:p>
        </w:tc>
      </w:tr>
      <w:tr w:rsidR="00035233" w:rsidRPr="00194011" w:rsidTr="00035233">
        <w:trPr>
          <w:cantSplit/>
        </w:trPr>
        <w:tc>
          <w:tcPr>
            <w:tcW w:w="1545" w:type="pct"/>
            <w:tcBorders>
              <w:bottom w:val="nil"/>
            </w:tcBorders>
            <w:shd w:val="clear" w:color="auto" w:fill="auto"/>
          </w:tcPr>
          <w:p w:rsidR="00035233" w:rsidRPr="00424904" w:rsidRDefault="00035233" w:rsidP="00035233">
            <w:pPr>
              <w:pStyle w:val="05Tabletext"/>
            </w:pPr>
            <w:r>
              <w:t xml:space="preserve">Proportion of patients at </w:t>
            </w:r>
            <w:r w:rsidR="004B3085">
              <w:t>D</w:t>
            </w:r>
            <w:r>
              <w:t>ay 85, n/N (%)</w:t>
            </w:r>
          </w:p>
        </w:tc>
        <w:tc>
          <w:tcPr>
            <w:tcW w:w="1139" w:type="pct"/>
            <w:tcBorders>
              <w:bottom w:val="nil"/>
            </w:tcBorders>
            <w:shd w:val="clear" w:color="auto" w:fill="auto"/>
          </w:tcPr>
          <w:p w:rsidR="00035233" w:rsidRDefault="00035233" w:rsidP="00035233">
            <w:pPr>
              <w:pStyle w:val="05Tabletext"/>
              <w:jc w:val="center"/>
            </w:pPr>
            <w:r>
              <w:t>-</w:t>
            </w:r>
          </w:p>
        </w:tc>
        <w:tc>
          <w:tcPr>
            <w:tcW w:w="1139" w:type="pct"/>
            <w:tcBorders>
              <w:bottom w:val="nil"/>
            </w:tcBorders>
            <w:shd w:val="clear" w:color="auto" w:fill="auto"/>
          </w:tcPr>
          <w:p w:rsidR="00035233" w:rsidRDefault="00035233" w:rsidP="00035233">
            <w:pPr>
              <w:pStyle w:val="05Tabletext"/>
              <w:jc w:val="center"/>
            </w:pPr>
            <w:r>
              <w:t>-</w:t>
            </w:r>
          </w:p>
        </w:tc>
        <w:tc>
          <w:tcPr>
            <w:tcW w:w="661" w:type="pct"/>
            <w:tcBorders>
              <w:bottom w:val="nil"/>
            </w:tcBorders>
            <w:shd w:val="clear" w:color="auto" w:fill="auto"/>
          </w:tcPr>
          <w:p w:rsidR="00035233" w:rsidRDefault="00035233" w:rsidP="00035233">
            <w:pPr>
              <w:pStyle w:val="05Tabletext"/>
              <w:jc w:val="center"/>
            </w:pPr>
            <w:r>
              <w:t>-</w:t>
            </w:r>
          </w:p>
        </w:tc>
        <w:tc>
          <w:tcPr>
            <w:tcW w:w="516" w:type="pct"/>
            <w:tcBorders>
              <w:bottom w:val="nil"/>
            </w:tcBorders>
          </w:tcPr>
          <w:p w:rsidR="00035233" w:rsidRDefault="00035233" w:rsidP="00035233">
            <w:pPr>
              <w:pStyle w:val="05Tabletext"/>
              <w:jc w:val="center"/>
            </w:pPr>
            <w:r>
              <w:t>-</w:t>
            </w:r>
          </w:p>
        </w:tc>
      </w:tr>
      <w:tr w:rsidR="00035233" w:rsidRPr="00194011" w:rsidTr="00035233">
        <w:trPr>
          <w:cantSplit/>
        </w:trPr>
        <w:tc>
          <w:tcPr>
            <w:tcW w:w="1545" w:type="pct"/>
            <w:tcBorders>
              <w:top w:val="nil"/>
              <w:bottom w:val="nil"/>
            </w:tcBorders>
            <w:shd w:val="clear" w:color="auto" w:fill="auto"/>
          </w:tcPr>
          <w:p w:rsidR="00035233" w:rsidRDefault="00035233" w:rsidP="00035233">
            <w:pPr>
              <w:pStyle w:val="05Tabletext"/>
              <w:ind w:firstLine="232"/>
            </w:pPr>
            <w:r>
              <w:t>Study 1</w:t>
            </w:r>
          </w:p>
        </w:tc>
        <w:tc>
          <w:tcPr>
            <w:tcW w:w="1139" w:type="pct"/>
            <w:tcBorders>
              <w:top w:val="nil"/>
              <w:bottom w:val="nil"/>
            </w:tcBorders>
            <w:shd w:val="clear" w:color="auto" w:fill="auto"/>
          </w:tcPr>
          <w:p w:rsidR="00035233" w:rsidRDefault="00035233" w:rsidP="00035233">
            <w:pPr>
              <w:pStyle w:val="05Tabletext"/>
              <w:jc w:val="center"/>
            </w:pPr>
            <w:r>
              <w:t>27/205 (13)</w:t>
            </w:r>
          </w:p>
        </w:tc>
        <w:tc>
          <w:tcPr>
            <w:tcW w:w="1139" w:type="pct"/>
            <w:tcBorders>
              <w:top w:val="nil"/>
              <w:bottom w:val="nil"/>
            </w:tcBorders>
            <w:shd w:val="clear" w:color="auto" w:fill="auto"/>
          </w:tcPr>
          <w:p w:rsidR="00035233" w:rsidRDefault="00035233" w:rsidP="00035233">
            <w:pPr>
              <w:pStyle w:val="05Tabletext"/>
              <w:jc w:val="center"/>
            </w:pPr>
            <w:r>
              <w:t>94/206 (46)</w:t>
            </w:r>
          </w:p>
        </w:tc>
        <w:tc>
          <w:tcPr>
            <w:tcW w:w="661" w:type="pct"/>
            <w:tcBorders>
              <w:top w:val="nil"/>
              <w:bottom w:val="nil"/>
            </w:tcBorders>
            <w:shd w:val="clear" w:color="auto" w:fill="auto"/>
          </w:tcPr>
          <w:p w:rsidR="00035233" w:rsidRDefault="00035233" w:rsidP="00035233">
            <w:pPr>
              <w:pStyle w:val="05Tabletext"/>
              <w:jc w:val="center"/>
            </w:pPr>
            <w:r>
              <w:t>5.6 (3.4, 9.1)</w:t>
            </w:r>
          </w:p>
        </w:tc>
        <w:tc>
          <w:tcPr>
            <w:tcW w:w="516" w:type="pct"/>
            <w:tcBorders>
              <w:top w:val="nil"/>
              <w:bottom w:val="nil"/>
            </w:tcBorders>
          </w:tcPr>
          <w:p w:rsidR="00035233" w:rsidRDefault="00035233" w:rsidP="00035233">
            <w:pPr>
              <w:pStyle w:val="05Tabletext"/>
              <w:jc w:val="center"/>
            </w:pPr>
            <w:r>
              <w:t>≤0.001</w:t>
            </w:r>
          </w:p>
        </w:tc>
      </w:tr>
      <w:tr w:rsidR="00035233" w:rsidRPr="00194011" w:rsidTr="00035233">
        <w:trPr>
          <w:cantSplit/>
        </w:trPr>
        <w:tc>
          <w:tcPr>
            <w:tcW w:w="1545" w:type="pct"/>
            <w:tcBorders>
              <w:top w:val="nil"/>
            </w:tcBorders>
            <w:shd w:val="clear" w:color="auto" w:fill="auto"/>
          </w:tcPr>
          <w:p w:rsidR="00035233" w:rsidRDefault="00035233" w:rsidP="00035233">
            <w:pPr>
              <w:pStyle w:val="05Tabletext"/>
              <w:ind w:firstLine="232"/>
            </w:pPr>
            <w:r>
              <w:t>Study 2</w:t>
            </w:r>
          </w:p>
        </w:tc>
        <w:tc>
          <w:tcPr>
            <w:tcW w:w="1139" w:type="pct"/>
            <w:tcBorders>
              <w:top w:val="nil"/>
            </w:tcBorders>
            <w:shd w:val="clear" w:color="auto" w:fill="auto"/>
          </w:tcPr>
          <w:p w:rsidR="00035233" w:rsidRDefault="00035233" w:rsidP="00035233">
            <w:pPr>
              <w:pStyle w:val="05Tabletext"/>
              <w:jc w:val="center"/>
            </w:pPr>
            <w:r>
              <w:t>28/205 (14)</w:t>
            </w:r>
          </w:p>
        </w:tc>
        <w:tc>
          <w:tcPr>
            <w:tcW w:w="1139" w:type="pct"/>
            <w:tcBorders>
              <w:top w:val="nil"/>
            </w:tcBorders>
            <w:shd w:val="clear" w:color="auto" w:fill="auto"/>
          </w:tcPr>
          <w:p w:rsidR="00035233" w:rsidRDefault="00035233" w:rsidP="00035233">
            <w:pPr>
              <w:pStyle w:val="05Tabletext"/>
              <w:jc w:val="center"/>
            </w:pPr>
            <w:r>
              <w:t>88/206 (43)</w:t>
            </w:r>
          </w:p>
        </w:tc>
        <w:tc>
          <w:tcPr>
            <w:tcW w:w="661" w:type="pct"/>
            <w:tcBorders>
              <w:top w:val="nil"/>
            </w:tcBorders>
            <w:shd w:val="clear" w:color="auto" w:fill="auto"/>
          </w:tcPr>
          <w:p w:rsidR="00035233" w:rsidRDefault="00035233" w:rsidP="00035233">
            <w:pPr>
              <w:pStyle w:val="05Tabletext"/>
              <w:jc w:val="center"/>
            </w:pPr>
            <w:r>
              <w:t>4.8 (2.9, 7.8)</w:t>
            </w:r>
          </w:p>
        </w:tc>
        <w:tc>
          <w:tcPr>
            <w:tcW w:w="516" w:type="pct"/>
            <w:tcBorders>
              <w:top w:val="nil"/>
            </w:tcBorders>
          </w:tcPr>
          <w:p w:rsidR="00035233" w:rsidRDefault="00035233" w:rsidP="00035233">
            <w:pPr>
              <w:pStyle w:val="05Tabletext"/>
              <w:jc w:val="center"/>
            </w:pPr>
            <w:r>
              <w:t>≤0.001</w:t>
            </w:r>
          </w:p>
        </w:tc>
      </w:tr>
    </w:tbl>
    <w:p w:rsidR="00035233" w:rsidRDefault="00035233" w:rsidP="00035233">
      <w:pPr>
        <w:pStyle w:val="10TableorFigurefootnote"/>
      </w:pPr>
      <w:r>
        <w:t>Source: Siler et al (2015), Table 2.</w:t>
      </w:r>
    </w:p>
    <w:p w:rsidR="00035233" w:rsidRPr="00017B56" w:rsidRDefault="00035233" w:rsidP="00035233">
      <w:pPr>
        <w:pStyle w:val="11TableorFigurefootnotenostick"/>
      </w:pPr>
      <w:r>
        <w:t>Abbreviations: CI, confidence interval; FEV</w:t>
      </w:r>
      <w:r w:rsidRPr="00017B56">
        <w:rPr>
          <w:vertAlign w:val="subscript"/>
        </w:rPr>
        <w:t>1</w:t>
      </w:r>
      <w:r>
        <w:t>, forced expiratory volume in one second; FLU, fluticasone; ITT, intent-to-treat; OR, odds ratio; PBO, placebo; UME, umeclidinium; VIL, vilanterol</w:t>
      </w:r>
      <w:r w:rsidR="007E2129">
        <w:t>; FLU/VIL, fluticasone furoate/vilanterol.</w:t>
      </w:r>
    </w:p>
    <w:p w:rsidR="00035233" w:rsidRDefault="00D5724A" w:rsidP="00D5724A">
      <w:pPr>
        <w:pStyle w:val="BodyText"/>
      </w:pPr>
      <w:r>
        <w:t>Table 3.8</w:t>
      </w:r>
      <w:r w:rsidR="00411D11">
        <w:t>1</w:t>
      </w:r>
      <w:r>
        <w:t xml:space="preserve"> shows that</w:t>
      </w:r>
      <w:r w:rsidR="00035233">
        <w:t xml:space="preserve"> both treatments were well</w:t>
      </w:r>
      <w:r w:rsidR="00CB2EED">
        <w:t xml:space="preserve"> </w:t>
      </w:r>
      <w:r w:rsidR="00035233">
        <w:t xml:space="preserve">tolerated with no unexpected safety findings, although the </w:t>
      </w:r>
      <w:r w:rsidR="00035233" w:rsidRPr="00D5724A">
        <w:t>duration</w:t>
      </w:r>
      <w:r w:rsidR="00035233">
        <w:t xml:space="preserve"> of treatment was relatively short.</w:t>
      </w:r>
    </w:p>
    <w:p w:rsidR="007C7B60" w:rsidRDefault="007C7B60" w:rsidP="007C7B60">
      <w:pPr>
        <w:pStyle w:val="BodyText"/>
      </w:pPr>
      <w:r>
        <w:t>It should be noted that the trial duration was insufficient to determine any comparative effects on COPD exacerbation rates. As such, exacerbations were considered as a safety outcome only. In addition, while HRQoL was measured in the studies, the results were inconsistent and the authors provided several explanations for this including: (i) noticeable improvements in HRQoL may have occurred during the 4-week run-in period when all patients received fluticasone furoate/vilanterol, before randomisation to umeclidinium or placebo, making further improvements difficult to detect; and (ii) existing PRO tools may lack adequate sensitivity to detect differences between two active treatments, where the magnitude of treatment difference would be expected to be lower.</w:t>
      </w:r>
    </w:p>
    <w:p w:rsidR="007C7B60" w:rsidRDefault="007C7B60" w:rsidP="007C7B60">
      <w:pPr>
        <w:pStyle w:val="BodyText"/>
      </w:pPr>
      <w:r>
        <w:t xml:space="preserve">These studies were only 12 weeks in duration, which is considered a sufficient period of time to observe sustained effects in lung function. However, longer studies with a patient </w:t>
      </w:r>
      <w:r>
        <w:lastRenderedPageBreak/>
        <w:t>population with a history of exacerbations would be needed to assess the benefit of this triple therapy on COPD exacerbations compared with ICS/LABA therapy.</w:t>
      </w:r>
    </w:p>
    <w:p w:rsidR="00035233" w:rsidRDefault="00D5724A" w:rsidP="007C7B60">
      <w:pPr>
        <w:pStyle w:val="ToR3Tableheader"/>
      </w:pPr>
      <w:bookmarkStart w:id="530" w:name="_Toc468028704"/>
      <w:bookmarkStart w:id="531" w:name="_Toc468034526"/>
      <w:bookmarkStart w:id="532" w:name="_Toc471891067"/>
      <w:bookmarkStart w:id="533" w:name="_Toc486428260"/>
      <w:r>
        <w:t>Table 3.8</w:t>
      </w:r>
      <w:r w:rsidR="00411D11">
        <w:t>1</w:t>
      </w:r>
      <w:r w:rsidR="00035233">
        <w:tab/>
        <w:t>Summary of safety results relating to FLU/VIL+PBO versus FLU/VIL+UME – ITT population</w:t>
      </w:r>
      <w:bookmarkEnd w:id="530"/>
      <w:bookmarkEnd w:id="531"/>
      <w:bookmarkEnd w:id="532"/>
      <w:bookmarkEnd w:id="5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Caption w:val="Safety outcomes"/>
        <w:tblDescription w:val="ITT population"/>
      </w:tblPr>
      <w:tblGrid>
        <w:gridCol w:w="2982"/>
        <w:gridCol w:w="1667"/>
        <w:gridCol w:w="1667"/>
        <w:gridCol w:w="1665"/>
        <w:gridCol w:w="1667"/>
      </w:tblGrid>
      <w:tr w:rsidR="00035233" w:rsidRPr="00194011" w:rsidTr="00035233">
        <w:trPr>
          <w:cantSplit/>
          <w:tblHeader/>
        </w:trPr>
        <w:tc>
          <w:tcPr>
            <w:tcW w:w="1545" w:type="pct"/>
            <w:tcBorders>
              <w:bottom w:val="single" w:sz="4" w:space="0" w:color="auto"/>
            </w:tcBorders>
            <w:shd w:val="clear" w:color="auto" w:fill="BFBFBF"/>
          </w:tcPr>
          <w:p w:rsidR="00035233" w:rsidRPr="00194011" w:rsidRDefault="00035233" w:rsidP="00035233">
            <w:pPr>
              <w:pStyle w:val="01TableHEADINGleftaligned"/>
              <w:rPr>
                <w:i/>
              </w:rPr>
            </w:pPr>
            <w:r>
              <w:t>Safety outcome</w:t>
            </w:r>
          </w:p>
        </w:tc>
        <w:tc>
          <w:tcPr>
            <w:tcW w:w="864" w:type="pct"/>
            <w:tcBorders>
              <w:bottom w:val="single" w:sz="4" w:space="0" w:color="auto"/>
              <w:right w:val="nil"/>
            </w:tcBorders>
            <w:shd w:val="clear" w:color="auto" w:fill="BFBFBF"/>
          </w:tcPr>
          <w:p w:rsidR="00035233" w:rsidRPr="00194011" w:rsidRDefault="00035233" w:rsidP="00035233">
            <w:pPr>
              <w:pStyle w:val="01TableHEADINGleftaligned"/>
              <w:ind w:right="0"/>
              <w:jc w:val="right"/>
            </w:pPr>
            <w:r>
              <w:t>FLU/VIL+</w:t>
            </w:r>
          </w:p>
        </w:tc>
        <w:tc>
          <w:tcPr>
            <w:tcW w:w="864" w:type="pct"/>
            <w:tcBorders>
              <w:left w:val="nil"/>
              <w:bottom w:val="single" w:sz="4" w:space="0" w:color="auto"/>
            </w:tcBorders>
            <w:shd w:val="clear" w:color="auto" w:fill="BFBFBF"/>
          </w:tcPr>
          <w:p w:rsidR="00035233" w:rsidRPr="00194011" w:rsidRDefault="00035233" w:rsidP="00035233">
            <w:pPr>
              <w:pStyle w:val="01TableHEADINGleftaligned"/>
              <w:ind w:left="0"/>
            </w:pPr>
            <w:r>
              <w:t>PBO (N=206)</w:t>
            </w:r>
          </w:p>
        </w:tc>
        <w:tc>
          <w:tcPr>
            <w:tcW w:w="863" w:type="pct"/>
            <w:tcBorders>
              <w:bottom w:val="single" w:sz="4" w:space="0" w:color="auto"/>
              <w:right w:val="nil"/>
            </w:tcBorders>
            <w:shd w:val="clear" w:color="auto" w:fill="BFBFBF"/>
          </w:tcPr>
          <w:p w:rsidR="00035233" w:rsidRDefault="00035233" w:rsidP="00035233">
            <w:pPr>
              <w:pStyle w:val="01TableHEADINGleftaligned"/>
              <w:ind w:right="0"/>
              <w:jc w:val="right"/>
            </w:pPr>
            <w:r>
              <w:t>FLU/VIL+</w:t>
            </w:r>
          </w:p>
        </w:tc>
        <w:tc>
          <w:tcPr>
            <w:tcW w:w="864" w:type="pct"/>
            <w:tcBorders>
              <w:left w:val="nil"/>
              <w:bottom w:val="single" w:sz="4" w:space="0" w:color="auto"/>
            </w:tcBorders>
            <w:shd w:val="clear" w:color="auto" w:fill="BFBFBF"/>
          </w:tcPr>
          <w:p w:rsidR="00035233" w:rsidRDefault="00035233" w:rsidP="00035233">
            <w:pPr>
              <w:pStyle w:val="01TableHEADINGleftaligned"/>
              <w:ind w:left="0"/>
            </w:pPr>
            <w:r w:rsidRPr="003623F7">
              <w:t>UME (N=206)</w:t>
            </w:r>
          </w:p>
        </w:tc>
      </w:tr>
      <w:tr w:rsidR="00035233" w:rsidRPr="00194011" w:rsidTr="00035233">
        <w:trPr>
          <w:cantSplit/>
        </w:trPr>
        <w:tc>
          <w:tcPr>
            <w:tcW w:w="1545" w:type="pct"/>
            <w:tcBorders>
              <w:bottom w:val="nil"/>
            </w:tcBorders>
            <w:shd w:val="clear" w:color="auto" w:fill="000000"/>
          </w:tcPr>
          <w:p w:rsidR="00035233" w:rsidRDefault="00035233" w:rsidP="00035233">
            <w:pPr>
              <w:pStyle w:val="04Tablesubheading"/>
            </w:pPr>
          </w:p>
        </w:tc>
        <w:tc>
          <w:tcPr>
            <w:tcW w:w="864" w:type="pct"/>
            <w:tcBorders>
              <w:bottom w:val="nil"/>
            </w:tcBorders>
            <w:shd w:val="clear" w:color="auto" w:fill="000000"/>
          </w:tcPr>
          <w:p w:rsidR="00035233" w:rsidRPr="00194011" w:rsidRDefault="00035233" w:rsidP="00035233">
            <w:pPr>
              <w:pStyle w:val="04Tablesubheading"/>
              <w:jc w:val="center"/>
            </w:pPr>
            <w:r>
              <w:t>Study 1</w:t>
            </w:r>
          </w:p>
        </w:tc>
        <w:tc>
          <w:tcPr>
            <w:tcW w:w="864" w:type="pct"/>
            <w:tcBorders>
              <w:bottom w:val="nil"/>
            </w:tcBorders>
            <w:shd w:val="clear" w:color="auto" w:fill="000000"/>
          </w:tcPr>
          <w:p w:rsidR="00035233" w:rsidRPr="00194011" w:rsidRDefault="00035233" w:rsidP="00035233">
            <w:pPr>
              <w:pStyle w:val="04Tablesubheading"/>
              <w:jc w:val="center"/>
            </w:pPr>
            <w:r>
              <w:t>Study 2</w:t>
            </w:r>
          </w:p>
        </w:tc>
        <w:tc>
          <w:tcPr>
            <w:tcW w:w="863" w:type="pct"/>
            <w:tcBorders>
              <w:bottom w:val="nil"/>
            </w:tcBorders>
            <w:shd w:val="clear" w:color="auto" w:fill="000000"/>
          </w:tcPr>
          <w:p w:rsidR="00035233" w:rsidRPr="00194011" w:rsidRDefault="00035233" w:rsidP="00035233">
            <w:pPr>
              <w:pStyle w:val="04Tablesubheading"/>
              <w:jc w:val="center"/>
            </w:pPr>
            <w:r>
              <w:t>Study 1</w:t>
            </w:r>
          </w:p>
        </w:tc>
        <w:tc>
          <w:tcPr>
            <w:tcW w:w="864" w:type="pct"/>
            <w:tcBorders>
              <w:bottom w:val="nil"/>
            </w:tcBorders>
            <w:shd w:val="clear" w:color="auto" w:fill="000000"/>
          </w:tcPr>
          <w:p w:rsidR="00035233" w:rsidRPr="00194011" w:rsidRDefault="00035233" w:rsidP="00035233">
            <w:pPr>
              <w:pStyle w:val="04Tablesubheading"/>
              <w:jc w:val="center"/>
            </w:pPr>
            <w:r>
              <w:t>Study 2</w:t>
            </w:r>
          </w:p>
        </w:tc>
      </w:tr>
      <w:tr w:rsidR="00035233" w:rsidRPr="00194011" w:rsidTr="00035233">
        <w:trPr>
          <w:cantSplit/>
        </w:trPr>
        <w:tc>
          <w:tcPr>
            <w:tcW w:w="1545" w:type="pct"/>
            <w:tcBorders>
              <w:bottom w:val="nil"/>
            </w:tcBorders>
            <w:shd w:val="clear" w:color="auto" w:fill="auto"/>
          </w:tcPr>
          <w:p w:rsidR="00035233" w:rsidRPr="00194011" w:rsidRDefault="00035233" w:rsidP="00035233">
            <w:pPr>
              <w:pStyle w:val="05Tabletext"/>
              <w:keepNext/>
            </w:pPr>
            <w:r>
              <w:t>Any on-treatment AE, n (%)</w:t>
            </w:r>
          </w:p>
        </w:tc>
        <w:tc>
          <w:tcPr>
            <w:tcW w:w="864" w:type="pct"/>
            <w:tcBorders>
              <w:bottom w:val="nil"/>
            </w:tcBorders>
            <w:shd w:val="clear" w:color="auto" w:fill="auto"/>
          </w:tcPr>
          <w:p w:rsidR="00035233" w:rsidRPr="00194011" w:rsidRDefault="00035233" w:rsidP="00035233">
            <w:pPr>
              <w:pStyle w:val="05Tabletext"/>
              <w:keepNext/>
              <w:jc w:val="center"/>
            </w:pPr>
            <w:r>
              <w:t>72 (35)</w:t>
            </w:r>
          </w:p>
        </w:tc>
        <w:tc>
          <w:tcPr>
            <w:tcW w:w="864" w:type="pct"/>
            <w:tcBorders>
              <w:bottom w:val="nil"/>
            </w:tcBorders>
            <w:shd w:val="clear" w:color="auto" w:fill="auto"/>
          </w:tcPr>
          <w:p w:rsidR="00035233" w:rsidRPr="00194011" w:rsidRDefault="00035233" w:rsidP="00035233">
            <w:pPr>
              <w:pStyle w:val="05Tabletext"/>
              <w:keepNext/>
              <w:jc w:val="center"/>
            </w:pPr>
            <w:r>
              <w:t>81 (39)</w:t>
            </w:r>
          </w:p>
        </w:tc>
        <w:tc>
          <w:tcPr>
            <w:tcW w:w="863" w:type="pct"/>
            <w:tcBorders>
              <w:bottom w:val="nil"/>
            </w:tcBorders>
            <w:shd w:val="clear" w:color="auto" w:fill="auto"/>
          </w:tcPr>
          <w:p w:rsidR="00035233" w:rsidRPr="00194011" w:rsidRDefault="00035233" w:rsidP="00035233">
            <w:pPr>
              <w:pStyle w:val="05Tabletext"/>
              <w:keepNext/>
              <w:jc w:val="center"/>
            </w:pPr>
            <w:r>
              <w:t>75 (36)</w:t>
            </w:r>
          </w:p>
        </w:tc>
        <w:tc>
          <w:tcPr>
            <w:tcW w:w="864" w:type="pct"/>
            <w:tcBorders>
              <w:bottom w:val="nil"/>
            </w:tcBorders>
            <w:shd w:val="clear" w:color="auto" w:fill="auto"/>
          </w:tcPr>
          <w:p w:rsidR="00035233" w:rsidRPr="00194011" w:rsidRDefault="00035233" w:rsidP="00035233">
            <w:pPr>
              <w:pStyle w:val="05Tabletext"/>
              <w:keepNext/>
              <w:jc w:val="center"/>
            </w:pPr>
            <w:r>
              <w:t>67 (33)</w:t>
            </w:r>
          </w:p>
        </w:tc>
      </w:tr>
      <w:tr w:rsidR="00035233" w:rsidRPr="00194011" w:rsidTr="00035233">
        <w:trPr>
          <w:cantSplit/>
        </w:trPr>
        <w:tc>
          <w:tcPr>
            <w:tcW w:w="1545" w:type="pct"/>
            <w:tcBorders>
              <w:top w:val="nil"/>
              <w:bottom w:val="nil"/>
            </w:tcBorders>
            <w:shd w:val="clear" w:color="auto" w:fill="auto"/>
          </w:tcPr>
          <w:p w:rsidR="00035233" w:rsidRDefault="00035233" w:rsidP="00035233">
            <w:pPr>
              <w:pStyle w:val="05Tabletext"/>
              <w:keepNext/>
              <w:ind w:firstLine="232"/>
            </w:pPr>
            <w:r>
              <w:t>COPD exacerbation</w:t>
            </w:r>
          </w:p>
        </w:tc>
        <w:tc>
          <w:tcPr>
            <w:tcW w:w="864" w:type="pct"/>
            <w:tcBorders>
              <w:top w:val="nil"/>
              <w:bottom w:val="nil"/>
            </w:tcBorders>
            <w:shd w:val="clear" w:color="auto" w:fill="auto"/>
          </w:tcPr>
          <w:p w:rsidR="00035233" w:rsidRDefault="00035233" w:rsidP="00035233">
            <w:pPr>
              <w:pStyle w:val="05Tabletext"/>
              <w:keepNext/>
              <w:jc w:val="center"/>
            </w:pPr>
            <w:r>
              <w:t>7 (3)</w:t>
            </w:r>
          </w:p>
        </w:tc>
        <w:tc>
          <w:tcPr>
            <w:tcW w:w="864" w:type="pct"/>
            <w:tcBorders>
              <w:top w:val="nil"/>
              <w:bottom w:val="nil"/>
            </w:tcBorders>
            <w:shd w:val="clear" w:color="auto" w:fill="auto"/>
          </w:tcPr>
          <w:p w:rsidR="00035233" w:rsidRDefault="00035233" w:rsidP="00035233">
            <w:pPr>
              <w:pStyle w:val="05Tabletext"/>
              <w:keepNext/>
              <w:jc w:val="center"/>
            </w:pPr>
            <w:r>
              <w:t>17 (8)</w:t>
            </w:r>
          </w:p>
        </w:tc>
        <w:tc>
          <w:tcPr>
            <w:tcW w:w="863" w:type="pct"/>
            <w:tcBorders>
              <w:top w:val="nil"/>
              <w:bottom w:val="nil"/>
            </w:tcBorders>
            <w:shd w:val="clear" w:color="auto" w:fill="auto"/>
          </w:tcPr>
          <w:p w:rsidR="00035233" w:rsidRDefault="00035233" w:rsidP="00035233">
            <w:pPr>
              <w:pStyle w:val="05Tabletext"/>
              <w:keepNext/>
              <w:jc w:val="center"/>
            </w:pPr>
            <w:r>
              <w:t>6 (3)</w:t>
            </w:r>
          </w:p>
        </w:tc>
        <w:tc>
          <w:tcPr>
            <w:tcW w:w="864" w:type="pct"/>
            <w:tcBorders>
              <w:top w:val="nil"/>
              <w:bottom w:val="nil"/>
            </w:tcBorders>
            <w:shd w:val="clear" w:color="auto" w:fill="auto"/>
          </w:tcPr>
          <w:p w:rsidR="00035233" w:rsidRDefault="00035233" w:rsidP="00035233">
            <w:pPr>
              <w:pStyle w:val="05Tabletext"/>
              <w:keepNext/>
              <w:jc w:val="center"/>
            </w:pPr>
            <w:r>
              <w:t>6 (3)</w:t>
            </w:r>
          </w:p>
        </w:tc>
      </w:tr>
      <w:tr w:rsidR="00035233" w:rsidRPr="00194011" w:rsidTr="00035233">
        <w:trPr>
          <w:cantSplit/>
        </w:trPr>
        <w:tc>
          <w:tcPr>
            <w:tcW w:w="1545" w:type="pct"/>
            <w:tcBorders>
              <w:top w:val="nil"/>
              <w:bottom w:val="nil"/>
            </w:tcBorders>
            <w:shd w:val="clear" w:color="auto" w:fill="auto"/>
          </w:tcPr>
          <w:p w:rsidR="00035233" w:rsidRDefault="00035233" w:rsidP="00035233">
            <w:pPr>
              <w:pStyle w:val="05Tabletext"/>
              <w:keepNext/>
              <w:ind w:left="289"/>
            </w:pPr>
            <w:r>
              <w:t>Pneumonia</w:t>
            </w:r>
          </w:p>
        </w:tc>
        <w:tc>
          <w:tcPr>
            <w:tcW w:w="864" w:type="pct"/>
            <w:tcBorders>
              <w:top w:val="nil"/>
              <w:bottom w:val="nil"/>
            </w:tcBorders>
            <w:shd w:val="clear" w:color="auto" w:fill="auto"/>
          </w:tcPr>
          <w:p w:rsidR="00035233" w:rsidRPr="00194011" w:rsidRDefault="00035233" w:rsidP="00035233">
            <w:pPr>
              <w:pStyle w:val="05Tabletext"/>
              <w:keepNext/>
              <w:jc w:val="center"/>
            </w:pPr>
            <w:r>
              <w:t>3 (1)</w:t>
            </w:r>
          </w:p>
        </w:tc>
        <w:tc>
          <w:tcPr>
            <w:tcW w:w="864" w:type="pct"/>
            <w:tcBorders>
              <w:top w:val="nil"/>
              <w:bottom w:val="nil"/>
            </w:tcBorders>
            <w:shd w:val="clear" w:color="auto" w:fill="auto"/>
          </w:tcPr>
          <w:p w:rsidR="00035233" w:rsidRPr="00194011" w:rsidRDefault="00035233" w:rsidP="00035233">
            <w:pPr>
              <w:pStyle w:val="05Tabletext"/>
              <w:keepNext/>
              <w:jc w:val="center"/>
            </w:pPr>
            <w:r>
              <w:t>1 (&lt;1)</w:t>
            </w:r>
          </w:p>
        </w:tc>
        <w:tc>
          <w:tcPr>
            <w:tcW w:w="863" w:type="pct"/>
            <w:tcBorders>
              <w:top w:val="nil"/>
              <w:bottom w:val="nil"/>
            </w:tcBorders>
            <w:shd w:val="clear" w:color="auto" w:fill="auto"/>
          </w:tcPr>
          <w:p w:rsidR="00035233" w:rsidRPr="00194011" w:rsidRDefault="00035233" w:rsidP="00035233">
            <w:pPr>
              <w:pStyle w:val="05Tabletext"/>
              <w:keepNext/>
              <w:jc w:val="center"/>
            </w:pPr>
            <w:r>
              <w:t>0</w:t>
            </w:r>
          </w:p>
        </w:tc>
        <w:tc>
          <w:tcPr>
            <w:tcW w:w="864" w:type="pct"/>
            <w:tcBorders>
              <w:top w:val="nil"/>
              <w:bottom w:val="nil"/>
            </w:tcBorders>
            <w:shd w:val="clear" w:color="auto" w:fill="auto"/>
          </w:tcPr>
          <w:p w:rsidR="00035233" w:rsidRPr="00194011" w:rsidRDefault="00035233" w:rsidP="00035233">
            <w:pPr>
              <w:pStyle w:val="05Tabletext"/>
              <w:keepNext/>
              <w:jc w:val="center"/>
            </w:pPr>
            <w:r>
              <w:t>2 (&lt;1)</w:t>
            </w:r>
          </w:p>
        </w:tc>
      </w:tr>
      <w:tr w:rsidR="00035233" w:rsidRPr="00194011" w:rsidTr="00035233">
        <w:trPr>
          <w:cantSplit/>
        </w:trPr>
        <w:tc>
          <w:tcPr>
            <w:tcW w:w="1545" w:type="pct"/>
            <w:tcBorders>
              <w:top w:val="nil"/>
              <w:bottom w:val="nil"/>
            </w:tcBorders>
            <w:shd w:val="clear" w:color="auto" w:fill="auto"/>
          </w:tcPr>
          <w:p w:rsidR="00035233" w:rsidRDefault="00035233" w:rsidP="00035233">
            <w:pPr>
              <w:pStyle w:val="05Tabletext"/>
              <w:keepNext/>
              <w:ind w:left="289"/>
            </w:pPr>
            <w:r>
              <w:t>LRTI excluding pneumonia</w:t>
            </w:r>
          </w:p>
        </w:tc>
        <w:tc>
          <w:tcPr>
            <w:tcW w:w="864" w:type="pct"/>
            <w:tcBorders>
              <w:top w:val="nil"/>
              <w:bottom w:val="nil"/>
            </w:tcBorders>
            <w:shd w:val="clear" w:color="auto" w:fill="auto"/>
          </w:tcPr>
          <w:p w:rsidR="00035233" w:rsidRDefault="00035233" w:rsidP="00035233">
            <w:pPr>
              <w:pStyle w:val="05Tabletext"/>
              <w:keepNext/>
              <w:jc w:val="center"/>
            </w:pPr>
            <w:r>
              <w:t>2 (&lt;1)</w:t>
            </w:r>
          </w:p>
        </w:tc>
        <w:tc>
          <w:tcPr>
            <w:tcW w:w="864" w:type="pct"/>
            <w:tcBorders>
              <w:top w:val="nil"/>
              <w:bottom w:val="nil"/>
            </w:tcBorders>
            <w:shd w:val="clear" w:color="auto" w:fill="auto"/>
          </w:tcPr>
          <w:p w:rsidR="00035233" w:rsidRDefault="00035233" w:rsidP="00035233">
            <w:pPr>
              <w:pStyle w:val="05Tabletext"/>
              <w:keepNext/>
              <w:jc w:val="center"/>
            </w:pPr>
            <w:r>
              <w:t>0</w:t>
            </w:r>
          </w:p>
        </w:tc>
        <w:tc>
          <w:tcPr>
            <w:tcW w:w="863" w:type="pct"/>
            <w:tcBorders>
              <w:top w:val="nil"/>
              <w:bottom w:val="nil"/>
            </w:tcBorders>
            <w:shd w:val="clear" w:color="auto" w:fill="auto"/>
          </w:tcPr>
          <w:p w:rsidR="00035233" w:rsidRPr="00194011" w:rsidRDefault="00035233" w:rsidP="00035233">
            <w:pPr>
              <w:pStyle w:val="05Tabletext"/>
              <w:keepNext/>
              <w:jc w:val="center"/>
            </w:pPr>
            <w:r>
              <w:t>2 (&lt;1)</w:t>
            </w:r>
          </w:p>
        </w:tc>
        <w:tc>
          <w:tcPr>
            <w:tcW w:w="864" w:type="pct"/>
            <w:tcBorders>
              <w:top w:val="nil"/>
              <w:bottom w:val="nil"/>
            </w:tcBorders>
            <w:shd w:val="clear" w:color="auto" w:fill="auto"/>
          </w:tcPr>
          <w:p w:rsidR="00035233" w:rsidRPr="00194011" w:rsidRDefault="00035233" w:rsidP="00035233">
            <w:pPr>
              <w:pStyle w:val="05Tabletext"/>
              <w:keepNext/>
              <w:jc w:val="center"/>
            </w:pPr>
            <w:r>
              <w:t>0</w:t>
            </w:r>
          </w:p>
        </w:tc>
      </w:tr>
      <w:tr w:rsidR="00035233" w:rsidRPr="00194011" w:rsidTr="00035233">
        <w:trPr>
          <w:cantSplit/>
        </w:trPr>
        <w:tc>
          <w:tcPr>
            <w:tcW w:w="1545" w:type="pct"/>
            <w:tcBorders>
              <w:top w:val="nil"/>
            </w:tcBorders>
            <w:shd w:val="clear" w:color="auto" w:fill="auto"/>
          </w:tcPr>
          <w:p w:rsidR="00035233" w:rsidRDefault="00035233" w:rsidP="00035233">
            <w:pPr>
              <w:pStyle w:val="05Tabletext"/>
              <w:keepNext/>
              <w:ind w:left="289"/>
            </w:pPr>
            <w:r>
              <w:t>Cardiovascular AE</w:t>
            </w:r>
          </w:p>
        </w:tc>
        <w:tc>
          <w:tcPr>
            <w:tcW w:w="864" w:type="pct"/>
            <w:tcBorders>
              <w:top w:val="nil"/>
            </w:tcBorders>
            <w:shd w:val="clear" w:color="auto" w:fill="auto"/>
          </w:tcPr>
          <w:p w:rsidR="00035233" w:rsidRDefault="00035233" w:rsidP="00035233">
            <w:pPr>
              <w:pStyle w:val="05Tabletext"/>
              <w:keepNext/>
              <w:jc w:val="center"/>
            </w:pPr>
            <w:r>
              <w:t>6 (3)</w:t>
            </w:r>
          </w:p>
        </w:tc>
        <w:tc>
          <w:tcPr>
            <w:tcW w:w="864" w:type="pct"/>
            <w:tcBorders>
              <w:top w:val="nil"/>
            </w:tcBorders>
            <w:shd w:val="clear" w:color="auto" w:fill="auto"/>
          </w:tcPr>
          <w:p w:rsidR="00035233" w:rsidRDefault="00035233" w:rsidP="00035233">
            <w:pPr>
              <w:pStyle w:val="05Tabletext"/>
              <w:keepNext/>
              <w:jc w:val="center"/>
            </w:pPr>
            <w:r>
              <w:t>6 (3)</w:t>
            </w:r>
          </w:p>
        </w:tc>
        <w:tc>
          <w:tcPr>
            <w:tcW w:w="863" w:type="pct"/>
            <w:tcBorders>
              <w:top w:val="nil"/>
            </w:tcBorders>
            <w:shd w:val="clear" w:color="auto" w:fill="auto"/>
          </w:tcPr>
          <w:p w:rsidR="00035233" w:rsidRPr="00194011" w:rsidRDefault="00035233" w:rsidP="00035233">
            <w:pPr>
              <w:pStyle w:val="05Tabletext"/>
              <w:keepNext/>
              <w:jc w:val="center"/>
            </w:pPr>
            <w:r>
              <w:t>5 (2)</w:t>
            </w:r>
          </w:p>
        </w:tc>
        <w:tc>
          <w:tcPr>
            <w:tcW w:w="864" w:type="pct"/>
            <w:tcBorders>
              <w:top w:val="nil"/>
            </w:tcBorders>
            <w:shd w:val="clear" w:color="auto" w:fill="auto"/>
          </w:tcPr>
          <w:p w:rsidR="00035233" w:rsidRPr="00194011" w:rsidRDefault="00035233" w:rsidP="00035233">
            <w:pPr>
              <w:pStyle w:val="05Tabletext"/>
              <w:keepNext/>
              <w:jc w:val="center"/>
            </w:pPr>
            <w:r>
              <w:t>2 (&lt;1)</w:t>
            </w:r>
          </w:p>
        </w:tc>
      </w:tr>
      <w:tr w:rsidR="00035233" w:rsidRPr="00194011" w:rsidTr="00035233">
        <w:trPr>
          <w:cantSplit/>
        </w:trPr>
        <w:tc>
          <w:tcPr>
            <w:tcW w:w="1545" w:type="pct"/>
            <w:shd w:val="clear" w:color="auto" w:fill="auto"/>
          </w:tcPr>
          <w:p w:rsidR="00035233" w:rsidRDefault="00035233" w:rsidP="00035233">
            <w:pPr>
              <w:pStyle w:val="05Tabletext"/>
              <w:keepNext/>
            </w:pPr>
            <w:r>
              <w:t>Any on-treatment drug-related AE, n (%)</w:t>
            </w:r>
          </w:p>
        </w:tc>
        <w:tc>
          <w:tcPr>
            <w:tcW w:w="864" w:type="pct"/>
            <w:shd w:val="clear" w:color="auto" w:fill="auto"/>
          </w:tcPr>
          <w:p w:rsidR="00035233" w:rsidRDefault="00035233" w:rsidP="00035233">
            <w:pPr>
              <w:pStyle w:val="05Tabletext"/>
              <w:keepNext/>
              <w:jc w:val="center"/>
            </w:pPr>
            <w:r>
              <w:t>15 (7)</w:t>
            </w:r>
          </w:p>
        </w:tc>
        <w:tc>
          <w:tcPr>
            <w:tcW w:w="864" w:type="pct"/>
            <w:shd w:val="clear" w:color="auto" w:fill="auto"/>
          </w:tcPr>
          <w:p w:rsidR="00035233" w:rsidRDefault="00035233" w:rsidP="00035233">
            <w:pPr>
              <w:pStyle w:val="05Tabletext"/>
              <w:keepNext/>
              <w:jc w:val="center"/>
            </w:pPr>
            <w:r>
              <w:t>7 (3)</w:t>
            </w:r>
          </w:p>
        </w:tc>
        <w:tc>
          <w:tcPr>
            <w:tcW w:w="863" w:type="pct"/>
            <w:shd w:val="clear" w:color="auto" w:fill="auto"/>
          </w:tcPr>
          <w:p w:rsidR="00035233" w:rsidRPr="003D2042" w:rsidRDefault="00035233" w:rsidP="00035233">
            <w:pPr>
              <w:pStyle w:val="05Tabletext"/>
              <w:keepNext/>
              <w:jc w:val="center"/>
            </w:pPr>
            <w:r>
              <w:t>15 (7)</w:t>
            </w:r>
          </w:p>
        </w:tc>
        <w:tc>
          <w:tcPr>
            <w:tcW w:w="864" w:type="pct"/>
            <w:shd w:val="clear" w:color="auto" w:fill="auto"/>
          </w:tcPr>
          <w:p w:rsidR="00035233" w:rsidRPr="003D2042" w:rsidRDefault="00035233" w:rsidP="00035233">
            <w:pPr>
              <w:pStyle w:val="05Tabletext"/>
              <w:keepNext/>
              <w:jc w:val="center"/>
            </w:pPr>
            <w:r>
              <w:t>6 (3)</w:t>
            </w:r>
          </w:p>
        </w:tc>
      </w:tr>
      <w:tr w:rsidR="00035233" w:rsidRPr="00194011" w:rsidTr="00035233">
        <w:trPr>
          <w:cantSplit/>
        </w:trPr>
        <w:tc>
          <w:tcPr>
            <w:tcW w:w="1545" w:type="pct"/>
            <w:shd w:val="clear" w:color="auto" w:fill="auto"/>
          </w:tcPr>
          <w:p w:rsidR="00035233" w:rsidRPr="003D2042" w:rsidRDefault="00035233" w:rsidP="00035233">
            <w:pPr>
              <w:pStyle w:val="05Tabletext"/>
              <w:keepNext/>
            </w:pPr>
            <w:r>
              <w:t>Any on-treatment SAE, n (%)</w:t>
            </w:r>
          </w:p>
        </w:tc>
        <w:tc>
          <w:tcPr>
            <w:tcW w:w="864" w:type="pct"/>
            <w:shd w:val="clear" w:color="auto" w:fill="auto"/>
          </w:tcPr>
          <w:p w:rsidR="00035233" w:rsidRPr="00BD6442" w:rsidRDefault="00035233" w:rsidP="00035233">
            <w:pPr>
              <w:pStyle w:val="05Tabletext"/>
              <w:keepNext/>
              <w:jc w:val="center"/>
            </w:pPr>
            <w:r>
              <w:t>6 (3)</w:t>
            </w:r>
          </w:p>
        </w:tc>
        <w:tc>
          <w:tcPr>
            <w:tcW w:w="864" w:type="pct"/>
            <w:shd w:val="clear" w:color="auto" w:fill="auto"/>
          </w:tcPr>
          <w:p w:rsidR="00035233" w:rsidRPr="00BD6442" w:rsidRDefault="00035233" w:rsidP="00035233">
            <w:pPr>
              <w:pStyle w:val="05Tabletext"/>
              <w:keepNext/>
              <w:jc w:val="center"/>
            </w:pPr>
            <w:r>
              <w:t>11 (5)</w:t>
            </w:r>
          </w:p>
        </w:tc>
        <w:tc>
          <w:tcPr>
            <w:tcW w:w="863" w:type="pct"/>
            <w:shd w:val="clear" w:color="auto" w:fill="auto"/>
          </w:tcPr>
          <w:p w:rsidR="00035233" w:rsidRPr="003D2042" w:rsidRDefault="00035233" w:rsidP="00035233">
            <w:pPr>
              <w:pStyle w:val="05Tabletext"/>
              <w:keepNext/>
              <w:jc w:val="center"/>
            </w:pPr>
            <w:r>
              <w:t>2 (&lt;1)</w:t>
            </w:r>
          </w:p>
        </w:tc>
        <w:tc>
          <w:tcPr>
            <w:tcW w:w="864" w:type="pct"/>
            <w:shd w:val="clear" w:color="auto" w:fill="auto"/>
          </w:tcPr>
          <w:p w:rsidR="00035233" w:rsidRPr="003D2042" w:rsidRDefault="00035233" w:rsidP="00035233">
            <w:pPr>
              <w:pStyle w:val="05Tabletext"/>
              <w:keepNext/>
              <w:jc w:val="center"/>
            </w:pPr>
            <w:r>
              <w:t>8 (4)</w:t>
            </w:r>
          </w:p>
        </w:tc>
      </w:tr>
      <w:tr w:rsidR="00035233" w:rsidRPr="00194011" w:rsidTr="00035233">
        <w:trPr>
          <w:cantSplit/>
        </w:trPr>
        <w:tc>
          <w:tcPr>
            <w:tcW w:w="1545" w:type="pct"/>
            <w:shd w:val="clear" w:color="auto" w:fill="auto"/>
          </w:tcPr>
          <w:p w:rsidR="00035233" w:rsidRPr="001A20E7" w:rsidRDefault="00035233" w:rsidP="00035233">
            <w:pPr>
              <w:pStyle w:val="05Tabletext"/>
              <w:keepNext/>
              <w:rPr>
                <w:rFonts w:ascii="Arial" w:hAnsi="Arial" w:cs="Arial"/>
                <w:rtl/>
              </w:rPr>
            </w:pPr>
            <w:r>
              <w:t>AE leading to permanent discontinuation of medication/withdrawal, n (%)</w:t>
            </w:r>
          </w:p>
        </w:tc>
        <w:tc>
          <w:tcPr>
            <w:tcW w:w="864" w:type="pct"/>
            <w:shd w:val="clear" w:color="auto" w:fill="auto"/>
          </w:tcPr>
          <w:p w:rsidR="00035233" w:rsidRDefault="00035233" w:rsidP="00035233">
            <w:pPr>
              <w:pStyle w:val="05Tabletext"/>
              <w:keepNext/>
              <w:jc w:val="center"/>
            </w:pPr>
            <w:r>
              <w:t>5 (2)</w:t>
            </w:r>
          </w:p>
        </w:tc>
        <w:tc>
          <w:tcPr>
            <w:tcW w:w="864" w:type="pct"/>
            <w:shd w:val="clear" w:color="auto" w:fill="auto"/>
          </w:tcPr>
          <w:p w:rsidR="00035233" w:rsidRDefault="00035233" w:rsidP="00035233">
            <w:pPr>
              <w:pStyle w:val="05Tabletext"/>
              <w:keepNext/>
              <w:jc w:val="center"/>
            </w:pPr>
            <w:r>
              <w:t>9 (4)</w:t>
            </w:r>
          </w:p>
        </w:tc>
        <w:tc>
          <w:tcPr>
            <w:tcW w:w="863" w:type="pct"/>
            <w:shd w:val="clear" w:color="auto" w:fill="auto"/>
          </w:tcPr>
          <w:p w:rsidR="00035233" w:rsidRPr="003D2042" w:rsidRDefault="00035233" w:rsidP="00035233">
            <w:pPr>
              <w:pStyle w:val="05Tabletext"/>
              <w:keepNext/>
              <w:jc w:val="center"/>
            </w:pPr>
            <w:r>
              <w:t>3 (1)</w:t>
            </w:r>
          </w:p>
        </w:tc>
        <w:tc>
          <w:tcPr>
            <w:tcW w:w="864" w:type="pct"/>
            <w:shd w:val="clear" w:color="auto" w:fill="auto"/>
          </w:tcPr>
          <w:p w:rsidR="00035233" w:rsidRPr="003D2042" w:rsidRDefault="00035233" w:rsidP="00035233">
            <w:pPr>
              <w:pStyle w:val="05Tabletext"/>
              <w:keepNext/>
              <w:jc w:val="center"/>
            </w:pPr>
            <w:r>
              <w:t>7 (3)</w:t>
            </w:r>
          </w:p>
        </w:tc>
      </w:tr>
      <w:tr w:rsidR="00035233" w:rsidRPr="00194011" w:rsidTr="00035233">
        <w:trPr>
          <w:cantSplit/>
        </w:trPr>
        <w:tc>
          <w:tcPr>
            <w:tcW w:w="1545" w:type="pct"/>
            <w:shd w:val="clear" w:color="auto" w:fill="auto"/>
          </w:tcPr>
          <w:p w:rsidR="00035233" w:rsidRDefault="00035233" w:rsidP="00035233">
            <w:pPr>
              <w:pStyle w:val="05Tabletext"/>
              <w:keepNext/>
            </w:pPr>
            <w:r>
              <w:t>Fatal AEs, n (%)</w:t>
            </w:r>
          </w:p>
        </w:tc>
        <w:tc>
          <w:tcPr>
            <w:tcW w:w="864" w:type="pct"/>
            <w:shd w:val="clear" w:color="auto" w:fill="auto"/>
          </w:tcPr>
          <w:p w:rsidR="00035233" w:rsidRDefault="00035233" w:rsidP="00035233">
            <w:pPr>
              <w:pStyle w:val="05Tabletext"/>
              <w:keepNext/>
              <w:jc w:val="center"/>
            </w:pPr>
            <w:r>
              <w:t>1 (&lt;1)</w:t>
            </w:r>
          </w:p>
        </w:tc>
        <w:tc>
          <w:tcPr>
            <w:tcW w:w="864" w:type="pct"/>
            <w:shd w:val="clear" w:color="auto" w:fill="auto"/>
          </w:tcPr>
          <w:p w:rsidR="00035233" w:rsidRDefault="00035233" w:rsidP="00035233">
            <w:pPr>
              <w:pStyle w:val="05Tabletext"/>
              <w:keepNext/>
              <w:jc w:val="center"/>
            </w:pPr>
            <w:r>
              <w:t>4 (2)</w:t>
            </w:r>
          </w:p>
        </w:tc>
        <w:tc>
          <w:tcPr>
            <w:tcW w:w="863" w:type="pct"/>
            <w:shd w:val="clear" w:color="auto" w:fill="auto"/>
          </w:tcPr>
          <w:p w:rsidR="00035233" w:rsidRPr="003D2042" w:rsidRDefault="00035233" w:rsidP="00035233">
            <w:pPr>
              <w:pStyle w:val="05Tabletext"/>
              <w:keepNext/>
              <w:jc w:val="center"/>
            </w:pPr>
            <w:r>
              <w:t>0</w:t>
            </w:r>
          </w:p>
        </w:tc>
        <w:tc>
          <w:tcPr>
            <w:tcW w:w="864" w:type="pct"/>
            <w:shd w:val="clear" w:color="auto" w:fill="auto"/>
          </w:tcPr>
          <w:p w:rsidR="00035233" w:rsidRPr="003D2042" w:rsidRDefault="00035233" w:rsidP="00035233">
            <w:pPr>
              <w:pStyle w:val="05Tabletext"/>
              <w:keepNext/>
              <w:jc w:val="center"/>
            </w:pPr>
            <w:r>
              <w:t>1 (&lt;1)</w:t>
            </w:r>
          </w:p>
        </w:tc>
      </w:tr>
    </w:tbl>
    <w:p w:rsidR="00035233" w:rsidRDefault="00035233" w:rsidP="00035233">
      <w:pPr>
        <w:pStyle w:val="10TableorFigurefootnote"/>
      </w:pPr>
      <w:r>
        <w:t>Source: Siler et al (2015), Table 3.</w:t>
      </w:r>
    </w:p>
    <w:p w:rsidR="00035233" w:rsidRDefault="00035233" w:rsidP="00035233">
      <w:pPr>
        <w:pStyle w:val="11TableorFigurefootnotenostick"/>
      </w:pPr>
      <w:r>
        <w:t>Abbreviations: AE, adverse events; COPD, chronic obstructive pulmonary disease; FLU, fluticasone; LRTI, lower respiratory tract infection; PBO, placebo; SAE, serious adverse events; UME, umeclidinium; VIL, vilant</w:t>
      </w:r>
      <w:r w:rsidR="007E2129">
        <w:t>erol; FLU/VIL, fluticasone furoate/vilanterol.</w:t>
      </w:r>
    </w:p>
    <w:p w:rsidR="00035233" w:rsidRDefault="00035233" w:rsidP="00251CB8">
      <w:pPr>
        <w:pStyle w:val="Heading4"/>
        <w:numPr>
          <w:ilvl w:val="3"/>
          <w:numId w:val="36"/>
        </w:numPr>
      </w:pPr>
      <w:r>
        <w:t>Any ICS/LABA with or without umeclidinium</w:t>
      </w:r>
    </w:p>
    <w:p w:rsidR="00035233" w:rsidRDefault="00035233" w:rsidP="00251CB8">
      <w:pPr>
        <w:pStyle w:val="Heading5"/>
        <w:numPr>
          <w:ilvl w:val="4"/>
          <w:numId w:val="36"/>
        </w:numPr>
      </w:pPr>
      <w:r>
        <w:t>Sousa (2016)</w:t>
      </w:r>
    </w:p>
    <w:p w:rsidR="00035233" w:rsidRDefault="00035233" w:rsidP="00035233">
      <w:pPr>
        <w:pStyle w:val="BodyTextnospacebefore"/>
      </w:pPr>
      <w:r>
        <w:t>The aim of this study was to assess the efficacy and safety of adding umeclidinium to ICS/LABAs in patients who were already receiving ICS/LABA therapy</w:t>
      </w:r>
      <w:r>
        <w:rPr>
          <w:rStyle w:val="FootnoteReference"/>
        </w:rPr>
        <w:footnoteReference w:id="61"/>
      </w:r>
      <w:r>
        <w:t xml:space="preserve"> for at least 30 days before enrolment, but remained symptomatic. In terms of baseline characteristics, there </w:t>
      </w:r>
      <w:proofErr w:type="gramStart"/>
      <w:r>
        <w:t>was</w:t>
      </w:r>
      <w:proofErr w:type="gramEnd"/>
      <w:r>
        <w:t xml:space="preserve"> a smaller proportion of high</w:t>
      </w:r>
      <w:r w:rsidR="006556A8">
        <w:t xml:space="preserve"> </w:t>
      </w:r>
      <w:r>
        <w:t>risk (GOLD D)</w:t>
      </w:r>
      <w:r>
        <w:rPr>
          <w:rStyle w:val="FootnoteReference"/>
        </w:rPr>
        <w:footnoteReference w:id="62"/>
      </w:r>
      <w:r>
        <w:t xml:space="preserve"> patients in the ICS/LABA plus umeclidinium group than the ICS/LABA plus placebo group. The umeclidinium group also experienced fewer exacerbations in the year before enrolment compared with the placebo group.</w:t>
      </w:r>
    </w:p>
    <w:p w:rsidR="00C3118A" w:rsidRDefault="00035233" w:rsidP="00035233">
      <w:pPr>
        <w:pStyle w:val="BodyText"/>
      </w:pPr>
      <w:r>
        <w:t>The primary outcome was change from baseline in trough FEV</w:t>
      </w:r>
      <w:r>
        <w:rPr>
          <w:vertAlign w:val="subscript"/>
        </w:rPr>
        <w:t>1</w:t>
      </w:r>
      <w:r w:rsidR="004B3085">
        <w:t xml:space="preserve"> at D</w:t>
      </w:r>
      <w:r>
        <w:t xml:space="preserve">ay 85 and a post hoc sensitivity analysis was also conducted to test for differences between different ICS/LABA combinations. </w:t>
      </w:r>
    </w:p>
    <w:p w:rsidR="00035233" w:rsidRDefault="00035233" w:rsidP="00035233">
      <w:pPr>
        <w:pStyle w:val="BodyText"/>
      </w:pPr>
      <w:r>
        <w:t xml:space="preserve">As shown in </w:t>
      </w:r>
      <w:r w:rsidR="003A4D41">
        <w:t>Table 3.8</w:t>
      </w:r>
      <w:r w:rsidR="00411D11">
        <w:t>2</w:t>
      </w:r>
      <w:r>
        <w:t>, the addition of umeclidinium to an ICS/LABA produced statistically significant and clinically meaningful improvements in trough FEV</w:t>
      </w:r>
      <w:r>
        <w:rPr>
          <w:vertAlign w:val="subscript"/>
        </w:rPr>
        <w:t>1</w:t>
      </w:r>
      <w:r>
        <w:t xml:space="preserve">, that were observed throughout the trial (see </w:t>
      </w:r>
      <w:r w:rsidR="003A4D41">
        <w:t>Figure 3.11</w:t>
      </w:r>
      <w:r>
        <w:t>).</w:t>
      </w:r>
    </w:p>
    <w:p w:rsidR="00035233" w:rsidRPr="004A1B67" w:rsidRDefault="00035233" w:rsidP="00035233">
      <w:pPr>
        <w:pStyle w:val="BodyText"/>
      </w:pPr>
      <w:r>
        <w:t xml:space="preserve">In relation to the subgroup analysis, comparable </w:t>
      </w:r>
      <w:r w:rsidRPr="004A1B67">
        <w:t>improvements</w:t>
      </w:r>
      <w:r>
        <w:t xml:space="preserve"> were</w:t>
      </w:r>
      <w:r w:rsidRPr="004A1B67">
        <w:t xml:space="preserve"> observed in trough FEV</w:t>
      </w:r>
      <w:r w:rsidRPr="00AB47ED">
        <w:rPr>
          <w:vertAlign w:val="subscript"/>
        </w:rPr>
        <w:t>1</w:t>
      </w:r>
      <w:r w:rsidRPr="004A1B67">
        <w:t xml:space="preserve"> with </w:t>
      </w:r>
      <w:r w:rsidR="003A4D41">
        <w:t>fluticasone</w:t>
      </w:r>
      <w:r w:rsidR="00CF1318">
        <w:t xml:space="preserve"> propionate</w:t>
      </w:r>
      <w:r w:rsidR="003A4D41">
        <w:t>/</w:t>
      </w:r>
      <w:r>
        <w:t>salmeterol and budesonide/eformoterol, suggesting that there is little difference between these background ICS/LABA therapies. The subgroup that included ‘other’ ICS/LABAs did not demonstrate significant differences between umeclidinium and placebo; however, this may have resulted from the small number of patients in the subgroup.</w:t>
      </w:r>
    </w:p>
    <w:p w:rsidR="00035233" w:rsidRDefault="003A4D41" w:rsidP="00251CB8">
      <w:pPr>
        <w:pStyle w:val="ToR3Tableheader"/>
      </w:pPr>
      <w:bookmarkStart w:id="534" w:name="_Toc468028705"/>
      <w:bookmarkStart w:id="535" w:name="_Toc468034527"/>
      <w:bookmarkStart w:id="536" w:name="_Toc471891068"/>
      <w:bookmarkStart w:id="537" w:name="_Toc486428261"/>
      <w:r>
        <w:lastRenderedPageBreak/>
        <w:t>Table 3.</w:t>
      </w:r>
      <w:r w:rsidR="003D2144">
        <w:t>8</w:t>
      </w:r>
      <w:r w:rsidR="00411D11">
        <w:t>2</w:t>
      </w:r>
      <w:r w:rsidR="00035233">
        <w:tab/>
        <w:t>Results for change from baseline for trough FEV</w:t>
      </w:r>
      <w:r w:rsidR="00035233">
        <w:rPr>
          <w:vertAlign w:val="subscript"/>
        </w:rPr>
        <w:t>1</w:t>
      </w:r>
      <w:r w:rsidR="004B3085">
        <w:t xml:space="preserve"> at D</w:t>
      </w:r>
      <w:r w:rsidR="00035233">
        <w:t>ay 85 – ICS/LABA+PBO vs ICS/LABA+UME</w:t>
      </w:r>
      <w:bookmarkEnd w:id="534"/>
      <w:bookmarkEnd w:id="535"/>
      <w:bookmarkEnd w:id="536"/>
      <w:bookmarkEnd w:id="537"/>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Caption w:val="Results for change from baseline for trough FEV1 at day 85 "/>
        <w:tblDescription w:val="ICS/LABA + placebo versus ICS/LABA + UME"/>
      </w:tblPr>
      <w:tblGrid>
        <w:gridCol w:w="2414"/>
        <w:gridCol w:w="1175"/>
        <w:gridCol w:w="1176"/>
        <w:gridCol w:w="1176"/>
        <w:gridCol w:w="1176"/>
        <w:gridCol w:w="1699"/>
        <w:gridCol w:w="851"/>
      </w:tblGrid>
      <w:tr w:rsidR="00035233" w:rsidRPr="00F01736" w:rsidTr="00035233">
        <w:trPr>
          <w:cantSplit/>
          <w:tblHeader/>
        </w:trPr>
        <w:tc>
          <w:tcPr>
            <w:tcW w:w="1249" w:type="pct"/>
            <w:shd w:val="clear" w:color="auto" w:fill="BFBFBF"/>
          </w:tcPr>
          <w:p w:rsidR="00035233" w:rsidRPr="00F01736" w:rsidRDefault="00035233" w:rsidP="00035233">
            <w:pPr>
              <w:pStyle w:val="01TableHEADINGleftaligned"/>
            </w:pPr>
            <w:r>
              <w:t>LS mean change from baseline</w:t>
            </w:r>
          </w:p>
        </w:tc>
        <w:tc>
          <w:tcPr>
            <w:tcW w:w="608" w:type="pct"/>
            <w:tcBorders>
              <w:right w:val="nil"/>
            </w:tcBorders>
            <w:shd w:val="clear" w:color="auto" w:fill="BFBFBF"/>
          </w:tcPr>
          <w:p w:rsidR="00035233" w:rsidRPr="00F01736" w:rsidRDefault="00035233" w:rsidP="00035233">
            <w:pPr>
              <w:pStyle w:val="01TableHEADINGleftaligned"/>
              <w:ind w:right="0"/>
              <w:jc w:val="right"/>
            </w:pPr>
            <w:r>
              <w:t>ICS/LABA +</w:t>
            </w:r>
          </w:p>
        </w:tc>
        <w:tc>
          <w:tcPr>
            <w:tcW w:w="608" w:type="pct"/>
            <w:tcBorders>
              <w:left w:val="nil"/>
              <w:right w:val="single" w:sz="4" w:space="0" w:color="auto"/>
            </w:tcBorders>
            <w:shd w:val="clear" w:color="auto" w:fill="BFBFBF"/>
          </w:tcPr>
          <w:p w:rsidR="00035233" w:rsidRPr="00F01736" w:rsidRDefault="00035233" w:rsidP="00035233">
            <w:pPr>
              <w:pStyle w:val="01TableHEADINGleftaligned"/>
              <w:ind w:left="0" w:right="0"/>
            </w:pPr>
            <w:r>
              <w:t xml:space="preserve"> PBO (N=117)</w:t>
            </w:r>
          </w:p>
        </w:tc>
        <w:tc>
          <w:tcPr>
            <w:tcW w:w="608" w:type="pct"/>
            <w:tcBorders>
              <w:left w:val="single" w:sz="4" w:space="0" w:color="auto"/>
              <w:right w:val="nil"/>
            </w:tcBorders>
            <w:shd w:val="clear" w:color="auto" w:fill="BFBFBF"/>
          </w:tcPr>
          <w:p w:rsidR="00035233" w:rsidRPr="00F01736" w:rsidRDefault="00035233" w:rsidP="00035233">
            <w:pPr>
              <w:pStyle w:val="01TableHEADINGleftaligned"/>
              <w:ind w:right="0"/>
              <w:jc w:val="right"/>
            </w:pPr>
            <w:r>
              <w:t>ICS/LABA +</w:t>
            </w:r>
          </w:p>
        </w:tc>
        <w:tc>
          <w:tcPr>
            <w:tcW w:w="608" w:type="pct"/>
            <w:tcBorders>
              <w:left w:val="nil"/>
            </w:tcBorders>
            <w:shd w:val="clear" w:color="auto" w:fill="BFBFBF"/>
          </w:tcPr>
          <w:p w:rsidR="00035233" w:rsidRPr="00F01736" w:rsidRDefault="00035233" w:rsidP="00035233">
            <w:pPr>
              <w:pStyle w:val="01TableHEADINGleftaligned"/>
              <w:ind w:left="0"/>
            </w:pPr>
            <w:r>
              <w:t xml:space="preserve"> UME (N=119)</w:t>
            </w:r>
          </w:p>
        </w:tc>
        <w:tc>
          <w:tcPr>
            <w:tcW w:w="879" w:type="pct"/>
            <w:shd w:val="clear" w:color="auto" w:fill="BFBFBF"/>
          </w:tcPr>
          <w:p w:rsidR="00035233" w:rsidRPr="005C40A2" w:rsidRDefault="00035233" w:rsidP="00035233">
            <w:pPr>
              <w:pStyle w:val="01TableHEADINGleftaligned"/>
              <w:jc w:val="center"/>
              <w:rPr>
                <w:vertAlign w:val="superscript"/>
              </w:rPr>
            </w:pPr>
            <w:r>
              <w:t>Treatment difference</w:t>
            </w:r>
          </w:p>
        </w:tc>
        <w:tc>
          <w:tcPr>
            <w:tcW w:w="440" w:type="pct"/>
            <w:shd w:val="clear" w:color="auto" w:fill="BFBFBF"/>
          </w:tcPr>
          <w:p w:rsidR="00035233" w:rsidRDefault="00035233" w:rsidP="00035233">
            <w:pPr>
              <w:pStyle w:val="01TableHEADINGleftaligned"/>
              <w:jc w:val="center"/>
            </w:pPr>
            <w:r>
              <w:t>p-value</w:t>
            </w:r>
          </w:p>
        </w:tc>
      </w:tr>
      <w:tr w:rsidR="00035233" w:rsidRPr="00194011" w:rsidTr="00035233">
        <w:trPr>
          <w:cantSplit/>
        </w:trPr>
        <w:tc>
          <w:tcPr>
            <w:tcW w:w="1249" w:type="pct"/>
            <w:tcBorders>
              <w:bottom w:val="single" w:sz="4" w:space="0" w:color="auto"/>
            </w:tcBorders>
            <w:shd w:val="clear" w:color="auto" w:fill="000000"/>
          </w:tcPr>
          <w:p w:rsidR="00035233" w:rsidRPr="00194011" w:rsidRDefault="00035233" w:rsidP="00035233">
            <w:pPr>
              <w:pStyle w:val="04Tablesubheading"/>
            </w:pPr>
            <w:r>
              <w:t>Overall</w:t>
            </w:r>
          </w:p>
        </w:tc>
        <w:tc>
          <w:tcPr>
            <w:tcW w:w="608" w:type="pct"/>
            <w:tcBorders>
              <w:bottom w:val="single" w:sz="4" w:space="0" w:color="auto"/>
            </w:tcBorders>
            <w:shd w:val="clear" w:color="auto" w:fill="000000"/>
          </w:tcPr>
          <w:p w:rsidR="00035233" w:rsidRPr="00C34E40" w:rsidRDefault="00035233" w:rsidP="00035233">
            <w:pPr>
              <w:pStyle w:val="04Tablesubheading"/>
              <w:jc w:val="center"/>
            </w:pPr>
            <w:r>
              <w:t>n</w:t>
            </w:r>
          </w:p>
        </w:tc>
        <w:tc>
          <w:tcPr>
            <w:tcW w:w="608" w:type="pct"/>
            <w:tcBorders>
              <w:bottom w:val="single" w:sz="4" w:space="0" w:color="auto"/>
            </w:tcBorders>
            <w:shd w:val="clear" w:color="auto" w:fill="000000"/>
          </w:tcPr>
          <w:p w:rsidR="00035233" w:rsidRPr="00C34E40" w:rsidRDefault="00035233" w:rsidP="00035233">
            <w:pPr>
              <w:pStyle w:val="04Tablesubheading"/>
              <w:jc w:val="center"/>
            </w:pPr>
            <w:r>
              <w:t>Mean</w:t>
            </w:r>
            <w:r w:rsidRPr="00C34E40">
              <w:t xml:space="preserve"> </w:t>
            </w:r>
            <w:r>
              <w:t>±SE</w:t>
            </w:r>
          </w:p>
        </w:tc>
        <w:tc>
          <w:tcPr>
            <w:tcW w:w="608" w:type="pct"/>
            <w:tcBorders>
              <w:bottom w:val="single" w:sz="4" w:space="0" w:color="auto"/>
            </w:tcBorders>
            <w:shd w:val="clear" w:color="auto" w:fill="000000"/>
          </w:tcPr>
          <w:p w:rsidR="00035233" w:rsidRPr="00C34E40" w:rsidRDefault="00035233" w:rsidP="00035233">
            <w:pPr>
              <w:pStyle w:val="04Tablesubheading"/>
              <w:jc w:val="center"/>
            </w:pPr>
            <w:r>
              <w:t>n</w:t>
            </w:r>
          </w:p>
        </w:tc>
        <w:tc>
          <w:tcPr>
            <w:tcW w:w="608" w:type="pct"/>
            <w:tcBorders>
              <w:bottom w:val="single" w:sz="4" w:space="0" w:color="auto"/>
            </w:tcBorders>
            <w:shd w:val="clear" w:color="auto" w:fill="000000"/>
          </w:tcPr>
          <w:p w:rsidR="00035233" w:rsidRPr="00C34E40" w:rsidRDefault="00035233" w:rsidP="00035233">
            <w:pPr>
              <w:pStyle w:val="04Tablesubheading"/>
              <w:jc w:val="center"/>
            </w:pPr>
            <w:r>
              <w:t>Mean ±SE</w:t>
            </w:r>
          </w:p>
        </w:tc>
        <w:tc>
          <w:tcPr>
            <w:tcW w:w="879" w:type="pct"/>
            <w:tcBorders>
              <w:bottom w:val="single" w:sz="4" w:space="0" w:color="auto"/>
            </w:tcBorders>
            <w:shd w:val="clear" w:color="auto" w:fill="000000"/>
          </w:tcPr>
          <w:p w:rsidR="00035233" w:rsidRPr="00194011" w:rsidRDefault="00035233" w:rsidP="00035233">
            <w:pPr>
              <w:pStyle w:val="04Tablesubheading"/>
              <w:jc w:val="center"/>
            </w:pPr>
            <w:r>
              <w:t>Δ</w:t>
            </w:r>
            <w:r w:rsidRPr="00C34E40">
              <w:t xml:space="preserve"> (95% CI)</w:t>
            </w:r>
          </w:p>
        </w:tc>
        <w:tc>
          <w:tcPr>
            <w:tcW w:w="440" w:type="pct"/>
            <w:tcBorders>
              <w:bottom w:val="single" w:sz="4" w:space="0" w:color="auto"/>
            </w:tcBorders>
            <w:shd w:val="clear" w:color="auto" w:fill="000000"/>
          </w:tcPr>
          <w:p w:rsidR="00035233" w:rsidRDefault="00035233" w:rsidP="00035233">
            <w:pPr>
              <w:pStyle w:val="04Tablesubheading"/>
              <w:jc w:val="center"/>
            </w:pPr>
          </w:p>
        </w:tc>
      </w:tr>
      <w:tr w:rsidR="00035233" w:rsidRPr="00194011" w:rsidTr="00035233">
        <w:trPr>
          <w:cantSplit/>
        </w:trPr>
        <w:tc>
          <w:tcPr>
            <w:tcW w:w="1249" w:type="pct"/>
            <w:tcBorders>
              <w:top w:val="single" w:sz="4" w:space="0" w:color="auto"/>
              <w:bottom w:val="single" w:sz="4" w:space="0" w:color="auto"/>
            </w:tcBorders>
            <w:shd w:val="clear" w:color="auto" w:fill="auto"/>
          </w:tcPr>
          <w:p w:rsidR="00035233" w:rsidRPr="002968C8" w:rsidRDefault="00035233" w:rsidP="00035233">
            <w:pPr>
              <w:pStyle w:val="05Tabletext"/>
            </w:pPr>
            <w:r>
              <w:t>Trough FEV</w:t>
            </w:r>
            <w:r>
              <w:rPr>
                <w:vertAlign w:val="subscript"/>
              </w:rPr>
              <w:t>1</w:t>
            </w:r>
            <w:r>
              <w:t xml:space="preserve"> at Day 85, mL</w:t>
            </w:r>
          </w:p>
        </w:tc>
        <w:tc>
          <w:tcPr>
            <w:tcW w:w="608" w:type="pct"/>
            <w:tcBorders>
              <w:top w:val="single" w:sz="4" w:space="0" w:color="auto"/>
              <w:bottom w:val="single" w:sz="4" w:space="0" w:color="auto"/>
            </w:tcBorders>
            <w:shd w:val="clear" w:color="auto" w:fill="auto"/>
          </w:tcPr>
          <w:p w:rsidR="00035233" w:rsidRPr="00194011" w:rsidRDefault="00035233" w:rsidP="00035233">
            <w:pPr>
              <w:pStyle w:val="05Tabletext"/>
              <w:jc w:val="center"/>
            </w:pPr>
            <w:r>
              <w:t>110</w:t>
            </w:r>
          </w:p>
        </w:tc>
        <w:tc>
          <w:tcPr>
            <w:tcW w:w="608" w:type="pct"/>
            <w:tcBorders>
              <w:top w:val="single" w:sz="4" w:space="0" w:color="auto"/>
              <w:bottom w:val="single" w:sz="4" w:space="0" w:color="auto"/>
            </w:tcBorders>
            <w:shd w:val="clear" w:color="auto" w:fill="auto"/>
          </w:tcPr>
          <w:p w:rsidR="00035233" w:rsidRPr="003E664B" w:rsidRDefault="00035233" w:rsidP="00035233">
            <w:pPr>
              <w:pStyle w:val="05Tabletext"/>
              <w:jc w:val="center"/>
            </w:pPr>
            <w:r>
              <w:t>–33 (18.4)</w:t>
            </w:r>
          </w:p>
        </w:tc>
        <w:tc>
          <w:tcPr>
            <w:tcW w:w="608" w:type="pct"/>
            <w:tcBorders>
              <w:top w:val="single" w:sz="4" w:space="0" w:color="auto"/>
              <w:bottom w:val="single" w:sz="4" w:space="0" w:color="auto"/>
            </w:tcBorders>
            <w:shd w:val="clear" w:color="auto" w:fill="auto"/>
          </w:tcPr>
          <w:p w:rsidR="00035233" w:rsidRPr="00194011" w:rsidRDefault="00035233" w:rsidP="00035233">
            <w:pPr>
              <w:pStyle w:val="05Tabletext"/>
              <w:jc w:val="center"/>
            </w:pPr>
            <w:r>
              <w:t>109</w:t>
            </w:r>
          </w:p>
        </w:tc>
        <w:tc>
          <w:tcPr>
            <w:tcW w:w="608" w:type="pct"/>
            <w:tcBorders>
              <w:top w:val="single" w:sz="4" w:space="0" w:color="auto"/>
              <w:bottom w:val="single" w:sz="4" w:space="0" w:color="auto"/>
            </w:tcBorders>
            <w:shd w:val="clear" w:color="auto" w:fill="auto"/>
          </w:tcPr>
          <w:p w:rsidR="00035233" w:rsidRPr="007D6896" w:rsidRDefault="00035233" w:rsidP="00035233">
            <w:pPr>
              <w:pStyle w:val="05Tabletext"/>
              <w:jc w:val="center"/>
            </w:pPr>
            <w:r>
              <w:t>90 (18.3)</w:t>
            </w:r>
          </w:p>
        </w:tc>
        <w:tc>
          <w:tcPr>
            <w:tcW w:w="879" w:type="pct"/>
            <w:tcBorders>
              <w:top w:val="single" w:sz="4" w:space="0" w:color="auto"/>
              <w:bottom w:val="single" w:sz="4" w:space="0" w:color="auto"/>
            </w:tcBorders>
            <w:shd w:val="clear" w:color="auto" w:fill="auto"/>
          </w:tcPr>
          <w:p w:rsidR="00035233" w:rsidRPr="00194011" w:rsidRDefault="00035233" w:rsidP="00035233">
            <w:pPr>
              <w:pStyle w:val="05Tabletext"/>
              <w:jc w:val="center"/>
            </w:pPr>
            <w:r>
              <w:t>123 (71, 174)</w:t>
            </w:r>
          </w:p>
        </w:tc>
        <w:tc>
          <w:tcPr>
            <w:tcW w:w="440" w:type="pct"/>
            <w:tcBorders>
              <w:top w:val="single" w:sz="4" w:space="0" w:color="auto"/>
              <w:bottom w:val="single" w:sz="4" w:space="0" w:color="auto"/>
            </w:tcBorders>
          </w:tcPr>
          <w:p w:rsidR="00035233" w:rsidRDefault="00035233" w:rsidP="00035233">
            <w:pPr>
              <w:pStyle w:val="05Tabletext"/>
              <w:jc w:val="center"/>
            </w:pPr>
            <w:r>
              <w:t>&lt;0.001</w:t>
            </w:r>
          </w:p>
        </w:tc>
      </w:tr>
      <w:tr w:rsidR="00035233" w:rsidRPr="00194011" w:rsidTr="00035233">
        <w:trPr>
          <w:cantSplit/>
        </w:trPr>
        <w:tc>
          <w:tcPr>
            <w:tcW w:w="1249" w:type="pct"/>
            <w:tcBorders>
              <w:top w:val="single" w:sz="4" w:space="0" w:color="auto"/>
              <w:bottom w:val="single" w:sz="4" w:space="0" w:color="auto"/>
            </w:tcBorders>
            <w:shd w:val="clear" w:color="auto" w:fill="000000"/>
          </w:tcPr>
          <w:p w:rsidR="00035233" w:rsidRPr="00581A1D" w:rsidRDefault="00035233" w:rsidP="00035233">
            <w:pPr>
              <w:pStyle w:val="04Tablesubheading"/>
              <w:rPr>
                <w:vertAlign w:val="superscript"/>
              </w:rPr>
            </w:pPr>
            <w:r>
              <w:t>Post hoc analysis of trough FEV</w:t>
            </w:r>
            <w:r>
              <w:rPr>
                <w:vertAlign w:val="subscript"/>
              </w:rPr>
              <w:t>1</w:t>
            </w:r>
            <w:r>
              <w:t xml:space="preserve"> by ICS/LABA subgroup</w:t>
            </w:r>
            <w:r>
              <w:rPr>
                <w:vertAlign w:val="superscript"/>
              </w:rPr>
              <w:t>a</w:t>
            </w:r>
          </w:p>
        </w:tc>
        <w:tc>
          <w:tcPr>
            <w:tcW w:w="608" w:type="pct"/>
            <w:tcBorders>
              <w:top w:val="single" w:sz="4" w:space="0" w:color="auto"/>
              <w:bottom w:val="single" w:sz="4" w:space="0" w:color="auto"/>
            </w:tcBorders>
            <w:shd w:val="clear" w:color="auto" w:fill="000000"/>
          </w:tcPr>
          <w:p w:rsidR="00035233" w:rsidRDefault="00035233" w:rsidP="00035233">
            <w:pPr>
              <w:pStyle w:val="04Tablesubheading"/>
            </w:pPr>
          </w:p>
        </w:tc>
        <w:tc>
          <w:tcPr>
            <w:tcW w:w="608" w:type="pct"/>
            <w:tcBorders>
              <w:top w:val="single" w:sz="4" w:space="0" w:color="auto"/>
              <w:bottom w:val="single" w:sz="4" w:space="0" w:color="auto"/>
            </w:tcBorders>
            <w:shd w:val="clear" w:color="auto" w:fill="000000"/>
          </w:tcPr>
          <w:p w:rsidR="00035233" w:rsidRDefault="00035233" w:rsidP="00035233">
            <w:pPr>
              <w:pStyle w:val="04Tablesubheading"/>
            </w:pPr>
          </w:p>
        </w:tc>
        <w:tc>
          <w:tcPr>
            <w:tcW w:w="608" w:type="pct"/>
            <w:tcBorders>
              <w:top w:val="single" w:sz="4" w:space="0" w:color="auto"/>
              <w:bottom w:val="single" w:sz="4" w:space="0" w:color="auto"/>
            </w:tcBorders>
            <w:shd w:val="clear" w:color="auto" w:fill="000000"/>
          </w:tcPr>
          <w:p w:rsidR="00035233" w:rsidRDefault="00035233" w:rsidP="00035233">
            <w:pPr>
              <w:pStyle w:val="04Tablesubheading"/>
            </w:pPr>
          </w:p>
        </w:tc>
        <w:tc>
          <w:tcPr>
            <w:tcW w:w="608" w:type="pct"/>
            <w:tcBorders>
              <w:top w:val="single" w:sz="4" w:space="0" w:color="auto"/>
              <w:bottom w:val="single" w:sz="4" w:space="0" w:color="auto"/>
            </w:tcBorders>
            <w:shd w:val="clear" w:color="auto" w:fill="000000"/>
          </w:tcPr>
          <w:p w:rsidR="00035233" w:rsidRDefault="00035233" w:rsidP="00035233">
            <w:pPr>
              <w:pStyle w:val="04Tablesubheading"/>
            </w:pPr>
          </w:p>
        </w:tc>
        <w:tc>
          <w:tcPr>
            <w:tcW w:w="879" w:type="pct"/>
            <w:tcBorders>
              <w:top w:val="single" w:sz="4" w:space="0" w:color="auto"/>
              <w:bottom w:val="single" w:sz="4" w:space="0" w:color="auto"/>
            </w:tcBorders>
            <w:shd w:val="clear" w:color="auto" w:fill="000000"/>
          </w:tcPr>
          <w:p w:rsidR="00035233" w:rsidRDefault="00035233" w:rsidP="00035233">
            <w:pPr>
              <w:pStyle w:val="04Tablesubheading"/>
            </w:pPr>
          </w:p>
        </w:tc>
        <w:tc>
          <w:tcPr>
            <w:tcW w:w="440" w:type="pct"/>
            <w:tcBorders>
              <w:top w:val="single" w:sz="4" w:space="0" w:color="auto"/>
              <w:bottom w:val="single" w:sz="4" w:space="0" w:color="auto"/>
            </w:tcBorders>
            <w:shd w:val="clear" w:color="auto" w:fill="000000"/>
          </w:tcPr>
          <w:p w:rsidR="00035233" w:rsidRDefault="00035233" w:rsidP="00035233">
            <w:pPr>
              <w:pStyle w:val="04Tablesubheading"/>
            </w:pPr>
          </w:p>
        </w:tc>
      </w:tr>
      <w:tr w:rsidR="00035233" w:rsidRPr="00194011" w:rsidTr="00035233">
        <w:trPr>
          <w:cantSplit/>
        </w:trPr>
        <w:tc>
          <w:tcPr>
            <w:tcW w:w="1249" w:type="pct"/>
            <w:tcBorders>
              <w:top w:val="single" w:sz="4" w:space="0" w:color="auto"/>
              <w:bottom w:val="single" w:sz="4" w:space="0" w:color="auto"/>
            </w:tcBorders>
            <w:shd w:val="clear" w:color="auto" w:fill="auto"/>
          </w:tcPr>
          <w:p w:rsidR="00035233" w:rsidRDefault="00035233" w:rsidP="00035233">
            <w:pPr>
              <w:pStyle w:val="05Tabletext"/>
            </w:pPr>
            <w:r>
              <w:t xml:space="preserve">FLU/SAL </w:t>
            </w:r>
          </w:p>
        </w:tc>
        <w:tc>
          <w:tcPr>
            <w:tcW w:w="608" w:type="pct"/>
            <w:tcBorders>
              <w:top w:val="single" w:sz="4" w:space="0" w:color="auto"/>
              <w:bottom w:val="single" w:sz="4" w:space="0" w:color="auto"/>
            </w:tcBorders>
            <w:shd w:val="clear" w:color="auto" w:fill="auto"/>
          </w:tcPr>
          <w:p w:rsidR="00035233" w:rsidRDefault="00035233" w:rsidP="00035233">
            <w:pPr>
              <w:pStyle w:val="05Tabletext"/>
              <w:jc w:val="center"/>
            </w:pPr>
            <w:r>
              <w:t>42</w:t>
            </w:r>
          </w:p>
        </w:tc>
        <w:tc>
          <w:tcPr>
            <w:tcW w:w="608" w:type="pct"/>
            <w:tcBorders>
              <w:top w:val="single" w:sz="4" w:space="0" w:color="auto"/>
              <w:bottom w:val="single" w:sz="4" w:space="0" w:color="auto"/>
            </w:tcBorders>
            <w:shd w:val="clear" w:color="auto" w:fill="auto"/>
          </w:tcPr>
          <w:p w:rsidR="00035233" w:rsidRDefault="00035233" w:rsidP="00035233">
            <w:pPr>
              <w:pStyle w:val="05Tabletext"/>
              <w:jc w:val="center"/>
            </w:pPr>
            <w:r>
              <w:t>-</w:t>
            </w:r>
          </w:p>
        </w:tc>
        <w:tc>
          <w:tcPr>
            <w:tcW w:w="608" w:type="pct"/>
            <w:tcBorders>
              <w:top w:val="single" w:sz="4" w:space="0" w:color="auto"/>
              <w:bottom w:val="single" w:sz="4" w:space="0" w:color="auto"/>
            </w:tcBorders>
            <w:shd w:val="clear" w:color="auto" w:fill="auto"/>
          </w:tcPr>
          <w:p w:rsidR="00035233" w:rsidRDefault="00035233" w:rsidP="00035233">
            <w:pPr>
              <w:pStyle w:val="05Tabletext"/>
              <w:jc w:val="center"/>
            </w:pPr>
            <w:r>
              <w:t>42</w:t>
            </w:r>
          </w:p>
        </w:tc>
        <w:tc>
          <w:tcPr>
            <w:tcW w:w="608" w:type="pct"/>
            <w:tcBorders>
              <w:top w:val="single" w:sz="4" w:space="0" w:color="auto"/>
              <w:bottom w:val="single" w:sz="4" w:space="0" w:color="auto"/>
            </w:tcBorders>
            <w:shd w:val="clear" w:color="auto" w:fill="auto"/>
          </w:tcPr>
          <w:p w:rsidR="00035233" w:rsidRDefault="00035233" w:rsidP="00035233">
            <w:pPr>
              <w:pStyle w:val="05Tabletext"/>
              <w:jc w:val="center"/>
            </w:pPr>
            <w:r>
              <w:t>-</w:t>
            </w:r>
          </w:p>
        </w:tc>
        <w:tc>
          <w:tcPr>
            <w:tcW w:w="879" w:type="pct"/>
            <w:tcBorders>
              <w:top w:val="single" w:sz="4" w:space="0" w:color="auto"/>
              <w:bottom w:val="single" w:sz="4" w:space="0" w:color="auto"/>
            </w:tcBorders>
            <w:shd w:val="clear" w:color="auto" w:fill="auto"/>
          </w:tcPr>
          <w:p w:rsidR="00035233" w:rsidRDefault="00035233" w:rsidP="00035233">
            <w:pPr>
              <w:pStyle w:val="05Tabletext"/>
              <w:jc w:val="center"/>
            </w:pPr>
            <w:r>
              <w:t>156 (77, 235)</w:t>
            </w:r>
          </w:p>
        </w:tc>
        <w:tc>
          <w:tcPr>
            <w:tcW w:w="440" w:type="pct"/>
            <w:tcBorders>
              <w:top w:val="single" w:sz="4" w:space="0" w:color="auto"/>
              <w:bottom w:val="single" w:sz="4" w:space="0" w:color="auto"/>
            </w:tcBorders>
          </w:tcPr>
          <w:p w:rsidR="00035233" w:rsidRDefault="00035233" w:rsidP="00035233">
            <w:pPr>
              <w:pStyle w:val="05Tabletext"/>
              <w:jc w:val="center"/>
            </w:pPr>
            <w:r>
              <w:t>&lt;0.001</w:t>
            </w:r>
          </w:p>
        </w:tc>
      </w:tr>
      <w:tr w:rsidR="00035233" w:rsidRPr="00194011" w:rsidTr="00035233">
        <w:trPr>
          <w:cantSplit/>
        </w:trPr>
        <w:tc>
          <w:tcPr>
            <w:tcW w:w="1249" w:type="pct"/>
            <w:tcBorders>
              <w:top w:val="single" w:sz="4" w:space="0" w:color="auto"/>
              <w:bottom w:val="single" w:sz="4" w:space="0" w:color="auto"/>
            </w:tcBorders>
            <w:shd w:val="clear" w:color="auto" w:fill="auto"/>
          </w:tcPr>
          <w:p w:rsidR="00035233" w:rsidRDefault="00035233" w:rsidP="00035233">
            <w:pPr>
              <w:pStyle w:val="05Tabletext"/>
            </w:pPr>
            <w:r>
              <w:t xml:space="preserve">BUD/EFO </w:t>
            </w:r>
          </w:p>
        </w:tc>
        <w:tc>
          <w:tcPr>
            <w:tcW w:w="608" w:type="pct"/>
            <w:tcBorders>
              <w:top w:val="single" w:sz="4" w:space="0" w:color="auto"/>
              <w:bottom w:val="single" w:sz="4" w:space="0" w:color="auto"/>
            </w:tcBorders>
            <w:shd w:val="clear" w:color="auto" w:fill="auto"/>
          </w:tcPr>
          <w:p w:rsidR="00035233" w:rsidRDefault="00035233" w:rsidP="00035233">
            <w:pPr>
              <w:pStyle w:val="05Tabletext"/>
              <w:jc w:val="center"/>
            </w:pPr>
            <w:r>
              <w:t>49</w:t>
            </w:r>
          </w:p>
        </w:tc>
        <w:tc>
          <w:tcPr>
            <w:tcW w:w="608" w:type="pct"/>
            <w:tcBorders>
              <w:top w:val="single" w:sz="4" w:space="0" w:color="auto"/>
              <w:bottom w:val="single" w:sz="4" w:space="0" w:color="auto"/>
            </w:tcBorders>
            <w:shd w:val="clear" w:color="auto" w:fill="auto"/>
          </w:tcPr>
          <w:p w:rsidR="00035233" w:rsidRDefault="00035233" w:rsidP="00035233">
            <w:pPr>
              <w:pStyle w:val="05Tabletext"/>
              <w:jc w:val="center"/>
            </w:pPr>
            <w:r>
              <w:t>-</w:t>
            </w:r>
          </w:p>
        </w:tc>
        <w:tc>
          <w:tcPr>
            <w:tcW w:w="608" w:type="pct"/>
            <w:tcBorders>
              <w:top w:val="single" w:sz="4" w:space="0" w:color="auto"/>
              <w:bottom w:val="single" w:sz="4" w:space="0" w:color="auto"/>
            </w:tcBorders>
            <w:shd w:val="clear" w:color="auto" w:fill="auto"/>
          </w:tcPr>
          <w:p w:rsidR="00035233" w:rsidRDefault="00035233" w:rsidP="00035233">
            <w:pPr>
              <w:pStyle w:val="05Tabletext"/>
              <w:jc w:val="center"/>
            </w:pPr>
            <w:r>
              <w:t>49</w:t>
            </w:r>
          </w:p>
        </w:tc>
        <w:tc>
          <w:tcPr>
            <w:tcW w:w="608" w:type="pct"/>
            <w:tcBorders>
              <w:top w:val="single" w:sz="4" w:space="0" w:color="auto"/>
              <w:bottom w:val="single" w:sz="4" w:space="0" w:color="auto"/>
            </w:tcBorders>
            <w:shd w:val="clear" w:color="auto" w:fill="auto"/>
          </w:tcPr>
          <w:p w:rsidR="00035233" w:rsidRDefault="00035233" w:rsidP="00035233">
            <w:pPr>
              <w:pStyle w:val="05Tabletext"/>
              <w:jc w:val="center"/>
            </w:pPr>
            <w:r>
              <w:t>-</w:t>
            </w:r>
          </w:p>
        </w:tc>
        <w:tc>
          <w:tcPr>
            <w:tcW w:w="879" w:type="pct"/>
            <w:tcBorders>
              <w:top w:val="single" w:sz="4" w:space="0" w:color="auto"/>
              <w:bottom w:val="single" w:sz="4" w:space="0" w:color="auto"/>
            </w:tcBorders>
            <w:shd w:val="clear" w:color="auto" w:fill="auto"/>
          </w:tcPr>
          <w:p w:rsidR="00035233" w:rsidRDefault="00035233" w:rsidP="00035233">
            <w:pPr>
              <w:pStyle w:val="05Tabletext"/>
              <w:jc w:val="center"/>
            </w:pPr>
            <w:r>
              <w:t>130 (55, 204)</w:t>
            </w:r>
          </w:p>
        </w:tc>
        <w:tc>
          <w:tcPr>
            <w:tcW w:w="440" w:type="pct"/>
            <w:tcBorders>
              <w:top w:val="single" w:sz="4" w:space="0" w:color="auto"/>
              <w:bottom w:val="single" w:sz="4" w:space="0" w:color="auto"/>
            </w:tcBorders>
          </w:tcPr>
          <w:p w:rsidR="00035233" w:rsidRDefault="00035233" w:rsidP="00035233">
            <w:pPr>
              <w:pStyle w:val="05Tabletext"/>
              <w:jc w:val="center"/>
            </w:pPr>
            <w:r>
              <w:t>&lt;0.001</w:t>
            </w:r>
          </w:p>
        </w:tc>
      </w:tr>
      <w:tr w:rsidR="00035233" w:rsidRPr="00194011" w:rsidTr="00035233">
        <w:trPr>
          <w:cantSplit/>
        </w:trPr>
        <w:tc>
          <w:tcPr>
            <w:tcW w:w="1249" w:type="pct"/>
            <w:tcBorders>
              <w:top w:val="single" w:sz="4" w:space="0" w:color="auto"/>
              <w:bottom w:val="single" w:sz="4" w:space="0" w:color="auto"/>
            </w:tcBorders>
            <w:shd w:val="clear" w:color="auto" w:fill="auto"/>
          </w:tcPr>
          <w:p w:rsidR="00035233" w:rsidRPr="0029709B" w:rsidRDefault="00035233" w:rsidP="00035233">
            <w:pPr>
              <w:pStyle w:val="05Tabletext"/>
              <w:rPr>
                <w:vertAlign w:val="superscript"/>
              </w:rPr>
            </w:pPr>
            <w:r>
              <w:t>Other ICS/LABA combinations</w:t>
            </w:r>
            <w:r>
              <w:rPr>
                <w:vertAlign w:val="superscript"/>
              </w:rPr>
              <w:t>b</w:t>
            </w:r>
          </w:p>
        </w:tc>
        <w:tc>
          <w:tcPr>
            <w:tcW w:w="608" w:type="pct"/>
            <w:tcBorders>
              <w:top w:val="single" w:sz="4" w:space="0" w:color="auto"/>
              <w:bottom w:val="single" w:sz="4" w:space="0" w:color="auto"/>
            </w:tcBorders>
            <w:shd w:val="clear" w:color="auto" w:fill="auto"/>
          </w:tcPr>
          <w:p w:rsidR="00035233" w:rsidRDefault="00035233" w:rsidP="00035233">
            <w:pPr>
              <w:pStyle w:val="05Tabletext"/>
              <w:jc w:val="center"/>
            </w:pPr>
            <w:r>
              <w:t>19</w:t>
            </w:r>
          </w:p>
        </w:tc>
        <w:tc>
          <w:tcPr>
            <w:tcW w:w="608" w:type="pct"/>
            <w:tcBorders>
              <w:top w:val="single" w:sz="4" w:space="0" w:color="auto"/>
              <w:bottom w:val="single" w:sz="4" w:space="0" w:color="auto"/>
            </w:tcBorders>
            <w:shd w:val="clear" w:color="auto" w:fill="auto"/>
          </w:tcPr>
          <w:p w:rsidR="00035233" w:rsidRDefault="00035233" w:rsidP="00035233">
            <w:pPr>
              <w:pStyle w:val="05Tabletext"/>
              <w:jc w:val="center"/>
            </w:pPr>
            <w:r>
              <w:t>-</w:t>
            </w:r>
          </w:p>
        </w:tc>
        <w:tc>
          <w:tcPr>
            <w:tcW w:w="608" w:type="pct"/>
            <w:tcBorders>
              <w:top w:val="single" w:sz="4" w:space="0" w:color="auto"/>
              <w:bottom w:val="single" w:sz="4" w:space="0" w:color="auto"/>
            </w:tcBorders>
            <w:shd w:val="clear" w:color="auto" w:fill="auto"/>
          </w:tcPr>
          <w:p w:rsidR="00035233" w:rsidRDefault="00035233" w:rsidP="00035233">
            <w:pPr>
              <w:pStyle w:val="05Tabletext"/>
              <w:jc w:val="center"/>
            </w:pPr>
            <w:r>
              <w:t>18</w:t>
            </w:r>
          </w:p>
        </w:tc>
        <w:tc>
          <w:tcPr>
            <w:tcW w:w="608" w:type="pct"/>
            <w:tcBorders>
              <w:top w:val="single" w:sz="4" w:space="0" w:color="auto"/>
              <w:bottom w:val="single" w:sz="4" w:space="0" w:color="auto"/>
            </w:tcBorders>
            <w:shd w:val="clear" w:color="auto" w:fill="auto"/>
          </w:tcPr>
          <w:p w:rsidR="00035233" w:rsidRDefault="00035233" w:rsidP="00035233">
            <w:pPr>
              <w:pStyle w:val="05Tabletext"/>
              <w:jc w:val="center"/>
            </w:pPr>
            <w:r>
              <w:t>-</w:t>
            </w:r>
          </w:p>
        </w:tc>
        <w:tc>
          <w:tcPr>
            <w:tcW w:w="879" w:type="pct"/>
            <w:tcBorders>
              <w:top w:val="single" w:sz="4" w:space="0" w:color="auto"/>
              <w:bottom w:val="single" w:sz="4" w:space="0" w:color="auto"/>
            </w:tcBorders>
            <w:shd w:val="clear" w:color="auto" w:fill="auto"/>
          </w:tcPr>
          <w:p w:rsidR="00035233" w:rsidRDefault="00035233" w:rsidP="00035233">
            <w:pPr>
              <w:pStyle w:val="05Tabletext"/>
              <w:jc w:val="center"/>
            </w:pPr>
            <w:r>
              <w:t>50 (–106, 207)</w:t>
            </w:r>
          </w:p>
        </w:tc>
        <w:tc>
          <w:tcPr>
            <w:tcW w:w="440" w:type="pct"/>
            <w:tcBorders>
              <w:top w:val="single" w:sz="4" w:space="0" w:color="auto"/>
              <w:bottom w:val="single" w:sz="4" w:space="0" w:color="auto"/>
            </w:tcBorders>
          </w:tcPr>
          <w:p w:rsidR="00035233" w:rsidRDefault="00035233" w:rsidP="00035233">
            <w:pPr>
              <w:pStyle w:val="05Tabletext"/>
              <w:jc w:val="center"/>
            </w:pPr>
            <w:r>
              <w:t>0.519</w:t>
            </w:r>
          </w:p>
        </w:tc>
      </w:tr>
    </w:tbl>
    <w:p w:rsidR="00035233" w:rsidRDefault="00035233" w:rsidP="00035233">
      <w:pPr>
        <w:pStyle w:val="10TableorFigurefootnote"/>
      </w:pPr>
      <w:r>
        <w:t>Source: Sousa et al (2016), Table 2.</w:t>
      </w:r>
    </w:p>
    <w:p w:rsidR="00035233" w:rsidRDefault="00035233" w:rsidP="00035233">
      <w:pPr>
        <w:pStyle w:val="10TableorFigurefootnote"/>
      </w:pPr>
      <w:r>
        <w:t>Abbreviations: BUD, budesonide; CI, confidence interval; EFO, eformoterol; FEV</w:t>
      </w:r>
      <w:r w:rsidRPr="00E123E3">
        <w:rPr>
          <w:vertAlign w:val="subscript"/>
        </w:rPr>
        <w:t>1</w:t>
      </w:r>
      <w:r>
        <w:t>, forced expiratory volume in one second; FLU, fluticasone; ICS, inhaled corticosteroid; LABA, long-acting beta-agonist; LS, least squares; PBO, placebo; SAL, salmeterol; SE, standard error; UME, umeclidinium.</w:t>
      </w:r>
    </w:p>
    <w:p w:rsidR="00035233" w:rsidRDefault="00035233" w:rsidP="00035233">
      <w:pPr>
        <w:pStyle w:val="10TableorFigurefootnote"/>
      </w:pPr>
      <w:r>
        <w:t>Note: T</w:t>
      </w:r>
      <w:r w:rsidRPr="003F67A0">
        <w:t>rough FEV</w:t>
      </w:r>
      <w:r w:rsidRPr="003F67A0">
        <w:rPr>
          <w:vertAlign w:val="subscript"/>
        </w:rPr>
        <w:t>1</w:t>
      </w:r>
      <w:r w:rsidRPr="003F67A0">
        <w:t xml:space="preserve"> at </w:t>
      </w:r>
      <w:r>
        <w:t>D</w:t>
      </w:r>
      <w:r w:rsidRPr="003F67A0">
        <w:t>ay 85 was analysed for the ITT population using a mixed model repeated measures analysis, including trough FEV</w:t>
      </w:r>
      <w:r w:rsidRPr="003F67A0">
        <w:rPr>
          <w:vertAlign w:val="subscript"/>
        </w:rPr>
        <w:t>1</w:t>
      </w:r>
      <w:r>
        <w:t xml:space="preserve"> recorded at each of d</w:t>
      </w:r>
      <w:r w:rsidRPr="003F67A0">
        <w:t>ays 2, 28, 56, 84 and 85. The model included covariates of baseline FEV</w:t>
      </w:r>
      <w:r w:rsidRPr="003F67A0">
        <w:rPr>
          <w:vertAlign w:val="subscript"/>
        </w:rPr>
        <w:t>1</w:t>
      </w:r>
      <w:r w:rsidRPr="003F67A0">
        <w:t>, type of ICS/LABA (FP/SAL, BD/FOR or other), smoking status, day, treatment and day-by-baseline interaction, where day is nominal. A day-by-treatment interaction term was also included to allow treatment effects to be estimated at each visit separately.</w:t>
      </w:r>
    </w:p>
    <w:p w:rsidR="00035233" w:rsidRPr="00B20B17" w:rsidRDefault="00035233" w:rsidP="00035233">
      <w:pPr>
        <w:pStyle w:val="10TableorFigurefootnote"/>
      </w:pPr>
      <w:proofErr w:type="gramStart"/>
      <w:r w:rsidRPr="00B20B17">
        <w:rPr>
          <w:b/>
        </w:rPr>
        <w:t>a</w:t>
      </w:r>
      <w:proofErr w:type="gramEnd"/>
      <w:r w:rsidRPr="00B20B17">
        <w:rPr>
          <w:b/>
        </w:rPr>
        <w:t xml:space="preserve"> </w:t>
      </w:r>
      <w:r>
        <w:t>The study was not powered to detect differences between ICS/LABA subgroups.</w:t>
      </w:r>
    </w:p>
    <w:p w:rsidR="00035233" w:rsidRDefault="00035233" w:rsidP="00035233">
      <w:pPr>
        <w:pStyle w:val="11TableorFigurefootnotenostick"/>
      </w:pPr>
      <w:proofErr w:type="gramStart"/>
      <w:r>
        <w:rPr>
          <w:b/>
        </w:rPr>
        <w:t>b</w:t>
      </w:r>
      <w:proofErr w:type="gramEnd"/>
      <w:r>
        <w:t xml:space="preserve"> Not including fluticasone</w:t>
      </w:r>
      <w:r w:rsidR="00CF1318">
        <w:t xml:space="preserve"> propionate</w:t>
      </w:r>
      <w:r>
        <w:t>/salmeterol 250/50 μg or fluticasone</w:t>
      </w:r>
      <w:r w:rsidR="00CF1318">
        <w:t xml:space="preserve"> furoate</w:t>
      </w:r>
      <w:r>
        <w:t>/vilanterol 100/25 μg.</w:t>
      </w:r>
    </w:p>
    <w:p w:rsidR="00035233" w:rsidRPr="000D37A2" w:rsidRDefault="00411D11" w:rsidP="00251CB8">
      <w:pPr>
        <w:pStyle w:val="ToR3Figureheader"/>
      </w:pPr>
      <w:bookmarkStart w:id="538" w:name="_Toc468028706"/>
      <w:bookmarkStart w:id="539" w:name="_Toc468034528"/>
      <w:bookmarkStart w:id="540" w:name="_Toc471891141"/>
      <w:bookmarkStart w:id="541" w:name="_Toc480375168"/>
      <w:bookmarkStart w:id="542" w:name="_Toc486428274"/>
      <w:r>
        <w:t>Figure</w:t>
      </w:r>
      <w:r w:rsidR="00557A6E">
        <w:t xml:space="preserve"> 3.11</w:t>
      </w:r>
      <w:r w:rsidR="00035233">
        <w:tab/>
        <w:t>LS mean (95% CI) change from baseline in trough FEV</w:t>
      </w:r>
      <w:r w:rsidR="00035233">
        <w:rPr>
          <w:vertAlign w:val="subscript"/>
        </w:rPr>
        <w:t>1</w:t>
      </w:r>
      <w:r w:rsidR="00035233">
        <w:t xml:space="preserve"> – ITT population</w:t>
      </w:r>
      <w:bookmarkEnd w:id="538"/>
      <w:bookmarkEnd w:id="539"/>
      <w:bookmarkEnd w:id="540"/>
      <w:bookmarkEnd w:id="541"/>
      <w:bookmarkEnd w:id="542"/>
    </w:p>
    <w:p w:rsidR="00035233" w:rsidRDefault="00035233" w:rsidP="00035233">
      <w:pPr>
        <w:pStyle w:val="Picturewithbox"/>
      </w:pPr>
      <w:r>
        <w:rPr>
          <w:noProof/>
          <w:lang w:eastAsia="en-AU"/>
        </w:rPr>
        <w:drawing>
          <wp:inline distT="0" distB="0" distL="0" distR="0" wp14:anchorId="294AC898" wp14:editId="34FE277E">
            <wp:extent cx="5318760" cy="2379345"/>
            <wp:effectExtent l="0" t="0" r="0" b="1905"/>
            <wp:docPr id="12" name="Picture 12" descr="ICS/LABA + placebo versus ICS/LABA + UME" title="LS mean change from baseline in trough FE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ousa Figure"/>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318760" cy="2379345"/>
                    </a:xfrm>
                    <a:prstGeom prst="rect">
                      <a:avLst/>
                    </a:prstGeom>
                    <a:noFill/>
                    <a:ln>
                      <a:noFill/>
                    </a:ln>
                  </pic:spPr>
                </pic:pic>
              </a:graphicData>
            </a:graphic>
          </wp:inline>
        </w:drawing>
      </w:r>
    </w:p>
    <w:p w:rsidR="00035233" w:rsidRDefault="00035233" w:rsidP="00035233">
      <w:pPr>
        <w:pStyle w:val="10TableorFigurefootnote"/>
      </w:pPr>
      <w:r>
        <w:t>Source: Sousa et al (2016), Figure 2.</w:t>
      </w:r>
    </w:p>
    <w:p w:rsidR="00035233" w:rsidRDefault="00035233" w:rsidP="00035233">
      <w:pPr>
        <w:pStyle w:val="11TableorFigurefootnotenostick"/>
      </w:pPr>
      <w:r>
        <w:t>Abbreviations: CI, confidence interval; FEV</w:t>
      </w:r>
      <w:r w:rsidRPr="000D37A2">
        <w:rPr>
          <w:vertAlign w:val="subscript"/>
        </w:rPr>
        <w:t>1</w:t>
      </w:r>
      <w:r>
        <w:t>, forced expiratory volume in 1 s; ICS, inhaled corticosteroid; ITT, intent-to-treat; LS, least squares; LABA, long-acting β2-agonist; PBO, placebo; UMEC, umeclidinium.</w:t>
      </w:r>
    </w:p>
    <w:p w:rsidR="00035233" w:rsidRPr="009E244D" w:rsidRDefault="00035233" w:rsidP="00557A6E">
      <w:pPr>
        <w:pStyle w:val="BodyText"/>
      </w:pPr>
      <w:r>
        <w:t>The proportion of patients that achieved an increase in trough FEV</w:t>
      </w:r>
      <w:r>
        <w:rPr>
          <w:vertAlign w:val="subscript"/>
        </w:rPr>
        <w:t>1</w:t>
      </w:r>
      <w:r>
        <w:t xml:space="preserve"> of ≥0.100 L was also substantially higher with triple therapy compared with dual therapy (see </w:t>
      </w:r>
      <w:r w:rsidR="003A4D41">
        <w:t>Table 3.8</w:t>
      </w:r>
      <w:r w:rsidR="00411D11">
        <w:t>3</w:t>
      </w:r>
      <w:r>
        <w:t>).</w:t>
      </w:r>
    </w:p>
    <w:p w:rsidR="00035233" w:rsidRPr="00EF1FE8" w:rsidRDefault="003A4D41" w:rsidP="00557A6E">
      <w:pPr>
        <w:pStyle w:val="ToR3Tableheader"/>
        <w:keepNext w:val="0"/>
      </w:pPr>
      <w:bookmarkStart w:id="543" w:name="_Toc468028707"/>
      <w:bookmarkStart w:id="544" w:name="_Toc468034529"/>
      <w:bookmarkStart w:id="545" w:name="_Toc471891069"/>
      <w:bookmarkStart w:id="546" w:name="_Toc486428262"/>
      <w:r>
        <w:t>Table 3.8</w:t>
      </w:r>
      <w:r w:rsidR="00411D11">
        <w:t>3</w:t>
      </w:r>
      <w:r w:rsidR="00035233">
        <w:tab/>
        <w:t>Patients achieving an increase in trough FEV</w:t>
      </w:r>
      <w:r w:rsidR="00035233">
        <w:rPr>
          <w:vertAlign w:val="subscript"/>
        </w:rPr>
        <w:t>1</w:t>
      </w:r>
      <w:r w:rsidR="00035233">
        <w:t xml:space="preserve"> of </w:t>
      </w:r>
      <w:r w:rsidR="00035233">
        <w:rPr>
          <w:rFonts w:cs="Arial"/>
        </w:rPr>
        <w:t>≥</w:t>
      </w:r>
      <w:r w:rsidR="00035233">
        <w:t>0.100L above baseline at Day 85 – ITT population</w:t>
      </w:r>
      <w:bookmarkEnd w:id="543"/>
      <w:bookmarkEnd w:id="544"/>
      <w:bookmarkEnd w:id="545"/>
      <w:bookmarkEnd w:id="5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Caption w:val="Patients achieving an increase in trough FEV1"/>
        <w:tblDescription w:val="ICS/LABA + placebo versus ICS/LABA + UME"/>
      </w:tblPr>
      <w:tblGrid>
        <w:gridCol w:w="2981"/>
        <w:gridCol w:w="2198"/>
        <w:gridCol w:w="2198"/>
        <w:gridCol w:w="1275"/>
        <w:gridCol w:w="996"/>
      </w:tblGrid>
      <w:tr w:rsidR="00035233" w:rsidRPr="00194011" w:rsidTr="00035233">
        <w:trPr>
          <w:cantSplit/>
          <w:tblHeader/>
        </w:trPr>
        <w:tc>
          <w:tcPr>
            <w:tcW w:w="1545" w:type="pct"/>
            <w:tcBorders>
              <w:bottom w:val="single" w:sz="4" w:space="0" w:color="auto"/>
            </w:tcBorders>
            <w:shd w:val="clear" w:color="auto" w:fill="BFBFBF"/>
          </w:tcPr>
          <w:p w:rsidR="00035233" w:rsidRPr="00424904" w:rsidRDefault="00035233" w:rsidP="00557A6E">
            <w:pPr>
              <w:pStyle w:val="01TableHEADINGleftaligned"/>
              <w:keepNext w:val="0"/>
            </w:pPr>
            <w:r w:rsidRPr="001E0882">
              <w:t>Trough</w:t>
            </w:r>
            <w:r>
              <w:t xml:space="preserve"> FEV</w:t>
            </w:r>
            <w:r w:rsidRPr="00E123E3">
              <w:rPr>
                <w:vertAlign w:val="subscript"/>
              </w:rPr>
              <w:t>1</w:t>
            </w:r>
            <w:r>
              <w:t xml:space="preserve"> ≥0.100L above baseline</w:t>
            </w:r>
          </w:p>
        </w:tc>
        <w:tc>
          <w:tcPr>
            <w:tcW w:w="1139" w:type="pct"/>
            <w:tcBorders>
              <w:bottom w:val="single" w:sz="4" w:space="0" w:color="auto"/>
              <w:right w:val="single" w:sz="4" w:space="0" w:color="auto"/>
            </w:tcBorders>
            <w:shd w:val="clear" w:color="auto" w:fill="BFBFBF"/>
          </w:tcPr>
          <w:p w:rsidR="00035233" w:rsidRPr="001E0882" w:rsidRDefault="00035233" w:rsidP="00557A6E">
            <w:pPr>
              <w:pStyle w:val="01TableHEADINGleftaligned"/>
              <w:keepNext w:val="0"/>
              <w:ind w:right="0"/>
              <w:jc w:val="center"/>
              <w:rPr>
                <w:b w:val="0"/>
              </w:rPr>
            </w:pPr>
            <w:r>
              <w:t>ICS/LABA+PBO (N=117)</w:t>
            </w:r>
          </w:p>
        </w:tc>
        <w:tc>
          <w:tcPr>
            <w:tcW w:w="1139" w:type="pct"/>
            <w:tcBorders>
              <w:left w:val="single" w:sz="4" w:space="0" w:color="auto"/>
              <w:bottom w:val="single" w:sz="4" w:space="0" w:color="auto"/>
              <w:right w:val="single" w:sz="4" w:space="0" w:color="auto"/>
            </w:tcBorders>
            <w:shd w:val="clear" w:color="auto" w:fill="BFBFBF"/>
          </w:tcPr>
          <w:p w:rsidR="00035233" w:rsidRPr="001E0882" w:rsidRDefault="00035233" w:rsidP="00557A6E">
            <w:pPr>
              <w:pStyle w:val="01TableHEADINGleftaligned"/>
              <w:keepNext w:val="0"/>
              <w:ind w:left="28"/>
              <w:jc w:val="center"/>
              <w:rPr>
                <w:b w:val="0"/>
              </w:rPr>
            </w:pPr>
            <w:r>
              <w:t>ICS/LABA+UME (N=119)</w:t>
            </w:r>
          </w:p>
        </w:tc>
        <w:tc>
          <w:tcPr>
            <w:tcW w:w="661" w:type="pct"/>
            <w:tcBorders>
              <w:left w:val="single" w:sz="4" w:space="0" w:color="auto"/>
              <w:bottom w:val="single" w:sz="4" w:space="0" w:color="auto"/>
              <w:right w:val="single" w:sz="4" w:space="0" w:color="auto"/>
            </w:tcBorders>
            <w:shd w:val="clear" w:color="auto" w:fill="BFBFBF"/>
          </w:tcPr>
          <w:p w:rsidR="00035233" w:rsidRPr="001069B5" w:rsidRDefault="00035233" w:rsidP="00557A6E">
            <w:pPr>
              <w:pStyle w:val="01TableHEADINGleftaligned"/>
              <w:keepNext w:val="0"/>
              <w:jc w:val="center"/>
              <w:rPr>
                <w:vertAlign w:val="superscript"/>
              </w:rPr>
            </w:pPr>
            <w:r>
              <w:t>OR (95% CI)</w:t>
            </w:r>
          </w:p>
        </w:tc>
        <w:tc>
          <w:tcPr>
            <w:tcW w:w="516" w:type="pct"/>
            <w:tcBorders>
              <w:left w:val="single" w:sz="4" w:space="0" w:color="auto"/>
              <w:bottom w:val="single" w:sz="4" w:space="0" w:color="auto"/>
            </w:tcBorders>
            <w:shd w:val="clear" w:color="auto" w:fill="BFBFBF"/>
          </w:tcPr>
          <w:p w:rsidR="00035233" w:rsidRPr="00194011" w:rsidRDefault="00035233" w:rsidP="00557A6E">
            <w:pPr>
              <w:pStyle w:val="01TableHEADINGleftaligned"/>
              <w:keepNext w:val="0"/>
              <w:jc w:val="center"/>
            </w:pPr>
            <w:r>
              <w:t>p-value</w:t>
            </w:r>
          </w:p>
        </w:tc>
      </w:tr>
      <w:tr w:rsidR="00035233" w:rsidRPr="00194011" w:rsidTr="00035233">
        <w:trPr>
          <w:cantSplit/>
        </w:trPr>
        <w:tc>
          <w:tcPr>
            <w:tcW w:w="1545" w:type="pct"/>
            <w:tcBorders>
              <w:bottom w:val="single" w:sz="4" w:space="0" w:color="auto"/>
            </w:tcBorders>
            <w:shd w:val="clear" w:color="auto" w:fill="auto"/>
          </w:tcPr>
          <w:p w:rsidR="00035233" w:rsidRPr="00424904" w:rsidRDefault="00035233" w:rsidP="00557A6E">
            <w:pPr>
              <w:pStyle w:val="05Tabletext"/>
            </w:pPr>
            <w:r>
              <w:t xml:space="preserve">Proportion of patients at </w:t>
            </w:r>
            <w:r w:rsidR="004B3085">
              <w:t>D</w:t>
            </w:r>
            <w:r>
              <w:t>ay 85, n/N (%)</w:t>
            </w:r>
          </w:p>
        </w:tc>
        <w:tc>
          <w:tcPr>
            <w:tcW w:w="1139" w:type="pct"/>
            <w:tcBorders>
              <w:bottom w:val="single" w:sz="4" w:space="0" w:color="auto"/>
            </w:tcBorders>
            <w:shd w:val="clear" w:color="auto" w:fill="auto"/>
          </w:tcPr>
          <w:p w:rsidR="00035233" w:rsidRDefault="00035233" w:rsidP="00557A6E">
            <w:pPr>
              <w:pStyle w:val="05Tabletext"/>
              <w:jc w:val="center"/>
            </w:pPr>
            <w:r>
              <w:t>19/117 (16)</w:t>
            </w:r>
          </w:p>
        </w:tc>
        <w:tc>
          <w:tcPr>
            <w:tcW w:w="1139" w:type="pct"/>
            <w:tcBorders>
              <w:bottom w:val="single" w:sz="4" w:space="0" w:color="auto"/>
            </w:tcBorders>
            <w:shd w:val="clear" w:color="auto" w:fill="auto"/>
          </w:tcPr>
          <w:p w:rsidR="00035233" w:rsidRDefault="00035233" w:rsidP="00557A6E">
            <w:pPr>
              <w:pStyle w:val="05Tabletext"/>
              <w:jc w:val="center"/>
            </w:pPr>
            <w:r>
              <w:t>55/119 (46)</w:t>
            </w:r>
          </w:p>
        </w:tc>
        <w:tc>
          <w:tcPr>
            <w:tcW w:w="661" w:type="pct"/>
            <w:tcBorders>
              <w:bottom w:val="single" w:sz="4" w:space="0" w:color="auto"/>
            </w:tcBorders>
            <w:shd w:val="clear" w:color="auto" w:fill="auto"/>
          </w:tcPr>
          <w:p w:rsidR="00035233" w:rsidRPr="00BB209D" w:rsidRDefault="00035233" w:rsidP="00557A6E">
            <w:pPr>
              <w:pStyle w:val="05Tabletext"/>
              <w:jc w:val="center"/>
              <w:rPr>
                <w:vertAlign w:val="superscript"/>
              </w:rPr>
            </w:pPr>
            <w:r>
              <w:t>4.8 (2.6, 9.1)</w:t>
            </w:r>
          </w:p>
        </w:tc>
        <w:tc>
          <w:tcPr>
            <w:tcW w:w="516" w:type="pct"/>
            <w:tcBorders>
              <w:bottom w:val="single" w:sz="4" w:space="0" w:color="auto"/>
            </w:tcBorders>
          </w:tcPr>
          <w:p w:rsidR="00035233" w:rsidRDefault="00035233" w:rsidP="00557A6E">
            <w:pPr>
              <w:pStyle w:val="05Tabletext"/>
              <w:jc w:val="center"/>
            </w:pPr>
            <w:r>
              <w:t>&lt;0.001</w:t>
            </w:r>
          </w:p>
        </w:tc>
      </w:tr>
    </w:tbl>
    <w:p w:rsidR="00035233" w:rsidRDefault="00035233" w:rsidP="00557A6E">
      <w:pPr>
        <w:pStyle w:val="10TableorFigurefootnote"/>
        <w:keepNext w:val="0"/>
      </w:pPr>
      <w:r>
        <w:t>Source: Sousa et al (2016), Table 2.</w:t>
      </w:r>
    </w:p>
    <w:p w:rsidR="00035233" w:rsidRDefault="00035233" w:rsidP="00557A6E">
      <w:pPr>
        <w:pStyle w:val="11TableorFigurefootnotenostick"/>
      </w:pPr>
      <w:r>
        <w:t>Abbreviations: CI, confidence interval; FEV</w:t>
      </w:r>
      <w:r w:rsidRPr="000D37A2">
        <w:rPr>
          <w:vertAlign w:val="subscript"/>
        </w:rPr>
        <w:t>1</w:t>
      </w:r>
      <w:r>
        <w:t>, forced expiratory volume in 1 s; ICS, inhaled corticosteroid; ITT, intent-to-treat; LABA, long-acting β2-agonist; OR, odds ratio; PBO, placebo; UME, umeclidinium.</w:t>
      </w:r>
    </w:p>
    <w:p w:rsidR="00035233" w:rsidRDefault="00035233" w:rsidP="00557A6E">
      <w:pPr>
        <w:pStyle w:val="BodyText"/>
      </w:pPr>
      <w:r>
        <w:t xml:space="preserve">On-treatment </w:t>
      </w:r>
      <w:r w:rsidR="00557A6E">
        <w:t>AE</w:t>
      </w:r>
      <w:r>
        <w:t xml:space="preserve">s were similar between the ICS/LABA </w:t>
      </w:r>
      <w:proofErr w:type="gramStart"/>
      <w:r>
        <w:t>plus</w:t>
      </w:r>
      <w:proofErr w:type="gramEnd"/>
      <w:r>
        <w:t xml:space="preserve"> umeclidinium and ICS/LABA plus placebo treatment groups, as were the number of </w:t>
      </w:r>
      <w:r w:rsidR="00557A6E">
        <w:t>SAE</w:t>
      </w:r>
      <w:r>
        <w:t>s. The number of patients who experienced COPD exacerbations was also balanced between the groups</w:t>
      </w:r>
      <w:r w:rsidR="00411D11">
        <w:t xml:space="preserve"> (see Table 3.84)</w:t>
      </w:r>
      <w:r>
        <w:t>.</w:t>
      </w:r>
    </w:p>
    <w:p w:rsidR="00035233" w:rsidRDefault="003A4D41" w:rsidP="00251CB8">
      <w:pPr>
        <w:pStyle w:val="ToR3Tableheader"/>
      </w:pPr>
      <w:bookmarkStart w:id="547" w:name="_Toc468028708"/>
      <w:bookmarkStart w:id="548" w:name="_Toc468034530"/>
      <w:bookmarkStart w:id="549" w:name="_Toc471891070"/>
      <w:bookmarkStart w:id="550" w:name="_Toc486428263"/>
      <w:r>
        <w:lastRenderedPageBreak/>
        <w:t>Table 3.8</w:t>
      </w:r>
      <w:r w:rsidR="00411D11">
        <w:t>4</w:t>
      </w:r>
      <w:r w:rsidR="00035233">
        <w:tab/>
        <w:t>Summary of safety results relating to ICS/LABA+PBO versus ICS/LABA+UME – ITT population</w:t>
      </w:r>
      <w:bookmarkEnd w:id="547"/>
      <w:bookmarkEnd w:id="548"/>
      <w:bookmarkEnd w:id="549"/>
      <w:bookmarkEnd w:id="55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Caption w:val="Safety results"/>
        <w:tblDescription w:val="ICS/LABA + placebo versus ICS/LABA + UME"/>
      </w:tblPr>
      <w:tblGrid>
        <w:gridCol w:w="2982"/>
        <w:gridCol w:w="1667"/>
        <w:gridCol w:w="1667"/>
        <w:gridCol w:w="1665"/>
        <w:gridCol w:w="1667"/>
      </w:tblGrid>
      <w:tr w:rsidR="00035233" w:rsidRPr="00194011" w:rsidTr="00035233">
        <w:trPr>
          <w:cantSplit/>
          <w:tblHeader/>
        </w:trPr>
        <w:tc>
          <w:tcPr>
            <w:tcW w:w="1545" w:type="pct"/>
            <w:tcBorders>
              <w:bottom w:val="single" w:sz="4" w:space="0" w:color="auto"/>
            </w:tcBorders>
            <w:shd w:val="clear" w:color="auto" w:fill="BFBFBF"/>
          </w:tcPr>
          <w:p w:rsidR="00035233" w:rsidRPr="00194011" w:rsidRDefault="00035233" w:rsidP="00035233">
            <w:pPr>
              <w:pStyle w:val="01TableHEADINGleftaligned"/>
              <w:rPr>
                <w:i/>
              </w:rPr>
            </w:pPr>
            <w:r>
              <w:t>Safety outcome</w:t>
            </w:r>
          </w:p>
        </w:tc>
        <w:tc>
          <w:tcPr>
            <w:tcW w:w="864" w:type="pct"/>
            <w:tcBorders>
              <w:bottom w:val="single" w:sz="4" w:space="0" w:color="auto"/>
              <w:right w:val="nil"/>
            </w:tcBorders>
            <w:shd w:val="clear" w:color="auto" w:fill="BFBFBF"/>
          </w:tcPr>
          <w:p w:rsidR="00035233" w:rsidRPr="00194011" w:rsidRDefault="00035233" w:rsidP="00035233">
            <w:pPr>
              <w:pStyle w:val="01TableHEADINGleftaligned"/>
              <w:ind w:right="0"/>
              <w:jc w:val="right"/>
            </w:pPr>
            <w:r>
              <w:t>ICS/LABA+</w:t>
            </w:r>
          </w:p>
        </w:tc>
        <w:tc>
          <w:tcPr>
            <w:tcW w:w="864" w:type="pct"/>
            <w:tcBorders>
              <w:left w:val="nil"/>
              <w:bottom w:val="single" w:sz="4" w:space="0" w:color="auto"/>
            </w:tcBorders>
            <w:shd w:val="clear" w:color="auto" w:fill="BFBFBF"/>
          </w:tcPr>
          <w:p w:rsidR="00035233" w:rsidRPr="00194011" w:rsidRDefault="00035233" w:rsidP="00035233">
            <w:pPr>
              <w:pStyle w:val="01TableHEADINGleftaligned"/>
              <w:ind w:left="0"/>
            </w:pPr>
            <w:r>
              <w:t>PBO (N=117)</w:t>
            </w:r>
          </w:p>
        </w:tc>
        <w:tc>
          <w:tcPr>
            <w:tcW w:w="863" w:type="pct"/>
            <w:tcBorders>
              <w:bottom w:val="single" w:sz="4" w:space="0" w:color="auto"/>
              <w:right w:val="nil"/>
            </w:tcBorders>
            <w:shd w:val="clear" w:color="auto" w:fill="BFBFBF"/>
          </w:tcPr>
          <w:p w:rsidR="00035233" w:rsidRDefault="00035233" w:rsidP="00035233">
            <w:pPr>
              <w:pStyle w:val="01TableHEADINGleftaligned"/>
              <w:ind w:right="0"/>
              <w:jc w:val="right"/>
            </w:pPr>
            <w:r>
              <w:t>ICS/LABA+</w:t>
            </w:r>
          </w:p>
        </w:tc>
        <w:tc>
          <w:tcPr>
            <w:tcW w:w="864" w:type="pct"/>
            <w:tcBorders>
              <w:left w:val="nil"/>
              <w:bottom w:val="single" w:sz="4" w:space="0" w:color="auto"/>
            </w:tcBorders>
            <w:shd w:val="clear" w:color="auto" w:fill="BFBFBF"/>
          </w:tcPr>
          <w:p w:rsidR="00035233" w:rsidRDefault="00035233" w:rsidP="00035233">
            <w:pPr>
              <w:pStyle w:val="01TableHEADINGleftaligned"/>
              <w:ind w:left="0"/>
            </w:pPr>
            <w:r w:rsidRPr="003623F7">
              <w:t>UME (N=</w:t>
            </w:r>
            <w:r>
              <w:t>119</w:t>
            </w:r>
            <w:r w:rsidRPr="003623F7">
              <w:t>)</w:t>
            </w:r>
          </w:p>
        </w:tc>
      </w:tr>
      <w:tr w:rsidR="00035233" w:rsidRPr="00194011" w:rsidTr="00035233">
        <w:trPr>
          <w:cantSplit/>
        </w:trPr>
        <w:tc>
          <w:tcPr>
            <w:tcW w:w="1545" w:type="pct"/>
            <w:tcBorders>
              <w:bottom w:val="nil"/>
            </w:tcBorders>
            <w:shd w:val="clear" w:color="auto" w:fill="000000"/>
          </w:tcPr>
          <w:p w:rsidR="00035233" w:rsidRDefault="00035233" w:rsidP="00035233">
            <w:pPr>
              <w:pStyle w:val="04Tablesubheading"/>
            </w:pPr>
          </w:p>
        </w:tc>
        <w:tc>
          <w:tcPr>
            <w:tcW w:w="1728" w:type="pct"/>
            <w:gridSpan w:val="2"/>
            <w:tcBorders>
              <w:bottom w:val="nil"/>
            </w:tcBorders>
            <w:shd w:val="clear" w:color="auto" w:fill="000000"/>
          </w:tcPr>
          <w:p w:rsidR="00035233" w:rsidRPr="00194011" w:rsidRDefault="00035233" w:rsidP="00035233">
            <w:pPr>
              <w:pStyle w:val="04Tablesubheading"/>
              <w:jc w:val="center"/>
            </w:pPr>
          </w:p>
        </w:tc>
        <w:tc>
          <w:tcPr>
            <w:tcW w:w="1727" w:type="pct"/>
            <w:gridSpan w:val="2"/>
            <w:tcBorders>
              <w:bottom w:val="nil"/>
            </w:tcBorders>
            <w:shd w:val="clear" w:color="auto" w:fill="000000"/>
          </w:tcPr>
          <w:p w:rsidR="00035233" w:rsidRPr="00194011" w:rsidRDefault="00035233" w:rsidP="00035233">
            <w:pPr>
              <w:pStyle w:val="04Tablesubheading"/>
              <w:jc w:val="center"/>
            </w:pPr>
          </w:p>
        </w:tc>
      </w:tr>
      <w:tr w:rsidR="00035233" w:rsidRPr="00194011" w:rsidTr="00035233">
        <w:trPr>
          <w:cantSplit/>
        </w:trPr>
        <w:tc>
          <w:tcPr>
            <w:tcW w:w="1545" w:type="pct"/>
            <w:tcBorders>
              <w:bottom w:val="nil"/>
            </w:tcBorders>
            <w:shd w:val="clear" w:color="auto" w:fill="auto"/>
          </w:tcPr>
          <w:p w:rsidR="00035233" w:rsidRPr="00194011" w:rsidRDefault="00035233" w:rsidP="00035233">
            <w:pPr>
              <w:pStyle w:val="05Tabletext"/>
              <w:keepNext/>
            </w:pPr>
            <w:r>
              <w:t>Any on-treatment AE, n (%)</w:t>
            </w:r>
          </w:p>
        </w:tc>
        <w:tc>
          <w:tcPr>
            <w:tcW w:w="1728" w:type="pct"/>
            <w:gridSpan w:val="2"/>
            <w:tcBorders>
              <w:bottom w:val="nil"/>
            </w:tcBorders>
            <w:shd w:val="clear" w:color="auto" w:fill="auto"/>
          </w:tcPr>
          <w:p w:rsidR="00035233" w:rsidRPr="00194011" w:rsidRDefault="00035233" w:rsidP="00035233">
            <w:pPr>
              <w:pStyle w:val="05Tabletext"/>
              <w:jc w:val="center"/>
            </w:pPr>
            <w:r>
              <w:t>49 (42)</w:t>
            </w:r>
          </w:p>
        </w:tc>
        <w:tc>
          <w:tcPr>
            <w:tcW w:w="1727" w:type="pct"/>
            <w:gridSpan w:val="2"/>
            <w:tcBorders>
              <w:bottom w:val="nil"/>
            </w:tcBorders>
            <w:shd w:val="clear" w:color="auto" w:fill="auto"/>
          </w:tcPr>
          <w:p w:rsidR="00035233" w:rsidRPr="00194011" w:rsidRDefault="00035233" w:rsidP="00035233">
            <w:pPr>
              <w:pStyle w:val="05Tabletext"/>
              <w:jc w:val="center"/>
            </w:pPr>
            <w:r>
              <w:t>45 (38)</w:t>
            </w:r>
          </w:p>
        </w:tc>
      </w:tr>
      <w:tr w:rsidR="00035233" w:rsidRPr="00194011" w:rsidTr="00035233">
        <w:trPr>
          <w:cantSplit/>
        </w:trPr>
        <w:tc>
          <w:tcPr>
            <w:tcW w:w="1545" w:type="pct"/>
            <w:tcBorders>
              <w:top w:val="nil"/>
              <w:bottom w:val="nil"/>
            </w:tcBorders>
            <w:shd w:val="clear" w:color="auto" w:fill="auto"/>
          </w:tcPr>
          <w:p w:rsidR="00035233" w:rsidRDefault="00035233" w:rsidP="00035233">
            <w:pPr>
              <w:pStyle w:val="05Tabletext"/>
              <w:ind w:firstLine="232"/>
            </w:pPr>
            <w:r>
              <w:t>COPD exacerbation</w:t>
            </w:r>
          </w:p>
        </w:tc>
        <w:tc>
          <w:tcPr>
            <w:tcW w:w="1728" w:type="pct"/>
            <w:gridSpan w:val="2"/>
            <w:tcBorders>
              <w:top w:val="nil"/>
              <w:bottom w:val="nil"/>
            </w:tcBorders>
            <w:shd w:val="clear" w:color="auto" w:fill="auto"/>
          </w:tcPr>
          <w:p w:rsidR="00035233" w:rsidRDefault="00035233" w:rsidP="00035233">
            <w:pPr>
              <w:pStyle w:val="05Tabletext"/>
              <w:jc w:val="center"/>
            </w:pPr>
            <w:r>
              <w:t>16 (14)</w:t>
            </w:r>
          </w:p>
        </w:tc>
        <w:tc>
          <w:tcPr>
            <w:tcW w:w="1727" w:type="pct"/>
            <w:gridSpan w:val="2"/>
            <w:tcBorders>
              <w:top w:val="nil"/>
              <w:bottom w:val="nil"/>
            </w:tcBorders>
            <w:shd w:val="clear" w:color="auto" w:fill="auto"/>
          </w:tcPr>
          <w:p w:rsidR="00035233" w:rsidRDefault="00035233" w:rsidP="00035233">
            <w:pPr>
              <w:pStyle w:val="05Tabletext"/>
              <w:jc w:val="center"/>
            </w:pPr>
            <w:r>
              <w:t>17 (14)</w:t>
            </w:r>
          </w:p>
        </w:tc>
      </w:tr>
      <w:tr w:rsidR="00035233" w:rsidRPr="00194011" w:rsidTr="00035233">
        <w:trPr>
          <w:cantSplit/>
        </w:trPr>
        <w:tc>
          <w:tcPr>
            <w:tcW w:w="1545" w:type="pct"/>
            <w:tcBorders>
              <w:top w:val="nil"/>
              <w:bottom w:val="nil"/>
            </w:tcBorders>
            <w:shd w:val="clear" w:color="auto" w:fill="auto"/>
          </w:tcPr>
          <w:p w:rsidR="00035233" w:rsidRDefault="00035233" w:rsidP="00035233">
            <w:pPr>
              <w:pStyle w:val="05Tabletext"/>
              <w:ind w:left="289"/>
            </w:pPr>
            <w:r>
              <w:t>Pneumonia</w:t>
            </w:r>
          </w:p>
        </w:tc>
        <w:tc>
          <w:tcPr>
            <w:tcW w:w="1728" w:type="pct"/>
            <w:gridSpan w:val="2"/>
            <w:tcBorders>
              <w:top w:val="nil"/>
              <w:bottom w:val="nil"/>
            </w:tcBorders>
            <w:shd w:val="clear" w:color="auto" w:fill="auto"/>
          </w:tcPr>
          <w:p w:rsidR="00035233" w:rsidRPr="00194011" w:rsidRDefault="00035233" w:rsidP="00035233">
            <w:pPr>
              <w:pStyle w:val="05Tabletext"/>
              <w:jc w:val="center"/>
            </w:pPr>
            <w:r>
              <w:t>2 (2)</w:t>
            </w:r>
          </w:p>
        </w:tc>
        <w:tc>
          <w:tcPr>
            <w:tcW w:w="1727" w:type="pct"/>
            <w:gridSpan w:val="2"/>
            <w:tcBorders>
              <w:top w:val="nil"/>
              <w:bottom w:val="nil"/>
            </w:tcBorders>
            <w:shd w:val="clear" w:color="auto" w:fill="auto"/>
          </w:tcPr>
          <w:p w:rsidR="00035233" w:rsidRPr="00194011" w:rsidRDefault="00035233" w:rsidP="00035233">
            <w:pPr>
              <w:pStyle w:val="05Tabletext"/>
              <w:jc w:val="center"/>
            </w:pPr>
            <w:r>
              <w:t>3 (3)</w:t>
            </w:r>
          </w:p>
        </w:tc>
      </w:tr>
      <w:tr w:rsidR="00035233" w:rsidRPr="00194011" w:rsidTr="00035233">
        <w:trPr>
          <w:cantSplit/>
        </w:trPr>
        <w:tc>
          <w:tcPr>
            <w:tcW w:w="1545" w:type="pct"/>
            <w:shd w:val="clear" w:color="auto" w:fill="auto"/>
          </w:tcPr>
          <w:p w:rsidR="00035233" w:rsidRDefault="00035233" w:rsidP="00035233">
            <w:pPr>
              <w:pStyle w:val="05Tabletext"/>
            </w:pPr>
            <w:r>
              <w:t>Any on-treatment drug-related SAE, n (%)</w:t>
            </w:r>
          </w:p>
        </w:tc>
        <w:tc>
          <w:tcPr>
            <w:tcW w:w="1728" w:type="pct"/>
            <w:gridSpan w:val="2"/>
            <w:shd w:val="clear" w:color="auto" w:fill="auto"/>
          </w:tcPr>
          <w:p w:rsidR="00035233" w:rsidRDefault="00035233" w:rsidP="00035233">
            <w:pPr>
              <w:pStyle w:val="05Tabletext"/>
              <w:jc w:val="center"/>
            </w:pPr>
            <w:r>
              <w:t>0</w:t>
            </w:r>
          </w:p>
        </w:tc>
        <w:tc>
          <w:tcPr>
            <w:tcW w:w="1727" w:type="pct"/>
            <w:gridSpan w:val="2"/>
            <w:shd w:val="clear" w:color="auto" w:fill="auto"/>
          </w:tcPr>
          <w:p w:rsidR="00035233" w:rsidRPr="003D2042" w:rsidRDefault="00035233" w:rsidP="00035233">
            <w:pPr>
              <w:pStyle w:val="05Tabletext"/>
              <w:jc w:val="center"/>
            </w:pPr>
            <w:r>
              <w:t>0</w:t>
            </w:r>
          </w:p>
        </w:tc>
      </w:tr>
      <w:tr w:rsidR="00035233" w:rsidRPr="00194011" w:rsidTr="00035233">
        <w:trPr>
          <w:cantSplit/>
        </w:trPr>
        <w:tc>
          <w:tcPr>
            <w:tcW w:w="1545" w:type="pct"/>
            <w:shd w:val="clear" w:color="auto" w:fill="auto"/>
          </w:tcPr>
          <w:p w:rsidR="00035233" w:rsidRPr="003D2042" w:rsidRDefault="00035233" w:rsidP="00035233">
            <w:pPr>
              <w:pStyle w:val="05Tabletext"/>
            </w:pPr>
            <w:r>
              <w:t>Any on-treatment non-fatal SAE, n (%)</w:t>
            </w:r>
          </w:p>
        </w:tc>
        <w:tc>
          <w:tcPr>
            <w:tcW w:w="1728" w:type="pct"/>
            <w:gridSpan w:val="2"/>
            <w:shd w:val="clear" w:color="auto" w:fill="auto"/>
          </w:tcPr>
          <w:p w:rsidR="00035233" w:rsidRPr="00BD6442" w:rsidRDefault="00035233" w:rsidP="00035233">
            <w:pPr>
              <w:pStyle w:val="05Tabletext"/>
              <w:jc w:val="center"/>
            </w:pPr>
            <w:r>
              <w:t>4 (3)</w:t>
            </w:r>
          </w:p>
        </w:tc>
        <w:tc>
          <w:tcPr>
            <w:tcW w:w="1727" w:type="pct"/>
            <w:gridSpan w:val="2"/>
            <w:shd w:val="clear" w:color="auto" w:fill="auto"/>
          </w:tcPr>
          <w:p w:rsidR="00035233" w:rsidRPr="003D2042" w:rsidRDefault="00035233" w:rsidP="00035233">
            <w:pPr>
              <w:pStyle w:val="05Tabletext"/>
              <w:jc w:val="center"/>
            </w:pPr>
            <w:r>
              <w:t>6 (5)</w:t>
            </w:r>
          </w:p>
        </w:tc>
      </w:tr>
      <w:tr w:rsidR="00035233" w:rsidRPr="00194011" w:rsidTr="00035233">
        <w:trPr>
          <w:cantSplit/>
        </w:trPr>
        <w:tc>
          <w:tcPr>
            <w:tcW w:w="1545" w:type="pct"/>
            <w:shd w:val="clear" w:color="auto" w:fill="auto"/>
          </w:tcPr>
          <w:p w:rsidR="00035233" w:rsidRDefault="00035233" w:rsidP="00035233">
            <w:pPr>
              <w:pStyle w:val="05Tabletext"/>
            </w:pPr>
            <w:r>
              <w:t>Any on-treatment fatal SAEs, n (%)</w:t>
            </w:r>
          </w:p>
        </w:tc>
        <w:tc>
          <w:tcPr>
            <w:tcW w:w="1728" w:type="pct"/>
            <w:gridSpan w:val="2"/>
            <w:shd w:val="clear" w:color="auto" w:fill="auto"/>
          </w:tcPr>
          <w:p w:rsidR="00035233" w:rsidRPr="00E0425A" w:rsidRDefault="00035233" w:rsidP="00035233">
            <w:pPr>
              <w:pStyle w:val="05Tabletext"/>
              <w:jc w:val="center"/>
              <w:rPr>
                <w:vertAlign w:val="superscript"/>
              </w:rPr>
            </w:pPr>
            <w:r>
              <w:t>1 (&lt;1)</w:t>
            </w:r>
            <w:r>
              <w:rPr>
                <w:vertAlign w:val="superscript"/>
              </w:rPr>
              <w:t>a</w:t>
            </w:r>
          </w:p>
        </w:tc>
        <w:tc>
          <w:tcPr>
            <w:tcW w:w="1727" w:type="pct"/>
            <w:gridSpan w:val="2"/>
            <w:shd w:val="clear" w:color="auto" w:fill="auto"/>
          </w:tcPr>
          <w:p w:rsidR="00035233" w:rsidRPr="003D2042" w:rsidRDefault="00035233" w:rsidP="00035233">
            <w:pPr>
              <w:pStyle w:val="05Tabletext"/>
              <w:jc w:val="center"/>
            </w:pPr>
            <w:r>
              <w:t>0</w:t>
            </w:r>
          </w:p>
        </w:tc>
      </w:tr>
      <w:tr w:rsidR="00035233" w:rsidRPr="00194011" w:rsidTr="00035233">
        <w:trPr>
          <w:cantSplit/>
        </w:trPr>
        <w:tc>
          <w:tcPr>
            <w:tcW w:w="1545" w:type="pct"/>
            <w:shd w:val="clear" w:color="auto" w:fill="auto"/>
          </w:tcPr>
          <w:p w:rsidR="00035233" w:rsidRPr="001A20E7" w:rsidRDefault="00035233" w:rsidP="00035233">
            <w:pPr>
              <w:pStyle w:val="05Tabletext"/>
              <w:rPr>
                <w:rFonts w:ascii="Arial" w:hAnsi="Arial" w:cs="Arial"/>
                <w:rtl/>
              </w:rPr>
            </w:pPr>
            <w:r>
              <w:t>AE leading to permanent discontinuation of medication/withdrawal, n (%)</w:t>
            </w:r>
          </w:p>
        </w:tc>
        <w:tc>
          <w:tcPr>
            <w:tcW w:w="1728" w:type="pct"/>
            <w:gridSpan w:val="2"/>
            <w:shd w:val="clear" w:color="auto" w:fill="auto"/>
          </w:tcPr>
          <w:p w:rsidR="00035233" w:rsidRDefault="00035233" w:rsidP="00035233">
            <w:pPr>
              <w:pStyle w:val="05Tabletext"/>
              <w:jc w:val="center"/>
            </w:pPr>
            <w:r>
              <w:t>3 (3)</w:t>
            </w:r>
          </w:p>
        </w:tc>
        <w:tc>
          <w:tcPr>
            <w:tcW w:w="1727" w:type="pct"/>
            <w:gridSpan w:val="2"/>
            <w:shd w:val="clear" w:color="auto" w:fill="auto"/>
          </w:tcPr>
          <w:p w:rsidR="00035233" w:rsidRPr="003D2042" w:rsidRDefault="00035233" w:rsidP="00035233">
            <w:pPr>
              <w:pStyle w:val="05Tabletext"/>
              <w:jc w:val="center"/>
            </w:pPr>
            <w:r>
              <w:t>7 (6)</w:t>
            </w:r>
          </w:p>
        </w:tc>
      </w:tr>
    </w:tbl>
    <w:p w:rsidR="00035233" w:rsidRDefault="00035233" w:rsidP="00035233">
      <w:pPr>
        <w:pStyle w:val="10TableorFigurefootnote"/>
      </w:pPr>
      <w:r>
        <w:t>Source: Sousa et al (2016), Table 3.</w:t>
      </w:r>
    </w:p>
    <w:p w:rsidR="00035233" w:rsidRDefault="00035233" w:rsidP="00035233">
      <w:pPr>
        <w:pStyle w:val="10TableorFigurefootnote"/>
      </w:pPr>
      <w:r>
        <w:t>Abbreviations: AE, adverse event; ICS, inhaled corticosteroid; ITT, intent-to-treat; LABA, long-acting β2-agonist; PBO, placebo; SAE, serious adverse event; UME, umeclidinium.</w:t>
      </w:r>
    </w:p>
    <w:p w:rsidR="00035233" w:rsidRPr="00E0425A" w:rsidRDefault="00035233" w:rsidP="00035233">
      <w:pPr>
        <w:pStyle w:val="11TableorFigurefootnotenostick"/>
      </w:pPr>
      <w:proofErr w:type="gramStart"/>
      <w:r>
        <w:rPr>
          <w:b/>
        </w:rPr>
        <w:t>a</w:t>
      </w:r>
      <w:proofErr w:type="gramEnd"/>
      <w:r>
        <w:rPr>
          <w:b/>
        </w:rPr>
        <w:t xml:space="preserve"> </w:t>
      </w:r>
      <w:r>
        <w:t>Not drug-related (road traffic accident).</w:t>
      </w:r>
    </w:p>
    <w:p w:rsidR="00035233" w:rsidRDefault="00035233" w:rsidP="00251CB8">
      <w:pPr>
        <w:pStyle w:val="Heading4"/>
        <w:numPr>
          <w:ilvl w:val="3"/>
          <w:numId w:val="36"/>
        </w:numPr>
      </w:pPr>
      <w:r>
        <w:t>Summary of findings</w:t>
      </w:r>
    </w:p>
    <w:p w:rsidR="00035233" w:rsidRDefault="00035233" w:rsidP="00035233">
      <w:pPr>
        <w:pStyle w:val="Bullettext"/>
      </w:pPr>
      <w:r>
        <w:t>Siler et al (2015; good quality) reported the results from two replicate RCTs that demonstrated that the addition of umeclidinium to fluticasone</w:t>
      </w:r>
      <w:r w:rsidR="00CF1318">
        <w:t xml:space="preserve"> furoate</w:t>
      </w:r>
      <w:r>
        <w:t>/vilanterol provided statistically significant and clinically meaningful improvements in lung function compared with fluticasone</w:t>
      </w:r>
      <w:r w:rsidR="00CF1318">
        <w:t xml:space="preserve"> furoate</w:t>
      </w:r>
      <w:r>
        <w:t>/vilanterol plus placebo.</w:t>
      </w:r>
    </w:p>
    <w:p w:rsidR="00035233" w:rsidRDefault="00035233" w:rsidP="00035233">
      <w:pPr>
        <w:pStyle w:val="Bullettext"/>
      </w:pPr>
      <w:r>
        <w:t>Similarly, Sousa et al (2016; fair quality) observed statistically significant and clinically meaningful improvements in trough FEV</w:t>
      </w:r>
      <w:r>
        <w:rPr>
          <w:vertAlign w:val="subscript"/>
        </w:rPr>
        <w:t>1</w:t>
      </w:r>
      <w:r>
        <w:t xml:space="preserve"> after 12 weeks when umeclidinium was added to ICS/LABAs, compared with ICS/LABA plus placebo, in a study where the patient population were already on ICS/LABA dual therapy, but remained symptomatic at baseline.</w:t>
      </w:r>
    </w:p>
    <w:p w:rsidR="00EC7252" w:rsidRDefault="00035233" w:rsidP="00035233">
      <w:pPr>
        <w:pStyle w:val="Bullettext"/>
      </w:pPr>
      <w:r>
        <w:t>Longer-term studies are needed to confirm the benefits of triple therapy with ICS/LABA plus a LAMA over ICS/LABA therapy alone. At least one ongoing study will assess the comparative efficacy of a fixed-dose triple combination of fluticasone</w:t>
      </w:r>
      <w:r w:rsidR="00CF1318">
        <w:t xml:space="preserve"> furoate</w:t>
      </w:r>
      <w:r>
        <w:t>/umeclidinium/vilanterol with two fixed-dose dual combinations, fluticasone</w:t>
      </w:r>
      <w:r w:rsidR="00CF1318">
        <w:t xml:space="preserve"> furoate</w:t>
      </w:r>
      <w:r>
        <w:t>/vilanterol and umeclindium/vilanterol (the IMPACT study, due for completion in 2017).</w:t>
      </w:r>
    </w:p>
    <w:p w:rsidR="00537B65" w:rsidRPr="00443DB2" w:rsidRDefault="00537B65" w:rsidP="00035233">
      <w:pPr>
        <w:pStyle w:val="Bullettext"/>
      </w:pPr>
      <w:r>
        <w:t>The PBAC has previously seen evidence from the GLISTEN study that compared the efficacy of glycopyrronium plus fluticasone</w:t>
      </w:r>
      <w:r w:rsidR="00CF1318">
        <w:t xml:space="preserve"> propionate</w:t>
      </w:r>
      <w:r>
        <w:t>/salmeterol versus fluticasone</w:t>
      </w:r>
      <w:r w:rsidR="00CF1318">
        <w:t xml:space="preserve"> propionate</w:t>
      </w:r>
      <w:r>
        <w:t>/salmeterol alone</w:t>
      </w:r>
      <w:r w:rsidR="00870EBB">
        <w:t xml:space="preserve"> (November 2015 PSD for glycopyrronium)</w:t>
      </w:r>
      <w:r>
        <w:t xml:space="preserve">. Interim results from the study </w:t>
      </w:r>
      <w:r w:rsidR="001D3236">
        <w:t>up to W</w:t>
      </w:r>
      <w:r>
        <w:t xml:space="preserve">eek 12 indicated that triple therapy </w:t>
      </w:r>
      <w:r w:rsidR="00036BB9">
        <w:t xml:space="preserve">provided </w:t>
      </w:r>
      <w:r>
        <w:t>statistically significant</w:t>
      </w:r>
      <w:r w:rsidR="00036BB9">
        <w:t xml:space="preserve"> improvements</w:t>
      </w:r>
      <w:r>
        <w:t xml:space="preserve"> </w:t>
      </w:r>
      <w:r w:rsidR="00036BB9">
        <w:t>in trough FEV</w:t>
      </w:r>
      <w:r w:rsidR="00036BB9">
        <w:rPr>
          <w:vertAlign w:val="subscript"/>
        </w:rPr>
        <w:t>1</w:t>
      </w:r>
      <w:r w:rsidR="00036BB9">
        <w:t xml:space="preserve"> compared to </w:t>
      </w:r>
      <w:r>
        <w:t>fluticasone</w:t>
      </w:r>
      <w:r w:rsidR="00CF1318">
        <w:t xml:space="preserve"> propionate</w:t>
      </w:r>
      <w:r>
        <w:t xml:space="preserve">/salmeterol alone </w:t>
      </w:r>
      <w:r w:rsidR="00870EBB">
        <w:t>(Frith et al, 2015)</w:t>
      </w:r>
      <w:r>
        <w:t>.</w:t>
      </w:r>
      <w:r w:rsidR="00674E0D">
        <w:t xml:space="preserve"> </w:t>
      </w:r>
    </w:p>
    <w:p w:rsidR="00DA4B38" w:rsidRDefault="00C7734B" w:rsidP="00E409CC">
      <w:pPr>
        <w:pStyle w:val="Heading3"/>
        <w:keepLines/>
      </w:pPr>
      <w:bookmarkStart w:id="551" w:name="_Toc482185957"/>
      <w:bookmarkStart w:id="552" w:name="_Toc486428091"/>
      <w:bookmarkStart w:id="553" w:name="_Toc471890928"/>
      <w:r>
        <w:lastRenderedPageBreak/>
        <w:t>ICS/LABA + LAMA versus LAMA</w:t>
      </w:r>
      <w:r w:rsidR="00DA4B38">
        <w:t>/LABA</w:t>
      </w:r>
      <w:bookmarkEnd w:id="551"/>
      <w:bookmarkEnd w:id="552"/>
    </w:p>
    <w:p w:rsidR="00991AA5" w:rsidRDefault="00991AA5" w:rsidP="00E409CC">
      <w:pPr>
        <w:pStyle w:val="BodyText"/>
        <w:keepNext/>
        <w:keepLines/>
      </w:pPr>
      <w:r>
        <w:t xml:space="preserve">No RCTs or large observational studies were identified that examined the comparative efficacy and safety of </w:t>
      </w:r>
      <w:r w:rsidR="004D7C94">
        <w:t xml:space="preserve">ICS/LABA + LAMA (or </w:t>
      </w:r>
      <w:r>
        <w:t>ICS + LAMA/LABA</w:t>
      </w:r>
      <w:r w:rsidR="004D7C94">
        <w:t>)</w:t>
      </w:r>
      <w:r>
        <w:t xml:space="preserve"> versu</w:t>
      </w:r>
      <w:r w:rsidR="00557A6E">
        <w:t>s LAMA/LABA. A recent Cochrane r</w:t>
      </w:r>
      <w:r>
        <w:t>eview also failed to identify any ongoing or completed RCTs comparing the treatment of stable COPD with ICS plus combination LAMA/LABA inhalers against combination LAMA/LABA inhalers alone (Tan et al, 2016).</w:t>
      </w:r>
    </w:p>
    <w:p w:rsidR="00035233" w:rsidRDefault="005F3D9C" w:rsidP="00035233">
      <w:pPr>
        <w:pStyle w:val="BodyText"/>
      </w:pPr>
      <w:r>
        <w:t>This evidence gap is somewhat surprising, considering that the step up from LAMA/LABA to triple therapy (LAMA plus LABA plus ICS) is in keeping with recommendations from clinical practice guidelines for patients at high risk of exacerbations.</w:t>
      </w:r>
      <w:bookmarkEnd w:id="553"/>
    </w:p>
    <w:sectPr w:rsidR="00035233" w:rsidSect="00A0321C">
      <w:footerReference w:type="default" r:id="rId5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026" w:rsidRDefault="00744026" w:rsidP="00DD796F">
      <w:pPr>
        <w:spacing w:before="0" w:line="240" w:lineRule="auto"/>
      </w:pPr>
      <w:r>
        <w:separator/>
      </w:r>
    </w:p>
    <w:p w:rsidR="00744026" w:rsidRDefault="00744026"/>
    <w:p w:rsidR="00744026" w:rsidRDefault="00744026"/>
  </w:endnote>
  <w:endnote w:type="continuationSeparator" w:id="0">
    <w:p w:rsidR="00744026" w:rsidRDefault="00744026" w:rsidP="00DD796F">
      <w:pPr>
        <w:spacing w:before="0" w:line="240" w:lineRule="auto"/>
      </w:pPr>
      <w:r>
        <w:continuationSeparator/>
      </w:r>
    </w:p>
    <w:p w:rsidR="00744026" w:rsidRDefault="00744026"/>
    <w:p w:rsidR="00744026" w:rsidRDefault="007440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E5D" w:rsidRDefault="00A55E5D" w:rsidP="001C5235">
    <w:pPr>
      <w:pStyle w:val="FooterwithPortrait"/>
    </w:pPr>
    <w:r w:rsidRPr="001C5235">
      <w:t>Post-market Review of COPD Medicines</w:t>
    </w:r>
    <w:r>
      <w:tab/>
    </w:r>
    <w:r>
      <w:fldChar w:fldCharType="begin"/>
    </w:r>
    <w:r>
      <w:instrText xml:space="preserve"> PAGE   \* MERGEFORMAT </w:instrText>
    </w:r>
    <w:r>
      <w:fldChar w:fldCharType="separate"/>
    </w:r>
    <w:r>
      <w:rPr>
        <w:noProof/>
      </w:rPr>
      <w:t>viii</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E5D" w:rsidRDefault="00A55E5D" w:rsidP="007349AB">
    <w:pPr>
      <w:pStyle w:val="FooterwithLandscape"/>
      <w:rPr>
        <w:noProof/>
      </w:rPr>
    </w:pPr>
    <w:r>
      <w:tab/>
    </w:r>
    <w:r>
      <w:fldChar w:fldCharType="begin"/>
    </w:r>
    <w:r>
      <w:instrText xml:space="preserve"> PAGE   \* MERGEFORMAT </w:instrText>
    </w:r>
    <w:r>
      <w:fldChar w:fldCharType="separate"/>
    </w:r>
    <w:r w:rsidR="00472068">
      <w:rPr>
        <w:noProof/>
      </w:rPr>
      <w:t>49</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E5D" w:rsidRDefault="00A55E5D" w:rsidP="00030E3B">
    <w:pPr>
      <w:pStyle w:val="FooterwithPortrait"/>
      <w:rPr>
        <w:noProof/>
      </w:rPr>
    </w:pPr>
    <w:r>
      <w:tab/>
    </w:r>
    <w:r>
      <w:fldChar w:fldCharType="begin"/>
    </w:r>
    <w:r>
      <w:instrText xml:space="preserve"> PAGE   \* MERGEFORMAT </w:instrText>
    </w:r>
    <w:r>
      <w:fldChar w:fldCharType="separate"/>
    </w:r>
    <w:r w:rsidR="00472068">
      <w:rPr>
        <w:noProof/>
      </w:rPr>
      <w:t>61</w:t>
    </w:r>
    <w:r>
      <w:rPr>
        <w:noProof/>
      </w:rPr>
      <w:fldChar w:fldCharType="end"/>
    </w:r>
  </w:p>
  <w:p w:rsidR="00A55E5D" w:rsidRPr="00030E3B" w:rsidRDefault="00A55E5D" w:rsidP="00A55E5D">
    <w:pPr>
      <w:pStyle w:val="FooterwithPortrait"/>
      <w:spacing w:before="0"/>
      <w:jc w:val="center"/>
      <w:rPr>
        <w:noProof/>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E5D" w:rsidRDefault="00A55E5D" w:rsidP="007349AB">
    <w:pPr>
      <w:pStyle w:val="FooterwithLandscape"/>
      <w:rPr>
        <w:noProof/>
      </w:rPr>
    </w:pPr>
    <w:r>
      <w:tab/>
    </w:r>
    <w:r>
      <w:fldChar w:fldCharType="begin"/>
    </w:r>
    <w:r>
      <w:instrText xml:space="preserve"> PAGE   \* MERGEFORMAT </w:instrText>
    </w:r>
    <w:r>
      <w:fldChar w:fldCharType="separate"/>
    </w:r>
    <w:r w:rsidR="00472068">
      <w:rPr>
        <w:noProof/>
      </w:rPr>
      <w:t>65</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E5D" w:rsidRDefault="00A55E5D" w:rsidP="00030E3B">
    <w:pPr>
      <w:pStyle w:val="FooterwithPortrait"/>
      <w:rPr>
        <w:noProof/>
      </w:rPr>
    </w:pPr>
    <w:r>
      <w:tab/>
    </w:r>
    <w:r>
      <w:fldChar w:fldCharType="begin"/>
    </w:r>
    <w:r>
      <w:instrText xml:space="preserve"> PAGE   \* MERGEFORMAT </w:instrText>
    </w:r>
    <w:r>
      <w:fldChar w:fldCharType="separate"/>
    </w:r>
    <w:r w:rsidR="00472068">
      <w:rPr>
        <w:noProof/>
      </w:rPr>
      <w:t>72</w:t>
    </w:r>
    <w:r>
      <w:rPr>
        <w:noProof/>
      </w:rPr>
      <w:fldChar w:fldCharType="end"/>
    </w:r>
  </w:p>
  <w:p w:rsidR="00A55E5D" w:rsidRPr="00030E3B" w:rsidRDefault="00A55E5D" w:rsidP="00A55E5D">
    <w:pPr>
      <w:pStyle w:val="FooterwithPortrait"/>
      <w:spacing w:before="0"/>
      <w:jc w:val="center"/>
      <w:rPr>
        <w:noProof/>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E5D" w:rsidRDefault="00A55E5D" w:rsidP="007349AB">
    <w:pPr>
      <w:pStyle w:val="FooterwithLandscape"/>
      <w:rPr>
        <w:noProof/>
      </w:rPr>
    </w:pPr>
    <w:r>
      <w:tab/>
    </w:r>
    <w:r>
      <w:fldChar w:fldCharType="begin"/>
    </w:r>
    <w:r>
      <w:instrText xml:space="preserve"> PAGE   \* MERGEFORMAT </w:instrText>
    </w:r>
    <w:r>
      <w:fldChar w:fldCharType="separate"/>
    </w:r>
    <w:r w:rsidR="00472068">
      <w:rPr>
        <w:noProof/>
      </w:rPr>
      <w:t>73</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E5D" w:rsidRDefault="00A55E5D" w:rsidP="00030E3B">
    <w:pPr>
      <w:pStyle w:val="FooterwithPortrait"/>
      <w:rPr>
        <w:noProof/>
      </w:rPr>
    </w:pPr>
    <w:r>
      <w:tab/>
    </w:r>
    <w:r>
      <w:fldChar w:fldCharType="begin"/>
    </w:r>
    <w:r>
      <w:instrText xml:space="preserve"> PAGE   \* MERGEFORMAT </w:instrText>
    </w:r>
    <w:r>
      <w:fldChar w:fldCharType="separate"/>
    </w:r>
    <w:r w:rsidR="00472068">
      <w:rPr>
        <w:noProof/>
      </w:rPr>
      <w:t>81</w:t>
    </w:r>
    <w:r>
      <w:rPr>
        <w:noProof/>
      </w:rPr>
      <w:fldChar w:fldCharType="end"/>
    </w:r>
  </w:p>
  <w:p w:rsidR="00A55E5D" w:rsidRPr="00030E3B" w:rsidRDefault="00A55E5D" w:rsidP="00A55E5D">
    <w:pPr>
      <w:pStyle w:val="FooterwithPortrait"/>
      <w:spacing w:before="0"/>
      <w:jc w:val="center"/>
      <w:rPr>
        <w:noProof/>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E5D" w:rsidRDefault="00A55E5D" w:rsidP="007349AB">
    <w:pPr>
      <w:pStyle w:val="FooterwithLandscape"/>
      <w:rPr>
        <w:noProof/>
      </w:rPr>
    </w:pPr>
    <w:r>
      <w:tab/>
    </w:r>
    <w:r>
      <w:fldChar w:fldCharType="begin"/>
    </w:r>
    <w:r>
      <w:instrText xml:space="preserve"> PAGE   \* MERGEFORMAT </w:instrText>
    </w:r>
    <w:r>
      <w:fldChar w:fldCharType="separate"/>
    </w:r>
    <w:r w:rsidR="00472068">
      <w:rPr>
        <w:noProof/>
      </w:rPr>
      <w:t>83</w:t>
    </w:r>
    <w:r>
      <w:rPr>
        <w:noProof/>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E5D" w:rsidRDefault="00A55E5D" w:rsidP="00030E3B">
    <w:pPr>
      <w:pStyle w:val="FooterwithPortrait"/>
      <w:rPr>
        <w:noProof/>
      </w:rPr>
    </w:pPr>
    <w:r>
      <w:tab/>
    </w:r>
    <w:r>
      <w:fldChar w:fldCharType="begin"/>
    </w:r>
    <w:r>
      <w:instrText xml:space="preserve"> PAGE   \* MERGEFORMAT </w:instrText>
    </w:r>
    <w:r>
      <w:fldChar w:fldCharType="separate"/>
    </w:r>
    <w:r w:rsidR="00472068">
      <w:rPr>
        <w:noProof/>
      </w:rPr>
      <w:t>86</w:t>
    </w:r>
    <w:r>
      <w:rPr>
        <w:noProof/>
      </w:rPr>
      <w:fldChar w:fldCharType="end"/>
    </w:r>
  </w:p>
  <w:p w:rsidR="00E409CC" w:rsidRPr="00030E3B" w:rsidRDefault="00E409CC" w:rsidP="00E409CC">
    <w:pPr>
      <w:pStyle w:val="FooterwithPortrait"/>
      <w:spacing w:before="0"/>
      <w:jc w:val="center"/>
      <w:rPr>
        <w:noProof/>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9CC" w:rsidRPr="00030E3B" w:rsidRDefault="00E409CC" w:rsidP="00E409CC">
    <w:pPr>
      <w:pStyle w:val="FooterwithPortrait"/>
      <w:tabs>
        <w:tab w:val="clear" w:pos="9639"/>
        <w:tab w:val="right" w:pos="14317"/>
      </w:tabs>
      <w:rPr>
        <w:noProof/>
      </w:rPr>
    </w:pPr>
    <w:r>
      <w:tab/>
    </w:r>
    <w:r>
      <w:fldChar w:fldCharType="begin"/>
    </w:r>
    <w:r>
      <w:instrText xml:space="preserve"> PAGE   \* MERGEFORMAT </w:instrText>
    </w:r>
    <w:r>
      <w:fldChar w:fldCharType="separate"/>
    </w:r>
    <w:r w:rsidR="00472068">
      <w:rPr>
        <w:noProof/>
      </w:rPr>
      <w:t>89</w:t>
    </w:r>
    <w:r>
      <w:rPr>
        <w:noProof/>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E5D" w:rsidRDefault="00A55E5D" w:rsidP="00030E3B">
    <w:pPr>
      <w:pStyle w:val="FooterwithPortrait"/>
      <w:rPr>
        <w:noProof/>
      </w:rPr>
    </w:pPr>
    <w:r>
      <w:tab/>
    </w:r>
    <w:r>
      <w:fldChar w:fldCharType="begin"/>
    </w:r>
    <w:r>
      <w:instrText xml:space="preserve"> PAGE   \* MERGEFORMAT </w:instrText>
    </w:r>
    <w:r>
      <w:fldChar w:fldCharType="separate"/>
    </w:r>
    <w:r w:rsidR="00472068">
      <w:rPr>
        <w:noProof/>
      </w:rPr>
      <w:t>92</w:t>
    </w:r>
    <w:r>
      <w:rPr>
        <w:noProof/>
      </w:rPr>
      <w:fldChar w:fldCharType="end"/>
    </w:r>
  </w:p>
  <w:p w:rsidR="00E409CC" w:rsidRPr="00030E3B" w:rsidRDefault="00E409CC" w:rsidP="00E409CC">
    <w:pPr>
      <w:pStyle w:val="FooterwithPortrait"/>
      <w:spacing w:before="0"/>
      <w:jc w:val="center"/>
      <w:rPr>
        <w:noProof/>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E5D" w:rsidRDefault="00A55E5D" w:rsidP="00C02E78">
    <w:pPr>
      <w:pStyle w:val="Footer"/>
      <w:pBdr>
        <w:top w:val="none" w:sz="0" w:space="0" w:color="auto"/>
      </w:pBd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E5D" w:rsidRDefault="00A55E5D" w:rsidP="0005536D">
    <w:pPr>
      <w:pStyle w:val="FooterwithLandscape"/>
    </w:pPr>
    <w:r>
      <w:tab/>
    </w:r>
    <w:r>
      <w:fldChar w:fldCharType="begin"/>
    </w:r>
    <w:r>
      <w:instrText xml:space="preserve"> PAGE   \* MERGEFORMAT </w:instrText>
    </w:r>
    <w:r>
      <w:fldChar w:fldCharType="separate"/>
    </w:r>
    <w:r w:rsidR="00472068">
      <w:rPr>
        <w:noProof/>
      </w:rPr>
      <w:t>94</w:t>
    </w:r>
    <w:r>
      <w:rPr>
        <w:noProof/>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E5D" w:rsidRDefault="00A55E5D" w:rsidP="00030E3B">
    <w:pPr>
      <w:pStyle w:val="FooterwithPortrait"/>
      <w:rPr>
        <w:noProof/>
      </w:rPr>
    </w:pPr>
    <w:r>
      <w:tab/>
    </w:r>
    <w:r>
      <w:fldChar w:fldCharType="begin"/>
    </w:r>
    <w:r>
      <w:instrText xml:space="preserve"> PAGE   \* MERGEFORMAT </w:instrText>
    </w:r>
    <w:r>
      <w:fldChar w:fldCharType="separate"/>
    </w:r>
    <w:r w:rsidR="00472068">
      <w:rPr>
        <w:noProof/>
      </w:rPr>
      <w:t>100</w:t>
    </w:r>
    <w:r>
      <w:rPr>
        <w:noProof/>
      </w:rPr>
      <w:fldChar w:fldCharType="end"/>
    </w:r>
  </w:p>
  <w:p w:rsidR="00E409CC" w:rsidRPr="00030E3B" w:rsidRDefault="00E409CC" w:rsidP="00E409CC">
    <w:pPr>
      <w:pStyle w:val="FooterwithPortrait"/>
      <w:spacing w:before="0"/>
      <w:jc w:val="center"/>
      <w:rPr>
        <w:noProof/>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E5D" w:rsidRDefault="00A55E5D" w:rsidP="00030E3B">
    <w:pPr>
      <w:pStyle w:val="FooterwithPortrait"/>
      <w:rPr>
        <w:noProof/>
      </w:rPr>
    </w:pPr>
    <w:r>
      <w:tab/>
    </w:r>
    <w:r>
      <w:fldChar w:fldCharType="begin"/>
    </w:r>
    <w:r>
      <w:instrText xml:space="preserve"> PAGE   \* MERGEFORMAT </w:instrText>
    </w:r>
    <w:r>
      <w:fldChar w:fldCharType="separate"/>
    </w:r>
    <w:r w:rsidR="00472068">
      <w:rPr>
        <w:noProof/>
      </w:rPr>
      <w:t>2</w:t>
    </w:r>
    <w:r>
      <w:rPr>
        <w:noProof/>
      </w:rPr>
      <w:fldChar w:fldCharType="end"/>
    </w:r>
  </w:p>
  <w:p w:rsidR="00A55E5D" w:rsidRPr="00030E3B" w:rsidRDefault="00A55E5D" w:rsidP="00C02E78">
    <w:pPr>
      <w:pStyle w:val="FooterwithPortrait"/>
      <w:spacing w:before="0"/>
      <w:jc w:val="center"/>
      <w:rPr>
        <w:noProof/>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E5D" w:rsidRDefault="00A55E5D" w:rsidP="00A55E5D">
    <w:pPr>
      <w:pStyle w:val="FooterwithLandscape"/>
      <w:spacing w:before="120"/>
      <w:rPr>
        <w:noProof/>
      </w:rPr>
    </w:pPr>
    <w:r>
      <w:tab/>
    </w:r>
    <w:r>
      <w:fldChar w:fldCharType="begin"/>
    </w:r>
    <w:r>
      <w:instrText xml:space="preserve"> PAGE   \* MERGEFORMAT </w:instrText>
    </w:r>
    <w:r>
      <w:fldChar w:fldCharType="separate"/>
    </w:r>
    <w:r w:rsidR="00472068">
      <w:rPr>
        <w:noProof/>
      </w:rPr>
      <w:t>26</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E5D" w:rsidRDefault="00A55E5D" w:rsidP="00030E3B">
    <w:pPr>
      <w:pStyle w:val="FooterwithPortrait"/>
      <w:rPr>
        <w:noProof/>
      </w:rPr>
    </w:pPr>
    <w:r>
      <w:tab/>
    </w:r>
    <w:r>
      <w:fldChar w:fldCharType="begin"/>
    </w:r>
    <w:r>
      <w:instrText xml:space="preserve"> PAGE   \* MERGEFORMAT </w:instrText>
    </w:r>
    <w:r>
      <w:fldChar w:fldCharType="separate"/>
    </w:r>
    <w:r w:rsidR="00472068">
      <w:rPr>
        <w:noProof/>
      </w:rPr>
      <w:t>37</w:t>
    </w:r>
    <w:r>
      <w:rPr>
        <w:noProof/>
      </w:rPr>
      <w:fldChar w:fldCharType="end"/>
    </w:r>
  </w:p>
  <w:p w:rsidR="00A55E5D" w:rsidRPr="00030E3B" w:rsidRDefault="00A55E5D" w:rsidP="00A55E5D">
    <w:pPr>
      <w:pStyle w:val="FooterwithPortrait"/>
      <w:spacing w:before="0"/>
      <w:jc w:val="center"/>
      <w:rPr>
        <w:noProof/>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E5D" w:rsidRDefault="00A55E5D" w:rsidP="007349AB">
    <w:pPr>
      <w:pStyle w:val="FooterwithLandscape"/>
      <w:rPr>
        <w:noProof/>
      </w:rPr>
    </w:pPr>
    <w:r>
      <w:tab/>
    </w:r>
    <w:r>
      <w:fldChar w:fldCharType="begin"/>
    </w:r>
    <w:r>
      <w:instrText xml:space="preserve"> PAGE   \* MERGEFORMAT </w:instrText>
    </w:r>
    <w:r>
      <w:fldChar w:fldCharType="separate"/>
    </w:r>
    <w:r w:rsidR="00472068">
      <w:rPr>
        <w:noProof/>
      </w:rPr>
      <w:t>38</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E5D" w:rsidRDefault="00A55E5D" w:rsidP="00030E3B">
    <w:pPr>
      <w:pStyle w:val="FooterwithPortrait"/>
      <w:rPr>
        <w:noProof/>
      </w:rPr>
    </w:pPr>
    <w:r>
      <w:tab/>
    </w:r>
    <w:r>
      <w:fldChar w:fldCharType="begin"/>
    </w:r>
    <w:r>
      <w:instrText xml:space="preserve"> PAGE   \* MERGEFORMAT </w:instrText>
    </w:r>
    <w:r>
      <w:fldChar w:fldCharType="separate"/>
    </w:r>
    <w:r w:rsidR="00472068">
      <w:rPr>
        <w:noProof/>
      </w:rPr>
      <w:t>41</w:t>
    </w:r>
    <w:r>
      <w:rPr>
        <w:noProof/>
      </w:rPr>
      <w:fldChar w:fldCharType="end"/>
    </w:r>
  </w:p>
  <w:p w:rsidR="00A55E5D" w:rsidRPr="00030E3B" w:rsidRDefault="00A55E5D" w:rsidP="00A55E5D">
    <w:pPr>
      <w:pStyle w:val="FooterwithPortrait"/>
      <w:spacing w:before="0"/>
      <w:jc w:val="center"/>
      <w:rPr>
        <w:noProof/>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E5D" w:rsidRDefault="00A55E5D" w:rsidP="007349AB">
    <w:pPr>
      <w:pStyle w:val="FooterwithLandscape"/>
      <w:rPr>
        <w:noProof/>
      </w:rPr>
    </w:pPr>
    <w:r>
      <w:tab/>
    </w:r>
    <w:r>
      <w:fldChar w:fldCharType="begin"/>
    </w:r>
    <w:r>
      <w:instrText xml:space="preserve"> PAGE   \* MERGEFORMAT </w:instrText>
    </w:r>
    <w:r>
      <w:fldChar w:fldCharType="separate"/>
    </w:r>
    <w:r w:rsidR="00472068">
      <w:rPr>
        <w:noProof/>
      </w:rPr>
      <w:t>42</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E5D" w:rsidRDefault="00A55E5D" w:rsidP="00030E3B">
    <w:pPr>
      <w:pStyle w:val="FooterwithPortrait"/>
      <w:rPr>
        <w:noProof/>
      </w:rPr>
    </w:pPr>
    <w:r>
      <w:tab/>
    </w:r>
    <w:r>
      <w:fldChar w:fldCharType="begin"/>
    </w:r>
    <w:r>
      <w:instrText xml:space="preserve"> PAGE   \* MERGEFORMAT </w:instrText>
    </w:r>
    <w:r>
      <w:fldChar w:fldCharType="separate"/>
    </w:r>
    <w:r w:rsidR="00472068">
      <w:rPr>
        <w:noProof/>
      </w:rPr>
      <w:t>46</w:t>
    </w:r>
    <w:r>
      <w:rPr>
        <w:noProof/>
      </w:rPr>
      <w:fldChar w:fldCharType="end"/>
    </w:r>
  </w:p>
  <w:p w:rsidR="00A55E5D" w:rsidRPr="00030E3B" w:rsidRDefault="00A55E5D" w:rsidP="00A55E5D">
    <w:pPr>
      <w:pStyle w:val="FooterwithPortrait"/>
      <w:spacing w:before="0"/>
      <w:jc w:val="center"/>
      <w:rPr>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026" w:rsidRDefault="00744026" w:rsidP="00DD796F">
      <w:pPr>
        <w:spacing w:before="0" w:line="240" w:lineRule="auto"/>
      </w:pPr>
      <w:r>
        <w:separator/>
      </w:r>
    </w:p>
  </w:footnote>
  <w:footnote w:type="continuationSeparator" w:id="0">
    <w:p w:rsidR="00744026" w:rsidRDefault="00744026" w:rsidP="00DD796F">
      <w:pPr>
        <w:spacing w:before="0" w:line="240" w:lineRule="auto"/>
      </w:pPr>
      <w:r>
        <w:continuationSeparator/>
      </w:r>
    </w:p>
    <w:p w:rsidR="00744026" w:rsidRDefault="00744026"/>
    <w:p w:rsidR="00744026" w:rsidRDefault="00744026"/>
  </w:footnote>
  <w:footnote w:id="1">
    <w:p w:rsidR="00A55E5D" w:rsidRDefault="00A55E5D">
      <w:pPr>
        <w:pStyle w:val="FootnoteText"/>
      </w:pPr>
      <w:r>
        <w:rPr>
          <w:rStyle w:val="FootnoteReference"/>
        </w:rPr>
        <w:footnoteRef/>
      </w:r>
      <w:r>
        <w:t xml:space="preserve"> </w:t>
      </w:r>
      <w:proofErr w:type="gramStart"/>
      <w:r>
        <w:t>Noted in March 2014 PSD for glycopyrronium/indacaterol FDC.</w:t>
      </w:r>
      <w:proofErr w:type="gramEnd"/>
      <w:r>
        <w:t xml:space="preserve"> The MCID was 100-140 mL.</w:t>
      </w:r>
    </w:p>
  </w:footnote>
  <w:footnote w:id="2">
    <w:p w:rsidR="00A55E5D" w:rsidRDefault="00A55E5D">
      <w:pPr>
        <w:pStyle w:val="FootnoteText"/>
      </w:pPr>
      <w:r>
        <w:rPr>
          <w:rStyle w:val="FootnoteReference"/>
        </w:rPr>
        <w:footnoteRef/>
      </w:r>
      <w:r>
        <w:t xml:space="preserve"> Note that a subgroup analysis of the FLAME RCT suggests that superiority (in terms of reducing exaccerbations) is primarily driven by patients who had experienced only one exacerbation in the previous year. There was no statistically significant difference between the FDCs in patients who had experienced two or more exaccerbations in the previous year.</w:t>
      </w:r>
    </w:p>
  </w:footnote>
  <w:footnote w:id="3">
    <w:p w:rsidR="00A55E5D" w:rsidRDefault="00A55E5D">
      <w:pPr>
        <w:pStyle w:val="FootnoteText"/>
      </w:pPr>
      <w:r>
        <w:rPr>
          <w:rStyle w:val="FootnoteReference"/>
        </w:rPr>
        <w:footnoteRef/>
      </w:r>
      <w:r>
        <w:t xml:space="preserve"> The PBS restrictions for ICS/LABAs limit use for COPD treatment to patients with a history of two or more exacerbations in the previous year.</w:t>
      </w:r>
    </w:p>
  </w:footnote>
  <w:footnote w:id="4">
    <w:p w:rsidR="00A55E5D" w:rsidRDefault="00A55E5D" w:rsidP="00035233">
      <w:pPr>
        <w:pStyle w:val="FootnoteText"/>
      </w:pPr>
      <w:r>
        <w:rPr>
          <w:rStyle w:val="FootnoteReference"/>
        </w:rPr>
        <w:footnoteRef/>
      </w:r>
      <w:r>
        <w:t xml:space="preserve"> </w:t>
      </w:r>
      <w:hyperlink r:id="rId1" w:history="1">
        <w:r w:rsidRPr="00967D49">
          <w:rPr>
            <w:rStyle w:val="Hyperlink"/>
          </w:rPr>
          <w:t>COPD-X Plan 2016</w:t>
        </w:r>
      </w:hyperlink>
      <w:r>
        <w:t xml:space="preserve"> </w:t>
      </w:r>
    </w:p>
  </w:footnote>
  <w:footnote w:id="5">
    <w:p w:rsidR="00A55E5D" w:rsidRDefault="00A55E5D" w:rsidP="00035233">
      <w:pPr>
        <w:pStyle w:val="FootnoteText"/>
      </w:pPr>
      <w:r>
        <w:rPr>
          <w:rStyle w:val="FootnoteReference"/>
        </w:rPr>
        <w:footnoteRef/>
      </w:r>
      <w:r>
        <w:t xml:space="preserve"> </w:t>
      </w:r>
      <w:proofErr w:type="gramStart"/>
      <w:r>
        <w:t>Fluticasone propionate/salmeterol, budesonide/formoterol, or beclomethasone/formoterol.</w:t>
      </w:r>
      <w:proofErr w:type="gramEnd"/>
    </w:p>
  </w:footnote>
  <w:footnote w:id="6">
    <w:p w:rsidR="00A55E5D" w:rsidRDefault="00A55E5D" w:rsidP="00035233">
      <w:pPr>
        <w:pStyle w:val="FootnoteText"/>
      </w:pPr>
      <w:r>
        <w:rPr>
          <w:rStyle w:val="FootnoteReference"/>
        </w:rPr>
        <w:footnoteRef/>
      </w:r>
      <w:r>
        <w:t xml:space="preserve"> </w:t>
      </w:r>
      <w:proofErr w:type="gramStart"/>
      <w:r>
        <w:t>Metered dose of aclidinium bromide; equivalent to a delivered dose containing 322 μg of aclidinium (the PBS-listed dose).</w:t>
      </w:r>
      <w:proofErr w:type="gramEnd"/>
    </w:p>
  </w:footnote>
  <w:footnote w:id="7">
    <w:p w:rsidR="00A55E5D" w:rsidRDefault="00A55E5D" w:rsidP="00035233">
      <w:pPr>
        <w:pStyle w:val="FootnoteText"/>
      </w:pPr>
      <w:r>
        <w:rPr>
          <w:rStyle w:val="FootnoteReference"/>
        </w:rPr>
        <w:footnoteRef/>
      </w:r>
      <w:r>
        <w:t xml:space="preserve"> The umeclidinium (Incruse Ellipta) submission, considered by the PBAC in July 2014, presented safety data from this study in Section B.7.2, pp. 144-5.</w:t>
      </w:r>
    </w:p>
  </w:footnote>
  <w:footnote w:id="8">
    <w:p w:rsidR="00A55E5D" w:rsidRDefault="00A55E5D" w:rsidP="00035233">
      <w:pPr>
        <w:pStyle w:val="FootnoteText"/>
      </w:pPr>
      <w:r>
        <w:rPr>
          <w:rStyle w:val="FootnoteReference"/>
        </w:rPr>
        <w:footnoteRef/>
      </w:r>
      <w:r>
        <w:t xml:space="preserve"> Investigators and participants were blinded to umeclidinium/placebo assignment. Open-label tiotropium was included as a positive control.</w:t>
      </w:r>
    </w:p>
  </w:footnote>
  <w:footnote w:id="9">
    <w:p w:rsidR="00A55E5D" w:rsidRDefault="00A55E5D" w:rsidP="00035233">
      <w:pPr>
        <w:pStyle w:val="FootnoteText"/>
      </w:pPr>
      <w:r>
        <w:rPr>
          <w:rStyle w:val="FootnoteReference"/>
        </w:rPr>
        <w:footnoteRef/>
      </w:r>
      <w:r>
        <w:t xml:space="preserve"> The study also examined doses of umeclidinium 125, 250, 500 and 1000 μg qd and 62.5, 125 and 250 μg bid.</w:t>
      </w:r>
    </w:p>
  </w:footnote>
  <w:footnote w:id="10">
    <w:p w:rsidR="00A55E5D" w:rsidRDefault="00A55E5D" w:rsidP="00035233">
      <w:pPr>
        <w:pStyle w:val="FootnoteText"/>
      </w:pPr>
      <w:r>
        <w:rPr>
          <w:rStyle w:val="FootnoteReference"/>
        </w:rPr>
        <w:footnoteRef/>
      </w:r>
      <w:r>
        <w:t xml:space="preserve"> Refers to the delivered dose of glycopyrronium; capsule contains 50 μg of glycopyrronium, in line with PBS-listed dose.</w:t>
      </w:r>
    </w:p>
  </w:footnote>
  <w:footnote w:id="11">
    <w:p w:rsidR="00A55E5D" w:rsidRDefault="00A55E5D" w:rsidP="00035233">
      <w:pPr>
        <w:pStyle w:val="FootnoteText"/>
      </w:pPr>
      <w:r>
        <w:rPr>
          <w:rStyle w:val="FootnoteReference"/>
        </w:rPr>
        <w:footnoteRef/>
      </w:r>
      <w:r>
        <w:t xml:space="preserve"> Mean of values obtained 23 and 24 hours after dosing on Day 84.</w:t>
      </w:r>
    </w:p>
  </w:footnote>
  <w:footnote w:id="12">
    <w:p w:rsidR="00A55E5D" w:rsidRDefault="00A55E5D" w:rsidP="00035233">
      <w:pPr>
        <w:pStyle w:val="FootnoteText"/>
      </w:pPr>
      <w:r>
        <w:rPr>
          <w:rStyle w:val="FootnoteReference"/>
        </w:rPr>
        <w:footnoteRef/>
      </w:r>
      <w:r>
        <w:t xml:space="preserve"> Each of the studies presented in this review are sub-studies/post hoc analyses of the TIOSPIR study.</w:t>
      </w:r>
    </w:p>
  </w:footnote>
  <w:footnote w:id="13">
    <w:p w:rsidR="00A55E5D" w:rsidRDefault="00A55E5D" w:rsidP="00035233">
      <w:pPr>
        <w:pStyle w:val="FootnoteText"/>
      </w:pPr>
      <w:r>
        <w:rPr>
          <w:rStyle w:val="FootnoteReference"/>
        </w:rPr>
        <w:footnoteRef/>
      </w:r>
      <w:r>
        <w:t xml:space="preserve"> The trial was designed to end when approximately 1,266 deaths were reported.</w:t>
      </w:r>
    </w:p>
  </w:footnote>
  <w:footnote w:id="14">
    <w:p w:rsidR="00A55E5D" w:rsidRDefault="00A55E5D" w:rsidP="00035233">
      <w:pPr>
        <w:pStyle w:val="FootnoteText"/>
      </w:pPr>
      <w:r>
        <w:rPr>
          <w:rStyle w:val="FootnoteReference"/>
        </w:rPr>
        <w:footnoteRef/>
      </w:r>
      <w:r>
        <w:t xml:space="preserve"> Patients randomised to umeclidinium also received placebo via the HandiHaler inhaler; patients randomised to tiotropium received placebo via the Ellipta dry power inhaler.</w:t>
      </w:r>
    </w:p>
  </w:footnote>
  <w:footnote w:id="15">
    <w:p w:rsidR="00A55E5D" w:rsidRDefault="00A55E5D" w:rsidP="00035233">
      <w:pPr>
        <w:pStyle w:val="FootnoteText"/>
      </w:pPr>
      <w:r>
        <w:rPr>
          <w:rStyle w:val="FootnoteReference"/>
        </w:rPr>
        <w:footnoteRef/>
      </w:r>
      <w:r>
        <w:t xml:space="preserve"> In this predefined substudy, 464 patients were randomised to tiotropium Respimat 2.5 </w:t>
      </w:r>
      <w:r w:rsidRPr="005C4219">
        <w:t>μ</w:t>
      </w:r>
      <w:r>
        <w:t>g qd. Results are not shown for this treatment group, as it is not a PBS-listed dose.</w:t>
      </w:r>
    </w:p>
  </w:footnote>
  <w:footnote w:id="16">
    <w:p w:rsidR="00A55E5D" w:rsidRDefault="00A55E5D" w:rsidP="00035233">
      <w:pPr>
        <w:pStyle w:val="FootnoteText"/>
      </w:pPr>
      <w:r>
        <w:rPr>
          <w:rStyle w:val="FootnoteReference"/>
        </w:rPr>
        <w:footnoteRef/>
      </w:r>
      <w:r>
        <w:t xml:space="preserve"> This is a non-PBS dose. No results are presented for this treatment group.</w:t>
      </w:r>
    </w:p>
  </w:footnote>
  <w:footnote w:id="17">
    <w:p w:rsidR="00A55E5D" w:rsidRDefault="00A55E5D" w:rsidP="00035233">
      <w:pPr>
        <w:pStyle w:val="FootnoteText"/>
      </w:pPr>
      <w:r>
        <w:rPr>
          <w:rStyle w:val="FootnoteReference"/>
        </w:rPr>
        <w:footnoteRef/>
      </w:r>
      <w:r>
        <w:t xml:space="preserve"> In addition, 2,345</w:t>
      </w:r>
      <w:r w:rsidRPr="00E37AFA">
        <w:t xml:space="preserve"> patients were randomised to tiotropium Respimat 2.5 μg qd. Results are not shown for this treatment group, as it is not a PBS-listed dose.</w:t>
      </w:r>
    </w:p>
  </w:footnote>
  <w:footnote w:id="18">
    <w:p w:rsidR="00A55E5D" w:rsidRDefault="00A55E5D" w:rsidP="00035233">
      <w:pPr>
        <w:pStyle w:val="FootnoteText"/>
      </w:pPr>
      <w:r>
        <w:rPr>
          <w:rStyle w:val="FootnoteReference"/>
        </w:rPr>
        <w:footnoteRef/>
      </w:r>
      <w:r>
        <w:t xml:space="preserve"> Mean of measurements at 23 hrs 10 mins and 23 hrs 45 mins postdose. A difference in trough FEV</w:t>
      </w:r>
      <w:r w:rsidRPr="002C6C26">
        <w:rPr>
          <w:vertAlign w:val="subscript"/>
        </w:rPr>
        <w:t>1</w:t>
      </w:r>
      <w:r>
        <w:t xml:space="preserve"> of 120 mL between indacaterol and placebo was considered clinically relevant.</w:t>
      </w:r>
    </w:p>
  </w:footnote>
  <w:footnote w:id="19">
    <w:p w:rsidR="00A55E5D" w:rsidRDefault="00A55E5D" w:rsidP="00035233">
      <w:pPr>
        <w:pStyle w:val="FootnoteText"/>
      </w:pPr>
      <w:r>
        <w:rPr>
          <w:rStyle w:val="FootnoteReference"/>
        </w:rPr>
        <w:footnoteRef/>
      </w:r>
      <w:r>
        <w:t xml:space="preserve"> COPD exacerbations were defi ned as onset or worsening of more than one respiratory symptom (dyspnea, cough, sputum purulence/volume, or wheeze) for 3 consecutive days, plus intensified treatment (eg, systemic steroids, antibiotics, oxygen) and/or hospitalisation or ED visit.</w:t>
      </w:r>
    </w:p>
  </w:footnote>
  <w:footnote w:id="20">
    <w:p w:rsidR="00A55E5D" w:rsidRDefault="00A55E5D" w:rsidP="00035233">
      <w:pPr>
        <w:pStyle w:val="FootnoteText"/>
      </w:pPr>
      <w:r>
        <w:rPr>
          <w:rStyle w:val="FootnoteReference"/>
        </w:rPr>
        <w:footnoteRef/>
      </w:r>
      <w:r>
        <w:t xml:space="preserve"> </w:t>
      </w:r>
      <w:r w:rsidRPr="005604F4">
        <w:t>Exact physical placebo matches for the tiotropium and indacaterol capsules and for the indacaterol blister packs were not available, although they were closely matched in colour.</w:t>
      </w:r>
    </w:p>
  </w:footnote>
  <w:footnote w:id="21">
    <w:p w:rsidR="00A55E5D" w:rsidRDefault="00A55E5D" w:rsidP="00035233">
      <w:pPr>
        <w:pStyle w:val="FootnoteText"/>
      </w:pPr>
      <w:r>
        <w:rPr>
          <w:rStyle w:val="FootnoteReference"/>
        </w:rPr>
        <w:footnoteRef/>
      </w:r>
      <w:r>
        <w:t xml:space="preserve"> The overall results from the TONADO 1 and TONADO 2 trials were presented in the original tiotropium/olodaterol submission (</w:t>
      </w:r>
      <w:r w:rsidRPr="002B7875">
        <w:t xml:space="preserve">Buhl R, Maltais F, Abrahams R, Bjermer L, Derom E, Ferguson G, et al (2015). </w:t>
      </w:r>
      <w:proofErr w:type="gramStart"/>
      <w:r w:rsidRPr="002B7875">
        <w:t>Tiotropium and olodaterol fixed-dose combination versus mono-components in COPD (GOLD 2-4).</w:t>
      </w:r>
      <w:proofErr w:type="gramEnd"/>
      <w:r w:rsidRPr="002B7875">
        <w:t xml:space="preserve"> European Respiratory Journal 45 (4):969-979</w:t>
      </w:r>
      <w:r>
        <w:t>)</w:t>
      </w:r>
      <w:r w:rsidRPr="002B7875">
        <w:t>.</w:t>
      </w:r>
    </w:p>
  </w:footnote>
  <w:footnote w:id="22">
    <w:p w:rsidR="00A55E5D" w:rsidRDefault="00A55E5D" w:rsidP="00035233">
      <w:pPr>
        <w:pStyle w:val="FootnoteText"/>
      </w:pPr>
      <w:r>
        <w:rPr>
          <w:rStyle w:val="FootnoteReference"/>
        </w:rPr>
        <w:footnoteRef/>
      </w:r>
      <w:r>
        <w:t xml:space="preserve"> </w:t>
      </w:r>
      <w:proofErr w:type="gramStart"/>
      <w:r>
        <w:t>Investigator-blinded only for tiotropium.</w:t>
      </w:r>
      <w:proofErr w:type="gramEnd"/>
    </w:p>
  </w:footnote>
  <w:footnote w:id="23">
    <w:p w:rsidR="00A55E5D" w:rsidRDefault="00A55E5D" w:rsidP="00035233">
      <w:pPr>
        <w:pStyle w:val="FootnoteText"/>
      </w:pPr>
      <w:r>
        <w:rPr>
          <w:rStyle w:val="FootnoteReference"/>
        </w:rPr>
        <w:footnoteRef/>
      </w:r>
      <w:r>
        <w:t xml:space="preserve"> </w:t>
      </w:r>
      <w:r w:rsidRPr="00D02C51">
        <w:t xml:space="preserve">The most common medications taken were inhaled corticosteroids, especially budesonide (26.0% of patients in the </w:t>
      </w:r>
      <w:r>
        <w:t>glycopyrronium/indacaterol</w:t>
      </w:r>
      <w:r w:rsidRPr="00D02C51">
        <w:t xml:space="preserve"> group</w:t>
      </w:r>
      <w:r>
        <w:t>)</w:t>
      </w:r>
      <w:r w:rsidRPr="00D02C51">
        <w:t xml:space="preserve">, tiotropium </w:t>
      </w:r>
      <w:r>
        <w:t>(</w:t>
      </w:r>
      <w:r w:rsidRPr="00D02C51">
        <w:t>24.1%</w:t>
      </w:r>
      <w:r>
        <w:t>)</w:t>
      </w:r>
      <w:r w:rsidRPr="00D02C51">
        <w:t xml:space="preserve"> and placebo </w:t>
      </w:r>
      <w:r>
        <w:t>(</w:t>
      </w:r>
      <w:r w:rsidRPr="00D02C51">
        <w:t>26.0%).</w:t>
      </w:r>
    </w:p>
  </w:footnote>
  <w:footnote w:id="24">
    <w:p w:rsidR="00A55E5D" w:rsidRDefault="00A55E5D" w:rsidP="00035233">
      <w:pPr>
        <w:pStyle w:val="FootnoteText"/>
      </w:pPr>
      <w:r>
        <w:rPr>
          <w:rStyle w:val="FootnoteReference"/>
        </w:rPr>
        <w:footnoteRef/>
      </w:r>
      <w:r>
        <w:t xml:space="preserve"> </w:t>
      </w:r>
      <w:proofErr w:type="gramStart"/>
      <w:r>
        <w:t>Results for this arm was</w:t>
      </w:r>
      <w:proofErr w:type="gramEnd"/>
      <w:r>
        <w:t xml:space="preserve"> not shown as the medicine and/or dose is not PBS listed.</w:t>
      </w:r>
    </w:p>
  </w:footnote>
  <w:footnote w:id="25">
    <w:p w:rsidR="00A55E5D" w:rsidRDefault="00A55E5D" w:rsidP="00035233">
      <w:pPr>
        <w:pStyle w:val="FootnoteText"/>
      </w:pPr>
      <w:r>
        <w:rPr>
          <w:rStyle w:val="FootnoteReference"/>
        </w:rPr>
        <w:footnoteRef/>
      </w:r>
      <w:r>
        <w:t xml:space="preserve"> </w:t>
      </w:r>
      <w:r w:rsidRPr="00992230">
        <w:t>Results for the TIO/OLO 2.5/5 μg arm are not shown as the dose is not PBS</w:t>
      </w:r>
      <w:r>
        <w:t xml:space="preserve"> </w:t>
      </w:r>
      <w:r w:rsidRPr="00992230">
        <w:t>listed.</w:t>
      </w:r>
    </w:p>
  </w:footnote>
  <w:footnote w:id="26">
    <w:p w:rsidR="00A55E5D" w:rsidRPr="009D1434" w:rsidRDefault="00A55E5D" w:rsidP="00035233">
      <w:pPr>
        <w:pStyle w:val="FootnoteText"/>
      </w:pPr>
      <w:r>
        <w:rPr>
          <w:rStyle w:val="FootnoteReference"/>
        </w:rPr>
        <w:footnoteRef/>
      </w:r>
      <w:r>
        <w:t xml:space="preserve"> </w:t>
      </w:r>
      <w:proofErr w:type="gramStart"/>
      <w:r>
        <w:t>Defined as mean of the FEV</w:t>
      </w:r>
      <w:r>
        <w:rPr>
          <w:vertAlign w:val="subscript"/>
        </w:rPr>
        <w:t>1</w:t>
      </w:r>
      <w:r>
        <w:t xml:space="preserve"> values at 23 hr and 23 hr 50 min post-dose.</w:t>
      </w:r>
      <w:proofErr w:type="gramEnd"/>
    </w:p>
  </w:footnote>
  <w:footnote w:id="27">
    <w:p w:rsidR="00A55E5D" w:rsidRPr="00F47FA3" w:rsidRDefault="00A55E5D" w:rsidP="00035233">
      <w:pPr>
        <w:pStyle w:val="FootnoteText"/>
      </w:pPr>
      <w:r>
        <w:rPr>
          <w:rStyle w:val="FootnoteReference"/>
        </w:rPr>
        <w:footnoteRef/>
      </w:r>
      <w:r>
        <w:t xml:space="preserve"> </w:t>
      </w:r>
      <w:proofErr w:type="gramStart"/>
      <w:r>
        <w:t>Defined as mean of FEV</w:t>
      </w:r>
      <w:r>
        <w:rPr>
          <w:vertAlign w:val="subscript"/>
        </w:rPr>
        <w:t>1</w:t>
      </w:r>
      <w:r>
        <w:t xml:space="preserve"> values obtained 23 and 24 hours after the previous day’s dosing.</w:t>
      </w:r>
      <w:proofErr w:type="gramEnd"/>
    </w:p>
  </w:footnote>
  <w:footnote w:id="28">
    <w:p w:rsidR="00A55E5D" w:rsidRDefault="00A55E5D" w:rsidP="00035233">
      <w:pPr>
        <w:pStyle w:val="FootnoteText"/>
      </w:pPr>
      <w:r>
        <w:rPr>
          <w:rStyle w:val="FootnoteReference"/>
        </w:rPr>
        <w:footnoteRef/>
      </w:r>
      <w:r>
        <w:t xml:space="preserve"> Results not presented for this treatment group, as the dose is not PBS listed.</w:t>
      </w:r>
    </w:p>
  </w:footnote>
  <w:footnote w:id="29">
    <w:p w:rsidR="00A55E5D" w:rsidRDefault="00A55E5D" w:rsidP="00035233">
      <w:pPr>
        <w:pStyle w:val="FootnoteText"/>
      </w:pPr>
      <w:r>
        <w:rPr>
          <w:rStyle w:val="FootnoteReference"/>
        </w:rPr>
        <w:footnoteRef/>
      </w:r>
      <w:r>
        <w:t xml:space="preserve"> </w:t>
      </w:r>
      <w:r w:rsidRPr="003D4BED">
        <w:t xml:space="preserve">Buhl R, Maltais F, Abrahams R, Bjermer L, Derom E, Ferguson G, et al (2015). </w:t>
      </w:r>
      <w:proofErr w:type="gramStart"/>
      <w:r w:rsidRPr="003D4BED">
        <w:t>Tiotropium and olodaterol fixed-dose combination versus mono-components in COPD (GOLD 2-4).</w:t>
      </w:r>
      <w:proofErr w:type="gramEnd"/>
      <w:r w:rsidRPr="003D4BED">
        <w:t xml:space="preserve"> European Respiratory Journal 45 (4):969-979.</w:t>
      </w:r>
    </w:p>
  </w:footnote>
  <w:footnote w:id="30">
    <w:p w:rsidR="00A55E5D" w:rsidRDefault="00A55E5D" w:rsidP="00035233">
      <w:pPr>
        <w:pStyle w:val="FootnoteText"/>
      </w:pPr>
      <w:r>
        <w:rPr>
          <w:rStyle w:val="FootnoteReference"/>
        </w:rPr>
        <w:footnoteRef/>
      </w:r>
      <w:r>
        <w:t xml:space="preserve"> </w:t>
      </w:r>
      <w:proofErr w:type="gramStart"/>
      <w:r>
        <w:t>Based on the mMRC dyspnoea scale.</w:t>
      </w:r>
      <w:proofErr w:type="gramEnd"/>
    </w:p>
  </w:footnote>
  <w:footnote w:id="31">
    <w:p w:rsidR="00A55E5D" w:rsidRDefault="00A55E5D" w:rsidP="00035233">
      <w:pPr>
        <w:pStyle w:val="FootnoteText"/>
      </w:pPr>
      <w:r>
        <w:rPr>
          <w:rStyle w:val="FootnoteReference"/>
        </w:rPr>
        <w:footnoteRef/>
      </w:r>
      <w:r>
        <w:t xml:space="preserve"> </w:t>
      </w:r>
      <w:r w:rsidRPr="009E7CEF">
        <w:t>Results for th</w:t>
      </w:r>
      <w:r>
        <w:t>is treatment arm ar</w:t>
      </w:r>
      <w:r w:rsidRPr="009E7CEF">
        <w:t>e not shown as the dose is not PBS</w:t>
      </w:r>
      <w:r>
        <w:t xml:space="preserve"> </w:t>
      </w:r>
      <w:r w:rsidRPr="009E7CEF">
        <w:t>listed.</w:t>
      </w:r>
    </w:p>
  </w:footnote>
  <w:footnote w:id="32">
    <w:p w:rsidR="00A55E5D" w:rsidRPr="00952116" w:rsidRDefault="00A55E5D" w:rsidP="00035233">
      <w:pPr>
        <w:pStyle w:val="FootnoteText"/>
      </w:pPr>
      <w:r>
        <w:rPr>
          <w:rStyle w:val="FootnoteReference"/>
        </w:rPr>
        <w:footnoteRef/>
      </w:r>
      <w:r>
        <w:t xml:space="preserve"> Calculated from pre-dose FEV</w:t>
      </w:r>
      <w:r>
        <w:rPr>
          <w:vertAlign w:val="subscript"/>
        </w:rPr>
        <w:t>1</w:t>
      </w:r>
      <w:r>
        <w:t xml:space="preserve"> and post-dose FEV</w:t>
      </w:r>
      <w:r>
        <w:rPr>
          <w:vertAlign w:val="subscript"/>
        </w:rPr>
        <w:t>1</w:t>
      </w:r>
      <w:r>
        <w:t xml:space="preserve"> evaluations at 5 and 15 minutes and 1, 3, 6, 9, 12 (pre-evening dose), 13, 15, 18, 23 and 24 hours after the morning dose.</w:t>
      </w:r>
    </w:p>
  </w:footnote>
  <w:footnote w:id="33">
    <w:p w:rsidR="00A55E5D" w:rsidRPr="00952116" w:rsidRDefault="00A55E5D" w:rsidP="00035233">
      <w:pPr>
        <w:pStyle w:val="FootnoteText"/>
      </w:pPr>
      <w:r>
        <w:rPr>
          <w:rStyle w:val="FootnoteReference"/>
        </w:rPr>
        <w:footnoteRef/>
      </w:r>
      <w:r>
        <w:t xml:space="preserve"> The mean of the FEV</w:t>
      </w:r>
      <w:r>
        <w:rPr>
          <w:vertAlign w:val="subscript"/>
        </w:rPr>
        <w:t>1</w:t>
      </w:r>
      <w:r>
        <w:t xml:space="preserve"> values recorded 23 and 24 hours after morning dosing on day 84. Trough FEV</w:t>
      </w:r>
      <w:r w:rsidRPr="005E7A18">
        <w:rPr>
          <w:vertAlign w:val="subscript"/>
        </w:rPr>
        <w:t>1</w:t>
      </w:r>
      <w:r>
        <w:t xml:space="preserve"> on Day 85 was analysed using a mixed model for repeated measures analysis with covariates of baseline FEV</w:t>
      </w:r>
      <w:r w:rsidRPr="005E7A18">
        <w:rPr>
          <w:vertAlign w:val="subscript"/>
        </w:rPr>
        <w:t>1</w:t>
      </w:r>
      <w:r>
        <w:t>, smoking status, day, treatment, day by baseline interaction and day by treatment interaction, where day is nominal.</w:t>
      </w:r>
    </w:p>
  </w:footnote>
  <w:footnote w:id="34">
    <w:p w:rsidR="00A55E5D" w:rsidRDefault="00A55E5D" w:rsidP="00035233">
      <w:pPr>
        <w:pStyle w:val="FootnoteText"/>
      </w:pPr>
      <w:r>
        <w:rPr>
          <w:rStyle w:val="FootnoteReference"/>
        </w:rPr>
        <w:footnoteRef/>
      </w:r>
      <w:r>
        <w:t xml:space="preserve"> One patient was randomised in error and did not receive any study medication, and was excluded.</w:t>
      </w:r>
    </w:p>
  </w:footnote>
  <w:footnote w:id="35">
    <w:p w:rsidR="00A55E5D" w:rsidRDefault="00A55E5D" w:rsidP="00035233">
      <w:pPr>
        <w:pStyle w:val="FootnoteText"/>
      </w:pPr>
      <w:r>
        <w:rPr>
          <w:rStyle w:val="FootnoteReference"/>
        </w:rPr>
        <w:footnoteRef/>
      </w:r>
      <w:r>
        <w:t xml:space="preserve"> </w:t>
      </w:r>
      <w:proofErr w:type="gramStart"/>
      <w:r>
        <w:t>Average of the values taken at –45 and –15 mins pre-dose.</w:t>
      </w:r>
      <w:proofErr w:type="gramEnd"/>
    </w:p>
  </w:footnote>
  <w:footnote w:id="36">
    <w:p w:rsidR="00A55E5D" w:rsidRDefault="00A55E5D" w:rsidP="00035233">
      <w:pPr>
        <w:pStyle w:val="FootnoteText"/>
      </w:pPr>
      <w:r>
        <w:rPr>
          <w:rStyle w:val="FootnoteReference"/>
        </w:rPr>
        <w:footnoteRef/>
      </w:r>
      <w:r>
        <w:t xml:space="preserve"> Mean trough FEV</w:t>
      </w:r>
      <w:r w:rsidRPr="005272F8">
        <w:rPr>
          <w:vertAlign w:val="subscript"/>
        </w:rPr>
        <w:t>1</w:t>
      </w:r>
      <w:r>
        <w:t xml:space="preserve"> after 26 weeks (imputed with the last observation carried forward), was analysed using a mixed model. The model included treatment, smoking status (current/ex-smoker), COPD exacerbation history (yes/no), baseline ICS use (yes/no), and region as fixed effects; baseline FEV</w:t>
      </w:r>
      <w:r w:rsidRPr="005272F8">
        <w:rPr>
          <w:vertAlign w:val="subscript"/>
        </w:rPr>
        <w:t>1</w:t>
      </w:r>
      <w:r>
        <w:t xml:space="preserve"> measurement and FEV</w:t>
      </w:r>
      <w:r w:rsidRPr="005272F8">
        <w:rPr>
          <w:vertAlign w:val="subscript"/>
        </w:rPr>
        <w:t>1</w:t>
      </w:r>
      <w:r>
        <w:t xml:space="preserve"> reversibility as covariates; and center nested within region as a random effect. The estimated adjusted treatment difference for QVA149 to SFC was displayed along with the associated two-sided 95% CI.</w:t>
      </w:r>
    </w:p>
  </w:footnote>
  <w:footnote w:id="37">
    <w:p w:rsidR="00A55E5D" w:rsidRDefault="00A55E5D" w:rsidP="00035233">
      <w:pPr>
        <w:pStyle w:val="FootnoteText"/>
      </w:pPr>
      <w:r>
        <w:rPr>
          <w:rStyle w:val="FootnoteReference"/>
        </w:rPr>
        <w:footnoteRef/>
      </w:r>
      <w:r>
        <w:t xml:space="preserve"> Moderate or severe COPD exacerbation was analyzed as an exacerbation rate by a negative binomial </w:t>
      </w:r>
      <w:proofErr w:type="gramStart"/>
      <w:r>
        <w:t>model,</w:t>
      </w:r>
      <w:proofErr w:type="gramEnd"/>
      <w:r>
        <w:t xml:space="preserve"> and time to first exacerbation by a Kaplan–Meier curve and Cox proportional hazard model. The negative binomial model and Cox</w:t>
      </w:r>
      <w:r w:rsidRPr="005272F8">
        <w:t xml:space="preserve"> </w:t>
      </w:r>
      <w:r>
        <w:t>proportional hazard model included treatment, baseline ICS use (yes/no), baseline total symptom score, baseline COPD exacerbation history (the number of COPD exacerbations in the year prior to screening), FEV</w:t>
      </w:r>
      <w:r w:rsidRPr="005272F8">
        <w:rPr>
          <w:vertAlign w:val="subscript"/>
        </w:rPr>
        <w:t>1</w:t>
      </w:r>
      <w:r>
        <w:t xml:space="preserve"> reversibility components, smoking history (current/ex-smoker), and region.</w:t>
      </w:r>
    </w:p>
  </w:footnote>
  <w:footnote w:id="38">
    <w:p w:rsidR="00A55E5D" w:rsidRDefault="00A55E5D" w:rsidP="00035233">
      <w:pPr>
        <w:pStyle w:val="FootnoteText"/>
      </w:pPr>
      <w:r>
        <w:rPr>
          <w:rStyle w:val="FootnoteReference"/>
        </w:rPr>
        <w:footnoteRef/>
      </w:r>
      <w:r>
        <w:t xml:space="preserve"> Exacerbations were defined as worsening of symptoms that were captured via the ediary. Moderate and severe exacerbations were also captured in the case report form (CRF). Quality control and reconciliation of the exacerbation data contained within the e-diary and CRF was carried out. The Anthonisen criteria were used to define the symptoms of an exacerbation. A COPD exacerbation was considered moderate, if patients were treated with systemic corticosteroids or antibiotics or both, and were considered severe, if patients were hospitalized or experienced an emergency room (ER) visit longer than 24 hours.</w:t>
      </w:r>
    </w:p>
  </w:footnote>
  <w:footnote w:id="39">
    <w:p w:rsidR="00A55E5D" w:rsidRDefault="00A55E5D" w:rsidP="00035233">
      <w:pPr>
        <w:pStyle w:val="FootnoteText"/>
      </w:pPr>
      <w:r>
        <w:rPr>
          <w:rStyle w:val="FootnoteReference"/>
        </w:rPr>
        <w:footnoteRef/>
      </w:r>
      <w:r>
        <w:t xml:space="preserve"> An important secondary objective, if non-inferiority could be established, was to show whether glycopyrronium/indacaterol would be superior to fluticasone propionate/salmeterol in reducing the annual rate of all COPD exacerbations. </w:t>
      </w:r>
    </w:p>
  </w:footnote>
  <w:footnote w:id="40">
    <w:p w:rsidR="00A55E5D" w:rsidRDefault="00A55E5D" w:rsidP="00035233">
      <w:pPr>
        <w:pStyle w:val="FootnoteText"/>
      </w:pPr>
      <w:r>
        <w:rPr>
          <w:rStyle w:val="FootnoteReference"/>
        </w:rPr>
        <w:footnoteRef/>
      </w:r>
      <w:r>
        <w:t xml:space="preserve"> Exacerbation was defined as the worsening of two or more major symptoms (dyspnoea, sputum volume, and sputum purulence) for at least two consecutive days; or worsening of one major symptom together with one minor symptoms (sore throat, colds, fever without other cause, increased cough, or increased wheeze) for at least two consecutive days.</w:t>
      </w:r>
    </w:p>
  </w:footnote>
  <w:footnote w:id="41">
    <w:p w:rsidR="00A55E5D" w:rsidRPr="001A1EEE" w:rsidRDefault="00A55E5D" w:rsidP="00035233">
      <w:pPr>
        <w:pStyle w:val="FootnoteText"/>
      </w:pPr>
      <w:r>
        <w:rPr>
          <w:rStyle w:val="FootnoteReference"/>
        </w:rPr>
        <w:footnoteRef/>
      </w:r>
      <w:r>
        <w:t xml:space="preserve"> The MCID for trough FEV</w:t>
      </w:r>
      <w:r>
        <w:rPr>
          <w:vertAlign w:val="subscript"/>
        </w:rPr>
        <w:t>1</w:t>
      </w:r>
      <w:r>
        <w:t xml:space="preserve"> was defined as 100 mL.</w:t>
      </w:r>
    </w:p>
  </w:footnote>
  <w:footnote w:id="42">
    <w:p w:rsidR="00A55E5D" w:rsidRDefault="00A55E5D" w:rsidP="00035233">
      <w:pPr>
        <w:pStyle w:val="FootnoteText"/>
      </w:pPr>
      <w:r>
        <w:rPr>
          <w:rStyle w:val="FootnoteReference"/>
        </w:rPr>
        <w:footnoteRef/>
      </w:r>
      <w:r>
        <w:t xml:space="preserve"> </w:t>
      </w:r>
      <w:r w:rsidRPr="00307ADE">
        <w:t xml:space="preserve">The non-inferiority margin was based on the treatment difference between </w:t>
      </w:r>
      <w:r>
        <w:t xml:space="preserve">fluticasone propionate/salmeterol </w:t>
      </w:r>
      <w:r w:rsidRPr="00307ADE">
        <w:t>and placebo of 160 mL with a 95% confidence interval</w:t>
      </w:r>
      <w:r>
        <w:t xml:space="preserve"> (CI) of 120–200 mL, as summaris</w:t>
      </w:r>
      <w:r w:rsidRPr="00307ADE">
        <w:t>ed in a Cochrane review</w:t>
      </w:r>
      <w:r>
        <w:t xml:space="preserve"> (Nannini et al, 2007).</w:t>
      </w:r>
      <w:r w:rsidRPr="00307ADE">
        <w:t xml:space="preserve"> </w:t>
      </w:r>
      <w:r>
        <w:t>The non-inferiority margin was set as one-half of the lower bound of the confidence interval.</w:t>
      </w:r>
    </w:p>
  </w:footnote>
  <w:footnote w:id="43">
    <w:p w:rsidR="00A55E5D" w:rsidRDefault="00A55E5D" w:rsidP="00035233">
      <w:pPr>
        <w:pStyle w:val="FootnoteText"/>
      </w:pPr>
      <w:r>
        <w:rPr>
          <w:rStyle w:val="FootnoteReference"/>
        </w:rPr>
        <w:footnoteRef/>
      </w:r>
      <w:r>
        <w:t xml:space="preserve"> </w:t>
      </w:r>
      <w:r w:rsidRPr="00EF2DE1">
        <w:t>A supportive analysis undertaken using the modified ITT population also established non-inferiority.</w:t>
      </w:r>
    </w:p>
  </w:footnote>
  <w:footnote w:id="44">
    <w:p w:rsidR="00A55E5D" w:rsidRDefault="00A55E5D" w:rsidP="00035233">
      <w:pPr>
        <w:pStyle w:val="FootnoteText"/>
      </w:pPr>
      <w:r>
        <w:rPr>
          <w:rStyle w:val="FootnoteReference"/>
        </w:rPr>
        <w:footnoteRef/>
      </w:r>
      <w:r>
        <w:t xml:space="preserve"> Treatment allocation was stratified by centre and smoking status on a 1:1 basis.</w:t>
      </w:r>
    </w:p>
  </w:footnote>
  <w:footnote w:id="45">
    <w:p w:rsidR="00A55E5D" w:rsidRDefault="00A55E5D" w:rsidP="00035233">
      <w:pPr>
        <w:pStyle w:val="FootnoteText"/>
      </w:pPr>
      <w:r>
        <w:rPr>
          <w:rStyle w:val="FootnoteReference"/>
        </w:rPr>
        <w:footnoteRef/>
      </w:r>
      <w:r>
        <w:t xml:space="preserve"> </w:t>
      </w:r>
      <w:proofErr w:type="gramStart"/>
      <w:r>
        <w:t>Defined as exacerbations that required treatment with oral corticosteroids and/or antibiotics or required hospitalisation.</w:t>
      </w:r>
      <w:proofErr w:type="gramEnd"/>
    </w:p>
  </w:footnote>
  <w:footnote w:id="46">
    <w:p w:rsidR="00A55E5D" w:rsidRDefault="00A55E5D" w:rsidP="00035233">
      <w:pPr>
        <w:pStyle w:val="FootnoteText"/>
      </w:pPr>
      <w:r>
        <w:rPr>
          <w:rStyle w:val="FootnoteReference"/>
        </w:rPr>
        <w:footnoteRef/>
      </w:r>
      <w:r>
        <w:t xml:space="preserve"> Exacerbation rates were analysed using a generalized linear model (assuming the negative binomial distribution) with number of exacerbations as the outcome and the log of time on treatment as an offset variable, with covariates of baseline smoking status, disease severity (% predicted FEV</w:t>
      </w:r>
      <w:r w:rsidRPr="00B3450C">
        <w:rPr>
          <w:vertAlign w:val="subscript"/>
        </w:rPr>
        <w:t>1</w:t>
      </w:r>
      <w:r>
        <w:t xml:space="preserve"> at baseline), body mass index, number of exacerbations reported in the 12 months before screening, age, gender, and country. Adjusted mean rates per year and pairwise treatment ratios with P values and confidence intervals (CIs) were calculated. The incidence of exacerbations requiring hospitalization was compared between treatments using Fisher’s exact test.</w:t>
      </w:r>
    </w:p>
  </w:footnote>
  <w:footnote w:id="47">
    <w:p w:rsidR="00A55E5D" w:rsidRDefault="00A55E5D" w:rsidP="00035233">
      <w:pPr>
        <w:pStyle w:val="FootnoteText"/>
      </w:pPr>
      <w:r>
        <w:rPr>
          <w:rStyle w:val="FootnoteReference"/>
        </w:rPr>
        <w:footnoteRef/>
      </w:r>
      <w:r>
        <w:t xml:space="preserve"> Primary and secondary outcomes not specified.</w:t>
      </w:r>
    </w:p>
  </w:footnote>
  <w:footnote w:id="48">
    <w:p w:rsidR="00A55E5D" w:rsidRDefault="00A55E5D" w:rsidP="00035233">
      <w:pPr>
        <w:pStyle w:val="FootnoteText"/>
      </w:pPr>
      <w:r>
        <w:rPr>
          <w:rStyle w:val="FootnoteReference"/>
        </w:rPr>
        <w:footnoteRef/>
      </w:r>
      <w:r>
        <w:t xml:space="preserve"> </w:t>
      </w:r>
      <w:proofErr w:type="gramStart"/>
      <w:r>
        <w:t>Defined as any worsening of respiratory symptoms for three or more days that necessitated increased use of bronchodilators or additional administration of antibiotics and/or systemic steroids or that resulted in a visit to the emergency department and/or admission to hospital.</w:t>
      </w:r>
      <w:proofErr w:type="gramEnd"/>
    </w:p>
  </w:footnote>
  <w:footnote w:id="49">
    <w:p w:rsidR="00A55E5D" w:rsidRDefault="00A55E5D" w:rsidP="00035233">
      <w:pPr>
        <w:pStyle w:val="FootnoteText"/>
      </w:pPr>
      <w:r>
        <w:rPr>
          <w:rStyle w:val="FootnoteReference"/>
        </w:rPr>
        <w:footnoteRef/>
      </w:r>
      <w:r>
        <w:t xml:space="preserve"> Chi-square and Fisher’s </w:t>
      </w:r>
      <w:proofErr w:type="gramStart"/>
      <w:r>
        <w:t>Exact</w:t>
      </w:r>
      <w:proofErr w:type="gramEnd"/>
      <w:r>
        <w:t xml:space="preserve"> test were performed for categorical variables. Student’s t-test was done for variables which showed a normal distribution, and Mann-Whitney U test was done for variables that did not.</w:t>
      </w:r>
    </w:p>
  </w:footnote>
  <w:footnote w:id="50">
    <w:p w:rsidR="00A55E5D" w:rsidRDefault="00A55E5D" w:rsidP="00035233">
      <w:pPr>
        <w:pStyle w:val="FootnoteText"/>
      </w:pPr>
      <w:r>
        <w:rPr>
          <w:rStyle w:val="FootnoteReference"/>
        </w:rPr>
        <w:footnoteRef/>
      </w:r>
      <w:r>
        <w:t xml:space="preserve"> Tiotropium and placebo capsules were closely matched in colour, but tiotropium capsules had trade markings that were not present on the placebo capsules. </w:t>
      </w:r>
      <w:r w:rsidRPr="00000FFE">
        <w:t xml:space="preserve">Whether subjects would notice and correctly or incorrectly interpret this difference is unclear. Both the </w:t>
      </w:r>
      <w:r>
        <w:t xml:space="preserve">tiotropium </w:t>
      </w:r>
      <w:r w:rsidRPr="00000FFE">
        <w:t xml:space="preserve">and placebo blister packages were covered with opaque overlabels that hide the information on the </w:t>
      </w:r>
      <w:r>
        <w:t>tiotropium</w:t>
      </w:r>
      <w:r w:rsidRPr="00000FFE">
        <w:t xml:space="preserve"> packaging. </w:t>
      </w:r>
      <w:r>
        <w:t>HandiHaler</w:t>
      </w:r>
      <w:r w:rsidRPr="00000FFE">
        <w:t>s were covered with labels to mask identifying marks.</w:t>
      </w:r>
    </w:p>
  </w:footnote>
  <w:footnote w:id="51">
    <w:p w:rsidR="00A55E5D" w:rsidRDefault="00A55E5D" w:rsidP="00035233">
      <w:pPr>
        <w:pStyle w:val="FootnoteText"/>
      </w:pPr>
      <w:r>
        <w:rPr>
          <w:rStyle w:val="FootnoteReference"/>
        </w:rPr>
        <w:footnoteRef/>
      </w:r>
      <w:r>
        <w:t xml:space="preserve"> Either did or did not have ≥1 COPD exacerbation requiring oral corticosteroid and/or antibiotic treatment and/or hospitalisation in the 3 years prior to screening.</w:t>
      </w:r>
    </w:p>
  </w:footnote>
  <w:footnote w:id="52">
    <w:p w:rsidR="00A55E5D" w:rsidRPr="004E61D5" w:rsidRDefault="00A55E5D" w:rsidP="00035233">
      <w:pPr>
        <w:pStyle w:val="FootnoteText"/>
      </w:pPr>
      <w:r>
        <w:rPr>
          <w:rStyle w:val="FootnoteReference"/>
        </w:rPr>
        <w:footnoteRef/>
      </w:r>
      <w:r>
        <w:t xml:space="preserve"> Either reversible (defined as an increase in FEV</w:t>
      </w:r>
      <w:r>
        <w:rPr>
          <w:vertAlign w:val="subscript"/>
        </w:rPr>
        <w:t>1</w:t>
      </w:r>
      <w:r>
        <w:t xml:space="preserve"> of ≥12% and ≥200 mL) or non-reversible (defined as an increase in FEV</w:t>
      </w:r>
      <w:r>
        <w:rPr>
          <w:vertAlign w:val="subscript"/>
        </w:rPr>
        <w:t>1</w:t>
      </w:r>
      <w:r>
        <w:t xml:space="preserve"> &lt;200 mL or ≥200 mL and &lt;12% after albuterol administration at screening).</w:t>
      </w:r>
    </w:p>
  </w:footnote>
  <w:footnote w:id="53">
    <w:p w:rsidR="00A55E5D" w:rsidRPr="00262702" w:rsidRDefault="00A55E5D" w:rsidP="00B81E5A">
      <w:pPr>
        <w:pStyle w:val="FootnoteText"/>
      </w:pPr>
      <w:r>
        <w:rPr>
          <w:rStyle w:val="FootnoteReference"/>
        </w:rPr>
        <w:footnoteRef/>
      </w:r>
      <w:r>
        <w:t xml:space="preserve"> Mean of the FEV</w:t>
      </w:r>
      <w:r>
        <w:rPr>
          <w:vertAlign w:val="subscript"/>
        </w:rPr>
        <w:t>1</w:t>
      </w:r>
      <w:r>
        <w:t xml:space="preserve"> measurements at 23 hr 10 min and 23 hr 45 mins after the morning dose on Day 84.</w:t>
      </w:r>
    </w:p>
  </w:footnote>
  <w:footnote w:id="54">
    <w:p w:rsidR="00A55E5D" w:rsidRDefault="00A55E5D" w:rsidP="00B81E5A">
      <w:pPr>
        <w:pStyle w:val="FootnoteText"/>
      </w:pPr>
      <w:r>
        <w:rPr>
          <w:rStyle w:val="FootnoteReference"/>
        </w:rPr>
        <w:footnoteRef/>
      </w:r>
      <w:r>
        <w:t xml:space="preserve"> COPD exacerbations were defined as worsening for at least two consecutive days of two or more of the major symptoms (dyspnoea, sputum volume or sputum purulence) or worsening of any one major symptom together with any one minor symptom (sore throat, colds (nasal discharge or nasal congestion), fever without other cause, cough or wheeze). Moderate exacerbations were those managed with antibiotics and/or oral corticosteroids; severe exacerbations were those that resulted in hospitalisation.</w:t>
      </w:r>
    </w:p>
  </w:footnote>
  <w:footnote w:id="55">
    <w:p w:rsidR="00A55E5D" w:rsidRDefault="00A55E5D" w:rsidP="00035233">
      <w:pPr>
        <w:pStyle w:val="FootnoteText"/>
      </w:pPr>
      <w:r>
        <w:rPr>
          <w:rStyle w:val="FootnoteReference"/>
        </w:rPr>
        <w:footnoteRef/>
      </w:r>
      <w:r>
        <w:t xml:space="preserve"> FLU/VIL treatment was open label; UME and PBO were double-blind.</w:t>
      </w:r>
    </w:p>
  </w:footnote>
  <w:footnote w:id="56">
    <w:p w:rsidR="00A55E5D" w:rsidRDefault="00A55E5D" w:rsidP="00035233">
      <w:pPr>
        <w:pStyle w:val="FootnoteText"/>
      </w:pPr>
      <w:r>
        <w:rPr>
          <w:rStyle w:val="FootnoteReference"/>
        </w:rPr>
        <w:footnoteRef/>
      </w:r>
      <w:r>
        <w:t xml:space="preserve"> Results not reported for this treatment group because umeclidinium 125 μg is not a PBS-listed dose.</w:t>
      </w:r>
    </w:p>
  </w:footnote>
  <w:footnote w:id="57">
    <w:p w:rsidR="00A55E5D" w:rsidRDefault="00A55E5D" w:rsidP="00035233">
      <w:pPr>
        <w:pStyle w:val="FootnoteText"/>
      </w:pPr>
      <w:r>
        <w:rPr>
          <w:rStyle w:val="FootnoteReference"/>
        </w:rPr>
        <w:footnoteRef/>
      </w:r>
      <w:r>
        <w:t xml:space="preserve"> FLU/VIL treatment was open label; UME and PBO were double-blind.</w:t>
      </w:r>
    </w:p>
  </w:footnote>
  <w:footnote w:id="58">
    <w:p w:rsidR="00A55E5D" w:rsidRDefault="00A55E5D" w:rsidP="00035233">
      <w:pPr>
        <w:pStyle w:val="FootnoteText"/>
      </w:pPr>
      <w:r>
        <w:rPr>
          <w:rStyle w:val="FootnoteReference"/>
        </w:rPr>
        <w:footnoteRef/>
      </w:r>
      <w:r>
        <w:t xml:space="preserve"> Results not reported for this treatment group because umeclidinium 125 μg is not a PBS-listed dose.</w:t>
      </w:r>
    </w:p>
  </w:footnote>
  <w:footnote w:id="59">
    <w:p w:rsidR="00A55E5D" w:rsidRPr="00DE22C2" w:rsidRDefault="00A55E5D" w:rsidP="00035233">
      <w:pPr>
        <w:pStyle w:val="FootnoteText"/>
      </w:pPr>
      <w:r>
        <w:rPr>
          <w:rStyle w:val="FootnoteReference"/>
        </w:rPr>
        <w:footnoteRef/>
      </w:r>
      <w:r>
        <w:t xml:space="preserve"> Defined as the mean of the FEV</w:t>
      </w:r>
      <w:r>
        <w:rPr>
          <w:vertAlign w:val="subscript"/>
        </w:rPr>
        <w:t>1</w:t>
      </w:r>
      <w:r>
        <w:t xml:space="preserve"> values obtained 23 and 24 hours after dosing on day 84.</w:t>
      </w:r>
    </w:p>
  </w:footnote>
  <w:footnote w:id="60">
    <w:p w:rsidR="00A55E5D" w:rsidRDefault="00A55E5D" w:rsidP="00035233">
      <w:pPr>
        <w:pStyle w:val="FootnoteText"/>
      </w:pPr>
      <w:r>
        <w:rPr>
          <w:rStyle w:val="FootnoteReference"/>
        </w:rPr>
        <w:footnoteRef/>
      </w:r>
      <w:r>
        <w:t xml:space="preserve"> The authors stated that previous studies have investigated FLU/SAL 250/50 and FLU/VIL 100/25.</w:t>
      </w:r>
    </w:p>
  </w:footnote>
  <w:footnote w:id="61">
    <w:p w:rsidR="00A55E5D" w:rsidRDefault="00A55E5D" w:rsidP="00035233">
      <w:pPr>
        <w:pStyle w:val="FootnoteText"/>
      </w:pPr>
      <w:r>
        <w:rPr>
          <w:rStyle w:val="FootnoteReference"/>
        </w:rPr>
        <w:footnoteRef/>
      </w:r>
      <w:r>
        <w:t xml:space="preserve"> </w:t>
      </w:r>
      <w:r w:rsidRPr="0060307D">
        <w:t>Of the patients who were randomised to umeclidinium or placebo, 40% were taking fluticasone</w:t>
      </w:r>
      <w:r>
        <w:t xml:space="preserve"> propionate</w:t>
      </w:r>
      <w:r w:rsidRPr="0060307D">
        <w:t>/salmeterol, 43% were taking budesonide/eformoterol, and 17% were taking other ICS/LABA combinations including generics (but excluding fluticasone</w:t>
      </w:r>
      <w:r>
        <w:t xml:space="preserve"> propionate</w:t>
      </w:r>
      <w:r w:rsidRPr="0060307D">
        <w:t>/salmeterol 250/50 μg and fluticasone</w:t>
      </w:r>
      <w:r>
        <w:t xml:space="preserve"> furoate</w:t>
      </w:r>
      <w:r w:rsidRPr="0060307D">
        <w:t>/vilanterol 100/25 μg).</w:t>
      </w:r>
    </w:p>
  </w:footnote>
  <w:footnote w:id="62">
    <w:p w:rsidR="00A55E5D" w:rsidRDefault="00A55E5D" w:rsidP="00035233">
      <w:pPr>
        <w:pStyle w:val="FootnoteText"/>
      </w:pPr>
      <w:r>
        <w:rPr>
          <w:rStyle w:val="FootnoteReference"/>
        </w:rPr>
        <w:footnoteRef/>
      </w:r>
      <w:r>
        <w:t xml:space="preserve"> </w:t>
      </w:r>
      <w:proofErr w:type="gramStart"/>
      <w:r>
        <w:t>Using the mMRC Dyspnea Scale.</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E5D" w:rsidRPr="00030E3B" w:rsidRDefault="00A55E5D" w:rsidP="00A55E5D">
    <w:pPr>
      <w:pStyle w:val="Header"/>
      <w:spacing w:after="120"/>
    </w:pPr>
    <w:r>
      <w:t>Post-market Review of COPD Medicines</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E5D" w:rsidRDefault="00A55E5D">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E5D" w:rsidRDefault="00A55E5D">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E5D" w:rsidRDefault="00A55E5D">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E5D" w:rsidRDefault="00A55E5D">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E5D" w:rsidRDefault="00A55E5D">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E5D" w:rsidRDefault="00A55E5D">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E5D" w:rsidRDefault="00A55E5D">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9CC" w:rsidRPr="00E409CC" w:rsidRDefault="00E409CC" w:rsidP="00E409CC">
    <w:pPr>
      <w:pStyle w:val="Header"/>
      <w:spacing w:after="0"/>
    </w:pPr>
    <w:r>
      <w:t>Post-market Review of COPD Medicines</w:t>
    </w:r>
    <w:r>
      <w:tab/>
    </w:r>
    <w:r>
      <w:tab/>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9CC" w:rsidRPr="00E409CC" w:rsidRDefault="00E409CC" w:rsidP="00E409CC">
    <w:pPr>
      <w:pStyle w:val="Header"/>
      <w:spacing w:after="120"/>
    </w:pPr>
    <w:r>
      <w:t>Post-market Review of COPD Medicines</w:t>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E5D" w:rsidRDefault="00A55E5D" w:rsidP="00C02E78">
    <w:pPr>
      <w:pStyle w:val="Header"/>
      <w:pBdr>
        <w:bottom w:val="none" w:sz="0" w:space="0" w:color="auto"/>
      </w:pBd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E5D" w:rsidRDefault="00A55E5D">
    <w:pPr>
      <w:pStyle w:val="Header"/>
    </w:pPr>
  </w:p>
  <w:p w:rsidR="00A55E5D" w:rsidRDefault="00A55E5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E5D" w:rsidRDefault="00A55E5D">
    <w:pPr>
      <w:pStyle w:val="Header"/>
    </w:pPr>
  </w:p>
  <w:p w:rsidR="00A55E5D" w:rsidRDefault="00A55E5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E5D" w:rsidRDefault="00A55E5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E5D" w:rsidRPr="00A55E5D" w:rsidRDefault="00A55E5D" w:rsidP="00A55E5D">
    <w:pPr>
      <w:pStyle w:val="Header"/>
      <w:spacing w:after="0"/>
      <w:rPr>
        <w:b/>
      </w:rPr>
    </w:pPr>
    <w:r>
      <w:t>Post-market Review of COPD Medicines</w:t>
    </w:r>
    <w:r>
      <w:tab/>
    </w: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E5D" w:rsidRDefault="00A55E5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E5D" w:rsidRDefault="00A55E5D">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E5D" w:rsidRPr="00A55E5D" w:rsidRDefault="00A55E5D" w:rsidP="00A55E5D">
    <w:pPr>
      <w:pStyle w:val="Header"/>
      <w:spacing w:after="120"/>
      <w:rPr>
        <w:b/>
      </w:rPr>
    </w:pPr>
    <w:r>
      <w:t>Post-market Review of COPD Medicines</w:t>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39B8"/>
    <w:multiLevelType w:val="hybridMultilevel"/>
    <w:tmpl w:val="08CCD776"/>
    <w:lvl w:ilvl="0" w:tplc="C1D83692">
      <w:start w:val="1"/>
      <w:numFmt w:val="decimal"/>
      <w:lvlText w:val="%1."/>
      <w:lvlJc w:val="left"/>
      <w:pPr>
        <w:ind w:left="227" w:hanging="170"/>
      </w:pPr>
      <w:rPr>
        <w:rFonts w:hint="default"/>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
    <w:nsid w:val="02077482"/>
    <w:multiLevelType w:val="hybridMultilevel"/>
    <w:tmpl w:val="ED44FCB2"/>
    <w:lvl w:ilvl="0" w:tplc="FFC6DE9E">
      <w:start w:val="1"/>
      <w:numFmt w:val="bullet"/>
      <w:pStyle w:val="08Bulletsseriesofsentence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20D5BE6"/>
    <w:multiLevelType w:val="hybridMultilevel"/>
    <w:tmpl w:val="D2A004FA"/>
    <w:lvl w:ilvl="0" w:tplc="7DDCFD66">
      <w:start w:val="1"/>
      <w:numFmt w:val="decimal"/>
      <w:lvlText w:val="%1."/>
      <w:lvlJc w:val="left"/>
      <w:pPr>
        <w:ind w:left="227" w:hanging="17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3">
    <w:nsid w:val="08474935"/>
    <w:multiLevelType w:val="hybridMultilevel"/>
    <w:tmpl w:val="56F67F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0AA3325B"/>
    <w:multiLevelType w:val="hybridMultilevel"/>
    <w:tmpl w:val="1E70237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5">
    <w:nsid w:val="0C68343F"/>
    <w:multiLevelType w:val="hybridMultilevel"/>
    <w:tmpl w:val="05003222"/>
    <w:lvl w:ilvl="0" w:tplc="A37E978A">
      <w:start w:val="1"/>
      <w:numFmt w:val="decimal"/>
      <w:lvlText w:val="%1."/>
      <w:lvlJc w:val="left"/>
      <w:pPr>
        <w:ind w:left="227" w:hanging="170"/>
      </w:pPr>
      <w:rPr>
        <w:rFonts w:hint="default"/>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6">
    <w:nsid w:val="114951C0"/>
    <w:multiLevelType w:val="hybridMultilevel"/>
    <w:tmpl w:val="DEB2F22A"/>
    <w:lvl w:ilvl="0" w:tplc="7ECA6BCC">
      <w:start w:val="1"/>
      <w:numFmt w:val="bullet"/>
      <w:pStyle w:val="Bullettextsecondlevel"/>
      <w:lvlText w:val=""/>
      <w:lvlJc w:val="left"/>
      <w:pPr>
        <w:ind w:left="814" w:hanging="360"/>
      </w:pPr>
      <w:rPr>
        <w:rFonts w:ascii="Wingdings" w:hAnsi="Wingdings" w:hint="default"/>
        <w:sz w:val="1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1871CD5"/>
    <w:multiLevelType w:val="hybridMultilevel"/>
    <w:tmpl w:val="B3345608"/>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EFA0BA0"/>
    <w:multiLevelType w:val="hybridMultilevel"/>
    <w:tmpl w:val="6EFE66CE"/>
    <w:lvl w:ilvl="0" w:tplc="ECE6FCF8">
      <w:start w:val="1"/>
      <w:numFmt w:val="decimal"/>
      <w:lvlText w:val="%1."/>
      <w:lvlJc w:val="left"/>
      <w:pPr>
        <w:ind w:left="227" w:hanging="17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9">
    <w:nsid w:val="1FDD14F8"/>
    <w:multiLevelType w:val="hybridMultilevel"/>
    <w:tmpl w:val="E524431A"/>
    <w:styleLink w:val="Numberedlist1"/>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13E7C55"/>
    <w:multiLevelType w:val="hybridMultilevel"/>
    <w:tmpl w:val="5DAAAB1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1">
    <w:nsid w:val="24660FB5"/>
    <w:multiLevelType w:val="hybridMultilevel"/>
    <w:tmpl w:val="8C865A78"/>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2">
    <w:nsid w:val="25200690"/>
    <w:multiLevelType w:val="hybridMultilevel"/>
    <w:tmpl w:val="CFCC5C68"/>
    <w:lvl w:ilvl="0" w:tplc="3D380E06">
      <w:start w:val="1"/>
      <w:numFmt w:val="bullet"/>
      <w:pStyle w:val="08Tablebulletsecondlevel"/>
      <w:lvlText w:val=""/>
      <w:lvlJc w:val="left"/>
      <w:pPr>
        <w:ind w:left="1117" w:hanging="360"/>
      </w:pPr>
      <w:rPr>
        <w:rFonts w:ascii="Wingdings" w:hAnsi="Wingdings" w:hint="default"/>
        <w:sz w:val="17"/>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13">
    <w:nsid w:val="25C53B03"/>
    <w:multiLevelType w:val="multilevel"/>
    <w:tmpl w:val="164243D4"/>
    <w:styleLink w:val="Headings"/>
    <w:lvl w:ilvl="0">
      <w:start w:val="3"/>
      <w:numFmt w:val="decimal"/>
      <w:pStyle w:val="Heading1"/>
      <w:suff w:val="nothing"/>
      <w:lvlText w:val="Section %1"/>
      <w:lvlJc w:val="left"/>
      <w:pPr>
        <w:ind w:left="3402" w:firstLine="0"/>
      </w:pPr>
      <w:rPr>
        <w:rFonts w:hint="default"/>
      </w:rPr>
    </w:lvl>
    <w:lvl w:ilvl="1">
      <w:start w:val="1"/>
      <w:numFmt w:val="decimal"/>
      <w:pStyle w:val="Heading2"/>
      <w:lvlText w:val="%1.%2"/>
      <w:lvlJc w:val="left"/>
      <w:pPr>
        <w:tabs>
          <w:tab w:val="num" w:pos="851"/>
        </w:tabs>
        <w:ind w:left="0" w:firstLine="0"/>
      </w:pPr>
      <w:rPr>
        <w:rFonts w:hint="default"/>
      </w:rPr>
    </w:lvl>
    <w:lvl w:ilvl="2">
      <w:start w:val="1"/>
      <w:numFmt w:val="decimal"/>
      <w:pStyle w:val="Heading3"/>
      <w:lvlText w:val="%1.%2.%3"/>
      <w:lvlJc w:val="left"/>
      <w:pPr>
        <w:tabs>
          <w:tab w:val="num" w:pos="851"/>
        </w:tabs>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lvlText w:val="Appendix %7"/>
      <w:lvlJc w:val="left"/>
      <w:pPr>
        <w:ind w:left="3119" w:firstLine="0"/>
      </w:pPr>
      <w:rPr>
        <w:rFonts w:hint="default"/>
      </w:rPr>
    </w:lvl>
    <w:lvl w:ilvl="7">
      <w:start w:val="1"/>
      <w:numFmt w:val="decimal"/>
      <w:pStyle w:val="Heading8"/>
      <w:lvlText w:val="%7.%8"/>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4">
    <w:nsid w:val="2A2C0845"/>
    <w:multiLevelType w:val="hybridMultilevel"/>
    <w:tmpl w:val="BEF2021E"/>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5">
    <w:nsid w:val="2CB020A6"/>
    <w:multiLevelType w:val="hybridMultilevel"/>
    <w:tmpl w:val="4C5E0A8A"/>
    <w:lvl w:ilvl="0" w:tplc="B95EC132">
      <w:start w:val="1"/>
      <w:numFmt w:val="decimal"/>
      <w:lvlText w:val="%1."/>
      <w:lvlJc w:val="left"/>
      <w:pPr>
        <w:ind w:left="227" w:hanging="17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16">
    <w:nsid w:val="30C70F52"/>
    <w:multiLevelType w:val="hybridMultilevel"/>
    <w:tmpl w:val="F5BAA8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nsid w:val="337956D8"/>
    <w:multiLevelType w:val="hybridMultilevel"/>
    <w:tmpl w:val="823CD69E"/>
    <w:lvl w:ilvl="0" w:tplc="E24AE6A4">
      <w:start w:val="1"/>
      <w:numFmt w:val="bullet"/>
      <w:pStyle w:val="Bullettex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4FA0F2B"/>
    <w:multiLevelType w:val="hybridMultilevel"/>
    <w:tmpl w:val="8A068968"/>
    <w:lvl w:ilvl="0" w:tplc="ECE0CFFE">
      <w:start w:val="1"/>
      <w:numFmt w:val="bullet"/>
      <w:pStyle w:val="07Table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5F07911"/>
    <w:multiLevelType w:val="hybridMultilevel"/>
    <w:tmpl w:val="E7DA5392"/>
    <w:lvl w:ilvl="0" w:tplc="6F82700C">
      <w:start w:val="1"/>
      <w:numFmt w:val="decimal"/>
      <w:lvlText w:val="%1."/>
      <w:lvlJc w:val="left"/>
      <w:pPr>
        <w:ind w:left="227" w:hanging="170"/>
      </w:pPr>
      <w:rPr>
        <w:rFonts w:hint="default"/>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0">
    <w:nsid w:val="398C6EF7"/>
    <w:multiLevelType w:val="hybridMultilevel"/>
    <w:tmpl w:val="6AD4A812"/>
    <w:lvl w:ilvl="0" w:tplc="546075AA">
      <w:start w:val="1"/>
      <w:numFmt w:val="decimal"/>
      <w:lvlText w:val="%1."/>
      <w:lvlJc w:val="left"/>
      <w:pPr>
        <w:ind w:left="227" w:hanging="17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21">
    <w:nsid w:val="3A243664"/>
    <w:multiLevelType w:val="hybridMultilevel"/>
    <w:tmpl w:val="17B0F972"/>
    <w:lvl w:ilvl="0" w:tplc="D1706AD0">
      <w:start w:val="1"/>
      <w:numFmt w:val="decimal"/>
      <w:lvlText w:val="%1."/>
      <w:lvlJc w:val="left"/>
      <w:pPr>
        <w:ind w:left="227" w:hanging="17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22">
    <w:nsid w:val="3A517A55"/>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A6F6760"/>
    <w:multiLevelType w:val="hybridMultilevel"/>
    <w:tmpl w:val="4E84A802"/>
    <w:lvl w:ilvl="0" w:tplc="0106989A">
      <w:start w:val="1"/>
      <w:numFmt w:val="decimal"/>
      <w:lvlText w:val="%1."/>
      <w:lvlJc w:val="left"/>
      <w:pPr>
        <w:ind w:left="227" w:hanging="170"/>
      </w:pPr>
      <w:rPr>
        <w:rFonts w:ascii="Arial Narrow" w:eastAsia="Calibri" w:hAnsi="Arial Narrow" w:cs="Times New Roman"/>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24">
    <w:nsid w:val="3B015C10"/>
    <w:multiLevelType w:val="hybridMultilevel"/>
    <w:tmpl w:val="3988855C"/>
    <w:lvl w:ilvl="0" w:tplc="24F41754">
      <w:start w:val="1"/>
      <w:numFmt w:val="decimal"/>
      <w:lvlText w:val="%1."/>
      <w:lvlJc w:val="left"/>
      <w:pPr>
        <w:ind w:left="227" w:hanging="170"/>
      </w:pPr>
      <w:rPr>
        <w:rFonts w:hint="default"/>
        <w:i w:val="0"/>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25">
    <w:nsid w:val="3C21031B"/>
    <w:multiLevelType w:val="hybridMultilevel"/>
    <w:tmpl w:val="428C5C32"/>
    <w:lvl w:ilvl="0" w:tplc="BC8495FA">
      <w:start w:val="1"/>
      <w:numFmt w:val="decimal"/>
      <w:lvlText w:val="%1."/>
      <w:lvlJc w:val="left"/>
      <w:pPr>
        <w:ind w:left="227" w:hanging="17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26">
    <w:nsid w:val="3D510C8E"/>
    <w:multiLevelType w:val="multilevel"/>
    <w:tmpl w:val="526C7668"/>
    <w:styleLink w:val="Numberedlist"/>
    <w:lvl w:ilvl="0">
      <w:start w:val="1"/>
      <w:numFmt w:val="none"/>
      <w:lvlText w:val="(%11)"/>
      <w:lvlJc w:val="left"/>
      <w:pPr>
        <w:ind w:left="0" w:firstLine="0"/>
      </w:pPr>
      <w:rPr>
        <w:rFonts w:hint="default"/>
      </w:rPr>
    </w:lvl>
    <w:lvl w:ilvl="1">
      <w:start w:val="2"/>
      <w:numFmt w:val="decimal"/>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7">
    <w:nsid w:val="41563AEE"/>
    <w:multiLevelType w:val="hybridMultilevel"/>
    <w:tmpl w:val="D7BCBEF8"/>
    <w:lvl w:ilvl="0" w:tplc="B87C0082">
      <w:start w:val="1"/>
      <w:numFmt w:val="decimal"/>
      <w:lvlText w:val="%1."/>
      <w:lvlJc w:val="left"/>
      <w:pPr>
        <w:ind w:left="227" w:hanging="170"/>
      </w:pPr>
      <w:rPr>
        <w:rFonts w:hint="default"/>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8">
    <w:nsid w:val="43C812B6"/>
    <w:multiLevelType w:val="hybridMultilevel"/>
    <w:tmpl w:val="28DA8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45C9616B"/>
    <w:multiLevelType w:val="hybridMultilevel"/>
    <w:tmpl w:val="0046C9B8"/>
    <w:styleLink w:val="1111111"/>
    <w:lvl w:ilvl="0" w:tplc="878C752C">
      <w:start w:val="1"/>
      <w:numFmt w:val="decimal"/>
      <w:lvlText w:val="%1."/>
      <w:lvlJc w:val="left"/>
      <w:pPr>
        <w:ind w:left="777" w:hanging="360"/>
      </w:pPr>
      <w:rPr>
        <w:b/>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30">
    <w:nsid w:val="4D161851"/>
    <w:multiLevelType w:val="hybridMultilevel"/>
    <w:tmpl w:val="39144416"/>
    <w:lvl w:ilvl="0" w:tplc="D9BEE210">
      <w:start w:val="1"/>
      <w:numFmt w:val="decimal"/>
      <w:lvlText w:val="%1."/>
      <w:lvlJc w:val="left"/>
      <w:pPr>
        <w:ind w:left="227" w:hanging="17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31">
    <w:nsid w:val="4EE862EA"/>
    <w:multiLevelType w:val="hybridMultilevel"/>
    <w:tmpl w:val="CF3E0466"/>
    <w:lvl w:ilvl="0" w:tplc="B1EC3496">
      <w:start w:val="1"/>
      <w:numFmt w:val="decimal"/>
      <w:lvlText w:val="%1."/>
      <w:lvlJc w:val="left"/>
      <w:pPr>
        <w:ind w:left="227" w:hanging="17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32">
    <w:nsid w:val="4F2040A4"/>
    <w:multiLevelType w:val="hybridMultilevel"/>
    <w:tmpl w:val="504E4F06"/>
    <w:lvl w:ilvl="0" w:tplc="FD182030">
      <w:start w:val="1"/>
      <w:numFmt w:val="decimal"/>
      <w:lvlText w:val="%1."/>
      <w:lvlJc w:val="left"/>
      <w:pPr>
        <w:ind w:left="227" w:hanging="17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33">
    <w:nsid w:val="4F3C6D96"/>
    <w:multiLevelType w:val="hybridMultilevel"/>
    <w:tmpl w:val="CBBC6A7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4">
    <w:nsid w:val="526820BF"/>
    <w:multiLevelType w:val="hybridMultilevel"/>
    <w:tmpl w:val="D82E13EE"/>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35">
    <w:nsid w:val="54C4192B"/>
    <w:multiLevelType w:val="hybridMultilevel"/>
    <w:tmpl w:val="4F78034E"/>
    <w:lvl w:ilvl="0" w:tplc="D3BA439E">
      <w:start w:val="1"/>
      <w:numFmt w:val="decimal"/>
      <w:lvlText w:val="%1."/>
      <w:lvlJc w:val="left"/>
      <w:pPr>
        <w:ind w:left="227" w:hanging="170"/>
      </w:pPr>
      <w:rPr>
        <w:rFonts w:hint="default"/>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36">
    <w:nsid w:val="5797041D"/>
    <w:multiLevelType w:val="hybridMultilevel"/>
    <w:tmpl w:val="040A7474"/>
    <w:lvl w:ilvl="0" w:tplc="E090A5FA">
      <w:start w:val="1"/>
      <w:numFmt w:val="decimal"/>
      <w:lvlText w:val="%1."/>
      <w:lvlJc w:val="left"/>
      <w:pPr>
        <w:ind w:left="227" w:hanging="17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37">
    <w:nsid w:val="591E201E"/>
    <w:multiLevelType w:val="hybridMultilevel"/>
    <w:tmpl w:val="A2D66482"/>
    <w:lvl w:ilvl="0" w:tplc="B1D2321C">
      <w:start w:val="1"/>
      <w:numFmt w:val="decimal"/>
      <w:lvlText w:val="%1."/>
      <w:lvlJc w:val="left"/>
      <w:pPr>
        <w:ind w:left="227" w:hanging="170"/>
      </w:pPr>
      <w:rPr>
        <w:rFonts w:hint="default"/>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38">
    <w:nsid w:val="5A011A79"/>
    <w:multiLevelType w:val="hybridMultilevel"/>
    <w:tmpl w:val="6E82F930"/>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9">
    <w:nsid w:val="5ACB5430"/>
    <w:multiLevelType w:val="hybridMultilevel"/>
    <w:tmpl w:val="4582FC36"/>
    <w:lvl w:ilvl="0" w:tplc="3110A758">
      <w:start w:val="1"/>
      <w:numFmt w:val="decimal"/>
      <w:lvlText w:val="%1."/>
      <w:lvlJc w:val="left"/>
      <w:pPr>
        <w:ind w:left="227" w:hanging="17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40">
    <w:nsid w:val="5B244956"/>
    <w:multiLevelType w:val="hybridMultilevel"/>
    <w:tmpl w:val="4FB8C1DC"/>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41">
    <w:nsid w:val="5D9A310B"/>
    <w:multiLevelType w:val="hybridMultilevel"/>
    <w:tmpl w:val="3D5EC8F2"/>
    <w:lvl w:ilvl="0" w:tplc="6A56EBB6">
      <w:start w:val="1"/>
      <w:numFmt w:val="decimal"/>
      <w:lvlText w:val="%1."/>
      <w:lvlJc w:val="left"/>
      <w:pPr>
        <w:ind w:left="227" w:hanging="17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42">
    <w:nsid w:val="601D0643"/>
    <w:multiLevelType w:val="hybridMultilevel"/>
    <w:tmpl w:val="7E062F58"/>
    <w:lvl w:ilvl="0" w:tplc="53E0397A">
      <w:start w:val="1"/>
      <w:numFmt w:val="decimal"/>
      <w:lvlText w:val="%1."/>
      <w:lvlJc w:val="left"/>
      <w:pPr>
        <w:ind w:left="227" w:hanging="17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43">
    <w:nsid w:val="640316ED"/>
    <w:multiLevelType w:val="hybridMultilevel"/>
    <w:tmpl w:val="67F24B8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44">
    <w:nsid w:val="661A44C7"/>
    <w:multiLevelType w:val="hybridMultilevel"/>
    <w:tmpl w:val="2286C7C8"/>
    <w:lvl w:ilvl="0" w:tplc="C02AB382">
      <w:start w:val="1"/>
      <w:numFmt w:val="decimal"/>
      <w:lvlText w:val="%1."/>
      <w:lvlJc w:val="left"/>
      <w:pPr>
        <w:ind w:left="227" w:hanging="170"/>
      </w:pPr>
      <w:rPr>
        <w:rFonts w:hint="default"/>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45">
    <w:nsid w:val="66330A33"/>
    <w:multiLevelType w:val="hybridMultilevel"/>
    <w:tmpl w:val="CC9AA3BA"/>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46">
    <w:nsid w:val="67F7371C"/>
    <w:multiLevelType w:val="hybridMultilevel"/>
    <w:tmpl w:val="46627684"/>
    <w:lvl w:ilvl="0" w:tplc="A1AE146E">
      <w:start w:val="1"/>
      <w:numFmt w:val="decimal"/>
      <w:lvlText w:val="%1."/>
      <w:lvlJc w:val="left"/>
      <w:pPr>
        <w:ind w:left="227" w:hanging="170"/>
      </w:pPr>
      <w:rPr>
        <w:rFonts w:hint="default"/>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47">
    <w:nsid w:val="6ABD1C66"/>
    <w:multiLevelType w:val="hybridMultilevel"/>
    <w:tmpl w:val="3B7C692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8">
    <w:nsid w:val="6D5A64FA"/>
    <w:multiLevelType w:val="hybridMultilevel"/>
    <w:tmpl w:val="85EAFBFA"/>
    <w:lvl w:ilvl="0" w:tplc="DE2CC4AC">
      <w:start w:val="1"/>
      <w:numFmt w:val="decimal"/>
      <w:lvlText w:val="%1."/>
      <w:lvlJc w:val="left"/>
      <w:pPr>
        <w:ind w:left="417" w:hanging="36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49">
    <w:nsid w:val="6DC73C84"/>
    <w:multiLevelType w:val="hybridMultilevel"/>
    <w:tmpl w:val="C736F06E"/>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50">
    <w:nsid w:val="6ED7790B"/>
    <w:multiLevelType w:val="hybridMultilevel"/>
    <w:tmpl w:val="E6747D3C"/>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51">
    <w:nsid w:val="6F833670"/>
    <w:multiLevelType w:val="hybridMultilevel"/>
    <w:tmpl w:val="7D6863B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52">
    <w:nsid w:val="6FB250C4"/>
    <w:multiLevelType w:val="hybridMultilevel"/>
    <w:tmpl w:val="533EC2D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3">
    <w:nsid w:val="70DE3970"/>
    <w:multiLevelType w:val="hybridMultilevel"/>
    <w:tmpl w:val="32EC07D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4">
    <w:nsid w:val="72230358"/>
    <w:multiLevelType w:val="hybridMultilevel"/>
    <w:tmpl w:val="2376C6C6"/>
    <w:lvl w:ilvl="0" w:tplc="7E32C550">
      <w:start w:val="1"/>
      <w:numFmt w:val="decimal"/>
      <w:lvlText w:val="%1."/>
      <w:lvlJc w:val="left"/>
      <w:pPr>
        <w:ind w:left="227" w:hanging="17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55">
    <w:nsid w:val="75A91527"/>
    <w:multiLevelType w:val="hybridMultilevel"/>
    <w:tmpl w:val="5E6257D0"/>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abstractNumId w:val="17"/>
  </w:num>
  <w:num w:numId="2">
    <w:abstractNumId w:val="6"/>
  </w:num>
  <w:num w:numId="3">
    <w:abstractNumId w:val="18"/>
  </w:num>
  <w:num w:numId="4">
    <w:abstractNumId w:val="9"/>
  </w:num>
  <w:num w:numId="5">
    <w:abstractNumId w:val="12"/>
  </w:num>
  <w:num w:numId="6">
    <w:abstractNumId w:val="1"/>
  </w:num>
  <w:num w:numId="7">
    <w:abstractNumId w:val="26"/>
  </w:num>
  <w:num w:numId="8">
    <w:abstractNumId w:val="22"/>
  </w:num>
  <w:num w:numId="9">
    <w:abstractNumId w:val="29"/>
  </w:num>
  <w:num w:numId="10">
    <w:abstractNumId w:val="13"/>
    <w:lvlOverride w:ilvl="0">
      <w:lvl w:ilvl="0">
        <w:start w:val="1"/>
        <w:numFmt w:val="decimal"/>
        <w:pStyle w:val="Heading1"/>
        <w:suff w:val="nothing"/>
        <w:lvlText w:val="Section %1"/>
        <w:lvlJc w:val="left"/>
        <w:pPr>
          <w:ind w:left="3402" w:firstLine="0"/>
        </w:pPr>
        <w:rPr>
          <w:rFonts w:hint="default"/>
        </w:rPr>
      </w:lvl>
    </w:lvlOverride>
    <w:lvlOverride w:ilvl="1">
      <w:lvl w:ilvl="1">
        <w:start w:val="1"/>
        <w:numFmt w:val="decimal"/>
        <w:pStyle w:val="Heading2"/>
        <w:lvlText w:val="%1.%2"/>
        <w:lvlJc w:val="left"/>
        <w:pPr>
          <w:tabs>
            <w:tab w:val="num" w:pos="851"/>
          </w:tabs>
          <w:ind w:left="0" w:firstLine="0"/>
        </w:pPr>
        <w:rPr>
          <w:rFonts w:hint="default"/>
        </w:rPr>
      </w:lvl>
    </w:lvlOverride>
    <w:lvlOverride w:ilvl="2">
      <w:lvl w:ilvl="2">
        <w:start w:val="1"/>
        <w:numFmt w:val="decimal"/>
        <w:pStyle w:val="Heading3"/>
        <w:lvlText w:val="%1.%2.%3"/>
        <w:lvlJc w:val="left"/>
        <w:pPr>
          <w:tabs>
            <w:tab w:val="num" w:pos="851"/>
          </w:tabs>
          <w:ind w:left="0" w:firstLine="0"/>
        </w:pPr>
        <w:rPr>
          <w:rFonts w:hint="default"/>
        </w:rPr>
      </w:lvl>
    </w:lvlOverride>
  </w:num>
  <w:num w:numId="11">
    <w:abstractNumId w:val="13"/>
    <w:lvlOverride w:ilvl="1">
      <w:lvl w:ilvl="1">
        <w:start w:val="1"/>
        <w:numFmt w:val="decimal"/>
        <w:pStyle w:val="Heading2"/>
        <w:lvlText w:val="%1.%2"/>
        <w:lvlJc w:val="left"/>
        <w:pPr>
          <w:tabs>
            <w:tab w:val="num" w:pos="851"/>
          </w:tabs>
          <w:ind w:left="0" w:firstLine="0"/>
        </w:pPr>
        <w:rPr>
          <w:rFonts w:hint="default"/>
        </w:rPr>
      </w:lvl>
    </w:lvlOverride>
  </w:num>
  <w:num w:numId="12">
    <w:abstractNumId w:val="15"/>
  </w:num>
  <w:num w:numId="13">
    <w:abstractNumId w:val="24"/>
  </w:num>
  <w:num w:numId="14">
    <w:abstractNumId w:val="2"/>
  </w:num>
  <w:num w:numId="15">
    <w:abstractNumId w:val="39"/>
  </w:num>
  <w:num w:numId="16">
    <w:abstractNumId w:val="23"/>
  </w:num>
  <w:num w:numId="17">
    <w:abstractNumId w:val="32"/>
  </w:num>
  <w:num w:numId="18">
    <w:abstractNumId w:val="5"/>
  </w:num>
  <w:num w:numId="19">
    <w:abstractNumId w:val="35"/>
  </w:num>
  <w:num w:numId="20">
    <w:abstractNumId w:val="27"/>
  </w:num>
  <w:num w:numId="21">
    <w:abstractNumId w:val="8"/>
  </w:num>
  <w:num w:numId="22">
    <w:abstractNumId w:val="36"/>
  </w:num>
  <w:num w:numId="23">
    <w:abstractNumId w:val="46"/>
  </w:num>
  <w:num w:numId="24">
    <w:abstractNumId w:val="25"/>
  </w:num>
  <w:num w:numId="25">
    <w:abstractNumId w:val="19"/>
  </w:num>
  <w:num w:numId="26">
    <w:abstractNumId w:val="37"/>
  </w:num>
  <w:num w:numId="27">
    <w:abstractNumId w:val="21"/>
  </w:num>
  <w:num w:numId="28">
    <w:abstractNumId w:val="31"/>
  </w:num>
  <w:num w:numId="29">
    <w:abstractNumId w:val="0"/>
  </w:num>
  <w:num w:numId="30">
    <w:abstractNumId w:val="30"/>
  </w:num>
  <w:num w:numId="31">
    <w:abstractNumId w:val="42"/>
  </w:num>
  <w:num w:numId="32">
    <w:abstractNumId w:val="54"/>
  </w:num>
  <w:num w:numId="33">
    <w:abstractNumId w:val="41"/>
  </w:num>
  <w:num w:numId="34">
    <w:abstractNumId w:val="20"/>
  </w:num>
  <w:num w:numId="35">
    <w:abstractNumId w:val="44"/>
  </w:num>
  <w:num w:numId="36">
    <w:abstractNumId w:val="13"/>
    <w:lvlOverride w:ilvl="0">
      <w:lvl w:ilvl="0">
        <w:start w:val="1"/>
        <w:numFmt w:val="decimal"/>
        <w:pStyle w:val="Heading1"/>
        <w:suff w:val="nothing"/>
        <w:lvlText w:val="Section %1"/>
        <w:lvlJc w:val="left"/>
        <w:pPr>
          <w:ind w:left="0" w:firstLine="0"/>
        </w:pPr>
        <w:rPr>
          <w:rFonts w:hint="default"/>
        </w:rPr>
      </w:lvl>
    </w:lvlOverride>
    <w:lvlOverride w:ilvl="1">
      <w:lvl w:ilvl="1">
        <w:start w:val="1"/>
        <w:numFmt w:val="decimal"/>
        <w:pStyle w:val="Heading2"/>
        <w:lvlText w:val="%1.%2"/>
        <w:lvlJc w:val="left"/>
        <w:pPr>
          <w:tabs>
            <w:tab w:val="num" w:pos="851"/>
          </w:tabs>
          <w:ind w:left="0" w:firstLine="0"/>
        </w:pPr>
        <w:rPr>
          <w:rFonts w:hint="default"/>
        </w:rPr>
      </w:lvl>
    </w:lvlOverride>
    <w:lvlOverride w:ilvl="2">
      <w:lvl w:ilvl="2">
        <w:start w:val="1"/>
        <w:numFmt w:val="decimal"/>
        <w:pStyle w:val="Heading3"/>
        <w:lvlText w:val="%1.%2.%3"/>
        <w:lvlJc w:val="left"/>
        <w:pPr>
          <w:tabs>
            <w:tab w:val="num" w:pos="851"/>
          </w:tabs>
          <w:ind w:left="0" w:firstLine="0"/>
        </w:pPr>
        <w:rPr>
          <w:rFonts w:hint="default"/>
        </w:rPr>
      </w:lvl>
    </w:lvlOverride>
    <w:lvlOverride w:ilvl="3">
      <w:lvl w:ilvl="3">
        <w:start w:val="1"/>
        <w:numFmt w:val="none"/>
        <w:pStyle w:val="Heading4"/>
        <w:suff w:val="nothing"/>
        <w:lvlText w:val=""/>
        <w:lvlJc w:val="left"/>
        <w:pPr>
          <w:ind w:left="0" w:firstLine="0"/>
        </w:pPr>
        <w:rPr>
          <w:rFonts w:hint="default"/>
        </w:rPr>
      </w:lvl>
    </w:lvlOverride>
    <w:lvlOverride w:ilvl="4">
      <w:lvl w:ilvl="4">
        <w:start w:val="1"/>
        <w:numFmt w:val="none"/>
        <w:pStyle w:val="Heading5"/>
        <w:suff w:val="nothing"/>
        <w:lvlText w:val=""/>
        <w:lvlJc w:val="left"/>
        <w:pPr>
          <w:ind w:left="0" w:firstLine="0"/>
        </w:pPr>
        <w:rPr>
          <w:rFonts w:hint="default"/>
        </w:rPr>
      </w:lvl>
    </w:lvlOverride>
    <w:lvlOverride w:ilvl="5">
      <w:lvl w:ilvl="5">
        <w:start w:val="1"/>
        <w:numFmt w:val="none"/>
        <w:pStyle w:val="Heading6"/>
        <w:suff w:val="nothing"/>
        <w:lvlText w:val=""/>
        <w:lvlJc w:val="left"/>
        <w:pPr>
          <w:ind w:left="0" w:firstLine="0"/>
        </w:pPr>
        <w:rPr>
          <w:rFonts w:hint="default"/>
        </w:rPr>
      </w:lvl>
    </w:lvlOverride>
    <w:lvlOverride w:ilvl="6">
      <w:lvl w:ilvl="6">
        <w:start w:val="1"/>
        <w:numFmt w:val="upperLetter"/>
        <w:pStyle w:val="Heading7"/>
        <w:lvlText w:val="Appendix %7"/>
        <w:lvlJc w:val="left"/>
        <w:pPr>
          <w:ind w:left="0" w:firstLine="0"/>
        </w:pPr>
        <w:rPr>
          <w:rFonts w:hint="default"/>
        </w:rPr>
      </w:lvl>
    </w:lvlOverride>
    <w:lvlOverride w:ilvl="7">
      <w:lvl w:ilvl="7">
        <w:start w:val="1"/>
        <w:numFmt w:val="decimal"/>
        <w:pStyle w:val="Heading8"/>
        <w:lvlText w:val="%7.%8"/>
        <w:lvlJc w:val="left"/>
        <w:pPr>
          <w:ind w:left="0" w:firstLine="0"/>
        </w:pPr>
        <w:rPr>
          <w:rFonts w:hint="default"/>
        </w:rPr>
      </w:lvl>
    </w:lvlOverride>
    <w:lvlOverride w:ilvl="8">
      <w:lvl w:ilvl="8">
        <w:start w:val="1"/>
        <w:numFmt w:val="none"/>
        <w:pStyle w:val="Heading9"/>
        <w:suff w:val="nothing"/>
        <w:lvlText w:val=""/>
        <w:lvlJc w:val="left"/>
        <w:pPr>
          <w:ind w:left="0" w:firstLine="0"/>
        </w:pPr>
        <w:rPr>
          <w:rFonts w:hint="default"/>
        </w:rPr>
      </w:lvl>
    </w:lvlOverride>
  </w:num>
  <w:num w:numId="37">
    <w:abstractNumId w:val="13"/>
  </w:num>
  <w:num w:numId="38">
    <w:abstractNumId w:val="53"/>
  </w:num>
  <w:num w:numId="39">
    <w:abstractNumId w:val="47"/>
  </w:num>
  <w:num w:numId="40">
    <w:abstractNumId w:val="51"/>
  </w:num>
  <w:num w:numId="41">
    <w:abstractNumId w:val="11"/>
  </w:num>
  <w:num w:numId="42">
    <w:abstractNumId w:val="55"/>
  </w:num>
  <w:num w:numId="43">
    <w:abstractNumId w:val="49"/>
  </w:num>
  <w:num w:numId="44">
    <w:abstractNumId w:val="14"/>
  </w:num>
  <w:num w:numId="45">
    <w:abstractNumId w:val="38"/>
  </w:num>
  <w:num w:numId="46">
    <w:abstractNumId w:val="40"/>
  </w:num>
  <w:num w:numId="47">
    <w:abstractNumId w:val="43"/>
  </w:num>
  <w:num w:numId="48">
    <w:abstractNumId w:val="50"/>
  </w:num>
  <w:num w:numId="49">
    <w:abstractNumId w:val="4"/>
  </w:num>
  <w:num w:numId="50">
    <w:abstractNumId w:val="33"/>
  </w:num>
  <w:num w:numId="51">
    <w:abstractNumId w:val="10"/>
  </w:num>
  <w:num w:numId="52">
    <w:abstractNumId w:val="45"/>
  </w:num>
  <w:num w:numId="53">
    <w:abstractNumId w:val="34"/>
  </w:num>
  <w:num w:numId="54">
    <w:abstractNumId w:val="52"/>
  </w:num>
  <w:num w:numId="55">
    <w:abstractNumId w:val="28"/>
  </w:num>
  <w:num w:numId="56">
    <w:abstractNumId w:val="3"/>
  </w:num>
  <w:num w:numId="57">
    <w:abstractNumId w:val="7"/>
  </w:num>
  <w:num w:numId="58">
    <w:abstractNumId w:val="48"/>
  </w:num>
  <w:num w:numId="59">
    <w:abstractNumId w:val="1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uthor-Date HC&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tpezfr0jezvsle2vz0x5vps2ad90atpppsw&quot;&gt;COPD Review_ToR3_Medline and EMBASE_31Aug2016&lt;record-ids&gt;&lt;item&gt;1011&lt;/item&gt;&lt;/record-ids&gt;&lt;/item&gt;&lt;/Libraries&gt;"/>
  </w:docVars>
  <w:rsids>
    <w:rsidRoot w:val="000B0C8C"/>
    <w:rsid w:val="00000676"/>
    <w:rsid w:val="00001143"/>
    <w:rsid w:val="00002CBE"/>
    <w:rsid w:val="000039E6"/>
    <w:rsid w:val="000057FC"/>
    <w:rsid w:val="000058DE"/>
    <w:rsid w:val="0000707E"/>
    <w:rsid w:val="000077CE"/>
    <w:rsid w:val="000115B9"/>
    <w:rsid w:val="00012746"/>
    <w:rsid w:val="0001276B"/>
    <w:rsid w:val="00012A89"/>
    <w:rsid w:val="00012C43"/>
    <w:rsid w:val="00012EF0"/>
    <w:rsid w:val="00013DEC"/>
    <w:rsid w:val="00013DF5"/>
    <w:rsid w:val="000145AF"/>
    <w:rsid w:val="0001548E"/>
    <w:rsid w:val="00015A6A"/>
    <w:rsid w:val="00016BF6"/>
    <w:rsid w:val="0001713E"/>
    <w:rsid w:val="00017C1F"/>
    <w:rsid w:val="00017FBF"/>
    <w:rsid w:val="0002051B"/>
    <w:rsid w:val="0002235B"/>
    <w:rsid w:val="00022DA6"/>
    <w:rsid w:val="00022E3F"/>
    <w:rsid w:val="000232A6"/>
    <w:rsid w:val="000245BD"/>
    <w:rsid w:val="0002479A"/>
    <w:rsid w:val="00024991"/>
    <w:rsid w:val="00026080"/>
    <w:rsid w:val="00026B3C"/>
    <w:rsid w:val="00026CB1"/>
    <w:rsid w:val="000273DB"/>
    <w:rsid w:val="00027957"/>
    <w:rsid w:val="00030E3B"/>
    <w:rsid w:val="00032398"/>
    <w:rsid w:val="00033623"/>
    <w:rsid w:val="00033681"/>
    <w:rsid w:val="0003409D"/>
    <w:rsid w:val="000342DC"/>
    <w:rsid w:val="000347D4"/>
    <w:rsid w:val="00034EAB"/>
    <w:rsid w:val="00035233"/>
    <w:rsid w:val="00035C43"/>
    <w:rsid w:val="00035CAA"/>
    <w:rsid w:val="00035F25"/>
    <w:rsid w:val="0003622D"/>
    <w:rsid w:val="00036BB9"/>
    <w:rsid w:val="0003789A"/>
    <w:rsid w:val="00040BD7"/>
    <w:rsid w:val="00041372"/>
    <w:rsid w:val="000416AB"/>
    <w:rsid w:val="00041A7E"/>
    <w:rsid w:val="000424AA"/>
    <w:rsid w:val="00043CB4"/>
    <w:rsid w:val="00044CBF"/>
    <w:rsid w:val="00045558"/>
    <w:rsid w:val="000460DF"/>
    <w:rsid w:val="00047E33"/>
    <w:rsid w:val="000504A4"/>
    <w:rsid w:val="00051939"/>
    <w:rsid w:val="00052353"/>
    <w:rsid w:val="000546C2"/>
    <w:rsid w:val="0005536D"/>
    <w:rsid w:val="000559E2"/>
    <w:rsid w:val="00055DCD"/>
    <w:rsid w:val="00055F77"/>
    <w:rsid w:val="00056161"/>
    <w:rsid w:val="00056B0F"/>
    <w:rsid w:val="000604DC"/>
    <w:rsid w:val="00061E2A"/>
    <w:rsid w:val="00062FC9"/>
    <w:rsid w:val="000633E2"/>
    <w:rsid w:val="000637FC"/>
    <w:rsid w:val="00064658"/>
    <w:rsid w:val="00064766"/>
    <w:rsid w:val="00065489"/>
    <w:rsid w:val="00065C0A"/>
    <w:rsid w:val="00065F42"/>
    <w:rsid w:val="000660F8"/>
    <w:rsid w:val="000662F1"/>
    <w:rsid w:val="00066834"/>
    <w:rsid w:val="00066AB2"/>
    <w:rsid w:val="000676BE"/>
    <w:rsid w:val="00071838"/>
    <w:rsid w:val="000724B1"/>
    <w:rsid w:val="00072A71"/>
    <w:rsid w:val="00072E12"/>
    <w:rsid w:val="0007323D"/>
    <w:rsid w:val="0007521E"/>
    <w:rsid w:val="00075AE3"/>
    <w:rsid w:val="00075D0E"/>
    <w:rsid w:val="0007681B"/>
    <w:rsid w:val="00076A20"/>
    <w:rsid w:val="00080ED5"/>
    <w:rsid w:val="000824DB"/>
    <w:rsid w:val="00083208"/>
    <w:rsid w:val="000852FB"/>
    <w:rsid w:val="00087A6A"/>
    <w:rsid w:val="00087C93"/>
    <w:rsid w:val="00091491"/>
    <w:rsid w:val="00091E7E"/>
    <w:rsid w:val="00092310"/>
    <w:rsid w:val="00093E45"/>
    <w:rsid w:val="00094088"/>
    <w:rsid w:val="000940EB"/>
    <w:rsid w:val="00094EC1"/>
    <w:rsid w:val="00097C45"/>
    <w:rsid w:val="00097C6E"/>
    <w:rsid w:val="00097E3A"/>
    <w:rsid w:val="000A193C"/>
    <w:rsid w:val="000A1B83"/>
    <w:rsid w:val="000A1EBA"/>
    <w:rsid w:val="000A234B"/>
    <w:rsid w:val="000A2B5F"/>
    <w:rsid w:val="000A2DB5"/>
    <w:rsid w:val="000A30C5"/>
    <w:rsid w:val="000A3419"/>
    <w:rsid w:val="000A4602"/>
    <w:rsid w:val="000A4677"/>
    <w:rsid w:val="000A5911"/>
    <w:rsid w:val="000A6228"/>
    <w:rsid w:val="000A6697"/>
    <w:rsid w:val="000A6E36"/>
    <w:rsid w:val="000A7292"/>
    <w:rsid w:val="000A72FD"/>
    <w:rsid w:val="000A770C"/>
    <w:rsid w:val="000B0485"/>
    <w:rsid w:val="000B0C8C"/>
    <w:rsid w:val="000B1B9E"/>
    <w:rsid w:val="000B23AB"/>
    <w:rsid w:val="000B254C"/>
    <w:rsid w:val="000B5265"/>
    <w:rsid w:val="000B6B79"/>
    <w:rsid w:val="000C06A9"/>
    <w:rsid w:val="000C0A78"/>
    <w:rsid w:val="000C0D98"/>
    <w:rsid w:val="000C3AA8"/>
    <w:rsid w:val="000C4305"/>
    <w:rsid w:val="000C46DF"/>
    <w:rsid w:val="000C4918"/>
    <w:rsid w:val="000C49E2"/>
    <w:rsid w:val="000C585D"/>
    <w:rsid w:val="000C60B4"/>
    <w:rsid w:val="000C61FF"/>
    <w:rsid w:val="000C66AF"/>
    <w:rsid w:val="000C66B3"/>
    <w:rsid w:val="000C70E2"/>
    <w:rsid w:val="000C745C"/>
    <w:rsid w:val="000C74B1"/>
    <w:rsid w:val="000D0670"/>
    <w:rsid w:val="000D06EF"/>
    <w:rsid w:val="000D1D1E"/>
    <w:rsid w:val="000D2511"/>
    <w:rsid w:val="000D27CF"/>
    <w:rsid w:val="000D2FC8"/>
    <w:rsid w:val="000D3BCC"/>
    <w:rsid w:val="000D40BF"/>
    <w:rsid w:val="000D4B07"/>
    <w:rsid w:val="000D564C"/>
    <w:rsid w:val="000D5DD0"/>
    <w:rsid w:val="000D682B"/>
    <w:rsid w:val="000D6FC6"/>
    <w:rsid w:val="000D7D43"/>
    <w:rsid w:val="000E153B"/>
    <w:rsid w:val="000E1BDD"/>
    <w:rsid w:val="000E1F27"/>
    <w:rsid w:val="000E294F"/>
    <w:rsid w:val="000E36F8"/>
    <w:rsid w:val="000E512C"/>
    <w:rsid w:val="000E79FE"/>
    <w:rsid w:val="000E7F06"/>
    <w:rsid w:val="000F0119"/>
    <w:rsid w:val="000F044F"/>
    <w:rsid w:val="000F0485"/>
    <w:rsid w:val="000F0E1B"/>
    <w:rsid w:val="000F2E0E"/>
    <w:rsid w:val="000F3079"/>
    <w:rsid w:val="000F3648"/>
    <w:rsid w:val="000F3AFC"/>
    <w:rsid w:val="000F3EBE"/>
    <w:rsid w:val="000F4182"/>
    <w:rsid w:val="000F4BA3"/>
    <w:rsid w:val="000F5807"/>
    <w:rsid w:val="000F68D2"/>
    <w:rsid w:val="000F7E14"/>
    <w:rsid w:val="00100017"/>
    <w:rsid w:val="00100197"/>
    <w:rsid w:val="00101225"/>
    <w:rsid w:val="00101A77"/>
    <w:rsid w:val="001024C8"/>
    <w:rsid w:val="001046AF"/>
    <w:rsid w:val="001051F9"/>
    <w:rsid w:val="001055C5"/>
    <w:rsid w:val="00105AA9"/>
    <w:rsid w:val="00105B66"/>
    <w:rsid w:val="001066D2"/>
    <w:rsid w:val="001071DA"/>
    <w:rsid w:val="001103FF"/>
    <w:rsid w:val="00110455"/>
    <w:rsid w:val="00110ABA"/>
    <w:rsid w:val="00111D1E"/>
    <w:rsid w:val="00111E4E"/>
    <w:rsid w:val="00111FA3"/>
    <w:rsid w:val="001121F8"/>
    <w:rsid w:val="00113A4A"/>
    <w:rsid w:val="00113F1E"/>
    <w:rsid w:val="00120A7B"/>
    <w:rsid w:val="001211AE"/>
    <w:rsid w:val="00122438"/>
    <w:rsid w:val="00122E37"/>
    <w:rsid w:val="00122FC0"/>
    <w:rsid w:val="001234DA"/>
    <w:rsid w:val="00123AD8"/>
    <w:rsid w:val="00124027"/>
    <w:rsid w:val="00124F08"/>
    <w:rsid w:val="00125AF7"/>
    <w:rsid w:val="0012643A"/>
    <w:rsid w:val="001264A4"/>
    <w:rsid w:val="00126D7C"/>
    <w:rsid w:val="00127CC2"/>
    <w:rsid w:val="00130B4A"/>
    <w:rsid w:val="00132B2B"/>
    <w:rsid w:val="00132E10"/>
    <w:rsid w:val="0013307D"/>
    <w:rsid w:val="00133D05"/>
    <w:rsid w:val="00135220"/>
    <w:rsid w:val="001356C1"/>
    <w:rsid w:val="001368CE"/>
    <w:rsid w:val="0013782E"/>
    <w:rsid w:val="00140687"/>
    <w:rsid w:val="001406D9"/>
    <w:rsid w:val="00140B62"/>
    <w:rsid w:val="00140C48"/>
    <w:rsid w:val="00141508"/>
    <w:rsid w:val="0014196D"/>
    <w:rsid w:val="00141AB4"/>
    <w:rsid w:val="00141E3A"/>
    <w:rsid w:val="001428E7"/>
    <w:rsid w:val="0014300C"/>
    <w:rsid w:val="00144722"/>
    <w:rsid w:val="00145CE3"/>
    <w:rsid w:val="00146692"/>
    <w:rsid w:val="00146A18"/>
    <w:rsid w:val="00146A8B"/>
    <w:rsid w:val="00147625"/>
    <w:rsid w:val="0015014E"/>
    <w:rsid w:val="001504AA"/>
    <w:rsid w:val="00150D82"/>
    <w:rsid w:val="00150DBD"/>
    <w:rsid w:val="00150DC0"/>
    <w:rsid w:val="00150EEE"/>
    <w:rsid w:val="00151A01"/>
    <w:rsid w:val="001532AF"/>
    <w:rsid w:val="0015420F"/>
    <w:rsid w:val="00154702"/>
    <w:rsid w:val="00156EB5"/>
    <w:rsid w:val="00160A27"/>
    <w:rsid w:val="0016130F"/>
    <w:rsid w:val="001639A2"/>
    <w:rsid w:val="00164021"/>
    <w:rsid w:val="0016423E"/>
    <w:rsid w:val="00164489"/>
    <w:rsid w:val="001647A0"/>
    <w:rsid w:val="00164C1C"/>
    <w:rsid w:val="001660ED"/>
    <w:rsid w:val="00167206"/>
    <w:rsid w:val="00167375"/>
    <w:rsid w:val="00167471"/>
    <w:rsid w:val="0016766E"/>
    <w:rsid w:val="00171297"/>
    <w:rsid w:val="001750D5"/>
    <w:rsid w:val="001761C7"/>
    <w:rsid w:val="00176B91"/>
    <w:rsid w:val="00176CE6"/>
    <w:rsid w:val="001776BF"/>
    <w:rsid w:val="001779A4"/>
    <w:rsid w:val="00180812"/>
    <w:rsid w:val="00181151"/>
    <w:rsid w:val="00182493"/>
    <w:rsid w:val="0018288F"/>
    <w:rsid w:val="001835B6"/>
    <w:rsid w:val="00183A64"/>
    <w:rsid w:val="0018400D"/>
    <w:rsid w:val="00184332"/>
    <w:rsid w:val="00184ED9"/>
    <w:rsid w:val="00185623"/>
    <w:rsid w:val="00186004"/>
    <w:rsid w:val="001863E5"/>
    <w:rsid w:val="00186483"/>
    <w:rsid w:val="00186728"/>
    <w:rsid w:val="00187C1A"/>
    <w:rsid w:val="00187E28"/>
    <w:rsid w:val="001904AD"/>
    <w:rsid w:val="001909F5"/>
    <w:rsid w:val="0019224F"/>
    <w:rsid w:val="0019235B"/>
    <w:rsid w:val="00193204"/>
    <w:rsid w:val="0019393C"/>
    <w:rsid w:val="00194011"/>
    <w:rsid w:val="001940E5"/>
    <w:rsid w:val="00195E30"/>
    <w:rsid w:val="00195FC1"/>
    <w:rsid w:val="00196FAB"/>
    <w:rsid w:val="001976D5"/>
    <w:rsid w:val="001A03AD"/>
    <w:rsid w:val="001A058C"/>
    <w:rsid w:val="001A12C5"/>
    <w:rsid w:val="001A1585"/>
    <w:rsid w:val="001A1802"/>
    <w:rsid w:val="001A1B19"/>
    <w:rsid w:val="001A20AE"/>
    <w:rsid w:val="001A2E31"/>
    <w:rsid w:val="001A3284"/>
    <w:rsid w:val="001A4566"/>
    <w:rsid w:val="001A49DD"/>
    <w:rsid w:val="001A4CCF"/>
    <w:rsid w:val="001A4EB3"/>
    <w:rsid w:val="001A57C7"/>
    <w:rsid w:val="001A675B"/>
    <w:rsid w:val="001A68EF"/>
    <w:rsid w:val="001A6A82"/>
    <w:rsid w:val="001A747A"/>
    <w:rsid w:val="001A7F97"/>
    <w:rsid w:val="001B0312"/>
    <w:rsid w:val="001B199D"/>
    <w:rsid w:val="001B1DAA"/>
    <w:rsid w:val="001B20AB"/>
    <w:rsid w:val="001B2E1A"/>
    <w:rsid w:val="001B38BB"/>
    <w:rsid w:val="001B53BA"/>
    <w:rsid w:val="001B6836"/>
    <w:rsid w:val="001B6EE5"/>
    <w:rsid w:val="001B7272"/>
    <w:rsid w:val="001B72DE"/>
    <w:rsid w:val="001B7A56"/>
    <w:rsid w:val="001C09B9"/>
    <w:rsid w:val="001C0AB9"/>
    <w:rsid w:val="001C1006"/>
    <w:rsid w:val="001C1E27"/>
    <w:rsid w:val="001C2742"/>
    <w:rsid w:val="001C349D"/>
    <w:rsid w:val="001C3B62"/>
    <w:rsid w:val="001C3D6B"/>
    <w:rsid w:val="001C41A4"/>
    <w:rsid w:val="001C4302"/>
    <w:rsid w:val="001C49D2"/>
    <w:rsid w:val="001C5235"/>
    <w:rsid w:val="001C54E0"/>
    <w:rsid w:val="001C5F1E"/>
    <w:rsid w:val="001C6234"/>
    <w:rsid w:val="001C79F5"/>
    <w:rsid w:val="001D0185"/>
    <w:rsid w:val="001D0732"/>
    <w:rsid w:val="001D1093"/>
    <w:rsid w:val="001D17E9"/>
    <w:rsid w:val="001D21EC"/>
    <w:rsid w:val="001D2A80"/>
    <w:rsid w:val="001D2F0A"/>
    <w:rsid w:val="001D313F"/>
    <w:rsid w:val="001D3236"/>
    <w:rsid w:val="001D3838"/>
    <w:rsid w:val="001D4A97"/>
    <w:rsid w:val="001D55A7"/>
    <w:rsid w:val="001D61C0"/>
    <w:rsid w:val="001D6865"/>
    <w:rsid w:val="001D70D4"/>
    <w:rsid w:val="001D769E"/>
    <w:rsid w:val="001E0756"/>
    <w:rsid w:val="001E17A1"/>
    <w:rsid w:val="001E1B87"/>
    <w:rsid w:val="001E31A7"/>
    <w:rsid w:val="001E394F"/>
    <w:rsid w:val="001E4C07"/>
    <w:rsid w:val="001E50F5"/>
    <w:rsid w:val="001E59B1"/>
    <w:rsid w:val="001E634F"/>
    <w:rsid w:val="001E793F"/>
    <w:rsid w:val="001F044A"/>
    <w:rsid w:val="001F064C"/>
    <w:rsid w:val="001F06A3"/>
    <w:rsid w:val="001F09E7"/>
    <w:rsid w:val="001F0A7B"/>
    <w:rsid w:val="001F14CB"/>
    <w:rsid w:val="001F1F12"/>
    <w:rsid w:val="001F40B2"/>
    <w:rsid w:val="001F43F7"/>
    <w:rsid w:val="001F46A2"/>
    <w:rsid w:val="001F6496"/>
    <w:rsid w:val="001F65FA"/>
    <w:rsid w:val="001F6A4C"/>
    <w:rsid w:val="001F6AC1"/>
    <w:rsid w:val="001F70C1"/>
    <w:rsid w:val="001F73A8"/>
    <w:rsid w:val="00200F50"/>
    <w:rsid w:val="0020119C"/>
    <w:rsid w:val="00201497"/>
    <w:rsid w:val="00202290"/>
    <w:rsid w:val="00202D4D"/>
    <w:rsid w:val="00203356"/>
    <w:rsid w:val="00203CC6"/>
    <w:rsid w:val="00203E3E"/>
    <w:rsid w:val="002045AE"/>
    <w:rsid w:val="00204B6C"/>
    <w:rsid w:val="00205A79"/>
    <w:rsid w:val="00205AA5"/>
    <w:rsid w:val="00205B06"/>
    <w:rsid w:val="00205BCE"/>
    <w:rsid w:val="00205F79"/>
    <w:rsid w:val="00206369"/>
    <w:rsid w:val="002109F3"/>
    <w:rsid w:val="0021149E"/>
    <w:rsid w:val="00211F2D"/>
    <w:rsid w:val="00212382"/>
    <w:rsid w:val="00212941"/>
    <w:rsid w:val="002136BC"/>
    <w:rsid w:val="00215768"/>
    <w:rsid w:val="002160CD"/>
    <w:rsid w:val="00216CC6"/>
    <w:rsid w:val="00216DA2"/>
    <w:rsid w:val="002174D7"/>
    <w:rsid w:val="00220B24"/>
    <w:rsid w:val="00220C07"/>
    <w:rsid w:val="00221A10"/>
    <w:rsid w:val="0022228D"/>
    <w:rsid w:val="00224431"/>
    <w:rsid w:val="002258FA"/>
    <w:rsid w:val="002274A5"/>
    <w:rsid w:val="00230C5A"/>
    <w:rsid w:val="002312DA"/>
    <w:rsid w:val="00231338"/>
    <w:rsid w:val="00231B1D"/>
    <w:rsid w:val="0023265F"/>
    <w:rsid w:val="00233948"/>
    <w:rsid w:val="002344BB"/>
    <w:rsid w:val="00234634"/>
    <w:rsid w:val="00234FD7"/>
    <w:rsid w:val="0023621C"/>
    <w:rsid w:val="002378F3"/>
    <w:rsid w:val="0024003B"/>
    <w:rsid w:val="0024006E"/>
    <w:rsid w:val="00241406"/>
    <w:rsid w:val="00241E75"/>
    <w:rsid w:val="00242EA0"/>
    <w:rsid w:val="00242FB3"/>
    <w:rsid w:val="0024328B"/>
    <w:rsid w:val="00244675"/>
    <w:rsid w:val="0024467B"/>
    <w:rsid w:val="00244728"/>
    <w:rsid w:val="00246584"/>
    <w:rsid w:val="00247CE3"/>
    <w:rsid w:val="002503CC"/>
    <w:rsid w:val="00250EBD"/>
    <w:rsid w:val="00251919"/>
    <w:rsid w:val="00251CB8"/>
    <w:rsid w:val="002522E0"/>
    <w:rsid w:val="0025314D"/>
    <w:rsid w:val="002532EC"/>
    <w:rsid w:val="00253B90"/>
    <w:rsid w:val="002541D8"/>
    <w:rsid w:val="002545DA"/>
    <w:rsid w:val="00255731"/>
    <w:rsid w:val="00257E1E"/>
    <w:rsid w:val="00262AD2"/>
    <w:rsid w:val="00262C0A"/>
    <w:rsid w:val="0026536F"/>
    <w:rsid w:val="00265391"/>
    <w:rsid w:val="002677E1"/>
    <w:rsid w:val="00267A57"/>
    <w:rsid w:val="00270357"/>
    <w:rsid w:val="00270A37"/>
    <w:rsid w:val="00271086"/>
    <w:rsid w:val="002718B3"/>
    <w:rsid w:val="002824C8"/>
    <w:rsid w:val="00282865"/>
    <w:rsid w:val="00282AA0"/>
    <w:rsid w:val="00283614"/>
    <w:rsid w:val="00283E6D"/>
    <w:rsid w:val="00284BD6"/>
    <w:rsid w:val="00284E18"/>
    <w:rsid w:val="00284EBE"/>
    <w:rsid w:val="0028628F"/>
    <w:rsid w:val="0028753E"/>
    <w:rsid w:val="002876CD"/>
    <w:rsid w:val="0029005A"/>
    <w:rsid w:val="0029058D"/>
    <w:rsid w:val="00290B6A"/>
    <w:rsid w:val="00291747"/>
    <w:rsid w:val="002928D0"/>
    <w:rsid w:val="00294743"/>
    <w:rsid w:val="002963C1"/>
    <w:rsid w:val="002965EB"/>
    <w:rsid w:val="00296A77"/>
    <w:rsid w:val="00296C04"/>
    <w:rsid w:val="0029701D"/>
    <w:rsid w:val="0029749A"/>
    <w:rsid w:val="0029750E"/>
    <w:rsid w:val="00297721"/>
    <w:rsid w:val="002A0DA1"/>
    <w:rsid w:val="002A22EC"/>
    <w:rsid w:val="002A44E0"/>
    <w:rsid w:val="002A5065"/>
    <w:rsid w:val="002A5739"/>
    <w:rsid w:val="002A59F9"/>
    <w:rsid w:val="002A5CA2"/>
    <w:rsid w:val="002A6729"/>
    <w:rsid w:val="002A73C2"/>
    <w:rsid w:val="002B11AF"/>
    <w:rsid w:val="002B14FA"/>
    <w:rsid w:val="002B15F2"/>
    <w:rsid w:val="002B16D4"/>
    <w:rsid w:val="002B17E6"/>
    <w:rsid w:val="002B3187"/>
    <w:rsid w:val="002B3E8B"/>
    <w:rsid w:val="002B4347"/>
    <w:rsid w:val="002B756B"/>
    <w:rsid w:val="002B7B0F"/>
    <w:rsid w:val="002C1E4D"/>
    <w:rsid w:val="002C383E"/>
    <w:rsid w:val="002C669C"/>
    <w:rsid w:val="002C6C26"/>
    <w:rsid w:val="002C7B12"/>
    <w:rsid w:val="002D1BC0"/>
    <w:rsid w:val="002D1FA4"/>
    <w:rsid w:val="002D228E"/>
    <w:rsid w:val="002D27FE"/>
    <w:rsid w:val="002D33AD"/>
    <w:rsid w:val="002D42F3"/>
    <w:rsid w:val="002D4A37"/>
    <w:rsid w:val="002D503C"/>
    <w:rsid w:val="002D583D"/>
    <w:rsid w:val="002D6BFF"/>
    <w:rsid w:val="002D785D"/>
    <w:rsid w:val="002E0693"/>
    <w:rsid w:val="002E12C0"/>
    <w:rsid w:val="002E21DD"/>
    <w:rsid w:val="002E4E0B"/>
    <w:rsid w:val="002E5CBD"/>
    <w:rsid w:val="002E5D56"/>
    <w:rsid w:val="002E5F67"/>
    <w:rsid w:val="002E68F1"/>
    <w:rsid w:val="002F0002"/>
    <w:rsid w:val="002F06A0"/>
    <w:rsid w:val="002F18F7"/>
    <w:rsid w:val="002F1FF1"/>
    <w:rsid w:val="002F3008"/>
    <w:rsid w:val="002F3746"/>
    <w:rsid w:val="002F38B0"/>
    <w:rsid w:val="002F60E8"/>
    <w:rsid w:val="002F616D"/>
    <w:rsid w:val="002F61C4"/>
    <w:rsid w:val="002F6D08"/>
    <w:rsid w:val="002F7095"/>
    <w:rsid w:val="002F7338"/>
    <w:rsid w:val="0030053F"/>
    <w:rsid w:val="00300A50"/>
    <w:rsid w:val="00301A67"/>
    <w:rsid w:val="00301DF6"/>
    <w:rsid w:val="00302076"/>
    <w:rsid w:val="00302C19"/>
    <w:rsid w:val="00303106"/>
    <w:rsid w:val="0030374E"/>
    <w:rsid w:val="003037BB"/>
    <w:rsid w:val="00303FB1"/>
    <w:rsid w:val="003041CB"/>
    <w:rsid w:val="0030435D"/>
    <w:rsid w:val="00306DCF"/>
    <w:rsid w:val="00307AEA"/>
    <w:rsid w:val="00310238"/>
    <w:rsid w:val="003109CA"/>
    <w:rsid w:val="003114C7"/>
    <w:rsid w:val="003118D5"/>
    <w:rsid w:val="00315A30"/>
    <w:rsid w:val="00317610"/>
    <w:rsid w:val="00317DF1"/>
    <w:rsid w:val="00317E57"/>
    <w:rsid w:val="00321179"/>
    <w:rsid w:val="003213DD"/>
    <w:rsid w:val="003214BC"/>
    <w:rsid w:val="003229AC"/>
    <w:rsid w:val="00324F88"/>
    <w:rsid w:val="00325A2E"/>
    <w:rsid w:val="00326DB2"/>
    <w:rsid w:val="0032778B"/>
    <w:rsid w:val="00327B56"/>
    <w:rsid w:val="003315C7"/>
    <w:rsid w:val="003316D9"/>
    <w:rsid w:val="00331D1A"/>
    <w:rsid w:val="00331FE5"/>
    <w:rsid w:val="003330DE"/>
    <w:rsid w:val="00333BD7"/>
    <w:rsid w:val="00333E1B"/>
    <w:rsid w:val="003350B7"/>
    <w:rsid w:val="003357E6"/>
    <w:rsid w:val="0033633B"/>
    <w:rsid w:val="0033676F"/>
    <w:rsid w:val="00341FEC"/>
    <w:rsid w:val="0034246B"/>
    <w:rsid w:val="003426E3"/>
    <w:rsid w:val="00342BE4"/>
    <w:rsid w:val="00342CF9"/>
    <w:rsid w:val="00342D87"/>
    <w:rsid w:val="0034378E"/>
    <w:rsid w:val="00343EB1"/>
    <w:rsid w:val="003461B9"/>
    <w:rsid w:val="0034780D"/>
    <w:rsid w:val="00350357"/>
    <w:rsid w:val="00350584"/>
    <w:rsid w:val="00350E5D"/>
    <w:rsid w:val="003520C2"/>
    <w:rsid w:val="00353CA5"/>
    <w:rsid w:val="00355FC2"/>
    <w:rsid w:val="00355FEF"/>
    <w:rsid w:val="00356377"/>
    <w:rsid w:val="00357C25"/>
    <w:rsid w:val="00357C74"/>
    <w:rsid w:val="0036146E"/>
    <w:rsid w:val="00363DC4"/>
    <w:rsid w:val="00364C35"/>
    <w:rsid w:val="00364DA8"/>
    <w:rsid w:val="00364E7C"/>
    <w:rsid w:val="00365863"/>
    <w:rsid w:val="0036687A"/>
    <w:rsid w:val="00366ED2"/>
    <w:rsid w:val="003679E1"/>
    <w:rsid w:val="0037014F"/>
    <w:rsid w:val="00371DA1"/>
    <w:rsid w:val="00372290"/>
    <w:rsid w:val="00373E92"/>
    <w:rsid w:val="003748E9"/>
    <w:rsid w:val="00374974"/>
    <w:rsid w:val="00375777"/>
    <w:rsid w:val="00376226"/>
    <w:rsid w:val="003803FD"/>
    <w:rsid w:val="00380525"/>
    <w:rsid w:val="00381AA8"/>
    <w:rsid w:val="00383046"/>
    <w:rsid w:val="003853A4"/>
    <w:rsid w:val="00385515"/>
    <w:rsid w:val="00386B3D"/>
    <w:rsid w:val="00386CFD"/>
    <w:rsid w:val="003871E0"/>
    <w:rsid w:val="00387FC7"/>
    <w:rsid w:val="003900AD"/>
    <w:rsid w:val="003903BC"/>
    <w:rsid w:val="00390EF7"/>
    <w:rsid w:val="00391F0B"/>
    <w:rsid w:val="00392AF7"/>
    <w:rsid w:val="003932E0"/>
    <w:rsid w:val="00394BD2"/>
    <w:rsid w:val="003958E3"/>
    <w:rsid w:val="00395AEC"/>
    <w:rsid w:val="00396A99"/>
    <w:rsid w:val="003A0136"/>
    <w:rsid w:val="003A1267"/>
    <w:rsid w:val="003A1886"/>
    <w:rsid w:val="003A2545"/>
    <w:rsid w:val="003A2E59"/>
    <w:rsid w:val="003A4614"/>
    <w:rsid w:val="003A4C1A"/>
    <w:rsid w:val="003A4D41"/>
    <w:rsid w:val="003A5590"/>
    <w:rsid w:val="003A5FE7"/>
    <w:rsid w:val="003A6C5F"/>
    <w:rsid w:val="003A7256"/>
    <w:rsid w:val="003A78B3"/>
    <w:rsid w:val="003B0BB6"/>
    <w:rsid w:val="003B23BC"/>
    <w:rsid w:val="003B3F80"/>
    <w:rsid w:val="003B401C"/>
    <w:rsid w:val="003B612D"/>
    <w:rsid w:val="003B61E8"/>
    <w:rsid w:val="003B75A8"/>
    <w:rsid w:val="003B7777"/>
    <w:rsid w:val="003B79F7"/>
    <w:rsid w:val="003C1705"/>
    <w:rsid w:val="003C19FC"/>
    <w:rsid w:val="003C2B55"/>
    <w:rsid w:val="003C391E"/>
    <w:rsid w:val="003C5308"/>
    <w:rsid w:val="003C5912"/>
    <w:rsid w:val="003C5C6D"/>
    <w:rsid w:val="003C6123"/>
    <w:rsid w:val="003C6347"/>
    <w:rsid w:val="003C67FE"/>
    <w:rsid w:val="003C78F2"/>
    <w:rsid w:val="003D0211"/>
    <w:rsid w:val="003D028D"/>
    <w:rsid w:val="003D0736"/>
    <w:rsid w:val="003D1878"/>
    <w:rsid w:val="003D19CE"/>
    <w:rsid w:val="003D1AAA"/>
    <w:rsid w:val="003D2144"/>
    <w:rsid w:val="003D22D0"/>
    <w:rsid w:val="003D34A6"/>
    <w:rsid w:val="003D49DB"/>
    <w:rsid w:val="003D6003"/>
    <w:rsid w:val="003D66A6"/>
    <w:rsid w:val="003D695A"/>
    <w:rsid w:val="003D77FF"/>
    <w:rsid w:val="003E0741"/>
    <w:rsid w:val="003E0985"/>
    <w:rsid w:val="003E19C5"/>
    <w:rsid w:val="003E2952"/>
    <w:rsid w:val="003E2B15"/>
    <w:rsid w:val="003E3104"/>
    <w:rsid w:val="003E40C5"/>
    <w:rsid w:val="003E46E7"/>
    <w:rsid w:val="003E59A2"/>
    <w:rsid w:val="003E65E9"/>
    <w:rsid w:val="003E6949"/>
    <w:rsid w:val="003E6962"/>
    <w:rsid w:val="003E6BCB"/>
    <w:rsid w:val="003E7620"/>
    <w:rsid w:val="003F03FF"/>
    <w:rsid w:val="003F0E27"/>
    <w:rsid w:val="003F1021"/>
    <w:rsid w:val="003F200F"/>
    <w:rsid w:val="003F28E0"/>
    <w:rsid w:val="003F29F5"/>
    <w:rsid w:val="003F2B7F"/>
    <w:rsid w:val="003F32FE"/>
    <w:rsid w:val="003F3323"/>
    <w:rsid w:val="003F3C2D"/>
    <w:rsid w:val="003F659A"/>
    <w:rsid w:val="003F6B25"/>
    <w:rsid w:val="003F7E3D"/>
    <w:rsid w:val="003F7EA5"/>
    <w:rsid w:val="003F7FC2"/>
    <w:rsid w:val="00400396"/>
    <w:rsid w:val="00401C78"/>
    <w:rsid w:val="004024C2"/>
    <w:rsid w:val="004033C7"/>
    <w:rsid w:val="00404EC4"/>
    <w:rsid w:val="004059B1"/>
    <w:rsid w:val="00405B82"/>
    <w:rsid w:val="00405F3C"/>
    <w:rsid w:val="00407050"/>
    <w:rsid w:val="004072A5"/>
    <w:rsid w:val="004078DC"/>
    <w:rsid w:val="00407B30"/>
    <w:rsid w:val="00407C06"/>
    <w:rsid w:val="00410011"/>
    <w:rsid w:val="00410A95"/>
    <w:rsid w:val="00411B59"/>
    <w:rsid w:val="00411BF3"/>
    <w:rsid w:val="00411D11"/>
    <w:rsid w:val="0041311A"/>
    <w:rsid w:val="00413A4B"/>
    <w:rsid w:val="00413EE3"/>
    <w:rsid w:val="00414614"/>
    <w:rsid w:val="00414F21"/>
    <w:rsid w:val="00415EC6"/>
    <w:rsid w:val="00417023"/>
    <w:rsid w:val="00417354"/>
    <w:rsid w:val="00417A76"/>
    <w:rsid w:val="00420735"/>
    <w:rsid w:val="00421B3C"/>
    <w:rsid w:val="00423053"/>
    <w:rsid w:val="00424339"/>
    <w:rsid w:val="00424342"/>
    <w:rsid w:val="004246AD"/>
    <w:rsid w:val="00425085"/>
    <w:rsid w:val="004253F0"/>
    <w:rsid w:val="00425D10"/>
    <w:rsid w:val="0042686E"/>
    <w:rsid w:val="00431B1B"/>
    <w:rsid w:val="00432352"/>
    <w:rsid w:val="00432C93"/>
    <w:rsid w:val="004334B2"/>
    <w:rsid w:val="00433A16"/>
    <w:rsid w:val="004341D3"/>
    <w:rsid w:val="00434ED4"/>
    <w:rsid w:val="00437012"/>
    <w:rsid w:val="00437AEA"/>
    <w:rsid w:val="00440ED1"/>
    <w:rsid w:val="00445EBA"/>
    <w:rsid w:val="00446D86"/>
    <w:rsid w:val="00447A4C"/>
    <w:rsid w:val="00447E76"/>
    <w:rsid w:val="004504BE"/>
    <w:rsid w:val="004522F0"/>
    <w:rsid w:val="00452BFD"/>
    <w:rsid w:val="00453911"/>
    <w:rsid w:val="0045396D"/>
    <w:rsid w:val="0045437A"/>
    <w:rsid w:val="00454B4A"/>
    <w:rsid w:val="00454BB8"/>
    <w:rsid w:val="00454D71"/>
    <w:rsid w:val="004553BB"/>
    <w:rsid w:val="00455DBE"/>
    <w:rsid w:val="00455F8B"/>
    <w:rsid w:val="004569B8"/>
    <w:rsid w:val="00456B7D"/>
    <w:rsid w:val="004571D9"/>
    <w:rsid w:val="004576B9"/>
    <w:rsid w:val="00460D54"/>
    <w:rsid w:val="00460E94"/>
    <w:rsid w:val="004610DD"/>
    <w:rsid w:val="004624D8"/>
    <w:rsid w:val="00463AEE"/>
    <w:rsid w:val="00464133"/>
    <w:rsid w:val="00464256"/>
    <w:rsid w:val="00464AD2"/>
    <w:rsid w:val="0046562B"/>
    <w:rsid w:val="00465ACD"/>
    <w:rsid w:val="00466501"/>
    <w:rsid w:val="00467AB4"/>
    <w:rsid w:val="00470678"/>
    <w:rsid w:val="00470E59"/>
    <w:rsid w:val="00471188"/>
    <w:rsid w:val="00471451"/>
    <w:rsid w:val="00472068"/>
    <w:rsid w:val="0047255E"/>
    <w:rsid w:val="004730D1"/>
    <w:rsid w:val="004745FF"/>
    <w:rsid w:val="00475022"/>
    <w:rsid w:val="00475727"/>
    <w:rsid w:val="00475E24"/>
    <w:rsid w:val="00475F6C"/>
    <w:rsid w:val="0047767E"/>
    <w:rsid w:val="00480351"/>
    <w:rsid w:val="00480633"/>
    <w:rsid w:val="0048170A"/>
    <w:rsid w:val="00482360"/>
    <w:rsid w:val="004823AB"/>
    <w:rsid w:val="004831F9"/>
    <w:rsid w:val="00483846"/>
    <w:rsid w:val="00483EC5"/>
    <w:rsid w:val="00484BD7"/>
    <w:rsid w:val="00485127"/>
    <w:rsid w:val="0048547C"/>
    <w:rsid w:val="004864BF"/>
    <w:rsid w:val="00486EDA"/>
    <w:rsid w:val="00487016"/>
    <w:rsid w:val="004878F1"/>
    <w:rsid w:val="00487E9D"/>
    <w:rsid w:val="004902F5"/>
    <w:rsid w:val="004906AD"/>
    <w:rsid w:val="00491126"/>
    <w:rsid w:val="004915B2"/>
    <w:rsid w:val="00492ECC"/>
    <w:rsid w:val="004932AA"/>
    <w:rsid w:val="004933B8"/>
    <w:rsid w:val="0049386A"/>
    <w:rsid w:val="00494974"/>
    <w:rsid w:val="00494989"/>
    <w:rsid w:val="00494E79"/>
    <w:rsid w:val="004955C1"/>
    <w:rsid w:val="00497729"/>
    <w:rsid w:val="004977A9"/>
    <w:rsid w:val="004A1099"/>
    <w:rsid w:val="004A1247"/>
    <w:rsid w:val="004A22FB"/>
    <w:rsid w:val="004A281B"/>
    <w:rsid w:val="004A2DAC"/>
    <w:rsid w:val="004A32FE"/>
    <w:rsid w:val="004A440D"/>
    <w:rsid w:val="004A571D"/>
    <w:rsid w:val="004A5E3D"/>
    <w:rsid w:val="004A67A6"/>
    <w:rsid w:val="004A715F"/>
    <w:rsid w:val="004B09CC"/>
    <w:rsid w:val="004B15BA"/>
    <w:rsid w:val="004B1AC2"/>
    <w:rsid w:val="004B1AD2"/>
    <w:rsid w:val="004B2444"/>
    <w:rsid w:val="004B2947"/>
    <w:rsid w:val="004B3085"/>
    <w:rsid w:val="004B3CA1"/>
    <w:rsid w:val="004B4168"/>
    <w:rsid w:val="004B5C24"/>
    <w:rsid w:val="004B6002"/>
    <w:rsid w:val="004B6AD1"/>
    <w:rsid w:val="004C01A3"/>
    <w:rsid w:val="004C24B0"/>
    <w:rsid w:val="004C31C4"/>
    <w:rsid w:val="004C4CDF"/>
    <w:rsid w:val="004C6601"/>
    <w:rsid w:val="004C6982"/>
    <w:rsid w:val="004C7053"/>
    <w:rsid w:val="004D002A"/>
    <w:rsid w:val="004D004A"/>
    <w:rsid w:val="004D0B97"/>
    <w:rsid w:val="004D3838"/>
    <w:rsid w:val="004D3E68"/>
    <w:rsid w:val="004D6835"/>
    <w:rsid w:val="004D6BA7"/>
    <w:rsid w:val="004D77F9"/>
    <w:rsid w:val="004D7C94"/>
    <w:rsid w:val="004E0A8C"/>
    <w:rsid w:val="004E1863"/>
    <w:rsid w:val="004E1B5A"/>
    <w:rsid w:val="004E1E8D"/>
    <w:rsid w:val="004E2622"/>
    <w:rsid w:val="004E2BCA"/>
    <w:rsid w:val="004E2E2A"/>
    <w:rsid w:val="004E3008"/>
    <w:rsid w:val="004E35BF"/>
    <w:rsid w:val="004E3B9D"/>
    <w:rsid w:val="004E3FBA"/>
    <w:rsid w:val="004E4602"/>
    <w:rsid w:val="004E5209"/>
    <w:rsid w:val="004E5399"/>
    <w:rsid w:val="004E6220"/>
    <w:rsid w:val="004E6CF0"/>
    <w:rsid w:val="004F0117"/>
    <w:rsid w:val="004F0FBF"/>
    <w:rsid w:val="004F1506"/>
    <w:rsid w:val="004F1557"/>
    <w:rsid w:val="004F1882"/>
    <w:rsid w:val="004F2441"/>
    <w:rsid w:val="004F2DC1"/>
    <w:rsid w:val="004F3579"/>
    <w:rsid w:val="004F3821"/>
    <w:rsid w:val="004F3C29"/>
    <w:rsid w:val="004F48F6"/>
    <w:rsid w:val="004F6D9A"/>
    <w:rsid w:val="00500769"/>
    <w:rsid w:val="00500B3C"/>
    <w:rsid w:val="00501401"/>
    <w:rsid w:val="0050164C"/>
    <w:rsid w:val="00501D63"/>
    <w:rsid w:val="00503ED6"/>
    <w:rsid w:val="00504D62"/>
    <w:rsid w:val="00506B62"/>
    <w:rsid w:val="0050776F"/>
    <w:rsid w:val="00507E85"/>
    <w:rsid w:val="00510722"/>
    <w:rsid w:val="00510D5F"/>
    <w:rsid w:val="00510DC8"/>
    <w:rsid w:val="00511DD8"/>
    <w:rsid w:val="00511F7C"/>
    <w:rsid w:val="00512442"/>
    <w:rsid w:val="00513C8D"/>
    <w:rsid w:val="00514154"/>
    <w:rsid w:val="00515169"/>
    <w:rsid w:val="00515348"/>
    <w:rsid w:val="00515ED8"/>
    <w:rsid w:val="00517155"/>
    <w:rsid w:val="00517818"/>
    <w:rsid w:val="00520066"/>
    <w:rsid w:val="00520971"/>
    <w:rsid w:val="00520E9E"/>
    <w:rsid w:val="00522F3E"/>
    <w:rsid w:val="00523242"/>
    <w:rsid w:val="00524F40"/>
    <w:rsid w:val="0052547F"/>
    <w:rsid w:val="005269D4"/>
    <w:rsid w:val="005270DD"/>
    <w:rsid w:val="00527F72"/>
    <w:rsid w:val="00530493"/>
    <w:rsid w:val="005313AD"/>
    <w:rsid w:val="0053171D"/>
    <w:rsid w:val="00532271"/>
    <w:rsid w:val="00533936"/>
    <w:rsid w:val="00534393"/>
    <w:rsid w:val="00536001"/>
    <w:rsid w:val="00536105"/>
    <w:rsid w:val="00536864"/>
    <w:rsid w:val="00536882"/>
    <w:rsid w:val="00537B65"/>
    <w:rsid w:val="00540527"/>
    <w:rsid w:val="00540959"/>
    <w:rsid w:val="00541584"/>
    <w:rsid w:val="00541A16"/>
    <w:rsid w:val="00541AE5"/>
    <w:rsid w:val="00541F61"/>
    <w:rsid w:val="0054248E"/>
    <w:rsid w:val="0054272D"/>
    <w:rsid w:val="00544588"/>
    <w:rsid w:val="00544B4E"/>
    <w:rsid w:val="00545328"/>
    <w:rsid w:val="00545695"/>
    <w:rsid w:val="0054680E"/>
    <w:rsid w:val="00546890"/>
    <w:rsid w:val="00546B6E"/>
    <w:rsid w:val="00547BA5"/>
    <w:rsid w:val="00547CB0"/>
    <w:rsid w:val="005510C8"/>
    <w:rsid w:val="00553F4B"/>
    <w:rsid w:val="00555E5D"/>
    <w:rsid w:val="00556562"/>
    <w:rsid w:val="00556EB6"/>
    <w:rsid w:val="005577A2"/>
    <w:rsid w:val="00557A6E"/>
    <w:rsid w:val="00557AAF"/>
    <w:rsid w:val="00560B81"/>
    <w:rsid w:val="00561DEA"/>
    <w:rsid w:val="005628A1"/>
    <w:rsid w:val="00562B76"/>
    <w:rsid w:val="00562F0C"/>
    <w:rsid w:val="00564BCE"/>
    <w:rsid w:val="00564BF5"/>
    <w:rsid w:val="00564DDB"/>
    <w:rsid w:val="005653F2"/>
    <w:rsid w:val="00565B06"/>
    <w:rsid w:val="00566A13"/>
    <w:rsid w:val="00567AFC"/>
    <w:rsid w:val="00570223"/>
    <w:rsid w:val="00571626"/>
    <w:rsid w:val="00572F5C"/>
    <w:rsid w:val="0057316F"/>
    <w:rsid w:val="005756F4"/>
    <w:rsid w:val="00575C09"/>
    <w:rsid w:val="005769C5"/>
    <w:rsid w:val="005771C2"/>
    <w:rsid w:val="00577EEF"/>
    <w:rsid w:val="0058075E"/>
    <w:rsid w:val="0058099A"/>
    <w:rsid w:val="00583C7B"/>
    <w:rsid w:val="00583D01"/>
    <w:rsid w:val="00584A21"/>
    <w:rsid w:val="00585268"/>
    <w:rsid w:val="0058528C"/>
    <w:rsid w:val="00585C90"/>
    <w:rsid w:val="0058657B"/>
    <w:rsid w:val="00586BD2"/>
    <w:rsid w:val="00586DAB"/>
    <w:rsid w:val="00590DFB"/>
    <w:rsid w:val="005920CA"/>
    <w:rsid w:val="005935CF"/>
    <w:rsid w:val="005940CE"/>
    <w:rsid w:val="00594A58"/>
    <w:rsid w:val="00595172"/>
    <w:rsid w:val="005952D3"/>
    <w:rsid w:val="00596C5A"/>
    <w:rsid w:val="005A0693"/>
    <w:rsid w:val="005A0C4F"/>
    <w:rsid w:val="005A1152"/>
    <w:rsid w:val="005A1876"/>
    <w:rsid w:val="005A1B3C"/>
    <w:rsid w:val="005A3267"/>
    <w:rsid w:val="005A3704"/>
    <w:rsid w:val="005A38D6"/>
    <w:rsid w:val="005A6466"/>
    <w:rsid w:val="005A65D4"/>
    <w:rsid w:val="005A690B"/>
    <w:rsid w:val="005B041A"/>
    <w:rsid w:val="005B0EAE"/>
    <w:rsid w:val="005B1314"/>
    <w:rsid w:val="005B1EA0"/>
    <w:rsid w:val="005B35AB"/>
    <w:rsid w:val="005B45F8"/>
    <w:rsid w:val="005B4B23"/>
    <w:rsid w:val="005B5D2A"/>
    <w:rsid w:val="005B5D32"/>
    <w:rsid w:val="005B6B28"/>
    <w:rsid w:val="005B6BCC"/>
    <w:rsid w:val="005B6E37"/>
    <w:rsid w:val="005C0D11"/>
    <w:rsid w:val="005C12D4"/>
    <w:rsid w:val="005C17E3"/>
    <w:rsid w:val="005C19BC"/>
    <w:rsid w:val="005C2D4B"/>
    <w:rsid w:val="005C3000"/>
    <w:rsid w:val="005C371E"/>
    <w:rsid w:val="005C489C"/>
    <w:rsid w:val="005C4DCD"/>
    <w:rsid w:val="005C4EFD"/>
    <w:rsid w:val="005C7344"/>
    <w:rsid w:val="005C76DD"/>
    <w:rsid w:val="005D1003"/>
    <w:rsid w:val="005D377E"/>
    <w:rsid w:val="005D3E43"/>
    <w:rsid w:val="005D4A7A"/>
    <w:rsid w:val="005D4F0A"/>
    <w:rsid w:val="005D5814"/>
    <w:rsid w:val="005D68B2"/>
    <w:rsid w:val="005D72A8"/>
    <w:rsid w:val="005E048F"/>
    <w:rsid w:val="005E0F89"/>
    <w:rsid w:val="005E1BF0"/>
    <w:rsid w:val="005E2C48"/>
    <w:rsid w:val="005E5A64"/>
    <w:rsid w:val="005E5CF5"/>
    <w:rsid w:val="005E5D56"/>
    <w:rsid w:val="005E6576"/>
    <w:rsid w:val="005E6B72"/>
    <w:rsid w:val="005E7127"/>
    <w:rsid w:val="005F08F3"/>
    <w:rsid w:val="005F18FE"/>
    <w:rsid w:val="005F3D9C"/>
    <w:rsid w:val="005F3FE3"/>
    <w:rsid w:val="005F46F0"/>
    <w:rsid w:val="005F4A50"/>
    <w:rsid w:val="005F5506"/>
    <w:rsid w:val="005F5609"/>
    <w:rsid w:val="005F6CED"/>
    <w:rsid w:val="005F6E76"/>
    <w:rsid w:val="005F738E"/>
    <w:rsid w:val="005F7965"/>
    <w:rsid w:val="005F7C24"/>
    <w:rsid w:val="00600108"/>
    <w:rsid w:val="00600372"/>
    <w:rsid w:val="00600C83"/>
    <w:rsid w:val="006055B4"/>
    <w:rsid w:val="00605CC0"/>
    <w:rsid w:val="006060C4"/>
    <w:rsid w:val="006068D9"/>
    <w:rsid w:val="006069DE"/>
    <w:rsid w:val="00607DAA"/>
    <w:rsid w:val="0061001D"/>
    <w:rsid w:val="006101F6"/>
    <w:rsid w:val="00611DE5"/>
    <w:rsid w:val="0061251F"/>
    <w:rsid w:val="006126BE"/>
    <w:rsid w:val="006135AB"/>
    <w:rsid w:val="00613E37"/>
    <w:rsid w:val="00614500"/>
    <w:rsid w:val="006152C4"/>
    <w:rsid w:val="00616140"/>
    <w:rsid w:val="00616319"/>
    <w:rsid w:val="006170BA"/>
    <w:rsid w:val="006172D5"/>
    <w:rsid w:val="00617B53"/>
    <w:rsid w:val="0062061D"/>
    <w:rsid w:val="00622005"/>
    <w:rsid w:val="00622316"/>
    <w:rsid w:val="00623B9C"/>
    <w:rsid w:val="00625781"/>
    <w:rsid w:val="00625E52"/>
    <w:rsid w:val="00626C56"/>
    <w:rsid w:val="00626DF0"/>
    <w:rsid w:val="006325A4"/>
    <w:rsid w:val="00632F7C"/>
    <w:rsid w:val="006333E9"/>
    <w:rsid w:val="0063355B"/>
    <w:rsid w:val="00633861"/>
    <w:rsid w:val="006346DB"/>
    <w:rsid w:val="0063506B"/>
    <w:rsid w:val="00635B21"/>
    <w:rsid w:val="006363A0"/>
    <w:rsid w:val="006406A6"/>
    <w:rsid w:val="00640806"/>
    <w:rsid w:val="006416AE"/>
    <w:rsid w:val="006433EF"/>
    <w:rsid w:val="00643CDE"/>
    <w:rsid w:val="00644D56"/>
    <w:rsid w:val="00646E0A"/>
    <w:rsid w:val="00646FBF"/>
    <w:rsid w:val="006477B4"/>
    <w:rsid w:val="00650B25"/>
    <w:rsid w:val="006512DF"/>
    <w:rsid w:val="00651A08"/>
    <w:rsid w:val="006522D4"/>
    <w:rsid w:val="0065262D"/>
    <w:rsid w:val="00652C91"/>
    <w:rsid w:val="00653A91"/>
    <w:rsid w:val="006556A8"/>
    <w:rsid w:val="006604E2"/>
    <w:rsid w:val="00660E47"/>
    <w:rsid w:val="00661581"/>
    <w:rsid w:val="00662DCF"/>
    <w:rsid w:val="0066300C"/>
    <w:rsid w:val="00663CBC"/>
    <w:rsid w:val="006641C2"/>
    <w:rsid w:val="006645F2"/>
    <w:rsid w:val="00664F2E"/>
    <w:rsid w:val="00665167"/>
    <w:rsid w:val="00667BDC"/>
    <w:rsid w:val="006701F2"/>
    <w:rsid w:val="006728A4"/>
    <w:rsid w:val="00672B68"/>
    <w:rsid w:val="00673CB2"/>
    <w:rsid w:val="00674240"/>
    <w:rsid w:val="00674E0D"/>
    <w:rsid w:val="006756B5"/>
    <w:rsid w:val="00675C84"/>
    <w:rsid w:val="00675E77"/>
    <w:rsid w:val="006760D4"/>
    <w:rsid w:val="006769EC"/>
    <w:rsid w:val="00676B78"/>
    <w:rsid w:val="00680250"/>
    <w:rsid w:val="00680468"/>
    <w:rsid w:val="00680476"/>
    <w:rsid w:val="0068098A"/>
    <w:rsid w:val="006818C0"/>
    <w:rsid w:val="0068271B"/>
    <w:rsid w:val="00682F21"/>
    <w:rsid w:val="00682F9C"/>
    <w:rsid w:val="00683965"/>
    <w:rsid w:val="00683D01"/>
    <w:rsid w:val="00684BAB"/>
    <w:rsid w:val="00685B08"/>
    <w:rsid w:val="00686EDC"/>
    <w:rsid w:val="006875EE"/>
    <w:rsid w:val="00687948"/>
    <w:rsid w:val="00690DD5"/>
    <w:rsid w:val="006917D9"/>
    <w:rsid w:val="00693F55"/>
    <w:rsid w:val="00693F70"/>
    <w:rsid w:val="00693FEC"/>
    <w:rsid w:val="006962A1"/>
    <w:rsid w:val="00696AC8"/>
    <w:rsid w:val="00696BA6"/>
    <w:rsid w:val="006976E8"/>
    <w:rsid w:val="00697BEE"/>
    <w:rsid w:val="006A004D"/>
    <w:rsid w:val="006A0B6E"/>
    <w:rsid w:val="006A0BF0"/>
    <w:rsid w:val="006A0F9A"/>
    <w:rsid w:val="006A397E"/>
    <w:rsid w:val="006A4F43"/>
    <w:rsid w:val="006A5D37"/>
    <w:rsid w:val="006A5D40"/>
    <w:rsid w:val="006A61AA"/>
    <w:rsid w:val="006A66FA"/>
    <w:rsid w:val="006A6930"/>
    <w:rsid w:val="006A6969"/>
    <w:rsid w:val="006A7882"/>
    <w:rsid w:val="006A7E57"/>
    <w:rsid w:val="006B07F0"/>
    <w:rsid w:val="006B31FE"/>
    <w:rsid w:val="006B3423"/>
    <w:rsid w:val="006B4434"/>
    <w:rsid w:val="006B49D5"/>
    <w:rsid w:val="006B5DF1"/>
    <w:rsid w:val="006B6A54"/>
    <w:rsid w:val="006B6D9C"/>
    <w:rsid w:val="006C0566"/>
    <w:rsid w:val="006C1BA2"/>
    <w:rsid w:val="006C1DFA"/>
    <w:rsid w:val="006C561D"/>
    <w:rsid w:val="006C5B62"/>
    <w:rsid w:val="006C5C55"/>
    <w:rsid w:val="006C6C08"/>
    <w:rsid w:val="006C6FAE"/>
    <w:rsid w:val="006C71C1"/>
    <w:rsid w:val="006C787C"/>
    <w:rsid w:val="006D0E77"/>
    <w:rsid w:val="006D15EB"/>
    <w:rsid w:val="006D27FC"/>
    <w:rsid w:val="006D2969"/>
    <w:rsid w:val="006D5CA4"/>
    <w:rsid w:val="006D6315"/>
    <w:rsid w:val="006D6ED3"/>
    <w:rsid w:val="006D7258"/>
    <w:rsid w:val="006E0197"/>
    <w:rsid w:val="006E03EA"/>
    <w:rsid w:val="006E0764"/>
    <w:rsid w:val="006E1435"/>
    <w:rsid w:val="006E45EB"/>
    <w:rsid w:val="006E5548"/>
    <w:rsid w:val="006E7433"/>
    <w:rsid w:val="006F1826"/>
    <w:rsid w:val="006F2460"/>
    <w:rsid w:val="006F28D3"/>
    <w:rsid w:val="006F4493"/>
    <w:rsid w:val="006F6DCC"/>
    <w:rsid w:val="0070192A"/>
    <w:rsid w:val="00702B5C"/>
    <w:rsid w:val="007048DD"/>
    <w:rsid w:val="00705E3A"/>
    <w:rsid w:val="00706951"/>
    <w:rsid w:val="007070EB"/>
    <w:rsid w:val="0070795F"/>
    <w:rsid w:val="00707E7A"/>
    <w:rsid w:val="00710ABC"/>
    <w:rsid w:val="007121F2"/>
    <w:rsid w:val="00712B14"/>
    <w:rsid w:val="00712D29"/>
    <w:rsid w:val="00713996"/>
    <w:rsid w:val="00713B3B"/>
    <w:rsid w:val="00713F9D"/>
    <w:rsid w:val="00715FE0"/>
    <w:rsid w:val="00716C73"/>
    <w:rsid w:val="00717262"/>
    <w:rsid w:val="00720284"/>
    <w:rsid w:val="00720ECF"/>
    <w:rsid w:val="00722609"/>
    <w:rsid w:val="00722FE3"/>
    <w:rsid w:val="00723713"/>
    <w:rsid w:val="007249B1"/>
    <w:rsid w:val="00724A37"/>
    <w:rsid w:val="00724B96"/>
    <w:rsid w:val="007256DA"/>
    <w:rsid w:val="007263A4"/>
    <w:rsid w:val="007265BC"/>
    <w:rsid w:val="0073004B"/>
    <w:rsid w:val="0073018C"/>
    <w:rsid w:val="00730CF8"/>
    <w:rsid w:val="007349AB"/>
    <w:rsid w:val="0073511B"/>
    <w:rsid w:val="007360B8"/>
    <w:rsid w:val="00736852"/>
    <w:rsid w:val="00736A72"/>
    <w:rsid w:val="00737441"/>
    <w:rsid w:val="00737AD3"/>
    <w:rsid w:val="00737C40"/>
    <w:rsid w:val="007408DF"/>
    <w:rsid w:val="00740E93"/>
    <w:rsid w:val="00741C38"/>
    <w:rsid w:val="00741ED0"/>
    <w:rsid w:val="00741F5F"/>
    <w:rsid w:val="007420FA"/>
    <w:rsid w:val="0074243E"/>
    <w:rsid w:val="0074269E"/>
    <w:rsid w:val="00743483"/>
    <w:rsid w:val="00743606"/>
    <w:rsid w:val="00744026"/>
    <w:rsid w:val="00744350"/>
    <w:rsid w:val="0074456F"/>
    <w:rsid w:val="007445A0"/>
    <w:rsid w:val="007448CC"/>
    <w:rsid w:val="00745BC6"/>
    <w:rsid w:val="00746A02"/>
    <w:rsid w:val="00747A32"/>
    <w:rsid w:val="0075063A"/>
    <w:rsid w:val="00753761"/>
    <w:rsid w:val="00753D1F"/>
    <w:rsid w:val="00754189"/>
    <w:rsid w:val="00754A76"/>
    <w:rsid w:val="00754C65"/>
    <w:rsid w:val="00754E3C"/>
    <w:rsid w:val="00756449"/>
    <w:rsid w:val="00756DDD"/>
    <w:rsid w:val="00757493"/>
    <w:rsid w:val="00757EE4"/>
    <w:rsid w:val="00760E24"/>
    <w:rsid w:val="007619CD"/>
    <w:rsid w:val="0076241E"/>
    <w:rsid w:val="007641DD"/>
    <w:rsid w:val="00764D89"/>
    <w:rsid w:val="00764F4B"/>
    <w:rsid w:val="0076503B"/>
    <w:rsid w:val="00765491"/>
    <w:rsid w:val="00765F50"/>
    <w:rsid w:val="00765FF0"/>
    <w:rsid w:val="007660BB"/>
    <w:rsid w:val="0076735F"/>
    <w:rsid w:val="007677C6"/>
    <w:rsid w:val="00767832"/>
    <w:rsid w:val="00767896"/>
    <w:rsid w:val="0077137C"/>
    <w:rsid w:val="00771A08"/>
    <w:rsid w:val="00771CD0"/>
    <w:rsid w:val="00772546"/>
    <w:rsid w:val="00773726"/>
    <w:rsid w:val="00774F83"/>
    <w:rsid w:val="007758D9"/>
    <w:rsid w:val="00776E8A"/>
    <w:rsid w:val="00777978"/>
    <w:rsid w:val="007808A6"/>
    <w:rsid w:val="00781174"/>
    <w:rsid w:val="007815A9"/>
    <w:rsid w:val="007819EE"/>
    <w:rsid w:val="00784B31"/>
    <w:rsid w:val="0078562C"/>
    <w:rsid w:val="007868A9"/>
    <w:rsid w:val="00787215"/>
    <w:rsid w:val="007872E5"/>
    <w:rsid w:val="0079008B"/>
    <w:rsid w:val="007903D1"/>
    <w:rsid w:val="0079066B"/>
    <w:rsid w:val="00791134"/>
    <w:rsid w:val="0079162F"/>
    <w:rsid w:val="00793BC2"/>
    <w:rsid w:val="00794C6E"/>
    <w:rsid w:val="007957A0"/>
    <w:rsid w:val="00795AD0"/>
    <w:rsid w:val="00796817"/>
    <w:rsid w:val="00797895"/>
    <w:rsid w:val="007A0654"/>
    <w:rsid w:val="007A0DBF"/>
    <w:rsid w:val="007A1315"/>
    <w:rsid w:val="007A1D58"/>
    <w:rsid w:val="007A264E"/>
    <w:rsid w:val="007A30E8"/>
    <w:rsid w:val="007A3C7A"/>
    <w:rsid w:val="007A3CC9"/>
    <w:rsid w:val="007A437F"/>
    <w:rsid w:val="007A51FC"/>
    <w:rsid w:val="007A57F0"/>
    <w:rsid w:val="007A6899"/>
    <w:rsid w:val="007A7D76"/>
    <w:rsid w:val="007B0368"/>
    <w:rsid w:val="007B05D3"/>
    <w:rsid w:val="007B087A"/>
    <w:rsid w:val="007B0F52"/>
    <w:rsid w:val="007B0FB6"/>
    <w:rsid w:val="007B1740"/>
    <w:rsid w:val="007B3C09"/>
    <w:rsid w:val="007B3E45"/>
    <w:rsid w:val="007B4820"/>
    <w:rsid w:val="007B51D7"/>
    <w:rsid w:val="007B53CF"/>
    <w:rsid w:val="007B581A"/>
    <w:rsid w:val="007B5B09"/>
    <w:rsid w:val="007B6112"/>
    <w:rsid w:val="007B6A32"/>
    <w:rsid w:val="007B6D5C"/>
    <w:rsid w:val="007B6EF7"/>
    <w:rsid w:val="007B6F4C"/>
    <w:rsid w:val="007C028C"/>
    <w:rsid w:val="007C1311"/>
    <w:rsid w:val="007C16D6"/>
    <w:rsid w:val="007C1CC6"/>
    <w:rsid w:val="007C2310"/>
    <w:rsid w:val="007C2CD3"/>
    <w:rsid w:val="007C2D07"/>
    <w:rsid w:val="007C3461"/>
    <w:rsid w:val="007C4609"/>
    <w:rsid w:val="007C5D3D"/>
    <w:rsid w:val="007C6024"/>
    <w:rsid w:val="007C6357"/>
    <w:rsid w:val="007C6762"/>
    <w:rsid w:val="007C7B60"/>
    <w:rsid w:val="007D14C2"/>
    <w:rsid w:val="007D1985"/>
    <w:rsid w:val="007D2180"/>
    <w:rsid w:val="007D218C"/>
    <w:rsid w:val="007D34F5"/>
    <w:rsid w:val="007D3EAF"/>
    <w:rsid w:val="007D5559"/>
    <w:rsid w:val="007D55AF"/>
    <w:rsid w:val="007D61C1"/>
    <w:rsid w:val="007D7183"/>
    <w:rsid w:val="007E038D"/>
    <w:rsid w:val="007E0651"/>
    <w:rsid w:val="007E0829"/>
    <w:rsid w:val="007E2129"/>
    <w:rsid w:val="007E21EC"/>
    <w:rsid w:val="007E29B9"/>
    <w:rsid w:val="007E3E1D"/>
    <w:rsid w:val="007E4208"/>
    <w:rsid w:val="007E4909"/>
    <w:rsid w:val="007E5786"/>
    <w:rsid w:val="007E7714"/>
    <w:rsid w:val="007E7C95"/>
    <w:rsid w:val="007F0049"/>
    <w:rsid w:val="007F0556"/>
    <w:rsid w:val="007F0705"/>
    <w:rsid w:val="007F0849"/>
    <w:rsid w:val="007F0CF0"/>
    <w:rsid w:val="007F0E94"/>
    <w:rsid w:val="007F3320"/>
    <w:rsid w:val="007F339F"/>
    <w:rsid w:val="007F380D"/>
    <w:rsid w:val="007F389B"/>
    <w:rsid w:val="007F3DFE"/>
    <w:rsid w:val="007F448B"/>
    <w:rsid w:val="007F54EF"/>
    <w:rsid w:val="007F6775"/>
    <w:rsid w:val="007F67A6"/>
    <w:rsid w:val="007F6CD0"/>
    <w:rsid w:val="008019B2"/>
    <w:rsid w:val="00801C89"/>
    <w:rsid w:val="00801CA4"/>
    <w:rsid w:val="008021AA"/>
    <w:rsid w:val="00802365"/>
    <w:rsid w:val="00803406"/>
    <w:rsid w:val="008050A3"/>
    <w:rsid w:val="00805480"/>
    <w:rsid w:val="0080549E"/>
    <w:rsid w:val="00805A26"/>
    <w:rsid w:val="00805B6F"/>
    <w:rsid w:val="00805F1D"/>
    <w:rsid w:val="00805FFC"/>
    <w:rsid w:val="0080777B"/>
    <w:rsid w:val="00810524"/>
    <w:rsid w:val="00810797"/>
    <w:rsid w:val="00810A43"/>
    <w:rsid w:val="00810C3D"/>
    <w:rsid w:val="0081171D"/>
    <w:rsid w:val="008126B4"/>
    <w:rsid w:val="00812ACA"/>
    <w:rsid w:val="008130AF"/>
    <w:rsid w:val="008136DE"/>
    <w:rsid w:val="008155C6"/>
    <w:rsid w:val="0081581A"/>
    <w:rsid w:val="00815A04"/>
    <w:rsid w:val="00815A33"/>
    <w:rsid w:val="0081710F"/>
    <w:rsid w:val="0081764C"/>
    <w:rsid w:val="008179EC"/>
    <w:rsid w:val="00817FE2"/>
    <w:rsid w:val="0082039D"/>
    <w:rsid w:val="0082108D"/>
    <w:rsid w:val="00822CE5"/>
    <w:rsid w:val="00823BBD"/>
    <w:rsid w:val="00823E67"/>
    <w:rsid w:val="008257A8"/>
    <w:rsid w:val="008264DD"/>
    <w:rsid w:val="008269E8"/>
    <w:rsid w:val="00826A82"/>
    <w:rsid w:val="00826A8F"/>
    <w:rsid w:val="00826B5E"/>
    <w:rsid w:val="008272CF"/>
    <w:rsid w:val="00827AAF"/>
    <w:rsid w:val="00827D83"/>
    <w:rsid w:val="00827F86"/>
    <w:rsid w:val="00830534"/>
    <w:rsid w:val="008316FE"/>
    <w:rsid w:val="008323BB"/>
    <w:rsid w:val="00834197"/>
    <w:rsid w:val="00834DC2"/>
    <w:rsid w:val="008351C6"/>
    <w:rsid w:val="008352BF"/>
    <w:rsid w:val="008362F8"/>
    <w:rsid w:val="00836AAD"/>
    <w:rsid w:val="00840122"/>
    <w:rsid w:val="00840B7D"/>
    <w:rsid w:val="00841049"/>
    <w:rsid w:val="00842075"/>
    <w:rsid w:val="0084232B"/>
    <w:rsid w:val="00843254"/>
    <w:rsid w:val="00843316"/>
    <w:rsid w:val="008458C0"/>
    <w:rsid w:val="00845E6A"/>
    <w:rsid w:val="008468FA"/>
    <w:rsid w:val="00846BE0"/>
    <w:rsid w:val="00847462"/>
    <w:rsid w:val="00851139"/>
    <w:rsid w:val="008511F4"/>
    <w:rsid w:val="0085272C"/>
    <w:rsid w:val="008543D0"/>
    <w:rsid w:val="00854483"/>
    <w:rsid w:val="00855E8E"/>
    <w:rsid w:val="0085664C"/>
    <w:rsid w:val="00857D2B"/>
    <w:rsid w:val="008617E4"/>
    <w:rsid w:val="0086399C"/>
    <w:rsid w:val="00864148"/>
    <w:rsid w:val="00864C88"/>
    <w:rsid w:val="00864E0D"/>
    <w:rsid w:val="00865B4E"/>
    <w:rsid w:val="008676F1"/>
    <w:rsid w:val="00870EBB"/>
    <w:rsid w:val="00870F58"/>
    <w:rsid w:val="008739E4"/>
    <w:rsid w:val="008739F8"/>
    <w:rsid w:val="00874CC1"/>
    <w:rsid w:val="00875EE4"/>
    <w:rsid w:val="00876124"/>
    <w:rsid w:val="0087714C"/>
    <w:rsid w:val="00877CA0"/>
    <w:rsid w:val="0088097A"/>
    <w:rsid w:val="00881096"/>
    <w:rsid w:val="0088224C"/>
    <w:rsid w:val="008822C7"/>
    <w:rsid w:val="0088264B"/>
    <w:rsid w:val="00882A2F"/>
    <w:rsid w:val="00883A8A"/>
    <w:rsid w:val="00883EE0"/>
    <w:rsid w:val="00883F0C"/>
    <w:rsid w:val="008861B5"/>
    <w:rsid w:val="00887686"/>
    <w:rsid w:val="008877E5"/>
    <w:rsid w:val="0088796B"/>
    <w:rsid w:val="00891AEF"/>
    <w:rsid w:val="0089221E"/>
    <w:rsid w:val="00893445"/>
    <w:rsid w:val="00893B38"/>
    <w:rsid w:val="008940E7"/>
    <w:rsid w:val="00894600"/>
    <w:rsid w:val="00894B40"/>
    <w:rsid w:val="00895270"/>
    <w:rsid w:val="00896006"/>
    <w:rsid w:val="0089664D"/>
    <w:rsid w:val="00896B0E"/>
    <w:rsid w:val="00896B6A"/>
    <w:rsid w:val="00896DC0"/>
    <w:rsid w:val="00897DB1"/>
    <w:rsid w:val="008A2985"/>
    <w:rsid w:val="008A4355"/>
    <w:rsid w:val="008A456F"/>
    <w:rsid w:val="008A721C"/>
    <w:rsid w:val="008B030A"/>
    <w:rsid w:val="008B0C25"/>
    <w:rsid w:val="008B150C"/>
    <w:rsid w:val="008B2319"/>
    <w:rsid w:val="008B268D"/>
    <w:rsid w:val="008B4E49"/>
    <w:rsid w:val="008B6541"/>
    <w:rsid w:val="008B6973"/>
    <w:rsid w:val="008B7B51"/>
    <w:rsid w:val="008C0289"/>
    <w:rsid w:val="008C07BB"/>
    <w:rsid w:val="008C0DBC"/>
    <w:rsid w:val="008C1F49"/>
    <w:rsid w:val="008C3D68"/>
    <w:rsid w:val="008C3EAF"/>
    <w:rsid w:val="008C3F43"/>
    <w:rsid w:val="008C4687"/>
    <w:rsid w:val="008C4D8F"/>
    <w:rsid w:val="008C52AB"/>
    <w:rsid w:val="008C5303"/>
    <w:rsid w:val="008C66FD"/>
    <w:rsid w:val="008C6E42"/>
    <w:rsid w:val="008C7FDE"/>
    <w:rsid w:val="008D05D4"/>
    <w:rsid w:val="008D092A"/>
    <w:rsid w:val="008D122F"/>
    <w:rsid w:val="008D13CD"/>
    <w:rsid w:val="008D2AE4"/>
    <w:rsid w:val="008D2C2D"/>
    <w:rsid w:val="008D440A"/>
    <w:rsid w:val="008D455A"/>
    <w:rsid w:val="008D4567"/>
    <w:rsid w:val="008D4D09"/>
    <w:rsid w:val="008D58AF"/>
    <w:rsid w:val="008D7AD5"/>
    <w:rsid w:val="008D7C61"/>
    <w:rsid w:val="008E14CF"/>
    <w:rsid w:val="008E1D91"/>
    <w:rsid w:val="008E29BE"/>
    <w:rsid w:val="008E413F"/>
    <w:rsid w:val="008E48C3"/>
    <w:rsid w:val="008E4DB6"/>
    <w:rsid w:val="008E4E6A"/>
    <w:rsid w:val="008E5820"/>
    <w:rsid w:val="008E5B3E"/>
    <w:rsid w:val="008E5BB7"/>
    <w:rsid w:val="008E5E1A"/>
    <w:rsid w:val="008E7471"/>
    <w:rsid w:val="008F0365"/>
    <w:rsid w:val="008F14F1"/>
    <w:rsid w:val="008F15C2"/>
    <w:rsid w:val="008F1F6B"/>
    <w:rsid w:val="008F2254"/>
    <w:rsid w:val="008F2BC8"/>
    <w:rsid w:val="008F3005"/>
    <w:rsid w:val="008F40F8"/>
    <w:rsid w:val="008F4176"/>
    <w:rsid w:val="009006D0"/>
    <w:rsid w:val="0090167D"/>
    <w:rsid w:val="00902475"/>
    <w:rsid w:val="00903421"/>
    <w:rsid w:val="0090454A"/>
    <w:rsid w:val="009047C6"/>
    <w:rsid w:val="00904869"/>
    <w:rsid w:val="00904A5B"/>
    <w:rsid w:val="00906E59"/>
    <w:rsid w:val="00907130"/>
    <w:rsid w:val="00907F3E"/>
    <w:rsid w:val="00907F4C"/>
    <w:rsid w:val="00910536"/>
    <w:rsid w:val="009113EF"/>
    <w:rsid w:val="009124E5"/>
    <w:rsid w:val="00913697"/>
    <w:rsid w:val="0091401F"/>
    <w:rsid w:val="00915DE8"/>
    <w:rsid w:val="00916C10"/>
    <w:rsid w:val="00916E6D"/>
    <w:rsid w:val="00917790"/>
    <w:rsid w:val="00921F25"/>
    <w:rsid w:val="00922154"/>
    <w:rsid w:val="00924560"/>
    <w:rsid w:val="009248FB"/>
    <w:rsid w:val="00925541"/>
    <w:rsid w:val="00925A9C"/>
    <w:rsid w:val="0092600E"/>
    <w:rsid w:val="00926D14"/>
    <w:rsid w:val="0092736A"/>
    <w:rsid w:val="009309BE"/>
    <w:rsid w:val="00931109"/>
    <w:rsid w:val="00931139"/>
    <w:rsid w:val="00931223"/>
    <w:rsid w:val="00932555"/>
    <w:rsid w:val="0093268E"/>
    <w:rsid w:val="00932EAE"/>
    <w:rsid w:val="00933213"/>
    <w:rsid w:val="009332C9"/>
    <w:rsid w:val="00933892"/>
    <w:rsid w:val="00933A3E"/>
    <w:rsid w:val="00934338"/>
    <w:rsid w:val="009349AC"/>
    <w:rsid w:val="00934E09"/>
    <w:rsid w:val="0093675F"/>
    <w:rsid w:val="00940468"/>
    <w:rsid w:val="00940811"/>
    <w:rsid w:val="009421CC"/>
    <w:rsid w:val="009450E2"/>
    <w:rsid w:val="009453BA"/>
    <w:rsid w:val="00945F8D"/>
    <w:rsid w:val="009462B7"/>
    <w:rsid w:val="009463F4"/>
    <w:rsid w:val="0094744D"/>
    <w:rsid w:val="009474A6"/>
    <w:rsid w:val="00947C6F"/>
    <w:rsid w:val="00947DC2"/>
    <w:rsid w:val="009503BD"/>
    <w:rsid w:val="00950573"/>
    <w:rsid w:val="00950825"/>
    <w:rsid w:val="00950856"/>
    <w:rsid w:val="009514C4"/>
    <w:rsid w:val="0095153E"/>
    <w:rsid w:val="0095257E"/>
    <w:rsid w:val="00952A83"/>
    <w:rsid w:val="00953DCB"/>
    <w:rsid w:val="009542C4"/>
    <w:rsid w:val="00954ED8"/>
    <w:rsid w:val="0096052D"/>
    <w:rsid w:val="0096056C"/>
    <w:rsid w:val="00962049"/>
    <w:rsid w:val="0096243F"/>
    <w:rsid w:val="0096271D"/>
    <w:rsid w:val="00962FBF"/>
    <w:rsid w:val="0096406E"/>
    <w:rsid w:val="00964831"/>
    <w:rsid w:val="00964D9E"/>
    <w:rsid w:val="0096531D"/>
    <w:rsid w:val="00965831"/>
    <w:rsid w:val="00966618"/>
    <w:rsid w:val="00967B39"/>
    <w:rsid w:val="00967C30"/>
    <w:rsid w:val="00967D49"/>
    <w:rsid w:val="009700A2"/>
    <w:rsid w:val="0097190D"/>
    <w:rsid w:val="00972686"/>
    <w:rsid w:val="009736CB"/>
    <w:rsid w:val="00975155"/>
    <w:rsid w:val="00975557"/>
    <w:rsid w:val="009757AD"/>
    <w:rsid w:val="00976974"/>
    <w:rsid w:val="0097780F"/>
    <w:rsid w:val="009800DE"/>
    <w:rsid w:val="009806FB"/>
    <w:rsid w:val="009824B8"/>
    <w:rsid w:val="0098271C"/>
    <w:rsid w:val="009828FD"/>
    <w:rsid w:val="0098300E"/>
    <w:rsid w:val="00987F82"/>
    <w:rsid w:val="009901D6"/>
    <w:rsid w:val="0099024A"/>
    <w:rsid w:val="0099057D"/>
    <w:rsid w:val="00990D59"/>
    <w:rsid w:val="009912ED"/>
    <w:rsid w:val="00991AA5"/>
    <w:rsid w:val="009922BE"/>
    <w:rsid w:val="009924A5"/>
    <w:rsid w:val="00992E4B"/>
    <w:rsid w:val="00993B8B"/>
    <w:rsid w:val="0099401A"/>
    <w:rsid w:val="009945D2"/>
    <w:rsid w:val="00995976"/>
    <w:rsid w:val="009969BD"/>
    <w:rsid w:val="00996D81"/>
    <w:rsid w:val="009970DD"/>
    <w:rsid w:val="00997232"/>
    <w:rsid w:val="00997241"/>
    <w:rsid w:val="00997AB2"/>
    <w:rsid w:val="009A0320"/>
    <w:rsid w:val="009A10CC"/>
    <w:rsid w:val="009A153B"/>
    <w:rsid w:val="009A18E3"/>
    <w:rsid w:val="009A2F31"/>
    <w:rsid w:val="009A3000"/>
    <w:rsid w:val="009A3B2F"/>
    <w:rsid w:val="009A46A0"/>
    <w:rsid w:val="009A5231"/>
    <w:rsid w:val="009A6AEA"/>
    <w:rsid w:val="009A7EF8"/>
    <w:rsid w:val="009B2620"/>
    <w:rsid w:val="009B3FE7"/>
    <w:rsid w:val="009B45C7"/>
    <w:rsid w:val="009B4D20"/>
    <w:rsid w:val="009B6314"/>
    <w:rsid w:val="009B675B"/>
    <w:rsid w:val="009B6770"/>
    <w:rsid w:val="009B6C11"/>
    <w:rsid w:val="009B75A5"/>
    <w:rsid w:val="009B7CF3"/>
    <w:rsid w:val="009C0DB1"/>
    <w:rsid w:val="009C1181"/>
    <w:rsid w:val="009C27C8"/>
    <w:rsid w:val="009C31EB"/>
    <w:rsid w:val="009C3786"/>
    <w:rsid w:val="009C58E8"/>
    <w:rsid w:val="009C60A7"/>
    <w:rsid w:val="009C6872"/>
    <w:rsid w:val="009C6B43"/>
    <w:rsid w:val="009C7D61"/>
    <w:rsid w:val="009D3242"/>
    <w:rsid w:val="009D367C"/>
    <w:rsid w:val="009D373F"/>
    <w:rsid w:val="009D58D5"/>
    <w:rsid w:val="009D617B"/>
    <w:rsid w:val="009D6433"/>
    <w:rsid w:val="009D6A8A"/>
    <w:rsid w:val="009D6DDC"/>
    <w:rsid w:val="009D7142"/>
    <w:rsid w:val="009E020E"/>
    <w:rsid w:val="009E04E9"/>
    <w:rsid w:val="009E1614"/>
    <w:rsid w:val="009E17E1"/>
    <w:rsid w:val="009E24C1"/>
    <w:rsid w:val="009E45CB"/>
    <w:rsid w:val="009E54E2"/>
    <w:rsid w:val="009E6DC7"/>
    <w:rsid w:val="009E709C"/>
    <w:rsid w:val="009E73EB"/>
    <w:rsid w:val="009E7AF4"/>
    <w:rsid w:val="009E7BBE"/>
    <w:rsid w:val="009F126C"/>
    <w:rsid w:val="009F139D"/>
    <w:rsid w:val="009F4F18"/>
    <w:rsid w:val="009F5A65"/>
    <w:rsid w:val="009F7E17"/>
    <w:rsid w:val="00A018A1"/>
    <w:rsid w:val="00A01DE8"/>
    <w:rsid w:val="00A02135"/>
    <w:rsid w:val="00A023EC"/>
    <w:rsid w:val="00A02892"/>
    <w:rsid w:val="00A0321C"/>
    <w:rsid w:val="00A03F9D"/>
    <w:rsid w:val="00A046AA"/>
    <w:rsid w:val="00A0593A"/>
    <w:rsid w:val="00A063C5"/>
    <w:rsid w:val="00A06E67"/>
    <w:rsid w:val="00A108DF"/>
    <w:rsid w:val="00A12F67"/>
    <w:rsid w:val="00A134B0"/>
    <w:rsid w:val="00A14B50"/>
    <w:rsid w:val="00A14CA8"/>
    <w:rsid w:val="00A156F0"/>
    <w:rsid w:val="00A15A1A"/>
    <w:rsid w:val="00A160C6"/>
    <w:rsid w:val="00A16371"/>
    <w:rsid w:val="00A175E2"/>
    <w:rsid w:val="00A1774E"/>
    <w:rsid w:val="00A2043B"/>
    <w:rsid w:val="00A20EF2"/>
    <w:rsid w:val="00A21884"/>
    <w:rsid w:val="00A21CC3"/>
    <w:rsid w:val="00A225BE"/>
    <w:rsid w:val="00A2354C"/>
    <w:rsid w:val="00A247D9"/>
    <w:rsid w:val="00A2500C"/>
    <w:rsid w:val="00A2513B"/>
    <w:rsid w:val="00A27A1B"/>
    <w:rsid w:val="00A27B71"/>
    <w:rsid w:val="00A27C4C"/>
    <w:rsid w:val="00A30938"/>
    <w:rsid w:val="00A332E5"/>
    <w:rsid w:val="00A332EB"/>
    <w:rsid w:val="00A3778B"/>
    <w:rsid w:val="00A377ED"/>
    <w:rsid w:val="00A37FC3"/>
    <w:rsid w:val="00A40E26"/>
    <w:rsid w:val="00A4103C"/>
    <w:rsid w:val="00A42875"/>
    <w:rsid w:val="00A42BF3"/>
    <w:rsid w:val="00A42D61"/>
    <w:rsid w:val="00A43C0C"/>
    <w:rsid w:val="00A44BFF"/>
    <w:rsid w:val="00A45DDC"/>
    <w:rsid w:val="00A45F70"/>
    <w:rsid w:val="00A4660F"/>
    <w:rsid w:val="00A50ACF"/>
    <w:rsid w:val="00A51279"/>
    <w:rsid w:val="00A51C05"/>
    <w:rsid w:val="00A5249C"/>
    <w:rsid w:val="00A5311B"/>
    <w:rsid w:val="00A53FFB"/>
    <w:rsid w:val="00A54385"/>
    <w:rsid w:val="00A54B74"/>
    <w:rsid w:val="00A55480"/>
    <w:rsid w:val="00A55E5D"/>
    <w:rsid w:val="00A56E19"/>
    <w:rsid w:val="00A578C5"/>
    <w:rsid w:val="00A609BA"/>
    <w:rsid w:val="00A60FB4"/>
    <w:rsid w:val="00A611FD"/>
    <w:rsid w:val="00A61F6B"/>
    <w:rsid w:val="00A634D7"/>
    <w:rsid w:val="00A6356F"/>
    <w:rsid w:val="00A64AAD"/>
    <w:rsid w:val="00A64F2A"/>
    <w:rsid w:val="00A6510C"/>
    <w:rsid w:val="00A671BD"/>
    <w:rsid w:val="00A67F43"/>
    <w:rsid w:val="00A700F7"/>
    <w:rsid w:val="00A7277F"/>
    <w:rsid w:val="00A738EB"/>
    <w:rsid w:val="00A73BA6"/>
    <w:rsid w:val="00A73E34"/>
    <w:rsid w:val="00A740DC"/>
    <w:rsid w:val="00A74122"/>
    <w:rsid w:val="00A742A3"/>
    <w:rsid w:val="00A744F4"/>
    <w:rsid w:val="00A74F27"/>
    <w:rsid w:val="00A750B2"/>
    <w:rsid w:val="00A75F19"/>
    <w:rsid w:val="00A7635E"/>
    <w:rsid w:val="00A76D0A"/>
    <w:rsid w:val="00A81CE3"/>
    <w:rsid w:val="00A82B82"/>
    <w:rsid w:val="00A83C72"/>
    <w:rsid w:val="00A83F3F"/>
    <w:rsid w:val="00A847DB"/>
    <w:rsid w:val="00A84E24"/>
    <w:rsid w:val="00A862BF"/>
    <w:rsid w:val="00A8643B"/>
    <w:rsid w:val="00A865FF"/>
    <w:rsid w:val="00A86753"/>
    <w:rsid w:val="00A878FD"/>
    <w:rsid w:val="00A87BEF"/>
    <w:rsid w:val="00A90890"/>
    <w:rsid w:val="00A94102"/>
    <w:rsid w:val="00A946A0"/>
    <w:rsid w:val="00A95695"/>
    <w:rsid w:val="00A95B8F"/>
    <w:rsid w:val="00AA238A"/>
    <w:rsid w:val="00AA3C1A"/>
    <w:rsid w:val="00AA4B72"/>
    <w:rsid w:val="00AA4C6F"/>
    <w:rsid w:val="00AA4CB9"/>
    <w:rsid w:val="00AA5A76"/>
    <w:rsid w:val="00AA5DB6"/>
    <w:rsid w:val="00AA5DF4"/>
    <w:rsid w:val="00AA6113"/>
    <w:rsid w:val="00AA61A9"/>
    <w:rsid w:val="00AA6568"/>
    <w:rsid w:val="00AA718A"/>
    <w:rsid w:val="00AA7927"/>
    <w:rsid w:val="00AA7C86"/>
    <w:rsid w:val="00AA7D14"/>
    <w:rsid w:val="00AB1B2B"/>
    <w:rsid w:val="00AB1D40"/>
    <w:rsid w:val="00AB35A5"/>
    <w:rsid w:val="00AB4587"/>
    <w:rsid w:val="00AB4AA2"/>
    <w:rsid w:val="00AB4F49"/>
    <w:rsid w:val="00AB7926"/>
    <w:rsid w:val="00AB7AE7"/>
    <w:rsid w:val="00AC0686"/>
    <w:rsid w:val="00AC105C"/>
    <w:rsid w:val="00AC17EE"/>
    <w:rsid w:val="00AC3855"/>
    <w:rsid w:val="00AC5BE9"/>
    <w:rsid w:val="00AC6B0E"/>
    <w:rsid w:val="00AC7B51"/>
    <w:rsid w:val="00AC7BC4"/>
    <w:rsid w:val="00AD0911"/>
    <w:rsid w:val="00AD0E3F"/>
    <w:rsid w:val="00AD1C9F"/>
    <w:rsid w:val="00AD22F5"/>
    <w:rsid w:val="00AD2827"/>
    <w:rsid w:val="00AD297C"/>
    <w:rsid w:val="00AD2B4C"/>
    <w:rsid w:val="00AD2F26"/>
    <w:rsid w:val="00AD3A80"/>
    <w:rsid w:val="00AD3C2B"/>
    <w:rsid w:val="00AD52AC"/>
    <w:rsid w:val="00AD60AB"/>
    <w:rsid w:val="00AD65E4"/>
    <w:rsid w:val="00AD7383"/>
    <w:rsid w:val="00AD76AC"/>
    <w:rsid w:val="00AD7BD9"/>
    <w:rsid w:val="00AE06FC"/>
    <w:rsid w:val="00AE1061"/>
    <w:rsid w:val="00AE19E8"/>
    <w:rsid w:val="00AE21B6"/>
    <w:rsid w:val="00AE5251"/>
    <w:rsid w:val="00AE6571"/>
    <w:rsid w:val="00AE6653"/>
    <w:rsid w:val="00AE6800"/>
    <w:rsid w:val="00AF1D3A"/>
    <w:rsid w:val="00AF1EA3"/>
    <w:rsid w:val="00AF240A"/>
    <w:rsid w:val="00AF439E"/>
    <w:rsid w:val="00AF5421"/>
    <w:rsid w:val="00AF5A10"/>
    <w:rsid w:val="00AF6570"/>
    <w:rsid w:val="00AF74B9"/>
    <w:rsid w:val="00AF7B62"/>
    <w:rsid w:val="00AF7C09"/>
    <w:rsid w:val="00B006C1"/>
    <w:rsid w:val="00B009E4"/>
    <w:rsid w:val="00B0172A"/>
    <w:rsid w:val="00B01F73"/>
    <w:rsid w:val="00B02745"/>
    <w:rsid w:val="00B02801"/>
    <w:rsid w:val="00B02A7F"/>
    <w:rsid w:val="00B03355"/>
    <w:rsid w:val="00B03431"/>
    <w:rsid w:val="00B03B07"/>
    <w:rsid w:val="00B04125"/>
    <w:rsid w:val="00B04567"/>
    <w:rsid w:val="00B046F8"/>
    <w:rsid w:val="00B04BFF"/>
    <w:rsid w:val="00B057CB"/>
    <w:rsid w:val="00B06704"/>
    <w:rsid w:val="00B069DC"/>
    <w:rsid w:val="00B07275"/>
    <w:rsid w:val="00B0730C"/>
    <w:rsid w:val="00B11439"/>
    <w:rsid w:val="00B12AD8"/>
    <w:rsid w:val="00B144AC"/>
    <w:rsid w:val="00B17704"/>
    <w:rsid w:val="00B21E79"/>
    <w:rsid w:val="00B225A4"/>
    <w:rsid w:val="00B2264E"/>
    <w:rsid w:val="00B22734"/>
    <w:rsid w:val="00B22CAD"/>
    <w:rsid w:val="00B23368"/>
    <w:rsid w:val="00B23442"/>
    <w:rsid w:val="00B23726"/>
    <w:rsid w:val="00B245C5"/>
    <w:rsid w:val="00B24C9F"/>
    <w:rsid w:val="00B24CB7"/>
    <w:rsid w:val="00B256B5"/>
    <w:rsid w:val="00B264C5"/>
    <w:rsid w:val="00B27105"/>
    <w:rsid w:val="00B27A3F"/>
    <w:rsid w:val="00B3117B"/>
    <w:rsid w:val="00B32A7C"/>
    <w:rsid w:val="00B33526"/>
    <w:rsid w:val="00B339E9"/>
    <w:rsid w:val="00B350A1"/>
    <w:rsid w:val="00B35164"/>
    <w:rsid w:val="00B358F2"/>
    <w:rsid w:val="00B360D9"/>
    <w:rsid w:val="00B364B7"/>
    <w:rsid w:val="00B3667E"/>
    <w:rsid w:val="00B37053"/>
    <w:rsid w:val="00B403AD"/>
    <w:rsid w:val="00B406CB"/>
    <w:rsid w:val="00B4079B"/>
    <w:rsid w:val="00B411C6"/>
    <w:rsid w:val="00B419BF"/>
    <w:rsid w:val="00B420AB"/>
    <w:rsid w:val="00B438B0"/>
    <w:rsid w:val="00B43B3C"/>
    <w:rsid w:val="00B43D19"/>
    <w:rsid w:val="00B451DA"/>
    <w:rsid w:val="00B4581D"/>
    <w:rsid w:val="00B4639E"/>
    <w:rsid w:val="00B46EE5"/>
    <w:rsid w:val="00B502DA"/>
    <w:rsid w:val="00B50337"/>
    <w:rsid w:val="00B51088"/>
    <w:rsid w:val="00B518C9"/>
    <w:rsid w:val="00B51C8E"/>
    <w:rsid w:val="00B525BC"/>
    <w:rsid w:val="00B538B4"/>
    <w:rsid w:val="00B53BB6"/>
    <w:rsid w:val="00B545D0"/>
    <w:rsid w:val="00B5470F"/>
    <w:rsid w:val="00B55CCE"/>
    <w:rsid w:val="00B565D9"/>
    <w:rsid w:val="00B56C8D"/>
    <w:rsid w:val="00B571BE"/>
    <w:rsid w:val="00B5745D"/>
    <w:rsid w:val="00B575EB"/>
    <w:rsid w:val="00B57A4F"/>
    <w:rsid w:val="00B60ABD"/>
    <w:rsid w:val="00B623C7"/>
    <w:rsid w:val="00B62F6D"/>
    <w:rsid w:val="00B634DC"/>
    <w:rsid w:val="00B63A3F"/>
    <w:rsid w:val="00B63EC9"/>
    <w:rsid w:val="00B64A81"/>
    <w:rsid w:val="00B656E7"/>
    <w:rsid w:val="00B66560"/>
    <w:rsid w:val="00B66CC1"/>
    <w:rsid w:val="00B67150"/>
    <w:rsid w:val="00B67603"/>
    <w:rsid w:val="00B67938"/>
    <w:rsid w:val="00B67C3B"/>
    <w:rsid w:val="00B7018E"/>
    <w:rsid w:val="00B71F03"/>
    <w:rsid w:val="00B72D30"/>
    <w:rsid w:val="00B741FF"/>
    <w:rsid w:val="00B744A8"/>
    <w:rsid w:val="00B7534E"/>
    <w:rsid w:val="00B758DC"/>
    <w:rsid w:val="00B75E93"/>
    <w:rsid w:val="00B76E2D"/>
    <w:rsid w:val="00B771FE"/>
    <w:rsid w:val="00B77439"/>
    <w:rsid w:val="00B77C4C"/>
    <w:rsid w:val="00B806EA"/>
    <w:rsid w:val="00B81E5A"/>
    <w:rsid w:val="00B82864"/>
    <w:rsid w:val="00B82A26"/>
    <w:rsid w:val="00B83CE7"/>
    <w:rsid w:val="00B84666"/>
    <w:rsid w:val="00B84B75"/>
    <w:rsid w:val="00B85D87"/>
    <w:rsid w:val="00B867E7"/>
    <w:rsid w:val="00B8682C"/>
    <w:rsid w:val="00B917BF"/>
    <w:rsid w:val="00B91F3F"/>
    <w:rsid w:val="00B924EC"/>
    <w:rsid w:val="00B92BB9"/>
    <w:rsid w:val="00B92CC9"/>
    <w:rsid w:val="00B92E5F"/>
    <w:rsid w:val="00B933A9"/>
    <w:rsid w:val="00B95CD5"/>
    <w:rsid w:val="00BA0380"/>
    <w:rsid w:val="00BA25A7"/>
    <w:rsid w:val="00BA274C"/>
    <w:rsid w:val="00BA2E75"/>
    <w:rsid w:val="00BA52D1"/>
    <w:rsid w:val="00BA5322"/>
    <w:rsid w:val="00BA58EF"/>
    <w:rsid w:val="00BA5CE0"/>
    <w:rsid w:val="00BB0414"/>
    <w:rsid w:val="00BB04C9"/>
    <w:rsid w:val="00BB0746"/>
    <w:rsid w:val="00BB1098"/>
    <w:rsid w:val="00BB1273"/>
    <w:rsid w:val="00BB14CF"/>
    <w:rsid w:val="00BB2EC2"/>
    <w:rsid w:val="00BB3466"/>
    <w:rsid w:val="00BB3609"/>
    <w:rsid w:val="00BB390F"/>
    <w:rsid w:val="00BB3B4D"/>
    <w:rsid w:val="00BB3D10"/>
    <w:rsid w:val="00BB5950"/>
    <w:rsid w:val="00BB7124"/>
    <w:rsid w:val="00BC0629"/>
    <w:rsid w:val="00BC22F4"/>
    <w:rsid w:val="00BC2370"/>
    <w:rsid w:val="00BC24BB"/>
    <w:rsid w:val="00BC2735"/>
    <w:rsid w:val="00BC43A8"/>
    <w:rsid w:val="00BC4E6E"/>
    <w:rsid w:val="00BD003C"/>
    <w:rsid w:val="00BD065F"/>
    <w:rsid w:val="00BD0E70"/>
    <w:rsid w:val="00BD0F57"/>
    <w:rsid w:val="00BD3D3A"/>
    <w:rsid w:val="00BD4F6E"/>
    <w:rsid w:val="00BD517A"/>
    <w:rsid w:val="00BD53A5"/>
    <w:rsid w:val="00BD5577"/>
    <w:rsid w:val="00BD595F"/>
    <w:rsid w:val="00BE1D4C"/>
    <w:rsid w:val="00BE1DFF"/>
    <w:rsid w:val="00BE2F81"/>
    <w:rsid w:val="00BE4F56"/>
    <w:rsid w:val="00BE5BCE"/>
    <w:rsid w:val="00BE6E74"/>
    <w:rsid w:val="00BE7D82"/>
    <w:rsid w:val="00BE7EE0"/>
    <w:rsid w:val="00BF0C06"/>
    <w:rsid w:val="00BF258D"/>
    <w:rsid w:val="00BF2C11"/>
    <w:rsid w:val="00BF4C85"/>
    <w:rsid w:val="00BF4F3C"/>
    <w:rsid w:val="00BF652C"/>
    <w:rsid w:val="00BF6AA5"/>
    <w:rsid w:val="00C01E26"/>
    <w:rsid w:val="00C01F03"/>
    <w:rsid w:val="00C02217"/>
    <w:rsid w:val="00C0293A"/>
    <w:rsid w:val="00C02E78"/>
    <w:rsid w:val="00C03175"/>
    <w:rsid w:val="00C04871"/>
    <w:rsid w:val="00C069EA"/>
    <w:rsid w:val="00C06D37"/>
    <w:rsid w:val="00C06D9B"/>
    <w:rsid w:val="00C0759B"/>
    <w:rsid w:val="00C076F5"/>
    <w:rsid w:val="00C102DA"/>
    <w:rsid w:val="00C107D8"/>
    <w:rsid w:val="00C10FF6"/>
    <w:rsid w:val="00C1211E"/>
    <w:rsid w:val="00C12457"/>
    <w:rsid w:val="00C1317F"/>
    <w:rsid w:val="00C13FA8"/>
    <w:rsid w:val="00C142FB"/>
    <w:rsid w:val="00C14922"/>
    <w:rsid w:val="00C158EB"/>
    <w:rsid w:val="00C15A5C"/>
    <w:rsid w:val="00C163E9"/>
    <w:rsid w:val="00C23087"/>
    <w:rsid w:val="00C23E86"/>
    <w:rsid w:val="00C24ED8"/>
    <w:rsid w:val="00C25BA8"/>
    <w:rsid w:val="00C26F4F"/>
    <w:rsid w:val="00C274DC"/>
    <w:rsid w:val="00C301CA"/>
    <w:rsid w:val="00C306D1"/>
    <w:rsid w:val="00C30B32"/>
    <w:rsid w:val="00C3118A"/>
    <w:rsid w:val="00C31B32"/>
    <w:rsid w:val="00C3387A"/>
    <w:rsid w:val="00C3503C"/>
    <w:rsid w:val="00C35148"/>
    <w:rsid w:val="00C36202"/>
    <w:rsid w:val="00C36E4E"/>
    <w:rsid w:val="00C37735"/>
    <w:rsid w:val="00C410A3"/>
    <w:rsid w:val="00C413D3"/>
    <w:rsid w:val="00C42C2C"/>
    <w:rsid w:val="00C43DE4"/>
    <w:rsid w:val="00C44E9D"/>
    <w:rsid w:val="00C47782"/>
    <w:rsid w:val="00C47C21"/>
    <w:rsid w:val="00C5098E"/>
    <w:rsid w:val="00C50AF1"/>
    <w:rsid w:val="00C52153"/>
    <w:rsid w:val="00C52478"/>
    <w:rsid w:val="00C53490"/>
    <w:rsid w:val="00C542B6"/>
    <w:rsid w:val="00C549B0"/>
    <w:rsid w:val="00C5538B"/>
    <w:rsid w:val="00C56020"/>
    <w:rsid w:val="00C56892"/>
    <w:rsid w:val="00C56A89"/>
    <w:rsid w:val="00C57123"/>
    <w:rsid w:val="00C57319"/>
    <w:rsid w:val="00C57644"/>
    <w:rsid w:val="00C605CE"/>
    <w:rsid w:val="00C60DCE"/>
    <w:rsid w:val="00C61C97"/>
    <w:rsid w:val="00C61D9F"/>
    <w:rsid w:val="00C62770"/>
    <w:rsid w:val="00C62BBB"/>
    <w:rsid w:val="00C62CA7"/>
    <w:rsid w:val="00C63477"/>
    <w:rsid w:val="00C64466"/>
    <w:rsid w:val="00C64B08"/>
    <w:rsid w:val="00C66162"/>
    <w:rsid w:val="00C67236"/>
    <w:rsid w:val="00C70DFB"/>
    <w:rsid w:val="00C7222E"/>
    <w:rsid w:val="00C7351C"/>
    <w:rsid w:val="00C73ABC"/>
    <w:rsid w:val="00C73ACA"/>
    <w:rsid w:val="00C747BF"/>
    <w:rsid w:val="00C74B65"/>
    <w:rsid w:val="00C767CF"/>
    <w:rsid w:val="00C7734B"/>
    <w:rsid w:val="00C77CFA"/>
    <w:rsid w:val="00C80790"/>
    <w:rsid w:val="00C808AA"/>
    <w:rsid w:val="00C80A83"/>
    <w:rsid w:val="00C80DC9"/>
    <w:rsid w:val="00C81229"/>
    <w:rsid w:val="00C81799"/>
    <w:rsid w:val="00C8193F"/>
    <w:rsid w:val="00C81AE8"/>
    <w:rsid w:val="00C81E4A"/>
    <w:rsid w:val="00C821EB"/>
    <w:rsid w:val="00C82290"/>
    <w:rsid w:val="00C82592"/>
    <w:rsid w:val="00C832C1"/>
    <w:rsid w:val="00C8363D"/>
    <w:rsid w:val="00C8402D"/>
    <w:rsid w:val="00C8554B"/>
    <w:rsid w:val="00C8599B"/>
    <w:rsid w:val="00C8746F"/>
    <w:rsid w:val="00C87545"/>
    <w:rsid w:val="00C90744"/>
    <w:rsid w:val="00C9284A"/>
    <w:rsid w:val="00C92AE3"/>
    <w:rsid w:val="00C93363"/>
    <w:rsid w:val="00C93BAA"/>
    <w:rsid w:val="00C95257"/>
    <w:rsid w:val="00C95A2F"/>
    <w:rsid w:val="00C96ACA"/>
    <w:rsid w:val="00CA01D8"/>
    <w:rsid w:val="00CA0346"/>
    <w:rsid w:val="00CA043B"/>
    <w:rsid w:val="00CA3E84"/>
    <w:rsid w:val="00CA3E8E"/>
    <w:rsid w:val="00CA456B"/>
    <w:rsid w:val="00CA5F9A"/>
    <w:rsid w:val="00CA66BF"/>
    <w:rsid w:val="00CA7BCC"/>
    <w:rsid w:val="00CA7EE3"/>
    <w:rsid w:val="00CB03FE"/>
    <w:rsid w:val="00CB0DA8"/>
    <w:rsid w:val="00CB145A"/>
    <w:rsid w:val="00CB2EED"/>
    <w:rsid w:val="00CB3D44"/>
    <w:rsid w:val="00CB4D24"/>
    <w:rsid w:val="00CB565A"/>
    <w:rsid w:val="00CB590C"/>
    <w:rsid w:val="00CB707A"/>
    <w:rsid w:val="00CC0111"/>
    <w:rsid w:val="00CC1772"/>
    <w:rsid w:val="00CC18D4"/>
    <w:rsid w:val="00CC1A5B"/>
    <w:rsid w:val="00CC1BDA"/>
    <w:rsid w:val="00CC24F3"/>
    <w:rsid w:val="00CC2C77"/>
    <w:rsid w:val="00CC2F12"/>
    <w:rsid w:val="00CC3216"/>
    <w:rsid w:val="00CC3303"/>
    <w:rsid w:val="00CC4573"/>
    <w:rsid w:val="00CC523A"/>
    <w:rsid w:val="00CC5C21"/>
    <w:rsid w:val="00CC5F92"/>
    <w:rsid w:val="00CC62DB"/>
    <w:rsid w:val="00CC69D0"/>
    <w:rsid w:val="00CC6F31"/>
    <w:rsid w:val="00CD0CC2"/>
    <w:rsid w:val="00CD0EDA"/>
    <w:rsid w:val="00CD1175"/>
    <w:rsid w:val="00CD1C5E"/>
    <w:rsid w:val="00CD25B9"/>
    <w:rsid w:val="00CD2BB2"/>
    <w:rsid w:val="00CD3897"/>
    <w:rsid w:val="00CD3DB8"/>
    <w:rsid w:val="00CD51EE"/>
    <w:rsid w:val="00CD5286"/>
    <w:rsid w:val="00CD5478"/>
    <w:rsid w:val="00CD5935"/>
    <w:rsid w:val="00CD5BFC"/>
    <w:rsid w:val="00CD72DA"/>
    <w:rsid w:val="00CD7A6F"/>
    <w:rsid w:val="00CD7B8E"/>
    <w:rsid w:val="00CE0CDB"/>
    <w:rsid w:val="00CE1579"/>
    <w:rsid w:val="00CE246F"/>
    <w:rsid w:val="00CE3516"/>
    <w:rsid w:val="00CE43F2"/>
    <w:rsid w:val="00CE5390"/>
    <w:rsid w:val="00CE56D8"/>
    <w:rsid w:val="00CF07CB"/>
    <w:rsid w:val="00CF1318"/>
    <w:rsid w:val="00CF1F6B"/>
    <w:rsid w:val="00CF234D"/>
    <w:rsid w:val="00CF3711"/>
    <w:rsid w:val="00CF3840"/>
    <w:rsid w:val="00CF3C5F"/>
    <w:rsid w:val="00CF43B7"/>
    <w:rsid w:val="00CF4702"/>
    <w:rsid w:val="00CF4BA8"/>
    <w:rsid w:val="00CF5DCB"/>
    <w:rsid w:val="00CF608D"/>
    <w:rsid w:val="00D00F67"/>
    <w:rsid w:val="00D0151F"/>
    <w:rsid w:val="00D02689"/>
    <w:rsid w:val="00D0283D"/>
    <w:rsid w:val="00D03617"/>
    <w:rsid w:val="00D04D70"/>
    <w:rsid w:val="00D05874"/>
    <w:rsid w:val="00D067B2"/>
    <w:rsid w:val="00D073E1"/>
    <w:rsid w:val="00D07DF9"/>
    <w:rsid w:val="00D07FDD"/>
    <w:rsid w:val="00D10AAC"/>
    <w:rsid w:val="00D10DBA"/>
    <w:rsid w:val="00D120B0"/>
    <w:rsid w:val="00D1265E"/>
    <w:rsid w:val="00D13A5D"/>
    <w:rsid w:val="00D13FF8"/>
    <w:rsid w:val="00D153D2"/>
    <w:rsid w:val="00D15D09"/>
    <w:rsid w:val="00D1612C"/>
    <w:rsid w:val="00D17F30"/>
    <w:rsid w:val="00D2108F"/>
    <w:rsid w:val="00D21214"/>
    <w:rsid w:val="00D21E9C"/>
    <w:rsid w:val="00D227B3"/>
    <w:rsid w:val="00D23289"/>
    <w:rsid w:val="00D236E7"/>
    <w:rsid w:val="00D2587B"/>
    <w:rsid w:val="00D26220"/>
    <w:rsid w:val="00D26869"/>
    <w:rsid w:val="00D30D5E"/>
    <w:rsid w:val="00D30E4B"/>
    <w:rsid w:val="00D311E1"/>
    <w:rsid w:val="00D32790"/>
    <w:rsid w:val="00D34435"/>
    <w:rsid w:val="00D353E3"/>
    <w:rsid w:val="00D356F5"/>
    <w:rsid w:val="00D35787"/>
    <w:rsid w:val="00D36C3C"/>
    <w:rsid w:val="00D37241"/>
    <w:rsid w:val="00D40BF6"/>
    <w:rsid w:val="00D412C6"/>
    <w:rsid w:val="00D4141C"/>
    <w:rsid w:val="00D42352"/>
    <w:rsid w:val="00D42384"/>
    <w:rsid w:val="00D42450"/>
    <w:rsid w:val="00D4275C"/>
    <w:rsid w:val="00D43C44"/>
    <w:rsid w:val="00D4411F"/>
    <w:rsid w:val="00D4474B"/>
    <w:rsid w:val="00D45823"/>
    <w:rsid w:val="00D45B4D"/>
    <w:rsid w:val="00D46B6A"/>
    <w:rsid w:val="00D471E5"/>
    <w:rsid w:val="00D478B6"/>
    <w:rsid w:val="00D510C8"/>
    <w:rsid w:val="00D52C9E"/>
    <w:rsid w:val="00D5388A"/>
    <w:rsid w:val="00D54BF2"/>
    <w:rsid w:val="00D55902"/>
    <w:rsid w:val="00D559E8"/>
    <w:rsid w:val="00D562FC"/>
    <w:rsid w:val="00D5639B"/>
    <w:rsid w:val="00D56C84"/>
    <w:rsid w:val="00D56F16"/>
    <w:rsid w:val="00D5724A"/>
    <w:rsid w:val="00D578A5"/>
    <w:rsid w:val="00D605E1"/>
    <w:rsid w:val="00D611C7"/>
    <w:rsid w:val="00D63589"/>
    <w:rsid w:val="00D63BEB"/>
    <w:rsid w:val="00D63C81"/>
    <w:rsid w:val="00D649A7"/>
    <w:rsid w:val="00D66143"/>
    <w:rsid w:val="00D66696"/>
    <w:rsid w:val="00D66A62"/>
    <w:rsid w:val="00D67BAA"/>
    <w:rsid w:val="00D70F81"/>
    <w:rsid w:val="00D72786"/>
    <w:rsid w:val="00D7278D"/>
    <w:rsid w:val="00D72F75"/>
    <w:rsid w:val="00D73EC8"/>
    <w:rsid w:val="00D758A1"/>
    <w:rsid w:val="00D7792B"/>
    <w:rsid w:val="00D80E5F"/>
    <w:rsid w:val="00D81BC8"/>
    <w:rsid w:val="00D8289F"/>
    <w:rsid w:val="00D82DEE"/>
    <w:rsid w:val="00D8503C"/>
    <w:rsid w:val="00D85FEE"/>
    <w:rsid w:val="00D866EC"/>
    <w:rsid w:val="00D86D3A"/>
    <w:rsid w:val="00D86D62"/>
    <w:rsid w:val="00D87CEC"/>
    <w:rsid w:val="00D903B5"/>
    <w:rsid w:val="00D904E5"/>
    <w:rsid w:val="00D90CEC"/>
    <w:rsid w:val="00D92D51"/>
    <w:rsid w:val="00D93391"/>
    <w:rsid w:val="00D94BD0"/>
    <w:rsid w:val="00D951CB"/>
    <w:rsid w:val="00D9546B"/>
    <w:rsid w:val="00D96BD1"/>
    <w:rsid w:val="00D96CCC"/>
    <w:rsid w:val="00DA0A3E"/>
    <w:rsid w:val="00DA0C23"/>
    <w:rsid w:val="00DA0FB3"/>
    <w:rsid w:val="00DA2AB3"/>
    <w:rsid w:val="00DA3D12"/>
    <w:rsid w:val="00DA494B"/>
    <w:rsid w:val="00DA4B38"/>
    <w:rsid w:val="00DA4F6D"/>
    <w:rsid w:val="00DA6636"/>
    <w:rsid w:val="00DA71AF"/>
    <w:rsid w:val="00DB128F"/>
    <w:rsid w:val="00DB1648"/>
    <w:rsid w:val="00DB1CDB"/>
    <w:rsid w:val="00DB21C9"/>
    <w:rsid w:val="00DB4269"/>
    <w:rsid w:val="00DB48CD"/>
    <w:rsid w:val="00DB52B7"/>
    <w:rsid w:val="00DB5C2C"/>
    <w:rsid w:val="00DB5E7C"/>
    <w:rsid w:val="00DC1CD9"/>
    <w:rsid w:val="00DC1EE8"/>
    <w:rsid w:val="00DC269A"/>
    <w:rsid w:val="00DC5080"/>
    <w:rsid w:val="00DC56F1"/>
    <w:rsid w:val="00DC576A"/>
    <w:rsid w:val="00DC60A9"/>
    <w:rsid w:val="00DC6D5A"/>
    <w:rsid w:val="00DC78CC"/>
    <w:rsid w:val="00DD03D3"/>
    <w:rsid w:val="00DD078A"/>
    <w:rsid w:val="00DD082F"/>
    <w:rsid w:val="00DD0C8D"/>
    <w:rsid w:val="00DD1215"/>
    <w:rsid w:val="00DD2073"/>
    <w:rsid w:val="00DD21F2"/>
    <w:rsid w:val="00DD2D7E"/>
    <w:rsid w:val="00DD37D3"/>
    <w:rsid w:val="00DD383E"/>
    <w:rsid w:val="00DD50F0"/>
    <w:rsid w:val="00DD5668"/>
    <w:rsid w:val="00DD6FBA"/>
    <w:rsid w:val="00DD75CA"/>
    <w:rsid w:val="00DD796F"/>
    <w:rsid w:val="00DD79EF"/>
    <w:rsid w:val="00DE1B94"/>
    <w:rsid w:val="00DE24A2"/>
    <w:rsid w:val="00DE288F"/>
    <w:rsid w:val="00DE2C42"/>
    <w:rsid w:val="00DE4CDA"/>
    <w:rsid w:val="00DE5700"/>
    <w:rsid w:val="00DE5B84"/>
    <w:rsid w:val="00DE5CAD"/>
    <w:rsid w:val="00DE60B1"/>
    <w:rsid w:val="00DF039B"/>
    <w:rsid w:val="00DF2090"/>
    <w:rsid w:val="00DF293F"/>
    <w:rsid w:val="00DF6179"/>
    <w:rsid w:val="00DF7477"/>
    <w:rsid w:val="00E007C4"/>
    <w:rsid w:val="00E00C88"/>
    <w:rsid w:val="00E01A78"/>
    <w:rsid w:val="00E01B01"/>
    <w:rsid w:val="00E02BEB"/>
    <w:rsid w:val="00E02C5B"/>
    <w:rsid w:val="00E02E59"/>
    <w:rsid w:val="00E0306C"/>
    <w:rsid w:val="00E0339F"/>
    <w:rsid w:val="00E03A9B"/>
    <w:rsid w:val="00E05486"/>
    <w:rsid w:val="00E055DF"/>
    <w:rsid w:val="00E05863"/>
    <w:rsid w:val="00E102A4"/>
    <w:rsid w:val="00E102DA"/>
    <w:rsid w:val="00E10697"/>
    <w:rsid w:val="00E10E0C"/>
    <w:rsid w:val="00E12085"/>
    <w:rsid w:val="00E12340"/>
    <w:rsid w:val="00E13021"/>
    <w:rsid w:val="00E13B60"/>
    <w:rsid w:val="00E14685"/>
    <w:rsid w:val="00E14E19"/>
    <w:rsid w:val="00E161ED"/>
    <w:rsid w:val="00E16366"/>
    <w:rsid w:val="00E163A1"/>
    <w:rsid w:val="00E16CE1"/>
    <w:rsid w:val="00E20538"/>
    <w:rsid w:val="00E20FAF"/>
    <w:rsid w:val="00E23107"/>
    <w:rsid w:val="00E23B0C"/>
    <w:rsid w:val="00E240AB"/>
    <w:rsid w:val="00E240AC"/>
    <w:rsid w:val="00E269D0"/>
    <w:rsid w:val="00E273E8"/>
    <w:rsid w:val="00E27457"/>
    <w:rsid w:val="00E3070E"/>
    <w:rsid w:val="00E31988"/>
    <w:rsid w:val="00E319BB"/>
    <w:rsid w:val="00E32C9F"/>
    <w:rsid w:val="00E34048"/>
    <w:rsid w:val="00E3485B"/>
    <w:rsid w:val="00E3610F"/>
    <w:rsid w:val="00E409CC"/>
    <w:rsid w:val="00E41ABF"/>
    <w:rsid w:val="00E4266D"/>
    <w:rsid w:val="00E42737"/>
    <w:rsid w:val="00E435EA"/>
    <w:rsid w:val="00E44586"/>
    <w:rsid w:val="00E44FDD"/>
    <w:rsid w:val="00E45296"/>
    <w:rsid w:val="00E45401"/>
    <w:rsid w:val="00E45501"/>
    <w:rsid w:val="00E46D63"/>
    <w:rsid w:val="00E50379"/>
    <w:rsid w:val="00E50793"/>
    <w:rsid w:val="00E51DEA"/>
    <w:rsid w:val="00E5237E"/>
    <w:rsid w:val="00E52EB0"/>
    <w:rsid w:val="00E54F41"/>
    <w:rsid w:val="00E56C35"/>
    <w:rsid w:val="00E56EDD"/>
    <w:rsid w:val="00E6010F"/>
    <w:rsid w:val="00E61095"/>
    <w:rsid w:val="00E61162"/>
    <w:rsid w:val="00E61884"/>
    <w:rsid w:val="00E62FF0"/>
    <w:rsid w:val="00E632C4"/>
    <w:rsid w:val="00E638F2"/>
    <w:rsid w:val="00E65581"/>
    <w:rsid w:val="00E65C83"/>
    <w:rsid w:val="00E668F5"/>
    <w:rsid w:val="00E67A95"/>
    <w:rsid w:val="00E70940"/>
    <w:rsid w:val="00E70CF1"/>
    <w:rsid w:val="00E72DC8"/>
    <w:rsid w:val="00E72F62"/>
    <w:rsid w:val="00E73F26"/>
    <w:rsid w:val="00E74857"/>
    <w:rsid w:val="00E75CD2"/>
    <w:rsid w:val="00E760DA"/>
    <w:rsid w:val="00E76317"/>
    <w:rsid w:val="00E7795C"/>
    <w:rsid w:val="00E80D21"/>
    <w:rsid w:val="00E80F4E"/>
    <w:rsid w:val="00E81A71"/>
    <w:rsid w:val="00E829FD"/>
    <w:rsid w:val="00E82D9C"/>
    <w:rsid w:val="00E8383F"/>
    <w:rsid w:val="00E83BBD"/>
    <w:rsid w:val="00E86344"/>
    <w:rsid w:val="00E86835"/>
    <w:rsid w:val="00E87BEB"/>
    <w:rsid w:val="00E90C8F"/>
    <w:rsid w:val="00E91AF2"/>
    <w:rsid w:val="00E922C8"/>
    <w:rsid w:val="00E9295C"/>
    <w:rsid w:val="00E9635D"/>
    <w:rsid w:val="00E963C8"/>
    <w:rsid w:val="00E96591"/>
    <w:rsid w:val="00E97083"/>
    <w:rsid w:val="00EA0FF5"/>
    <w:rsid w:val="00EA17C2"/>
    <w:rsid w:val="00EA25CD"/>
    <w:rsid w:val="00EA3ABD"/>
    <w:rsid w:val="00EA3F2C"/>
    <w:rsid w:val="00EA5424"/>
    <w:rsid w:val="00EA54AB"/>
    <w:rsid w:val="00EA54E5"/>
    <w:rsid w:val="00EA5DEE"/>
    <w:rsid w:val="00EB11AA"/>
    <w:rsid w:val="00EB1FED"/>
    <w:rsid w:val="00EB3480"/>
    <w:rsid w:val="00EB3902"/>
    <w:rsid w:val="00EB3E3F"/>
    <w:rsid w:val="00EB4F04"/>
    <w:rsid w:val="00EB5595"/>
    <w:rsid w:val="00EB6280"/>
    <w:rsid w:val="00EB6547"/>
    <w:rsid w:val="00EB7149"/>
    <w:rsid w:val="00EB779C"/>
    <w:rsid w:val="00EB7B21"/>
    <w:rsid w:val="00EB7B32"/>
    <w:rsid w:val="00EB7E11"/>
    <w:rsid w:val="00EC0931"/>
    <w:rsid w:val="00EC4819"/>
    <w:rsid w:val="00EC5396"/>
    <w:rsid w:val="00EC5E7B"/>
    <w:rsid w:val="00EC6093"/>
    <w:rsid w:val="00EC6604"/>
    <w:rsid w:val="00EC6BFD"/>
    <w:rsid w:val="00EC7252"/>
    <w:rsid w:val="00ED271E"/>
    <w:rsid w:val="00ED357B"/>
    <w:rsid w:val="00ED3D82"/>
    <w:rsid w:val="00ED410B"/>
    <w:rsid w:val="00ED6106"/>
    <w:rsid w:val="00ED61E9"/>
    <w:rsid w:val="00ED7065"/>
    <w:rsid w:val="00ED72D7"/>
    <w:rsid w:val="00ED79D8"/>
    <w:rsid w:val="00EE03F7"/>
    <w:rsid w:val="00EE0F22"/>
    <w:rsid w:val="00EE17FC"/>
    <w:rsid w:val="00EE18F8"/>
    <w:rsid w:val="00EE2098"/>
    <w:rsid w:val="00EE3CAD"/>
    <w:rsid w:val="00EE570B"/>
    <w:rsid w:val="00EE601E"/>
    <w:rsid w:val="00EE6D6D"/>
    <w:rsid w:val="00EE6EE1"/>
    <w:rsid w:val="00EE6F05"/>
    <w:rsid w:val="00EE6F9D"/>
    <w:rsid w:val="00EE729E"/>
    <w:rsid w:val="00EE73E9"/>
    <w:rsid w:val="00EF19F1"/>
    <w:rsid w:val="00EF23BC"/>
    <w:rsid w:val="00EF31DA"/>
    <w:rsid w:val="00EF33F8"/>
    <w:rsid w:val="00EF349C"/>
    <w:rsid w:val="00EF3AF5"/>
    <w:rsid w:val="00EF485F"/>
    <w:rsid w:val="00EF64B0"/>
    <w:rsid w:val="00EF74A5"/>
    <w:rsid w:val="00EF7807"/>
    <w:rsid w:val="00EF7C25"/>
    <w:rsid w:val="00F00CB9"/>
    <w:rsid w:val="00F01736"/>
    <w:rsid w:val="00F01C4C"/>
    <w:rsid w:val="00F01FE3"/>
    <w:rsid w:val="00F020D1"/>
    <w:rsid w:val="00F02D11"/>
    <w:rsid w:val="00F03019"/>
    <w:rsid w:val="00F0306D"/>
    <w:rsid w:val="00F037BA"/>
    <w:rsid w:val="00F0415C"/>
    <w:rsid w:val="00F04C7B"/>
    <w:rsid w:val="00F051C7"/>
    <w:rsid w:val="00F05B92"/>
    <w:rsid w:val="00F05DD4"/>
    <w:rsid w:val="00F10067"/>
    <w:rsid w:val="00F119F1"/>
    <w:rsid w:val="00F12C6D"/>
    <w:rsid w:val="00F12CE7"/>
    <w:rsid w:val="00F13458"/>
    <w:rsid w:val="00F13BD6"/>
    <w:rsid w:val="00F13C4A"/>
    <w:rsid w:val="00F143EE"/>
    <w:rsid w:val="00F148D1"/>
    <w:rsid w:val="00F14FB9"/>
    <w:rsid w:val="00F1531B"/>
    <w:rsid w:val="00F1643A"/>
    <w:rsid w:val="00F17E21"/>
    <w:rsid w:val="00F17E74"/>
    <w:rsid w:val="00F207B9"/>
    <w:rsid w:val="00F21B7D"/>
    <w:rsid w:val="00F22077"/>
    <w:rsid w:val="00F221C6"/>
    <w:rsid w:val="00F2294E"/>
    <w:rsid w:val="00F238AE"/>
    <w:rsid w:val="00F24116"/>
    <w:rsid w:val="00F2510C"/>
    <w:rsid w:val="00F30603"/>
    <w:rsid w:val="00F325E6"/>
    <w:rsid w:val="00F32FD6"/>
    <w:rsid w:val="00F337AD"/>
    <w:rsid w:val="00F351D5"/>
    <w:rsid w:val="00F35579"/>
    <w:rsid w:val="00F35F38"/>
    <w:rsid w:val="00F40645"/>
    <w:rsid w:val="00F40C3D"/>
    <w:rsid w:val="00F416D8"/>
    <w:rsid w:val="00F421C9"/>
    <w:rsid w:val="00F423D3"/>
    <w:rsid w:val="00F424B3"/>
    <w:rsid w:val="00F439AF"/>
    <w:rsid w:val="00F4676A"/>
    <w:rsid w:val="00F505BD"/>
    <w:rsid w:val="00F505EC"/>
    <w:rsid w:val="00F514B1"/>
    <w:rsid w:val="00F51BE8"/>
    <w:rsid w:val="00F51C03"/>
    <w:rsid w:val="00F52801"/>
    <w:rsid w:val="00F5284C"/>
    <w:rsid w:val="00F53ACA"/>
    <w:rsid w:val="00F5414B"/>
    <w:rsid w:val="00F543B0"/>
    <w:rsid w:val="00F5507A"/>
    <w:rsid w:val="00F55EEB"/>
    <w:rsid w:val="00F56027"/>
    <w:rsid w:val="00F566CD"/>
    <w:rsid w:val="00F56D69"/>
    <w:rsid w:val="00F60D13"/>
    <w:rsid w:val="00F60D27"/>
    <w:rsid w:val="00F61D20"/>
    <w:rsid w:val="00F62524"/>
    <w:rsid w:val="00F62E63"/>
    <w:rsid w:val="00F62EB6"/>
    <w:rsid w:val="00F64453"/>
    <w:rsid w:val="00F6463A"/>
    <w:rsid w:val="00F648B5"/>
    <w:rsid w:val="00F7015C"/>
    <w:rsid w:val="00F70A1F"/>
    <w:rsid w:val="00F71264"/>
    <w:rsid w:val="00F71327"/>
    <w:rsid w:val="00F719E1"/>
    <w:rsid w:val="00F71D4F"/>
    <w:rsid w:val="00F742FA"/>
    <w:rsid w:val="00F7472A"/>
    <w:rsid w:val="00F751CC"/>
    <w:rsid w:val="00F753E8"/>
    <w:rsid w:val="00F766CD"/>
    <w:rsid w:val="00F76CED"/>
    <w:rsid w:val="00F807D1"/>
    <w:rsid w:val="00F8097B"/>
    <w:rsid w:val="00F80E98"/>
    <w:rsid w:val="00F80F33"/>
    <w:rsid w:val="00F81148"/>
    <w:rsid w:val="00F82904"/>
    <w:rsid w:val="00F83B5B"/>
    <w:rsid w:val="00F85C88"/>
    <w:rsid w:val="00F87050"/>
    <w:rsid w:val="00F87A5B"/>
    <w:rsid w:val="00F9106F"/>
    <w:rsid w:val="00F9353A"/>
    <w:rsid w:val="00F94B6F"/>
    <w:rsid w:val="00F95BAD"/>
    <w:rsid w:val="00FA02B5"/>
    <w:rsid w:val="00FA05A9"/>
    <w:rsid w:val="00FA20C1"/>
    <w:rsid w:val="00FA20E7"/>
    <w:rsid w:val="00FA22D4"/>
    <w:rsid w:val="00FA2508"/>
    <w:rsid w:val="00FA38FB"/>
    <w:rsid w:val="00FA44AA"/>
    <w:rsid w:val="00FA54E6"/>
    <w:rsid w:val="00FA63FD"/>
    <w:rsid w:val="00FA7484"/>
    <w:rsid w:val="00FA7654"/>
    <w:rsid w:val="00FA7680"/>
    <w:rsid w:val="00FB0828"/>
    <w:rsid w:val="00FB15AA"/>
    <w:rsid w:val="00FB2ED3"/>
    <w:rsid w:val="00FB3405"/>
    <w:rsid w:val="00FB3BF7"/>
    <w:rsid w:val="00FB46ED"/>
    <w:rsid w:val="00FB48BB"/>
    <w:rsid w:val="00FB4D60"/>
    <w:rsid w:val="00FB4DFC"/>
    <w:rsid w:val="00FB4E9A"/>
    <w:rsid w:val="00FB5B27"/>
    <w:rsid w:val="00FB642B"/>
    <w:rsid w:val="00FB675E"/>
    <w:rsid w:val="00FB6CC6"/>
    <w:rsid w:val="00FC11FC"/>
    <w:rsid w:val="00FC1353"/>
    <w:rsid w:val="00FC2752"/>
    <w:rsid w:val="00FC2B73"/>
    <w:rsid w:val="00FC3EBB"/>
    <w:rsid w:val="00FC47EE"/>
    <w:rsid w:val="00FC5174"/>
    <w:rsid w:val="00FC52FB"/>
    <w:rsid w:val="00FC5C9F"/>
    <w:rsid w:val="00FC5E75"/>
    <w:rsid w:val="00FC6A1A"/>
    <w:rsid w:val="00FC70B7"/>
    <w:rsid w:val="00FD0519"/>
    <w:rsid w:val="00FD09F7"/>
    <w:rsid w:val="00FD2254"/>
    <w:rsid w:val="00FD235A"/>
    <w:rsid w:val="00FD2422"/>
    <w:rsid w:val="00FD3164"/>
    <w:rsid w:val="00FD508C"/>
    <w:rsid w:val="00FD6CDB"/>
    <w:rsid w:val="00FE0019"/>
    <w:rsid w:val="00FE021C"/>
    <w:rsid w:val="00FE06A1"/>
    <w:rsid w:val="00FE092D"/>
    <w:rsid w:val="00FE0951"/>
    <w:rsid w:val="00FE09FD"/>
    <w:rsid w:val="00FE0A96"/>
    <w:rsid w:val="00FE1506"/>
    <w:rsid w:val="00FE269E"/>
    <w:rsid w:val="00FE2728"/>
    <w:rsid w:val="00FE4796"/>
    <w:rsid w:val="00FE48AF"/>
    <w:rsid w:val="00FE50AF"/>
    <w:rsid w:val="00FE5144"/>
    <w:rsid w:val="00FE5969"/>
    <w:rsid w:val="00FE610F"/>
    <w:rsid w:val="00FE66FB"/>
    <w:rsid w:val="00FE67B5"/>
    <w:rsid w:val="00FE73CD"/>
    <w:rsid w:val="00FE7B1D"/>
    <w:rsid w:val="00FE7D9F"/>
    <w:rsid w:val="00FF0534"/>
    <w:rsid w:val="00FF084F"/>
    <w:rsid w:val="00FF0B4F"/>
    <w:rsid w:val="00FF1B22"/>
    <w:rsid w:val="00FF1D5A"/>
    <w:rsid w:val="00FF20DE"/>
    <w:rsid w:val="00FF53E7"/>
    <w:rsid w:val="00FF5B8F"/>
    <w:rsid w:val="00FF67CA"/>
    <w:rsid w:val="00FF6CC5"/>
    <w:rsid w:val="00FF6EB7"/>
    <w:rsid w:val="00FF70FB"/>
    <w:rsid w:val="00FF79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8E0"/>
    <w:pPr>
      <w:spacing w:before="120" w:line="276" w:lineRule="auto"/>
      <w:jc w:val="both"/>
    </w:pPr>
    <w:rPr>
      <w:sz w:val="24"/>
      <w:szCs w:val="24"/>
      <w:lang w:eastAsia="en-US"/>
    </w:rPr>
  </w:style>
  <w:style w:type="paragraph" w:styleId="Heading1">
    <w:name w:val="heading 1"/>
    <w:next w:val="BodyText"/>
    <w:link w:val="Heading1Char"/>
    <w:uiPriority w:val="9"/>
    <w:qFormat/>
    <w:rsid w:val="006068D9"/>
    <w:pPr>
      <w:pageBreakBefore/>
      <w:numPr>
        <w:numId w:val="10"/>
      </w:numPr>
      <w:spacing w:before="120" w:after="480"/>
      <w:jc w:val="center"/>
      <w:outlineLvl w:val="0"/>
    </w:pPr>
    <w:rPr>
      <w:rFonts w:eastAsia="Times New Roman"/>
      <w:b/>
      <w:color w:val="4F81BD"/>
      <w:sz w:val="36"/>
      <w:szCs w:val="32"/>
      <w:lang w:eastAsia="en-US"/>
    </w:rPr>
  </w:style>
  <w:style w:type="paragraph" w:styleId="Heading2">
    <w:name w:val="heading 2"/>
    <w:next w:val="BodyText"/>
    <w:link w:val="Heading2Char"/>
    <w:uiPriority w:val="9"/>
    <w:unhideWhenUsed/>
    <w:qFormat/>
    <w:rsid w:val="006068D9"/>
    <w:pPr>
      <w:keepNext/>
      <w:numPr>
        <w:ilvl w:val="1"/>
        <w:numId w:val="10"/>
      </w:numPr>
      <w:spacing w:before="360" w:line="276" w:lineRule="auto"/>
      <w:jc w:val="both"/>
      <w:outlineLvl w:val="1"/>
    </w:pPr>
    <w:rPr>
      <w:rFonts w:eastAsia="Times New Roman"/>
      <w:b/>
      <w:color w:val="4F81BD"/>
      <w:sz w:val="32"/>
      <w:szCs w:val="26"/>
      <w:lang w:eastAsia="en-US"/>
    </w:rPr>
  </w:style>
  <w:style w:type="paragraph" w:styleId="Heading3">
    <w:name w:val="heading 3"/>
    <w:next w:val="BodyText"/>
    <w:link w:val="Heading3Char"/>
    <w:uiPriority w:val="9"/>
    <w:unhideWhenUsed/>
    <w:qFormat/>
    <w:rsid w:val="006068D9"/>
    <w:pPr>
      <w:keepNext/>
      <w:numPr>
        <w:ilvl w:val="2"/>
        <w:numId w:val="10"/>
      </w:numPr>
      <w:spacing w:before="360" w:line="276" w:lineRule="auto"/>
      <w:jc w:val="both"/>
      <w:outlineLvl w:val="2"/>
    </w:pPr>
    <w:rPr>
      <w:rFonts w:eastAsia="Times New Roman"/>
      <w:b/>
      <w:i/>
      <w:sz w:val="30"/>
      <w:szCs w:val="24"/>
      <w:lang w:eastAsia="en-US"/>
    </w:rPr>
  </w:style>
  <w:style w:type="paragraph" w:styleId="Heading4">
    <w:name w:val="heading 4"/>
    <w:next w:val="BodyText"/>
    <w:link w:val="Heading4Char"/>
    <w:uiPriority w:val="9"/>
    <w:unhideWhenUsed/>
    <w:qFormat/>
    <w:rsid w:val="006068D9"/>
    <w:pPr>
      <w:keepNext/>
      <w:keepLines/>
      <w:numPr>
        <w:ilvl w:val="3"/>
        <w:numId w:val="10"/>
      </w:numPr>
      <w:spacing w:before="240" w:line="276" w:lineRule="auto"/>
      <w:jc w:val="both"/>
      <w:outlineLvl w:val="3"/>
    </w:pPr>
    <w:rPr>
      <w:rFonts w:eastAsia="Times New Roman"/>
      <w:b/>
      <w:iCs/>
      <w:sz w:val="24"/>
      <w:szCs w:val="24"/>
      <w:lang w:eastAsia="en-US"/>
    </w:rPr>
  </w:style>
  <w:style w:type="paragraph" w:styleId="Heading5">
    <w:name w:val="heading 5"/>
    <w:next w:val="BodyText"/>
    <w:link w:val="Heading5Char"/>
    <w:uiPriority w:val="9"/>
    <w:unhideWhenUsed/>
    <w:qFormat/>
    <w:rsid w:val="006068D9"/>
    <w:pPr>
      <w:keepNext/>
      <w:numPr>
        <w:ilvl w:val="4"/>
        <w:numId w:val="10"/>
      </w:numPr>
      <w:spacing w:before="120" w:line="276" w:lineRule="auto"/>
      <w:jc w:val="both"/>
      <w:outlineLvl w:val="4"/>
    </w:pPr>
    <w:rPr>
      <w:rFonts w:eastAsia="Times New Roman"/>
      <w:sz w:val="24"/>
      <w:szCs w:val="24"/>
      <w:u w:val="single"/>
      <w:lang w:eastAsia="en-US"/>
    </w:rPr>
  </w:style>
  <w:style w:type="paragraph" w:styleId="Heading6">
    <w:name w:val="heading 6"/>
    <w:next w:val="BodyText"/>
    <w:link w:val="Heading6Char"/>
    <w:uiPriority w:val="9"/>
    <w:unhideWhenUsed/>
    <w:qFormat/>
    <w:rsid w:val="006068D9"/>
    <w:pPr>
      <w:keepNext/>
      <w:keepLines/>
      <w:numPr>
        <w:ilvl w:val="5"/>
        <w:numId w:val="10"/>
      </w:numPr>
      <w:spacing w:before="40"/>
      <w:outlineLvl w:val="5"/>
    </w:pPr>
    <w:rPr>
      <w:rFonts w:ascii="Calibri" w:eastAsia="Times New Roman" w:hAnsi="Calibri"/>
      <w:i/>
      <w:sz w:val="24"/>
      <w:szCs w:val="24"/>
      <w:lang w:eastAsia="en-US"/>
    </w:rPr>
  </w:style>
  <w:style w:type="paragraph" w:styleId="Heading7">
    <w:name w:val="heading 7"/>
    <w:aliases w:val="App Heading 1"/>
    <w:next w:val="BodyText"/>
    <w:link w:val="Heading7Char"/>
    <w:uiPriority w:val="9"/>
    <w:unhideWhenUsed/>
    <w:qFormat/>
    <w:rsid w:val="006068D9"/>
    <w:pPr>
      <w:pageBreakBefore/>
      <w:numPr>
        <w:ilvl w:val="6"/>
        <w:numId w:val="10"/>
      </w:numPr>
      <w:tabs>
        <w:tab w:val="left" w:pos="2268"/>
      </w:tabs>
      <w:spacing w:after="360" w:line="276" w:lineRule="auto"/>
      <w:ind w:left="0"/>
      <w:jc w:val="both"/>
      <w:outlineLvl w:val="6"/>
    </w:pPr>
    <w:rPr>
      <w:rFonts w:eastAsia="Times New Roman"/>
      <w:b/>
      <w:iCs/>
      <w:color w:val="4F81BD"/>
      <w:sz w:val="36"/>
      <w:szCs w:val="24"/>
      <w:lang w:eastAsia="en-US"/>
    </w:rPr>
  </w:style>
  <w:style w:type="paragraph" w:styleId="Heading8">
    <w:name w:val="heading 8"/>
    <w:aliases w:val="App Heading 2"/>
    <w:next w:val="BodyText"/>
    <w:link w:val="Heading8Char"/>
    <w:uiPriority w:val="9"/>
    <w:unhideWhenUsed/>
    <w:qFormat/>
    <w:rsid w:val="006068D9"/>
    <w:pPr>
      <w:keepNext/>
      <w:numPr>
        <w:ilvl w:val="7"/>
        <w:numId w:val="10"/>
      </w:numPr>
      <w:tabs>
        <w:tab w:val="left" w:pos="851"/>
      </w:tabs>
      <w:spacing w:before="360" w:line="276" w:lineRule="auto"/>
      <w:jc w:val="both"/>
      <w:outlineLvl w:val="7"/>
    </w:pPr>
    <w:rPr>
      <w:rFonts w:eastAsia="Times New Roman"/>
      <w:color w:val="4F81BD"/>
      <w:sz w:val="32"/>
      <w:szCs w:val="21"/>
      <w:lang w:eastAsia="en-US"/>
    </w:rPr>
  </w:style>
  <w:style w:type="paragraph" w:styleId="Heading9">
    <w:name w:val="heading 9"/>
    <w:aliases w:val="App Heading 3"/>
    <w:next w:val="BodyText"/>
    <w:link w:val="Heading9Char"/>
    <w:uiPriority w:val="9"/>
    <w:unhideWhenUsed/>
    <w:qFormat/>
    <w:rsid w:val="006068D9"/>
    <w:pPr>
      <w:keepNext/>
      <w:numPr>
        <w:ilvl w:val="8"/>
        <w:numId w:val="10"/>
      </w:numPr>
      <w:tabs>
        <w:tab w:val="left" w:pos="851"/>
      </w:tabs>
      <w:spacing w:before="360" w:line="276" w:lineRule="auto"/>
      <w:jc w:val="both"/>
      <w:outlineLvl w:val="8"/>
    </w:pPr>
    <w:rPr>
      <w:rFonts w:eastAsia="Times New Roman"/>
      <w:b/>
      <w:i/>
      <w:iCs/>
      <w:color w:val="272727"/>
      <w:sz w:val="28"/>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52C9E"/>
    <w:rPr>
      <w:rFonts w:eastAsia="Times New Roman"/>
      <w:b/>
      <w:color w:val="4F81BD"/>
      <w:sz w:val="36"/>
      <w:szCs w:val="32"/>
      <w:lang w:eastAsia="en-US"/>
    </w:rPr>
  </w:style>
  <w:style w:type="paragraph" w:customStyle="1" w:styleId="ToR">
    <w:name w:val="ToR"/>
    <w:next w:val="BodyText"/>
    <w:qFormat/>
    <w:rsid w:val="003F03FF"/>
    <w:pPr>
      <w:tabs>
        <w:tab w:val="left" w:pos="794"/>
      </w:tabs>
      <w:spacing w:before="240" w:line="276" w:lineRule="auto"/>
      <w:jc w:val="both"/>
    </w:pPr>
    <w:rPr>
      <w:i/>
      <w:sz w:val="24"/>
      <w:szCs w:val="24"/>
      <w:lang w:eastAsia="en-US"/>
    </w:rPr>
  </w:style>
  <w:style w:type="paragraph" w:styleId="BodyText">
    <w:name w:val="Body Text"/>
    <w:link w:val="BodyTextChar"/>
    <w:uiPriority w:val="99"/>
    <w:unhideWhenUsed/>
    <w:rsid w:val="008E29BE"/>
    <w:pPr>
      <w:spacing w:before="240" w:line="276" w:lineRule="auto"/>
      <w:jc w:val="both"/>
    </w:pPr>
    <w:rPr>
      <w:sz w:val="24"/>
      <w:szCs w:val="24"/>
      <w:lang w:eastAsia="en-US"/>
    </w:rPr>
  </w:style>
  <w:style w:type="character" w:customStyle="1" w:styleId="BodyTextChar">
    <w:name w:val="Body Text Char"/>
    <w:basedOn w:val="DefaultParagraphFont"/>
    <w:link w:val="BodyText"/>
    <w:uiPriority w:val="99"/>
    <w:rsid w:val="008E29BE"/>
  </w:style>
  <w:style w:type="paragraph" w:customStyle="1" w:styleId="ToRsinboxwithhangingindent">
    <w:name w:val="ToRs in box with hanging indent"/>
    <w:qFormat/>
    <w:rsid w:val="005B5D2A"/>
    <w:pPr>
      <w:keepNext/>
      <w:pBdr>
        <w:top w:val="single" w:sz="4" w:space="8" w:color="auto"/>
        <w:left w:val="single" w:sz="4" w:space="4" w:color="auto"/>
        <w:bottom w:val="single" w:sz="4" w:space="8" w:color="auto"/>
        <w:right w:val="single" w:sz="4" w:space="4" w:color="auto"/>
      </w:pBdr>
      <w:shd w:val="clear" w:color="auto" w:fill="F2F2F2"/>
      <w:tabs>
        <w:tab w:val="left" w:pos="1304"/>
      </w:tabs>
      <w:spacing w:before="120" w:line="276" w:lineRule="auto"/>
      <w:ind w:left="1304" w:hanging="1304"/>
      <w:jc w:val="both"/>
    </w:pPr>
    <w:rPr>
      <w:sz w:val="24"/>
      <w:szCs w:val="24"/>
      <w:lang w:eastAsia="en-US"/>
    </w:rPr>
  </w:style>
  <w:style w:type="character" w:customStyle="1" w:styleId="Heading2Char">
    <w:name w:val="Heading 2 Char"/>
    <w:link w:val="Heading2"/>
    <w:uiPriority w:val="9"/>
    <w:rsid w:val="003D66A6"/>
    <w:rPr>
      <w:rFonts w:eastAsia="Times New Roman"/>
      <w:b/>
      <w:color w:val="4F81BD"/>
      <w:sz w:val="32"/>
      <w:szCs w:val="26"/>
      <w:lang w:eastAsia="en-US"/>
    </w:rPr>
  </w:style>
  <w:style w:type="paragraph" w:customStyle="1" w:styleId="ToRinbox">
    <w:name w:val="ToR in box"/>
    <w:basedOn w:val="ToRsinboxwithhangingindent"/>
    <w:qFormat/>
    <w:rsid w:val="00BB390F"/>
    <w:pPr>
      <w:pBdr>
        <w:top w:val="single" w:sz="4" w:space="6" w:color="auto"/>
        <w:bottom w:val="single" w:sz="4" w:space="6" w:color="auto"/>
      </w:pBdr>
      <w:tabs>
        <w:tab w:val="clear" w:pos="1304"/>
      </w:tabs>
      <w:ind w:left="0" w:firstLine="0"/>
    </w:pPr>
  </w:style>
  <w:style w:type="character" w:customStyle="1" w:styleId="Heading3Char">
    <w:name w:val="Heading 3 Char"/>
    <w:link w:val="Heading3"/>
    <w:uiPriority w:val="9"/>
    <w:rsid w:val="003D66A6"/>
    <w:rPr>
      <w:rFonts w:eastAsia="Times New Roman"/>
      <w:b/>
      <w:i/>
      <w:sz w:val="30"/>
      <w:szCs w:val="24"/>
      <w:lang w:eastAsia="en-US"/>
    </w:rPr>
  </w:style>
  <w:style w:type="paragraph" w:customStyle="1" w:styleId="Bullettext">
    <w:name w:val="Bullet text"/>
    <w:link w:val="BullettextChar"/>
    <w:qFormat/>
    <w:rsid w:val="00907F4C"/>
    <w:pPr>
      <w:numPr>
        <w:numId w:val="1"/>
      </w:numPr>
      <w:spacing w:before="120" w:line="276" w:lineRule="auto"/>
      <w:contextualSpacing/>
      <w:jc w:val="both"/>
    </w:pPr>
    <w:rPr>
      <w:sz w:val="24"/>
      <w:szCs w:val="24"/>
      <w:lang w:eastAsia="en-US"/>
    </w:rPr>
  </w:style>
  <w:style w:type="paragraph" w:customStyle="1" w:styleId="Bullettextsecondlevel">
    <w:name w:val="Bullet text second level"/>
    <w:qFormat/>
    <w:rsid w:val="00907F4C"/>
    <w:pPr>
      <w:numPr>
        <w:numId w:val="2"/>
      </w:numPr>
      <w:spacing w:line="276" w:lineRule="auto"/>
      <w:ind w:left="851" w:hanging="284"/>
      <w:jc w:val="both"/>
    </w:pPr>
    <w:rPr>
      <w:sz w:val="24"/>
      <w:szCs w:val="24"/>
      <w:lang w:eastAsia="en-US"/>
    </w:rPr>
  </w:style>
  <w:style w:type="character" w:customStyle="1" w:styleId="Heading4Char">
    <w:name w:val="Heading 4 Char"/>
    <w:link w:val="Heading4"/>
    <w:uiPriority w:val="9"/>
    <w:rsid w:val="00D866EC"/>
    <w:rPr>
      <w:rFonts w:eastAsia="Times New Roman"/>
      <w:b/>
      <w:iCs/>
      <w:sz w:val="24"/>
      <w:szCs w:val="24"/>
      <w:lang w:eastAsia="en-US"/>
    </w:rPr>
  </w:style>
  <w:style w:type="character" w:customStyle="1" w:styleId="Heading5Char">
    <w:name w:val="Heading 5 Char"/>
    <w:link w:val="Heading5"/>
    <w:uiPriority w:val="9"/>
    <w:rsid w:val="00D866EC"/>
    <w:rPr>
      <w:rFonts w:eastAsia="Times New Roman"/>
      <w:sz w:val="24"/>
      <w:szCs w:val="24"/>
      <w:u w:val="single"/>
      <w:lang w:eastAsia="en-US"/>
    </w:rPr>
  </w:style>
  <w:style w:type="paragraph" w:customStyle="1" w:styleId="BodyTextnospacebefore">
    <w:name w:val="Body Text – no space before"/>
    <w:next w:val="BodyText"/>
    <w:qFormat/>
    <w:rsid w:val="00D866EC"/>
    <w:pPr>
      <w:spacing w:line="276" w:lineRule="auto"/>
      <w:jc w:val="both"/>
    </w:pPr>
    <w:rPr>
      <w:sz w:val="24"/>
      <w:szCs w:val="24"/>
      <w:lang w:eastAsia="en-US"/>
    </w:rPr>
  </w:style>
  <w:style w:type="paragraph" w:styleId="TableofAuthorities">
    <w:name w:val="table of authorities"/>
    <w:basedOn w:val="Normal"/>
    <w:next w:val="Normal"/>
    <w:uiPriority w:val="99"/>
    <w:semiHidden/>
    <w:unhideWhenUsed/>
    <w:rsid w:val="00834197"/>
    <w:pPr>
      <w:ind w:left="240" w:hanging="240"/>
    </w:pPr>
  </w:style>
  <w:style w:type="paragraph" w:customStyle="1" w:styleId="05Tabletext">
    <w:name w:val="05 Table text"/>
    <w:next w:val="06Tabletextspacebefore"/>
    <w:qFormat/>
    <w:rsid w:val="005940CE"/>
    <w:pPr>
      <w:spacing w:before="20"/>
      <w:ind w:left="57" w:right="57"/>
    </w:pPr>
    <w:rPr>
      <w:rFonts w:ascii="Arial Narrow" w:hAnsi="Arial Narrow"/>
      <w:sz w:val="18"/>
      <w:szCs w:val="24"/>
      <w:lang w:eastAsia="en-US"/>
    </w:rPr>
  </w:style>
  <w:style w:type="table" w:styleId="TableGrid">
    <w:name w:val="Table Grid"/>
    <w:basedOn w:val="TableNormal"/>
    <w:uiPriority w:val="59"/>
    <w:rsid w:val="00E01A78"/>
    <w:rPr>
      <w:rFonts w:ascii="Arial Narrow" w:hAnsi="Arial Narrow"/>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Pr>
    <w:trPr>
      <w:cantSplit/>
    </w:trPr>
    <w:tcPr>
      <w:shd w:val="clear" w:color="auto" w:fill="auto"/>
    </w:tcPr>
    <w:tblStylePr w:type="firstRow">
      <w:tblPr/>
      <w:trPr>
        <w:tblHeader/>
      </w:trPr>
      <w:tcPr>
        <w:shd w:val="clear" w:color="auto" w:fill="BFBFBF"/>
      </w:tcPr>
    </w:tblStylePr>
  </w:style>
  <w:style w:type="paragraph" w:styleId="Caption">
    <w:name w:val="caption"/>
    <w:next w:val="05Tabletext"/>
    <w:link w:val="CaptionChar"/>
    <w:uiPriority w:val="35"/>
    <w:unhideWhenUsed/>
    <w:qFormat/>
    <w:rsid w:val="00C076F5"/>
    <w:pPr>
      <w:keepNext/>
      <w:tabs>
        <w:tab w:val="left" w:pos="1134"/>
      </w:tabs>
      <w:spacing w:before="240" w:after="40"/>
      <w:ind w:left="1134" w:hanging="1134"/>
      <w:jc w:val="both"/>
    </w:pPr>
    <w:rPr>
      <w:rFonts w:ascii="Arial" w:hAnsi="Arial"/>
      <w:b/>
      <w:iCs/>
      <w:szCs w:val="18"/>
      <w:lang w:eastAsia="en-US"/>
    </w:rPr>
  </w:style>
  <w:style w:type="paragraph" w:customStyle="1" w:styleId="06Tabletextspacebefore">
    <w:name w:val="06 Table text space before"/>
    <w:qFormat/>
    <w:rsid w:val="00055F77"/>
    <w:pPr>
      <w:spacing w:before="80"/>
      <w:ind w:left="57" w:right="57"/>
    </w:pPr>
    <w:rPr>
      <w:rFonts w:ascii="Arial Narrow" w:hAnsi="Arial Narrow"/>
      <w:sz w:val="18"/>
      <w:szCs w:val="24"/>
      <w:lang w:eastAsia="en-US"/>
    </w:rPr>
  </w:style>
  <w:style w:type="paragraph" w:customStyle="1" w:styleId="10TableorFigurefootnote">
    <w:name w:val="10 Table or Figure footnote"/>
    <w:qFormat/>
    <w:rsid w:val="0063506B"/>
    <w:pPr>
      <w:keepNext/>
    </w:pPr>
    <w:rPr>
      <w:rFonts w:ascii="Arial Narrow" w:hAnsi="Arial Narrow"/>
      <w:sz w:val="16"/>
      <w:szCs w:val="24"/>
      <w:lang w:eastAsia="en-US"/>
    </w:rPr>
  </w:style>
  <w:style w:type="paragraph" w:customStyle="1" w:styleId="11TableorFigurefootnotenostick">
    <w:name w:val="11 Table or Figure footnote – no stick"/>
    <w:next w:val="BodyText"/>
    <w:qFormat/>
    <w:rsid w:val="0099024A"/>
    <w:pPr>
      <w:spacing w:after="360"/>
    </w:pPr>
    <w:rPr>
      <w:rFonts w:ascii="Arial Narrow" w:hAnsi="Arial Narrow"/>
      <w:sz w:val="16"/>
      <w:szCs w:val="24"/>
      <w:lang w:eastAsia="en-US"/>
    </w:rPr>
  </w:style>
  <w:style w:type="paragraph" w:customStyle="1" w:styleId="01TableHEADINGleftaligned">
    <w:name w:val="01 Table HEADING left aligned"/>
    <w:basedOn w:val="BodyText"/>
    <w:qFormat/>
    <w:rsid w:val="003D0211"/>
    <w:pPr>
      <w:keepNext/>
      <w:spacing w:before="60" w:line="240" w:lineRule="auto"/>
      <w:ind w:left="57" w:right="57"/>
      <w:jc w:val="left"/>
    </w:pPr>
    <w:rPr>
      <w:rFonts w:ascii="Arial Narrow" w:hAnsi="Arial Narrow"/>
      <w:b/>
      <w:sz w:val="18"/>
    </w:rPr>
  </w:style>
  <w:style w:type="paragraph" w:customStyle="1" w:styleId="02TableHEADINGcentred">
    <w:name w:val="02 Table HEADING centred"/>
    <w:qFormat/>
    <w:rsid w:val="009800DE"/>
    <w:pPr>
      <w:keepNext/>
      <w:spacing w:before="60"/>
      <w:ind w:left="57" w:right="57"/>
      <w:jc w:val="center"/>
    </w:pPr>
    <w:rPr>
      <w:rFonts w:ascii="Arial Narrow" w:hAnsi="Arial Narrow"/>
      <w:b/>
      <w:sz w:val="18"/>
      <w:szCs w:val="24"/>
      <w:lang w:eastAsia="en-US"/>
    </w:rPr>
  </w:style>
  <w:style w:type="paragraph" w:customStyle="1" w:styleId="09Tablerightaligned">
    <w:name w:val="09 Table right aligned ($)"/>
    <w:qFormat/>
    <w:rsid w:val="00E01A78"/>
    <w:pPr>
      <w:spacing w:before="20"/>
      <w:ind w:left="57" w:right="170"/>
      <w:jc w:val="right"/>
    </w:pPr>
    <w:rPr>
      <w:rFonts w:ascii="Arial Narrow" w:hAnsi="Arial Narrow"/>
      <w:sz w:val="18"/>
      <w:szCs w:val="24"/>
      <w:lang w:eastAsia="en-US"/>
    </w:rPr>
  </w:style>
  <w:style w:type="paragraph" w:customStyle="1" w:styleId="07Tablebullet">
    <w:name w:val="07 Table bullet"/>
    <w:qFormat/>
    <w:rsid w:val="0029750E"/>
    <w:pPr>
      <w:numPr>
        <w:numId w:val="3"/>
      </w:numPr>
      <w:ind w:left="227" w:right="57" w:hanging="170"/>
    </w:pPr>
    <w:rPr>
      <w:rFonts w:ascii="Arial Narrow" w:hAnsi="Arial Narrow"/>
      <w:sz w:val="18"/>
      <w:szCs w:val="24"/>
      <w:lang w:eastAsia="en-US"/>
    </w:rPr>
  </w:style>
  <w:style w:type="numbering" w:customStyle="1" w:styleId="Headings">
    <w:name w:val="Headings"/>
    <w:uiPriority w:val="99"/>
    <w:rsid w:val="006068D9"/>
    <w:pPr>
      <w:numPr>
        <w:numId w:val="37"/>
      </w:numPr>
    </w:pPr>
  </w:style>
  <w:style w:type="paragraph" w:styleId="TOC2">
    <w:name w:val="toc 2"/>
    <w:basedOn w:val="Normal"/>
    <w:next w:val="Normal"/>
    <w:autoRedefine/>
    <w:uiPriority w:val="39"/>
    <w:unhideWhenUsed/>
    <w:rsid w:val="00515169"/>
    <w:pPr>
      <w:tabs>
        <w:tab w:val="left" w:pos="1134"/>
        <w:tab w:val="right" w:leader="dot" w:pos="9628"/>
      </w:tabs>
      <w:spacing w:before="60"/>
      <w:ind w:left="1134" w:right="567" w:hanging="567"/>
      <w:jc w:val="left"/>
    </w:pPr>
  </w:style>
  <w:style w:type="paragraph" w:styleId="TOC1">
    <w:name w:val="toc 1"/>
    <w:autoRedefine/>
    <w:uiPriority w:val="39"/>
    <w:unhideWhenUsed/>
    <w:rsid w:val="00BA0380"/>
    <w:pPr>
      <w:tabs>
        <w:tab w:val="right" w:leader="dot" w:pos="9628"/>
      </w:tabs>
      <w:spacing w:before="120" w:line="276" w:lineRule="auto"/>
      <w:ind w:left="1134" w:right="567" w:hanging="1134"/>
    </w:pPr>
    <w:rPr>
      <w:noProof/>
      <w:sz w:val="24"/>
      <w:szCs w:val="24"/>
      <w:lang w:eastAsia="en-US"/>
    </w:rPr>
  </w:style>
  <w:style w:type="paragraph" w:styleId="TOC3">
    <w:name w:val="toc 3"/>
    <w:basedOn w:val="Normal"/>
    <w:next w:val="Normal"/>
    <w:autoRedefine/>
    <w:uiPriority w:val="39"/>
    <w:unhideWhenUsed/>
    <w:rsid w:val="00150D82"/>
    <w:pPr>
      <w:tabs>
        <w:tab w:val="left" w:pos="1320"/>
        <w:tab w:val="right" w:leader="dot" w:pos="9628"/>
      </w:tabs>
      <w:spacing w:before="0"/>
      <w:ind w:left="1701" w:right="567" w:hanging="567"/>
      <w:jc w:val="left"/>
    </w:pPr>
  </w:style>
  <w:style w:type="character" w:styleId="Hyperlink">
    <w:name w:val="Hyperlink"/>
    <w:uiPriority w:val="99"/>
    <w:unhideWhenUsed/>
    <w:rsid w:val="00663CBC"/>
    <w:rPr>
      <w:color w:val="0000FF"/>
      <w:u w:val="single"/>
    </w:rPr>
  </w:style>
  <w:style w:type="paragraph" w:styleId="TOCHeading">
    <w:name w:val="TOC Heading"/>
    <w:next w:val="BodyText"/>
    <w:uiPriority w:val="39"/>
    <w:unhideWhenUsed/>
    <w:qFormat/>
    <w:rsid w:val="001C5235"/>
    <w:pPr>
      <w:pageBreakBefore/>
      <w:spacing w:before="360" w:after="360" w:line="276" w:lineRule="auto"/>
      <w:jc w:val="center"/>
    </w:pPr>
    <w:rPr>
      <w:rFonts w:eastAsia="Times New Roman"/>
      <w:b/>
      <w:color w:val="4F81BD"/>
      <w:sz w:val="40"/>
      <w:szCs w:val="32"/>
      <w:lang w:eastAsia="en-US"/>
    </w:rPr>
  </w:style>
  <w:style w:type="character" w:styleId="CommentReference">
    <w:name w:val="annotation reference"/>
    <w:aliases w:val="Table Title"/>
    <w:uiPriority w:val="99"/>
    <w:unhideWhenUsed/>
    <w:qFormat/>
    <w:rsid w:val="007C6357"/>
    <w:rPr>
      <w:sz w:val="16"/>
      <w:szCs w:val="16"/>
    </w:rPr>
  </w:style>
  <w:style w:type="paragraph" w:styleId="CommentText">
    <w:name w:val="annotation text"/>
    <w:basedOn w:val="Normal"/>
    <w:link w:val="CommentTextChar"/>
    <w:unhideWhenUsed/>
    <w:rsid w:val="007C6357"/>
    <w:pPr>
      <w:spacing w:line="240" w:lineRule="auto"/>
    </w:pPr>
    <w:rPr>
      <w:sz w:val="20"/>
      <w:szCs w:val="20"/>
    </w:rPr>
  </w:style>
  <w:style w:type="character" w:customStyle="1" w:styleId="CommentTextChar">
    <w:name w:val="Comment Text Char"/>
    <w:link w:val="CommentText"/>
    <w:rsid w:val="007C6357"/>
    <w:rPr>
      <w:sz w:val="20"/>
      <w:szCs w:val="20"/>
    </w:rPr>
  </w:style>
  <w:style w:type="paragraph" w:styleId="CommentSubject">
    <w:name w:val="annotation subject"/>
    <w:basedOn w:val="CommentText"/>
    <w:next w:val="CommentText"/>
    <w:link w:val="CommentSubjectChar"/>
    <w:uiPriority w:val="99"/>
    <w:semiHidden/>
    <w:unhideWhenUsed/>
    <w:rsid w:val="007C6357"/>
    <w:rPr>
      <w:b/>
      <w:bCs/>
    </w:rPr>
  </w:style>
  <w:style w:type="character" w:customStyle="1" w:styleId="CommentSubjectChar">
    <w:name w:val="Comment Subject Char"/>
    <w:link w:val="CommentSubject"/>
    <w:uiPriority w:val="99"/>
    <w:semiHidden/>
    <w:rsid w:val="007C6357"/>
    <w:rPr>
      <w:b/>
      <w:bCs/>
      <w:sz w:val="20"/>
      <w:szCs w:val="20"/>
    </w:rPr>
  </w:style>
  <w:style w:type="paragraph" w:styleId="BalloonText">
    <w:name w:val="Balloon Text"/>
    <w:basedOn w:val="Normal"/>
    <w:link w:val="BalloonTextChar"/>
    <w:uiPriority w:val="99"/>
    <w:semiHidden/>
    <w:unhideWhenUsed/>
    <w:rsid w:val="007C6357"/>
    <w:pPr>
      <w:spacing w:before="0" w:line="240" w:lineRule="auto"/>
    </w:pPr>
    <w:rPr>
      <w:rFonts w:ascii="Segoe UI" w:hAnsi="Segoe UI" w:cs="Segoe UI"/>
      <w:sz w:val="18"/>
      <w:szCs w:val="18"/>
    </w:rPr>
  </w:style>
  <w:style w:type="character" w:customStyle="1" w:styleId="BalloonTextChar">
    <w:name w:val="Balloon Text Char"/>
    <w:link w:val="BalloonText"/>
    <w:uiPriority w:val="99"/>
    <w:semiHidden/>
    <w:rsid w:val="007C6357"/>
    <w:rPr>
      <w:rFonts w:ascii="Segoe UI" w:hAnsi="Segoe UI" w:cs="Segoe UI"/>
      <w:sz w:val="18"/>
      <w:szCs w:val="18"/>
    </w:rPr>
  </w:style>
  <w:style w:type="paragraph" w:customStyle="1" w:styleId="Picturewithbox">
    <w:name w:val="Picture with box"/>
    <w:next w:val="11TableorFigurefootnotenostick"/>
    <w:qFormat/>
    <w:rsid w:val="00C076F5"/>
    <w:pPr>
      <w:pBdr>
        <w:top w:val="single" w:sz="4" w:space="4" w:color="auto"/>
        <w:left w:val="single" w:sz="4" w:space="0" w:color="auto"/>
        <w:bottom w:val="single" w:sz="4" w:space="4" w:color="auto"/>
        <w:right w:val="single" w:sz="4" w:space="0" w:color="auto"/>
      </w:pBdr>
      <w:jc w:val="center"/>
    </w:pPr>
    <w:rPr>
      <w:sz w:val="24"/>
      <w:szCs w:val="24"/>
      <w:lang w:eastAsia="en-US"/>
    </w:rPr>
  </w:style>
  <w:style w:type="paragraph" w:styleId="TableofFigures">
    <w:name w:val="table of figures"/>
    <w:aliases w:val="- TOC for list of Figures or Tables"/>
    <w:uiPriority w:val="99"/>
    <w:unhideWhenUsed/>
    <w:rsid w:val="00A54385"/>
    <w:pPr>
      <w:ind w:left="1418" w:right="567" w:hanging="1418"/>
    </w:pPr>
    <w:rPr>
      <w:sz w:val="24"/>
      <w:szCs w:val="24"/>
      <w:lang w:eastAsia="en-US"/>
    </w:rPr>
  </w:style>
  <w:style w:type="paragraph" w:customStyle="1" w:styleId="Titlepage">
    <w:name w:val="Title page"/>
    <w:qFormat/>
    <w:rsid w:val="005B5D2A"/>
    <w:pPr>
      <w:spacing w:before="120" w:line="276" w:lineRule="auto"/>
      <w:jc w:val="center"/>
    </w:pPr>
    <w:rPr>
      <w:sz w:val="40"/>
      <w:szCs w:val="40"/>
      <w:lang w:eastAsia="en-US"/>
    </w:rPr>
  </w:style>
  <w:style w:type="character" w:customStyle="1" w:styleId="Heading6Char">
    <w:name w:val="Heading 6 Char"/>
    <w:link w:val="Heading6"/>
    <w:uiPriority w:val="9"/>
    <w:rsid w:val="0088224C"/>
    <w:rPr>
      <w:rFonts w:ascii="Calibri" w:eastAsia="Times New Roman" w:hAnsi="Calibri"/>
      <w:i/>
      <w:sz w:val="24"/>
      <w:szCs w:val="24"/>
      <w:lang w:eastAsia="en-US"/>
    </w:rPr>
  </w:style>
  <w:style w:type="character" w:customStyle="1" w:styleId="Heading7Char">
    <w:name w:val="Heading 7 Char"/>
    <w:aliases w:val="App Heading 1 Char"/>
    <w:link w:val="Heading7"/>
    <w:uiPriority w:val="9"/>
    <w:rsid w:val="00683D01"/>
    <w:rPr>
      <w:rFonts w:eastAsia="Times New Roman"/>
      <w:b/>
      <w:iCs/>
      <w:color w:val="4F81BD"/>
      <w:sz w:val="36"/>
      <w:szCs w:val="24"/>
      <w:lang w:eastAsia="en-US"/>
    </w:rPr>
  </w:style>
  <w:style w:type="character" w:customStyle="1" w:styleId="Heading8Char">
    <w:name w:val="Heading 8 Char"/>
    <w:aliases w:val="App Heading 2 Char"/>
    <w:link w:val="Heading8"/>
    <w:uiPriority w:val="9"/>
    <w:rsid w:val="00916C10"/>
    <w:rPr>
      <w:rFonts w:eastAsia="Times New Roman"/>
      <w:color w:val="4F81BD"/>
      <w:sz w:val="32"/>
      <w:szCs w:val="21"/>
      <w:lang w:eastAsia="en-US"/>
    </w:rPr>
  </w:style>
  <w:style w:type="character" w:customStyle="1" w:styleId="Heading9Char">
    <w:name w:val="Heading 9 Char"/>
    <w:aliases w:val="App Heading 3 Char"/>
    <w:link w:val="Heading9"/>
    <w:uiPriority w:val="9"/>
    <w:rsid w:val="00343EB1"/>
    <w:rPr>
      <w:rFonts w:eastAsia="Times New Roman"/>
      <w:b/>
      <w:i/>
      <w:iCs/>
      <w:color w:val="272727"/>
      <w:sz w:val="28"/>
      <w:szCs w:val="21"/>
      <w:lang w:eastAsia="en-US"/>
    </w:rPr>
  </w:style>
  <w:style w:type="paragraph" w:styleId="Footer">
    <w:name w:val="footer"/>
    <w:link w:val="FooterChar"/>
    <w:uiPriority w:val="99"/>
    <w:unhideWhenUsed/>
    <w:rsid w:val="006C71C1"/>
    <w:pPr>
      <w:pBdr>
        <w:top w:val="single" w:sz="4" w:space="1" w:color="auto"/>
      </w:pBdr>
    </w:pPr>
    <w:rPr>
      <w:szCs w:val="24"/>
      <w:lang w:eastAsia="en-US"/>
    </w:rPr>
  </w:style>
  <w:style w:type="paragraph" w:styleId="Header">
    <w:name w:val="header"/>
    <w:link w:val="HeaderChar"/>
    <w:uiPriority w:val="99"/>
    <w:unhideWhenUsed/>
    <w:rsid w:val="008D13CD"/>
    <w:pPr>
      <w:pBdr>
        <w:bottom w:val="single" w:sz="4" w:space="1" w:color="auto"/>
      </w:pBdr>
      <w:tabs>
        <w:tab w:val="center" w:pos="4513"/>
        <w:tab w:val="right" w:pos="9026"/>
      </w:tabs>
      <w:spacing w:after="240"/>
    </w:pPr>
    <w:rPr>
      <w:szCs w:val="24"/>
      <w:lang w:eastAsia="en-US"/>
    </w:rPr>
  </w:style>
  <w:style w:type="character" w:customStyle="1" w:styleId="HeaderChar">
    <w:name w:val="Header Char"/>
    <w:link w:val="Header"/>
    <w:uiPriority w:val="99"/>
    <w:rsid w:val="008D13CD"/>
    <w:rPr>
      <w:sz w:val="20"/>
    </w:rPr>
  </w:style>
  <w:style w:type="character" w:customStyle="1" w:styleId="FooterChar">
    <w:name w:val="Footer Char"/>
    <w:link w:val="Footer"/>
    <w:uiPriority w:val="99"/>
    <w:rsid w:val="006C71C1"/>
    <w:rPr>
      <w:szCs w:val="24"/>
      <w:lang w:eastAsia="en-US"/>
    </w:rPr>
  </w:style>
  <w:style w:type="character" w:customStyle="1" w:styleId="BullettextChar">
    <w:name w:val="Bullet text Char"/>
    <w:link w:val="Bullettext"/>
    <w:rsid w:val="00DA3D12"/>
    <w:rPr>
      <w:sz w:val="24"/>
      <w:szCs w:val="24"/>
      <w:lang w:eastAsia="en-US"/>
    </w:rPr>
  </w:style>
  <w:style w:type="paragraph" w:styleId="FootnoteText">
    <w:name w:val="footnote text"/>
    <w:basedOn w:val="Normal"/>
    <w:link w:val="FootnoteTextChar"/>
    <w:uiPriority w:val="99"/>
    <w:unhideWhenUsed/>
    <w:rsid w:val="00CC24F3"/>
    <w:pPr>
      <w:spacing w:before="0" w:line="240" w:lineRule="auto"/>
      <w:jc w:val="left"/>
    </w:pPr>
    <w:rPr>
      <w:rFonts w:ascii="Arial Narrow" w:hAnsi="Arial Narrow"/>
      <w:sz w:val="18"/>
      <w:szCs w:val="20"/>
    </w:rPr>
  </w:style>
  <w:style w:type="character" w:customStyle="1" w:styleId="FootnoteTextChar">
    <w:name w:val="Footnote Text Char"/>
    <w:link w:val="FootnoteText"/>
    <w:uiPriority w:val="99"/>
    <w:rsid w:val="00CC24F3"/>
    <w:rPr>
      <w:rFonts w:ascii="Arial Narrow" w:hAnsi="Arial Narrow"/>
      <w:sz w:val="18"/>
      <w:lang w:eastAsia="en-US"/>
    </w:rPr>
  </w:style>
  <w:style w:type="paragraph" w:styleId="TOAHeading">
    <w:name w:val="toa heading"/>
    <w:basedOn w:val="Normal"/>
    <w:next w:val="Normal"/>
    <w:uiPriority w:val="99"/>
    <w:semiHidden/>
    <w:unhideWhenUsed/>
    <w:rsid w:val="00834197"/>
    <w:rPr>
      <w:rFonts w:asciiTheme="majorHAnsi" w:eastAsiaTheme="majorEastAsia" w:hAnsiTheme="majorHAnsi" w:cstheme="majorBidi"/>
      <w:b/>
      <w:bCs/>
    </w:rPr>
  </w:style>
  <w:style w:type="paragraph" w:customStyle="1" w:styleId="TableorFigurefootnote">
    <w:name w:val="Table or Figure footnote"/>
    <w:next w:val="BodyText"/>
    <w:qFormat/>
    <w:rsid w:val="00ED6106"/>
    <w:pPr>
      <w:spacing w:after="240"/>
      <w:contextualSpacing/>
    </w:pPr>
    <w:rPr>
      <w:rFonts w:ascii="Garamond" w:hAnsi="Garamond"/>
      <w:sz w:val="16"/>
      <w:szCs w:val="22"/>
      <w:lang w:eastAsia="en-US"/>
    </w:rPr>
  </w:style>
  <w:style w:type="character" w:styleId="FootnoteReference">
    <w:name w:val="footnote reference"/>
    <w:uiPriority w:val="99"/>
    <w:unhideWhenUsed/>
    <w:rsid w:val="00A332EB"/>
    <w:rPr>
      <w:vertAlign w:val="superscript"/>
    </w:rPr>
  </w:style>
  <w:style w:type="paragraph" w:customStyle="1" w:styleId="08Tablebulletsecondlevel">
    <w:name w:val="08 Table bullet second level"/>
    <w:qFormat/>
    <w:rsid w:val="0029750E"/>
    <w:pPr>
      <w:numPr>
        <w:numId w:val="5"/>
      </w:numPr>
      <w:ind w:left="397" w:hanging="170"/>
    </w:pPr>
    <w:rPr>
      <w:rFonts w:ascii="Arial Narrow" w:hAnsi="Arial Narrow"/>
      <w:sz w:val="18"/>
      <w:szCs w:val="24"/>
      <w:lang w:eastAsia="en-US"/>
    </w:rPr>
  </w:style>
  <w:style w:type="paragraph" w:customStyle="1" w:styleId="03TableHEADINGrightaligned">
    <w:name w:val="03 Table HEADING right aligned ($)"/>
    <w:qFormat/>
    <w:rsid w:val="00241406"/>
    <w:pPr>
      <w:keepNext/>
      <w:spacing w:before="60"/>
      <w:ind w:left="57" w:right="170"/>
      <w:jc w:val="right"/>
    </w:pPr>
    <w:rPr>
      <w:rFonts w:ascii="Arial Narrow" w:hAnsi="Arial Narrow"/>
      <w:b/>
      <w:sz w:val="18"/>
      <w:szCs w:val="24"/>
      <w:lang w:eastAsia="en-US"/>
    </w:rPr>
  </w:style>
  <w:style w:type="paragraph" w:styleId="Revision">
    <w:name w:val="Revision"/>
    <w:hidden/>
    <w:uiPriority w:val="99"/>
    <w:semiHidden/>
    <w:rsid w:val="007660BB"/>
    <w:rPr>
      <w:sz w:val="24"/>
      <w:szCs w:val="24"/>
      <w:lang w:eastAsia="en-US"/>
    </w:rPr>
  </w:style>
  <w:style w:type="paragraph" w:styleId="EndnoteText">
    <w:name w:val="endnote text"/>
    <w:basedOn w:val="Normal"/>
    <w:link w:val="EndnoteTextChar"/>
    <w:uiPriority w:val="99"/>
    <w:semiHidden/>
    <w:unhideWhenUsed/>
    <w:rsid w:val="00A3778B"/>
    <w:pPr>
      <w:spacing w:before="0" w:line="240" w:lineRule="auto"/>
    </w:pPr>
    <w:rPr>
      <w:sz w:val="20"/>
      <w:szCs w:val="20"/>
    </w:rPr>
  </w:style>
  <w:style w:type="character" w:customStyle="1" w:styleId="EndnoteTextChar">
    <w:name w:val="Endnote Text Char"/>
    <w:link w:val="EndnoteText"/>
    <w:uiPriority w:val="99"/>
    <w:semiHidden/>
    <w:rsid w:val="00A3778B"/>
    <w:rPr>
      <w:sz w:val="20"/>
      <w:szCs w:val="20"/>
    </w:rPr>
  </w:style>
  <w:style w:type="character" w:styleId="EndnoteReference">
    <w:name w:val="endnote reference"/>
    <w:uiPriority w:val="99"/>
    <w:semiHidden/>
    <w:unhideWhenUsed/>
    <w:rsid w:val="00A3778B"/>
    <w:rPr>
      <w:vertAlign w:val="superscript"/>
    </w:rPr>
  </w:style>
  <w:style w:type="paragraph" w:customStyle="1" w:styleId="Default">
    <w:name w:val="Default"/>
    <w:rsid w:val="00E45401"/>
    <w:pPr>
      <w:autoSpaceDE w:val="0"/>
      <w:autoSpaceDN w:val="0"/>
      <w:adjustRightInd w:val="0"/>
    </w:pPr>
    <w:rPr>
      <w:rFonts w:ascii="Calibri" w:hAnsi="Calibri" w:cs="Calibri"/>
      <w:color w:val="000000"/>
      <w:sz w:val="24"/>
      <w:szCs w:val="24"/>
      <w:lang w:eastAsia="en-US"/>
    </w:rPr>
  </w:style>
  <w:style w:type="paragraph" w:customStyle="1" w:styleId="04Tablesubheading">
    <w:name w:val="04 Table subheading"/>
    <w:qFormat/>
    <w:rsid w:val="00055F77"/>
    <w:pPr>
      <w:keepNext/>
      <w:spacing w:before="20"/>
      <w:ind w:left="57" w:right="57"/>
    </w:pPr>
    <w:rPr>
      <w:rFonts w:ascii="Arial Narrow" w:hAnsi="Arial Narrow"/>
      <w:b/>
      <w:sz w:val="18"/>
      <w:szCs w:val="24"/>
      <w:lang w:eastAsia="en-US"/>
    </w:rPr>
  </w:style>
  <w:style w:type="paragraph" w:customStyle="1" w:styleId="FooterwithLandscape">
    <w:name w:val="Footer with # Landscape"/>
    <w:qFormat/>
    <w:rsid w:val="006C71C1"/>
    <w:pPr>
      <w:pBdr>
        <w:top w:val="single" w:sz="4" w:space="1" w:color="auto"/>
      </w:pBdr>
      <w:tabs>
        <w:tab w:val="right" w:pos="14572"/>
      </w:tabs>
      <w:spacing w:before="240"/>
    </w:pPr>
    <w:rPr>
      <w:szCs w:val="24"/>
      <w:lang w:eastAsia="en-US"/>
    </w:rPr>
  </w:style>
  <w:style w:type="paragraph" w:customStyle="1" w:styleId="FooterwithPortrait">
    <w:name w:val="Footer with # Portrait"/>
    <w:basedOn w:val="FooterwithLandscape"/>
    <w:qFormat/>
    <w:rsid w:val="006C71C1"/>
    <w:pPr>
      <w:tabs>
        <w:tab w:val="clear" w:pos="14572"/>
        <w:tab w:val="right" w:pos="9639"/>
      </w:tabs>
    </w:pPr>
  </w:style>
  <w:style w:type="character" w:styleId="FollowedHyperlink">
    <w:name w:val="FollowedHyperlink"/>
    <w:uiPriority w:val="99"/>
    <w:semiHidden/>
    <w:unhideWhenUsed/>
    <w:rsid w:val="00916E6D"/>
    <w:rPr>
      <w:color w:val="800080"/>
      <w:u w:val="single"/>
    </w:rPr>
  </w:style>
  <w:style w:type="paragraph" w:customStyle="1" w:styleId="08Bulletsseriesofsentences">
    <w:name w:val="08. Bullets – series of sentences"/>
    <w:link w:val="08BulletsseriesofsentencesChar"/>
    <w:qFormat/>
    <w:rsid w:val="00325A2E"/>
    <w:pPr>
      <w:numPr>
        <w:numId w:val="6"/>
      </w:numPr>
      <w:spacing w:before="120"/>
      <w:ind w:left="357" w:hanging="357"/>
    </w:pPr>
    <w:rPr>
      <w:rFonts w:ascii="Garamond" w:hAnsi="Garamond"/>
      <w:sz w:val="24"/>
      <w:szCs w:val="22"/>
      <w:lang w:eastAsia="en-US"/>
    </w:rPr>
  </w:style>
  <w:style w:type="character" w:customStyle="1" w:styleId="08BulletsseriesofsentencesChar">
    <w:name w:val="08. Bullets – series of sentences Char"/>
    <w:link w:val="08Bulletsseriesofsentences"/>
    <w:rsid w:val="00325A2E"/>
    <w:rPr>
      <w:rFonts w:ascii="Garamond" w:hAnsi="Garamond"/>
      <w:sz w:val="24"/>
      <w:szCs w:val="22"/>
      <w:lang w:eastAsia="en-US"/>
    </w:rPr>
  </w:style>
  <w:style w:type="numbering" w:customStyle="1" w:styleId="NoList1">
    <w:name w:val="No List1"/>
    <w:next w:val="NoList"/>
    <w:uiPriority w:val="99"/>
    <w:semiHidden/>
    <w:unhideWhenUsed/>
    <w:rsid w:val="00B92CC9"/>
  </w:style>
  <w:style w:type="table" w:customStyle="1" w:styleId="TableGrid1">
    <w:name w:val="Table Grid1"/>
    <w:basedOn w:val="TableNormal"/>
    <w:next w:val="TableGrid"/>
    <w:uiPriority w:val="59"/>
    <w:rsid w:val="00B92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Pr>
    <w:trPr>
      <w:cantSplit/>
    </w:trPr>
    <w:tcPr>
      <w:shd w:val="clear" w:color="auto" w:fill="auto"/>
    </w:tcPr>
    <w:tblStylePr w:type="firstRow">
      <w:rPr>
        <w:color w:val="BFBFBF"/>
      </w:rPr>
      <w:tblPr/>
      <w:trPr>
        <w:tblHeader/>
      </w:trPr>
      <w:tcPr>
        <w:shd w:val="clear" w:color="auto" w:fill="BFBFBF"/>
      </w:tcPr>
    </w:tblStylePr>
  </w:style>
  <w:style w:type="numbering" w:customStyle="1" w:styleId="Numberedlist">
    <w:name w:val="Numbered list"/>
    <w:uiPriority w:val="99"/>
    <w:rsid w:val="00B92CC9"/>
    <w:pPr>
      <w:numPr>
        <w:numId w:val="7"/>
      </w:numPr>
    </w:pPr>
  </w:style>
  <w:style w:type="paragraph" w:styleId="ListParagraph">
    <w:name w:val="List Paragraph"/>
    <w:aliases w:val="Footnote,BulletPoints"/>
    <w:basedOn w:val="Normal"/>
    <w:link w:val="ListParagraphChar"/>
    <w:uiPriority w:val="72"/>
    <w:qFormat/>
    <w:rsid w:val="00B92CC9"/>
    <w:pPr>
      <w:ind w:left="720"/>
      <w:contextualSpacing/>
    </w:pPr>
  </w:style>
  <w:style w:type="numbering" w:styleId="111111">
    <w:name w:val="Outline List 2"/>
    <w:basedOn w:val="NoList"/>
    <w:uiPriority w:val="99"/>
    <w:semiHidden/>
    <w:unhideWhenUsed/>
    <w:rsid w:val="00B92CC9"/>
    <w:pPr>
      <w:numPr>
        <w:numId w:val="8"/>
      </w:numPr>
    </w:pPr>
  </w:style>
  <w:style w:type="character" w:styleId="Emphasis">
    <w:name w:val="Emphasis"/>
    <w:uiPriority w:val="20"/>
    <w:qFormat/>
    <w:rsid w:val="00B92CC9"/>
    <w:rPr>
      <w:i/>
      <w:iCs/>
    </w:rPr>
  </w:style>
  <w:style w:type="numbering" w:customStyle="1" w:styleId="NoList2">
    <w:name w:val="No List2"/>
    <w:next w:val="NoList"/>
    <w:uiPriority w:val="99"/>
    <w:semiHidden/>
    <w:unhideWhenUsed/>
    <w:rsid w:val="000E79FE"/>
  </w:style>
  <w:style w:type="table" w:customStyle="1" w:styleId="TableGrid2">
    <w:name w:val="Table Grid2"/>
    <w:basedOn w:val="TableNormal"/>
    <w:next w:val="TableGrid"/>
    <w:uiPriority w:val="59"/>
    <w:rsid w:val="000E7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Pr>
    <w:trPr>
      <w:cantSplit/>
    </w:trPr>
    <w:tcPr>
      <w:shd w:val="clear" w:color="auto" w:fill="auto"/>
    </w:tcPr>
    <w:tblStylePr w:type="firstRow">
      <w:rPr>
        <w:color w:val="BFBFBF"/>
      </w:rPr>
      <w:tblPr/>
      <w:trPr>
        <w:tblHeader/>
      </w:trPr>
      <w:tcPr>
        <w:shd w:val="clear" w:color="auto" w:fill="BFBFBF"/>
      </w:tcPr>
    </w:tblStylePr>
  </w:style>
  <w:style w:type="numbering" w:customStyle="1" w:styleId="Numberedlist1">
    <w:name w:val="Numbered list1"/>
    <w:uiPriority w:val="99"/>
    <w:rsid w:val="000E79FE"/>
    <w:pPr>
      <w:numPr>
        <w:numId w:val="4"/>
      </w:numPr>
    </w:pPr>
  </w:style>
  <w:style w:type="numbering" w:customStyle="1" w:styleId="1111111">
    <w:name w:val="1 / 1.1 / 1.1.11"/>
    <w:basedOn w:val="NoList"/>
    <w:next w:val="111111"/>
    <w:uiPriority w:val="99"/>
    <w:semiHidden/>
    <w:unhideWhenUsed/>
    <w:rsid w:val="000E79FE"/>
    <w:pPr>
      <w:numPr>
        <w:numId w:val="9"/>
      </w:numPr>
    </w:pPr>
  </w:style>
  <w:style w:type="paragraph" w:styleId="TOC4">
    <w:name w:val="toc 4"/>
    <w:basedOn w:val="Normal"/>
    <w:next w:val="Normal"/>
    <w:autoRedefine/>
    <w:uiPriority w:val="39"/>
    <w:unhideWhenUsed/>
    <w:rsid w:val="005F738E"/>
    <w:pPr>
      <w:tabs>
        <w:tab w:val="left" w:pos="1588"/>
        <w:tab w:val="right" w:leader="dot" w:pos="9639"/>
      </w:tabs>
      <w:ind w:left="680" w:right="567" w:hanging="680"/>
      <w:jc w:val="left"/>
    </w:pPr>
    <w:rPr>
      <w:rFonts w:eastAsia="Times New Roman"/>
      <w:szCs w:val="22"/>
      <w:lang w:eastAsia="en-AU"/>
    </w:rPr>
  </w:style>
  <w:style w:type="paragraph" w:styleId="TOC5">
    <w:name w:val="toc 5"/>
    <w:basedOn w:val="Normal"/>
    <w:next w:val="Normal"/>
    <w:autoRedefine/>
    <w:uiPriority w:val="39"/>
    <w:unhideWhenUsed/>
    <w:rsid w:val="00FA02B5"/>
    <w:pPr>
      <w:spacing w:before="0" w:after="100" w:line="259" w:lineRule="auto"/>
      <w:ind w:left="880"/>
      <w:jc w:val="left"/>
    </w:pPr>
    <w:rPr>
      <w:rFonts w:ascii="Calibri" w:eastAsia="Times New Roman" w:hAnsi="Calibri"/>
      <w:sz w:val="22"/>
      <w:szCs w:val="22"/>
      <w:lang w:eastAsia="en-AU"/>
    </w:rPr>
  </w:style>
  <w:style w:type="paragraph" w:styleId="TOC6">
    <w:name w:val="toc 6"/>
    <w:basedOn w:val="Normal"/>
    <w:next w:val="Normal"/>
    <w:autoRedefine/>
    <w:uiPriority w:val="39"/>
    <w:unhideWhenUsed/>
    <w:rsid w:val="00FA02B5"/>
    <w:pPr>
      <w:spacing w:before="0" w:after="100" w:line="259" w:lineRule="auto"/>
      <w:ind w:left="1100"/>
      <w:jc w:val="left"/>
    </w:pPr>
    <w:rPr>
      <w:rFonts w:ascii="Calibri" w:eastAsia="Times New Roman" w:hAnsi="Calibri"/>
      <w:sz w:val="22"/>
      <w:szCs w:val="22"/>
      <w:lang w:eastAsia="en-AU"/>
    </w:rPr>
  </w:style>
  <w:style w:type="paragraph" w:styleId="TOC7">
    <w:name w:val="toc 7"/>
    <w:basedOn w:val="Normal"/>
    <w:next w:val="Normal"/>
    <w:autoRedefine/>
    <w:uiPriority w:val="39"/>
    <w:unhideWhenUsed/>
    <w:rsid w:val="00FA02B5"/>
    <w:pPr>
      <w:spacing w:before="0" w:after="100" w:line="259" w:lineRule="auto"/>
      <w:ind w:left="1320"/>
      <w:jc w:val="left"/>
    </w:pPr>
    <w:rPr>
      <w:rFonts w:ascii="Calibri" w:eastAsia="Times New Roman" w:hAnsi="Calibri"/>
      <w:sz w:val="22"/>
      <w:szCs w:val="22"/>
      <w:lang w:eastAsia="en-AU"/>
    </w:rPr>
  </w:style>
  <w:style w:type="paragraph" w:styleId="TOC8">
    <w:name w:val="toc 8"/>
    <w:basedOn w:val="Normal"/>
    <w:next w:val="Normal"/>
    <w:autoRedefine/>
    <w:uiPriority w:val="39"/>
    <w:unhideWhenUsed/>
    <w:rsid w:val="00FA02B5"/>
    <w:pPr>
      <w:spacing w:before="0" w:after="100" w:line="259" w:lineRule="auto"/>
      <w:ind w:left="1540"/>
      <w:jc w:val="left"/>
    </w:pPr>
    <w:rPr>
      <w:rFonts w:ascii="Calibri" w:eastAsia="Times New Roman" w:hAnsi="Calibri"/>
      <w:sz w:val="22"/>
      <w:szCs w:val="22"/>
      <w:lang w:eastAsia="en-AU"/>
    </w:rPr>
  </w:style>
  <w:style w:type="paragraph" w:styleId="TOC9">
    <w:name w:val="toc 9"/>
    <w:basedOn w:val="Normal"/>
    <w:next w:val="Normal"/>
    <w:autoRedefine/>
    <w:uiPriority w:val="39"/>
    <w:unhideWhenUsed/>
    <w:rsid w:val="00FA02B5"/>
    <w:pPr>
      <w:spacing w:before="0" w:after="100" w:line="259" w:lineRule="auto"/>
      <w:ind w:left="1760"/>
      <w:jc w:val="left"/>
    </w:pPr>
    <w:rPr>
      <w:rFonts w:ascii="Calibri" w:eastAsia="Times New Roman" w:hAnsi="Calibri"/>
      <w:sz w:val="22"/>
      <w:szCs w:val="22"/>
      <w:lang w:eastAsia="en-AU"/>
    </w:rPr>
  </w:style>
  <w:style w:type="paragraph" w:customStyle="1" w:styleId="References">
    <w:name w:val="References"/>
    <w:qFormat/>
    <w:rsid w:val="004504BE"/>
    <w:pPr>
      <w:spacing w:before="80"/>
      <w:ind w:left="284" w:hanging="284"/>
    </w:pPr>
    <w:rPr>
      <w:sz w:val="18"/>
      <w:szCs w:val="24"/>
      <w:lang w:eastAsia="en-US"/>
    </w:rPr>
  </w:style>
  <w:style w:type="paragraph" w:styleId="NormalWeb">
    <w:name w:val="Normal (Web)"/>
    <w:basedOn w:val="Normal"/>
    <w:uiPriority w:val="99"/>
    <w:semiHidden/>
    <w:unhideWhenUsed/>
    <w:rsid w:val="009D3242"/>
    <w:pPr>
      <w:spacing w:before="100" w:beforeAutospacing="1" w:after="100" w:afterAutospacing="1" w:line="240" w:lineRule="auto"/>
      <w:jc w:val="left"/>
    </w:pPr>
    <w:rPr>
      <w:rFonts w:ascii="Times New Roman" w:eastAsia="Times New Roman" w:hAnsi="Times New Roman"/>
      <w:lang w:eastAsia="en-AU"/>
    </w:rPr>
  </w:style>
  <w:style w:type="character" w:styleId="IntenseEmphasis">
    <w:name w:val="Intense Emphasis"/>
    <w:basedOn w:val="DefaultParagraphFont"/>
    <w:uiPriority w:val="21"/>
    <w:qFormat/>
    <w:rsid w:val="00D32790"/>
    <w:rPr>
      <w:b/>
      <w:bCs/>
      <w:i/>
      <w:iCs/>
      <w:color w:val="4F81BD" w:themeColor="accent1"/>
    </w:rPr>
  </w:style>
  <w:style w:type="paragraph" w:styleId="Subtitle">
    <w:name w:val="Subtitle"/>
    <w:basedOn w:val="Normal"/>
    <w:next w:val="Normal"/>
    <w:link w:val="SubtitleChar"/>
    <w:qFormat/>
    <w:rsid w:val="00D32790"/>
    <w:pPr>
      <w:numPr>
        <w:ilvl w:val="1"/>
      </w:numPr>
      <w:spacing w:before="0" w:line="240" w:lineRule="auto"/>
      <w:jc w:val="left"/>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D32790"/>
    <w:rPr>
      <w:rFonts w:asciiTheme="majorHAnsi" w:eastAsiaTheme="majorEastAsia" w:hAnsiTheme="majorHAnsi" w:cstheme="majorBidi"/>
      <w:iCs/>
      <w:spacing w:val="15"/>
      <w:sz w:val="24"/>
      <w:szCs w:val="24"/>
      <w:lang w:eastAsia="en-US"/>
    </w:rPr>
  </w:style>
  <w:style w:type="character" w:customStyle="1" w:styleId="ListParagraphChar">
    <w:name w:val="List Paragraph Char"/>
    <w:aliases w:val="Footnote Char,BulletPoints Char"/>
    <w:basedOn w:val="DefaultParagraphFont"/>
    <w:link w:val="ListParagraph"/>
    <w:uiPriority w:val="72"/>
    <w:rsid w:val="00ED61E9"/>
    <w:rPr>
      <w:sz w:val="24"/>
      <w:szCs w:val="24"/>
      <w:lang w:eastAsia="en-US"/>
    </w:rPr>
  </w:style>
  <w:style w:type="paragraph" w:customStyle="1" w:styleId="ToR3Tableheader">
    <w:name w:val="ToR3 Table header"/>
    <w:basedOn w:val="Caption"/>
    <w:link w:val="ToR3TableheaderChar"/>
    <w:qFormat/>
    <w:rsid w:val="00DE5CAD"/>
  </w:style>
  <w:style w:type="paragraph" w:customStyle="1" w:styleId="ToR3Figureheader">
    <w:name w:val="ToR3 Figure header"/>
    <w:basedOn w:val="Caption"/>
    <w:link w:val="ToR3FigureheaderChar"/>
    <w:qFormat/>
    <w:rsid w:val="00E3610F"/>
  </w:style>
  <w:style w:type="character" w:customStyle="1" w:styleId="CaptionChar">
    <w:name w:val="Caption Char"/>
    <w:basedOn w:val="DefaultParagraphFont"/>
    <w:link w:val="Caption"/>
    <w:uiPriority w:val="35"/>
    <w:rsid w:val="00DE5CAD"/>
    <w:rPr>
      <w:rFonts w:ascii="Arial" w:hAnsi="Arial"/>
      <w:b/>
      <w:iCs/>
      <w:szCs w:val="18"/>
      <w:lang w:eastAsia="en-US"/>
    </w:rPr>
  </w:style>
  <w:style w:type="character" w:customStyle="1" w:styleId="ToR3TableheaderChar">
    <w:name w:val="ToR3 Table header Char"/>
    <w:basedOn w:val="CaptionChar"/>
    <w:link w:val="ToR3Tableheader"/>
    <w:rsid w:val="00DE5CAD"/>
    <w:rPr>
      <w:rFonts w:ascii="Arial" w:hAnsi="Arial"/>
      <w:b/>
      <w:iCs/>
      <w:szCs w:val="18"/>
      <w:lang w:eastAsia="en-US"/>
    </w:rPr>
  </w:style>
  <w:style w:type="character" w:customStyle="1" w:styleId="ToR3FigureheaderChar">
    <w:name w:val="ToR3 Figure header Char"/>
    <w:basedOn w:val="CaptionChar"/>
    <w:link w:val="ToR3Figureheader"/>
    <w:rsid w:val="00E3610F"/>
    <w:rPr>
      <w:rFonts w:ascii="Arial" w:hAnsi="Arial"/>
      <w:b/>
      <w:iCs/>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8E0"/>
    <w:pPr>
      <w:spacing w:before="120" w:line="276" w:lineRule="auto"/>
      <w:jc w:val="both"/>
    </w:pPr>
    <w:rPr>
      <w:sz w:val="24"/>
      <w:szCs w:val="24"/>
      <w:lang w:eastAsia="en-US"/>
    </w:rPr>
  </w:style>
  <w:style w:type="paragraph" w:styleId="Heading1">
    <w:name w:val="heading 1"/>
    <w:next w:val="BodyText"/>
    <w:link w:val="Heading1Char"/>
    <w:uiPriority w:val="9"/>
    <w:qFormat/>
    <w:rsid w:val="006068D9"/>
    <w:pPr>
      <w:pageBreakBefore/>
      <w:numPr>
        <w:numId w:val="10"/>
      </w:numPr>
      <w:spacing w:before="120" w:after="480"/>
      <w:jc w:val="center"/>
      <w:outlineLvl w:val="0"/>
    </w:pPr>
    <w:rPr>
      <w:rFonts w:eastAsia="Times New Roman"/>
      <w:b/>
      <w:color w:val="4F81BD"/>
      <w:sz w:val="36"/>
      <w:szCs w:val="32"/>
      <w:lang w:eastAsia="en-US"/>
    </w:rPr>
  </w:style>
  <w:style w:type="paragraph" w:styleId="Heading2">
    <w:name w:val="heading 2"/>
    <w:next w:val="BodyText"/>
    <w:link w:val="Heading2Char"/>
    <w:uiPriority w:val="9"/>
    <w:unhideWhenUsed/>
    <w:qFormat/>
    <w:rsid w:val="006068D9"/>
    <w:pPr>
      <w:keepNext/>
      <w:numPr>
        <w:ilvl w:val="1"/>
        <w:numId w:val="10"/>
      </w:numPr>
      <w:spacing w:before="360" w:line="276" w:lineRule="auto"/>
      <w:jc w:val="both"/>
      <w:outlineLvl w:val="1"/>
    </w:pPr>
    <w:rPr>
      <w:rFonts w:eastAsia="Times New Roman"/>
      <w:b/>
      <w:color w:val="4F81BD"/>
      <w:sz w:val="32"/>
      <w:szCs w:val="26"/>
      <w:lang w:eastAsia="en-US"/>
    </w:rPr>
  </w:style>
  <w:style w:type="paragraph" w:styleId="Heading3">
    <w:name w:val="heading 3"/>
    <w:next w:val="BodyText"/>
    <w:link w:val="Heading3Char"/>
    <w:uiPriority w:val="9"/>
    <w:unhideWhenUsed/>
    <w:qFormat/>
    <w:rsid w:val="006068D9"/>
    <w:pPr>
      <w:keepNext/>
      <w:numPr>
        <w:ilvl w:val="2"/>
        <w:numId w:val="10"/>
      </w:numPr>
      <w:spacing w:before="360" w:line="276" w:lineRule="auto"/>
      <w:jc w:val="both"/>
      <w:outlineLvl w:val="2"/>
    </w:pPr>
    <w:rPr>
      <w:rFonts w:eastAsia="Times New Roman"/>
      <w:b/>
      <w:i/>
      <w:sz w:val="30"/>
      <w:szCs w:val="24"/>
      <w:lang w:eastAsia="en-US"/>
    </w:rPr>
  </w:style>
  <w:style w:type="paragraph" w:styleId="Heading4">
    <w:name w:val="heading 4"/>
    <w:next w:val="BodyText"/>
    <w:link w:val="Heading4Char"/>
    <w:uiPriority w:val="9"/>
    <w:unhideWhenUsed/>
    <w:qFormat/>
    <w:rsid w:val="006068D9"/>
    <w:pPr>
      <w:keepNext/>
      <w:keepLines/>
      <w:numPr>
        <w:ilvl w:val="3"/>
        <w:numId w:val="10"/>
      </w:numPr>
      <w:spacing w:before="240" w:line="276" w:lineRule="auto"/>
      <w:jc w:val="both"/>
      <w:outlineLvl w:val="3"/>
    </w:pPr>
    <w:rPr>
      <w:rFonts w:eastAsia="Times New Roman"/>
      <w:b/>
      <w:iCs/>
      <w:sz w:val="24"/>
      <w:szCs w:val="24"/>
      <w:lang w:eastAsia="en-US"/>
    </w:rPr>
  </w:style>
  <w:style w:type="paragraph" w:styleId="Heading5">
    <w:name w:val="heading 5"/>
    <w:next w:val="BodyText"/>
    <w:link w:val="Heading5Char"/>
    <w:uiPriority w:val="9"/>
    <w:unhideWhenUsed/>
    <w:qFormat/>
    <w:rsid w:val="006068D9"/>
    <w:pPr>
      <w:keepNext/>
      <w:numPr>
        <w:ilvl w:val="4"/>
        <w:numId w:val="10"/>
      </w:numPr>
      <w:spacing w:before="120" w:line="276" w:lineRule="auto"/>
      <w:jc w:val="both"/>
      <w:outlineLvl w:val="4"/>
    </w:pPr>
    <w:rPr>
      <w:rFonts w:eastAsia="Times New Roman"/>
      <w:sz w:val="24"/>
      <w:szCs w:val="24"/>
      <w:u w:val="single"/>
      <w:lang w:eastAsia="en-US"/>
    </w:rPr>
  </w:style>
  <w:style w:type="paragraph" w:styleId="Heading6">
    <w:name w:val="heading 6"/>
    <w:next w:val="BodyText"/>
    <w:link w:val="Heading6Char"/>
    <w:uiPriority w:val="9"/>
    <w:unhideWhenUsed/>
    <w:qFormat/>
    <w:rsid w:val="006068D9"/>
    <w:pPr>
      <w:keepNext/>
      <w:keepLines/>
      <w:numPr>
        <w:ilvl w:val="5"/>
        <w:numId w:val="10"/>
      </w:numPr>
      <w:spacing w:before="40"/>
      <w:outlineLvl w:val="5"/>
    </w:pPr>
    <w:rPr>
      <w:rFonts w:ascii="Calibri" w:eastAsia="Times New Roman" w:hAnsi="Calibri"/>
      <w:i/>
      <w:sz w:val="24"/>
      <w:szCs w:val="24"/>
      <w:lang w:eastAsia="en-US"/>
    </w:rPr>
  </w:style>
  <w:style w:type="paragraph" w:styleId="Heading7">
    <w:name w:val="heading 7"/>
    <w:aliases w:val="App Heading 1"/>
    <w:next w:val="BodyText"/>
    <w:link w:val="Heading7Char"/>
    <w:uiPriority w:val="9"/>
    <w:unhideWhenUsed/>
    <w:qFormat/>
    <w:rsid w:val="006068D9"/>
    <w:pPr>
      <w:pageBreakBefore/>
      <w:numPr>
        <w:ilvl w:val="6"/>
        <w:numId w:val="10"/>
      </w:numPr>
      <w:tabs>
        <w:tab w:val="left" w:pos="2268"/>
      </w:tabs>
      <w:spacing w:after="360" w:line="276" w:lineRule="auto"/>
      <w:ind w:left="0"/>
      <w:jc w:val="both"/>
      <w:outlineLvl w:val="6"/>
    </w:pPr>
    <w:rPr>
      <w:rFonts w:eastAsia="Times New Roman"/>
      <w:b/>
      <w:iCs/>
      <w:color w:val="4F81BD"/>
      <w:sz w:val="36"/>
      <w:szCs w:val="24"/>
      <w:lang w:eastAsia="en-US"/>
    </w:rPr>
  </w:style>
  <w:style w:type="paragraph" w:styleId="Heading8">
    <w:name w:val="heading 8"/>
    <w:aliases w:val="App Heading 2"/>
    <w:next w:val="BodyText"/>
    <w:link w:val="Heading8Char"/>
    <w:uiPriority w:val="9"/>
    <w:unhideWhenUsed/>
    <w:qFormat/>
    <w:rsid w:val="006068D9"/>
    <w:pPr>
      <w:keepNext/>
      <w:numPr>
        <w:ilvl w:val="7"/>
        <w:numId w:val="10"/>
      </w:numPr>
      <w:tabs>
        <w:tab w:val="left" w:pos="851"/>
      </w:tabs>
      <w:spacing w:before="360" w:line="276" w:lineRule="auto"/>
      <w:jc w:val="both"/>
      <w:outlineLvl w:val="7"/>
    </w:pPr>
    <w:rPr>
      <w:rFonts w:eastAsia="Times New Roman"/>
      <w:color w:val="4F81BD"/>
      <w:sz w:val="32"/>
      <w:szCs w:val="21"/>
      <w:lang w:eastAsia="en-US"/>
    </w:rPr>
  </w:style>
  <w:style w:type="paragraph" w:styleId="Heading9">
    <w:name w:val="heading 9"/>
    <w:aliases w:val="App Heading 3"/>
    <w:next w:val="BodyText"/>
    <w:link w:val="Heading9Char"/>
    <w:uiPriority w:val="9"/>
    <w:unhideWhenUsed/>
    <w:qFormat/>
    <w:rsid w:val="006068D9"/>
    <w:pPr>
      <w:keepNext/>
      <w:numPr>
        <w:ilvl w:val="8"/>
        <w:numId w:val="10"/>
      </w:numPr>
      <w:tabs>
        <w:tab w:val="left" w:pos="851"/>
      </w:tabs>
      <w:spacing w:before="360" w:line="276" w:lineRule="auto"/>
      <w:jc w:val="both"/>
      <w:outlineLvl w:val="8"/>
    </w:pPr>
    <w:rPr>
      <w:rFonts w:eastAsia="Times New Roman"/>
      <w:b/>
      <w:i/>
      <w:iCs/>
      <w:color w:val="272727"/>
      <w:sz w:val="28"/>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52C9E"/>
    <w:rPr>
      <w:rFonts w:eastAsia="Times New Roman"/>
      <w:b/>
      <w:color w:val="4F81BD"/>
      <w:sz w:val="36"/>
      <w:szCs w:val="32"/>
      <w:lang w:eastAsia="en-US"/>
    </w:rPr>
  </w:style>
  <w:style w:type="paragraph" w:customStyle="1" w:styleId="ToR">
    <w:name w:val="ToR"/>
    <w:next w:val="BodyText"/>
    <w:qFormat/>
    <w:rsid w:val="003F03FF"/>
    <w:pPr>
      <w:tabs>
        <w:tab w:val="left" w:pos="794"/>
      </w:tabs>
      <w:spacing w:before="240" w:line="276" w:lineRule="auto"/>
      <w:jc w:val="both"/>
    </w:pPr>
    <w:rPr>
      <w:i/>
      <w:sz w:val="24"/>
      <w:szCs w:val="24"/>
      <w:lang w:eastAsia="en-US"/>
    </w:rPr>
  </w:style>
  <w:style w:type="paragraph" w:styleId="BodyText">
    <w:name w:val="Body Text"/>
    <w:link w:val="BodyTextChar"/>
    <w:uiPriority w:val="99"/>
    <w:unhideWhenUsed/>
    <w:rsid w:val="008E29BE"/>
    <w:pPr>
      <w:spacing w:before="240" w:line="276" w:lineRule="auto"/>
      <w:jc w:val="both"/>
    </w:pPr>
    <w:rPr>
      <w:sz w:val="24"/>
      <w:szCs w:val="24"/>
      <w:lang w:eastAsia="en-US"/>
    </w:rPr>
  </w:style>
  <w:style w:type="character" w:customStyle="1" w:styleId="BodyTextChar">
    <w:name w:val="Body Text Char"/>
    <w:basedOn w:val="DefaultParagraphFont"/>
    <w:link w:val="BodyText"/>
    <w:uiPriority w:val="99"/>
    <w:rsid w:val="008E29BE"/>
  </w:style>
  <w:style w:type="paragraph" w:customStyle="1" w:styleId="ToRsinboxwithhangingindent">
    <w:name w:val="ToRs in box with hanging indent"/>
    <w:qFormat/>
    <w:rsid w:val="005B5D2A"/>
    <w:pPr>
      <w:keepNext/>
      <w:pBdr>
        <w:top w:val="single" w:sz="4" w:space="8" w:color="auto"/>
        <w:left w:val="single" w:sz="4" w:space="4" w:color="auto"/>
        <w:bottom w:val="single" w:sz="4" w:space="8" w:color="auto"/>
        <w:right w:val="single" w:sz="4" w:space="4" w:color="auto"/>
      </w:pBdr>
      <w:shd w:val="clear" w:color="auto" w:fill="F2F2F2"/>
      <w:tabs>
        <w:tab w:val="left" w:pos="1304"/>
      </w:tabs>
      <w:spacing w:before="120" w:line="276" w:lineRule="auto"/>
      <w:ind w:left="1304" w:hanging="1304"/>
      <w:jc w:val="both"/>
    </w:pPr>
    <w:rPr>
      <w:sz w:val="24"/>
      <w:szCs w:val="24"/>
      <w:lang w:eastAsia="en-US"/>
    </w:rPr>
  </w:style>
  <w:style w:type="character" w:customStyle="1" w:styleId="Heading2Char">
    <w:name w:val="Heading 2 Char"/>
    <w:link w:val="Heading2"/>
    <w:uiPriority w:val="9"/>
    <w:rsid w:val="003D66A6"/>
    <w:rPr>
      <w:rFonts w:eastAsia="Times New Roman"/>
      <w:b/>
      <w:color w:val="4F81BD"/>
      <w:sz w:val="32"/>
      <w:szCs w:val="26"/>
      <w:lang w:eastAsia="en-US"/>
    </w:rPr>
  </w:style>
  <w:style w:type="paragraph" w:customStyle="1" w:styleId="ToRinbox">
    <w:name w:val="ToR in box"/>
    <w:basedOn w:val="ToRsinboxwithhangingindent"/>
    <w:qFormat/>
    <w:rsid w:val="00BB390F"/>
    <w:pPr>
      <w:pBdr>
        <w:top w:val="single" w:sz="4" w:space="6" w:color="auto"/>
        <w:bottom w:val="single" w:sz="4" w:space="6" w:color="auto"/>
      </w:pBdr>
      <w:tabs>
        <w:tab w:val="clear" w:pos="1304"/>
      </w:tabs>
      <w:ind w:left="0" w:firstLine="0"/>
    </w:pPr>
  </w:style>
  <w:style w:type="character" w:customStyle="1" w:styleId="Heading3Char">
    <w:name w:val="Heading 3 Char"/>
    <w:link w:val="Heading3"/>
    <w:uiPriority w:val="9"/>
    <w:rsid w:val="003D66A6"/>
    <w:rPr>
      <w:rFonts w:eastAsia="Times New Roman"/>
      <w:b/>
      <w:i/>
      <w:sz w:val="30"/>
      <w:szCs w:val="24"/>
      <w:lang w:eastAsia="en-US"/>
    </w:rPr>
  </w:style>
  <w:style w:type="paragraph" w:customStyle="1" w:styleId="Bullettext">
    <w:name w:val="Bullet text"/>
    <w:link w:val="BullettextChar"/>
    <w:qFormat/>
    <w:rsid w:val="00907F4C"/>
    <w:pPr>
      <w:numPr>
        <w:numId w:val="1"/>
      </w:numPr>
      <w:spacing w:before="120" w:line="276" w:lineRule="auto"/>
      <w:contextualSpacing/>
      <w:jc w:val="both"/>
    </w:pPr>
    <w:rPr>
      <w:sz w:val="24"/>
      <w:szCs w:val="24"/>
      <w:lang w:eastAsia="en-US"/>
    </w:rPr>
  </w:style>
  <w:style w:type="paragraph" w:customStyle="1" w:styleId="Bullettextsecondlevel">
    <w:name w:val="Bullet text second level"/>
    <w:qFormat/>
    <w:rsid w:val="00907F4C"/>
    <w:pPr>
      <w:numPr>
        <w:numId w:val="2"/>
      </w:numPr>
      <w:spacing w:line="276" w:lineRule="auto"/>
      <w:ind w:left="851" w:hanging="284"/>
      <w:jc w:val="both"/>
    </w:pPr>
    <w:rPr>
      <w:sz w:val="24"/>
      <w:szCs w:val="24"/>
      <w:lang w:eastAsia="en-US"/>
    </w:rPr>
  </w:style>
  <w:style w:type="character" w:customStyle="1" w:styleId="Heading4Char">
    <w:name w:val="Heading 4 Char"/>
    <w:link w:val="Heading4"/>
    <w:uiPriority w:val="9"/>
    <w:rsid w:val="00D866EC"/>
    <w:rPr>
      <w:rFonts w:eastAsia="Times New Roman"/>
      <w:b/>
      <w:iCs/>
      <w:sz w:val="24"/>
      <w:szCs w:val="24"/>
      <w:lang w:eastAsia="en-US"/>
    </w:rPr>
  </w:style>
  <w:style w:type="character" w:customStyle="1" w:styleId="Heading5Char">
    <w:name w:val="Heading 5 Char"/>
    <w:link w:val="Heading5"/>
    <w:uiPriority w:val="9"/>
    <w:rsid w:val="00D866EC"/>
    <w:rPr>
      <w:rFonts w:eastAsia="Times New Roman"/>
      <w:sz w:val="24"/>
      <w:szCs w:val="24"/>
      <w:u w:val="single"/>
      <w:lang w:eastAsia="en-US"/>
    </w:rPr>
  </w:style>
  <w:style w:type="paragraph" w:customStyle="1" w:styleId="BodyTextnospacebefore">
    <w:name w:val="Body Text – no space before"/>
    <w:next w:val="BodyText"/>
    <w:qFormat/>
    <w:rsid w:val="00D866EC"/>
    <w:pPr>
      <w:spacing w:line="276" w:lineRule="auto"/>
      <w:jc w:val="both"/>
    </w:pPr>
    <w:rPr>
      <w:sz w:val="24"/>
      <w:szCs w:val="24"/>
      <w:lang w:eastAsia="en-US"/>
    </w:rPr>
  </w:style>
  <w:style w:type="paragraph" w:styleId="TableofAuthorities">
    <w:name w:val="table of authorities"/>
    <w:basedOn w:val="Normal"/>
    <w:next w:val="Normal"/>
    <w:uiPriority w:val="99"/>
    <w:semiHidden/>
    <w:unhideWhenUsed/>
    <w:rsid w:val="00834197"/>
    <w:pPr>
      <w:ind w:left="240" w:hanging="240"/>
    </w:pPr>
  </w:style>
  <w:style w:type="paragraph" w:customStyle="1" w:styleId="05Tabletext">
    <w:name w:val="05 Table text"/>
    <w:next w:val="06Tabletextspacebefore"/>
    <w:qFormat/>
    <w:rsid w:val="005940CE"/>
    <w:pPr>
      <w:spacing w:before="20"/>
      <w:ind w:left="57" w:right="57"/>
    </w:pPr>
    <w:rPr>
      <w:rFonts w:ascii="Arial Narrow" w:hAnsi="Arial Narrow"/>
      <w:sz w:val="18"/>
      <w:szCs w:val="24"/>
      <w:lang w:eastAsia="en-US"/>
    </w:rPr>
  </w:style>
  <w:style w:type="table" w:styleId="TableGrid">
    <w:name w:val="Table Grid"/>
    <w:basedOn w:val="TableNormal"/>
    <w:uiPriority w:val="59"/>
    <w:rsid w:val="00E01A78"/>
    <w:rPr>
      <w:rFonts w:ascii="Arial Narrow" w:hAnsi="Arial Narrow"/>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Pr>
    <w:trPr>
      <w:cantSplit/>
    </w:trPr>
    <w:tcPr>
      <w:shd w:val="clear" w:color="auto" w:fill="auto"/>
    </w:tcPr>
    <w:tblStylePr w:type="firstRow">
      <w:tblPr/>
      <w:trPr>
        <w:tblHeader/>
      </w:trPr>
      <w:tcPr>
        <w:shd w:val="clear" w:color="auto" w:fill="BFBFBF"/>
      </w:tcPr>
    </w:tblStylePr>
  </w:style>
  <w:style w:type="paragraph" w:styleId="Caption">
    <w:name w:val="caption"/>
    <w:next w:val="05Tabletext"/>
    <w:link w:val="CaptionChar"/>
    <w:uiPriority w:val="35"/>
    <w:unhideWhenUsed/>
    <w:qFormat/>
    <w:rsid w:val="00C076F5"/>
    <w:pPr>
      <w:keepNext/>
      <w:tabs>
        <w:tab w:val="left" w:pos="1134"/>
      </w:tabs>
      <w:spacing w:before="240" w:after="40"/>
      <w:ind w:left="1134" w:hanging="1134"/>
      <w:jc w:val="both"/>
    </w:pPr>
    <w:rPr>
      <w:rFonts w:ascii="Arial" w:hAnsi="Arial"/>
      <w:b/>
      <w:iCs/>
      <w:szCs w:val="18"/>
      <w:lang w:eastAsia="en-US"/>
    </w:rPr>
  </w:style>
  <w:style w:type="paragraph" w:customStyle="1" w:styleId="06Tabletextspacebefore">
    <w:name w:val="06 Table text space before"/>
    <w:qFormat/>
    <w:rsid w:val="00055F77"/>
    <w:pPr>
      <w:spacing w:before="80"/>
      <w:ind w:left="57" w:right="57"/>
    </w:pPr>
    <w:rPr>
      <w:rFonts w:ascii="Arial Narrow" w:hAnsi="Arial Narrow"/>
      <w:sz w:val="18"/>
      <w:szCs w:val="24"/>
      <w:lang w:eastAsia="en-US"/>
    </w:rPr>
  </w:style>
  <w:style w:type="paragraph" w:customStyle="1" w:styleId="10TableorFigurefootnote">
    <w:name w:val="10 Table or Figure footnote"/>
    <w:qFormat/>
    <w:rsid w:val="0063506B"/>
    <w:pPr>
      <w:keepNext/>
    </w:pPr>
    <w:rPr>
      <w:rFonts w:ascii="Arial Narrow" w:hAnsi="Arial Narrow"/>
      <w:sz w:val="16"/>
      <w:szCs w:val="24"/>
      <w:lang w:eastAsia="en-US"/>
    </w:rPr>
  </w:style>
  <w:style w:type="paragraph" w:customStyle="1" w:styleId="11TableorFigurefootnotenostick">
    <w:name w:val="11 Table or Figure footnote – no stick"/>
    <w:next w:val="BodyText"/>
    <w:qFormat/>
    <w:rsid w:val="0099024A"/>
    <w:pPr>
      <w:spacing w:after="360"/>
    </w:pPr>
    <w:rPr>
      <w:rFonts w:ascii="Arial Narrow" w:hAnsi="Arial Narrow"/>
      <w:sz w:val="16"/>
      <w:szCs w:val="24"/>
      <w:lang w:eastAsia="en-US"/>
    </w:rPr>
  </w:style>
  <w:style w:type="paragraph" w:customStyle="1" w:styleId="01TableHEADINGleftaligned">
    <w:name w:val="01 Table HEADING left aligned"/>
    <w:basedOn w:val="BodyText"/>
    <w:qFormat/>
    <w:rsid w:val="003D0211"/>
    <w:pPr>
      <w:keepNext/>
      <w:spacing w:before="60" w:line="240" w:lineRule="auto"/>
      <w:ind w:left="57" w:right="57"/>
      <w:jc w:val="left"/>
    </w:pPr>
    <w:rPr>
      <w:rFonts w:ascii="Arial Narrow" w:hAnsi="Arial Narrow"/>
      <w:b/>
      <w:sz w:val="18"/>
    </w:rPr>
  </w:style>
  <w:style w:type="paragraph" w:customStyle="1" w:styleId="02TableHEADINGcentred">
    <w:name w:val="02 Table HEADING centred"/>
    <w:qFormat/>
    <w:rsid w:val="009800DE"/>
    <w:pPr>
      <w:keepNext/>
      <w:spacing w:before="60"/>
      <w:ind w:left="57" w:right="57"/>
      <w:jc w:val="center"/>
    </w:pPr>
    <w:rPr>
      <w:rFonts w:ascii="Arial Narrow" w:hAnsi="Arial Narrow"/>
      <w:b/>
      <w:sz w:val="18"/>
      <w:szCs w:val="24"/>
      <w:lang w:eastAsia="en-US"/>
    </w:rPr>
  </w:style>
  <w:style w:type="paragraph" w:customStyle="1" w:styleId="09Tablerightaligned">
    <w:name w:val="09 Table right aligned ($)"/>
    <w:qFormat/>
    <w:rsid w:val="00E01A78"/>
    <w:pPr>
      <w:spacing w:before="20"/>
      <w:ind w:left="57" w:right="170"/>
      <w:jc w:val="right"/>
    </w:pPr>
    <w:rPr>
      <w:rFonts w:ascii="Arial Narrow" w:hAnsi="Arial Narrow"/>
      <w:sz w:val="18"/>
      <w:szCs w:val="24"/>
      <w:lang w:eastAsia="en-US"/>
    </w:rPr>
  </w:style>
  <w:style w:type="paragraph" w:customStyle="1" w:styleId="07Tablebullet">
    <w:name w:val="07 Table bullet"/>
    <w:qFormat/>
    <w:rsid w:val="0029750E"/>
    <w:pPr>
      <w:numPr>
        <w:numId w:val="3"/>
      </w:numPr>
      <w:ind w:left="227" w:right="57" w:hanging="170"/>
    </w:pPr>
    <w:rPr>
      <w:rFonts w:ascii="Arial Narrow" w:hAnsi="Arial Narrow"/>
      <w:sz w:val="18"/>
      <w:szCs w:val="24"/>
      <w:lang w:eastAsia="en-US"/>
    </w:rPr>
  </w:style>
  <w:style w:type="numbering" w:customStyle="1" w:styleId="Headings">
    <w:name w:val="Headings"/>
    <w:uiPriority w:val="99"/>
    <w:rsid w:val="006068D9"/>
    <w:pPr>
      <w:numPr>
        <w:numId w:val="37"/>
      </w:numPr>
    </w:pPr>
  </w:style>
  <w:style w:type="paragraph" w:styleId="TOC2">
    <w:name w:val="toc 2"/>
    <w:basedOn w:val="Normal"/>
    <w:next w:val="Normal"/>
    <w:autoRedefine/>
    <w:uiPriority w:val="39"/>
    <w:unhideWhenUsed/>
    <w:rsid w:val="00515169"/>
    <w:pPr>
      <w:tabs>
        <w:tab w:val="left" w:pos="1134"/>
        <w:tab w:val="right" w:leader="dot" w:pos="9628"/>
      </w:tabs>
      <w:spacing w:before="60"/>
      <w:ind w:left="1134" w:right="567" w:hanging="567"/>
      <w:jc w:val="left"/>
    </w:pPr>
  </w:style>
  <w:style w:type="paragraph" w:styleId="TOC1">
    <w:name w:val="toc 1"/>
    <w:autoRedefine/>
    <w:uiPriority w:val="39"/>
    <w:unhideWhenUsed/>
    <w:rsid w:val="00BA0380"/>
    <w:pPr>
      <w:tabs>
        <w:tab w:val="right" w:leader="dot" w:pos="9628"/>
      </w:tabs>
      <w:spacing w:before="120" w:line="276" w:lineRule="auto"/>
      <w:ind w:left="1134" w:right="567" w:hanging="1134"/>
    </w:pPr>
    <w:rPr>
      <w:noProof/>
      <w:sz w:val="24"/>
      <w:szCs w:val="24"/>
      <w:lang w:eastAsia="en-US"/>
    </w:rPr>
  </w:style>
  <w:style w:type="paragraph" w:styleId="TOC3">
    <w:name w:val="toc 3"/>
    <w:basedOn w:val="Normal"/>
    <w:next w:val="Normal"/>
    <w:autoRedefine/>
    <w:uiPriority w:val="39"/>
    <w:unhideWhenUsed/>
    <w:rsid w:val="00150D82"/>
    <w:pPr>
      <w:tabs>
        <w:tab w:val="left" w:pos="1320"/>
        <w:tab w:val="right" w:leader="dot" w:pos="9628"/>
      </w:tabs>
      <w:spacing w:before="0"/>
      <w:ind w:left="1701" w:right="567" w:hanging="567"/>
      <w:jc w:val="left"/>
    </w:pPr>
  </w:style>
  <w:style w:type="character" w:styleId="Hyperlink">
    <w:name w:val="Hyperlink"/>
    <w:uiPriority w:val="99"/>
    <w:unhideWhenUsed/>
    <w:rsid w:val="00663CBC"/>
    <w:rPr>
      <w:color w:val="0000FF"/>
      <w:u w:val="single"/>
    </w:rPr>
  </w:style>
  <w:style w:type="paragraph" w:styleId="TOCHeading">
    <w:name w:val="TOC Heading"/>
    <w:next w:val="BodyText"/>
    <w:uiPriority w:val="39"/>
    <w:unhideWhenUsed/>
    <w:qFormat/>
    <w:rsid w:val="001C5235"/>
    <w:pPr>
      <w:pageBreakBefore/>
      <w:spacing w:before="360" w:after="360" w:line="276" w:lineRule="auto"/>
      <w:jc w:val="center"/>
    </w:pPr>
    <w:rPr>
      <w:rFonts w:eastAsia="Times New Roman"/>
      <w:b/>
      <w:color w:val="4F81BD"/>
      <w:sz w:val="40"/>
      <w:szCs w:val="32"/>
      <w:lang w:eastAsia="en-US"/>
    </w:rPr>
  </w:style>
  <w:style w:type="character" w:styleId="CommentReference">
    <w:name w:val="annotation reference"/>
    <w:aliases w:val="Table Title"/>
    <w:uiPriority w:val="99"/>
    <w:unhideWhenUsed/>
    <w:qFormat/>
    <w:rsid w:val="007C6357"/>
    <w:rPr>
      <w:sz w:val="16"/>
      <w:szCs w:val="16"/>
    </w:rPr>
  </w:style>
  <w:style w:type="paragraph" w:styleId="CommentText">
    <w:name w:val="annotation text"/>
    <w:basedOn w:val="Normal"/>
    <w:link w:val="CommentTextChar"/>
    <w:unhideWhenUsed/>
    <w:rsid w:val="007C6357"/>
    <w:pPr>
      <w:spacing w:line="240" w:lineRule="auto"/>
    </w:pPr>
    <w:rPr>
      <w:sz w:val="20"/>
      <w:szCs w:val="20"/>
    </w:rPr>
  </w:style>
  <w:style w:type="character" w:customStyle="1" w:styleId="CommentTextChar">
    <w:name w:val="Comment Text Char"/>
    <w:link w:val="CommentText"/>
    <w:rsid w:val="007C6357"/>
    <w:rPr>
      <w:sz w:val="20"/>
      <w:szCs w:val="20"/>
    </w:rPr>
  </w:style>
  <w:style w:type="paragraph" w:styleId="CommentSubject">
    <w:name w:val="annotation subject"/>
    <w:basedOn w:val="CommentText"/>
    <w:next w:val="CommentText"/>
    <w:link w:val="CommentSubjectChar"/>
    <w:uiPriority w:val="99"/>
    <w:semiHidden/>
    <w:unhideWhenUsed/>
    <w:rsid w:val="007C6357"/>
    <w:rPr>
      <w:b/>
      <w:bCs/>
    </w:rPr>
  </w:style>
  <w:style w:type="character" w:customStyle="1" w:styleId="CommentSubjectChar">
    <w:name w:val="Comment Subject Char"/>
    <w:link w:val="CommentSubject"/>
    <w:uiPriority w:val="99"/>
    <w:semiHidden/>
    <w:rsid w:val="007C6357"/>
    <w:rPr>
      <w:b/>
      <w:bCs/>
      <w:sz w:val="20"/>
      <w:szCs w:val="20"/>
    </w:rPr>
  </w:style>
  <w:style w:type="paragraph" w:styleId="BalloonText">
    <w:name w:val="Balloon Text"/>
    <w:basedOn w:val="Normal"/>
    <w:link w:val="BalloonTextChar"/>
    <w:uiPriority w:val="99"/>
    <w:semiHidden/>
    <w:unhideWhenUsed/>
    <w:rsid w:val="007C6357"/>
    <w:pPr>
      <w:spacing w:before="0" w:line="240" w:lineRule="auto"/>
    </w:pPr>
    <w:rPr>
      <w:rFonts w:ascii="Segoe UI" w:hAnsi="Segoe UI" w:cs="Segoe UI"/>
      <w:sz w:val="18"/>
      <w:szCs w:val="18"/>
    </w:rPr>
  </w:style>
  <w:style w:type="character" w:customStyle="1" w:styleId="BalloonTextChar">
    <w:name w:val="Balloon Text Char"/>
    <w:link w:val="BalloonText"/>
    <w:uiPriority w:val="99"/>
    <w:semiHidden/>
    <w:rsid w:val="007C6357"/>
    <w:rPr>
      <w:rFonts w:ascii="Segoe UI" w:hAnsi="Segoe UI" w:cs="Segoe UI"/>
      <w:sz w:val="18"/>
      <w:szCs w:val="18"/>
    </w:rPr>
  </w:style>
  <w:style w:type="paragraph" w:customStyle="1" w:styleId="Picturewithbox">
    <w:name w:val="Picture with box"/>
    <w:next w:val="11TableorFigurefootnotenostick"/>
    <w:qFormat/>
    <w:rsid w:val="00C076F5"/>
    <w:pPr>
      <w:pBdr>
        <w:top w:val="single" w:sz="4" w:space="4" w:color="auto"/>
        <w:left w:val="single" w:sz="4" w:space="0" w:color="auto"/>
        <w:bottom w:val="single" w:sz="4" w:space="4" w:color="auto"/>
        <w:right w:val="single" w:sz="4" w:space="0" w:color="auto"/>
      </w:pBdr>
      <w:jc w:val="center"/>
    </w:pPr>
    <w:rPr>
      <w:sz w:val="24"/>
      <w:szCs w:val="24"/>
      <w:lang w:eastAsia="en-US"/>
    </w:rPr>
  </w:style>
  <w:style w:type="paragraph" w:styleId="TableofFigures">
    <w:name w:val="table of figures"/>
    <w:aliases w:val="- TOC for list of Figures or Tables"/>
    <w:uiPriority w:val="99"/>
    <w:unhideWhenUsed/>
    <w:rsid w:val="00A54385"/>
    <w:pPr>
      <w:ind w:left="1418" w:right="567" w:hanging="1418"/>
    </w:pPr>
    <w:rPr>
      <w:sz w:val="24"/>
      <w:szCs w:val="24"/>
      <w:lang w:eastAsia="en-US"/>
    </w:rPr>
  </w:style>
  <w:style w:type="paragraph" w:customStyle="1" w:styleId="Titlepage">
    <w:name w:val="Title page"/>
    <w:qFormat/>
    <w:rsid w:val="005B5D2A"/>
    <w:pPr>
      <w:spacing w:before="120" w:line="276" w:lineRule="auto"/>
      <w:jc w:val="center"/>
    </w:pPr>
    <w:rPr>
      <w:sz w:val="40"/>
      <w:szCs w:val="40"/>
      <w:lang w:eastAsia="en-US"/>
    </w:rPr>
  </w:style>
  <w:style w:type="character" w:customStyle="1" w:styleId="Heading6Char">
    <w:name w:val="Heading 6 Char"/>
    <w:link w:val="Heading6"/>
    <w:uiPriority w:val="9"/>
    <w:rsid w:val="0088224C"/>
    <w:rPr>
      <w:rFonts w:ascii="Calibri" w:eastAsia="Times New Roman" w:hAnsi="Calibri"/>
      <w:i/>
      <w:sz w:val="24"/>
      <w:szCs w:val="24"/>
      <w:lang w:eastAsia="en-US"/>
    </w:rPr>
  </w:style>
  <w:style w:type="character" w:customStyle="1" w:styleId="Heading7Char">
    <w:name w:val="Heading 7 Char"/>
    <w:aliases w:val="App Heading 1 Char"/>
    <w:link w:val="Heading7"/>
    <w:uiPriority w:val="9"/>
    <w:rsid w:val="00683D01"/>
    <w:rPr>
      <w:rFonts w:eastAsia="Times New Roman"/>
      <w:b/>
      <w:iCs/>
      <w:color w:val="4F81BD"/>
      <w:sz w:val="36"/>
      <w:szCs w:val="24"/>
      <w:lang w:eastAsia="en-US"/>
    </w:rPr>
  </w:style>
  <w:style w:type="character" w:customStyle="1" w:styleId="Heading8Char">
    <w:name w:val="Heading 8 Char"/>
    <w:aliases w:val="App Heading 2 Char"/>
    <w:link w:val="Heading8"/>
    <w:uiPriority w:val="9"/>
    <w:rsid w:val="00916C10"/>
    <w:rPr>
      <w:rFonts w:eastAsia="Times New Roman"/>
      <w:color w:val="4F81BD"/>
      <w:sz w:val="32"/>
      <w:szCs w:val="21"/>
      <w:lang w:eastAsia="en-US"/>
    </w:rPr>
  </w:style>
  <w:style w:type="character" w:customStyle="1" w:styleId="Heading9Char">
    <w:name w:val="Heading 9 Char"/>
    <w:aliases w:val="App Heading 3 Char"/>
    <w:link w:val="Heading9"/>
    <w:uiPriority w:val="9"/>
    <w:rsid w:val="00343EB1"/>
    <w:rPr>
      <w:rFonts w:eastAsia="Times New Roman"/>
      <w:b/>
      <w:i/>
      <w:iCs/>
      <w:color w:val="272727"/>
      <w:sz w:val="28"/>
      <w:szCs w:val="21"/>
      <w:lang w:eastAsia="en-US"/>
    </w:rPr>
  </w:style>
  <w:style w:type="paragraph" w:styleId="Footer">
    <w:name w:val="footer"/>
    <w:link w:val="FooterChar"/>
    <w:uiPriority w:val="99"/>
    <w:unhideWhenUsed/>
    <w:rsid w:val="006C71C1"/>
    <w:pPr>
      <w:pBdr>
        <w:top w:val="single" w:sz="4" w:space="1" w:color="auto"/>
      </w:pBdr>
    </w:pPr>
    <w:rPr>
      <w:szCs w:val="24"/>
      <w:lang w:eastAsia="en-US"/>
    </w:rPr>
  </w:style>
  <w:style w:type="paragraph" w:styleId="Header">
    <w:name w:val="header"/>
    <w:link w:val="HeaderChar"/>
    <w:uiPriority w:val="99"/>
    <w:unhideWhenUsed/>
    <w:rsid w:val="008D13CD"/>
    <w:pPr>
      <w:pBdr>
        <w:bottom w:val="single" w:sz="4" w:space="1" w:color="auto"/>
      </w:pBdr>
      <w:tabs>
        <w:tab w:val="center" w:pos="4513"/>
        <w:tab w:val="right" w:pos="9026"/>
      </w:tabs>
      <w:spacing w:after="240"/>
    </w:pPr>
    <w:rPr>
      <w:szCs w:val="24"/>
      <w:lang w:eastAsia="en-US"/>
    </w:rPr>
  </w:style>
  <w:style w:type="character" w:customStyle="1" w:styleId="HeaderChar">
    <w:name w:val="Header Char"/>
    <w:link w:val="Header"/>
    <w:uiPriority w:val="99"/>
    <w:rsid w:val="008D13CD"/>
    <w:rPr>
      <w:sz w:val="20"/>
    </w:rPr>
  </w:style>
  <w:style w:type="character" w:customStyle="1" w:styleId="FooterChar">
    <w:name w:val="Footer Char"/>
    <w:link w:val="Footer"/>
    <w:uiPriority w:val="99"/>
    <w:rsid w:val="006C71C1"/>
    <w:rPr>
      <w:szCs w:val="24"/>
      <w:lang w:eastAsia="en-US"/>
    </w:rPr>
  </w:style>
  <w:style w:type="character" w:customStyle="1" w:styleId="BullettextChar">
    <w:name w:val="Bullet text Char"/>
    <w:link w:val="Bullettext"/>
    <w:rsid w:val="00DA3D12"/>
    <w:rPr>
      <w:sz w:val="24"/>
      <w:szCs w:val="24"/>
      <w:lang w:eastAsia="en-US"/>
    </w:rPr>
  </w:style>
  <w:style w:type="paragraph" w:styleId="FootnoteText">
    <w:name w:val="footnote text"/>
    <w:basedOn w:val="Normal"/>
    <w:link w:val="FootnoteTextChar"/>
    <w:uiPriority w:val="99"/>
    <w:unhideWhenUsed/>
    <w:rsid w:val="00CC24F3"/>
    <w:pPr>
      <w:spacing w:before="0" w:line="240" w:lineRule="auto"/>
      <w:jc w:val="left"/>
    </w:pPr>
    <w:rPr>
      <w:rFonts w:ascii="Arial Narrow" w:hAnsi="Arial Narrow"/>
      <w:sz w:val="18"/>
      <w:szCs w:val="20"/>
    </w:rPr>
  </w:style>
  <w:style w:type="character" w:customStyle="1" w:styleId="FootnoteTextChar">
    <w:name w:val="Footnote Text Char"/>
    <w:link w:val="FootnoteText"/>
    <w:uiPriority w:val="99"/>
    <w:rsid w:val="00CC24F3"/>
    <w:rPr>
      <w:rFonts w:ascii="Arial Narrow" w:hAnsi="Arial Narrow"/>
      <w:sz w:val="18"/>
      <w:lang w:eastAsia="en-US"/>
    </w:rPr>
  </w:style>
  <w:style w:type="paragraph" w:styleId="TOAHeading">
    <w:name w:val="toa heading"/>
    <w:basedOn w:val="Normal"/>
    <w:next w:val="Normal"/>
    <w:uiPriority w:val="99"/>
    <w:semiHidden/>
    <w:unhideWhenUsed/>
    <w:rsid w:val="00834197"/>
    <w:rPr>
      <w:rFonts w:asciiTheme="majorHAnsi" w:eastAsiaTheme="majorEastAsia" w:hAnsiTheme="majorHAnsi" w:cstheme="majorBidi"/>
      <w:b/>
      <w:bCs/>
    </w:rPr>
  </w:style>
  <w:style w:type="paragraph" w:customStyle="1" w:styleId="TableorFigurefootnote">
    <w:name w:val="Table or Figure footnote"/>
    <w:next w:val="BodyText"/>
    <w:qFormat/>
    <w:rsid w:val="00ED6106"/>
    <w:pPr>
      <w:spacing w:after="240"/>
      <w:contextualSpacing/>
    </w:pPr>
    <w:rPr>
      <w:rFonts w:ascii="Garamond" w:hAnsi="Garamond"/>
      <w:sz w:val="16"/>
      <w:szCs w:val="22"/>
      <w:lang w:eastAsia="en-US"/>
    </w:rPr>
  </w:style>
  <w:style w:type="character" w:styleId="FootnoteReference">
    <w:name w:val="footnote reference"/>
    <w:uiPriority w:val="99"/>
    <w:unhideWhenUsed/>
    <w:rsid w:val="00A332EB"/>
    <w:rPr>
      <w:vertAlign w:val="superscript"/>
    </w:rPr>
  </w:style>
  <w:style w:type="paragraph" w:customStyle="1" w:styleId="08Tablebulletsecondlevel">
    <w:name w:val="08 Table bullet second level"/>
    <w:qFormat/>
    <w:rsid w:val="0029750E"/>
    <w:pPr>
      <w:numPr>
        <w:numId w:val="5"/>
      </w:numPr>
      <w:ind w:left="397" w:hanging="170"/>
    </w:pPr>
    <w:rPr>
      <w:rFonts w:ascii="Arial Narrow" w:hAnsi="Arial Narrow"/>
      <w:sz w:val="18"/>
      <w:szCs w:val="24"/>
      <w:lang w:eastAsia="en-US"/>
    </w:rPr>
  </w:style>
  <w:style w:type="paragraph" w:customStyle="1" w:styleId="03TableHEADINGrightaligned">
    <w:name w:val="03 Table HEADING right aligned ($)"/>
    <w:qFormat/>
    <w:rsid w:val="00241406"/>
    <w:pPr>
      <w:keepNext/>
      <w:spacing w:before="60"/>
      <w:ind w:left="57" w:right="170"/>
      <w:jc w:val="right"/>
    </w:pPr>
    <w:rPr>
      <w:rFonts w:ascii="Arial Narrow" w:hAnsi="Arial Narrow"/>
      <w:b/>
      <w:sz w:val="18"/>
      <w:szCs w:val="24"/>
      <w:lang w:eastAsia="en-US"/>
    </w:rPr>
  </w:style>
  <w:style w:type="paragraph" w:styleId="Revision">
    <w:name w:val="Revision"/>
    <w:hidden/>
    <w:uiPriority w:val="99"/>
    <w:semiHidden/>
    <w:rsid w:val="007660BB"/>
    <w:rPr>
      <w:sz w:val="24"/>
      <w:szCs w:val="24"/>
      <w:lang w:eastAsia="en-US"/>
    </w:rPr>
  </w:style>
  <w:style w:type="paragraph" w:styleId="EndnoteText">
    <w:name w:val="endnote text"/>
    <w:basedOn w:val="Normal"/>
    <w:link w:val="EndnoteTextChar"/>
    <w:uiPriority w:val="99"/>
    <w:semiHidden/>
    <w:unhideWhenUsed/>
    <w:rsid w:val="00A3778B"/>
    <w:pPr>
      <w:spacing w:before="0" w:line="240" w:lineRule="auto"/>
    </w:pPr>
    <w:rPr>
      <w:sz w:val="20"/>
      <w:szCs w:val="20"/>
    </w:rPr>
  </w:style>
  <w:style w:type="character" w:customStyle="1" w:styleId="EndnoteTextChar">
    <w:name w:val="Endnote Text Char"/>
    <w:link w:val="EndnoteText"/>
    <w:uiPriority w:val="99"/>
    <w:semiHidden/>
    <w:rsid w:val="00A3778B"/>
    <w:rPr>
      <w:sz w:val="20"/>
      <w:szCs w:val="20"/>
    </w:rPr>
  </w:style>
  <w:style w:type="character" w:styleId="EndnoteReference">
    <w:name w:val="endnote reference"/>
    <w:uiPriority w:val="99"/>
    <w:semiHidden/>
    <w:unhideWhenUsed/>
    <w:rsid w:val="00A3778B"/>
    <w:rPr>
      <w:vertAlign w:val="superscript"/>
    </w:rPr>
  </w:style>
  <w:style w:type="paragraph" w:customStyle="1" w:styleId="Default">
    <w:name w:val="Default"/>
    <w:rsid w:val="00E45401"/>
    <w:pPr>
      <w:autoSpaceDE w:val="0"/>
      <w:autoSpaceDN w:val="0"/>
      <w:adjustRightInd w:val="0"/>
    </w:pPr>
    <w:rPr>
      <w:rFonts w:ascii="Calibri" w:hAnsi="Calibri" w:cs="Calibri"/>
      <w:color w:val="000000"/>
      <w:sz w:val="24"/>
      <w:szCs w:val="24"/>
      <w:lang w:eastAsia="en-US"/>
    </w:rPr>
  </w:style>
  <w:style w:type="paragraph" w:customStyle="1" w:styleId="04Tablesubheading">
    <w:name w:val="04 Table subheading"/>
    <w:qFormat/>
    <w:rsid w:val="00055F77"/>
    <w:pPr>
      <w:keepNext/>
      <w:spacing w:before="20"/>
      <w:ind w:left="57" w:right="57"/>
    </w:pPr>
    <w:rPr>
      <w:rFonts w:ascii="Arial Narrow" w:hAnsi="Arial Narrow"/>
      <w:b/>
      <w:sz w:val="18"/>
      <w:szCs w:val="24"/>
      <w:lang w:eastAsia="en-US"/>
    </w:rPr>
  </w:style>
  <w:style w:type="paragraph" w:customStyle="1" w:styleId="FooterwithLandscape">
    <w:name w:val="Footer with # Landscape"/>
    <w:qFormat/>
    <w:rsid w:val="006C71C1"/>
    <w:pPr>
      <w:pBdr>
        <w:top w:val="single" w:sz="4" w:space="1" w:color="auto"/>
      </w:pBdr>
      <w:tabs>
        <w:tab w:val="right" w:pos="14572"/>
      </w:tabs>
      <w:spacing w:before="240"/>
    </w:pPr>
    <w:rPr>
      <w:szCs w:val="24"/>
      <w:lang w:eastAsia="en-US"/>
    </w:rPr>
  </w:style>
  <w:style w:type="paragraph" w:customStyle="1" w:styleId="FooterwithPortrait">
    <w:name w:val="Footer with # Portrait"/>
    <w:basedOn w:val="FooterwithLandscape"/>
    <w:qFormat/>
    <w:rsid w:val="006C71C1"/>
    <w:pPr>
      <w:tabs>
        <w:tab w:val="clear" w:pos="14572"/>
        <w:tab w:val="right" w:pos="9639"/>
      </w:tabs>
    </w:pPr>
  </w:style>
  <w:style w:type="character" w:styleId="FollowedHyperlink">
    <w:name w:val="FollowedHyperlink"/>
    <w:uiPriority w:val="99"/>
    <w:semiHidden/>
    <w:unhideWhenUsed/>
    <w:rsid w:val="00916E6D"/>
    <w:rPr>
      <w:color w:val="800080"/>
      <w:u w:val="single"/>
    </w:rPr>
  </w:style>
  <w:style w:type="paragraph" w:customStyle="1" w:styleId="08Bulletsseriesofsentences">
    <w:name w:val="08. Bullets – series of sentences"/>
    <w:link w:val="08BulletsseriesofsentencesChar"/>
    <w:qFormat/>
    <w:rsid w:val="00325A2E"/>
    <w:pPr>
      <w:numPr>
        <w:numId w:val="6"/>
      </w:numPr>
      <w:spacing w:before="120"/>
      <w:ind w:left="357" w:hanging="357"/>
    </w:pPr>
    <w:rPr>
      <w:rFonts w:ascii="Garamond" w:hAnsi="Garamond"/>
      <w:sz w:val="24"/>
      <w:szCs w:val="22"/>
      <w:lang w:eastAsia="en-US"/>
    </w:rPr>
  </w:style>
  <w:style w:type="character" w:customStyle="1" w:styleId="08BulletsseriesofsentencesChar">
    <w:name w:val="08. Bullets – series of sentences Char"/>
    <w:link w:val="08Bulletsseriesofsentences"/>
    <w:rsid w:val="00325A2E"/>
    <w:rPr>
      <w:rFonts w:ascii="Garamond" w:hAnsi="Garamond"/>
      <w:sz w:val="24"/>
      <w:szCs w:val="22"/>
      <w:lang w:eastAsia="en-US"/>
    </w:rPr>
  </w:style>
  <w:style w:type="numbering" w:customStyle="1" w:styleId="NoList1">
    <w:name w:val="No List1"/>
    <w:next w:val="NoList"/>
    <w:uiPriority w:val="99"/>
    <w:semiHidden/>
    <w:unhideWhenUsed/>
    <w:rsid w:val="00B92CC9"/>
  </w:style>
  <w:style w:type="table" w:customStyle="1" w:styleId="TableGrid1">
    <w:name w:val="Table Grid1"/>
    <w:basedOn w:val="TableNormal"/>
    <w:next w:val="TableGrid"/>
    <w:uiPriority w:val="59"/>
    <w:rsid w:val="00B92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Pr>
    <w:trPr>
      <w:cantSplit/>
    </w:trPr>
    <w:tcPr>
      <w:shd w:val="clear" w:color="auto" w:fill="auto"/>
    </w:tcPr>
    <w:tblStylePr w:type="firstRow">
      <w:rPr>
        <w:color w:val="BFBFBF"/>
      </w:rPr>
      <w:tblPr/>
      <w:trPr>
        <w:tblHeader/>
      </w:trPr>
      <w:tcPr>
        <w:shd w:val="clear" w:color="auto" w:fill="BFBFBF"/>
      </w:tcPr>
    </w:tblStylePr>
  </w:style>
  <w:style w:type="numbering" w:customStyle="1" w:styleId="Numberedlist">
    <w:name w:val="Numbered list"/>
    <w:uiPriority w:val="99"/>
    <w:rsid w:val="00B92CC9"/>
    <w:pPr>
      <w:numPr>
        <w:numId w:val="7"/>
      </w:numPr>
    </w:pPr>
  </w:style>
  <w:style w:type="paragraph" w:styleId="ListParagraph">
    <w:name w:val="List Paragraph"/>
    <w:aliases w:val="Footnote,BulletPoints"/>
    <w:basedOn w:val="Normal"/>
    <w:link w:val="ListParagraphChar"/>
    <w:uiPriority w:val="72"/>
    <w:qFormat/>
    <w:rsid w:val="00B92CC9"/>
    <w:pPr>
      <w:ind w:left="720"/>
      <w:contextualSpacing/>
    </w:pPr>
  </w:style>
  <w:style w:type="numbering" w:styleId="111111">
    <w:name w:val="Outline List 2"/>
    <w:basedOn w:val="NoList"/>
    <w:uiPriority w:val="99"/>
    <w:semiHidden/>
    <w:unhideWhenUsed/>
    <w:rsid w:val="00B92CC9"/>
    <w:pPr>
      <w:numPr>
        <w:numId w:val="8"/>
      </w:numPr>
    </w:pPr>
  </w:style>
  <w:style w:type="character" w:styleId="Emphasis">
    <w:name w:val="Emphasis"/>
    <w:uiPriority w:val="20"/>
    <w:qFormat/>
    <w:rsid w:val="00B92CC9"/>
    <w:rPr>
      <w:i/>
      <w:iCs/>
    </w:rPr>
  </w:style>
  <w:style w:type="numbering" w:customStyle="1" w:styleId="NoList2">
    <w:name w:val="No List2"/>
    <w:next w:val="NoList"/>
    <w:uiPriority w:val="99"/>
    <w:semiHidden/>
    <w:unhideWhenUsed/>
    <w:rsid w:val="000E79FE"/>
  </w:style>
  <w:style w:type="table" w:customStyle="1" w:styleId="TableGrid2">
    <w:name w:val="Table Grid2"/>
    <w:basedOn w:val="TableNormal"/>
    <w:next w:val="TableGrid"/>
    <w:uiPriority w:val="59"/>
    <w:rsid w:val="000E7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Pr>
    <w:trPr>
      <w:cantSplit/>
    </w:trPr>
    <w:tcPr>
      <w:shd w:val="clear" w:color="auto" w:fill="auto"/>
    </w:tcPr>
    <w:tblStylePr w:type="firstRow">
      <w:rPr>
        <w:color w:val="BFBFBF"/>
      </w:rPr>
      <w:tblPr/>
      <w:trPr>
        <w:tblHeader/>
      </w:trPr>
      <w:tcPr>
        <w:shd w:val="clear" w:color="auto" w:fill="BFBFBF"/>
      </w:tcPr>
    </w:tblStylePr>
  </w:style>
  <w:style w:type="numbering" w:customStyle="1" w:styleId="Numberedlist1">
    <w:name w:val="Numbered list1"/>
    <w:uiPriority w:val="99"/>
    <w:rsid w:val="000E79FE"/>
    <w:pPr>
      <w:numPr>
        <w:numId w:val="4"/>
      </w:numPr>
    </w:pPr>
  </w:style>
  <w:style w:type="numbering" w:customStyle="1" w:styleId="1111111">
    <w:name w:val="1 / 1.1 / 1.1.11"/>
    <w:basedOn w:val="NoList"/>
    <w:next w:val="111111"/>
    <w:uiPriority w:val="99"/>
    <w:semiHidden/>
    <w:unhideWhenUsed/>
    <w:rsid w:val="000E79FE"/>
    <w:pPr>
      <w:numPr>
        <w:numId w:val="9"/>
      </w:numPr>
    </w:pPr>
  </w:style>
  <w:style w:type="paragraph" w:styleId="TOC4">
    <w:name w:val="toc 4"/>
    <w:basedOn w:val="Normal"/>
    <w:next w:val="Normal"/>
    <w:autoRedefine/>
    <w:uiPriority w:val="39"/>
    <w:unhideWhenUsed/>
    <w:rsid w:val="005F738E"/>
    <w:pPr>
      <w:tabs>
        <w:tab w:val="left" w:pos="1588"/>
        <w:tab w:val="right" w:leader="dot" w:pos="9639"/>
      </w:tabs>
      <w:ind w:left="680" w:right="567" w:hanging="680"/>
      <w:jc w:val="left"/>
    </w:pPr>
    <w:rPr>
      <w:rFonts w:eastAsia="Times New Roman"/>
      <w:szCs w:val="22"/>
      <w:lang w:eastAsia="en-AU"/>
    </w:rPr>
  </w:style>
  <w:style w:type="paragraph" w:styleId="TOC5">
    <w:name w:val="toc 5"/>
    <w:basedOn w:val="Normal"/>
    <w:next w:val="Normal"/>
    <w:autoRedefine/>
    <w:uiPriority w:val="39"/>
    <w:unhideWhenUsed/>
    <w:rsid w:val="00FA02B5"/>
    <w:pPr>
      <w:spacing w:before="0" w:after="100" w:line="259" w:lineRule="auto"/>
      <w:ind w:left="880"/>
      <w:jc w:val="left"/>
    </w:pPr>
    <w:rPr>
      <w:rFonts w:ascii="Calibri" w:eastAsia="Times New Roman" w:hAnsi="Calibri"/>
      <w:sz w:val="22"/>
      <w:szCs w:val="22"/>
      <w:lang w:eastAsia="en-AU"/>
    </w:rPr>
  </w:style>
  <w:style w:type="paragraph" w:styleId="TOC6">
    <w:name w:val="toc 6"/>
    <w:basedOn w:val="Normal"/>
    <w:next w:val="Normal"/>
    <w:autoRedefine/>
    <w:uiPriority w:val="39"/>
    <w:unhideWhenUsed/>
    <w:rsid w:val="00FA02B5"/>
    <w:pPr>
      <w:spacing w:before="0" w:after="100" w:line="259" w:lineRule="auto"/>
      <w:ind w:left="1100"/>
      <w:jc w:val="left"/>
    </w:pPr>
    <w:rPr>
      <w:rFonts w:ascii="Calibri" w:eastAsia="Times New Roman" w:hAnsi="Calibri"/>
      <w:sz w:val="22"/>
      <w:szCs w:val="22"/>
      <w:lang w:eastAsia="en-AU"/>
    </w:rPr>
  </w:style>
  <w:style w:type="paragraph" w:styleId="TOC7">
    <w:name w:val="toc 7"/>
    <w:basedOn w:val="Normal"/>
    <w:next w:val="Normal"/>
    <w:autoRedefine/>
    <w:uiPriority w:val="39"/>
    <w:unhideWhenUsed/>
    <w:rsid w:val="00FA02B5"/>
    <w:pPr>
      <w:spacing w:before="0" w:after="100" w:line="259" w:lineRule="auto"/>
      <w:ind w:left="1320"/>
      <w:jc w:val="left"/>
    </w:pPr>
    <w:rPr>
      <w:rFonts w:ascii="Calibri" w:eastAsia="Times New Roman" w:hAnsi="Calibri"/>
      <w:sz w:val="22"/>
      <w:szCs w:val="22"/>
      <w:lang w:eastAsia="en-AU"/>
    </w:rPr>
  </w:style>
  <w:style w:type="paragraph" w:styleId="TOC8">
    <w:name w:val="toc 8"/>
    <w:basedOn w:val="Normal"/>
    <w:next w:val="Normal"/>
    <w:autoRedefine/>
    <w:uiPriority w:val="39"/>
    <w:unhideWhenUsed/>
    <w:rsid w:val="00FA02B5"/>
    <w:pPr>
      <w:spacing w:before="0" w:after="100" w:line="259" w:lineRule="auto"/>
      <w:ind w:left="1540"/>
      <w:jc w:val="left"/>
    </w:pPr>
    <w:rPr>
      <w:rFonts w:ascii="Calibri" w:eastAsia="Times New Roman" w:hAnsi="Calibri"/>
      <w:sz w:val="22"/>
      <w:szCs w:val="22"/>
      <w:lang w:eastAsia="en-AU"/>
    </w:rPr>
  </w:style>
  <w:style w:type="paragraph" w:styleId="TOC9">
    <w:name w:val="toc 9"/>
    <w:basedOn w:val="Normal"/>
    <w:next w:val="Normal"/>
    <w:autoRedefine/>
    <w:uiPriority w:val="39"/>
    <w:unhideWhenUsed/>
    <w:rsid w:val="00FA02B5"/>
    <w:pPr>
      <w:spacing w:before="0" w:after="100" w:line="259" w:lineRule="auto"/>
      <w:ind w:left="1760"/>
      <w:jc w:val="left"/>
    </w:pPr>
    <w:rPr>
      <w:rFonts w:ascii="Calibri" w:eastAsia="Times New Roman" w:hAnsi="Calibri"/>
      <w:sz w:val="22"/>
      <w:szCs w:val="22"/>
      <w:lang w:eastAsia="en-AU"/>
    </w:rPr>
  </w:style>
  <w:style w:type="paragraph" w:customStyle="1" w:styleId="References">
    <w:name w:val="References"/>
    <w:qFormat/>
    <w:rsid w:val="004504BE"/>
    <w:pPr>
      <w:spacing w:before="80"/>
      <w:ind w:left="284" w:hanging="284"/>
    </w:pPr>
    <w:rPr>
      <w:sz w:val="18"/>
      <w:szCs w:val="24"/>
      <w:lang w:eastAsia="en-US"/>
    </w:rPr>
  </w:style>
  <w:style w:type="paragraph" w:styleId="NormalWeb">
    <w:name w:val="Normal (Web)"/>
    <w:basedOn w:val="Normal"/>
    <w:uiPriority w:val="99"/>
    <w:semiHidden/>
    <w:unhideWhenUsed/>
    <w:rsid w:val="009D3242"/>
    <w:pPr>
      <w:spacing w:before="100" w:beforeAutospacing="1" w:after="100" w:afterAutospacing="1" w:line="240" w:lineRule="auto"/>
      <w:jc w:val="left"/>
    </w:pPr>
    <w:rPr>
      <w:rFonts w:ascii="Times New Roman" w:eastAsia="Times New Roman" w:hAnsi="Times New Roman"/>
      <w:lang w:eastAsia="en-AU"/>
    </w:rPr>
  </w:style>
  <w:style w:type="character" w:styleId="IntenseEmphasis">
    <w:name w:val="Intense Emphasis"/>
    <w:basedOn w:val="DefaultParagraphFont"/>
    <w:uiPriority w:val="21"/>
    <w:qFormat/>
    <w:rsid w:val="00D32790"/>
    <w:rPr>
      <w:b/>
      <w:bCs/>
      <w:i/>
      <w:iCs/>
      <w:color w:val="4F81BD" w:themeColor="accent1"/>
    </w:rPr>
  </w:style>
  <w:style w:type="paragraph" w:styleId="Subtitle">
    <w:name w:val="Subtitle"/>
    <w:basedOn w:val="Normal"/>
    <w:next w:val="Normal"/>
    <w:link w:val="SubtitleChar"/>
    <w:qFormat/>
    <w:rsid w:val="00D32790"/>
    <w:pPr>
      <w:numPr>
        <w:ilvl w:val="1"/>
      </w:numPr>
      <w:spacing w:before="0" w:line="240" w:lineRule="auto"/>
      <w:jc w:val="left"/>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D32790"/>
    <w:rPr>
      <w:rFonts w:asciiTheme="majorHAnsi" w:eastAsiaTheme="majorEastAsia" w:hAnsiTheme="majorHAnsi" w:cstheme="majorBidi"/>
      <w:iCs/>
      <w:spacing w:val="15"/>
      <w:sz w:val="24"/>
      <w:szCs w:val="24"/>
      <w:lang w:eastAsia="en-US"/>
    </w:rPr>
  </w:style>
  <w:style w:type="character" w:customStyle="1" w:styleId="ListParagraphChar">
    <w:name w:val="List Paragraph Char"/>
    <w:aliases w:val="Footnote Char,BulletPoints Char"/>
    <w:basedOn w:val="DefaultParagraphFont"/>
    <w:link w:val="ListParagraph"/>
    <w:uiPriority w:val="72"/>
    <w:rsid w:val="00ED61E9"/>
    <w:rPr>
      <w:sz w:val="24"/>
      <w:szCs w:val="24"/>
      <w:lang w:eastAsia="en-US"/>
    </w:rPr>
  </w:style>
  <w:style w:type="paragraph" w:customStyle="1" w:styleId="ToR3Tableheader">
    <w:name w:val="ToR3 Table header"/>
    <w:basedOn w:val="Caption"/>
    <w:link w:val="ToR3TableheaderChar"/>
    <w:qFormat/>
    <w:rsid w:val="00DE5CAD"/>
  </w:style>
  <w:style w:type="paragraph" w:customStyle="1" w:styleId="ToR3Figureheader">
    <w:name w:val="ToR3 Figure header"/>
    <w:basedOn w:val="Caption"/>
    <w:link w:val="ToR3FigureheaderChar"/>
    <w:qFormat/>
    <w:rsid w:val="00E3610F"/>
  </w:style>
  <w:style w:type="character" w:customStyle="1" w:styleId="CaptionChar">
    <w:name w:val="Caption Char"/>
    <w:basedOn w:val="DefaultParagraphFont"/>
    <w:link w:val="Caption"/>
    <w:uiPriority w:val="35"/>
    <w:rsid w:val="00DE5CAD"/>
    <w:rPr>
      <w:rFonts w:ascii="Arial" w:hAnsi="Arial"/>
      <w:b/>
      <w:iCs/>
      <w:szCs w:val="18"/>
      <w:lang w:eastAsia="en-US"/>
    </w:rPr>
  </w:style>
  <w:style w:type="character" w:customStyle="1" w:styleId="ToR3TableheaderChar">
    <w:name w:val="ToR3 Table header Char"/>
    <w:basedOn w:val="CaptionChar"/>
    <w:link w:val="ToR3Tableheader"/>
    <w:rsid w:val="00DE5CAD"/>
    <w:rPr>
      <w:rFonts w:ascii="Arial" w:hAnsi="Arial"/>
      <w:b/>
      <w:iCs/>
      <w:szCs w:val="18"/>
      <w:lang w:eastAsia="en-US"/>
    </w:rPr>
  </w:style>
  <w:style w:type="character" w:customStyle="1" w:styleId="ToR3FigureheaderChar">
    <w:name w:val="ToR3 Figure header Char"/>
    <w:basedOn w:val="CaptionChar"/>
    <w:link w:val="ToR3Figureheader"/>
    <w:rsid w:val="00E3610F"/>
    <w:rPr>
      <w:rFonts w:ascii="Arial" w:hAnsi="Arial"/>
      <w:b/>
      <w:iCs/>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169804">
      <w:bodyDiv w:val="1"/>
      <w:marLeft w:val="0"/>
      <w:marRight w:val="0"/>
      <w:marTop w:val="0"/>
      <w:marBottom w:val="0"/>
      <w:divBdr>
        <w:top w:val="none" w:sz="0" w:space="0" w:color="auto"/>
        <w:left w:val="none" w:sz="0" w:space="0" w:color="auto"/>
        <w:bottom w:val="none" w:sz="0" w:space="0" w:color="auto"/>
        <w:right w:val="none" w:sz="0" w:space="0" w:color="auto"/>
      </w:divBdr>
      <w:divsChild>
        <w:div w:id="1077898468">
          <w:marLeft w:val="0"/>
          <w:marRight w:val="0"/>
          <w:marTop w:val="0"/>
          <w:marBottom w:val="0"/>
          <w:divBdr>
            <w:top w:val="none" w:sz="0" w:space="0" w:color="auto"/>
            <w:left w:val="none" w:sz="0" w:space="0" w:color="auto"/>
            <w:bottom w:val="none" w:sz="0" w:space="0" w:color="auto"/>
            <w:right w:val="none" w:sz="0" w:space="0" w:color="auto"/>
          </w:divBdr>
        </w:div>
      </w:divsChild>
    </w:div>
    <w:div w:id="303782159">
      <w:bodyDiv w:val="1"/>
      <w:marLeft w:val="0"/>
      <w:marRight w:val="0"/>
      <w:marTop w:val="0"/>
      <w:marBottom w:val="0"/>
      <w:divBdr>
        <w:top w:val="none" w:sz="0" w:space="0" w:color="auto"/>
        <w:left w:val="none" w:sz="0" w:space="0" w:color="auto"/>
        <w:bottom w:val="none" w:sz="0" w:space="0" w:color="auto"/>
        <w:right w:val="none" w:sz="0" w:space="0" w:color="auto"/>
      </w:divBdr>
      <w:divsChild>
        <w:div w:id="1614819175">
          <w:marLeft w:val="0"/>
          <w:marRight w:val="0"/>
          <w:marTop w:val="0"/>
          <w:marBottom w:val="0"/>
          <w:divBdr>
            <w:top w:val="none" w:sz="0" w:space="0" w:color="auto"/>
            <w:left w:val="none" w:sz="0" w:space="0" w:color="auto"/>
            <w:bottom w:val="none" w:sz="0" w:space="0" w:color="auto"/>
            <w:right w:val="none" w:sz="0" w:space="0" w:color="auto"/>
          </w:divBdr>
        </w:div>
      </w:divsChild>
    </w:div>
    <w:div w:id="510608629">
      <w:bodyDiv w:val="1"/>
      <w:marLeft w:val="0"/>
      <w:marRight w:val="0"/>
      <w:marTop w:val="0"/>
      <w:marBottom w:val="0"/>
      <w:divBdr>
        <w:top w:val="none" w:sz="0" w:space="0" w:color="auto"/>
        <w:left w:val="none" w:sz="0" w:space="0" w:color="auto"/>
        <w:bottom w:val="none" w:sz="0" w:space="0" w:color="auto"/>
        <w:right w:val="none" w:sz="0" w:space="0" w:color="auto"/>
      </w:divBdr>
    </w:div>
    <w:div w:id="520437451">
      <w:bodyDiv w:val="1"/>
      <w:marLeft w:val="0"/>
      <w:marRight w:val="0"/>
      <w:marTop w:val="0"/>
      <w:marBottom w:val="0"/>
      <w:divBdr>
        <w:top w:val="none" w:sz="0" w:space="0" w:color="auto"/>
        <w:left w:val="none" w:sz="0" w:space="0" w:color="auto"/>
        <w:bottom w:val="none" w:sz="0" w:space="0" w:color="auto"/>
        <w:right w:val="none" w:sz="0" w:space="0" w:color="auto"/>
      </w:divBdr>
    </w:div>
    <w:div w:id="761804994">
      <w:bodyDiv w:val="1"/>
      <w:marLeft w:val="0"/>
      <w:marRight w:val="0"/>
      <w:marTop w:val="0"/>
      <w:marBottom w:val="0"/>
      <w:divBdr>
        <w:top w:val="none" w:sz="0" w:space="0" w:color="auto"/>
        <w:left w:val="none" w:sz="0" w:space="0" w:color="auto"/>
        <w:bottom w:val="none" w:sz="0" w:space="0" w:color="auto"/>
        <w:right w:val="none" w:sz="0" w:space="0" w:color="auto"/>
      </w:divBdr>
      <w:divsChild>
        <w:div w:id="865023283">
          <w:marLeft w:val="0"/>
          <w:marRight w:val="0"/>
          <w:marTop w:val="0"/>
          <w:marBottom w:val="0"/>
          <w:divBdr>
            <w:top w:val="none" w:sz="0" w:space="0" w:color="auto"/>
            <w:left w:val="none" w:sz="0" w:space="0" w:color="auto"/>
            <w:bottom w:val="none" w:sz="0" w:space="0" w:color="auto"/>
            <w:right w:val="none" w:sz="0" w:space="0" w:color="auto"/>
          </w:divBdr>
        </w:div>
      </w:divsChild>
    </w:div>
    <w:div w:id="781457472">
      <w:bodyDiv w:val="1"/>
      <w:marLeft w:val="0"/>
      <w:marRight w:val="0"/>
      <w:marTop w:val="0"/>
      <w:marBottom w:val="0"/>
      <w:divBdr>
        <w:top w:val="none" w:sz="0" w:space="0" w:color="auto"/>
        <w:left w:val="none" w:sz="0" w:space="0" w:color="auto"/>
        <w:bottom w:val="none" w:sz="0" w:space="0" w:color="auto"/>
        <w:right w:val="none" w:sz="0" w:space="0" w:color="auto"/>
      </w:divBdr>
      <w:divsChild>
        <w:div w:id="1725132626">
          <w:marLeft w:val="0"/>
          <w:marRight w:val="0"/>
          <w:marTop w:val="0"/>
          <w:marBottom w:val="0"/>
          <w:divBdr>
            <w:top w:val="none" w:sz="0" w:space="0" w:color="auto"/>
            <w:left w:val="none" w:sz="0" w:space="0" w:color="auto"/>
            <w:bottom w:val="none" w:sz="0" w:space="0" w:color="auto"/>
            <w:right w:val="none" w:sz="0" w:space="0" w:color="auto"/>
          </w:divBdr>
        </w:div>
      </w:divsChild>
    </w:div>
    <w:div w:id="827480491">
      <w:bodyDiv w:val="1"/>
      <w:marLeft w:val="0"/>
      <w:marRight w:val="0"/>
      <w:marTop w:val="0"/>
      <w:marBottom w:val="0"/>
      <w:divBdr>
        <w:top w:val="none" w:sz="0" w:space="0" w:color="auto"/>
        <w:left w:val="none" w:sz="0" w:space="0" w:color="auto"/>
        <w:bottom w:val="none" w:sz="0" w:space="0" w:color="auto"/>
        <w:right w:val="none" w:sz="0" w:space="0" w:color="auto"/>
      </w:divBdr>
    </w:div>
    <w:div w:id="945114641">
      <w:bodyDiv w:val="1"/>
      <w:marLeft w:val="0"/>
      <w:marRight w:val="0"/>
      <w:marTop w:val="0"/>
      <w:marBottom w:val="0"/>
      <w:divBdr>
        <w:top w:val="none" w:sz="0" w:space="0" w:color="auto"/>
        <w:left w:val="none" w:sz="0" w:space="0" w:color="auto"/>
        <w:bottom w:val="none" w:sz="0" w:space="0" w:color="auto"/>
        <w:right w:val="none" w:sz="0" w:space="0" w:color="auto"/>
      </w:divBdr>
    </w:div>
    <w:div w:id="1078402599">
      <w:bodyDiv w:val="1"/>
      <w:marLeft w:val="0"/>
      <w:marRight w:val="0"/>
      <w:marTop w:val="0"/>
      <w:marBottom w:val="0"/>
      <w:divBdr>
        <w:top w:val="none" w:sz="0" w:space="0" w:color="auto"/>
        <w:left w:val="none" w:sz="0" w:space="0" w:color="auto"/>
        <w:bottom w:val="none" w:sz="0" w:space="0" w:color="auto"/>
        <w:right w:val="none" w:sz="0" w:space="0" w:color="auto"/>
      </w:divBdr>
    </w:div>
    <w:div w:id="1151554448">
      <w:bodyDiv w:val="1"/>
      <w:marLeft w:val="0"/>
      <w:marRight w:val="0"/>
      <w:marTop w:val="0"/>
      <w:marBottom w:val="0"/>
      <w:divBdr>
        <w:top w:val="none" w:sz="0" w:space="0" w:color="auto"/>
        <w:left w:val="none" w:sz="0" w:space="0" w:color="auto"/>
        <w:bottom w:val="none" w:sz="0" w:space="0" w:color="auto"/>
        <w:right w:val="none" w:sz="0" w:space="0" w:color="auto"/>
      </w:divBdr>
    </w:div>
    <w:div w:id="1206024084">
      <w:bodyDiv w:val="1"/>
      <w:marLeft w:val="0"/>
      <w:marRight w:val="0"/>
      <w:marTop w:val="0"/>
      <w:marBottom w:val="0"/>
      <w:divBdr>
        <w:top w:val="none" w:sz="0" w:space="0" w:color="auto"/>
        <w:left w:val="none" w:sz="0" w:space="0" w:color="auto"/>
        <w:bottom w:val="none" w:sz="0" w:space="0" w:color="auto"/>
        <w:right w:val="none" w:sz="0" w:space="0" w:color="auto"/>
      </w:divBdr>
      <w:divsChild>
        <w:div w:id="1046753543">
          <w:marLeft w:val="0"/>
          <w:marRight w:val="0"/>
          <w:marTop w:val="0"/>
          <w:marBottom w:val="0"/>
          <w:divBdr>
            <w:top w:val="none" w:sz="0" w:space="0" w:color="auto"/>
            <w:left w:val="none" w:sz="0" w:space="0" w:color="auto"/>
            <w:bottom w:val="none" w:sz="0" w:space="0" w:color="auto"/>
            <w:right w:val="none" w:sz="0" w:space="0" w:color="auto"/>
          </w:divBdr>
        </w:div>
      </w:divsChild>
    </w:div>
    <w:div w:id="1316376998">
      <w:bodyDiv w:val="1"/>
      <w:marLeft w:val="0"/>
      <w:marRight w:val="0"/>
      <w:marTop w:val="0"/>
      <w:marBottom w:val="0"/>
      <w:divBdr>
        <w:top w:val="none" w:sz="0" w:space="0" w:color="auto"/>
        <w:left w:val="none" w:sz="0" w:space="0" w:color="auto"/>
        <w:bottom w:val="none" w:sz="0" w:space="0" w:color="auto"/>
        <w:right w:val="none" w:sz="0" w:space="0" w:color="auto"/>
      </w:divBdr>
    </w:div>
    <w:div w:id="1323847305">
      <w:bodyDiv w:val="1"/>
      <w:marLeft w:val="0"/>
      <w:marRight w:val="0"/>
      <w:marTop w:val="0"/>
      <w:marBottom w:val="0"/>
      <w:divBdr>
        <w:top w:val="none" w:sz="0" w:space="0" w:color="auto"/>
        <w:left w:val="none" w:sz="0" w:space="0" w:color="auto"/>
        <w:bottom w:val="none" w:sz="0" w:space="0" w:color="auto"/>
        <w:right w:val="none" w:sz="0" w:space="0" w:color="auto"/>
      </w:divBdr>
    </w:div>
    <w:div w:id="1324973040">
      <w:bodyDiv w:val="1"/>
      <w:marLeft w:val="0"/>
      <w:marRight w:val="0"/>
      <w:marTop w:val="0"/>
      <w:marBottom w:val="0"/>
      <w:divBdr>
        <w:top w:val="none" w:sz="0" w:space="0" w:color="auto"/>
        <w:left w:val="none" w:sz="0" w:space="0" w:color="auto"/>
        <w:bottom w:val="none" w:sz="0" w:space="0" w:color="auto"/>
        <w:right w:val="none" w:sz="0" w:space="0" w:color="auto"/>
      </w:divBdr>
    </w:div>
    <w:div w:id="1529832297">
      <w:bodyDiv w:val="1"/>
      <w:marLeft w:val="0"/>
      <w:marRight w:val="0"/>
      <w:marTop w:val="0"/>
      <w:marBottom w:val="0"/>
      <w:divBdr>
        <w:top w:val="none" w:sz="0" w:space="0" w:color="auto"/>
        <w:left w:val="none" w:sz="0" w:space="0" w:color="auto"/>
        <w:bottom w:val="none" w:sz="0" w:space="0" w:color="auto"/>
        <w:right w:val="none" w:sz="0" w:space="0" w:color="auto"/>
      </w:divBdr>
      <w:divsChild>
        <w:div w:id="1102190872">
          <w:marLeft w:val="0"/>
          <w:marRight w:val="0"/>
          <w:marTop w:val="0"/>
          <w:marBottom w:val="0"/>
          <w:divBdr>
            <w:top w:val="none" w:sz="0" w:space="0" w:color="auto"/>
            <w:left w:val="none" w:sz="0" w:space="0" w:color="auto"/>
            <w:bottom w:val="none" w:sz="0" w:space="0" w:color="auto"/>
            <w:right w:val="none" w:sz="0" w:space="0" w:color="auto"/>
          </w:divBdr>
        </w:div>
      </w:divsChild>
    </w:div>
    <w:div w:id="1643584841">
      <w:bodyDiv w:val="1"/>
      <w:marLeft w:val="0"/>
      <w:marRight w:val="0"/>
      <w:marTop w:val="0"/>
      <w:marBottom w:val="0"/>
      <w:divBdr>
        <w:top w:val="none" w:sz="0" w:space="0" w:color="auto"/>
        <w:left w:val="none" w:sz="0" w:space="0" w:color="auto"/>
        <w:bottom w:val="none" w:sz="0" w:space="0" w:color="auto"/>
        <w:right w:val="none" w:sz="0" w:space="0" w:color="auto"/>
      </w:divBdr>
    </w:div>
    <w:div w:id="1923490714">
      <w:bodyDiv w:val="1"/>
      <w:marLeft w:val="0"/>
      <w:marRight w:val="0"/>
      <w:marTop w:val="0"/>
      <w:marBottom w:val="0"/>
      <w:divBdr>
        <w:top w:val="none" w:sz="0" w:space="0" w:color="auto"/>
        <w:left w:val="none" w:sz="0" w:space="0" w:color="auto"/>
        <w:bottom w:val="none" w:sz="0" w:space="0" w:color="auto"/>
        <w:right w:val="none" w:sz="0" w:space="0" w:color="auto"/>
      </w:divBdr>
    </w:div>
    <w:div w:id="2022275471">
      <w:bodyDiv w:val="1"/>
      <w:marLeft w:val="0"/>
      <w:marRight w:val="0"/>
      <w:marTop w:val="0"/>
      <w:marBottom w:val="0"/>
      <w:divBdr>
        <w:top w:val="none" w:sz="0" w:space="0" w:color="auto"/>
        <w:left w:val="none" w:sz="0" w:space="0" w:color="auto"/>
        <w:bottom w:val="none" w:sz="0" w:space="0" w:color="auto"/>
        <w:right w:val="none" w:sz="0" w:space="0" w:color="auto"/>
      </w:divBdr>
      <w:divsChild>
        <w:div w:id="1727532769">
          <w:marLeft w:val="0"/>
          <w:marRight w:val="0"/>
          <w:marTop w:val="0"/>
          <w:marBottom w:val="0"/>
          <w:divBdr>
            <w:top w:val="none" w:sz="0" w:space="0" w:color="auto"/>
            <w:left w:val="none" w:sz="0" w:space="0" w:color="auto"/>
            <w:bottom w:val="none" w:sz="0" w:space="0" w:color="auto"/>
            <w:right w:val="none" w:sz="0" w:space="0" w:color="auto"/>
          </w:divBdr>
        </w:div>
      </w:divsChild>
    </w:div>
    <w:div w:id="2035879399">
      <w:bodyDiv w:val="1"/>
      <w:marLeft w:val="0"/>
      <w:marRight w:val="0"/>
      <w:marTop w:val="0"/>
      <w:marBottom w:val="0"/>
      <w:divBdr>
        <w:top w:val="none" w:sz="0" w:space="0" w:color="auto"/>
        <w:left w:val="none" w:sz="0" w:space="0" w:color="auto"/>
        <w:bottom w:val="none" w:sz="0" w:space="0" w:color="auto"/>
        <w:right w:val="none" w:sz="0" w:space="0" w:color="auto"/>
      </w:divBdr>
    </w:div>
    <w:div w:id="206447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image" Target="media/image1.png"/><Relationship Id="rId39" Type="http://schemas.openxmlformats.org/officeDocument/2006/relationships/image" Target="media/image6.png"/><Relationship Id="rId21" Type="http://schemas.openxmlformats.org/officeDocument/2006/relationships/footer" Target="footer5.xml"/><Relationship Id="rId34" Type="http://schemas.openxmlformats.org/officeDocument/2006/relationships/footer" Target="footer10.xml"/><Relationship Id="rId42" Type="http://schemas.openxmlformats.org/officeDocument/2006/relationships/footer" Target="footer13.xml"/><Relationship Id="rId47" Type="http://schemas.openxmlformats.org/officeDocument/2006/relationships/footer" Target="footer15.xml"/><Relationship Id="rId50" Type="http://schemas.openxmlformats.org/officeDocument/2006/relationships/header" Target="header18.xml"/><Relationship Id="rId55"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12.xml"/><Relationship Id="rId33" Type="http://schemas.openxmlformats.org/officeDocument/2006/relationships/header" Target="header16.xml"/><Relationship Id="rId38" Type="http://schemas.openxmlformats.org/officeDocument/2006/relationships/image" Target="media/image5.png"/><Relationship Id="rId46" Type="http://schemas.openxmlformats.org/officeDocument/2006/relationships/image" Target="media/image9.png"/><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header" Target="header14.xml"/><Relationship Id="rId41" Type="http://schemas.openxmlformats.org/officeDocument/2006/relationships/footer" Target="footer12.xml"/><Relationship Id="rId54" Type="http://schemas.openxmlformats.org/officeDocument/2006/relationships/footer" Target="footer2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footer" Target="footer9.xml"/><Relationship Id="rId37" Type="http://schemas.openxmlformats.org/officeDocument/2006/relationships/image" Target="media/image4.png"/><Relationship Id="rId40" Type="http://schemas.openxmlformats.org/officeDocument/2006/relationships/footer" Target="footer11.xml"/><Relationship Id="rId45" Type="http://schemas.openxmlformats.org/officeDocument/2006/relationships/image" Target="media/image8.png"/><Relationship Id="rId53" Type="http://schemas.openxmlformats.org/officeDocument/2006/relationships/footer" Target="footer19.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footer" Target="footer7.xml"/><Relationship Id="rId36" Type="http://schemas.openxmlformats.org/officeDocument/2006/relationships/image" Target="media/image3.png"/><Relationship Id="rId49" Type="http://schemas.openxmlformats.org/officeDocument/2006/relationships/footer" Target="footer16.xml"/><Relationship Id="rId57" Type="http://schemas.openxmlformats.org/officeDocument/2006/relationships/footer" Target="footer21.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15.xml"/><Relationship Id="rId44" Type="http://schemas.openxmlformats.org/officeDocument/2006/relationships/image" Target="media/image7.png"/><Relationship Id="rId52" Type="http://schemas.openxmlformats.org/officeDocument/2006/relationships/footer" Target="footer1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3.xml"/><Relationship Id="rId30" Type="http://schemas.openxmlformats.org/officeDocument/2006/relationships/footer" Target="footer8.xml"/><Relationship Id="rId35" Type="http://schemas.openxmlformats.org/officeDocument/2006/relationships/image" Target="media/image2.png"/><Relationship Id="rId43" Type="http://schemas.openxmlformats.org/officeDocument/2006/relationships/footer" Target="footer14.xml"/><Relationship Id="rId48" Type="http://schemas.openxmlformats.org/officeDocument/2006/relationships/header" Target="header17.xml"/><Relationship Id="rId56" Type="http://schemas.openxmlformats.org/officeDocument/2006/relationships/image" Target="media/image11.png"/><Relationship Id="rId8" Type="http://schemas.openxmlformats.org/officeDocument/2006/relationships/header" Target="header1.xml"/><Relationship Id="rId51" Type="http://schemas.openxmlformats.org/officeDocument/2006/relationships/footer" Target="footer17.xml"/><Relationship Id="rId3"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http://copdx.org.au/copd-x-plan/"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100</Pages>
  <Words>39582</Words>
  <Characters>225619</Characters>
  <Application>Microsoft Office Word</Application>
  <DocSecurity>0</DocSecurity>
  <Lines>1880</Lines>
  <Paragraphs>529</Paragraphs>
  <ScaleCrop>false</ScaleCrop>
  <LinksUpToDate>false</LinksUpToDate>
  <CharactersWithSpaces>264672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2017-07-26T03:11:00Z</dcterms:created>
  <dcterms:modified xsi:type="dcterms:W3CDTF">2018-01-23T03:12:00Z</dcterms:modified>
</cp:coreProperties>
</file>